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6210AD2">
      <w:pPr>
        <w:spacing w:line="285" w:lineRule="auto"/>
        <w:rPr>
          <w:rFonts w:hint="eastAsia" w:ascii="Arial" w:eastAsia="宋体"/>
          <w:color w:val="auto"/>
          <w:sz w:val="21"/>
          <w:highlight w:val="none"/>
          <w:lang w:eastAsia="zh-CN"/>
        </w:rPr>
      </w:pPr>
      <w:r>
        <w:rPr>
          <w:rFonts w:hint="eastAsia" w:ascii="Arial" w:eastAsia="宋体"/>
          <w:color w:val="auto"/>
          <w:sz w:val="21"/>
          <w:highlight w:val="none"/>
          <w:lang w:eastAsia="zh-CN"/>
        </w:rPr>
        <w:drawing>
          <wp:inline distT="0" distB="0" distL="114300" distR="114300">
            <wp:extent cx="5687060" cy="8042275"/>
            <wp:effectExtent l="0" t="0" r="8890" b="15875"/>
            <wp:docPr id="4" name="图片 4" descr="招标文件封面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招标文件封面_01"/>
                    <pic:cNvPicPr>
                      <a:picLocks noChangeAspect="1"/>
                    </pic:cNvPicPr>
                  </pic:nvPicPr>
                  <pic:blipFill>
                    <a:blip r:embed="rId119"/>
                    <a:stretch>
                      <a:fillRect/>
                    </a:stretch>
                  </pic:blipFill>
                  <pic:spPr>
                    <a:xfrm>
                      <a:off x="0" y="0"/>
                      <a:ext cx="5687060" cy="8042275"/>
                    </a:xfrm>
                    <a:prstGeom prst="rect">
                      <a:avLst/>
                    </a:prstGeom>
                  </pic:spPr>
                </pic:pic>
              </a:graphicData>
            </a:graphic>
          </wp:inline>
        </w:drawing>
      </w:r>
    </w:p>
    <w:p w14:paraId="08716992">
      <w:pPr>
        <w:spacing w:line="220" w:lineRule="auto"/>
        <w:rPr>
          <w:rFonts w:ascii="宋体" w:hAnsi="宋体" w:eastAsia="宋体" w:cs="宋体"/>
          <w:color w:val="auto"/>
          <w:sz w:val="18"/>
          <w:szCs w:val="18"/>
          <w:highlight w:val="none"/>
        </w:rPr>
        <w:sectPr>
          <w:footerReference r:id="rId5" w:type="default"/>
          <w:pgSz w:w="11906" w:h="16839"/>
          <w:pgMar w:top="1431" w:right="1490" w:bottom="400" w:left="1417" w:header="0" w:footer="0" w:gutter="0"/>
          <w:cols w:space="720" w:num="1"/>
        </w:sectPr>
      </w:pPr>
    </w:p>
    <w:p w14:paraId="1B91BD0C">
      <w:pPr>
        <w:rPr>
          <w:rFonts w:ascii="宋体" w:hAnsi="宋体" w:eastAsia="宋体" w:cs="宋体"/>
          <w:b/>
          <w:bCs/>
          <w:color w:val="auto"/>
          <w:spacing w:val="-36"/>
          <w:sz w:val="31"/>
          <w:szCs w:val="31"/>
          <w:highlight w:val="none"/>
        </w:rPr>
      </w:pPr>
      <w:bookmarkStart w:id="0" w:name="_Toc10156"/>
      <w:bookmarkStart w:id="1" w:name="_Toc5743"/>
      <w:bookmarkStart w:id="2" w:name="_Toc13110"/>
      <w:r>
        <w:rPr>
          <w:rFonts w:ascii="宋体" w:hAnsi="宋体" w:eastAsia="宋体" w:cs="宋体"/>
          <w:b/>
          <w:bCs/>
          <w:color w:val="auto"/>
          <w:spacing w:val="-36"/>
          <w:sz w:val="31"/>
          <w:szCs w:val="31"/>
          <w:highlight w:val="none"/>
        </w:rPr>
        <w:br w:type="page"/>
      </w:r>
    </w:p>
    <w:p w14:paraId="61308067">
      <w:pPr>
        <w:spacing w:before="220" w:line="227" w:lineRule="auto"/>
        <w:ind w:left="3743"/>
        <w:outlineLvl w:val="0"/>
        <w:rPr>
          <w:rFonts w:ascii="宋体" w:hAnsi="宋体" w:eastAsia="宋体" w:cs="宋体"/>
          <w:color w:val="auto"/>
          <w:sz w:val="31"/>
          <w:szCs w:val="31"/>
          <w:highlight w:val="none"/>
        </w:rPr>
      </w:pPr>
      <w:bookmarkStart w:id="3" w:name="_Toc8336"/>
      <w:bookmarkStart w:id="4" w:name="_Toc28021"/>
      <w:bookmarkStart w:id="5" w:name="_Toc251"/>
      <w:bookmarkStart w:id="6" w:name="_Toc14069"/>
      <w:r>
        <w:rPr>
          <w:rFonts w:ascii="宋体" w:hAnsi="宋体" w:eastAsia="宋体" w:cs="宋体"/>
          <w:b/>
          <w:bCs/>
          <w:color w:val="auto"/>
          <w:spacing w:val="-36"/>
          <w:sz w:val="31"/>
          <w:szCs w:val="31"/>
          <w:highlight w:val="none"/>
        </w:rPr>
        <w:t>目</w:t>
      </w:r>
      <w:r>
        <w:rPr>
          <w:rFonts w:ascii="宋体" w:hAnsi="宋体" w:eastAsia="宋体" w:cs="宋体"/>
          <w:color w:val="auto"/>
          <w:spacing w:val="8"/>
          <w:sz w:val="31"/>
          <w:szCs w:val="31"/>
          <w:highlight w:val="none"/>
        </w:rPr>
        <w:t xml:space="preserve">     </w:t>
      </w:r>
      <w:r>
        <w:rPr>
          <w:rFonts w:ascii="宋体" w:hAnsi="宋体" w:eastAsia="宋体" w:cs="宋体"/>
          <w:b/>
          <w:bCs/>
          <w:color w:val="auto"/>
          <w:spacing w:val="-36"/>
          <w:sz w:val="31"/>
          <w:szCs w:val="31"/>
          <w:highlight w:val="none"/>
        </w:rPr>
        <w:t>录</w:t>
      </w:r>
      <w:bookmarkEnd w:id="0"/>
      <w:bookmarkEnd w:id="1"/>
      <w:bookmarkEnd w:id="2"/>
      <w:bookmarkEnd w:id="3"/>
      <w:bookmarkEnd w:id="4"/>
      <w:bookmarkEnd w:id="5"/>
      <w:bookmarkEnd w:id="6"/>
    </w:p>
    <w:sdt>
      <w:sdtPr>
        <w:rPr>
          <w:rFonts w:ascii="宋体" w:hAnsi="宋体" w:eastAsia="宋体" w:cs="Arial"/>
          <w:snapToGrid w:val="0"/>
          <w:color w:val="auto"/>
          <w:kern w:val="0"/>
          <w:sz w:val="21"/>
          <w:szCs w:val="21"/>
          <w:highlight w:val="none"/>
          <w:lang w:val="en-US" w:eastAsia="en-US" w:bidi="ar-SA"/>
        </w:rPr>
        <w:id w:val="147476872"/>
        <w15:color w:val="DBDBDB"/>
        <w:docPartObj>
          <w:docPartGallery w:val="Table of Contents"/>
          <w:docPartUnique/>
        </w:docPartObj>
      </w:sdtPr>
      <w:sdtEndPr>
        <w:rPr>
          <w:rFonts w:ascii="宋体" w:hAnsi="宋体" w:eastAsia="宋体" w:cs="宋体"/>
          <w:snapToGrid w:val="0"/>
          <w:color w:val="auto"/>
          <w:kern w:val="0"/>
          <w:sz w:val="21"/>
          <w:szCs w:val="24"/>
          <w:highlight w:val="none"/>
          <w:lang w:val="en-US" w:eastAsia="en-US" w:bidi="ar-SA"/>
        </w:rPr>
      </w:sdtEndPr>
      <w:sdtContent>
        <w:p w14:paraId="11A90461">
          <w:pPr>
            <w:keepNext w:val="0"/>
            <w:keepLines w:val="0"/>
            <w:pageBreakBefore w:val="0"/>
            <w:widowControl/>
            <w:kinsoku w:val="0"/>
            <w:wordWrap/>
            <w:overflowPunct/>
            <w:topLinePunct w:val="0"/>
            <w:autoSpaceDE w:val="0"/>
            <w:autoSpaceDN w:val="0"/>
            <w:bidi w:val="0"/>
            <w:adjustRightInd w:val="0"/>
            <w:snapToGrid w:val="0"/>
            <w:spacing w:before="0" w:beforeLines="0" w:after="0" w:afterLines="0" w:line="360" w:lineRule="auto"/>
            <w:ind w:left="0" w:leftChars="0" w:right="0" w:rightChars="0" w:firstLine="0" w:firstLineChars="0"/>
            <w:jc w:val="center"/>
            <w:textAlignment w:val="baseline"/>
            <w:rPr>
              <w:color w:val="auto"/>
              <w:highlight w:val="none"/>
            </w:rPr>
          </w:pPr>
          <w:r>
            <w:rPr>
              <w:rFonts w:ascii="宋体" w:hAnsi="宋体" w:eastAsia="宋体" w:cs="宋体"/>
              <w:snapToGrid w:val="0"/>
              <w:color w:val="auto"/>
              <w:kern w:val="0"/>
              <w:sz w:val="21"/>
              <w:szCs w:val="24"/>
              <w:highlight w:val="none"/>
              <w:lang w:val="en-US" w:eastAsia="en-US" w:bidi="ar-SA"/>
            </w:rPr>
            <w:fldChar w:fldCharType="begin"/>
          </w:r>
          <w:r>
            <w:rPr>
              <w:rFonts w:ascii="宋体" w:hAnsi="宋体" w:eastAsia="宋体" w:cs="宋体"/>
              <w:snapToGrid w:val="0"/>
              <w:color w:val="auto"/>
              <w:kern w:val="0"/>
              <w:sz w:val="21"/>
              <w:szCs w:val="24"/>
              <w:highlight w:val="none"/>
              <w:lang w:val="en-US" w:eastAsia="en-US" w:bidi="ar-SA"/>
            </w:rPr>
            <w:instrText xml:space="preserve">TOC \o "1-2" \h \u </w:instrText>
          </w:r>
          <w:r>
            <w:rPr>
              <w:rFonts w:ascii="宋体" w:hAnsi="宋体" w:eastAsia="宋体" w:cs="宋体"/>
              <w:snapToGrid w:val="0"/>
              <w:color w:val="auto"/>
              <w:kern w:val="0"/>
              <w:sz w:val="21"/>
              <w:szCs w:val="24"/>
              <w:highlight w:val="none"/>
              <w:lang w:val="en-US" w:eastAsia="en-US" w:bidi="ar-SA"/>
            </w:rPr>
            <w:fldChar w:fldCharType="separate"/>
          </w:r>
        </w:p>
        <w:p w14:paraId="17BD8BF5">
          <w:pPr>
            <w:pStyle w:val="11"/>
            <w:tabs>
              <w:tab w:val="right" w:leader="dot" w:pos="8797"/>
            </w:tabs>
            <w:rPr>
              <w:color w:val="auto"/>
              <w:highlight w:val="none"/>
            </w:rPr>
          </w:pPr>
          <w:r>
            <w:rPr>
              <w:rFonts w:ascii="宋体" w:hAnsi="宋体" w:eastAsia="宋体" w:cs="宋体"/>
              <w:snapToGrid w:val="0"/>
              <w:color w:val="auto"/>
              <w:kern w:val="0"/>
              <w:szCs w:val="24"/>
              <w:highlight w:val="none"/>
              <w:lang w:val="en-US" w:eastAsia="en-US" w:bidi="ar-SA"/>
            </w:rPr>
            <w:fldChar w:fldCharType="begin"/>
          </w:r>
          <w:r>
            <w:rPr>
              <w:rFonts w:ascii="宋体" w:hAnsi="宋体" w:eastAsia="宋体" w:cs="宋体"/>
              <w:snapToGrid w:val="0"/>
              <w:color w:val="auto"/>
              <w:kern w:val="0"/>
              <w:szCs w:val="24"/>
              <w:highlight w:val="none"/>
              <w:lang w:val="en-US" w:eastAsia="en-US" w:bidi="ar-SA"/>
            </w:rPr>
            <w:instrText xml:space="preserve"> HYPERLINK \l _Toc13917 </w:instrText>
          </w:r>
          <w:r>
            <w:rPr>
              <w:rFonts w:ascii="宋体" w:hAnsi="宋体" w:eastAsia="宋体" w:cs="宋体"/>
              <w:snapToGrid w:val="0"/>
              <w:color w:val="auto"/>
              <w:kern w:val="0"/>
              <w:szCs w:val="24"/>
              <w:highlight w:val="none"/>
              <w:lang w:val="en-US" w:eastAsia="en-US" w:bidi="ar-SA"/>
            </w:rPr>
            <w:fldChar w:fldCharType="separate"/>
          </w:r>
          <w:r>
            <w:rPr>
              <w:color w:val="auto"/>
              <w:szCs w:val="71"/>
              <w:highlight w:val="none"/>
            </w:rPr>
            <w:t>第一卷</w:t>
          </w:r>
          <w:r>
            <w:rPr>
              <w:color w:val="auto"/>
              <w:highlight w:val="none"/>
            </w:rPr>
            <w:tab/>
          </w:r>
          <w:r>
            <w:rPr>
              <w:color w:val="auto"/>
              <w:highlight w:val="none"/>
            </w:rPr>
            <w:fldChar w:fldCharType="begin"/>
          </w:r>
          <w:r>
            <w:rPr>
              <w:color w:val="auto"/>
              <w:highlight w:val="none"/>
            </w:rPr>
            <w:instrText xml:space="preserve"> PAGEREF _Toc13917 \h </w:instrText>
          </w:r>
          <w:r>
            <w:rPr>
              <w:color w:val="auto"/>
              <w:highlight w:val="none"/>
            </w:rPr>
            <w:fldChar w:fldCharType="separate"/>
          </w:r>
          <w:r>
            <w:rPr>
              <w:color w:val="auto"/>
              <w:highlight w:val="none"/>
            </w:rPr>
            <w:t>1</w:t>
          </w:r>
          <w:r>
            <w:rPr>
              <w:color w:val="auto"/>
              <w:highlight w:val="none"/>
            </w:rPr>
            <w:fldChar w:fldCharType="end"/>
          </w:r>
          <w:r>
            <w:rPr>
              <w:rFonts w:ascii="宋体" w:hAnsi="宋体" w:eastAsia="宋体" w:cs="宋体"/>
              <w:snapToGrid w:val="0"/>
              <w:color w:val="auto"/>
              <w:kern w:val="0"/>
              <w:szCs w:val="24"/>
              <w:highlight w:val="none"/>
              <w:lang w:val="en-US" w:eastAsia="en-US" w:bidi="ar-SA"/>
            </w:rPr>
            <w:fldChar w:fldCharType="end"/>
          </w:r>
        </w:p>
        <w:p w14:paraId="6803C679">
          <w:pPr>
            <w:pStyle w:val="10"/>
            <w:tabs>
              <w:tab w:val="right" w:leader="dot" w:pos="8797"/>
            </w:tabs>
            <w:ind w:firstLine="420" w:firstLineChars="200"/>
            <w:rPr>
              <w:color w:val="auto"/>
              <w:highlight w:val="none"/>
            </w:rPr>
          </w:pPr>
          <w:r>
            <w:rPr>
              <w:rFonts w:ascii="宋体" w:hAnsi="宋体" w:eastAsia="宋体" w:cs="宋体"/>
              <w:snapToGrid w:val="0"/>
              <w:color w:val="auto"/>
              <w:kern w:val="0"/>
              <w:szCs w:val="24"/>
              <w:highlight w:val="none"/>
              <w:lang w:val="en-US" w:eastAsia="en-US" w:bidi="ar-SA"/>
            </w:rPr>
            <w:fldChar w:fldCharType="begin"/>
          </w:r>
          <w:r>
            <w:rPr>
              <w:rFonts w:ascii="宋体" w:hAnsi="宋体" w:eastAsia="宋体" w:cs="宋体"/>
              <w:snapToGrid w:val="0"/>
              <w:color w:val="auto"/>
              <w:kern w:val="0"/>
              <w:szCs w:val="24"/>
              <w:highlight w:val="none"/>
              <w:lang w:val="en-US" w:eastAsia="en-US" w:bidi="ar-SA"/>
            </w:rPr>
            <w:instrText xml:space="preserve"> HYPERLINK \l _Toc25154 </w:instrText>
          </w:r>
          <w:r>
            <w:rPr>
              <w:rFonts w:ascii="宋体" w:hAnsi="宋体" w:eastAsia="宋体" w:cs="宋体"/>
              <w:snapToGrid w:val="0"/>
              <w:color w:val="auto"/>
              <w:kern w:val="0"/>
              <w:szCs w:val="24"/>
              <w:highlight w:val="none"/>
              <w:lang w:val="en-US" w:eastAsia="en-US" w:bidi="ar-SA"/>
            </w:rPr>
            <w:fldChar w:fldCharType="separate"/>
          </w:r>
          <w:r>
            <w:rPr>
              <w:rFonts w:ascii="宋体" w:hAnsi="宋体" w:eastAsia="宋体" w:cs="宋体"/>
              <w:bCs/>
              <w:color w:val="auto"/>
              <w:spacing w:val="5"/>
              <w:szCs w:val="31"/>
              <w:highlight w:val="none"/>
            </w:rPr>
            <w:t>第一章</w:t>
          </w:r>
          <w:r>
            <w:rPr>
              <w:rFonts w:ascii="宋体" w:hAnsi="宋体" w:eastAsia="宋体" w:cs="宋体"/>
              <w:color w:val="auto"/>
              <w:spacing w:val="5"/>
              <w:szCs w:val="31"/>
              <w:highlight w:val="none"/>
            </w:rPr>
            <w:t xml:space="preserve">  </w:t>
          </w:r>
          <w:r>
            <w:rPr>
              <w:rFonts w:ascii="宋体" w:hAnsi="宋体" w:eastAsia="宋体" w:cs="宋体"/>
              <w:bCs/>
              <w:color w:val="auto"/>
              <w:spacing w:val="5"/>
              <w:szCs w:val="31"/>
              <w:highlight w:val="none"/>
            </w:rPr>
            <w:t>招标公告</w:t>
          </w:r>
          <w:r>
            <w:rPr>
              <w:color w:val="auto"/>
              <w:highlight w:val="none"/>
            </w:rPr>
            <w:tab/>
          </w:r>
          <w:r>
            <w:rPr>
              <w:color w:val="auto"/>
              <w:highlight w:val="none"/>
            </w:rPr>
            <w:fldChar w:fldCharType="begin"/>
          </w:r>
          <w:r>
            <w:rPr>
              <w:color w:val="auto"/>
              <w:highlight w:val="none"/>
            </w:rPr>
            <w:instrText xml:space="preserve"> PAGEREF _Toc25154 \h </w:instrText>
          </w:r>
          <w:r>
            <w:rPr>
              <w:color w:val="auto"/>
              <w:highlight w:val="none"/>
            </w:rPr>
            <w:fldChar w:fldCharType="separate"/>
          </w:r>
          <w:r>
            <w:rPr>
              <w:color w:val="auto"/>
              <w:highlight w:val="none"/>
            </w:rPr>
            <w:t>3</w:t>
          </w:r>
          <w:r>
            <w:rPr>
              <w:color w:val="auto"/>
              <w:highlight w:val="none"/>
            </w:rPr>
            <w:fldChar w:fldCharType="end"/>
          </w:r>
          <w:r>
            <w:rPr>
              <w:rFonts w:ascii="宋体" w:hAnsi="宋体" w:eastAsia="宋体" w:cs="宋体"/>
              <w:snapToGrid w:val="0"/>
              <w:color w:val="auto"/>
              <w:kern w:val="0"/>
              <w:szCs w:val="24"/>
              <w:highlight w:val="none"/>
              <w:lang w:val="en-US" w:eastAsia="en-US" w:bidi="ar-SA"/>
            </w:rPr>
            <w:fldChar w:fldCharType="end"/>
          </w:r>
        </w:p>
        <w:p w14:paraId="67CB9536">
          <w:pPr>
            <w:pStyle w:val="10"/>
            <w:tabs>
              <w:tab w:val="right" w:leader="dot" w:pos="8797"/>
            </w:tabs>
            <w:ind w:firstLine="420" w:firstLineChars="200"/>
            <w:rPr>
              <w:color w:val="auto"/>
              <w:highlight w:val="none"/>
            </w:rPr>
          </w:pPr>
          <w:r>
            <w:rPr>
              <w:rFonts w:ascii="宋体" w:hAnsi="宋体" w:eastAsia="宋体" w:cs="宋体"/>
              <w:snapToGrid w:val="0"/>
              <w:color w:val="auto"/>
              <w:kern w:val="0"/>
              <w:szCs w:val="24"/>
              <w:highlight w:val="none"/>
              <w:lang w:val="en-US" w:eastAsia="en-US" w:bidi="ar-SA"/>
            </w:rPr>
            <w:fldChar w:fldCharType="begin"/>
          </w:r>
          <w:r>
            <w:rPr>
              <w:rFonts w:ascii="宋体" w:hAnsi="宋体" w:eastAsia="宋体" w:cs="宋体"/>
              <w:snapToGrid w:val="0"/>
              <w:color w:val="auto"/>
              <w:kern w:val="0"/>
              <w:szCs w:val="24"/>
              <w:highlight w:val="none"/>
              <w:lang w:val="en-US" w:eastAsia="en-US" w:bidi="ar-SA"/>
            </w:rPr>
            <w:instrText xml:space="preserve"> HYPERLINK \l _Toc5849 </w:instrText>
          </w:r>
          <w:r>
            <w:rPr>
              <w:rFonts w:ascii="宋体" w:hAnsi="宋体" w:eastAsia="宋体" w:cs="宋体"/>
              <w:snapToGrid w:val="0"/>
              <w:color w:val="auto"/>
              <w:kern w:val="0"/>
              <w:szCs w:val="24"/>
              <w:highlight w:val="none"/>
              <w:lang w:val="en-US" w:eastAsia="en-US" w:bidi="ar-SA"/>
            </w:rPr>
            <w:fldChar w:fldCharType="separate"/>
          </w:r>
          <w:r>
            <w:rPr>
              <w:rFonts w:ascii="宋体" w:hAnsi="宋体" w:eastAsia="宋体" w:cs="宋体"/>
              <w:bCs/>
              <w:color w:val="auto"/>
              <w:spacing w:val="-5"/>
              <w:szCs w:val="52"/>
              <w:highlight w:val="none"/>
            </w:rPr>
            <w:t>第二章</w:t>
          </w:r>
          <w:r>
            <w:rPr>
              <w:rFonts w:ascii="宋体" w:hAnsi="宋体" w:eastAsia="宋体" w:cs="宋体"/>
              <w:color w:val="auto"/>
              <w:spacing w:val="-5"/>
              <w:szCs w:val="52"/>
              <w:highlight w:val="none"/>
            </w:rPr>
            <w:t xml:space="preserve">  </w:t>
          </w:r>
          <w:r>
            <w:rPr>
              <w:rFonts w:ascii="宋体" w:hAnsi="宋体" w:eastAsia="宋体" w:cs="宋体"/>
              <w:bCs/>
              <w:color w:val="auto"/>
              <w:spacing w:val="-5"/>
              <w:szCs w:val="52"/>
              <w:highlight w:val="none"/>
            </w:rPr>
            <w:t>投标人须知</w:t>
          </w:r>
          <w:r>
            <w:rPr>
              <w:color w:val="auto"/>
              <w:highlight w:val="none"/>
            </w:rPr>
            <w:tab/>
          </w:r>
          <w:r>
            <w:rPr>
              <w:color w:val="auto"/>
              <w:highlight w:val="none"/>
            </w:rPr>
            <w:fldChar w:fldCharType="begin"/>
          </w:r>
          <w:r>
            <w:rPr>
              <w:color w:val="auto"/>
              <w:highlight w:val="none"/>
            </w:rPr>
            <w:instrText xml:space="preserve"> PAGEREF _Toc5849 \h </w:instrText>
          </w:r>
          <w:r>
            <w:rPr>
              <w:color w:val="auto"/>
              <w:highlight w:val="none"/>
            </w:rPr>
            <w:fldChar w:fldCharType="separate"/>
          </w:r>
          <w:r>
            <w:rPr>
              <w:color w:val="auto"/>
              <w:highlight w:val="none"/>
            </w:rPr>
            <w:t>10</w:t>
          </w:r>
          <w:r>
            <w:rPr>
              <w:color w:val="auto"/>
              <w:highlight w:val="none"/>
            </w:rPr>
            <w:fldChar w:fldCharType="end"/>
          </w:r>
          <w:r>
            <w:rPr>
              <w:rFonts w:ascii="宋体" w:hAnsi="宋体" w:eastAsia="宋体" w:cs="宋体"/>
              <w:snapToGrid w:val="0"/>
              <w:color w:val="auto"/>
              <w:kern w:val="0"/>
              <w:szCs w:val="24"/>
              <w:highlight w:val="none"/>
              <w:lang w:val="en-US" w:eastAsia="en-US" w:bidi="ar-SA"/>
            </w:rPr>
            <w:fldChar w:fldCharType="end"/>
          </w:r>
        </w:p>
        <w:p w14:paraId="12644DBF">
          <w:pPr>
            <w:pStyle w:val="10"/>
            <w:tabs>
              <w:tab w:val="right" w:leader="dot" w:pos="8797"/>
            </w:tabs>
            <w:ind w:firstLine="1260" w:firstLineChars="600"/>
            <w:rPr>
              <w:color w:val="auto"/>
              <w:highlight w:val="none"/>
            </w:rPr>
          </w:pPr>
          <w:r>
            <w:rPr>
              <w:rFonts w:ascii="宋体" w:hAnsi="宋体" w:eastAsia="宋体" w:cs="宋体"/>
              <w:snapToGrid w:val="0"/>
              <w:color w:val="auto"/>
              <w:kern w:val="0"/>
              <w:szCs w:val="24"/>
              <w:highlight w:val="none"/>
              <w:lang w:val="en-US" w:eastAsia="en-US" w:bidi="ar-SA"/>
            </w:rPr>
            <w:fldChar w:fldCharType="begin"/>
          </w:r>
          <w:r>
            <w:rPr>
              <w:rFonts w:ascii="宋体" w:hAnsi="宋体" w:eastAsia="宋体" w:cs="宋体"/>
              <w:snapToGrid w:val="0"/>
              <w:color w:val="auto"/>
              <w:kern w:val="0"/>
              <w:szCs w:val="24"/>
              <w:highlight w:val="none"/>
              <w:lang w:val="en-US" w:eastAsia="en-US" w:bidi="ar-SA"/>
            </w:rPr>
            <w:instrText xml:space="preserve"> HYPERLINK \l _Toc16541 </w:instrText>
          </w:r>
          <w:r>
            <w:rPr>
              <w:rFonts w:ascii="宋体" w:hAnsi="宋体" w:eastAsia="宋体" w:cs="宋体"/>
              <w:snapToGrid w:val="0"/>
              <w:color w:val="auto"/>
              <w:kern w:val="0"/>
              <w:szCs w:val="24"/>
              <w:highlight w:val="none"/>
              <w:lang w:val="en-US" w:eastAsia="en-US" w:bidi="ar-SA"/>
            </w:rPr>
            <w:fldChar w:fldCharType="separate"/>
          </w:r>
          <w:r>
            <w:rPr>
              <w:rFonts w:ascii="宋体" w:hAnsi="宋体" w:eastAsia="宋体" w:cs="宋体"/>
              <w:bCs/>
              <w:color w:val="auto"/>
              <w:spacing w:val="-3"/>
              <w:szCs w:val="24"/>
              <w:highlight w:val="none"/>
            </w:rPr>
            <w:t>投标人须知前附表</w:t>
          </w:r>
          <w:r>
            <w:rPr>
              <w:color w:val="auto"/>
              <w:highlight w:val="none"/>
            </w:rPr>
            <w:tab/>
          </w:r>
          <w:r>
            <w:rPr>
              <w:color w:val="auto"/>
              <w:highlight w:val="none"/>
            </w:rPr>
            <w:fldChar w:fldCharType="begin"/>
          </w:r>
          <w:r>
            <w:rPr>
              <w:color w:val="auto"/>
              <w:highlight w:val="none"/>
            </w:rPr>
            <w:instrText xml:space="preserve"> PAGEREF _Toc16541 \h </w:instrText>
          </w:r>
          <w:r>
            <w:rPr>
              <w:color w:val="auto"/>
              <w:highlight w:val="none"/>
            </w:rPr>
            <w:fldChar w:fldCharType="separate"/>
          </w:r>
          <w:r>
            <w:rPr>
              <w:color w:val="auto"/>
              <w:highlight w:val="none"/>
            </w:rPr>
            <w:t>11</w:t>
          </w:r>
          <w:r>
            <w:rPr>
              <w:color w:val="auto"/>
              <w:highlight w:val="none"/>
            </w:rPr>
            <w:fldChar w:fldCharType="end"/>
          </w:r>
          <w:r>
            <w:rPr>
              <w:rFonts w:ascii="宋体" w:hAnsi="宋体" w:eastAsia="宋体" w:cs="宋体"/>
              <w:snapToGrid w:val="0"/>
              <w:color w:val="auto"/>
              <w:kern w:val="0"/>
              <w:szCs w:val="24"/>
              <w:highlight w:val="none"/>
              <w:lang w:val="en-US" w:eastAsia="en-US" w:bidi="ar-SA"/>
            </w:rPr>
            <w:fldChar w:fldCharType="end"/>
          </w:r>
        </w:p>
        <w:p w14:paraId="5BB90DCC">
          <w:pPr>
            <w:pStyle w:val="11"/>
            <w:tabs>
              <w:tab w:val="right" w:leader="dot" w:pos="8797"/>
            </w:tabs>
            <w:rPr>
              <w:color w:val="auto"/>
              <w:highlight w:val="none"/>
            </w:rPr>
          </w:pPr>
          <w:r>
            <w:rPr>
              <w:rFonts w:ascii="宋体" w:hAnsi="宋体" w:eastAsia="宋体" w:cs="宋体"/>
              <w:snapToGrid w:val="0"/>
              <w:color w:val="auto"/>
              <w:kern w:val="0"/>
              <w:szCs w:val="24"/>
              <w:highlight w:val="none"/>
              <w:lang w:val="en-US" w:eastAsia="en-US" w:bidi="ar-SA"/>
            </w:rPr>
            <w:fldChar w:fldCharType="begin"/>
          </w:r>
          <w:r>
            <w:rPr>
              <w:rFonts w:ascii="宋体" w:hAnsi="宋体" w:eastAsia="宋体" w:cs="宋体"/>
              <w:snapToGrid w:val="0"/>
              <w:color w:val="auto"/>
              <w:kern w:val="0"/>
              <w:szCs w:val="24"/>
              <w:highlight w:val="none"/>
              <w:lang w:val="en-US" w:eastAsia="en-US" w:bidi="ar-SA"/>
            </w:rPr>
            <w:instrText xml:space="preserve"> HYPERLINK \l _Toc23645 </w:instrText>
          </w:r>
          <w:r>
            <w:rPr>
              <w:rFonts w:ascii="宋体" w:hAnsi="宋体" w:eastAsia="宋体" w:cs="宋体"/>
              <w:snapToGrid w:val="0"/>
              <w:color w:val="auto"/>
              <w:kern w:val="0"/>
              <w:szCs w:val="24"/>
              <w:highlight w:val="none"/>
              <w:lang w:val="en-US" w:eastAsia="en-US" w:bidi="ar-SA"/>
            </w:rPr>
            <w:fldChar w:fldCharType="separate"/>
          </w:r>
          <w:r>
            <w:rPr>
              <w:rFonts w:ascii="宋体" w:hAnsi="宋体" w:eastAsia="宋体" w:cs="宋体"/>
              <w:bCs/>
              <w:color w:val="auto"/>
              <w:spacing w:val="-6"/>
              <w:szCs w:val="28"/>
              <w:highlight w:val="none"/>
            </w:rPr>
            <w:t>附录1</w:t>
          </w:r>
          <w:r>
            <w:rPr>
              <w:rFonts w:ascii="宋体" w:hAnsi="宋体" w:eastAsia="宋体" w:cs="宋体"/>
              <w:color w:val="auto"/>
              <w:spacing w:val="-6"/>
              <w:szCs w:val="28"/>
              <w:highlight w:val="none"/>
            </w:rPr>
            <w:t xml:space="preserve">  </w:t>
          </w:r>
          <w:r>
            <w:rPr>
              <w:rFonts w:ascii="宋体" w:hAnsi="宋体" w:eastAsia="宋体" w:cs="宋体"/>
              <w:bCs/>
              <w:color w:val="auto"/>
              <w:spacing w:val="-6"/>
              <w:szCs w:val="28"/>
              <w:highlight w:val="none"/>
            </w:rPr>
            <w:t>资格审查条件（资质最低要求）</w:t>
          </w:r>
          <w:r>
            <w:rPr>
              <w:color w:val="auto"/>
              <w:highlight w:val="none"/>
            </w:rPr>
            <w:tab/>
          </w:r>
          <w:r>
            <w:rPr>
              <w:color w:val="auto"/>
              <w:highlight w:val="none"/>
            </w:rPr>
            <w:fldChar w:fldCharType="begin"/>
          </w:r>
          <w:r>
            <w:rPr>
              <w:color w:val="auto"/>
              <w:highlight w:val="none"/>
            </w:rPr>
            <w:instrText xml:space="preserve"> PAGEREF _Toc23645 \h </w:instrText>
          </w:r>
          <w:r>
            <w:rPr>
              <w:color w:val="auto"/>
              <w:highlight w:val="none"/>
            </w:rPr>
            <w:fldChar w:fldCharType="separate"/>
          </w:r>
          <w:r>
            <w:rPr>
              <w:color w:val="auto"/>
              <w:highlight w:val="none"/>
            </w:rPr>
            <w:t>27</w:t>
          </w:r>
          <w:r>
            <w:rPr>
              <w:color w:val="auto"/>
              <w:highlight w:val="none"/>
            </w:rPr>
            <w:fldChar w:fldCharType="end"/>
          </w:r>
          <w:r>
            <w:rPr>
              <w:rFonts w:ascii="宋体" w:hAnsi="宋体" w:eastAsia="宋体" w:cs="宋体"/>
              <w:snapToGrid w:val="0"/>
              <w:color w:val="auto"/>
              <w:kern w:val="0"/>
              <w:szCs w:val="24"/>
              <w:highlight w:val="none"/>
              <w:lang w:val="en-US" w:eastAsia="en-US" w:bidi="ar-SA"/>
            </w:rPr>
            <w:fldChar w:fldCharType="end"/>
          </w:r>
        </w:p>
        <w:p w14:paraId="095D4EBC">
          <w:pPr>
            <w:pStyle w:val="11"/>
            <w:tabs>
              <w:tab w:val="right" w:leader="dot" w:pos="8797"/>
            </w:tabs>
            <w:rPr>
              <w:color w:val="auto"/>
              <w:highlight w:val="none"/>
            </w:rPr>
          </w:pPr>
          <w:r>
            <w:rPr>
              <w:rFonts w:ascii="宋体" w:hAnsi="宋体" w:eastAsia="宋体" w:cs="宋体"/>
              <w:snapToGrid w:val="0"/>
              <w:color w:val="auto"/>
              <w:kern w:val="0"/>
              <w:szCs w:val="24"/>
              <w:highlight w:val="none"/>
              <w:lang w:val="en-US" w:eastAsia="en-US" w:bidi="ar-SA"/>
            </w:rPr>
            <w:fldChar w:fldCharType="begin"/>
          </w:r>
          <w:r>
            <w:rPr>
              <w:rFonts w:ascii="宋体" w:hAnsi="宋体" w:eastAsia="宋体" w:cs="宋体"/>
              <w:snapToGrid w:val="0"/>
              <w:color w:val="auto"/>
              <w:kern w:val="0"/>
              <w:szCs w:val="24"/>
              <w:highlight w:val="none"/>
              <w:lang w:val="en-US" w:eastAsia="en-US" w:bidi="ar-SA"/>
            </w:rPr>
            <w:instrText xml:space="preserve"> HYPERLINK \l _Toc15095 </w:instrText>
          </w:r>
          <w:r>
            <w:rPr>
              <w:rFonts w:ascii="宋体" w:hAnsi="宋体" w:eastAsia="宋体" w:cs="宋体"/>
              <w:snapToGrid w:val="0"/>
              <w:color w:val="auto"/>
              <w:kern w:val="0"/>
              <w:szCs w:val="24"/>
              <w:highlight w:val="none"/>
              <w:lang w:val="en-US" w:eastAsia="en-US" w:bidi="ar-SA"/>
            </w:rPr>
            <w:fldChar w:fldCharType="separate"/>
          </w:r>
          <w:r>
            <w:rPr>
              <w:rFonts w:ascii="宋体" w:hAnsi="宋体" w:eastAsia="宋体" w:cs="宋体"/>
              <w:bCs/>
              <w:color w:val="auto"/>
              <w:spacing w:val="-6"/>
              <w:szCs w:val="28"/>
              <w:highlight w:val="none"/>
            </w:rPr>
            <w:t xml:space="preserve">附录2 </w:t>
          </w:r>
          <w:r>
            <w:rPr>
              <w:rFonts w:hint="eastAsia" w:ascii="宋体" w:hAnsi="宋体" w:eastAsia="宋体" w:cs="宋体"/>
              <w:bCs/>
              <w:color w:val="auto"/>
              <w:spacing w:val="-6"/>
              <w:szCs w:val="28"/>
              <w:highlight w:val="none"/>
              <w:lang w:val="en-US" w:eastAsia="zh-CN"/>
            </w:rPr>
            <w:t xml:space="preserve"> </w:t>
          </w:r>
          <w:r>
            <w:rPr>
              <w:rFonts w:ascii="宋体" w:hAnsi="宋体" w:eastAsia="宋体" w:cs="宋体"/>
              <w:bCs/>
              <w:color w:val="auto"/>
              <w:spacing w:val="-6"/>
              <w:szCs w:val="28"/>
              <w:highlight w:val="none"/>
            </w:rPr>
            <w:t>资格审查条件（业绩最低要求）</w:t>
          </w:r>
          <w:r>
            <w:rPr>
              <w:color w:val="auto"/>
              <w:highlight w:val="none"/>
            </w:rPr>
            <w:tab/>
          </w:r>
          <w:r>
            <w:rPr>
              <w:color w:val="auto"/>
              <w:highlight w:val="none"/>
            </w:rPr>
            <w:fldChar w:fldCharType="begin"/>
          </w:r>
          <w:r>
            <w:rPr>
              <w:color w:val="auto"/>
              <w:highlight w:val="none"/>
            </w:rPr>
            <w:instrText xml:space="preserve"> PAGEREF _Toc15095 \h </w:instrText>
          </w:r>
          <w:r>
            <w:rPr>
              <w:color w:val="auto"/>
              <w:highlight w:val="none"/>
            </w:rPr>
            <w:fldChar w:fldCharType="separate"/>
          </w:r>
          <w:r>
            <w:rPr>
              <w:color w:val="auto"/>
              <w:highlight w:val="none"/>
            </w:rPr>
            <w:t>28</w:t>
          </w:r>
          <w:r>
            <w:rPr>
              <w:color w:val="auto"/>
              <w:highlight w:val="none"/>
            </w:rPr>
            <w:fldChar w:fldCharType="end"/>
          </w:r>
          <w:r>
            <w:rPr>
              <w:rFonts w:ascii="宋体" w:hAnsi="宋体" w:eastAsia="宋体" w:cs="宋体"/>
              <w:snapToGrid w:val="0"/>
              <w:color w:val="auto"/>
              <w:kern w:val="0"/>
              <w:szCs w:val="24"/>
              <w:highlight w:val="none"/>
              <w:lang w:val="en-US" w:eastAsia="en-US" w:bidi="ar-SA"/>
            </w:rPr>
            <w:fldChar w:fldCharType="end"/>
          </w:r>
        </w:p>
        <w:p w14:paraId="0059BBCA">
          <w:pPr>
            <w:pStyle w:val="11"/>
            <w:tabs>
              <w:tab w:val="right" w:leader="dot" w:pos="8797"/>
            </w:tabs>
            <w:rPr>
              <w:color w:val="auto"/>
              <w:highlight w:val="none"/>
            </w:rPr>
          </w:pPr>
          <w:r>
            <w:rPr>
              <w:rFonts w:ascii="宋体" w:hAnsi="宋体" w:eastAsia="宋体" w:cs="宋体"/>
              <w:snapToGrid w:val="0"/>
              <w:color w:val="auto"/>
              <w:kern w:val="0"/>
              <w:szCs w:val="24"/>
              <w:highlight w:val="none"/>
              <w:lang w:val="en-US" w:eastAsia="en-US" w:bidi="ar-SA"/>
            </w:rPr>
            <w:fldChar w:fldCharType="begin"/>
          </w:r>
          <w:r>
            <w:rPr>
              <w:rFonts w:ascii="宋体" w:hAnsi="宋体" w:eastAsia="宋体" w:cs="宋体"/>
              <w:snapToGrid w:val="0"/>
              <w:color w:val="auto"/>
              <w:kern w:val="0"/>
              <w:szCs w:val="24"/>
              <w:highlight w:val="none"/>
              <w:lang w:val="en-US" w:eastAsia="en-US" w:bidi="ar-SA"/>
            </w:rPr>
            <w:instrText xml:space="preserve"> HYPERLINK \l _Toc17736 </w:instrText>
          </w:r>
          <w:r>
            <w:rPr>
              <w:rFonts w:ascii="宋体" w:hAnsi="宋体" w:eastAsia="宋体" w:cs="宋体"/>
              <w:snapToGrid w:val="0"/>
              <w:color w:val="auto"/>
              <w:kern w:val="0"/>
              <w:szCs w:val="24"/>
              <w:highlight w:val="none"/>
              <w:lang w:val="en-US" w:eastAsia="en-US" w:bidi="ar-SA"/>
            </w:rPr>
            <w:fldChar w:fldCharType="separate"/>
          </w:r>
          <w:r>
            <w:rPr>
              <w:rFonts w:ascii="宋体" w:hAnsi="宋体" w:eastAsia="宋体" w:cs="宋体"/>
              <w:bCs/>
              <w:color w:val="auto"/>
              <w:spacing w:val="-6"/>
              <w:szCs w:val="28"/>
              <w:highlight w:val="none"/>
            </w:rPr>
            <w:t>附录3  资格审查条件（信誉最低要求）</w:t>
          </w:r>
          <w:r>
            <w:rPr>
              <w:color w:val="auto"/>
              <w:highlight w:val="none"/>
            </w:rPr>
            <w:tab/>
          </w:r>
          <w:r>
            <w:rPr>
              <w:color w:val="auto"/>
              <w:highlight w:val="none"/>
            </w:rPr>
            <w:fldChar w:fldCharType="begin"/>
          </w:r>
          <w:r>
            <w:rPr>
              <w:color w:val="auto"/>
              <w:highlight w:val="none"/>
            </w:rPr>
            <w:instrText xml:space="preserve"> PAGEREF _Toc17736 \h </w:instrText>
          </w:r>
          <w:r>
            <w:rPr>
              <w:color w:val="auto"/>
              <w:highlight w:val="none"/>
            </w:rPr>
            <w:fldChar w:fldCharType="separate"/>
          </w:r>
          <w:r>
            <w:rPr>
              <w:color w:val="auto"/>
              <w:highlight w:val="none"/>
            </w:rPr>
            <w:t>29</w:t>
          </w:r>
          <w:r>
            <w:rPr>
              <w:color w:val="auto"/>
              <w:highlight w:val="none"/>
            </w:rPr>
            <w:fldChar w:fldCharType="end"/>
          </w:r>
          <w:r>
            <w:rPr>
              <w:rFonts w:ascii="宋体" w:hAnsi="宋体" w:eastAsia="宋体" w:cs="宋体"/>
              <w:snapToGrid w:val="0"/>
              <w:color w:val="auto"/>
              <w:kern w:val="0"/>
              <w:szCs w:val="24"/>
              <w:highlight w:val="none"/>
              <w:lang w:val="en-US" w:eastAsia="en-US" w:bidi="ar-SA"/>
            </w:rPr>
            <w:fldChar w:fldCharType="end"/>
          </w:r>
        </w:p>
        <w:p w14:paraId="55F6C561">
          <w:pPr>
            <w:pStyle w:val="11"/>
            <w:tabs>
              <w:tab w:val="right" w:leader="dot" w:pos="8797"/>
            </w:tabs>
            <w:rPr>
              <w:color w:val="auto"/>
              <w:highlight w:val="none"/>
            </w:rPr>
          </w:pPr>
          <w:r>
            <w:rPr>
              <w:rFonts w:ascii="宋体" w:hAnsi="宋体" w:eastAsia="宋体" w:cs="宋体"/>
              <w:snapToGrid w:val="0"/>
              <w:color w:val="auto"/>
              <w:kern w:val="0"/>
              <w:szCs w:val="24"/>
              <w:highlight w:val="none"/>
              <w:lang w:val="en-US" w:eastAsia="en-US" w:bidi="ar-SA"/>
            </w:rPr>
            <w:fldChar w:fldCharType="begin"/>
          </w:r>
          <w:r>
            <w:rPr>
              <w:rFonts w:ascii="宋体" w:hAnsi="宋体" w:eastAsia="宋体" w:cs="宋体"/>
              <w:snapToGrid w:val="0"/>
              <w:color w:val="auto"/>
              <w:kern w:val="0"/>
              <w:szCs w:val="24"/>
              <w:highlight w:val="none"/>
              <w:lang w:val="en-US" w:eastAsia="en-US" w:bidi="ar-SA"/>
            </w:rPr>
            <w:instrText xml:space="preserve"> HYPERLINK \l _Toc16616 </w:instrText>
          </w:r>
          <w:r>
            <w:rPr>
              <w:rFonts w:ascii="宋体" w:hAnsi="宋体" w:eastAsia="宋体" w:cs="宋体"/>
              <w:snapToGrid w:val="0"/>
              <w:color w:val="auto"/>
              <w:kern w:val="0"/>
              <w:szCs w:val="24"/>
              <w:highlight w:val="none"/>
              <w:lang w:val="en-US" w:eastAsia="en-US" w:bidi="ar-SA"/>
            </w:rPr>
            <w:fldChar w:fldCharType="separate"/>
          </w:r>
          <w:r>
            <w:rPr>
              <w:rFonts w:ascii="宋体" w:hAnsi="宋体" w:eastAsia="宋体" w:cs="宋体"/>
              <w:bCs/>
              <w:color w:val="auto"/>
              <w:spacing w:val="-6"/>
              <w:szCs w:val="28"/>
              <w:highlight w:val="none"/>
            </w:rPr>
            <w:t>附录4  资格审查条件（总监理工程师最低要求）</w:t>
          </w:r>
          <w:r>
            <w:rPr>
              <w:color w:val="auto"/>
              <w:highlight w:val="none"/>
            </w:rPr>
            <w:tab/>
          </w:r>
          <w:r>
            <w:rPr>
              <w:color w:val="auto"/>
              <w:highlight w:val="none"/>
            </w:rPr>
            <w:fldChar w:fldCharType="begin"/>
          </w:r>
          <w:r>
            <w:rPr>
              <w:color w:val="auto"/>
              <w:highlight w:val="none"/>
            </w:rPr>
            <w:instrText xml:space="preserve"> PAGEREF _Toc16616 \h </w:instrText>
          </w:r>
          <w:r>
            <w:rPr>
              <w:color w:val="auto"/>
              <w:highlight w:val="none"/>
            </w:rPr>
            <w:fldChar w:fldCharType="separate"/>
          </w:r>
          <w:r>
            <w:rPr>
              <w:color w:val="auto"/>
              <w:highlight w:val="none"/>
            </w:rPr>
            <w:t>30</w:t>
          </w:r>
          <w:r>
            <w:rPr>
              <w:color w:val="auto"/>
              <w:highlight w:val="none"/>
            </w:rPr>
            <w:fldChar w:fldCharType="end"/>
          </w:r>
          <w:r>
            <w:rPr>
              <w:rFonts w:ascii="宋体" w:hAnsi="宋体" w:eastAsia="宋体" w:cs="宋体"/>
              <w:snapToGrid w:val="0"/>
              <w:color w:val="auto"/>
              <w:kern w:val="0"/>
              <w:szCs w:val="24"/>
              <w:highlight w:val="none"/>
              <w:lang w:val="en-US" w:eastAsia="en-US" w:bidi="ar-SA"/>
            </w:rPr>
            <w:fldChar w:fldCharType="end"/>
          </w:r>
        </w:p>
        <w:p w14:paraId="28A1C454">
          <w:pPr>
            <w:pStyle w:val="11"/>
            <w:tabs>
              <w:tab w:val="right" w:leader="dot" w:pos="8797"/>
            </w:tabs>
            <w:rPr>
              <w:color w:val="auto"/>
              <w:highlight w:val="none"/>
            </w:rPr>
          </w:pPr>
          <w:r>
            <w:rPr>
              <w:rFonts w:ascii="宋体" w:hAnsi="宋体" w:eastAsia="宋体" w:cs="宋体"/>
              <w:snapToGrid w:val="0"/>
              <w:color w:val="auto"/>
              <w:kern w:val="0"/>
              <w:szCs w:val="24"/>
              <w:highlight w:val="none"/>
              <w:lang w:val="en-US" w:eastAsia="en-US" w:bidi="ar-SA"/>
            </w:rPr>
            <w:fldChar w:fldCharType="begin"/>
          </w:r>
          <w:r>
            <w:rPr>
              <w:rFonts w:ascii="宋体" w:hAnsi="宋体" w:eastAsia="宋体" w:cs="宋体"/>
              <w:snapToGrid w:val="0"/>
              <w:color w:val="auto"/>
              <w:kern w:val="0"/>
              <w:szCs w:val="24"/>
              <w:highlight w:val="none"/>
              <w:lang w:val="en-US" w:eastAsia="en-US" w:bidi="ar-SA"/>
            </w:rPr>
            <w:instrText xml:space="preserve"> HYPERLINK \l _Toc11226 </w:instrText>
          </w:r>
          <w:r>
            <w:rPr>
              <w:rFonts w:ascii="宋体" w:hAnsi="宋体" w:eastAsia="宋体" w:cs="宋体"/>
              <w:snapToGrid w:val="0"/>
              <w:color w:val="auto"/>
              <w:kern w:val="0"/>
              <w:szCs w:val="24"/>
              <w:highlight w:val="none"/>
              <w:lang w:val="en-US" w:eastAsia="en-US" w:bidi="ar-SA"/>
            </w:rPr>
            <w:fldChar w:fldCharType="separate"/>
          </w:r>
          <w:r>
            <w:rPr>
              <w:rFonts w:ascii="宋体" w:hAnsi="宋体" w:eastAsia="宋体" w:cs="宋体"/>
              <w:bCs/>
              <w:color w:val="auto"/>
              <w:spacing w:val="-6"/>
              <w:szCs w:val="28"/>
              <w:highlight w:val="none"/>
            </w:rPr>
            <w:t>附录5  资格审查条件（其他主要监理人员最低要求）</w:t>
          </w:r>
          <w:r>
            <w:rPr>
              <w:color w:val="auto"/>
              <w:highlight w:val="none"/>
            </w:rPr>
            <w:tab/>
          </w:r>
          <w:r>
            <w:rPr>
              <w:color w:val="auto"/>
              <w:highlight w:val="none"/>
            </w:rPr>
            <w:fldChar w:fldCharType="begin"/>
          </w:r>
          <w:r>
            <w:rPr>
              <w:color w:val="auto"/>
              <w:highlight w:val="none"/>
            </w:rPr>
            <w:instrText xml:space="preserve"> PAGEREF _Toc11226 \h </w:instrText>
          </w:r>
          <w:r>
            <w:rPr>
              <w:color w:val="auto"/>
              <w:highlight w:val="none"/>
            </w:rPr>
            <w:fldChar w:fldCharType="separate"/>
          </w:r>
          <w:r>
            <w:rPr>
              <w:color w:val="auto"/>
              <w:highlight w:val="none"/>
            </w:rPr>
            <w:t>31</w:t>
          </w:r>
          <w:r>
            <w:rPr>
              <w:color w:val="auto"/>
              <w:highlight w:val="none"/>
            </w:rPr>
            <w:fldChar w:fldCharType="end"/>
          </w:r>
          <w:r>
            <w:rPr>
              <w:rFonts w:ascii="宋体" w:hAnsi="宋体" w:eastAsia="宋体" w:cs="宋体"/>
              <w:snapToGrid w:val="0"/>
              <w:color w:val="auto"/>
              <w:kern w:val="0"/>
              <w:szCs w:val="24"/>
              <w:highlight w:val="none"/>
              <w:lang w:val="en-US" w:eastAsia="en-US" w:bidi="ar-SA"/>
            </w:rPr>
            <w:fldChar w:fldCharType="end"/>
          </w:r>
        </w:p>
        <w:p w14:paraId="5D0DAD3B">
          <w:pPr>
            <w:pStyle w:val="10"/>
            <w:tabs>
              <w:tab w:val="right" w:leader="dot" w:pos="8797"/>
            </w:tabs>
            <w:rPr>
              <w:color w:val="auto"/>
              <w:highlight w:val="none"/>
            </w:rPr>
          </w:pPr>
          <w:r>
            <w:rPr>
              <w:rFonts w:ascii="宋体" w:hAnsi="宋体" w:eastAsia="宋体" w:cs="宋体"/>
              <w:snapToGrid w:val="0"/>
              <w:color w:val="auto"/>
              <w:kern w:val="0"/>
              <w:szCs w:val="24"/>
              <w:highlight w:val="none"/>
              <w:lang w:val="en-US" w:eastAsia="en-US" w:bidi="ar-SA"/>
            </w:rPr>
            <w:fldChar w:fldCharType="begin"/>
          </w:r>
          <w:r>
            <w:rPr>
              <w:rFonts w:ascii="宋体" w:hAnsi="宋体" w:eastAsia="宋体" w:cs="宋体"/>
              <w:snapToGrid w:val="0"/>
              <w:color w:val="auto"/>
              <w:kern w:val="0"/>
              <w:szCs w:val="24"/>
              <w:highlight w:val="none"/>
              <w:lang w:val="en-US" w:eastAsia="en-US" w:bidi="ar-SA"/>
            </w:rPr>
            <w:instrText xml:space="preserve"> HYPERLINK \l _Toc2340 </w:instrText>
          </w:r>
          <w:r>
            <w:rPr>
              <w:rFonts w:ascii="宋体" w:hAnsi="宋体" w:eastAsia="宋体" w:cs="宋体"/>
              <w:snapToGrid w:val="0"/>
              <w:color w:val="auto"/>
              <w:kern w:val="0"/>
              <w:szCs w:val="24"/>
              <w:highlight w:val="none"/>
              <w:lang w:val="en-US" w:eastAsia="en-US" w:bidi="ar-SA"/>
            </w:rPr>
            <w:fldChar w:fldCharType="separate"/>
          </w:r>
          <w:r>
            <w:rPr>
              <w:rFonts w:ascii="宋体" w:hAnsi="宋体" w:eastAsia="宋体" w:cs="宋体"/>
              <w:bCs/>
              <w:color w:val="auto"/>
              <w:spacing w:val="-15"/>
              <w:szCs w:val="28"/>
              <w:highlight w:val="none"/>
            </w:rPr>
            <w:t>1.</w:t>
          </w:r>
          <w:r>
            <w:rPr>
              <w:rFonts w:ascii="宋体" w:hAnsi="宋体" w:eastAsia="宋体" w:cs="宋体"/>
              <w:color w:val="auto"/>
              <w:spacing w:val="19"/>
              <w:szCs w:val="28"/>
              <w:highlight w:val="none"/>
            </w:rPr>
            <w:t xml:space="preserve"> </w:t>
          </w:r>
          <w:r>
            <w:rPr>
              <w:rFonts w:ascii="宋体" w:hAnsi="宋体" w:eastAsia="宋体" w:cs="宋体"/>
              <w:bCs/>
              <w:color w:val="auto"/>
              <w:spacing w:val="-15"/>
              <w:szCs w:val="28"/>
              <w:highlight w:val="none"/>
            </w:rPr>
            <w:t>总则</w:t>
          </w:r>
          <w:r>
            <w:rPr>
              <w:color w:val="auto"/>
              <w:highlight w:val="none"/>
            </w:rPr>
            <w:tab/>
          </w:r>
          <w:r>
            <w:rPr>
              <w:color w:val="auto"/>
              <w:highlight w:val="none"/>
            </w:rPr>
            <w:fldChar w:fldCharType="begin"/>
          </w:r>
          <w:r>
            <w:rPr>
              <w:color w:val="auto"/>
              <w:highlight w:val="none"/>
            </w:rPr>
            <w:instrText xml:space="preserve"> PAGEREF _Toc2340 \h </w:instrText>
          </w:r>
          <w:r>
            <w:rPr>
              <w:color w:val="auto"/>
              <w:highlight w:val="none"/>
            </w:rPr>
            <w:fldChar w:fldCharType="separate"/>
          </w:r>
          <w:r>
            <w:rPr>
              <w:color w:val="auto"/>
              <w:highlight w:val="none"/>
            </w:rPr>
            <w:t>33</w:t>
          </w:r>
          <w:r>
            <w:rPr>
              <w:color w:val="auto"/>
              <w:highlight w:val="none"/>
            </w:rPr>
            <w:fldChar w:fldCharType="end"/>
          </w:r>
          <w:r>
            <w:rPr>
              <w:rFonts w:ascii="宋体" w:hAnsi="宋体" w:eastAsia="宋体" w:cs="宋体"/>
              <w:snapToGrid w:val="0"/>
              <w:color w:val="auto"/>
              <w:kern w:val="0"/>
              <w:szCs w:val="24"/>
              <w:highlight w:val="none"/>
              <w:lang w:val="en-US" w:eastAsia="en-US" w:bidi="ar-SA"/>
            </w:rPr>
            <w:fldChar w:fldCharType="end"/>
          </w:r>
        </w:p>
        <w:p w14:paraId="48B19B0A">
          <w:pPr>
            <w:pStyle w:val="11"/>
            <w:tabs>
              <w:tab w:val="right" w:leader="dot" w:pos="8797"/>
            </w:tabs>
            <w:rPr>
              <w:color w:val="auto"/>
              <w:highlight w:val="none"/>
            </w:rPr>
          </w:pPr>
          <w:r>
            <w:rPr>
              <w:rFonts w:ascii="宋体" w:hAnsi="宋体" w:eastAsia="宋体" w:cs="宋体"/>
              <w:snapToGrid w:val="0"/>
              <w:color w:val="auto"/>
              <w:kern w:val="0"/>
              <w:szCs w:val="24"/>
              <w:highlight w:val="none"/>
              <w:lang w:val="en-US" w:eastAsia="en-US" w:bidi="ar-SA"/>
            </w:rPr>
            <w:fldChar w:fldCharType="begin"/>
          </w:r>
          <w:r>
            <w:rPr>
              <w:rFonts w:ascii="宋体" w:hAnsi="宋体" w:eastAsia="宋体" w:cs="宋体"/>
              <w:snapToGrid w:val="0"/>
              <w:color w:val="auto"/>
              <w:kern w:val="0"/>
              <w:szCs w:val="24"/>
              <w:highlight w:val="none"/>
              <w:lang w:val="en-US" w:eastAsia="en-US" w:bidi="ar-SA"/>
            </w:rPr>
            <w:instrText xml:space="preserve"> HYPERLINK \l _Toc14855 </w:instrText>
          </w:r>
          <w:r>
            <w:rPr>
              <w:rFonts w:ascii="宋体" w:hAnsi="宋体" w:eastAsia="宋体" w:cs="宋体"/>
              <w:snapToGrid w:val="0"/>
              <w:color w:val="auto"/>
              <w:kern w:val="0"/>
              <w:szCs w:val="24"/>
              <w:highlight w:val="none"/>
              <w:lang w:val="en-US" w:eastAsia="en-US" w:bidi="ar-SA"/>
            </w:rPr>
            <w:fldChar w:fldCharType="separate"/>
          </w:r>
          <w:r>
            <w:rPr>
              <w:rFonts w:ascii="宋体" w:hAnsi="宋体" w:eastAsia="宋体" w:cs="宋体"/>
              <w:bCs/>
              <w:color w:val="auto"/>
              <w:spacing w:val="-8"/>
              <w:szCs w:val="24"/>
              <w:highlight w:val="none"/>
            </w:rPr>
            <w:t>1.1</w:t>
          </w:r>
          <w:r>
            <w:rPr>
              <w:rFonts w:ascii="宋体" w:hAnsi="宋体" w:eastAsia="宋体" w:cs="宋体"/>
              <w:color w:val="auto"/>
              <w:spacing w:val="17"/>
              <w:szCs w:val="24"/>
              <w:highlight w:val="none"/>
            </w:rPr>
            <w:t xml:space="preserve"> </w:t>
          </w:r>
          <w:r>
            <w:rPr>
              <w:rFonts w:ascii="宋体" w:hAnsi="宋体" w:eastAsia="宋体" w:cs="宋体"/>
              <w:bCs/>
              <w:color w:val="auto"/>
              <w:spacing w:val="-8"/>
              <w:szCs w:val="24"/>
              <w:highlight w:val="none"/>
            </w:rPr>
            <w:t>项目概况</w:t>
          </w:r>
          <w:r>
            <w:rPr>
              <w:color w:val="auto"/>
              <w:highlight w:val="none"/>
            </w:rPr>
            <w:tab/>
          </w:r>
          <w:r>
            <w:rPr>
              <w:color w:val="auto"/>
              <w:highlight w:val="none"/>
            </w:rPr>
            <w:fldChar w:fldCharType="begin"/>
          </w:r>
          <w:r>
            <w:rPr>
              <w:color w:val="auto"/>
              <w:highlight w:val="none"/>
            </w:rPr>
            <w:instrText xml:space="preserve"> PAGEREF _Toc14855 \h </w:instrText>
          </w:r>
          <w:r>
            <w:rPr>
              <w:color w:val="auto"/>
              <w:highlight w:val="none"/>
            </w:rPr>
            <w:fldChar w:fldCharType="separate"/>
          </w:r>
          <w:r>
            <w:rPr>
              <w:color w:val="auto"/>
              <w:highlight w:val="none"/>
            </w:rPr>
            <w:t>33</w:t>
          </w:r>
          <w:r>
            <w:rPr>
              <w:color w:val="auto"/>
              <w:highlight w:val="none"/>
            </w:rPr>
            <w:fldChar w:fldCharType="end"/>
          </w:r>
          <w:r>
            <w:rPr>
              <w:rFonts w:ascii="宋体" w:hAnsi="宋体" w:eastAsia="宋体" w:cs="宋体"/>
              <w:snapToGrid w:val="0"/>
              <w:color w:val="auto"/>
              <w:kern w:val="0"/>
              <w:szCs w:val="24"/>
              <w:highlight w:val="none"/>
              <w:lang w:val="en-US" w:eastAsia="en-US" w:bidi="ar-SA"/>
            </w:rPr>
            <w:fldChar w:fldCharType="end"/>
          </w:r>
        </w:p>
        <w:p w14:paraId="7512A7A6">
          <w:pPr>
            <w:pStyle w:val="11"/>
            <w:tabs>
              <w:tab w:val="right" w:leader="dot" w:pos="8797"/>
            </w:tabs>
            <w:rPr>
              <w:color w:val="auto"/>
              <w:highlight w:val="none"/>
            </w:rPr>
          </w:pPr>
          <w:r>
            <w:rPr>
              <w:rFonts w:ascii="宋体" w:hAnsi="宋体" w:eastAsia="宋体" w:cs="宋体"/>
              <w:snapToGrid w:val="0"/>
              <w:color w:val="auto"/>
              <w:kern w:val="0"/>
              <w:szCs w:val="24"/>
              <w:highlight w:val="none"/>
              <w:lang w:val="en-US" w:eastAsia="en-US" w:bidi="ar-SA"/>
            </w:rPr>
            <w:fldChar w:fldCharType="begin"/>
          </w:r>
          <w:r>
            <w:rPr>
              <w:rFonts w:ascii="宋体" w:hAnsi="宋体" w:eastAsia="宋体" w:cs="宋体"/>
              <w:snapToGrid w:val="0"/>
              <w:color w:val="auto"/>
              <w:kern w:val="0"/>
              <w:szCs w:val="24"/>
              <w:highlight w:val="none"/>
              <w:lang w:val="en-US" w:eastAsia="en-US" w:bidi="ar-SA"/>
            </w:rPr>
            <w:instrText xml:space="preserve"> HYPERLINK \l _Toc17741 </w:instrText>
          </w:r>
          <w:r>
            <w:rPr>
              <w:rFonts w:ascii="宋体" w:hAnsi="宋体" w:eastAsia="宋体" w:cs="宋体"/>
              <w:snapToGrid w:val="0"/>
              <w:color w:val="auto"/>
              <w:kern w:val="0"/>
              <w:szCs w:val="24"/>
              <w:highlight w:val="none"/>
              <w:lang w:val="en-US" w:eastAsia="en-US" w:bidi="ar-SA"/>
            </w:rPr>
            <w:fldChar w:fldCharType="separate"/>
          </w:r>
          <w:r>
            <w:rPr>
              <w:rFonts w:ascii="宋体" w:hAnsi="宋体" w:eastAsia="宋体" w:cs="宋体"/>
              <w:bCs/>
              <w:color w:val="auto"/>
              <w:spacing w:val="-3"/>
              <w:szCs w:val="24"/>
              <w:highlight w:val="none"/>
            </w:rPr>
            <w:t>1.2</w:t>
          </w:r>
          <w:r>
            <w:rPr>
              <w:rFonts w:ascii="宋体" w:hAnsi="宋体" w:eastAsia="宋体" w:cs="宋体"/>
              <w:color w:val="auto"/>
              <w:spacing w:val="-3"/>
              <w:szCs w:val="24"/>
              <w:highlight w:val="none"/>
            </w:rPr>
            <w:t xml:space="preserve"> </w:t>
          </w:r>
          <w:r>
            <w:rPr>
              <w:rFonts w:ascii="宋体" w:hAnsi="宋体" w:eastAsia="宋体" w:cs="宋体"/>
              <w:bCs/>
              <w:color w:val="auto"/>
              <w:spacing w:val="-3"/>
              <w:szCs w:val="24"/>
              <w:highlight w:val="none"/>
            </w:rPr>
            <w:t>招标项目的资金来源和落实情况</w:t>
          </w:r>
          <w:r>
            <w:rPr>
              <w:color w:val="auto"/>
              <w:highlight w:val="none"/>
            </w:rPr>
            <w:tab/>
          </w:r>
          <w:r>
            <w:rPr>
              <w:color w:val="auto"/>
              <w:highlight w:val="none"/>
            </w:rPr>
            <w:fldChar w:fldCharType="begin"/>
          </w:r>
          <w:r>
            <w:rPr>
              <w:color w:val="auto"/>
              <w:highlight w:val="none"/>
            </w:rPr>
            <w:instrText xml:space="preserve"> PAGEREF _Toc17741 \h </w:instrText>
          </w:r>
          <w:r>
            <w:rPr>
              <w:color w:val="auto"/>
              <w:highlight w:val="none"/>
            </w:rPr>
            <w:fldChar w:fldCharType="separate"/>
          </w:r>
          <w:r>
            <w:rPr>
              <w:color w:val="auto"/>
              <w:highlight w:val="none"/>
            </w:rPr>
            <w:t>33</w:t>
          </w:r>
          <w:r>
            <w:rPr>
              <w:color w:val="auto"/>
              <w:highlight w:val="none"/>
            </w:rPr>
            <w:fldChar w:fldCharType="end"/>
          </w:r>
          <w:r>
            <w:rPr>
              <w:rFonts w:ascii="宋体" w:hAnsi="宋体" w:eastAsia="宋体" w:cs="宋体"/>
              <w:snapToGrid w:val="0"/>
              <w:color w:val="auto"/>
              <w:kern w:val="0"/>
              <w:szCs w:val="24"/>
              <w:highlight w:val="none"/>
              <w:lang w:val="en-US" w:eastAsia="en-US" w:bidi="ar-SA"/>
            </w:rPr>
            <w:fldChar w:fldCharType="end"/>
          </w:r>
        </w:p>
        <w:p w14:paraId="3DC75030">
          <w:pPr>
            <w:pStyle w:val="11"/>
            <w:tabs>
              <w:tab w:val="right" w:leader="dot" w:pos="8797"/>
            </w:tabs>
            <w:rPr>
              <w:color w:val="auto"/>
              <w:highlight w:val="none"/>
            </w:rPr>
          </w:pPr>
          <w:r>
            <w:rPr>
              <w:rFonts w:ascii="宋体" w:hAnsi="宋体" w:eastAsia="宋体" w:cs="宋体"/>
              <w:snapToGrid w:val="0"/>
              <w:color w:val="auto"/>
              <w:kern w:val="0"/>
              <w:szCs w:val="24"/>
              <w:highlight w:val="none"/>
              <w:lang w:val="en-US" w:eastAsia="en-US" w:bidi="ar-SA"/>
            </w:rPr>
            <w:fldChar w:fldCharType="begin"/>
          </w:r>
          <w:r>
            <w:rPr>
              <w:rFonts w:ascii="宋体" w:hAnsi="宋体" w:eastAsia="宋体" w:cs="宋体"/>
              <w:snapToGrid w:val="0"/>
              <w:color w:val="auto"/>
              <w:kern w:val="0"/>
              <w:szCs w:val="24"/>
              <w:highlight w:val="none"/>
              <w:lang w:val="en-US" w:eastAsia="en-US" w:bidi="ar-SA"/>
            </w:rPr>
            <w:instrText xml:space="preserve"> HYPERLINK \l _Toc8478 </w:instrText>
          </w:r>
          <w:r>
            <w:rPr>
              <w:rFonts w:ascii="宋体" w:hAnsi="宋体" w:eastAsia="宋体" w:cs="宋体"/>
              <w:snapToGrid w:val="0"/>
              <w:color w:val="auto"/>
              <w:kern w:val="0"/>
              <w:szCs w:val="24"/>
              <w:highlight w:val="none"/>
              <w:lang w:val="en-US" w:eastAsia="en-US" w:bidi="ar-SA"/>
            </w:rPr>
            <w:fldChar w:fldCharType="separate"/>
          </w:r>
          <w:r>
            <w:rPr>
              <w:rFonts w:ascii="宋体" w:hAnsi="宋体" w:eastAsia="宋体" w:cs="宋体"/>
              <w:bCs/>
              <w:color w:val="auto"/>
              <w:spacing w:val="-3"/>
              <w:szCs w:val="24"/>
              <w:highlight w:val="none"/>
            </w:rPr>
            <w:t>1.3</w:t>
          </w:r>
          <w:r>
            <w:rPr>
              <w:rFonts w:ascii="宋体" w:hAnsi="宋体" w:eastAsia="宋体" w:cs="宋体"/>
              <w:color w:val="auto"/>
              <w:spacing w:val="-3"/>
              <w:szCs w:val="24"/>
              <w:highlight w:val="none"/>
            </w:rPr>
            <w:t xml:space="preserve"> </w:t>
          </w:r>
          <w:r>
            <w:rPr>
              <w:rFonts w:ascii="宋体" w:hAnsi="宋体" w:eastAsia="宋体" w:cs="宋体"/>
              <w:bCs/>
              <w:color w:val="auto"/>
              <w:spacing w:val="-3"/>
              <w:szCs w:val="24"/>
              <w:highlight w:val="none"/>
            </w:rPr>
            <w:t>招标范围、监理服务期限、质量要求和安全目标</w:t>
          </w:r>
          <w:r>
            <w:rPr>
              <w:color w:val="auto"/>
              <w:highlight w:val="none"/>
            </w:rPr>
            <w:tab/>
          </w:r>
          <w:r>
            <w:rPr>
              <w:color w:val="auto"/>
              <w:highlight w:val="none"/>
            </w:rPr>
            <w:fldChar w:fldCharType="begin"/>
          </w:r>
          <w:r>
            <w:rPr>
              <w:color w:val="auto"/>
              <w:highlight w:val="none"/>
            </w:rPr>
            <w:instrText xml:space="preserve"> PAGEREF _Toc8478 \h </w:instrText>
          </w:r>
          <w:r>
            <w:rPr>
              <w:color w:val="auto"/>
              <w:highlight w:val="none"/>
            </w:rPr>
            <w:fldChar w:fldCharType="separate"/>
          </w:r>
          <w:r>
            <w:rPr>
              <w:color w:val="auto"/>
              <w:highlight w:val="none"/>
            </w:rPr>
            <w:t>33</w:t>
          </w:r>
          <w:r>
            <w:rPr>
              <w:color w:val="auto"/>
              <w:highlight w:val="none"/>
            </w:rPr>
            <w:fldChar w:fldCharType="end"/>
          </w:r>
          <w:r>
            <w:rPr>
              <w:rFonts w:ascii="宋体" w:hAnsi="宋体" w:eastAsia="宋体" w:cs="宋体"/>
              <w:snapToGrid w:val="0"/>
              <w:color w:val="auto"/>
              <w:kern w:val="0"/>
              <w:szCs w:val="24"/>
              <w:highlight w:val="none"/>
              <w:lang w:val="en-US" w:eastAsia="en-US" w:bidi="ar-SA"/>
            </w:rPr>
            <w:fldChar w:fldCharType="end"/>
          </w:r>
        </w:p>
        <w:p w14:paraId="008392D5">
          <w:pPr>
            <w:pStyle w:val="11"/>
            <w:tabs>
              <w:tab w:val="right" w:leader="dot" w:pos="8797"/>
            </w:tabs>
            <w:rPr>
              <w:color w:val="auto"/>
              <w:highlight w:val="none"/>
            </w:rPr>
          </w:pPr>
          <w:r>
            <w:rPr>
              <w:rFonts w:ascii="宋体" w:hAnsi="宋体" w:eastAsia="宋体" w:cs="宋体"/>
              <w:snapToGrid w:val="0"/>
              <w:color w:val="auto"/>
              <w:kern w:val="0"/>
              <w:szCs w:val="24"/>
              <w:highlight w:val="none"/>
              <w:lang w:val="en-US" w:eastAsia="en-US" w:bidi="ar-SA"/>
            </w:rPr>
            <w:fldChar w:fldCharType="begin"/>
          </w:r>
          <w:r>
            <w:rPr>
              <w:rFonts w:ascii="宋体" w:hAnsi="宋体" w:eastAsia="宋体" w:cs="宋体"/>
              <w:snapToGrid w:val="0"/>
              <w:color w:val="auto"/>
              <w:kern w:val="0"/>
              <w:szCs w:val="24"/>
              <w:highlight w:val="none"/>
              <w:lang w:val="en-US" w:eastAsia="en-US" w:bidi="ar-SA"/>
            </w:rPr>
            <w:instrText xml:space="preserve"> HYPERLINK \l _Toc20082 </w:instrText>
          </w:r>
          <w:r>
            <w:rPr>
              <w:rFonts w:ascii="宋体" w:hAnsi="宋体" w:eastAsia="宋体" w:cs="宋体"/>
              <w:snapToGrid w:val="0"/>
              <w:color w:val="auto"/>
              <w:kern w:val="0"/>
              <w:szCs w:val="24"/>
              <w:highlight w:val="none"/>
              <w:lang w:val="en-US" w:eastAsia="en-US" w:bidi="ar-SA"/>
            </w:rPr>
            <w:fldChar w:fldCharType="separate"/>
          </w:r>
          <w:r>
            <w:rPr>
              <w:rFonts w:ascii="宋体" w:hAnsi="宋体" w:eastAsia="宋体" w:cs="宋体"/>
              <w:bCs/>
              <w:color w:val="auto"/>
              <w:spacing w:val="-4"/>
              <w:szCs w:val="24"/>
              <w:highlight w:val="none"/>
            </w:rPr>
            <w:t>1.4</w:t>
          </w:r>
          <w:r>
            <w:rPr>
              <w:rFonts w:ascii="宋体" w:hAnsi="宋体" w:eastAsia="宋体" w:cs="宋体"/>
              <w:color w:val="auto"/>
              <w:spacing w:val="-4"/>
              <w:szCs w:val="24"/>
              <w:highlight w:val="none"/>
            </w:rPr>
            <w:t xml:space="preserve"> </w:t>
          </w:r>
          <w:r>
            <w:rPr>
              <w:rFonts w:ascii="宋体" w:hAnsi="宋体" w:eastAsia="宋体" w:cs="宋体"/>
              <w:bCs/>
              <w:color w:val="auto"/>
              <w:spacing w:val="-4"/>
              <w:szCs w:val="24"/>
              <w:highlight w:val="none"/>
            </w:rPr>
            <w:t>投标人资格要求</w:t>
          </w:r>
          <w:r>
            <w:rPr>
              <w:color w:val="auto"/>
              <w:highlight w:val="none"/>
            </w:rPr>
            <w:tab/>
          </w:r>
          <w:r>
            <w:rPr>
              <w:color w:val="auto"/>
              <w:highlight w:val="none"/>
            </w:rPr>
            <w:fldChar w:fldCharType="begin"/>
          </w:r>
          <w:r>
            <w:rPr>
              <w:color w:val="auto"/>
              <w:highlight w:val="none"/>
            </w:rPr>
            <w:instrText xml:space="preserve"> PAGEREF _Toc20082 \h </w:instrText>
          </w:r>
          <w:r>
            <w:rPr>
              <w:color w:val="auto"/>
              <w:highlight w:val="none"/>
            </w:rPr>
            <w:fldChar w:fldCharType="separate"/>
          </w:r>
          <w:r>
            <w:rPr>
              <w:color w:val="auto"/>
              <w:highlight w:val="none"/>
            </w:rPr>
            <w:t>33</w:t>
          </w:r>
          <w:r>
            <w:rPr>
              <w:color w:val="auto"/>
              <w:highlight w:val="none"/>
            </w:rPr>
            <w:fldChar w:fldCharType="end"/>
          </w:r>
          <w:r>
            <w:rPr>
              <w:rFonts w:ascii="宋体" w:hAnsi="宋体" w:eastAsia="宋体" w:cs="宋体"/>
              <w:snapToGrid w:val="0"/>
              <w:color w:val="auto"/>
              <w:kern w:val="0"/>
              <w:szCs w:val="24"/>
              <w:highlight w:val="none"/>
              <w:lang w:val="en-US" w:eastAsia="en-US" w:bidi="ar-SA"/>
            </w:rPr>
            <w:fldChar w:fldCharType="end"/>
          </w:r>
        </w:p>
        <w:p w14:paraId="64A91581">
          <w:pPr>
            <w:pStyle w:val="11"/>
            <w:tabs>
              <w:tab w:val="right" w:leader="dot" w:pos="8797"/>
            </w:tabs>
            <w:rPr>
              <w:color w:val="auto"/>
              <w:highlight w:val="none"/>
            </w:rPr>
          </w:pPr>
          <w:r>
            <w:rPr>
              <w:rFonts w:ascii="宋体" w:hAnsi="宋体" w:eastAsia="宋体" w:cs="宋体"/>
              <w:snapToGrid w:val="0"/>
              <w:color w:val="auto"/>
              <w:kern w:val="0"/>
              <w:szCs w:val="24"/>
              <w:highlight w:val="none"/>
              <w:lang w:val="en-US" w:eastAsia="en-US" w:bidi="ar-SA"/>
            </w:rPr>
            <w:fldChar w:fldCharType="begin"/>
          </w:r>
          <w:r>
            <w:rPr>
              <w:rFonts w:ascii="宋体" w:hAnsi="宋体" w:eastAsia="宋体" w:cs="宋体"/>
              <w:snapToGrid w:val="0"/>
              <w:color w:val="auto"/>
              <w:kern w:val="0"/>
              <w:szCs w:val="24"/>
              <w:highlight w:val="none"/>
              <w:lang w:val="en-US" w:eastAsia="en-US" w:bidi="ar-SA"/>
            </w:rPr>
            <w:instrText xml:space="preserve"> HYPERLINK \l _Toc5901 </w:instrText>
          </w:r>
          <w:r>
            <w:rPr>
              <w:rFonts w:ascii="宋体" w:hAnsi="宋体" w:eastAsia="宋体" w:cs="宋体"/>
              <w:snapToGrid w:val="0"/>
              <w:color w:val="auto"/>
              <w:kern w:val="0"/>
              <w:szCs w:val="24"/>
              <w:highlight w:val="none"/>
              <w:lang w:val="en-US" w:eastAsia="en-US" w:bidi="ar-SA"/>
            </w:rPr>
            <w:fldChar w:fldCharType="separate"/>
          </w:r>
          <w:r>
            <w:rPr>
              <w:rFonts w:ascii="宋体" w:hAnsi="宋体" w:eastAsia="宋体" w:cs="宋体"/>
              <w:bCs/>
              <w:color w:val="auto"/>
              <w:spacing w:val="-9"/>
              <w:szCs w:val="24"/>
              <w:highlight w:val="none"/>
            </w:rPr>
            <w:t>1.5</w:t>
          </w:r>
          <w:r>
            <w:rPr>
              <w:rFonts w:ascii="宋体" w:hAnsi="宋体" w:eastAsia="宋体" w:cs="宋体"/>
              <w:color w:val="auto"/>
              <w:spacing w:val="24"/>
              <w:szCs w:val="24"/>
              <w:highlight w:val="none"/>
            </w:rPr>
            <w:t xml:space="preserve"> </w:t>
          </w:r>
          <w:r>
            <w:rPr>
              <w:rFonts w:ascii="宋体" w:hAnsi="宋体" w:eastAsia="宋体" w:cs="宋体"/>
              <w:bCs/>
              <w:color w:val="auto"/>
              <w:spacing w:val="-9"/>
              <w:szCs w:val="24"/>
              <w:highlight w:val="none"/>
            </w:rPr>
            <w:t>费用承担</w:t>
          </w:r>
          <w:r>
            <w:rPr>
              <w:color w:val="auto"/>
              <w:highlight w:val="none"/>
            </w:rPr>
            <w:tab/>
          </w:r>
          <w:r>
            <w:rPr>
              <w:color w:val="auto"/>
              <w:highlight w:val="none"/>
            </w:rPr>
            <w:fldChar w:fldCharType="begin"/>
          </w:r>
          <w:r>
            <w:rPr>
              <w:color w:val="auto"/>
              <w:highlight w:val="none"/>
            </w:rPr>
            <w:instrText xml:space="preserve"> PAGEREF _Toc5901 \h </w:instrText>
          </w:r>
          <w:r>
            <w:rPr>
              <w:color w:val="auto"/>
              <w:highlight w:val="none"/>
            </w:rPr>
            <w:fldChar w:fldCharType="separate"/>
          </w:r>
          <w:r>
            <w:rPr>
              <w:color w:val="auto"/>
              <w:highlight w:val="none"/>
            </w:rPr>
            <w:t>35</w:t>
          </w:r>
          <w:r>
            <w:rPr>
              <w:color w:val="auto"/>
              <w:highlight w:val="none"/>
            </w:rPr>
            <w:fldChar w:fldCharType="end"/>
          </w:r>
          <w:r>
            <w:rPr>
              <w:rFonts w:ascii="宋体" w:hAnsi="宋体" w:eastAsia="宋体" w:cs="宋体"/>
              <w:snapToGrid w:val="0"/>
              <w:color w:val="auto"/>
              <w:kern w:val="0"/>
              <w:szCs w:val="24"/>
              <w:highlight w:val="none"/>
              <w:lang w:val="en-US" w:eastAsia="en-US" w:bidi="ar-SA"/>
            </w:rPr>
            <w:fldChar w:fldCharType="end"/>
          </w:r>
        </w:p>
        <w:p w14:paraId="692D29C1">
          <w:pPr>
            <w:pStyle w:val="11"/>
            <w:tabs>
              <w:tab w:val="right" w:leader="dot" w:pos="8797"/>
            </w:tabs>
            <w:rPr>
              <w:color w:val="auto"/>
              <w:highlight w:val="none"/>
            </w:rPr>
          </w:pPr>
          <w:r>
            <w:rPr>
              <w:rFonts w:ascii="宋体" w:hAnsi="宋体" w:eastAsia="宋体" w:cs="宋体"/>
              <w:snapToGrid w:val="0"/>
              <w:color w:val="auto"/>
              <w:kern w:val="0"/>
              <w:szCs w:val="24"/>
              <w:highlight w:val="none"/>
              <w:lang w:val="en-US" w:eastAsia="en-US" w:bidi="ar-SA"/>
            </w:rPr>
            <w:fldChar w:fldCharType="begin"/>
          </w:r>
          <w:r>
            <w:rPr>
              <w:rFonts w:ascii="宋体" w:hAnsi="宋体" w:eastAsia="宋体" w:cs="宋体"/>
              <w:snapToGrid w:val="0"/>
              <w:color w:val="auto"/>
              <w:kern w:val="0"/>
              <w:szCs w:val="24"/>
              <w:highlight w:val="none"/>
              <w:lang w:val="en-US" w:eastAsia="en-US" w:bidi="ar-SA"/>
            </w:rPr>
            <w:instrText xml:space="preserve"> HYPERLINK \l _Toc21156 </w:instrText>
          </w:r>
          <w:r>
            <w:rPr>
              <w:rFonts w:ascii="宋体" w:hAnsi="宋体" w:eastAsia="宋体" w:cs="宋体"/>
              <w:snapToGrid w:val="0"/>
              <w:color w:val="auto"/>
              <w:kern w:val="0"/>
              <w:szCs w:val="24"/>
              <w:highlight w:val="none"/>
              <w:lang w:val="en-US" w:eastAsia="en-US" w:bidi="ar-SA"/>
            </w:rPr>
            <w:fldChar w:fldCharType="separate"/>
          </w:r>
          <w:r>
            <w:rPr>
              <w:rFonts w:ascii="宋体" w:hAnsi="宋体" w:eastAsia="宋体" w:cs="宋体"/>
              <w:bCs/>
              <w:color w:val="auto"/>
              <w:spacing w:val="-10"/>
              <w:szCs w:val="24"/>
              <w:highlight w:val="none"/>
            </w:rPr>
            <w:t>1.6</w:t>
          </w:r>
          <w:r>
            <w:rPr>
              <w:rFonts w:ascii="宋体" w:hAnsi="宋体" w:eastAsia="宋体" w:cs="宋体"/>
              <w:color w:val="auto"/>
              <w:spacing w:val="14"/>
              <w:szCs w:val="24"/>
              <w:highlight w:val="none"/>
            </w:rPr>
            <w:t xml:space="preserve"> </w:t>
          </w:r>
          <w:r>
            <w:rPr>
              <w:rFonts w:ascii="宋体" w:hAnsi="宋体" w:eastAsia="宋体" w:cs="宋体"/>
              <w:bCs/>
              <w:color w:val="auto"/>
              <w:spacing w:val="-10"/>
              <w:szCs w:val="24"/>
              <w:highlight w:val="none"/>
            </w:rPr>
            <w:t>保密</w:t>
          </w:r>
          <w:r>
            <w:rPr>
              <w:color w:val="auto"/>
              <w:highlight w:val="none"/>
            </w:rPr>
            <w:tab/>
          </w:r>
          <w:r>
            <w:rPr>
              <w:color w:val="auto"/>
              <w:highlight w:val="none"/>
            </w:rPr>
            <w:fldChar w:fldCharType="begin"/>
          </w:r>
          <w:r>
            <w:rPr>
              <w:color w:val="auto"/>
              <w:highlight w:val="none"/>
            </w:rPr>
            <w:instrText xml:space="preserve"> PAGEREF _Toc21156 \h </w:instrText>
          </w:r>
          <w:r>
            <w:rPr>
              <w:color w:val="auto"/>
              <w:highlight w:val="none"/>
            </w:rPr>
            <w:fldChar w:fldCharType="separate"/>
          </w:r>
          <w:r>
            <w:rPr>
              <w:color w:val="auto"/>
              <w:highlight w:val="none"/>
            </w:rPr>
            <w:t>35</w:t>
          </w:r>
          <w:r>
            <w:rPr>
              <w:color w:val="auto"/>
              <w:highlight w:val="none"/>
            </w:rPr>
            <w:fldChar w:fldCharType="end"/>
          </w:r>
          <w:r>
            <w:rPr>
              <w:rFonts w:ascii="宋体" w:hAnsi="宋体" w:eastAsia="宋体" w:cs="宋体"/>
              <w:snapToGrid w:val="0"/>
              <w:color w:val="auto"/>
              <w:kern w:val="0"/>
              <w:szCs w:val="24"/>
              <w:highlight w:val="none"/>
              <w:lang w:val="en-US" w:eastAsia="en-US" w:bidi="ar-SA"/>
            </w:rPr>
            <w:fldChar w:fldCharType="end"/>
          </w:r>
        </w:p>
        <w:p w14:paraId="520F72C7">
          <w:pPr>
            <w:pStyle w:val="11"/>
            <w:tabs>
              <w:tab w:val="right" w:leader="dot" w:pos="8797"/>
            </w:tabs>
            <w:rPr>
              <w:color w:val="auto"/>
              <w:highlight w:val="none"/>
            </w:rPr>
          </w:pPr>
          <w:r>
            <w:rPr>
              <w:rFonts w:ascii="宋体" w:hAnsi="宋体" w:eastAsia="宋体" w:cs="宋体"/>
              <w:snapToGrid w:val="0"/>
              <w:color w:val="auto"/>
              <w:kern w:val="0"/>
              <w:szCs w:val="24"/>
              <w:highlight w:val="none"/>
              <w:lang w:val="en-US" w:eastAsia="en-US" w:bidi="ar-SA"/>
            </w:rPr>
            <w:fldChar w:fldCharType="begin"/>
          </w:r>
          <w:r>
            <w:rPr>
              <w:rFonts w:ascii="宋体" w:hAnsi="宋体" w:eastAsia="宋体" w:cs="宋体"/>
              <w:snapToGrid w:val="0"/>
              <w:color w:val="auto"/>
              <w:kern w:val="0"/>
              <w:szCs w:val="24"/>
              <w:highlight w:val="none"/>
              <w:lang w:val="en-US" w:eastAsia="en-US" w:bidi="ar-SA"/>
            </w:rPr>
            <w:instrText xml:space="preserve"> HYPERLINK \l _Toc2585 </w:instrText>
          </w:r>
          <w:r>
            <w:rPr>
              <w:rFonts w:ascii="宋体" w:hAnsi="宋体" w:eastAsia="宋体" w:cs="宋体"/>
              <w:snapToGrid w:val="0"/>
              <w:color w:val="auto"/>
              <w:kern w:val="0"/>
              <w:szCs w:val="24"/>
              <w:highlight w:val="none"/>
              <w:lang w:val="en-US" w:eastAsia="en-US" w:bidi="ar-SA"/>
            </w:rPr>
            <w:fldChar w:fldCharType="separate"/>
          </w:r>
          <w:r>
            <w:rPr>
              <w:rFonts w:ascii="宋体" w:hAnsi="宋体" w:eastAsia="宋体" w:cs="宋体"/>
              <w:bCs/>
              <w:color w:val="auto"/>
              <w:spacing w:val="-8"/>
              <w:szCs w:val="24"/>
              <w:highlight w:val="none"/>
            </w:rPr>
            <w:t>1.7</w:t>
          </w:r>
          <w:r>
            <w:rPr>
              <w:rFonts w:ascii="宋体" w:hAnsi="宋体" w:eastAsia="宋体" w:cs="宋体"/>
              <w:color w:val="auto"/>
              <w:spacing w:val="17"/>
              <w:szCs w:val="24"/>
              <w:highlight w:val="none"/>
            </w:rPr>
            <w:t xml:space="preserve"> </w:t>
          </w:r>
          <w:r>
            <w:rPr>
              <w:rFonts w:ascii="宋体" w:hAnsi="宋体" w:eastAsia="宋体" w:cs="宋体"/>
              <w:bCs/>
              <w:color w:val="auto"/>
              <w:spacing w:val="-8"/>
              <w:szCs w:val="24"/>
              <w:highlight w:val="none"/>
            </w:rPr>
            <w:t>语言文字</w:t>
          </w:r>
          <w:r>
            <w:rPr>
              <w:color w:val="auto"/>
              <w:highlight w:val="none"/>
            </w:rPr>
            <w:tab/>
          </w:r>
          <w:r>
            <w:rPr>
              <w:color w:val="auto"/>
              <w:highlight w:val="none"/>
            </w:rPr>
            <w:fldChar w:fldCharType="begin"/>
          </w:r>
          <w:r>
            <w:rPr>
              <w:color w:val="auto"/>
              <w:highlight w:val="none"/>
            </w:rPr>
            <w:instrText xml:space="preserve"> PAGEREF _Toc2585 \h </w:instrText>
          </w:r>
          <w:r>
            <w:rPr>
              <w:color w:val="auto"/>
              <w:highlight w:val="none"/>
            </w:rPr>
            <w:fldChar w:fldCharType="separate"/>
          </w:r>
          <w:r>
            <w:rPr>
              <w:color w:val="auto"/>
              <w:highlight w:val="none"/>
            </w:rPr>
            <w:t>35</w:t>
          </w:r>
          <w:r>
            <w:rPr>
              <w:color w:val="auto"/>
              <w:highlight w:val="none"/>
            </w:rPr>
            <w:fldChar w:fldCharType="end"/>
          </w:r>
          <w:r>
            <w:rPr>
              <w:rFonts w:ascii="宋体" w:hAnsi="宋体" w:eastAsia="宋体" w:cs="宋体"/>
              <w:snapToGrid w:val="0"/>
              <w:color w:val="auto"/>
              <w:kern w:val="0"/>
              <w:szCs w:val="24"/>
              <w:highlight w:val="none"/>
              <w:lang w:val="en-US" w:eastAsia="en-US" w:bidi="ar-SA"/>
            </w:rPr>
            <w:fldChar w:fldCharType="end"/>
          </w:r>
        </w:p>
        <w:p w14:paraId="28902376">
          <w:pPr>
            <w:pStyle w:val="11"/>
            <w:tabs>
              <w:tab w:val="right" w:leader="dot" w:pos="8797"/>
            </w:tabs>
            <w:rPr>
              <w:color w:val="auto"/>
              <w:highlight w:val="none"/>
            </w:rPr>
          </w:pPr>
          <w:r>
            <w:rPr>
              <w:rFonts w:ascii="宋体" w:hAnsi="宋体" w:eastAsia="宋体" w:cs="宋体"/>
              <w:snapToGrid w:val="0"/>
              <w:color w:val="auto"/>
              <w:kern w:val="0"/>
              <w:szCs w:val="24"/>
              <w:highlight w:val="none"/>
              <w:lang w:val="en-US" w:eastAsia="en-US" w:bidi="ar-SA"/>
            </w:rPr>
            <w:fldChar w:fldCharType="begin"/>
          </w:r>
          <w:r>
            <w:rPr>
              <w:rFonts w:ascii="宋体" w:hAnsi="宋体" w:eastAsia="宋体" w:cs="宋体"/>
              <w:snapToGrid w:val="0"/>
              <w:color w:val="auto"/>
              <w:kern w:val="0"/>
              <w:szCs w:val="24"/>
              <w:highlight w:val="none"/>
              <w:lang w:val="en-US" w:eastAsia="en-US" w:bidi="ar-SA"/>
            </w:rPr>
            <w:instrText xml:space="preserve"> HYPERLINK \l _Toc26049 </w:instrText>
          </w:r>
          <w:r>
            <w:rPr>
              <w:rFonts w:ascii="宋体" w:hAnsi="宋体" w:eastAsia="宋体" w:cs="宋体"/>
              <w:snapToGrid w:val="0"/>
              <w:color w:val="auto"/>
              <w:kern w:val="0"/>
              <w:szCs w:val="24"/>
              <w:highlight w:val="none"/>
              <w:lang w:val="en-US" w:eastAsia="en-US" w:bidi="ar-SA"/>
            </w:rPr>
            <w:fldChar w:fldCharType="separate"/>
          </w:r>
          <w:r>
            <w:rPr>
              <w:rFonts w:ascii="宋体" w:hAnsi="宋体" w:eastAsia="宋体" w:cs="宋体"/>
              <w:bCs/>
              <w:color w:val="auto"/>
              <w:spacing w:val="-8"/>
              <w:szCs w:val="24"/>
              <w:highlight w:val="none"/>
            </w:rPr>
            <w:t>1.8</w:t>
          </w:r>
          <w:r>
            <w:rPr>
              <w:rFonts w:ascii="宋体" w:hAnsi="宋体" w:eastAsia="宋体" w:cs="宋体"/>
              <w:color w:val="auto"/>
              <w:spacing w:val="17"/>
              <w:szCs w:val="24"/>
              <w:highlight w:val="none"/>
            </w:rPr>
            <w:t xml:space="preserve"> </w:t>
          </w:r>
          <w:r>
            <w:rPr>
              <w:rFonts w:ascii="宋体" w:hAnsi="宋体" w:eastAsia="宋体" w:cs="宋体"/>
              <w:bCs/>
              <w:color w:val="auto"/>
              <w:spacing w:val="-8"/>
              <w:szCs w:val="24"/>
              <w:highlight w:val="none"/>
            </w:rPr>
            <w:t>计量单位</w:t>
          </w:r>
          <w:r>
            <w:rPr>
              <w:color w:val="auto"/>
              <w:highlight w:val="none"/>
            </w:rPr>
            <w:tab/>
          </w:r>
          <w:r>
            <w:rPr>
              <w:color w:val="auto"/>
              <w:highlight w:val="none"/>
            </w:rPr>
            <w:fldChar w:fldCharType="begin"/>
          </w:r>
          <w:r>
            <w:rPr>
              <w:color w:val="auto"/>
              <w:highlight w:val="none"/>
            </w:rPr>
            <w:instrText xml:space="preserve"> PAGEREF _Toc26049 \h </w:instrText>
          </w:r>
          <w:r>
            <w:rPr>
              <w:color w:val="auto"/>
              <w:highlight w:val="none"/>
            </w:rPr>
            <w:fldChar w:fldCharType="separate"/>
          </w:r>
          <w:r>
            <w:rPr>
              <w:color w:val="auto"/>
              <w:highlight w:val="none"/>
            </w:rPr>
            <w:t>35</w:t>
          </w:r>
          <w:r>
            <w:rPr>
              <w:color w:val="auto"/>
              <w:highlight w:val="none"/>
            </w:rPr>
            <w:fldChar w:fldCharType="end"/>
          </w:r>
          <w:r>
            <w:rPr>
              <w:rFonts w:ascii="宋体" w:hAnsi="宋体" w:eastAsia="宋体" w:cs="宋体"/>
              <w:snapToGrid w:val="0"/>
              <w:color w:val="auto"/>
              <w:kern w:val="0"/>
              <w:szCs w:val="24"/>
              <w:highlight w:val="none"/>
              <w:lang w:val="en-US" w:eastAsia="en-US" w:bidi="ar-SA"/>
            </w:rPr>
            <w:fldChar w:fldCharType="end"/>
          </w:r>
        </w:p>
        <w:p w14:paraId="38EB654A">
          <w:pPr>
            <w:pStyle w:val="11"/>
            <w:tabs>
              <w:tab w:val="right" w:leader="dot" w:pos="8797"/>
            </w:tabs>
            <w:rPr>
              <w:color w:val="auto"/>
              <w:highlight w:val="none"/>
            </w:rPr>
          </w:pPr>
          <w:r>
            <w:rPr>
              <w:rFonts w:ascii="宋体" w:hAnsi="宋体" w:eastAsia="宋体" w:cs="宋体"/>
              <w:snapToGrid w:val="0"/>
              <w:color w:val="auto"/>
              <w:kern w:val="0"/>
              <w:szCs w:val="24"/>
              <w:highlight w:val="none"/>
              <w:lang w:val="en-US" w:eastAsia="en-US" w:bidi="ar-SA"/>
            </w:rPr>
            <w:fldChar w:fldCharType="begin"/>
          </w:r>
          <w:r>
            <w:rPr>
              <w:rFonts w:ascii="宋体" w:hAnsi="宋体" w:eastAsia="宋体" w:cs="宋体"/>
              <w:snapToGrid w:val="0"/>
              <w:color w:val="auto"/>
              <w:kern w:val="0"/>
              <w:szCs w:val="24"/>
              <w:highlight w:val="none"/>
              <w:lang w:val="en-US" w:eastAsia="en-US" w:bidi="ar-SA"/>
            </w:rPr>
            <w:instrText xml:space="preserve"> HYPERLINK \l _Toc19109 </w:instrText>
          </w:r>
          <w:r>
            <w:rPr>
              <w:rFonts w:ascii="宋体" w:hAnsi="宋体" w:eastAsia="宋体" w:cs="宋体"/>
              <w:snapToGrid w:val="0"/>
              <w:color w:val="auto"/>
              <w:kern w:val="0"/>
              <w:szCs w:val="24"/>
              <w:highlight w:val="none"/>
              <w:lang w:val="en-US" w:eastAsia="en-US" w:bidi="ar-SA"/>
            </w:rPr>
            <w:fldChar w:fldCharType="separate"/>
          </w:r>
          <w:r>
            <w:rPr>
              <w:rFonts w:ascii="宋体" w:hAnsi="宋体" w:eastAsia="宋体" w:cs="宋体"/>
              <w:bCs/>
              <w:color w:val="auto"/>
              <w:spacing w:val="-8"/>
              <w:szCs w:val="24"/>
              <w:highlight w:val="none"/>
            </w:rPr>
            <w:t>1.9</w:t>
          </w:r>
          <w:r>
            <w:rPr>
              <w:rFonts w:ascii="宋体" w:hAnsi="宋体" w:eastAsia="宋体" w:cs="宋体"/>
              <w:color w:val="auto"/>
              <w:spacing w:val="17"/>
              <w:szCs w:val="24"/>
              <w:highlight w:val="none"/>
            </w:rPr>
            <w:t xml:space="preserve"> </w:t>
          </w:r>
          <w:r>
            <w:rPr>
              <w:rFonts w:ascii="宋体" w:hAnsi="宋体" w:eastAsia="宋体" w:cs="宋体"/>
              <w:bCs/>
              <w:color w:val="auto"/>
              <w:spacing w:val="-8"/>
              <w:szCs w:val="24"/>
              <w:highlight w:val="none"/>
            </w:rPr>
            <w:t>踏勘现场</w:t>
          </w:r>
          <w:r>
            <w:rPr>
              <w:color w:val="auto"/>
              <w:highlight w:val="none"/>
            </w:rPr>
            <w:tab/>
          </w:r>
          <w:r>
            <w:rPr>
              <w:color w:val="auto"/>
              <w:highlight w:val="none"/>
            </w:rPr>
            <w:fldChar w:fldCharType="begin"/>
          </w:r>
          <w:r>
            <w:rPr>
              <w:color w:val="auto"/>
              <w:highlight w:val="none"/>
            </w:rPr>
            <w:instrText xml:space="preserve"> PAGEREF _Toc19109 \h </w:instrText>
          </w:r>
          <w:r>
            <w:rPr>
              <w:color w:val="auto"/>
              <w:highlight w:val="none"/>
            </w:rPr>
            <w:fldChar w:fldCharType="separate"/>
          </w:r>
          <w:r>
            <w:rPr>
              <w:color w:val="auto"/>
              <w:highlight w:val="none"/>
            </w:rPr>
            <w:t>35</w:t>
          </w:r>
          <w:r>
            <w:rPr>
              <w:color w:val="auto"/>
              <w:highlight w:val="none"/>
            </w:rPr>
            <w:fldChar w:fldCharType="end"/>
          </w:r>
          <w:r>
            <w:rPr>
              <w:rFonts w:ascii="宋体" w:hAnsi="宋体" w:eastAsia="宋体" w:cs="宋体"/>
              <w:snapToGrid w:val="0"/>
              <w:color w:val="auto"/>
              <w:kern w:val="0"/>
              <w:szCs w:val="24"/>
              <w:highlight w:val="none"/>
              <w:lang w:val="en-US" w:eastAsia="en-US" w:bidi="ar-SA"/>
            </w:rPr>
            <w:fldChar w:fldCharType="end"/>
          </w:r>
        </w:p>
        <w:p w14:paraId="48844410">
          <w:pPr>
            <w:pStyle w:val="11"/>
            <w:tabs>
              <w:tab w:val="right" w:leader="dot" w:pos="8797"/>
            </w:tabs>
            <w:rPr>
              <w:color w:val="auto"/>
              <w:highlight w:val="none"/>
            </w:rPr>
          </w:pPr>
          <w:r>
            <w:rPr>
              <w:rFonts w:ascii="宋体" w:hAnsi="宋体" w:eastAsia="宋体" w:cs="宋体"/>
              <w:snapToGrid w:val="0"/>
              <w:color w:val="auto"/>
              <w:kern w:val="0"/>
              <w:szCs w:val="24"/>
              <w:highlight w:val="none"/>
              <w:lang w:val="en-US" w:eastAsia="en-US" w:bidi="ar-SA"/>
            </w:rPr>
            <w:fldChar w:fldCharType="begin"/>
          </w:r>
          <w:r>
            <w:rPr>
              <w:rFonts w:ascii="宋体" w:hAnsi="宋体" w:eastAsia="宋体" w:cs="宋体"/>
              <w:snapToGrid w:val="0"/>
              <w:color w:val="auto"/>
              <w:kern w:val="0"/>
              <w:szCs w:val="24"/>
              <w:highlight w:val="none"/>
              <w:lang w:val="en-US" w:eastAsia="en-US" w:bidi="ar-SA"/>
            </w:rPr>
            <w:instrText xml:space="preserve"> HYPERLINK \l _Toc31380 </w:instrText>
          </w:r>
          <w:r>
            <w:rPr>
              <w:rFonts w:ascii="宋体" w:hAnsi="宋体" w:eastAsia="宋体" w:cs="宋体"/>
              <w:snapToGrid w:val="0"/>
              <w:color w:val="auto"/>
              <w:kern w:val="0"/>
              <w:szCs w:val="24"/>
              <w:highlight w:val="none"/>
              <w:lang w:val="en-US" w:eastAsia="en-US" w:bidi="ar-SA"/>
            </w:rPr>
            <w:fldChar w:fldCharType="separate"/>
          </w:r>
          <w:r>
            <w:rPr>
              <w:rFonts w:ascii="宋体" w:hAnsi="宋体" w:eastAsia="宋体" w:cs="宋体"/>
              <w:bCs/>
              <w:color w:val="auto"/>
              <w:spacing w:val="-5"/>
              <w:szCs w:val="24"/>
              <w:highlight w:val="none"/>
            </w:rPr>
            <w:t>1.10</w:t>
          </w:r>
          <w:r>
            <w:rPr>
              <w:rFonts w:ascii="宋体" w:hAnsi="宋体" w:eastAsia="宋体" w:cs="宋体"/>
              <w:color w:val="auto"/>
              <w:spacing w:val="-5"/>
              <w:szCs w:val="24"/>
              <w:highlight w:val="none"/>
            </w:rPr>
            <w:t xml:space="preserve"> </w:t>
          </w:r>
          <w:r>
            <w:rPr>
              <w:rFonts w:ascii="宋体" w:hAnsi="宋体" w:eastAsia="宋体" w:cs="宋体"/>
              <w:bCs/>
              <w:color w:val="auto"/>
              <w:spacing w:val="-5"/>
              <w:szCs w:val="24"/>
              <w:highlight w:val="none"/>
            </w:rPr>
            <w:t>投标预备会</w:t>
          </w:r>
          <w:r>
            <w:rPr>
              <w:color w:val="auto"/>
              <w:highlight w:val="none"/>
            </w:rPr>
            <w:tab/>
          </w:r>
          <w:r>
            <w:rPr>
              <w:color w:val="auto"/>
              <w:highlight w:val="none"/>
            </w:rPr>
            <w:fldChar w:fldCharType="begin"/>
          </w:r>
          <w:r>
            <w:rPr>
              <w:color w:val="auto"/>
              <w:highlight w:val="none"/>
            </w:rPr>
            <w:instrText xml:space="preserve"> PAGEREF _Toc31380 \h </w:instrText>
          </w:r>
          <w:r>
            <w:rPr>
              <w:color w:val="auto"/>
              <w:highlight w:val="none"/>
            </w:rPr>
            <w:fldChar w:fldCharType="separate"/>
          </w:r>
          <w:r>
            <w:rPr>
              <w:color w:val="auto"/>
              <w:highlight w:val="none"/>
            </w:rPr>
            <w:t>35</w:t>
          </w:r>
          <w:r>
            <w:rPr>
              <w:color w:val="auto"/>
              <w:highlight w:val="none"/>
            </w:rPr>
            <w:fldChar w:fldCharType="end"/>
          </w:r>
          <w:r>
            <w:rPr>
              <w:rFonts w:ascii="宋体" w:hAnsi="宋体" w:eastAsia="宋体" w:cs="宋体"/>
              <w:snapToGrid w:val="0"/>
              <w:color w:val="auto"/>
              <w:kern w:val="0"/>
              <w:szCs w:val="24"/>
              <w:highlight w:val="none"/>
              <w:lang w:val="en-US" w:eastAsia="en-US" w:bidi="ar-SA"/>
            </w:rPr>
            <w:fldChar w:fldCharType="end"/>
          </w:r>
        </w:p>
        <w:p w14:paraId="441E88E5">
          <w:pPr>
            <w:pStyle w:val="11"/>
            <w:tabs>
              <w:tab w:val="right" w:leader="dot" w:pos="8797"/>
            </w:tabs>
            <w:rPr>
              <w:color w:val="auto"/>
              <w:highlight w:val="none"/>
            </w:rPr>
          </w:pPr>
          <w:r>
            <w:rPr>
              <w:rFonts w:ascii="宋体" w:hAnsi="宋体" w:eastAsia="宋体" w:cs="宋体"/>
              <w:snapToGrid w:val="0"/>
              <w:color w:val="auto"/>
              <w:kern w:val="0"/>
              <w:szCs w:val="24"/>
              <w:highlight w:val="none"/>
              <w:lang w:val="en-US" w:eastAsia="en-US" w:bidi="ar-SA"/>
            </w:rPr>
            <w:fldChar w:fldCharType="begin"/>
          </w:r>
          <w:r>
            <w:rPr>
              <w:rFonts w:ascii="宋体" w:hAnsi="宋体" w:eastAsia="宋体" w:cs="宋体"/>
              <w:snapToGrid w:val="0"/>
              <w:color w:val="auto"/>
              <w:kern w:val="0"/>
              <w:szCs w:val="24"/>
              <w:highlight w:val="none"/>
              <w:lang w:val="en-US" w:eastAsia="en-US" w:bidi="ar-SA"/>
            </w:rPr>
            <w:instrText xml:space="preserve"> HYPERLINK \l _Toc15456 </w:instrText>
          </w:r>
          <w:r>
            <w:rPr>
              <w:rFonts w:ascii="宋体" w:hAnsi="宋体" w:eastAsia="宋体" w:cs="宋体"/>
              <w:snapToGrid w:val="0"/>
              <w:color w:val="auto"/>
              <w:kern w:val="0"/>
              <w:szCs w:val="24"/>
              <w:highlight w:val="none"/>
              <w:lang w:val="en-US" w:eastAsia="en-US" w:bidi="ar-SA"/>
            </w:rPr>
            <w:fldChar w:fldCharType="separate"/>
          </w:r>
          <w:r>
            <w:rPr>
              <w:rFonts w:ascii="宋体" w:hAnsi="宋体" w:eastAsia="宋体" w:cs="宋体"/>
              <w:bCs/>
              <w:color w:val="auto"/>
              <w:spacing w:val="-9"/>
              <w:szCs w:val="24"/>
              <w:highlight w:val="none"/>
            </w:rPr>
            <w:t>1.11</w:t>
          </w:r>
          <w:r>
            <w:rPr>
              <w:rFonts w:ascii="宋体" w:hAnsi="宋体" w:eastAsia="宋体" w:cs="宋体"/>
              <w:color w:val="auto"/>
              <w:spacing w:val="15"/>
              <w:szCs w:val="24"/>
              <w:highlight w:val="none"/>
            </w:rPr>
            <w:t xml:space="preserve"> </w:t>
          </w:r>
          <w:r>
            <w:rPr>
              <w:rFonts w:ascii="宋体" w:hAnsi="宋体" w:eastAsia="宋体" w:cs="宋体"/>
              <w:bCs/>
              <w:color w:val="auto"/>
              <w:spacing w:val="-9"/>
              <w:szCs w:val="24"/>
              <w:highlight w:val="none"/>
            </w:rPr>
            <w:t>分包</w:t>
          </w:r>
          <w:r>
            <w:rPr>
              <w:color w:val="auto"/>
              <w:highlight w:val="none"/>
            </w:rPr>
            <w:tab/>
          </w:r>
          <w:r>
            <w:rPr>
              <w:color w:val="auto"/>
              <w:highlight w:val="none"/>
            </w:rPr>
            <w:fldChar w:fldCharType="begin"/>
          </w:r>
          <w:r>
            <w:rPr>
              <w:color w:val="auto"/>
              <w:highlight w:val="none"/>
            </w:rPr>
            <w:instrText xml:space="preserve"> PAGEREF _Toc15456 \h </w:instrText>
          </w:r>
          <w:r>
            <w:rPr>
              <w:color w:val="auto"/>
              <w:highlight w:val="none"/>
            </w:rPr>
            <w:fldChar w:fldCharType="separate"/>
          </w:r>
          <w:r>
            <w:rPr>
              <w:color w:val="auto"/>
              <w:highlight w:val="none"/>
            </w:rPr>
            <w:t>36</w:t>
          </w:r>
          <w:r>
            <w:rPr>
              <w:color w:val="auto"/>
              <w:highlight w:val="none"/>
            </w:rPr>
            <w:fldChar w:fldCharType="end"/>
          </w:r>
          <w:r>
            <w:rPr>
              <w:rFonts w:ascii="宋体" w:hAnsi="宋体" w:eastAsia="宋体" w:cs="宋体"/>
              <w:snapToGrid w:val="0"/>
              <w:color w:val="auto"/>
              <w:kern w:val="0"/>
              <w:szCs w:val="24"/>
              <w:highlight w:val="none"/>
              <w:lang w:val="en-US" w:eastAsia="en-US" w:bidi="ar-SA"/>
            </w:rPr>
            <w:fldChar w:fldCharType="end"/>
          </w:r>
        </w:p>
        <w:p w14:paraId="2B2B3007">
          <w:pPr>
            <w:pStyle w:val="11"/>
            <w:tabs>
              <w:tab w:val="right" w:leader="dot" w:pos="8797"/>
            </w:tabs>
            <w:rPr>
              <w:color w:val="auto"/>
              <w:highlight w:val="none"/>
            </w:rPr>
          </w:pPr>
          <w:r>
            <w:rPr>
              <w:rFonts w:ascii="宋体" w:hAnsi="宋体" w:eastAsia="宋体" w:cs="宋体"/>
              <w:snapToGrid w:val="0"/>
              <w:color w:val="auto"/>
              <w:kern w:val="0"/>
              <w:szCs w:val="24"/>
              <w:highlight w:val="none"/>
              <w:lang w:val="en-US" w:eastAsia="en-US" w:bidi="ar-SA"/>
            </w:rPr>
            <w:fldChar w:fldCharType="begin"/>
          </w:r>
          <w:r>
            <w:rPr>
              <w:rFonts w:ascii="宋体" w:hAnsi="宋体" w:eastAsia="宋体" w:cs="宋体"/>
              <w:snapToGrid w:val="0"/>
              <w:color w:val="auto"/>
              <w:kern w:val="0"/>
              <w:szCs w:val="24"/>
              <w:highlight w:val="none"/>
              <w:lang w:val="en-US" w:eastAsia="en-US" w:bidi="ar-SA"/>
            </w:rPr>
            <w:instrText xml:space="preserve"> HYPERLINK \l _Toc31198 </w:instrText>
          </w:r>
          <w:r>
            <w:rPr>
              <w:rFonts w:ascii="宋体" w:hAnsi="宋体" w:eastAsia="宋体" w:cs="宋体"/>
              <w:snapToGrid w:val="0"/>
              <w:color w:val="auto"/>
              <w:kern w:val="0"/>
              <w:szCs w:val="24"/>
              <w:highlight w:val="none"/>
              <w:lang w:val="en-US" w:eastAsia="en-US" w:bidi="ar-SA"/>
            </w:rPr>
            <w:fldChar w:fldCharType="separate"/>
          </w:r>
          <w:r>
            <w:rPr>
              <w:rFonts w:ascii="宋体" w:hAnsi="宋体" w:eastAsia="宋体" w:cs="宋体"/>
              <w:bCs/>
              <w:color w:val="auto"/>
              <w:spacing w:val="-7"/>
              <w:szCs w:val="24"/>
              <w:highlight w:val="none"/>
            </w:rPr>
            <w:t>1.12</w:t>
          </w:r>
          <w:r>
            <w:rPr>
              <w:rFonts w:ascii="宋体" w:hAnsi="宋体" w:eastAsia="宋体" w:cs="宋体"/>
              <w:color w:val="auto"/>
              <w:spacing w:val="21"/>
              <w:szCs w:val="24"/>
              <w:highlight w:val="none"/>
            </w:rPr>
            <w:t xml:space="preserve"> </w:t>
          </w:r>
          <w:r>
            <w:rPr>
              <w:rFonts w:ascii="宋体" w:hAnsi="宋体" w:eastAsia="宋体" w:cs="宋体"/>
              <w:bCs/>
              <w:color w:val="auto"/>
              <w:spacing w:val="-7"/>
              <w:szCs w:val="24"/>
              <w:highlight w:val="none"/>
            </w:rPr>
            <w:t>响应和偏差</w:t>
          </w:r>
          <w:r>
            <w:rPr>
              <w:color w:val="auto"/>
              <w:highlight w:val="none"/>
            </w:rPr>
            <w:tab/>
          </w:r>
          <w:r>
            <w:rPr>
              <w:color w:val="auto"/>
              <w:highlight w:val="none"/>
            </w:rPr>
            <w:fldChar w:fldCharType="begin"/>
          </w:r>
          <w:r>
            <w:rPr>
              <w:color w:val="auto"/>
              <w:highlight w:val="none"/>
            </w:rPr>
            <w:instrText xml:space="preserve"> PAGEREF _Toc31198 \h </w:instrText>
          </w:r>
          <w:r>
            <w:rPr>
              <w:color w:val="auto"/>
              <w:highlight w:val="none"/>
            </w:rPr>
            <w:fldChar w:fldCharType="separate"/>
          </w:r>
          <w:r>
            <w:rPr>
              <w:color w:val="auto"/>
              <w:highlight w:val="none"/>
            </w:rPr>
            <w:t>36</w:t>
          </w:r>
          <w:r>
            <w:rPr>
              <w:color w:val="auto"/>
              <w:highlight w:val="none"/>
            </w:rPr>
            <w:fldChar w:fldCharType="end"/>
          </w:r>
          <w:r>
            <w:rPr>
              <w:rFonts w:ascii="宋体" w:hAnsi="宋体" w:eastAsia="宋体" w:cs="宋体"/>
              <w:snapToGrid w:val="0"/>
              <w:color w:val="auto"/>
              <w:kern w:val="0"/>
              <w:szCs w:val="24"/>
              <w:highlight w:val="none"/>
              <w:lang w:val="en-US" w:eastAsia="en-US" w:bidi="ar-SA"/>
            </w:rPr>
            <w:fldChar w:fldCharType="end"/>
          </w:r>
        </w:p>
        <w:p w14:paraId="24CFB991">
          <w:pPr>
            <w:pStyle w:val="10"/>
            <w:tabs>
              <w:tab w:val="right" w:leader="dot" w:pos="8797"/>
            </w:tabs>
            <w:rPr>
              <w:color w:val="auto"/>
              <w:highlight w:val="none"/>
            </w:rPr>
          </w:pPr>
          <w:r>
            <w:rPr>
              <w:rFonts w:ascii="宋体" w:hAnsi="宋体" w:eastAsia="宋体" w:cs="宋体"/>
              <w:snapToGrid w:val="0"/>
              <w:color w:val="auto"/>
              <w:kern w:val="0"/>
              <w:szCs w:val="24"/>
              <w:highlight w:val="none"/>
              <w:lang w:val="en-US" w:eastAsia="en-US" w:bidi="ar-SA"/>
            </w:rPr>
            <w:fldChar w:fldCharType="begin"/>
          </w:r>
          <w:r>
            <w:rPr>
              <w:rFonts w:ascii="宋体" w:hAnsi="宋体" w:eastAsia="宋体" w:cs="宋体"/>
              <w:snapToGrid w:val="0"/>
              <w:color w:val="auto"/>
              <w:kern w:val="0"/>
              <w:szCs w:val="24"/>
              <w:highlight w:val="none"/>
              <w:lang w:val="en-US" w:eastAsia="en-US" w:bidi="ar-SA"/>
            </w:rPr>
            <w:instrText xml:space="preserve"> HYPERLINK \l _Toc4529 </w:instrText>
          </w:r>
          <w:r>
            <w:rPr>
              <w:rFonts w:ascii="宋体" w:hAnsi="宋体" w:eastAsia="宋体" w:cs="宋体"/>
              <w:snapToGrid w:val="0"/>
              <w:color w:val="auto"/>
              <w:kern w:val="0"/>
              <w:szCs w:val="24"/>
              <w:highlight w:val="none"/>
              <w:lang w:val="en-US" w:eastAsia="en-US" w:bidi="ar-SA"/>
            </w:rPr>
            <w:fldChar w:fldCharType="separate"/>
          </w:r>
          <w:r>
            <w:rPr>
              <w:rFonts w:ascii="宋体" w:hAnsi="宋体" w:eastAsia="宋体" w:cs="宋体"/>
              <w:bCs/>
              <w:color w:val="auto"/>
              <w:spacing w:val="-7"/>
              <w:szCs w:val="28"/>
              <w:highlight w:val="none"/>
            </w:rPr>
            <w:t>2.</w:t>
          </w:r>
          <w:r>
            <w:rPr>
              <w:rFonts w:ascii="宋体" w:hAnsi="宋体" w:eastAsia="宋体" w:cs="宋体"/>
              <w:color w:val="auto"/>
              <w:spacing w:val="14"/>
              <w:szCs w:val="28"/>
              <w:highlight w:val="none"/>
            </w:rPr>
            <w:t xml:space="preserve"> </w:t>
          </w:r>
          <w:r>
            <w:rPr>
              <w:rFonts w:ascii="宋体" w:hAnsi="宋体" w:eastAsia="宋体" w:cs="宋体"/>
              <w:bCs/>
              <w:color w:val="auto"/>
              <w:spacing w:val="-7"/>
              <w:szCs w:val="28"/>
              <w:highlight w:val="none"/>
            </w:rPr>
            <w:t>招标文件</w:t>
          </w:r>
          <w:r>
            <w:rPr>
              <w:color w:val="auto"/>
              <w:highlight w:val="none"/>
            </w:rPr>
            <w:tab/>
          </w:r>
          <w:r>
            <w:rPr>
              <w:color w:val="auto"/>
              <w:highlight w:val="none"/>
            </w:rPr>
            <w:fldChar w:fldCharType="begin"/>
          </w:r>
          <w:r>
            <w:rPr>
              <w:color w:val="auto"/>
              <w:highlight w:val="none"/>
            </w:rPr>
            <w:instrText xml:space="preserve"> PAGEREF _Toc4529 \h </w:instrText>
          </w:r>
          <w:r>
            <w:rPr>
              <w:color w:val="auto"/>
              <w:highlight w:val="none"/>
            </w:rPr>
            <w:fldChar w:fldCharType="separate"/>
          </w:r>
          <w:r>
            <w:rPr>
              <w:color w:val="auto"/>
              <w:highlight w:val="none"/>
            </w:rPr>
            <w:t>37</w:t>
          </w:r>
          <w:r>
            <w:rPr>
              <w:color w:val="auto"/>
              <w:highlight w:val="none"/>
            </w:rPr>
            <w:fldChar w:fldCharType="end"/>
          </w:r>
          <w:r>
            <w:rPr>
              <w:rFonts w:ascii="宋体" w:hAnsi="宋体" w:eastAsia="宋体" w:cs="宋体"/>
              <w:snapToGrid w:val="0"/>
              <w:color w:val="auto"/>
              <w:kern w:val="0"/>
              <w:szCs w:val="24"/>
              <w:highlight w:val="none"/>
              <w:lang w:val="en-US" w:eastAsia="en-US" w:bidi="ar-SA"/>
            </w:rPr>
            <w:fldChar w:fldCharType="end"/>
          </w:r>
        </w:p>
        <w:p w14:paraId="16956B8B">
          <w:pPr>
            <w:pStyle w:val="11"/>
            <w:tabs>
              <w:tab w:val="right" w:leader="dot" w:pos="8797"/>
            </w:tabs>
            <w:rPr>
              <w:color w:val="auto"/>
              <w:highlight w:val="none"/>
            </w:rPr>
          </w:pPr>
          <w:r>
            <w:rPr>
              <w:rFonts w:ascii="宋体" w:hAnsi="宋体" w:eastAsia="宋体" w:cs="宋体"/>
              <w:snapToGrid w:val="0"/>
              <w:color w:val="auto"/>
              <w:kern w:val="0"/>
              <w:szCs w:val="24"/>
              <w:highlight w:val="none"/>
              <w:lang w:val="en-US" w:eastAsia="en-US" w:bidi="ar-SA"/>
            </w:rPr>
            <w:fldChar w:fldCharType="begin"/>
          </w:r>
          <w:r>
            <w:rPr>
              <w:rFonts w:ascii="宋体" w:hAnsi="宋体" w:eastAsia="宋体" w:cs="宋体"/>
              <w:snapToGrid w:val="0"/>
              <w:color w:val="auto"/>
              <w:kern w:val="0"/>
              <w:szCs w:val="24"/>
              <w:highlight w:val="none"/>
              <w:lang w:val="en-US" w:eastAsia="en-US" w:bidi="ar-SA"/>
            </w:rPr>
            <w:instrText xml:space="preserve"> HYPERLINK \l _Toc3718 </w:instrText>
          </w:r>
          <w:r>
            <w:rPr>
              <w:rFonts w:ascii="宋体" w:hAnsi="宋体" w:eastAsia="宋体" w:cs="宋体"/>
              <w:snapToGrid w:val="0"/>
              <w:color w:val="auto"/>
              <w:kern w:val="0"/>
              <w:szCs w:val="24"/>
              <w:highlight w:val="none"/>
              <w:lang w:val="en-US" w:eastAsia="en-US" w:bidi="ar-SA"/>
            </w:rPr>
            <w:fldChar w:fldCharType="separate"/>
          </w:r>
          <w:r>
            <w:rPr>
              <w:rFonts w:ascii="宋体" w:hAnsi="宋体" w:eastAsia="宋体" w:cs="宋体"/>
              <w:bCs/>
              <w:color w:val="auto"/>
              <w:spacing w:val="-3"/>
              <w:szCs w:val="24"/>
              <w:highlight w:val="none"/>
            </w:rPr>
            <w:t>2.1</w:t>
          </w:r>
          <w:r>
            <w:rPr>
              <w:rFonts w:ascii="宋体" w:hAnsi="宋体" w:eastAsia="宋体" w:cs="宋体"/>
              <w:color w:val="auto"/>
              <w:spacing w:val="-3"/>
              <w:szCs w:val="24"/>
              <w:highlight w:val="none"/>
            </w:rPr>
            <w:t xml:space="preserve"> </w:t>
          </w:r>
          <w:r>
            <w:rPr>
              <w:rFonts w:ascii="宋体" w:hAnsi="宋体" w:eastAsia="宋体" w:cs="宋体"/>
              <w:bCs/>
              <w:color w:val="auto"/>
              <w:spacing w:val="-3"/>
              <w:szCs w:val="24"/>
              <w:highlight w:val="none"/>
            </w:rPr>
            <w:t>招标文件的组成</w:t>
          </w:r>
          <w:r>
            <w:rPr>
              <w:color w:val="auto"/>
              <w:highlight w:val="none"/>
            </w:rPr>
            <w:tab/>
          </w:r>
          <w:r>
            <w:rPr>
              <w:color w:val="auto"/>
              <w:highlight w:val="none"/>
            </w:rPr>
            <w:fldChar w:fldCharType="begin"/>
          </w:r>
          <w:r>
            <w:rPr>
              <w:color w:val="auto"/>
              <w:highlight w:val="none"/>
            </w:rPr>
            <w:instrText xml:space="preserve"> PAGEREF _Toc3718 \h </w:instrText>
          </w:r>
          <w:r>
            <w:rPr>
              <w:color w:val="auto"/>
              <w:highlight w:val="none"/>
            </w:rPr>
            <w:fldChar w:fldCharType="separate"/>
          </w:r>
          <w:r>
            <w:rPr>
              <w:color w:val="auto"/>
              <w:highlight w:val="none"/>
            </w:rPr>
            <w:t>37</w:t>
          </w:r>
          <w:r>
            <w:rPr>
              <w:color w:val="auto"/>
              <w:highlight w:val="none"/>
            </w:rPr>
            <w:fldChar w:fldCharType="end"/>
          </w:r>
          <w:r>
            <w:rPr>
              <w:rFonts w:ascii="宋体" w:hAnsi="宋体" w:eastAsia="宋体" w:cs="宋体"/>
              <w:snapToGrid w:val="0"/>
              <w:color w:val="auto"/>
              <w:kern w:val="0"/>
              <w:szCs w:val="24"/>
              <w:highlight w:val="none"/>
              <w:lang w:val="en-US" w:eastAsia="en-US" w:bidi="ar-SA"/>
            </w:rPr>
            <w:fldChar w:fldCharType="end"/>
          </w:r>
        </w:p>
        <w:p w14:paraId="70A8E90D">
          <w:pPr>
            <w:pStyle w:val="11"/>
            <w:tabs>
              <w:tab w:val="right" w:leader="dot" w:pos="8797"/>
            </w:tabs>
            <w:rPr>
              <w:color w:val="auto"/>
              <w:highlight w:val="none"/>
            </w:rPr>
          </w:pPr>
          <w:r>
            <w:rPr>
              <w:rFonts w:ascii="宋体" w:hAnsi="宋体" w:eastAsia="宋体" w:cs="宋体"/>
              <w:snapToGrid w:val="0"/>
              <w:color w:val="auto"/>
              <w:kern w:val="0"/>
              <w:szCs w:val="24"/>
              <w:highlight w:val="none"/>
              <w:lang w:val="en-US" w:eastAsia="en-US" w:bidi="ar-SA"/>
            </w:rPr>
            <w:fldChar w:fldCharType="begin"/>
          </w:r>
          <w:r>
            <w:rPr>
              <w:rFonts w:ascii="宋体" w:hAnsi="宋体" w:eastAsia="宋体" w:cs="宋体"/>
              <w:snapToGrid w:val="0"/>
              <w:color w:val="auto"/>
              <w:kern w:val="0"/>
              <w:szCs w:val="24"/>
              <w:highlight w:val="none"/>
              <w:lang w:val="en-US" w:eastAsia="en-US" w:bidi="ar-SA"/>
            </w:rPr>
            <w:instrText xml:space="preserve"> HYPERLINK \l _Toc27533 </w:instrText>
          </w:r>
          <w:r>
            <w:rPr>
              <w:rFonts w:ascii="宋体" w:hAnsi="宋体" w:eastAsia="宋体" w:cs="宋体"/>
              <w:snapToGrid w:val="0"/>
              <w:color w:val="auto"/>
              <w:kern w:val="0"/>
              <w:szCs w:val="24"/>
              <w:highlight w:val="none"/>
              <w:lang w:val="en-US" w:eastAsia="en-US" w:bidi="ar-SA"/>
            </w:rPr>
            <w:fldChar w:fldCharType="separate"/>
          </w:r>
          <w:r>
            <w:rPr>
              <w:rFonts w:ascii="宋体" w:hAnsi="宋体" w:eastAsia="宋体" w:cs="宋体"/>
              <w:bCs/>
              <w:color w:val="auto"/>
              <w:spacing w:val="-3"/>
              <w:szCs w:val="24"/>
              <w:highlight w:val="none"/>
            </w:rPr>
            <w:t>2.2</w:t>
          </w:r>
          <w:r>
            <w:rPr>
              <w:rFonts w:ascii="宋体" w:hAnsi="宋体" w:eastAsia="宋体" w:cs="宋体"/>
              <w:color w:val="auto"/>
              <w:spacing w:val="-3"/>
              <w:szCs w:val="24"/>
              <w:highlight w:val="none"/>
            </w:rPr>
            <w:t xml:space="preserve"> </w:t>
          </w:r>
          <w:r>
            <w:rPr>
              <w:rFonts w:ascii="宋体" w:hAnsi="宋体" w:eastAsia="宋体" w:cs="宋体"/>
              <w:bCs/>
              <w:color w:val="auto"/>
              <w:spacing w:val="-3"/>
              <w:szCs w:val="24"/>
              <w:highlight w:val="none"/>
            </w:rPr>
            <w:t>招标文件的澄清</w:t>
          </w:r>
          <w:r>
            <w:rPr>
              <w:color w:val="auto"/>
              <w:highlight w:val="none"/>
            </w:rPr>
            <w:tab/>
          </w:r>
          <w:r>
            <w:rPr>
              <w:color w:val="auto"/>
              <w:highlight w:val="none"/>
            </w:rPr>
            <w:fldChar w:fldCharType="begin"/>
          </w:r>
          <w:r>
            <w:rPr>
              <w:color w:val="auto"/>
              <w:highlight w:val="none"/>
            </w:rPr>
            <w:instrText xml:space="preserve"> PAGEREF _Toc27533 \h </w:instrText>
          </w:r>
          <w:r>
            <w:rPr>
              <w:color w:val="auto"/>
              <w:highlight w:val="none"/>
            </w:rPr>
            <w:fldChar w:fldCharType="separate"/>
          </w:r>
          <w:r>
            <w:rPr>
              <w:color w:val="auto"/>
              <w:highlight w:val="none"/>
            </w:rPr>
            <w:t>37</w:t>
          </w:r>
          <w:r>
            <w:rPr>
              <w:color w:val="auto"/>
              <w:highlight w:val="none"/>
            </w:rPr>
            <w:fldChar w:fldCharType="end"/>
          </w:r>
          <w:r>
            <w:rPr>
              <w:rFonts w:ascii="宋体" w:hAnsi="宋体" w:eastAsia="宋体" w:cs="宋体"/>
              <w:snapToGrid w:val="0"/>
              <w:color w:val="auto"/>
              <w:kern w:val="0"/>
              <w:szCs w:val="24"/>
              <w:highlight w:val="none"/>
              <w:lang w:val="en-US" w:eastAsia="en-US" w:bidi="ar-SA"/>
            </w:rPr>
            <w:fldChar w:fldCharType="end"/>
          </w:r>
        </w:p>
        <w:p w14:paraId="550C0E71">
          <w:pPr>
            <w:pStyle w:val="11"/>
            <w:tabs>
              <w:tab w:val="right" w:leader="dot" w:pos="8797"/>
            </w:tabs>
            <w:rPr>
              <w:color w:val="auto"/>
              <w:highlight w:val="none"/>
            </w:rPr>
          </w:pPr>
          <w:r>
            <w:rPr>
              <w:rFonts w:ascii="宋体" w:hAnsi="宋体" w:eastAsia="宋体" w:cs="宋体"/>
              <w:snapToGrid w:val="0"/>
              <w:color w:val="auto"/>
              <w:kern w:val="0"/>
              <w:szCs w:val="24"/>
              <w:highlight w:val="none"/>
              <w:lang w:val="en-US" w:eastAsia="en-US" w:bidi="ar-SA"/>
            </w:rPr>
            <w:fldChar w:fldCharType="begin"/>
          </w:r>
          <w:r>
            <w:rPr>
              <w:rFonts w:ascii="宋体" w:hAnsi="宋体" w:eastAsia="宋体" w:cs="宋体"/>
              <w:snapToGrid w:val="0"/>
              <w:color w:val="auto"/>
              <w:kern w:val="0"/>
              <w:szCs w:val="24"/>
              <w:highlight w:val="none"/>
              <w:lang w:val="en-US" w:eastAsia="en-US" w:bidi="ar-SA"/>
            </w:rPr>
            <w:instrText xml:space="preserve"> HYPERLINK \l _Toc14480 </w:instrText>
          </w:r>
          <w:r>
            <w:rPr>
              <w:rFonts w:ascii="宋体" w:hAnsi="宋体" w:eastAsia="宋体" w:cs="宋体"/>
              <w:snapToGrid w:val="0"/>
              <w:color w:val="auto"/>
              <w:kern w:val="0"/>
              <w:szCs w:val="24"/>
              <w:highlight w:val="none"/>
              <w:lang w:val="en-US" w:eastAsia="en-US" w:bidi="ar-SA"/>
            </w:rPr>
            <w:fldChar w:fldCharType="separate"/>
          </w:r>
          <w:r>
            <w:rPr>
              <w:rFonts w:ascii="宋体" w:hAnsi="宋体" w:eastAsia="宋体" w:cs="宋体"/>
              <w:bCs/>
              <w:color w:val="auto"/>
              <w:spacing w:val="-3"/>
              <w:szCs w:val="24"/>
              <w:highlight w:val="none"/>
            </w:rPr>
            <w:t>2.3</w:t>
          </w:r>
          <w:r>
            <w:rPr>
              <w:rFonts w:ascii="宋体" w:hAnsi="宋体" w:eastAsia="宋体" w:cs="宋体"/>
              <w:color w:val="auto"/>
              <w:spacing w:val="-3"/>
              <w:szCs w:val="24"/>
              <w:highlight w:val="none"/>
            </w:rPr>
            <w:t xml:space="preserve"> </w:t>
          </w:r>
          <w:r>
            <w:rPr>
              <w:rFonts w:ascii="宋体" w:hAnsi="宋体" w:eastAsia="宋体" w:cs="宋体"/>
              <w:bCs/>
              <w:color w:val="auto"/>
              <w:spacing w:val="-3"/>
              <w:szCs w:val="24"/>
              <w:highlight w:val="none"/>
            </w:rPr>
            <w:t>招标文件的修改</w:t>
          </w:r>
          <w:r>
            <w:rPr>
              <w:color w:val="auto"/>
              <w:highlight w:val="none"/>
            </w:rPr>
            <w:tab/>
          </w:r>
          <w:r>
            <w:rPr>
              <w:color w:val="auto"/>
              <w:highlight w:val="none"/>
            </w:rPr>
            <w:fldChar w:fldCharType="begin"/>
          </w:r>
          <w:r>
            <w:rPr>
              <w:color w:val="auto"/>
              <w:highlight w:val="none"/>
            </w:rPr>
            <w:instrText xml:space="preserve"> PAGEREF _Toc14480 \h </w:instrText>
          </w:r>
          <w:r>
            <w:rPr>
              <w:color w:val="auto"/>
              <w:highlight w:val="none"/>
            </w:rPr>
            <w:fldChar w:fldCharType="separate"/>
          </w:r>
          <w:r>
            <w:rPr>
              <w:color w:val="auto"/>
              <w:highlight w:val="none"/>
            </w:rPr>
            <w:t>37</w:t>
          </w:r>
          <w:r>
            <w:rPr>
              <w:color w:val="auto"/>
              <w:highlight w:val="none"/>
            </w:rPr>
            <w:fldChar w:fldCharType="end"/>
          </w:r>
          <w:r>
            <w:rPr>
              <w:rFonts w:ascii="宋体" w:hAnsi="宋体" w:eastAsia="宋体" w:cs="宋体"/>
              <w:snapToGrid w:val="0"/>
              <w:color w:val="auto"/>
              <w:kern w:val="0"/>
              <w:szCs w:val="24"/>
              <w:highlight w:val="none"/>
              <w:lang w:val="en-US" w:eastAsia="en-US" w:bidi="ar-SA"/>
            </w:rPr>
            <w:fldChar w:fldCharType="end"/>
          </w:r>
        </w:p>
        <w:p w14:paraId="54DE399B">
          <w:pPr>
            <w:pStyle w:val="11"/>
            <w:tabs>
              <w:tab w:val="right" w:leader="dot" w:pos="8797"/>
            </w:tabs>
            <w:rPr>
              <w:color w:val="auto"/>
              <w:highlight w:val="none"/>
            </w:rPr>
          </w:pPr>
          <w:r>
            <w:rPr>
              <w:rFonts w:ascii="宋体" w:hAnsi="宋体" w:eastAsia="宋体" w:cs="宋体"/>
              <w:snapToGrid w:val="0"/>
              <w:color w:val="auto"/>
              <w:kern w:val="0"/>
              <w:szCs w:val="24"/>
              <w:highlight w:val="none"/>
              <w:lang w:val="en-US" w:eastAsia="en-US" w:bidi="ar-SA"/>
            </w:rPr>
            <w:fldChar w:fldCharType="begin"/>
          </w:r>
          <w:r>
            <w:rPr>
              <w:rFonts w:ascii="宋体" w:hAnsi="宋体" w:eastAsia="宋体" w:cs="宋体"/>
              <w:snapToGrid w:val="0"/>
              <w:color w:val="auto"/>
              <w:kern w:val="0"/>
              <w:szCs w:val="24"/>
              <w:highlight w:val="none"/>
              <w:lang w:val="en-US" w:eastAsia="en-US" w:bidi="ar-SA"/>
            </w:rPr>
            <w:instrText xml:space="preserve"> HYPERLINK \l _Toc18736 </w:instrText>
          </w:r>
          <w:r>
            <w:rPr>
              <w:rFonts w:ascii="宋体" w:hAnsi="宋体" w:eastAsia="宋体" w:cs="宋体"/>
              <w:snapToGrid w:val="0"/>
              <w:color w:val="auto"/>
              <w:kern w:val="0"/>
              <w:szCs w:val="24"/>
              <w:highlight w:val="none"/>
              <w:lang w:val="en-US" w:eastAsia="en-US" w:bidi="ar-SA"/>
            </w:rPr>
            <w:fldChar w:fldCharType="separate"/>
          </w:r>
          <w:r>
            <w:rPr>
              <w:rFonts w:ascii="宋体" w:hAnsi="宋体" w:eastAsia="宋体" w:cs="宋体"/>
              <w:bCs/>
              <w:color w:val="auto"/>
              <w:spacing w:val="-3"/>
              <w:szCs w:val="24"/>
              <w:highlight w:val="none"/>
            </w:rPr>
            <w:t>2.4</w:t>
          </w:r>
          <w:r>
            <w:rPr>
              <w:rFonts w:ascii="宋体" w:hAnsi="宋体" w:eastAsia="宋体" w:cs="宋体"/>
              <w:color w:val="auto"/>
              <w:spacing w:val="-3"/>
              <w:szCs w:val="24"/>
              <w:highlight w:val="none"/>
            </w:rPr>
            <w:t xml:space="preserve"> </w:t>
          </w:r>
          <w:r>
            <w:rPr>
              <w:rFonts w:ascii="宋体" w:hAnsi="宋体" w:eastAsia="宋体" w:cs="宋体"/>
              <w:bCs/>
              <w:color w:val="auto"/>
              <w:spacing w:val="-3"/>
              <w:szCs w:val="24"/>
              <w:highlight w:val="none"/>
            </w:rPr>
            <w:t>招标文件的异议</w:t>
          </w:r>
          <w:r>
            <w:rPr>
              <w:color w:val="auto"/>
              <w:highlight w:val="none"/>
            </w:rPr>
            <w:tab/>
          </w:r>
          <w:r>
            <w:rPr>
              <w:color w:val="auto"/>
              <w:highlight w:val="none"/>
            </w:rPr>
            <w:fldChar w:fldCharType="begin"/>
          </w:r>
          <w:r>
            <w:rPr>
              <w:color w:val="auto"/>
              <w:highlight w:val="none"/>
            </w:rPr>
            <w:instrText xml:space="preserve"> PAGEREF _Toc18736 \h </w:instrText>
          </w:r>
          <w:r>
            <w:rPr>
              <w:color w:val="auto"/>
              <w:highlight w:val="none"/>
            </w:rPr>
            <w:fldChar w:fldCharType="separate"/>
          </w:r>
          <w:r>
            <w:rPr>
              <w:color w:val="auto"/>
              <w:highlight w:val="none"/>
            </w:rPr>
            <w:t>38</w:t>
          </w:r>
          <w:r>
            <w:rPr>
              <w:color w:val="auto"/>
              <w:highlight w:val="none"/>
            </w:rPr>
            <w:fldChar w:fldCharType="end"/>
          </w:r>
          <w:r>
            <w:rPr>
              <w:rFonts w:ascii="宋体" w:hAnsi="宋体" w:eastAsia="宋体" w:cs="宋体"/>
              <w:snapToGrid w:val="0"/>
              <w:color w:val="auto"/>
              <w:kern w:val="0"/>
              <w:szCs w:val="24"/>
              <w:highlight w:val="none"/>
              <w:lang w:val="en-US" w:eastAsia="en-US" w:bidi="ar-SA"/>
            </w:rPr>
            <w:fldChar w:fldCharType="end"/>
          </w:r>
        </w:p>
        <w:p w14:paraId="02D1F14D">
          <w:pPr>
            <w:pStyle w:val="10"/>
            <w:tabs>
              <w:tab w:val="right" w:leader="dot" w:pos="8797"/>
            </w:tabs>
            <w:rPr>
              <w:color w:val="auto"/>
              <w:highlight w:val="none"/>
            </w:rPr>
          </w:pPr>
          <w:r>
            <w:rPr>
              <w:rFonts w:ascii="宋体" w:hAnsi="宋体" w:eastAsia="宋体" w:cs="宋体"/>
              <w:snapToGrid w:val="0"/>
              <w:color w:val="auto"/>
              <w:kern w:val="0"/>
              <w:szCs w:val="24"/>
              <w:highlight w:val="none"/>
              <w:lang w:val="en-US" w:eastAsia="en-US" w:bidi="ar-SA"/>
            </w:rPr>
            <w:fldChar w:fldCharType="begin"/>
          </w:r>
          <w:r>
            <w:rPr>
              <w:rFonts w:ascii="宋体" w:hAnsi="宋体" w:eastAsia="宋体" w:cs="宋体"/>
              <w:snapToGrid w:val="0"/>
              <w:color w:val="auto"/>
              <w:kern w:val="0"/>
              <w:szCs w:val="24"/>
              <w:highlight w:val="none"/>
              <w:lang w:val="en-US" w:eastAsia="en-US" w:bidi="ar-SA"/>
            </w:rPr>
            <w:instrText xml:space="preserve"> HYPERLINK \l _Toc1161 </w:instrText>
          </w:r>
          <w:r>
            <w:rPr>
              <w:rFonts w:ascii="宋体" w:hAnsi="宋体" w:eastAsia="宋体" w:cs="宋体"/>
              <w:snapToGrid w:val="0"/>
              <w:color w:val="auto"/>
              <w:kern w:val="0"/>
              <w:szCs w:val="24"/>
              <w:highlight w:val="none"/>
              <w:lang w:val="en-US" w:eastAsia="en-US" w:bidi="ar-SA"/>
            </w:rPr>
            <w:fldChar w:fldCharType="separate"/>
          </w:r>
          <w:r>
            <w:rPr>
              <w:rFonts w:ascii="宋体" w:hAnsi="宋体" w:eastAsia="宋体" w:cs="宋体"/>
              <w:bCs/>
              <w:color w:val="auto"/>
              <w:spacing w:val="-8"/>
              <w:szCs w:val="28"/>
              <w:highlight w:val="none"/>
            </w:rPr>
            <w:t>3.</w:t>
          </w:r>
          <w:r>
            <w:rPr>
              <w:rFonts w:ascii="宋体" w:hAnsi="宋体" w:eastAsia="宋体" w:cs="宋体"/>
              <w:color w:val="auto"/>
              <w:spacing w:val="18"/>
              <w:szCs w:val="28"/>
              <w:highlight w:val="none"/>
            </w:rPr>
            <w:t xml:space="preserve"> </w:t>
          </w:r>
          <w:r>
            <w:rPr>
              <w:rFonts w:ascii="宋体" w:hAnsi="宋体" w:eastAsia="宋体" w:cs="宋体"/>
              <w:bCs/>
              <w:color w:val="auto"/>
              <w:spacing w:val="-8"/>
              <w:szCs w:val="28"/>
              <w:highlight w:val="none"/>
            </w:rPr>
            <w:t>投标文件</w:t>
          </w:r>
          <w:r>
            <w:rPr>
              <w:color w:val="auto"/>
              <w:highlight w:val="none"/>
            </w:rPr>
            <w:tab/>
          </w:r>
          <w:r>
            <w:rPr>
              <w:color w:val="auto"/>
              <w:highlight w:val="none"/>
            </w:rPr>
            <w:fldChar w:fldCharType="begin"/>
          </w:r>
          <w:r>
            <w:rPr>
              <w:color w:val="auto"/>
              <w:highlight w:val="none"/>
            </w:rPr>
            <w:instrText xml:space="preserve"> PAGEREF _Toc1161 \h </w:instrText>
          </w:r>
          <w:r>
            <w:rPr>
              <w:color w:val="auto"/>
              <w:highlight w:val="none"/>
            </w:rPr>
            <w:fldChar w:fldCharType="separate"/>
          </w:r>
          <w:r>
            <w:rPr>
              <w:color w:val="auto"/>
              <w:highlight w:val="none"/>
            </w:rPr>
            <w:t>38</w:t>
          </w:r>
          <w:r>
            <w:rPr>
              <w:color w:val="auto"/>
              <w:highlight w:val="none"/>
            </w:rPr>
            <w:fldChar w:fldCharType="end"/>
          </w:r>
          <w:r>
            <w:rPr>
              <w:rFonts w:ascii="宋体" w:hAnsi="宋体" w:eastAsia="宋体" w:cs="宋体"/>
              <w:snapToGrid w:val="0"/>
              <w:color w:val="auto"/>
              <w:kern w:val="0"/>
              <w:szCs w:val="24"/>
              <w:highlight w:val="none"/>
              <w:lang w:val="en-US" w:eastAsia="en-US" w:bidi="ar-SA"/>
            </w:rPr>
            <w:fldChar w:fldCharType="end"/>
          </w:r>
        </w:p>
        <w:p w14:paraId="41D16A9B">
          <w:pPr>
            <w:pStyle w:val="11"/>
            <w:tabs>
              <w:tab w:val="right" w:leader="dot" w:pos="8797"/>
            </w:tabs>
            <w:rPr>
              <w:color w:val="auto"/>
              <w:highlight w:val="none"/>
            </w:rPr>
          </w:pPr>
          <w:r>
            <w:rPr>
              <w:rFonts w:ascii="宋体" w:hAnsi="宋体" w:eastAsia="宋体" w:cs="宋体"/>
              <w:snapToGrid w:val="0"/>
              <w:color w:val="auto"/>
              <w:kern w:val="0"/>
              <w:szCs w:val="24"/>
              <w:highlight w:val="none"/>
              <w:lang w:val="en-US" w:eastAsia="en-US" w:bidi="ar-SA"/>
            </w:rPr>
            <w:fldChar w:fldCharType="begin"/>
          </w:r>
          <w:r>
            <w:rPr>
              <w:rFonts w:ascii="宋体" w:hAnsi="宋体" w:eastAsia="宋体" w:cs="宋体"/>
              <w:snapToGrid w:val="0"/>
              <w:color w:val="auto"/>
              <w:kern w:val="0"/>
              <w:szCs w:val="24"/>
              <w:highlight w:val="none"/>
              <w:lang w:val="en-US" w:eastAsia="en-US" w:bidi="ar-SA"/>
            </w:rPr>
            <w:instrText xml:space="preserve"> HYPERLINK \l _Toc20032 </w:instrText>
          </w:r>
          <w:r>
            <w:rPr>
              <w:rFonts w:ascii="宋体" w:hAnsi="宋体" w:eastAsia="宋体" w:cs="宋体"/>
              <w:snapToGrid w:val="0"/>
              <w:color w:val="auto"/>
              <w:kern w:val="0"/>
              <w:szCs w:val="24"/>
              <w:highlight w:val="none"/>
              <w:lang w:val="en-US" w:eastAsia="en-US" w:bidi="ar-SA"/>
            </w:rPr>
            <w:fldChar w:fldCharType="separate"/>
          </w:r>
          <w:r>
            <w:rPr>
              <w:rFonts w:ascii="宋体" w:hAnsi="宋体" w:eastAsia="宋体" w:cs="宋体"/>
              <w:bCs/>
              <w:color w:val="auto"/>
              <w:spacing w:val="-3"/>
              <w:szCs w:val="24"/>
              <w:highlight w:val="none"/>
            </w:rPr>
            <w:t>3.1</w:t>
          </w:r>
          <w:r>
            <w:rPr>
              <w:rFonts w:ascii="宋体" w:hAnsi="宋体" w:eastAsia="宋体" w:cs="宋体"/>
              <w:color w:val="auto"/>
              <w:spacing w:val="-3"/>
              <w:szCs w:val="24"/>
              <w:highlight w:val="none"/>
            </w:rPr>
            <w:t xml:space="preserve"> </w:t>
          </w:r>
          <w:r>
            <w:rPr>
              <w:rFonts w:ascii="宋体" w:hAnsi="宋体" w:eastAsia="宋体" w:cs="宋体"/>
              <w:bCs/>
              <w:color w:val="auto"/>
              <w:spacing w:val="-3"/>
              <w:szCs w:val="24"/>
              <w:highlight w:val="none"/>
            </w:rPr>
            <w:t>投标文件的组成</w:t>
          </w:r>
          <w:r>
            <w:rPr>
              <w:color w:val="auto"/>
              <w:highlight w:val="none"/>
            </w:rPr>
            <w:tab/>
          </w:r>
          <w:r>
            <w:rPr>
              <w:color w:val="auto"/>
              <w:highlight w:val="none"/>
            </w:rPr>
            <w:fldChar w:fldCharType="begin"/>
          </w:r>
          <w:r>
            <w:rPr>
              <w:color w:val="auto"/>
              <w:highlight w:val="none"/>
            </w:rPr>
            <w:instrText xml:space="preserve"> PAGEREF _Toc20032 \h </w:instrText>
          </w:r>
          <w:r>
            <w:rPr>
              <w:color w:val="auto"/>
              <w:highlight w:val="none"/>
            </w:rPr>
            <w:fldChar w:fldCharType="separate"/>
          </w:r>
          <w:r>
            <w:rPr>
              <w:color w:val="auto"/>
              <w:highlight w:val="none"/>
            </w:rPr>
            <w:t>38</w:t>
          </w:r>
          <w:r>
            <w:rPr>
              <w:color w:val="auto"/>
              <w:highlight w:val="none"/>
            </w:rPr>
            <w:fldChar w:fldCharType="end"/>
          </w:r>
          <w:r>
            <w:rPr>
              <w:rFonts w:ascii="宋体" w:hAnsi="宋体" w:eastAsia="宋体" w:cs="宋体"/>
              <w:snapToGrid w:val="0"/>
              <w:color w:val="auto"/>
              <w:kern w:val="0"/>
              <w:szCs w:val="24"/>
              <w:highlight w:val="none"/>
              <w:lang w:val="en-US" w:eastAsia="en-US" w:bidi="ar-SA"/>
            </w:rPr>
            <w:fldChar w:fldCharType="end"/>
          </w:r>
        </w:p>
        <w:p w14:paraId="00FB1124">
          <w:pPr>
            <w:pStyle w:val="11"/>
            <w:tabs>
              <w:tab w:val="right" w:leader="dot" w:pos="8797"/>
            </w:tabs>
            <w:rPr>
              <w:color w:val="auto"/>
              <w:highlight w:val="none"/>
            </w:rPr>
          </w:pPr>
          <w:r>
            <w:rPr>
              <w:rFonts w:ascii="宋体" w:hAnsi="宋体" w:eastAsia="宋体" w:cs="宋体"/>
              <w:snapToGrid w:val="0"/>
              <w:color w:val="auto"/>
              <w:kern w:val="0"/>
              <w:szCs w:val="24"/>
              <w:highlight w:val="none"/>
              <w:lang w:val="en-US" w:eastAsia="en-US" w:bidi="ar-SA"/>
            </w:rPr>
            <w:fldChar w:fldCharType="begin"/>
          </w:r>
          <w:r>
            <w:rPr>
              <w:rFonts w:ascii="宋体" w:hAnsi="宋体" w:eastAsia="宋体" w:cs="宋体"/>
              <w:snapToGrid w:val="0"/>
              <w:color w:val="auto"/>
              <w:kern w:val="0"/>
              <w:szCs w:val="24"/>
              <w:highlight w:val="none"/>
              <w:lang w:val="en-US" w:eastAsia="en-US" w:bidi="ar-SA"/>
            </w:rPr>
            <w:instrText xml:space="preserve"> HYPERLINK \l _Toc29573 </w:instrText>
          </w:r>
          <w:r>
            <w:rPr>
              <w:rFonts w:ascii="宋体" w:hAnsi="宋体" w:eastAsia="宋体" w:cs="宋体"/>
              <w:snapToGrid w:val="0"/>
              <w:color w:val="auto"/>
              <w:kern w:val="0"/>
              <w:szCs w:val="24"/>
              <w:highlight w:val="none"/>
              <w:lang w:val="en-US" w:eastAsia="en-US" w:bidi="ar-SA"/>
            </w:rPr>
            <w:fldChar w:fldCharType="separate"/>
          </w:r>
          <w:r>
            <w:rPr>
              <w:rFonts w:ascii="宋体" w:hAnsi="宋体" w:eastAsia="宋体" w:cs="宋体"/>
              <w:bCs/>
              <w:color w:val="auto"/>
              <w:spacing w:val="-6"/>
              <w:szCs w:val="24"/>
              <w:highlight w:val="none"/>
            </w:rPr>
            <w:t>3.2</w:t>
          </w:r>
          <w:r>
            <w:rPr>
              <w:rFonts w:ascii="宋体" w:hAnsi="宋体" w:eastAsia="宋体" w:cs="宋体"/>
              <w:color w:val="auto"/>
              <w:spacing w:val="16"/>
              <w:szCs w:val="24"/>
              <w:highlight w:val="none"/>
            </w:rPr>
            <w:t xml:space="preserve"> </w:t>
          </w:r>
          <w:r>
            <w:rPr>
              <w:rFonts w:ascii="宋体" w:hAnsi="宋体" w:eastAsia="宋体" w:cs="宋体"/>
              <w:bCs/>
              <w:color w:val="auto"/>
              <w:spacing w:val="-6"/>
              <w:szCs w:val="24"/>
              <w:highlight w:val="none"/>
            </w:rPr>
            <w:t>投标报价</w:t>
          </w:r>
          <w:r>
            <w:rPr>
              <w:color w:val="auto"/>
              <w:highlight w:val="none"/>
            </w:rPr>
            <w:tab/>
          </w:r>
          <w:r>
            <w:rPr>
              <w:color w:val="auto"/>
              <w:highlight w:val="none"/>
            </w:rPr>
            <w:fldChar w:fldCharType="begin"/>
          </w:r>
          <w:r>
            <w:rPr>
              <w:color w:val="auto"/>
              <w:highlight w:val="none"/>
            </w:rPr>
            <w:instrText xml:space="preserve"> PAGEREF _Toc29573 \h </w:instrText>
          </w:r>
          <w:r>
            <w:rPr>
              <w:color w:val="auto"/>
              <w:highlight w:val="none"/>
            </w:rPr>
            <w:fldChar w:fldCharType="separate"/>
          </w:r>
          <w:r>
            <w:rPr>
              <w:color w:val="auto"/>
              <w:highlight w:val="none"/>
            </w:rPr>
            <w:t>38</w:t>
          </w:r>
          <w:r>
            <w:rPr>
              <w:color w:val="auto"/>
              <w:highlight w:val="none"/>
            </w:rPr>
            <w:fldChar w:fldCharType="end"/>
          </w:r>
          <w:r>
            <w:rPr>
              <w:rFonts w:ascii="宋体" w:hAnsi="宋体" w:eastAsia="宋体" w:cs="宋体"/>
              <w:snapToGrid w:val="0"/>
              <w:color w:val="auto"/>
              <w:kern w:val="0"/>
              <w:szCs w:val="24"/>
              <w:highlight w:val="none"/>
              <w:lang w:val="en-US" w:eastAsia="en-US" w:bidi="ar-SA"/>
            </w:rPr>
            <w:fldChar w:fldCharType="end"/>
          </w:r>
        </w:p>
        <w:p w14:paraId="085506AA">
          <w:pPr>
            <w:pStyle w:val="11"/>
            <w:tabs>
              <w:tab w:val="right" w:leader="dot" w:pos="8797"/>
            </w:tabs>
            <w:rPr>
              <w:color w:val="auto"/>
              <w:highlight w:val="none"/>
            </w:rPr>
          </w:pPr>
          <w:r>
            <w:rPr>
              <w:rFonts w:ascii="宋体" w:hAnsi="宋体" w:eastAsia="宋体" w:cs="宋体"/>
              <w:snapToGrid w:val="0"/>
              <w:color w:val="auto"/>
              <w:kern w:val="0"/>
              <w:szCs w:val="24"/>
              <w:highlight w:val="none"/>
              <w:lang w:val="en-US" w:eastAsia="en-US" w:bidi="ar-SA"/>
            </w:rPr>
            <w:fldChar w:fldCharType="begin"/>
          </w:r>
          <w:r>
            <w:rPr>
              <w:rFonts w:ascii="宋体" w:hAnsi="宋体" w:eastAsia="宋体" w:cs="宋体"/>
              <w:snapToGrid w:val="0"/>
              <w:color w:val="auto"/>
              <w:kern w:val="0"/>
              <w:szCs w:val="24"/>
              <w:highlight w:val="none"/>
              <w:lang w:val="en-US" w:eastAsia="en-US" w:bidi="ar-SA"/>
            </w:rPr>
            <w:instrText xml:space="preserve"> HYPERLINK \l _Toc23397 </w:instrText>
          </w:r>
          <w:r>
            <w:rPr>
              <w:rFonts w:ascii="宋体" w:hAnsi="宋体" w:eastAsia="宋体" w:cs="宋体"/>
              <w:snapToGrid w:val="0"/>
              <w:color w:val="auto"/>
              <w:kern w:val="0"/>
              <w:szCs w:val="24"/>
              <w:highlight w:val="none"/>
              <w:lang w:val="en-US" w:eastAsia="en-US" w:bidi="ar-SA"/>
            </w:rPr>
            <w:fldChar w:fldCharType="separate"/>
          </w:r>
          <w:r>
            <w:rPr>
              <w:rFonts w:ascii="宋体" w:hAnsi="宋体" w:eastAsia="宋体" w:cs="宋体"/>
              <w:bCs/>
              <w:color w:val="auto"/>
              <w:spacing w:val="-5"/>
              <w:szCs w:val="24"/>
              <w:highlight w:val="none"/>
            </w:rPr>
            <w:t>3.3</w:t>
          </w:r>
          <w:r>
            <w:rPr>
              <w:rFonts w:ascii="宋体" w:hAnsi="宋体" w:eastAsia="宋体" w:cs="宋体"/>
              <w:color w:val="auto"/>
              <w:spacing w:val="14"/>
              <w:szCs w:val="24"/>
              <w:highlight w:val="none"/>
            </w:rPr>
            <w:t xml:space="preserve"> </w:t>
          </w:r>
          <w:r>
            <w:rPr>
              <w:rFonts w:ascii="宋体" w:hAnsi="宋体" w:eastAsia="宋体" w:cs="宋体"/>
              <w:bCs/>
              <w:color w:val="auto"/>
              <w:spacing w:val="-5"/>
              <w:szCs w:val="24"/>
              <w:highlight w:val="none"/>
            </w:rPr>
            <w:t>投标有效期</w:t>
          </w:r>
          <w:r>
            <w:rPr>
              <w:color w:val="auto"/>
              <w:highlight w:val="none"/>
            </w:rPr>
            <w:tab/>
          </w:r>
          <w:r>
            <w:rPr>
              <w:color w:val="auto"/>
              <w:highlight w:val="none"/>
            </w:rPr>
            <w:fldChar w:fldCharType="begin"/>
          </w:r>
          <w:r>
            <w:rPr>
              <w:color w:val="auto"/>
              <w:highlight w:val="none"/>
            </w:rPr>
            <w:instrText xml:space="preserve"> PAGEREF _Toc23397 \h </w:instrText>
          </w:r>
          <w:r>
            <w:rPr>
              <w:color w:val="auto"/>
              <w:highlight w:val="none"/>
            </w:rPr>
            <w:fldChar w:fldCharType="separate"/>
          </w:r>
          <w:r>
            <w:rPr>
              <w:color w:val="auto"/>
              <w:highlight w:val="none"/>
            </w:rPr>
            <w:t>39</w:t>
          </w:r>
          <w:r>
            <w:rPr>
              <w:color w:val="auto"/>
              <w:highlight w:val="none"/>
            </w:rPr>
            <w:fldChar w:fldCharType="end"/>
          </w:r>
          <w:r>
            <w:rPr>
              <w:rFonts w:ascii="宋体" w:hAnsi="宋体" w:eastAsia="宋体" w:cs="宋体"/>
              <w:snapToGrid w:val="0"/>
              <w:color w:val="auto"/>
              <w:kern w:val="0"/>
              <w:szCs w:val="24"/>
              <w:highlight w:val="none"/>
              <w:lang w:val="en-US" w:eastAsia="en-US" w:bidi="ar-SA"/>
            </w:rPr>
            <w:fldChar w:fldCharType="end"/>
          </w:r>
        </w:p>
        <w:p w14:paraId="4B6B1BE2">
          <w:pPr>
            <w:pStyle w:val="11"/>
            <w:tabs>
              <w:tab w:val="right" w:leader="dot" w:pos="8797"/>
            </w:tabs>
            <w:rPr>
              <w:color w:val="auto"/>
              <w:highlight w:val="none"/>
            </w:rPr>
          </w:pPr>
          <w:r>
            <w:rPr>
              <w:rFonts w:ascii="宋体" w:hAnsi="宋体" w:eastAsia="宋体" w:cs="宋体"/>
              <w:snapToGrid w:val="0"/>
              <w:color w:val="auto"/>
              <w:kern w:val="0"/>
              <w:szCs w:val="24"/>
              <w:highlight w:val="none"/>
              <w:lang w:val="en-US" w:eastAsia="en-US" w:bidi="ar-SA"/>
            </w:rPr>
            <w:fldChar w:fldCharType="begin"/>
          </w:r>
          <w:r>
            <w:rPr>
              <w:rFonts w:ascii="宋体" w:hAnsi="宋体" w:eastAsia="宋体" w:cs="宋体"/>
              <w:snapToGrid w:val="0"/>
              <w:color w:val="auto"/>
              <w:kern w:val="0"/>
              <w:szCs w:val="24"/>
              <w:highlight w:val="none"/>
              <w:lang w:val="en-US" w:eastAsia="en-US" w:bidi="ar-SA"/>
            </w:rPr>
            <w:instrText xml:space="preserve"> HYPERLINK \l _Toc16361 </w:instrText>
          </w:r>
          <w:r>
            <w:rPr>
              <w:rFonts w:ascii="宋体" w:hAnsi="宋体" w:eastAsia="宋体" w:cs="宋体"/>
              <w:snapToGrid w:val="0"/>
              <w:color w:val="auto"/>
              <w:kern w:val="0"/>
              <w:szCs w:val="24"/>
              <w:highlight w:val="none"/>
              <w:lang w:val="en-US" w:eastAsia="en-US" w:bidi="ar-SA"/>
            </w:rPr>
            <w:fldChar w:fldCharType="separate"/>
          </w:r>
          <w:r>
            <w:rPr>
              <w:rFonts w:ascii="宋体" w:hAnsi="宋体" w:eastAsia="宋体" w:cs="宋体"/>
              <w:bCs/>
              <w:color w:val="auto"/>
              <w:spacing w:val="-5"/>
              <w:szCs w:val="24"/>
              <w:highlight w:val="none"/>
            </w:rPr>
            <w:t>3.4</w:t>
          </w:r>
          <w:r>
            <w:rPr>
              <w:rFonts w:ascii="宋体" w:hAnsi="宋体" w:eastAsia="宋体" w:cs="宋体"/>
              <w:color w:val="auto"/>
              <w:spacing w:val="14"/>
              <w:szCs w:val="24"/>
              <w:highlight w:val="none"/>
            </w:rPr>
            <w:t xml:space="preserve"> </w:t>
          </w:r>
          <w:r>
            <w:rPr>
              <w:rFonts w:ascii="宋体" w:hAnsi="宋体" w:eastAsia="宋体" w:cs="宋体"/>
              <w:bCs/>
              <w:color w:val="auto"/>
              <w:spacing w:val="-5"/>
              <w:szCs w:val="24"/>
              <w:highlight w:val="none"/>
            </w:rPr>
            <w:t>投标保证金</w:t>
          </w:r>
          <w:r>
            <w:rPr>
              <w:color w:val="auto"/>
              <w:highlight w:val="none"/>
            </w:rPr>
            <w:tab/>
          </w:r>
          <w:r>
            <w:rPr>
              <w:color w:val="auto"/>
              <w:highlight w:val="none"/>
            </w:rPr>
            <w:fldChar w:fldCharType="begin"/>
          </w:r>
          <w:r>
            <w:rPr>
              <w:color w:val="auto"/>
              <w:highlight w:val="none"/>
            </w:rPr>
            <w:instrText xml:space="preserve"> PAGEREF _Toc16361 \h </w:instrText>
          </w:r>
          <w:r>
            <w:rPr>
              <w:color w:val="auto"/>
              <w:highlight w:val="none"/>
            </w:rPr>
            <w:fldChar w:fldCharType="separate"/>
          </w:r>
          <w:r>
            <w:rPr>
              <w:color w:val="auto"/>
              <w:highlight w:val="none"/>
            </w:rPr>
            <w:t>39</w:t>
          </w:r>
          <w:r>
            <w:rPr>
              <w:color w:val="auto"/>
              <w:highlight w:val="none"/>
            </w:rPr>
            <w:fldChar w:fldCharType="end"/>
          </w:r>
          <w:r>
            <w:rPr>
              <w:rFonts w:ascii="宋体" w:hAnsi="宋体" w:eastAsia="宋体" w:cs="宋体"/>
              <w:snapToGrid w:val="0"/>
              <w:color w:val="auto"/>
              <w:kern w:val="0"/>
              <w:szCs w:val="24"/>
              <w:highlight w:val="none"/>
              <w:lang w:val="en-US" w:eastAsia="en-US" w:bidi="ar-SA"/>
            </w:rPr>
            <w:fldChar w:fldCharType="end"/>
          </w:r>
        </w:p>
        <w:p w14:paraId="0860B03A">
          <w:pPr>
            <w:pStyle w:val="11"/>
            <w:tabs>
              <w:tab w:val="right" w:leader="dot" w:pos="8797"/>
            </w:tabs>
            <w:rPr>
              <w:color w:val="auto"/>
              <w:highlight w:val="none"/>
            </w:rPr>
          </w:pPr>
          <w:r>
            <w:rPr>
              <w:rFonts w:ascii="宋体" w:hAnsi="宋体" w:eastAsia="宋体" w:cs="宋体"/>
              <w:snapToGrid w:val="0"/>
              <w:color w:val="auto"/>
              <w:kern w:val="0"/>
              <w:szCs w:val="24"/>
              <w:highlight w:val="none"/>
              <w:lang w:val="en-US" w:eastAsia="en-US" w:bidi="ar-SA"/>
            </w:rPr>
            <w:fldChar w:fldCharType="begin"/>
          </w:r>
          <w:r>
            <w:rPr>
              <w:rFonts w:ascii="宋体" w:hAnsi="宋体" w:eastAsia="宋体" w:cs="宋体"/>
              <w:snapToGrid w:val="0"/>
              <w:color w:val="auto"/>
              <w:kern w:val="0"/>
              <w:szCs w:val="24"/>
              <w:highlight w:val="none"/>
              <w:lang w:val="en-US" w:eastAsia="en-US" w:bidi="ar-SA"/>
            </w:rPr>
            <w:instrText xml:space="preserve"> HYPERLINK \l _Toc5220 </w:instrText>
          </w:r>
          <w:r>
            <w:rPr>
              <w:rFonts w:ascii="宋体" w:hAnsi="宋体" w:eastAsia="宋体" w:cs="宋体"/>
              <w:snapToGrid w:val="0"/>
              <w:color w:val="auto"/>
              <w:kern w:val="0"/>
              <w:szCs w:val="24"/>
              <w:highlight w:val="none"/>
              <w:lang w:val="en-US" w:eastAsia="en-US" w:bidi="ar-SA"/>
            </w:rPr>
            <w:fldChar w:fldCharType="separate"/>
          </w:r>
          <w:r>
            <w:rPr>
              <w:rFonts w:ascii="宋体" w:hAnsi="宋体" w:eastAsia="宋体" w:cs="宋体"/>
              <w:bCs/>
              <w:color w:val="auto"/>
              <w:spacing w:val="-6"/>
              <w:szCs w:val="24"/>
              <w:highlight w:val="none"/>
            </w:rPr>
            <w:t>3.5</w:t>
          </w:r>
          <w:r>
            <w:rPr>
              <w:rFonts w:ascii="宋体" w:hAnsi="宋体" w:eastAsia="宋体" w:cs="宋体"/>
              <w:color w:val="auto"/>
              <w:spacing w:val="25"/>
              <w:szCs w:val="24"/>
              <w:highlight w:val="none"/>
            </w:rPr>
            <w:t xml:space="preserve"> </w:t>
          </w:r>
          <w:r>
            <w:rPr>
              <w:rFonts w:ascii="宋体" w:hAnsi="宋体" w:eastAsia="宋体" w:cs="宋体"/>
              <w:bCs/>
              <w:color w:val="auto"/>
              <w:spacing w:val="-6"/>
              <w:szCs w:val="24"/>
              <w:highlight w:val="none"/>
            </w:rPr>
            <w:t>资格审查资料</w:t>
          </w:r>
          <w:r>
            <w:rPr>
              <w:color w:val="auto"/>
              <w:highlight w:val="none"/>
            </w:rPr>
            <w:tab/>
          </w:r>
          <w:r>
            <w:rPr>
              <w:color w:val="auto"/>
              <w:highlight w:val="none"/>
            </w:rPr>
            <w:fldChar w:fldCharType="begin"/>
          </w:r>
          <w:r>
            <w:rPr>
              <w:color w:val="auto"/>
              <w:highlight w:val="none"/>
            </w:rPr>
            <w:instrText xml:space="preserve"> PAGEREF _Toc5220 \h </w:instrText>
          </w:r>
          <w:r>
            <w:rPr>
              <w:color w:val="auto"/>
              <w:highlight w:val="none"/>
            </w:rPr>
            <w:fldChar w:fldCharType="separate"/>
          </w:r>
          <w:r>
            <w:rPr>
              <w:color w:val="auto"/>
              <w:highlight w:val="none"/>
            </w:rPr>
            <w:t>40</w:t>
          </w:r>
          <w:r>
            <w:rPr>
              <w:color w:val="auto"/>
              <w:highlight w:val="none"/>
            </w:rPr>
            <w:fldChar w:fldCharType="end"/>
          </w:r>
          <w:r>
            <w:rPr>
              <w:rFonts w:ascii="宋体" w:hAnsi="宋体" w:eastAsia="宋体" w:cs="宋体"/>
              <w:snapToGrid w:val="0"/>
              <w:color w:val="auto"/>
              <w:kern w:val="0"/>
              <w:szCs w:val="24"/>
              <w:highlight w:val="none"/>
              <w:lang w:val="en-US" w:eastAsia="en-US" w:bidi="ar-SA"/>
            </w:rPr>
            <w:fldChar w:fldCharType="end"/>
          </w:r>
        </w:p>
        <w:p w14:paraId="1929A770">
          <w:pPr>
            <w:pStyle w:val="11"/>
            <w:tabs>
              <w:tab w:val="right" w:leader="dot" w:pos="8797"/>
            </w:tabs>
            <w:rPr>
              <w:color w:val="auto"/>
              <w:highlight w:val="none"/>
            </w:rPr>
          </w:pPr>
          <w:r>
            <w:rPr>
              <w:rFonts w:ascii="宋体" w:hAnsi="宋体" w:eastAsia="宋体" w:cs="宋体"/>
              <w:snapToGrid w:val="0"/>
              <w:color w:val="auto"/>
              <w:kern w:val="0"/>
              <w:szCs w:val="24"/>
              <w:highlight w:val="none"/>
              <w:lang w:val="en-US" w:eastAsia="en-US" w:bidi="ar-SA"/>
            </w:rPr>
            <w:fldChar w:fldCharType="begin"/>
          </w:r>
          <w:r>
            <w:rPr>
              <w:rFonts w:ascii="宋体" w:hAnsi="宋体" w:eastAsia="宋体" w:cs="宋体"/>
              <w:snapToGrid w:val="0"/>
              <w:color w:val="auto"/>
              <w:kern w:val="0"/>
              <w:szCs w:val="24"/>
              <w:highlight w:val="none"/>
              <w:lang w:val="en-US" w:eastAsia="en-US" w:bidi="ar-SA"/>
            </w:rPr>
            <w:instrText xml:space="preserve"> HYPERLINK \l _Toc19853 </w:instrText>
          </w:r>
          <w:r>
            <w:rPr>
              <w:rFonts w:ascii="宋体" w:hAnsi="宋体" w:eastAsia="宋体" w:cs="宋体"/>
              <w:snapToGrid w:val="0"/>
              <w:color w:val="auto"/>
              <w:kern w:val="0"/>
              <w:szCs w:val="24"/>
              <w:highlight w:val="none"/>
              <w:lang w:val="en-US" w:eastAsia="en-US" w:bidi="ar-SA"/>
            </w:rPr>
            <w:fldChar w:fldCharType="separate"/>
          </w:r>
          <w:r>
            <w:rPr>
              <w:rFonts w:ascii="宋体" w:hAnsi="宋体" w:eastAsia="宋体" w:cs="宋体"/>
              <w:bCs/>
              <w:color w:val="auto"/>
              <w:spacing w:val="-3"/>
              <w:szCs w:val="24"/>
              <w:highlight w:val="none"/>
            </w:rPr>
            <w:t>3.6</w:t>
          </w:r>
          <w:r>
            <w:rPr>
              <w:rFonts w:ascii="宋体" w:hAnsi="宋体" w:eastAsia="宋体" w:cs="宋体"/>
              <w:color w:val="auto"/>
              <w:spacing w:val="-3"/>
              <w:szCs w:val="24"/>
              <w:highlight w:val="none"/>
            </w:rPr>
            <w:t xml:space="preserve"> </w:t>
          </w:r>
          <w:r>
            <w:rPr>
              <w:rFonts w:ascii="宋体" w:hAnsi="宋体" w:eastAsia="宋体" w:cs="宋体"/>
              <w:bCs/>
              <w:color w:val="auto"/>
              <w:spacing w:val="-3"/>
              <w:szCs w:val="24"/>
              <w:highlight w:val="none"/>
            </w:rPr>
            <w:t>备选投标方案</w:t>
          </w:r>
          <w:r>
            <w:rPr>
              <w:color w:val="auto"/>
              <w:highlight w:val="none"/>
            </w:rPr>
            <w:tab/>
          </w:r>
          <w:r>
            <w:rPr>
              <w:color w:val="auto"/>
              <w:highlight w:val="none"/>
            </w:rPr>
            <w:fldChar w:fldCharType="begin"/>
          </w:r>
          <w:r>
            <w:rPr>
              <w:color w:val="auto"/>
              <w:highlight w:val="none"/>
            </w:rPr>
            <w:instrText xml:space="preserve"> PAGEREF _Toc19853 \h </w:instrText>
          </w:r>
          <w:r>
            <w:rPr>
              <w:color w:val="auto"/>
              <w:highlight w:val="none"/>
            </w:rPr>
            <w:fldChar w:fldCharType="separate"/>
          </w:r>
          <w:r>
            <w:rPr>
              <w:color w:val="auto"/>
              <w:highlight w:val="none"/>
            </w:rPr>
            <w:t>45</w:t>
          </w:r>
          <w:r>
            <w:rPr>
              <w:color w:val="auto"/>
              <w:highlight w:val="none"/>
            </w:rPr>
            <w:fldChar w:fldCharType="end"/>
          </w:r>
          <w:r>
            <w:rPr>
              <w:rFonts w:ascii="宋体" w:hAnsi="宋体" w:eastAsia="宋体" w:cs="宋体"/>
              <w:snapToGrid w:val="0"/>
              <w:color w:val="auto"/>
              <w:kern w:val="0"/>
              <w:szCs w:val="24"/>
              <w:highlight w:val="none"/>
              <w:lang w:val="en-US" w:eastAsia="en-US" w:bidi="ar-SA"/>
            </w:rPr>
            <w:fldChar w:fldCharType="end"/>
          </w:r>
        </w:p>
        <w:p w14:paraId="11B0A0C7">
          <w:pPr>
            <w:pStyle w:val="11"/>
            <w:tabs>
              <w:tab w:val="right" w:leader="dot" w:pos="8797"/>
            </w:tabs>
            <w:rPr>
              <w:color w:val="auto"/>
              <w:highlight w:val="none"/>
            </w:rPr>
          </w:pPr>
          <w:r>
            <w:rPr>
              <w:rFonts w:ascii="宋体" w:hAnsi="宋体" w:eastAsia="宋体" w:cs="宋体"/>
              <w:snapToGrid w:val="0"/>
              <w:color w:val="auto"/>
              <w:kern w:val="0"/>
              <w:szCs w:val="24"/>
              <w:highlight w:val="none"/>
              <w:lang w:val="en-US" w:eastAsia="en-US" w:bidi="ar-SA"/>
            </w:rPr>
            <w:fldChar w:fldCharType="begin"/>
          </w:r>
          <w:r>
            <w:rPr>
              <w:rFonts w:ascii="宋体" w:hAnsi="宋体" w:eastAsia="宋体" w:cs="宋体"/>
              <w:snapToGrid w:val="0"/>
              <w:color w:val="auto"/>
              <w:kern w:val="0"/>
              <w:szCs w:val="24"/>
              <w:highlight w:val="none"/>
              <w:lang w:val="en-US" w:eastAsia="en-US" w:bidi="ar-SA"/>
            </w:rPr>
            <w:instrText xml:space="preserve"> HYPERLINK \l _Toc2102 </w:instrText>
          </w:r>
          <w:r>
            <w:rPr>
              <w:rFonts w:ascii="宋体" w:hAnsi="宋体" w:eastAsia="宋体" w:cs="宋体"/>
              <w:snapToGrid w:val="0"/>
              <w:color w:val="auto"/>
              <w:kern w:val="0"/>
              <w:szCs w:val="24"/>
              <w:highlight w:val="none"/>
              <w:lang w:val="en-US" w:eastAsia="en-US" w:bidi="ar-SA"/>
            </w:rPr>
            <w:fldChar w:fldCharType="separate"/>
          </w:r>
          <w:r>
            <w:rPr>
              <w:rFonts w:ascii="宋体" w:hAnsi="宋体" w:eastAsia="宋体" w:cs="宋体"/>
              <w:bCs/>
              <w:color w:val="auto"/>
              <w:spacing w:val="-3"/>
              <w:szCs w:val="24"/>
              <w:highlight w:val="none"/>
            </w:rPr>
            <w:t>3.7</w:t>
          </w:r>
          <w:r>
            <w:rPr>
              <w:rFonts w:ascii="宋体" w:hAnsi="宋体" w:eastAsia="宋体" w:cs="宋体"/>
              <w:color w:val="auto"/>
              <w:spacing w:val="-3"/>
              <w:szCs w:val="24"/>
              <w:highlight w:val="none"/>
            </w:rPr>
            <w:t xml:space="preserve"> </w:t>
          </w:r>
          <w:r>
            <w:rPr>
              <w:rFonts w:ascii="宋体" w:hAnsi="宋体" w:eastAsia="宋体" w:cs="宋体"/>
              <w:bCs/>
              <w:color w:val="auto"/>
              <w:spacing w:val="-3"/>
              <w:szCs w:val="24"/>
              <w:highlight w:val="none"/>
            </w:rPr>
            <w:t>投标文件的编制</w:t>
          </w:r>
          <w:r>
            <w:rPr>
              <w:color w:val="auto"/>
              <w:highlight w:val="none"/>
            </w:rPr>
            <w:tab/>
          </w:r>
          <w:r>
            <w:rPr>
              <w:color w:val="auto"/>
              <w:highlight w:val="none"/>
            </w:rPr>
            <w:fldChar w:fldCharType="begin"/>
          </w:r>
          <w:r>
            <w:rPr>
              <w:color w:val="auto"/>
              <w:highlight w:val="none"/>
            </w:rPr>
            <w:instrText xml:space="preserve"> PAGEREF _Toc2102 \h </w:instrText>
          </w:r>
          <w:r>
            <w:rPr>
              <w:color w:val="auto"/>
              <w:highlight w:val="none"/>
            </w:rPr>
            <w:fldChar w:fldCharType="separate"/>
          </w:r>
          <w:r>
            <w:rPr>
              <w:color w:val="auto"/>
              <w:highlight w:val="none"/>
            </w:rPr>
            <w:t>45</w:t>
          </w:r>
          <w:r>
            <w:rPr>
              <w:color w:val="auto"/>
              <w:highlight w:val="none"/>
            </w:rPr>
            <w:fldChar w:fldCharType="end"/>
          </w:r>
          <w:r>
            <w:rPr>
              <w:rFonts w:ascii="宋体" w:hAnsi="宋体" w:eastAsia="宋体" w:cs="宋体"/>
              <w:snapToGrid w:val="0"/>
              <w:color w:val="auto"/>
              <w:kern w:val="0"/>
              <w:szCs w:val="24"/>
              <w:highlight w:val="none"/>
              <w:lang w:val="en-US" w:eastAsia="en-US" w:bidi="ar-SA"/>
            </w:rPr>
            <w:fldChar w:fldCharType="end"/>
          </w:r>
        </w:p>
        <w:p w14:paraId="79F65CCC">
          <w:pPr>
            <w:pStyle w:val="10"/>
            <w:tabs>
              <w:tab w:val="right" w:leader="dot" w:pos="8797"/>
            </w:tabs>
            <w:rPr>
              <w:color w:val="auto"/>
              <w:highlight w:val="none"/>
            </w:rPr>
          </w:pPr>
          <w:r>
            <w:rPr>
              <w:rFonts w:ascii="宋体" w:hAnsi="宋体" w:eastAsia="宋体" w:cs="宋体"/>
              <w:snapToGrid w:val="0"/>
              <w:color w:val="auto"/>
              <w:kern w:val="0"/>
              <w:szCs w:val="24"/>
              <w:highlight w:val="none"/>
              <w:lang w:val="en-US" w:eastAsia="en-US" w:bidi="ar-SA"/>
            </w:rPr>
            <w:fldChar w:fldCharType="begin"/>
          </w:r>
          <w:r>
            <w:rPr>
              <w:rFonts w:ascii="宋体" w:hAnsi="宋体" w:eastAsia="宋体" w:cs="宋体"/>
              <w:snapToGrid w:val="0"/>
              <w:color w:val="auto"/>
              <w:kern w:val="0"/>
              <w:szCs w:val="24"/>
              <w:highlight w:val="none"/>
              <w:lang w:val="en-US" w:eastAsia="en-US" w:bidi="ar-SA"/>
            </w:rPr>
            <w:instrText xml:space="preserve"> HYPERLINK \l _Toc18435 </w:instrText>
          </w:r>
          <w:r>
            <w:rPr>
              <w:rFonts w:ascii="宋体" w:hAnsi="宋体" w:eastAsia="宋体" w:cs="宋体"/>
              <w:snapToGrid w:val="0"/>
              <w:color w:val="auto"/>
              <w:kern w:val="0"/>
              <w:szCs w:val="24"/>
              <w:highlight w:val="none"/>
              <w:lang w:val="en-US" w:eastAsia="en-US" w:bidi="ar-SA"/>
            </w:rPr>
            <w:fldChar w:fldCharType="separate"/>
          </w:r>
          <w:r>
            <w:rPr>
              <w:rFonts w:ascii="宋体" w:hAnsi="宋体" w:eastAsia="宋体" w:cs="宋体"/>
              <w:bCs/>
              <w:color w:val="auto"/>
              <w:spacing w:val="-9"/>
              <w:szCs w:val="28"/>
              <w:highlight w:val="none"/>
            </w:rPr>
            <w:t>4.</w:t>
          </w:r>
          <w:r>
            <w:rPr>
              <w:rFonts w:ascii="宋体" w:hAnsi="宋体" w:eastAsia="宋体" w:cs="宋体"/>
              <w:color w:val="auto"/>
              <w:spacing w:val="17"/>
              <w:szCs w:val="28"/>
              <w:highlight w:val="none"/>
            </w:rPr>
            <w:t xml:space="preserve"> </w:t>
          </w:r>
          <w:r>
            <w:rPr>
              <w:rFonts w:ascii="宋体" w:hAnsi="宋体" w:eastAsia="宋体" w:cs="宋体"/>
              <w:bCs/>
              <w:color w:val="auto"/>
              <w:spacing w:val="-9"/>
              <w:szCs w:val="28"/>
              <w:highlight w:val="none"/>
            </w:rPr>
            <w:t>投标</w:t>
          </w:r>
          <w:r>
            <w:rPr>
              <w:color w:val="auto"/>
              <w:highlight w:val="none"/>
            </w:rPr>
            <w:tab/>
          </w:r>
          <w:r>
            <w:rPr>
              <w:color w:val="auto"/>
              <w:highlight w:val="none"/>
            </w:rPr>
            <w:fldChar w:fldCharType="begin"/>
          </w:r>
          <w:r>
            <w:rPr>
              <w:color w:val="auto"/>
              <w:highlight w:val="none"/>
            </w:rPr>
            <w:instrText xml:space="preserve"> PAGEREF _Toc18435 \h </w:instrText>
          </w:r>
          <w:r>
            <w:rPr>
              <w:color w:val="auto"/>
              <w:highlight w:val="none"/>
            </w:rPr>
            <w:fldChar w:fldCharType="separate"/>
          </w:r>
          <w:r>
            <w:rPr>
              <w:color w:val="auto"/>
              <w:highlight w:val="none"/>
            </w:rPr>
            <w:t>46</w:t>
          </w:r>
          <w:r>
            <w:rPr>
              <w:color w:val="auto"/>
              <w:highlight w:val="none"/>
            </w:rPr>
            <w:fldChar w:fldCharType="end"/>
          </w:r>
          <w:r>
            <w:rPr>
              <w:rFonts w:ascii="宋体" w:hAnsi="宋体" w:eastAsia="宋体" w:cs="宋体"/>
              <w:snapToGrid w:val="0"/>
              <w:color w:val="auto"/>
              <w:kern w:val="0"/>
              <w:szCs w:val="24"/>
              <w:highlight w:val="none"/>
              <w:lang w:val="en-US" w:eastAsia="en-US" w:bidi="ar-SA"/>
            </w:rPr>
            <w:fldChar w:fldCharType="end"/>
          </w:r>
        </w:p>
        <w:p w14:paraId="0A5A7CC7">
          <w:pPr>
            <w:pStyle w:val="11"/>
            <w:tabs>
              <w:tab w:val="right" w:leader="dot" w:pos="8797"/>
            </w:tabs>
            <w:rPr>
              <w:color w:val="auto"/>
              <w:highlight w:val="none"/>
            </w:rPr>
          </w:pPr>
          <w:r>
            <w:rPr>
              <w:rFonts w:ascii="宋体" w:hAnsi="宋体" w:eastAsia="宋体" w:cs="宋体"/>
              <w:snapToGrid w:val="0"/>
              <w:color w:val="auto"/>
              <w:kern w:val="0"/>
              <w:szCs w:val="24"/>
              <w:highlight w:val="none"/>
              <w:lang w:val="en-US" w:eastAsia="en-US" w:bidi="ar-SA"/>
            </w:rPr>
            <w:fldChar w:fldCharType="begin"/>
          </w:r>
          <w:r>
            <w:rPr>
              <w:rFonts w:ascii="宋体" w:hAnsi="宋体" w:eastAsia="宋体" w:cs="宋体"/>
              <w:snapToGrid w:val="0"/>
              <w:color w:val="auto"/>
              <w:kern w:val="0"/>
              <w:szCs w:val="24"/>
              <w:highlight w:val="none"/>
              <w:lang w:val="en-US" w:eastAsia="en-US" w:bidi="ar-SA"/>
            </w:rPr>
            <w:instrText xml:space="preserve"> HYPERLINK \l _Toc4788 </w:instrText>
          </w:r>
          <w:r>
            <w:rPr>
              <w:rFonts w:ascii="宋体" w:hAnsi="宋体" w:eastAsia="宋体" w:cs="宋体"/>
              <w:snapToGrid w:val="0"/>
              <w:color w:val="auto"/>
              <w:kern w:val="0"/>
              <w:szCs w:val="24"/>
              <w:highlight w:val="none"/>
              <w:lang w:val="en-US" w:eastAsia="en-US" w:bidi="ar-SA"/>
            </w:rPr>
            <w:fldChar w:fldCharType="separate"/>
          </w:r>
          <w:r>
            <w:rPr>
              <w:rFonts w:ascii="宋体" w:hAnsi="宋体" w:eastAsia="宋体" w:cs="宋体"/>
              <w:bCs/>
              <w:color w:val="auto"/>
              <w:spacing w:val="-3"/>
              <w:szCs w:val="24"/>
              <w:highlight w:val="none"/>
            </w:rPr>
            <w:t>4.1</w:t>
          </w:r>
          <w:r>
            <w:rPr>
              <w:rFonts w:ascii="宋体" w:hAnsi="宋体" w:eastAsia="宋体" w:cs="宋体"/>
              <w:color w:val="auto"/>
              <w:spacing w:val="-3"/>
              <w:szCs w:val="24"/>
              <w:highlight w:val="none"/>
            </w:rPr>
            <w:t xml:space="preserve"> </w:t>
          </w:r>
          <w:r>
            <w:rPr>
              <w:rFonts w:ascii="宋体" w:hAnsi="宋体" w:eastAsia="宋体" w:cs="宋体"/>
              <w:bCs/>
              <w:color w:val="auto"/>
              <w:spacing w:val="-3"/>
              <w:szCs w:val="24"/>
              <w:highlight w:val="none"/>
            </w:rPr>
            <w:t>投标文件的加密</w:t>
          </w:r>
          <w:r>
            <w:rPr>
              <w:color w:val="auto"/>
              <w:highlight w:val="none"/>
            </w:rPr>
            <w:tab/>
          </w:r>
          <w:r>
            <w:rPr>
              <w:color w:val="auto"/>
              <w:highlight w:val="none"/>
            </w:rPr>
            <w:fldChar w:fldCharType="begin"/>
          </w:r>
          <w:r>
            <w:rPr>
              <w:color w:val="auto"/>
              <w:highlight w:val="none"/>
            </w:rPr>
            <w:instrText xml:space="preserve"> PAGEREF _Toc4788 \h </w:instrText>
          </w:r>
          <w:r>
            <w:rPr>
              <w:color w:val="auto"/>
              <w:highlight w:val="none"/>
            </w:rPr>
            <w:fldChar w:fldCharType="separate"/>
          </w:r>
          <w:r>
            <w:rPr>
              <w:color w:val="auto"/>
              <w:highlight w:val="none"/>
            </w:rPr>
            <w:t>46</w:t>
          </w:r>
          <w:r>
            <w:rPr>
              <w:color w:val="auto"/>
              <w:highlight w:val="none"/>
            </w:rPr>
            <w:fldChar w:fldCharType="end"/>
          </w:r>
          <w:r>
            <w:rPr>
              <w:rFonts w:ascii="宋体" w:hAnsi="宋体" w:eastAsia="宋体" w:cs="宋体"/>
              <w:snapToGrid w:val="0"/>
              <w:color w:val="auto"/>
              <w:kern w:val="0"/>
              <w:szCs w:val="24"/>
              <w:highlight w:val="none"/>
              <w:lang w:val="en-US" w:eastAsia="en-US" w:bidi="ar-SA"/>
            </w:rPr>
            <w:fldChar w:fldCharType="end"/>
          </w:r>
        </w:p>
        <w:p w14:paraId="7132D452">
          <w:pPr>
            <w:pStyle w:val="11"/>
            <w:tabs>
              <w:tab w:val="right" w:leader="dot" w:pos="8797"/>
            </w:tabs>
            <w:rPr>
              <w:color w:val="auto"/>
              <w:highlight w:val="none"/>
            </w:rPr>
          </w:pPr>
          <w:r>
            <w:rPr>
              <w:rFonts w:ascii="宋体" w:hAnsi="宋体" w:eastAsia="宋体" w:cs="宋体"/>
              <w:snapToGrid w:val="0"/>
              <w:color w:val="auto"/>
              <w:kern w:val="0"/>
              <w:szCs w:val="24"/>
              <w:highlight w:val="none"/>
              <w:lang w:val="en-US" w:eastAsia="en-US" w:bidi="ar-SA"/>
            </w:rPr>
            <w:fldChar w:fldCharType="begin"/>
          </w:r>
          <w:r>
            <w:rPr>
              <w:rFonts w:ascii="宋体" w:hAnsi="宋体" w:eastAsia="宋体" w:cs="宋体"/>
              <w:snapToGrid w:val="0"/>
              <w:color w:val="auto"/>
              <w:kern w:val="0"/>
              <w:szCs w:val="24"/>
              <w:highlight w:val="none"/>
              <w:lang w:val="en-US" w:eastAsia="en-US" w:bidi="ar-SA"/>
            </w:rPr>
            <w:instrText xml:space="preserve"> HYPERLINK \l _Toc18438 </w:instrText>
          </w:r>
          <w:r>
            <w:rPr>
              <w:rFonts w:ascii="宋体" w:hAnsi="宋体" w:eastAsia="宋体" w:cs="宋体"/>
              <w:snapToGrid w:val="0"/>
              <w:color w:val="auto"/>
              <w:kern w:val="0"/>
              <w:szCs w:val="24"/>
              <w:highlight w:val="none"/>
              <w:lang w:val="en-US" w:eastAsia="en-US" w:bidi="ar-SA"/>
            </w:rPr>
            <w:fldChar w:fldCharType="separate"/>
          </w:r>
          <w:r>
            <w:rPr>
              <w:rFonts w:ascii="宋体" w:hAnsi="宋体" w:eastAsia="宋体" w:cs="宋体"/>
              <w:bCs/>
              <w:color w:val="auto"/>
              <w:spacing w:val="-4"/>
              <w:szCs w:val="24"/>
              <w:highlight w:val="none"/>
            </w:rPr>
            <w:t>4.2</w:t>
          </w:r>
          <w:r>
            <w:rPr>
              <w:rFonts w:ascii="宋体" w:hAnsi="宋体" w:eastAsia="宋体" w:cs="宋体"/>
              <w:color w:val="auto"/>
              <w:spacing w:val="70"/>
              <w:szCs w:val="24"/>
              <w:highlight w:val="none"/>
            </w:rPr>
            <w:t xml:space="preserve"> </w:t>
          </w:r>
          <w:r>
            <w:rPr>
              <w:rFonts w:ascii="宋体" w:hAnsi="宋体" w:eastAsia="宋体" w:cs="宋体"/>
              <w:bCs/>
              <w:color w:val="auto"/>
              <w:spacing w:val="-4"/>
              <w:szCs w:val="24"/>
              <w:highlight w:val="none"/>
            </w:rPr>
            <w:t>投标文件的递交</w:t>
          </w:r>
          <w:r>
            <w:rPr>
              <w:color w:val="auto"/>
              <w:highlight w:val="none"/>
            </w:rPr>
            <w:tab/>
          </w:r>
          <w:r>
            <w:rPr>
              <w:color w:val="auto"/>
              <w:highlight w:val="none"/>
            </w:rPr>
            <w:fldChar w:fldCharType="begin"/>
          </w:r>
          <w:r>
            <w:rPr>
              <w:color w:val="auto"/>
              <w:highlight w:val="none"/>
            </w:rPr>
            <w:instrText xml:space="preserve"> PAGEREF _Toc18438 \h </w:instrText>
          </w:r>
          <w:r>
            <w:rPr>
              <w:color w:val="auto"/>
              <w:highlight w:val="none"/>
            </w:rPr>
            <w:fldChar w:fldCharType="separate"/>
          </w:r>
          <w:r>
            <w:rPr>
              <w:color w:val="auto"/>
              <w:highlight w:val="none"/>
            </w:rPr>
            <w:t>46</w:t>
          </w:r>
          <w:r>
            <w:rPr>
              <w:color w:val="auto"/>
              <w:highlight w:val="none"/>
            </w:rPr>
            <w:fldChar w:fldCharType="end"/>
          </w:r>
          <w:r>
            <w:rPr>
              <w:rFonts w:ascii="宋体" w:hAnsi="宋体" w:eastAsia="宋体" w:cs="宋体"/>
              <w:snapToGrid w:val="0"/>
              <w:color w:val="auto"/>
              <w:kern w:val="0"/>
              <w:szCs w:val="24"/>
              <w:highlight w:val="none"/>
              <w:lang w:val="en-US" w:eastAsia="en-US" w:bidi="ar-SA"/>
            </w:rPr>
            <w:fldChar w:fldCharType="end"/>
          </w:r>
        </w:p>
        <w:p w14:paraId="11828DD9">
          <w:pPr>
            <w:pStyle w:val="11"/>
            <w:tabs>
              <w:tab w:val="right" w:leader="dot" w:pos="8797"/>
            </w:tabs>
            <w:rPr>
              <w:color w:val="auto"/>
              <w:highlight w:val="none"/>
            </w:rPr>
          </w:pPr>
          <w:r>
            <w:rPr>
              <w:rFonts w:ascii="宋体" w:hAnsi="宋体" w:eastAsia="宋体" w:cs="宋体"/>
              <w:snapToGrid w:val="0"/>
              <w:color w:val="auto"/>
              <w:kern w:val="0"/>
              <w:szCs w:val="24"/>
              <w:highlight w:val="none"/>
              <w:lang w:val="en-US" w:eastAsia="en-US" w:bidi="ar-SA"/>
            </w:rPr>
            <w:fldChar w:fldCharType="begin"/>
          </w:r>
          <w:r>
            <w:rPr>
              <w:rFonts w:ascii="宋体" w:hAnsi="宋体" w:eastAsia="宋体" w:cs="宋体"/>
              <w:snapToGrid w:val="0"/>
              <w:color w:val="auto"/>
              <w:kern w:val="0"/>
              <w:szCs w:val="24"/>
              <w:highlight w:val="none"/>
              <w:lang w:val="en-US" w:eastAsia="en-US" w:bidi="ar-SA"/>
            </w:rPr>
            <w:instrText xml:space="preserve"> HYPERLINK \l _Toc3282 </w:instrText>
          </w:r>
          <w:r>
            <w:rPr>
              <w:rFonts w:ascii="宋体" w:hAnsi="宋体" w:eastAsia="宋体" w:cs="宋体"/>
              <w:snapToGrid w:val="0"/>
              <w:color w:val="auto"/>
              <w:kern w:val="0"/>
              <w:szCs w:val="24"/>
              <w:highlight w:val="none"/>
              <w:lang w:val="en-US" w:eastAsia="en-US" w:bidi="ar-SA"/>
            </w:rPr>
            <w:fldChar w:fldCharType="separate"/>
          </w:r>
          <w:r>
            <w:rPr>
              <w:rFonts w:ascii="宋体" w:hAnsi="宋体" w:eastAsia="宋体" w:cs="宋体"/>
              <w:bCs/>
              <w:color w:val="auto"/>
              <w:spacing w:val="-2"/>
              <w:szCs w:val="24"/>
              <w:highlight w:val="none"/>
            </w:rPr>
            <w:t>4.3</w:t>
          </w:r>
          <w:r>
            <w:rPr>
              <w:rFonts w:ascii="宋体" w:hAnsi="宋体" w:eastAsia="宋体" w:cs="宋体"/>
              <w:color w:val="auto"/>
              <w:spacing w:val="-2"/>
              <w:szCs w:val="24"/>
              <w:highlight w:val="none"/>
            </w:rPr>
            <w:t xml:space="preserve"> </w:t>
          </w:r>
          <w:r>
            <w:rPr>
              <w:rFonts w:ascii="宋体" w:hAnsi="宋体" w:eastAsia="宋体" w:cs="宋体"/>
              <w:bCs/>
              <w:color w:val="auto"/>
              <w:spacing w:val="-2"/>
              <w:szCs w:val="24"/>
              <w:highlight w:val="none"/>
            </w:rPr>
            <w:t>投标文件的修改与撤回</w:t>
          </w:r>
          <w:r>
            <w:rPr>
              <w:color w:val="auto"/>
              <w:highlight w:val="none"/>
            </w:rPr>
            <w:tab/>
          </w:r>
          <w:r>
            <w:rPr>
              <w:color w:val="auto"/>
              <w:highlight w:val="none"/>
            </w:rPr>
            <w:fldChar w:fldCharType="begin"/>
          </w:r>
          <w:r>
            <w:rPr>
              <w:color w:val="auto"/>
              <w:highlight w:val="none"/>
            </w:rPr>
            <w:instrText xml:space="preserve"> PAGEREF _Toc3282 \h </w:instrText>
          </w:r>
          <w:r>
            <w:rPr>
              <w:color w:val="auto"/>
              <w:highlight w:val="none"/>
            </w:rPr>
            <w:fldChar w:fldCharType="separate"/>
          </w:r>
          <w:r>
            <w:rPr>
              <w:color w:val="auto"/>
              <w:highlight w:val="none"/>
            </w:rPr>
            <w:t>46</w:t>
          </w:r>
          <w:r>
            <w:rPr>
              <w:color w:val="auto"/>
              <w:highlight w:val="none"/>
            </w:rPr>
            <w:fldChar w:fldCharType="end"/>
          </w:r>
          <w:r>
            <w:rPr>
              <w:rFonts w:ascii="宋体" w:hAnsi="宋体" w:eastAsia="宋体" w:cs="宋体"/>
              <w:snapToGrid w:val="0"/>
              <w:color w:val="auto"/>
              <w:kern w:val="0"/>
              <w:szCs w:val="24"/>
              <w:highlight w:val="none"/>
              <w:lang w:val="en-US" w:eastAsia="en-US" w:bidi="ar-SA"/>
            </w:rPr>
            <w:fldChar w:fldCharType="end"/>
          </w:r>
        </w:p>
        <w:p w14:paraId="3A7F8988">
          <w:pPr>
            <w:pStyle w:val="10"/>
            <w:tabs>
              <w:tab w:val="right" w:leader="dot" w:pos="8797"/>
            </w:tabs>
            <w:rPr>
              <w:color w:val="auto"/>
              <w:highlight w:val="none"/>
            </w:rPr>
          </w:pPr>
          <w:r>
            <w:rPr>
              <w:rFonts w:ascii="宋体" w:hAnsi="宋体" w:eastAsia="宋体" w:cs="宋体"/>
              <w:snapToGrid w:val="0"/>
              <w:color w:val="auto"/>
              <w:kern w:val="0"/>
              <w:szCs w:val="24"/>
              <w:highlight w:val="none"/>
              <w:lang w:val="en-US" w:eastAsia="en-US" w:bidi="ar-SA"/>
            </w:rPr>
            <w:fldChar w:fldCharType="begin"/>
          </w:r>
          <w:r>
            <w:rPr>
              <w:rFonts w:ascii="宋体" w:hAnsi="宋体" w:eastAsia="宋体" w:cs="宋体"/>
              <w:snapToGrid w:val="0"/>
              <w:color w:val="auto"/>
              <w:kern w:val="0"/>
              <w:szCs w:val="24"/>
              <w:highlight w:val="none"/>
              <w:lang w:val="en-US" w:eastAsia="en-US" w:bidi="ar-SA"/>
            </w:rPr>
            <w:instrText xml:space="preserve"> HYPERLINK \l _Toc24919 </w:instrText>
          </w:r>
          <w:r>
            <w:rPr>
              <w:rFonts w:ascii="宋体" w:hAnsi="宋体" w:eastAsia="宋体" w:cs="宋体"/>
              <w:snapToGrid w:val="0"/>
              <w:color w:val="auto"/>
              <w:kern w:val="0"/>
              <w:szCs w:val="24"/>
              <w:highlight w:val="none"/>
              <w:lang w:val="en-US" w:eastAsia="en-US" w:bidi="ar-SA"/>
            </w:rPr>
            <w:fldChar w:fldCharType="separate"/>
          </w:r>
          <w:r>
            <w:rPr>
              <w:rFonts w:ascii="宋体" w:hAnsi="宋体" w:eastAsia="宋体" w:cs="宋体"/>
              <w:bCs/>
              <w:color w:val="auto"/>
              <w:spacing w:val="-10"/>
              <w:szCs w:val="28"/>
              <w:highlight w:val="none"/>
            </w:rPr>
            <w:t>5.</w:t>
          </w:r>
          <w:r>
            <w:rPr>
              <w:rFonts w:ascii="宋体" w:hAnsi="宋体" w:eastAsia="宋体" w:cs="宋体"/>
              <w:color w:val="auto"/>
              <w:spacing w:val="14"/>
              <w:szCs w:val="28"/>
              <w:highlight w:val="none"/>
            </w:rPr>
            <w:t xml:space="preserve"> </w:t>
          </w:r>
          <w:r>
            <w:rPr>
              <w:rFonts w:ascii="宋体" w:hAnsi="宋体" w:eastAsia="宋体" w:cs="宋体"/>
              <w:bCs/>
              <w:color w:val="auto"/>
              <w:spacing w:val="-10"/>
              <w:szCs w:val="28"/>
              <w:highlight w:val="none"/>
            </w:rPr>
            <w:t>开标</w:t>
          </w:r>
          <w:r>
            <w:rPr>
              <w:color w:val="auto"/>
              <w:highlight w:val="none"/>
            </w:rPr>
            <w:tab/>
          </w:r>
          <w:r>
            <w:rPr>
              <w:color w:val="auto"/>
              <w:highlight w:val="none"/>
            </w:rPr>
            <w:fldChar w:fldCharType="begin"/>
          </w:r>
          <w:r>
            <w:rPr>
              <w:color w:val="auto"/>
              <w:highlight w:val="none"/>
            </w:rPr>
            <w:instrText xml:space="preserve"> PAGEREF _Toc24919 \h </w:instrText>
          </w:r>
          <w:r>
            <w:rPr>
              <w:color w:val="auto"/>
              <w:highlight w:val="none"/>
            </w:rPr>
            <w:fldChar w:fldCharType="separate"/>
          </w:r>
          <w:r>
            <w:rPr>
              <w:color w:val="auto"/>
              <w:highlight w:val="none"/>
            </w:rPr>
            <w:t>47</w:t>
          </w:r>
          <w:r>
            <w:rPr>
              <w:color w:val="auto"/>
              <w:highlight w:val="none"/>
            </w:rPr>
            <w:fldChar w:fldCharType="end"/>
          </w:r>
          <w:r>
            <w:rPr>
              <w:rFonts w:ascii="宋体" w:hAnsi="宋体" w:eastAsia="宋体" w:cs="宋体"/>
              <w:snapToGrid w:val="0"/>
              <w:color w:val="auto"/>
              <w:kern w:val="0"/>
              <w:szCs w:val="24"/>
              <w:highlight w:val="none"/>
              <w:lang w:val="en-US" w:eastAsia="en-US" w:bidi="ar-SA"/>
            </w:rPr>
            <w:fldChar w:fldCharType="end"/>
          </w:r>
        </w:p>
        <w:p w14:paraId="3AADE830">
          <w:pPr>
            <w:pStyle w:val="11"/>
            <w:tabs>
              <w:tab w:val="right" w:leader="dot" w:pos="8797"/>
            </w:tabs>
            <w:rPr>
              <w:color w:val="auto"/>
              <w:highlight w:val="none"/>
            </w:rPr>
          </w:pPr>
          <w:r>
            <w:rPr>
              <w:rFonts w:ascii="宋体" w:hAnsi="宋体" w:eastAsia="宋体" w:cs="宋体"/>
              <w:snapToGrid w:val="0"/>
              <w:color w:val="auto"/>
              <w:kern w:val="0"/>
              <w:szCs w:val="24"/>
              <w:highlight w:val="none"/>
              <w:lang w:val="en-US" w:eastAsia="en-US" w:bidi="ar-SA"/>
            </w:rPr>
            <w:fldChar w:fldCharType="begin"/>
          </w:r>
          <w:r>
            <w:rPr>
              <w:rFonts w:ascii="宋体" w:hAnsi="宋体" w:eastAsia="宋体" w:cs="宋体"/>
              <w:snapToGrid w:val="0"/>
              <w:color w:val="auto"/>
              <w:kern w:val="0"/>
              <w:szCs w:val="24"/>
              <w:highlight w:val="none"/>
              <w:lang w:val="en-US" w:eastAsia="en-US" w:bidi="ar-SA"/>
            </w:rPr>
            <w:instrText xml:space="preserve"> HYPERLINK \l _Toc18301 </w:instrText>
          </w:r>
          <w:r>
            <w:rPr>
              <w:rFonts w:ascii="宋体" w:hAnsi="宋体" w:eastAsia="宋体" w:cs="宋体"/>
              <w:snapToGrid w:val="0"/>
              <w:color w:val="auto"/>
              <w:kern w:val="0"/>
              <w:szCs w:val="24"/>
              <w:highlight w:val="none"/>
              <w:lang w:val="en-US" w:eastAsia="en-US" w:bidi="ar-SA"/>
            </w:rPr>
            <w:fldChar w:fldCharType="separate"/>
          </w:r>
          <w:r>
            <w:rPr>
              <w:rFonts w:ascii="宋体" w:hAnsi="宋体" w:eastAsia="宋体" w:cs="宋体"/>
              <w:bCs/>
              <w:color w:val="auto"/>
              <w:spacing w:val="-3"/>
              <w:szCs w:val="24"/>
              <w:highlight w:val="none"/>
            </w:rPr>
            <w:t>5.1</w:t>
          </w:r>
          <w:r>
            <w:rPr>
              <w:rFonts w:ascii="宋体" w:hAnsi="宋体" w:eastAsia="宋体" w:cs="宋体"/>
              <w:color w:val="auto"/>
              <w:spacing w:val="-3"/>
              <w:szCs w:val="24"/>
              <w:highlight w:val="none"/>
            </w:rPr>
            <w:t xml:space="preserve"> </w:t>
          </w:r>
          <w:r>
            <w:rPr>
              <w:rFonts w:ascii="宋体" w:hAnsi="宋体" w:eastAsia="宋体" w:cs="宋体"/>
              <w:bCs/>
              <w:color w:val="auto"/>
              <w:spacing w:val="-3"/>
              <w:szCs w:val="24"/>
              <w:highlight w:val="none"/>
            </w:rPr>
            <w:t>开标时间和地点</w:t>
          </w:r>
          <w:r>
            <w:rPr>
              <w:color w:val="auto"/>
              <w:highlight w:val="none"/>
            </w:rPr>
            <w:tab/>
          </w:r>
          <w:r>
            <w:rPr>
              <w:color w:val="auto"/>
              <w:highlight w:val="none"/>
            </w:rPr>
            <w:fldChar w:fldCharType="begin"/>
          </w:r>
          <w:r>
            <w:rPr>
              <w:color w:val="auto"/>
              <w:highlight w:val="none"/>
            </w:rPr>
            <w:instrText xml:space="preserve"> PAGEREF _Toc18301 \h </w:instrText>
          </w:r>
          <w:r>
            <w:rPr>
              <w:color w:val="auto"/>
              <w:highlight w:val="none"/>
            </w:rPr>
            <w:fldChar w:fldCharType="separate"/>
          </w:r>
          <w:r>
            <w:rPr>
              <w:color w:val="auto"/>
              <w:highlight w:val="none"/>
            </w:rPr>
            <w:t>47</w:t>
          </w:r>
          <w:r>
            <w:rPr>
              <w:color w:val="auto"/>
              <w:highlight w:val="none"/>
            </w:rPr>
            <w:fldChar w:fldCharType="end"/>
          </w:r>
          <w:r>
            <w:rPr>
              <w:rFonts w:ascii="宋体" w:hAnsi="宋体" w:eastAsia="宋体" w:cs="宋体"/>
              <w:snapToGrid w:val="0"/>
              <w:color w:val="auto"/>
              <w:kern w:val="0"/>
              <w:szCs w:val="24"/>
              <w:highlight w:val="none"/>
              <w:lang w:val="en-US" w:eastAsia="en-US" w:bidi="ar-SA"/>
            </w:rPr>
            <w:fldChar w:fldCharType="end"/>
          </w:r>
        </w:p>
        <w:p w14:paraId="12446F1B">
          <w:pPr>
            <w:pStyle w:val="11"/>
            <w:tabs>
              <w:tab w:val="right" w:leader="dot" w:pos="8797"/>
            </w:tabs>
            <w:rPr>
              <w:color w:val="auto"/>
              <w:highlight w:val="none"/>
            </w:rPr>
          </w:pPr>
          <w:r>
            <w:rPr>
              <w:rFonts w:ascii="宋体" w:hAnsi="宋体" w:eastAsia="宋体" w:cs="宋体"/>
              <w:snapToGrid w:val="0"/>
              <w:color w:val="auto"/>
              <w:kern w:val="0"/>
              <w:szCs w:val="24"/>
              <w:highlight w:val="none"/>
              <w:lang w:val="en-US" w:eastAsia="en-US" w:bidi="ar-SA"/>
            </w:rPr>
            <w:fldChar w:fldCharType="begin"/>
          </w:r>
          <w:r>
            <w:rPr>
              <w:rFonts w:ascii="宋体" w:hAnsi="宋体" w:eastAsia="宋体" w:cs="宋体"/>
              <w:snapToGrid w:val="0"/>
              <w:color w:val="auto"/>
              <w:kern w:val="0"/>
              <w:szCs w:val="24"/>
              <w:highlight w:val="none"/>
              <w:lang w:val="en-US" w:eastAsia="en-US" w:bidi="ar-SA"/>
            </w:rPr>
            <w:instrText xml:space="preserve"> HYPERLINK \l _Toc17559 </w:instrText>
          </w:r>
          <w:r>
            <w:rPr>
              <w:rFonts w:ascii="宋体" w:hAnsi="宋体" w:eastAsia="宋体" w:cs="宋体"/>
              <w:snapToGrid w:val="0"/>
              <w:color w:val="auto"/>
              <w:kern w:val="0"/>
              <w:szCs w:val="24"/>
              <w:highlight w:val="none"/>
              <w:lang w:val="en-US" w:eastAsia="en-US" w:bidi="ar-SA"/>
            </w:rPr>
            <w:fldChar w:fldCharType="separate"/>
          </w:r>
          <w:r>
            <w:rPr>
              <w:rFonts w:ascii="宋体" w:hAnsi="宋体" w:eastAsia="宋体" w:cs="宋体"/>
              <w:bCs/>
              <w:color w:val="auto"/>
              <w:spacing w:val="-6"/>
              <w:szCs w:val="24"/>
              <w:highlight w:val="none"/>
            </w:rPr>
            <w:t>5.2</w:t>
          </w:r>
          <w:r>
            <w:rPr>
              <w:rFonts w:ascii="宋体" w:hAnsi="宋体" w:eastAsia="宋体" w:cs="宋体"/>
              <w:color w:val="auto"/>
              <w:spacing w:val="16"/>
              <w:szCs w:val="24"/>
              <w:highlight w:val="none"/>
            </w:rPr>
            <w:t xml:space="preserve"> </w:t>
          </w:r>
          <w:r>
            <w:rPr>
              <w:rFonts w:ascii="宋体" w:hAnsi="宋体" w:eastAsia="宋体" w:cs="宋体"/>
              <w:bCs/>
              <w:color w:val="auto"/>
              <w:spacing w:val="-6"/>
              <w:szCs w:val="24"/>
              <w:highlight w:val="none"/>
            </w:rPr>
            <w:t>开标程序</w:t>
          </w:r>
          <w:r>
            <w:rPr>
              <w:color w:val="auto"/>
              <w:highlight w:val="none"/>
            </w:rPr>
            <w:tab/>
          </w:r>
          <w:r>
            <w:rPr>
              <w:color w:val="auto"/>
              <w:highlight w:val="none"/>
            </w:rPr>
            <w:fldChar w:fldCharType="begin"/>
          </w:r>
          <w:r>
            <w:rPr>
              <w:color w:val="auto"/>
              <w:highlight w:val="none"/>
            </w:rPr>
            <w:instrText xml:space="preserve"> PAGEREF _Toc17559 \h </w:instrText>
          </w:r>
          <w:r>
            <w:rPr>
              <w:color w:val="auto"/>
              <w:highlight w:val="none"/>
            </w:rPr>
            <w:fldChar w:fldCharType="separate"/>
          </w:r>
          <w:r>
            <w:rPr>
              <w:color w:val="auto"/>
              <w:highlight w:val="none"/>
            </w:rPr>
            <w:t>47</w:t>
          </w:r>
          <w:r>
            <w:rPr>
              <w:color w:val="auto"/>
              <w:highlight w:val="none"/>
            </w:rPr>
            <w:fldChar w:fldCharType="end"/>
          </w:r>
          <w:r>
            <w:rPr>
              <w:rFonts w:ascii="宋体" w:hAnsi="宋体" w:eastAsia="宋体" w:cs="宋体"/>
              <w:snapToGrid w:val="0"/>
              <w:color w:val="auto"/>
              <w:kern w:val="0"/>
              <w:szCs w:val="24"/>
              <w:highlight w:val="none"/>
              <w:lang w:val="en-US" w:eastAsia="en-US" w:bidi="ar-SA"/>
            </w:rPr>
            <w:fldChar w:fldCharType="end"/>
          </w:r>
        </w:p>
        <w:p w14:paraId="5A1B0962">
          <w:pPr>
            <w:pStyle w:val="11"/>
            <w:tabs>
              <w:tab w:val="right" w:leader="dot" w:pos="8797"/>
            </w:tabs>
            <w:rPr>
              <w:color w:val="auto"/>
              <w:highlight w:val="none"/>
            </w:rPr>
          </w:pPr>
          <w:r>
            <w:rPr>
              <w:rFonts w:ascii="宋体" w:hAnsi="宋体" w:eastAsia="宋体" w:cs="宋体"/>
              <w:snapToGrid w:val="0"/>
              <w:color w:val="auto"/>
              <w:kern w:val="0"/>
              <w:szCs w:val="24"/>
              <w:highlight w:val="none"/>
              <w:lang w:val="en-US" w:eastAsia="en-US" w:bidi="ar-SA"/>
            </w:rPr>
            <w:fldChar w:fldCharType="begin"/>
          </w:r>
          <w:r>
            <w:rPr>
              <w:rFonts w:ascii="宋体" w:hAnsi="宋体" w:eastAsia="宋体" w:cs="宋体"/>
              <w:snapToGrid w:val="0"/>
              <w:color w:val="auto"/>
              <w:kern w:val="0"/>
              <w:szCs w:val="24"/>
              <w:highlight w:val="none"/>
              <w:lang w:val="en-US" w:eastAsia="en-US" w:bidi="ar-SA"/>
            </w:rPr>
            <w:instrText xml:space="preserve"> HYPERLINK \l _Toc28310 </w:instrText>
          </w:r>
          <w:r>
            <w:rPr>
              <w:rFonts w:ascii="宋体" w:hAnsi="宋体" w:eastAsia="宋体" w:cs="宋体"/>
              <w:snapToGrid w:val="0"/>
              <w:color w:val="auto"/>
              <w:kern w:val="0"/>
              <w:szCs w:val="24"/>
              <w:highlight w:val="none"/>
              <w:lang w:val="en-US" w:eastAsia="en-US" w:bidi="ar-SA"/>
            </w:rPr>
            <w:fldChar w:fldCharType="separate"/>
          </w:r>
          <w:r>
            <w:rPr>
              <w:rFonts w:ascii="宋体" w:hAnsi="宋体" w:eastAsia="宋体" w:cs="宋体"/>
              <w:bCs/>
              <w:color w:val="auto"/>
              <w:spacing w:val="-6"/>
              <w:szCs w:val="24"/>
              <w:highlight w:val="none"/>
            </w:rPr>
            <w:t>5.3</w:t>
          </w:r>
          <w:r>
            <w:rPr>
              <w:rFonts w:ascii="宋体" w:hAnsi="宋体" w:eastAsia="宋体" w:cs="宋体"/>
              <w:color w:val="auto"/>
              <w:spacing w:val="71"/>
              <w:szCs w:val="24"/>
              <w:highlight w:val="none"/>
            </w:rPr>
            <w:t xml:space="preserve"> </w:t>
          </w:r>
          <w:r>
            <w:rPr>
              <w:rFonts w:ascii="宋体" w:hAnsi="宋体" w:eastAsia="宋体" w:cs="宋体"/>
              <w:bCs/>
              <w:color w:val="auto"/>
              <w:spacing w:val="-6"/>
              <w:szCs w:val="24"/>
              <w:highlight w:val="none"/>
            </w:rPr>
            <w:t>开标异议</w:t>
          </w:r>
          <w:r>
            <w:rPr>
              <w:color w:val="auto"/>
              <w:highlight w:val="none"/>
            </w:rPr>
            <w:tab/>
          </w:r>
          <w:r>
            <w:rPr>
              <w:color w:val="auto"/>
              <w:highlight w:val="none"/>
            </w:rPr>
            <w:fldChar w:fldCharType="begin"/>
          </w:r>
          <w:r>
            <w:rPr>
              <w:color w:val="auto"/>
              <w:highlight w:val="none"/>
            </w:rPr>
            <w:instrText xml:space="preserve"> PAGEREF _Toc28310 \h </w:instrText>
          </w:r>
          <w:r>
            <w:rPr>
              <w:color w:val="auto"/>
              <w:highlight w:val="none"/>
            </w:rPr>
            <w:fldChar w:fldCharType="separate"/>
          </w:r>
          <w:r>
            <w:rPr>
              <w:color w:val="auto"/>
              <w:highlight w:val="none"/>
            </w:rPr>
            <w:t>49</w:t>
          </w:r>
          <w:r>
            <w:rPr>
              <w:color w:val="auto"/>
              <w:highlight w:val="none"/>
            </w:rPr>
            <w:fldChar w:fldCharType="end"/>
          </w:r>
          <w:r>
            <w:rPr>
              <w:rFonts w:ascii="宋体" w:hAnsi="宋体" w:eastAsia="宋体" w:cs="宋体"/>
              <w:snapToGrid w:val="0"/>
              <w:color w:val="auto"/>
              <w:kern w:val="0"/>
              <w:szCs w:val="24"/>
              <w:highlight w:val="none"/>
              <w:lang w:val="en-US" w:eastAsia="en-US" w:bidi="ar-SA"/>
            </w:rPr>
            <w:fldChar w:fldCharType="end"/>
          </w:r>
        </w:p>
        <w:p w14:paraId="34B24297">
          <w:pPr>
            <w:pStyle w:val="11"/>
            <w:tabs>
              <w:tab w:val="right" w:leader="dot" w:pos="8797"/>
            </w:tabs>
            <w:rPr>
              <w:color w:val="auto"/>
              <w:highlight w:val="none"/>
            </w:rPr>
          </w:pPr>
          <w:r>
            <w:rPr>
              <w:rFonts w:ascii="宋体" w:hAnsi="宋体" w:eastAsia="宋体" w:cs="宋体"/>
              <w:snapToGrid w:val="0"/>
              <w:color w:val="auto"/>
              <w:kern w:val="0"/>
              <w:szCs w:val="24"/>
              <w:highlight w:val="none"/>
              <w:lang w:val="en-US" w:eastAsia="en-US" w:bidi="ar-SA"/>
            </w:rPr>
            <w:fldChar w:fldCharType="begin"/>
          </w:r>
          <w:r>
            <w:rPr>
              <w:rFonts w:ascii="宋体" w:hAnsi="宋体" w:eastAsia="宋体" w:cs="宋体"/>
              <w:snapToGrid w:val="0"/>
              <w:color w:val="auto"/>
              <w:kern w:val="0"/>
              <w:szCs w:val="24"/>
              <w:highlight w:val="none"/>
              <w:lang w:val="en-US" w:eastAsia="en-US" w:bidi="ar-SA"/>
            </w:rPr>
            <w:instrText xml:space="preserve"> HYPERLINK \l _Toc15583 </w:instrText>
          </w:r>
          <w:r>
            <w:rPr>
              <w:rFonts w:ascii="宋体" w:hAnsi="宋体" w:eastAsia="宋体" w:cs="宋体"/>
              <w:snapToGrid w:val="0"/>
              <w:color w:val="auto"/>
              <w:kern w:val="0"/>
              <w:szCs w:val="24"/>
              <w:highlight w:val="none"/>
              <w:lang w:val="en-US" w:eastAsia="en-US" w:bidi="ar-SA"/>
            </w:rPr>
            <w:fldChar w:fldCharType="separate"/>
          </w:r>
          <w:r>
            <w:rPr>
              <w:rFonts w:ascii="宋体" w:hAnsi="宋体" w:eastAsia="宋体" w:cs="宋体"/>
              <w:bCs/>
              <w:color w:val="auto"/>
              <w:spacing w:val="-3"/>
              <w:szCs w:val="24"/>
              <w:highlight w:val="none"/>
            </w:rPr>
            <w:t>5.4</w:t>
          </w:r>
          <w:r>
            <w:rPr>
              <w:rFonts w:ascii="宋体" w:hAnsi="宋体" w:eastAsia="宋体" w:cs="宋体"/>
              <w:color w:val="auto"/>
              <w:spacing w:val="-3"/>
              <w:szCs w:val="24"/>
              <w:highlight w:val="none"/>
            </w:rPr>
            <w:t xml:space="preserve"> </w:t>
          </w:r>
          <w:r>
            <w:rPr>
              <w:rFonts w:ascii="宋体" w:hAnsi="宋体" w:eastAsia="宋体" w:cs="宋体"/>
              <w:bCs/>
              <w:color w:val="auto"/>
              <w:spacing w:val="-3"/>
              <w:szCs w:val="24"/>
              <w:highlight w:val="none"/>
            </w:rPr>
            <w:t>开标补救措施</w:t>
          </w:r>
          <w:r>
            <w:rPr>
              <w:color w:val="auto"/>
              <w:highlight w:val="none"/>
            </w:rPr>
            <w:tab/>
          </w:r>
          <w:r>
            <w:rPr>
              <w:color w:val="auto"/>
              <w:highlight w:val="none"/>
            </w:rPr>
            <w:fldChar w:fldCharType="begin"/>
          </w:r>
          <w:r>
            <w:rPr>
              <w:color w:val="auto"/>
              <w:highlight w:val="none"/>
            </w:rPr>
            <w:instrText xml:space="preserve"> PAGEREF _Toc15583 \h </w:instrText>
          </w:r>
          <w:r>
            <w:rPr>
              <w:color w:val="auto"/>
              <w:highlight w:val="none"/>
            </w:rPr>
            <w:fldChar w:fldCharType="separate"/>
          </w:r>
          <w:r>
            <w:rPr>
              <w:color w:val="auto"/>
              <w:highlight w:val="none"/>
            </w:rPr>
            <w:t>50</w:t>
          </w:r>
          <w:r>
            <w:rPr>
              <w:color w:val="auto"/>
              <w:highlight w:val="none"/>
            </w:rPr>
            <w:fldChar w:fldCharType="end"/>
          </w:r>
          <w:r>
            <w:rPr>
              <w:rFonts w:ascii="宋体" w:hAnsi="宋体" w:eastAsia="宋体" w:cs="宋体"/>
              <w:snapToGrid w:val="0"/>
              <w:color w:val="auto"/>
              <w:kern w:val="0"/>
              <w:szCs w:val="24"/>
              <w:highlight w:val="none"/>
              <w:lang w:val="en-US" w:eastAsia="en-US" w:bidi="ar-SA"/>
            </w:rPr>
            <w:fldChar w:fldCharType="end"/>
          </w:r>
        </w:p>
        <w:p w14:paraId="6A2B2762">
          <w:pPr>
            <w:pStyle w:val="10"/>
            <w:tabs>
              <w:tab w:val="right" w:leader="dot" w:pos="8797"/>
            </w:tabs>
            <w:rPr>
              <w:color w:val="auto"/>
              <w:highlight w:val="none"/>
            </w:rPr>
          </w:pPr>
          <w:r>
            <w:rPr>
              <w:rFonts w:ascii="宋体" w:hAnsi="宋体" w:eastAsia="宋体" w:cs="宋体"/>
              <w:snapToGrid w:val="0"/>
              <w:color w:val="auto"/>
              <w:kern w:val="0"/>
              <w:szCs w:val="24"/>
              <w:highlight w:val="none"/>
              <w:lang w:val="en-US" w:eastAsia="en-US" w:bidi="ar-SA"/>
            </w:rPr>
            <w:fldChar w:fldCharType="begin"/>
          </w:r>
          <w:r>
            <w:rPr>
              <w:rFonts w:ascii="宋体" w:hAnsi="宋体" w:eastAsia="宋体" w:cs="宋体"/>
              <w:snapToGrid w:val="0"/>
              <w:color w:val="auto"/>
              <w:kern w:val="0"/>
              <w:szCs w:val="24"/>
              <w:highlight w:val="none"/>
              <w:lang w:val="en-US" w:eastAsia="en-US" w:bidi="ar-SA"/>
            </w:rPr>
            <w:instrText xml:space="preserve"> HYPERLINK \l _Toc7333 </w:instrText>
          </w:r>
          <w:r>
            <w:rPr>
              <w:rFonts w:ascii="宋体" w:hAnsi="宋体" w:eastAsia="宋体" w:cs="宋体"/>
              <w:snapToGrid w:val="0"/>
              <w:color w:val="auto"/>
              <w:kern w:val="0"/>
              <w:szCs w:val="24"/>
              <w:highlight w:val="none"/>
              <w:lang w:val="en-US" w:eastAsia="en-US" w:bidi="ar-SA"/>
            </w:rPr>
            <w:fldChar w:fldCharType="separate"/>
          </w:r>
          <w:r>
            <w:rPr>
              <w:rFonts w:ascii="宋体" w:hAnsi="宋体" w:eastAsia="宋体" w:cs="宋体"/>
              <w:bCs/>
              <w:color w:val="auto"/>
              <w:spacing w:val="-8"/>
              <w:szCs w:val="28"/>
              <w:highlight w:val="none"/>
            </w:rPr>
            <w:t>6.</w:t>
          </w:r>
          <w:r>
            <w:rPr>
              <w:rFonts w:ascii="宋体" w:hAnsi="宋体" w:eastAsia="宋体" w:cs="宋体"/>
              <w:color w:val="auto"/>
              <w:spacing w:val="10"/>
              <w:szCs w:val="28"/>
              <w:highlight w:val="none"/>
            </w:rPr>
            <w:t xml:space="preserve"> </w:t>
          </w:r>
          <w:r>
            <w:rPr>
              <w:rFonts w:ascii="宋体" w:hAnsi="宋体" w:eastAsia="宋体" w:cs="宋体"/>
              <w:bCs/>
              <w:color w:val="auto"/>
              <w:spacing w:val="-8"/>
              <w:szCs w:val="28"/>
              <w:highlight w:val="none"/>
            </w:rPr>
            <w:t>评标</w:t>
          </w:r>
          <w:r>
            <w:rPr>
              <w:color w:val="auto"/>
              <w:highlight w:val="none"/>
            </w:rPr>
            <w:tab/>
          </w:r>
          <w:r>
            <w:rPr>
              <w:color w:val="auto"/>
              <w:highlight w:val="none"/>
            </w:rPr>
            <w:fldChar w:fldCharType="begin"/>
          </w:r>
          <w:r>
            <w:rPr>
              <w:color w:val="auto"/>
              <w:highlight w:val="none"/>
            </w:rPr>
            <w:instrText xml:space="preserve"> PAGEREF _Toc7333 \h </w:instrText>
          </w:r>
          <w:r>
            <w:rPr>
              <w:color w:val="auto"/>
              <w:highlight w:val="none"/>
            </w:rPr>
            <w:fldChar w:fldCharType="separate"/>
          </w:r>
          <w:r>
            <w:rPr>
              <w:color w:val="auto"/>
              <w:highlight w:val="none"/>
            </w:rPr>
            <w:t>50</w:t>
          </w:r>
          <w:r>
            <w:rPr>
              <w:color w:val="auto"/>
              <w:highlight w:val="none"/>
            </w:rPr>
            <w:fldChar w:fldCharType="end"/>
          </w:r>
          <w:r>
            <w:rPr>
              <w:rFonts w:ascii="宋体" w:hAnsi="宋体" w:eastAsia="宋体" w:cs="宋体"/>
              <w:snapToGrid w:val="0"/>
              <w:color w:val="auto"/>
              <w:kern w:val="0"/>
              <w:szCs w:val="24"/>
              <w:highlight w:val="none"/>
              <w:lang w:val="en-US" w:eastAsia="en-US" w:bidi="ar-SA"/>
            </w:rPr>
            <w:fldChar w:fldCharType="end"/>
          </w:r>
        </w:p>
        <w:p w14:paraId="409502BE">
          <w:pPr>
            <w:pStyle w:val="11"/>
            <w:tabs>
              <w:tab w:val="right" w:leader="dot" w:pos="8797"/>
            </w:tabs>
            <w:rPr>
              <w:color w:val="auto"/>
              <w:highlight w:val="none"/>
            </w:rPr>
          </w:pPr>
          <w:r>
            <w:rPr>
              <w:rFonts w:ascii="宋体" w:hAnsi="宋体" w:eastAsia="宋体" w:cs="宋体"/>
              <w:snapToGrid w:val="0"/>
              <w:color w:val="auto"/>
              <w:kern w:val="0"/>
              <w:szCs w:val="24"/>
              <w:highlight w:val="none"/>
              <w:lang w:val="en-US" w:eastAsia="en-US" w:bidi="ar-SA"/>
            </w:rPr>
            <w:fldChar w:fldCharType="begin"/>
          </w:r>
          <w:r>
            <w:rPr>
              <w:rFonts w:ascii="宋体" w:hAnsi="宋体" w:eastAsia="宋体" w:cs="宋体"/>
              <w:snapToGrid w:val="0"/>
              <w:color w:val="auto"/>
              <w:kern w:val="0"/>
              <w:szCs w:val="24"/>
              <w:highlight w:val="none"/>
              <w:lang w:val="en-US" w:eastAsia="en-US" w:bidi="ar-SA"/>
            </w:rPr>
            <w:instrText xml:space="preserve"> HYPERLINK \l _Toc20258 </w:instrText>
          </w:r>
          <w:r>
            <w:rPr>
              <w:rFonts w:ascii="宋体" w:hAnsi="宋体" w:eastAsia="宋体" w:cs="宋体"/>
              <w:snapToGrid w:val="0"/>
              <w:color w:val="auto"/>
              <w:kern w:val="0"/>
              <w:szCs w:val="24"/>
              <w:highlight w:val="none"/>
              <w:lang w:val="en-US" w:eastAsia="en-US" w:bidi="ar-SA"/>
            </w:rPr>
            <w:fldChar w:fldCharType="separate"/>
          </w:r>
          <w:r>
            <w:rPr>
              <w:rFonts w:ascii="宋体" w:hAnsi="宋体" w:eastAsia="宋体" w:cs="宋体"/>
              <w:bCs/>
              <w:color w:val="auto"/>
              <w:spacing w:val="-5"/>
              <w:szCs w:val="24"/>
              <w:highlight w:val="none"/>
            </w:rPr>
            <w:t>6.1</w:t>
          </w:r>
          <w:r>
            <w:rPr>
              <w:rFonts w:ascii="宋体" w:hAnsi="宋体" w:eastAsia="宋体" w:cs="宋体"/>
              <w:color w:val="auto"/>
              <w:spacing w:val="72"/>
              <w:szCs w:val="24"/>
              <w:highlight w:val="none"/>
            </w:rPr>
            <w:t xml:space="preserve"> </w:t>
          </w:r>
          <w:r>
            <w:rPr>
              <w:rFonts w:ascii="宋体" w:hAnsi="宋体" w:eastAsia="宋体" w:cs="宋体"/>
              <w:bCs/>
              <w:color w:val="auto"/>
              <w:spacing w:val="-5"/>
              <w:szCs w:val="24"/>
              <w:highlight w:val="none"/>
            </w:rPr>
            <w:t>评标委员会</w:t>
          </w:r>
          <w:r>
            <w:rPr>
              <w:color w:val="auto"/>
              <w:highlight w:val="none"/>
            </w:rPr>
            <w:tab/>
          </w:r>
          <w:r>
            <w:rPr>
              <w:color w:val="auto"/>
              <w:highlight w:val="none"/>
            </w:rPr>
            <w:fldChar w:fldCharType="begin"/>
          </w:r>
          <w:r>
            <w:rPr>
              <w:color w:val="auto"/>
              <w:highlight w:val="none"/>
            </w:rPr>
            <w:instrText xml:space="preserve"> PAGEREF _Toc20258 \h </w:instrText>
          </w:r>
          <w:r>
            <w:rPr>
              <w:color w:val="auto"/>
              <w:highlight w:val="none"/>
            </w:rPr>
            <w:fldChar w:fldCharType="separate"/>
          </w:r>
          <w:r>
            <w:rPr>
              <w:color w:val="auto"/>
              <w:highlight w:val="none"/>
            </w:rPr>
            <w:t>50</w:t>
          </w:r>
          <w:r>
            <w:rPr>
              <w:color w:val="auto"/>
              <w:highlight w:val="none"/>
            </w:rPr>
            <w:fldChar w:fldCharType="end"/>
          </w:r>
          <w:r>
            <w:rPr>
              <w:rFonts w:ascii="宋体" w:hAnsi="宋体" w:eastAsia="宋体" w:cs="宋体"/>
              <w:snapToGrid w:val="0"/>
              <w:color w:val="auto"/>
              <w:kern w:val="0"/>
              <w:szCs w:val="24"/>
              <w:highlight w:val="none"/>
              <w:lang w:val="en-US" w:eastAsia="en-US" w:bidi="ar-SA"/>
            </w:rPr>
            <w:fldChar w:fldCharType="end"/>
          </w:r>
        </w:p>
        <w:p w14:paraId="1FB18AFB">
          <w:pPr>
            <w:pStyle w:val="11"/>
            <w:tabs>
              <w:tab w:val="right" w:leader="dot" w:pos="8797"/>
            </w:tabs>
            <w:rPr>
              <w:color w:val="auto"/>
              <w:highlight w:val="none"/>
            </w:rPr>
          </w:pPr>
          <w:r>
            <w:rPr>
              <w:rFonts w:ascii="宋体" w:hAnsi="宋体" w:eastAsia="宋体" w:cs="宋体"/>
              <w:snapToGrid w:val="0"/>
              <w:color w:val="auto"/>
              <w:kern w:val="0"/>
              <w:szCs w:val="24"/>
              <w:highlight w:val="none"/>
              <w:lang w:val="en-US" w:eastAsia="en-US" w:bidi="ar-SA"/>
            </w:rPr>
            <w:fldChar w:fldCharType="begin"/>
          </w:r>
          <w:r>
            <w:rPr>
              <w:rFonts w:ascii="宋体" w:hAnsi="宋体" w:eastAsia="宋体" w:cs="宋体"/>
              <w:snapToGrid w:val="0"/>
              <w:color w:val="auto"/>
              <w:kern w:val="0"/>
              <w:szCs w:val="24"/>
              <w:highlight w:val="none"/>
              <w:lang w:val="en-US" w:eastAsia="en-US" w:bidi="ar-SA"/>
            </w:rPr>
            <w:instrText xml:space="preserve"> HYPERLINK \l _Toc27954 </w:instrText>
          </w:r>
          <w:r>
            <w:rPr>
              <w:rFonts w:ascii="宋体" w:hAnsi="宋体" w:eastAsia="宋体" w:cs="宋体"/>
              <w:snapToGrid w:val="0"/>
              <w:color w:val="auto"/>
              <w:kern w:val="0"/>
              <w:szCs w:val="24"/>
              <w:highlight w:val="none"/>
              <w:lang w:val="en-US" w:eastAsia="en-US" w:bidi="ar-SA"/>
            </w:rPr>
            <w:fldChar w:fldCharType="separate"/>
          </w:r>
          <w:r>
            <w:rPr>
              <w:rFonts w:ascii="宋体" w:hAnsi="宋体" w:eastAsia="宋体" w:cs="宋体"/>
              <w:bCs/>
              <w:color w:val="auto"/>
              <w:spacing w:val="-3"/>
              <w:szCs w:val="24"/>
              <w:highlight w:val="none"/>
            </w:rPr>
            <w:t>6.2</w:t>
          </w:r>
          <w:r>
            <w:rPr>
              <w:rFonts w:ascii="宋体" w:hAnsi="宋体" w:eastAsia="宋体" w:cs="宋体"/>
              <w:color w:val="auto"/>
              <w:spacing w:val="-3"/>
              <w:szCs w:val="24"/>
              <w:highlight w:val="none"/>
            </w:rPr>
            <w:t xml:space="preserve"> </w:t>
          </w:r>
          <w:r>
            <w:rPr>
              <w:rFonts w:ascii="宋体" w:hAnsi="宋体" w:eastAsia="宋体" w:cs="宋体"/>
              <w:bCs/>
              <w:color w:val="auto"/>
              <w:spacing w:val="-3"/>
              <w:szCs w:val="24"/>
              <w:highlight w:val="none"/>
            </w:rPr>
            <w:t>评标原则</w:t>
          </w:r>
          <w:r>
            <w:rPr>
              <w:color w:val="auto"/>
              <w:highlight w:val="none"/>
            </w:rPr>
            <w:tab/>
          </w:r>
          <w:r>
            <w:rPr>
              <w:color w:val="auto"/>
              <w:highlight w:val="none"/>
            </w:rPr>
            <w:fldChar w:fldCharType="begin"/>
          </w:r>
          <w:r>
            <w:rPr>
              <w:color w:val="auto"/>
              <w:highlight w:val="none"/>
            </w:rPr>
            <w:instrText xml:space="preserve"> PAGEREF _Toc27954 \h </w:instrText>
          </w:r>
          <w:r>
            <w:rPr>
              <w:color w:val="auto"/>
              <w:highlight w:val="none"/>
            </w:rPr>
            <w:fldChar w:fldCharType="separate"/>
          </w:r>
          <w:r>
            <w:rPr>
              <w:color w:val="auto"/>
              <w:highlight w:val="none"/>
            </w:rPr>
            <w:t>51</w:t>
          </w:r>
          <w:r>
            <w:rPr>
              <w:color w:val="auto"/>
              <w:highlight w:val="none"/>
            </w:rPr>
            <w:fldChar w:fldCharType="end"/>
          </w:r>
          <w:r>
            <w:rPr>
              <w:rFonts w:ascii="宋体" w:hAnsi="宋体" w:eastAsia="宋体" w:cs="宋体"/>
              <w:snapToGrid w:val="0"/>
              <w:color w:val="auto"/>
              <w:kern w:val="0"/>
              <w:szCs w:val="24"/>
              <w:highlight w:val="none"/>
              <w:lang w:val="en-US" w:eastAsia="en-US" w:bidi="ar-SA"/>
            </w:rPr>
            <w:fldChar w:fldCharType="end"/>
          </w:r>
        </w:p>
        <w:p w14:paraId="62995FFF">
          <w:pPr>
            <w:pStyle w:val="11"/>
            <w:tabs>
              <w:tab w:val="right" w:leader="dot" w:pos="8797"/>
            </w:tabs>
            <w:rPr>
              <w:color w:val="auto"/>
              <w:highlight w:val="none"/>
            </w:rPr>
          </w:pPr>
          <w:r>
            <w:rPr>
              <w:rFonts w:ascii="宋体" w:hAnsi="宋体" w:eastAsia="宋体" w:cs="宋体"/>
              <w:snapToGrid w:val="0"/>
              <w:color w:val="auto"/>
              <w:kern w:val="0"/>
              <w:szCs w:val="24"/>
              <w:highlight w:val="none"/>
              <w:lang w:val="en-US" w:eastAsia="en-US" w:bidi="ar-SA"/>
            </w:rPr>
            <w:fldChar w:fldCharType="begin"/>
          </w:r>
          <w:r>
            <w:rPr>
              <w:rFonts w:ascii="宋体" w:hAnsi="宋体" w:eastAsia="宋体" w:cs="宋体"/>
              <w:snapToGrid w:val="0"/>
              <w:color w:val="auto"/>
              <w:kern w:val="0"/>
              <w:szCs w:val="24"/>
              <w:highlight w:val="none"/>
              <w:lang w:val="en-US" w:eastAsia="en-US" w:bidi="ar-SA"/>
            </w:rPr>
            <w:instrText xml:space="preserve"> HYPERLINK \l _Toc12704 </w:instrText>
          </w:r>
          <w:r>
            <w:rPr>
              <w:rFonts w:ascii="宋体" w:hAnsi="宋体" w:eastAsia="宋体" w:cs="宋体"/>
              <w:snapToGrid w:val="0"/>
              <w:color w:val="auto"/>
              <w:kern w:val="0"/>
              <w:szCs w:val="24"/>
              <w:highlight w:val="none"/>
              <w:lang w:val="en-US" w:eastAsia="en-US" w:bidi="ar-SA"/>
            </w:rPr>
            <w:fldChar w:fldCharType="separate"/>
          </w:r>
          <w:r>
            <w:rPr>
              <w:rFonts w:ascii="宋体" w:hAnsi="宋体" w:eastAsia="宋体" w:cs="宋体"/>
              <w:bCs/>
              <w:color w:val="auto"/>
              <w:spacing w:val="-6"/>
              <w:szCs w:val="24"/>
              <w:highlight w:val="none"/>
            </w:rPr>
            <w:t>6.3</w:t>
          </w:r>
          <w:r>
            <w:rPr>
              <w:rFonts w:ascii="宋体" w:hAnsi="宋体" w:eastAsia="宋体" w:cs="宋体"/>
              <w:color w:val="auto"/>
              <w:spacing w:val="10"/>
              <w:szCs w:val="24"/>
              <w:highlight w:val="none"/>
            </w:rPr>
            <w:t xml:space="preserve"> </w:t>
          </w:r>
          <w:r>
            <w:rPr>
              <w:rFonts w:ascii="宋体" w:hAnsi="宋体" w:eastAsia="宋体" w:cs="宋体"/>
              <w:bCs/>
              <w:color w:val="auto"/>
              <w:spacing w:val="-6"/>
              <w:szCs w:val="24"/>
              <w:highlight w:val="none"/>
            </w:rPr>
            <w:t>评标</w:t>
          </w:r>
          <w:r>
            <w:rPr>
              <w:color w:val="auto"/>
              <w:highlight w:val="none"/>
            </w:rPr>
            <w:tab/>
          </w:r>
          <w:r>
            <w:rPr>
              <w:color w:val="auto"/>
              <w:highlight w:val="none"/>
            </w:rPr>
            <w:fldChar w:fldCharType="begin"/>
          </w:r>
          <w:r>
            <w:rPr>
              <w:color w:val="auto"/>
              <w:highlight w:val="none"/>
            </w:rPr>
            <w:instrText xml:space="preserve"> PAGEREF _Toc12704 \h </w:instrText>
          </w:r>
          <w:r>
            <w:rPr>
              <w:color w:val="auto"/>
              <w:highlight w:val="none"/>
            </w:rPr>
            <w:fldChar w:fldCharType="separate"/>
          </w:r>
          <w:r>
            <w:rPr>
              <w:color w:val="auto"/>
              <w:highlight w:val="none"/>
            </w:rPr>
            <w:t>51</w:t>
          </w:r>
          <w:r>
            <w:rPr>
              <w:color w:val="auto"/>
              <w:highlight w:val="none"/>
            </w:rPr>
            <w:fldChar w:fldCharType="end"/>
          </w:r>
          <w:r>
            <w:rPr>
              <w:rFonts w:ascii="宋体" w:hAnsi="宋体" w:eastAsia="宋体" w:cs="宋体"/>
              <w:snapToGrid w:val="0"/>
              <w:color w:val="auto"/>
              <w:kern w:val="0"/>
              <w:szCs w:val="24"/>
              <w:highlight w:val="none"/>
              <w:lang w:val="en-US" w:eastAsia="en-US" w:bidi="ar-SA"/>
            </w:rPr>
            <w:fldChar w:fldCharType="end"/>
          </w:r>
        </w:p>
        <w:p w14:paraId="58FCE461">
          <w:pPr>
            <w:pStyle w:val="10"/>
            <w:tabs>
              <w:tab w:val="right" w:leader="dot" w:pos="8797"/>
            </w:tabs>
            <w:rPr>
              <w:color w:val="auto"/>
              <w:highlight w:val="none"/>
            </w:rPr>
          </w:pPr>
          <w:r>
            <w:rPr>
              <w:rFonts w:ascii="宋体" w:hAnsi="宋体" w:eastAsia="宋体" w:cs="宋体"/>
              <w:snapToGrid w:val="0"/>
              <w:color w:val="auto"/>
              <w:kern w:val="0"/>
              <w:szCs w:val="24"/>
              <w:highlight w:val="none"/>
              <w:lang w:val="en-US" w:eastAsia="en-US" w:bidi="ar-SA"/>
            </w:rPr>
            <w:fldChar w:fldCharType="begin"/>
          </w:r>
          <w:r>
            <w:rPr>
              <w:rFonts w:ascii="宋体" w:hAnsi="宋体" w:eastAsia="宋体" w:cs="宋体"/>
              <w:snapToGrid w:val="0"/>
              <w:color w:val="auto"/>
              <w:kern w:val="0"/>
              <w:szCs w:val="24"/>
              <w:highlight w:val="none"/>
              <w:lang w:val="en-US" w:eastAsia="en-US" w:bidi="ar-SA"/>
            </w:rPr>
            <w:instrText xml:space="preserve"> HYPERLINK \l _Toc2796 </w:instrText>
          </w:r>
          <w:r>
            <w:rPr>
              <w:rFonts w:ascii="宋体" w:hAnsi="宋体" w:eastAsia="宋体" w:cs="宋体"/>
              <w:snapToGrid w:val="0"/>
              <w:color w:val="auto"/>
              <w:kern w:val="0"/>
              <w:szCs w:val="24"/>
              <w:highlight w:val="none"/>
              <w:lang w:val="en-US" w:eastAsia="en-US" w:bidi="ar-SA"/>
            </w:rPr>
            <w:fldChar w:fldCharType="separate"/>
          </w:r>
          <w:r>
            <w:rPr>
              <w:rFonts w:ascii="宋体" w:hAnsi="宋体" w:eastAsia="宋体" w:cs="宋体"/>
              <w:bCs/>
              <w:color w:val="auto"/>
              <w:spacing w:val="-7"/>
              <w:szCs w:val="28"/>
              <w:highlight w:val="none"/>
            </w:rPr>
            <w:t>7.</w:t>
          </w:r>
          <w:r>
            <w:rPr>
              <w:rFonts w:ascii="宋体" w:hAnsi="宋体" w:eastAsia="宋体" w:cs="宋体"/>
              <w:color w:val="auto"/>
              <w:spacing w:val="12"/>
              <w:szCs w:val="28"/>
              <w:highlight w:val="none"/>
            </w:rPr>
            <w:t xml:space="preserve"> </w:t>
          </w:r>
          <w:r>
            <w:rPr>
              <w:rFonts w:hint="eastAsia" w:ascii="宋体" w:hAnsi="宋体" w:eastAsia="宋体" w:cs="宋体"/>
              <w:bCs/>
              <w:color w:val="auto"/>
              <w:spacing w:val="12"/>
              <w:szCs w:val="28"/>
              <w:highlight w:val="none"/>
              <w:lang w:val="en-US" w:eastAsia="zh-CN"/>
            </w:rPr>
            <w:t>定标、中标及</w:t>
          </w:r>
          <w:r>
            <w:rPr>
              <w:rFonts w:ascii="宋体" w:hAnsi="宋体" w:eastAsia="宋体" w:cs="宋体"/>
              <w:bCs/>
              <w:color w:val="auto"/>
              <w:spacing w:val="-7"/>
              <w:szCs w:val="28"/>
              <w:highlight w:val="none"/>
            </w:rPr>
            <w:t>合同授予</w:t>
          </w:r>
          <w:r>
            <w:rPr>
              <w:color w:val="auto"/>
              <w:highlight w:val="none"/>
            </w:rPr>
            <w:tab/>
          </w:r>
          <w:r>
            <w:rPr>
              <w:color w:val="auto"/>
              <w:highlight w:val="none"/>
            </w:rPr>
            <w:fldChar w:fldCharType="begin"/>
          </w:r>
          <w:r>
            <w:rPr>
              <w:color w:val="auto"/>
              <w:highlight w:val="none"/>
            </w:rPr>
            <w:instrText xml:space="preserve"> PAGEREF _Toc2796 \h </w:instrText>
          </w:r>
          <w:r>
            <w:rPr>
              <w:color w:val="auto"/>
              <w:highlight w:val="none"/>
            </w:rPr>
            <w:fldChar w:fldCharType="separate"/>
          </w:r>
          <w:r>
            <w:rPr>
              <w:color w:val="auto"/>
              <w:highlight w:val="none"/>
            </w:rPr>
            <w:t>51</w:t>
          </w:r>
          <w:r>
            <w:rPr>
              <w:color w:val="auto"/>
              <w:highlight w:val="none"/>
            </w:rPr>
            <w:fldChar w:fldCharType="end"/>
          </w:r>
          <w:r>
            <w:rPr>
              <w:rFonts w:ascii="宋体" w:hAnsi="宋体" w:eastAsia="宋体" w:cs="宋体"/>
              <w:snapToGrid w:val="0"/>
              <w:color w:val="auto"/>
              <w:kern w:val="0"/>
              <w:szCs w:val="24"/>
              <w:highlight w:val="none"/>
              <w:lang w:val="en-US" w:eastAsia="en-US" w:bidi="ar-SA"/>
            </w:rPr>
            <w:fldChar w:fldCharType="end"/>
          </w:r>
        </w:p>
        <w:p w14:paraId="4C25BEE5">
          <w:pPr>
            <w:pStyle w:val="11"/>
            <w:tabs>
              <w:tab w:val="right" w:leader="dot" w:pos="8797"/>
            </w:tabs>
            <w:rPr>
              <w:color w:val="auto"/>
              <w:highlight w:val="none"/>
            </w:rPr>
          </w:pPr>
          <w:r>
            <w:rPr>
              <w:rFonts w:ascii="宋体" w:hAnsi="宋体" w:eastAsia="宋体" w:cs="宋体"/>
              <w:snapToGrid w:val="0"/>
              <w:color w:val="auto"/>
              <w:kern w:val="0"/>
              <w:szCs w:val="24"/>
              <w:highlight w:val="none"/>
              <w:lang w:val="en-US" w:eastAsia="en-US" w:bidi="ar-SA"/>
            </w:rPr>
            <w:fldChar w:fldCharType="begin"/>
          </w:r>
          <w:r>
            <w:rPr>
              <w:rFonts w:ascii="宋体" w:hAnsi="宋体" w:eastAsia="宋体" w:cs="宋体"/>
              <w:snapToGrid w:val="0"/>
              <w:color w:val="auto"/>
              <w:kern w:val="0"/>
              <w:szCs w:val="24"/>
              <w:highlight w:val="none"/>
              <w:lang w:val="en-US" w:eastAsia="en-US" w:bidi="ar-SA"/>
            </w:rPr>
            <w:instrText xml:space="preserve"> HYPERLINK \l _Toc17395 </w:instrText>
          </w:r>
          <w:r>
            <w:rPr>
              <w:rFonts w:ascii="宋体" w:hAnsi="宋体" w:eastAsia="宋体" w:cs="宋体"/>
              <w:snapToGrid w:val="0"/>
              <w:color w:val="auto"/>
              <w:kern w:val="0"/>
              <w:szCs w:val="24"/>
              <w:highlight w:val="none"/>
              <w:lang w:val="en-US" w:eastAsia="en-US" w:bidi="ar-SA"/>
            </w:rPr>
            <w:fldChar w:fldCharType="separate"/>
          </w:r>
          <w:r>
            <w:rPr>
              <w:rFonts w:hint="eastAsia" w:ascii="宋体" w:hAnsi="宋体" w:eastAsia="宋体" w:cs="宋体"/>
              <w:bCs/>
              <w:color w:val="auto"/>
              <w:kern w:val="0"/>
              <w:szCs w:val="24"/>
              <w:highlight w:val="none"/>
              <w:lang w:val="en-US" w:eastAsia="zh-CN" w:bidi="ar-SA"/>
            </w:rPr>
            <w:t>8.</w:t>
          </w:r>
          <w:r>
            <w:rPr>
              <w:rFonts w:hint="eastAsia" w:ascii="宋体" w:hAnsi="宋体" w:eastAsia="宋体" w:cs="宋体"/>
              <w:color w:val="auto"/>
              <w:highlight w:val="none"/>
            </w:rPr>
            <w:t>纪律和监督</w:t>
          </w:r>
          <w:r>
            <w:rPr>
              <w:color w:val="auto"/>
              <w:highlight w:val="none"/>
            </w:rPr>
            <w:tab/>
          </w:r>
          <w:r>
            <w:rPr>
              <w:color w:val="auto"/>
              <w:highlight w:val="none"/>
            </w:rPr>
            <w:fldChar w:fldCharType="begin"/>
          </w:r>
          <w:r>
            <w:rPr>
              <w:color w:val="auto"/>
              <w:highlight w:val="none"/>
            </w:rPr>
            <w:instrText xml:space="preserve"> PAGEREF _Toc17395 \h </w:instrText>
          </w:r>
          <w:r>
            <w:rPr>
              <w:color w:val="auto"/>
              <w:highlight w:val="none"/>
            </w:rPr>
            <w:fldChar w:fldCharType="separate"/>
          </w:r>
          <w:r>
            <w:rPr>
              <w:color w:val="auto"/>
              <w:highlight w:val="none"/>
            </w:rPr>
            <w:t>55</w:t>
          </w:r>
          <w:r>
            <w:rPr>
              <w:color w:val="auto"/>
              <w:highlight w:val="none"/>
            </w:rPr>
            <w:fldChar w:fldCharType="end"/>
          </w:r>
          <w:r>
            <w:rPr>
              <w:rFonts w:ascii="宋体" w:hAnsi="宋体" w:eastAsia="宋体" w:cs="宋体"/>
              <w:snapToGrid w:val="0"/>
              <w:color w:val="auto"/>
              <w:kern w:val="0"/>
              <w:szCs w:val="24"/>
              <w:highlight w:val="none"/>
              <w:lang w:val="en-US" w:eastAsia="en-US" w:bidi="ar-SA"/>
            </w:rPr>
            <w:fldChar w:fldCharType="end"/>
          </w:r>
        </w:p>
        <w:p w14:paraId="4664C711">
          <w:pPr>
            <w:pStyle w:val="11"/>
            <w:tabs>
              <w:tab w:val="right" w:leader="dot" w:pos="8797"/>
            </w:tabs>
            <w:rPr>
              <w:color w:val="auto"/>
              <w:highlight w:val="none"/>
            </w:rPr>
          </w:pPr>
          <w:r>
            <w:rPr>
              <w:rFonts w:ascii="宋体" w:hAnsi="宋体" w:eastAsia="宋体" w:cs="宋体"/>
              <w:snapToGrid w:val="0"/>
              <w:color w:val="auto"/>
              <w:kern w:val="0"/>
              <w:szCs w:val="24"/>
              <w:highlight w:val="none"/>
              <w:lang w:val="en-US" w:eastAsia="en-US" w:bidi="ar-SA"/>
            </w:rPr>
            <w:fldChar w:fldCharType="begin"/>
          </w:r>
          <w:r>
            <w:rPr>
              <w:rFonts w:ascii="宋体" w:hAnsi="宋体" w:eastAsia="宋体" w:cs="宋体"/>
              <w:snapToGrid w:val="0"/>
              <w:color w:val="auto"/>
              <w:kern w:val="0"/>
              <w:szCs w:val="24"/>
              <w:highlight w:val="none"/>
              <w:lang w:val="en-US" w:eastAsia="en-US" w:bidi="ar-SA"/>
            </w:rPr>
            <w:instrText xml:space="preserve"> HYPERLINK \l _Toc24583 </w:instrText>
          </w:r>
          <w:r>
            <w:rPr>
              <w:rFonts w:ascii="宋体" w:hAnsi="宋体" w:eastAsia="宋体" w:cs="宋体"/>
              <w:snapToGrid w:val="0"/>
              <w:color w:val="auto"/>
              <w:kern w:val="0"/>
              <w:szCs w:val="24"/>
              <w:highlight w:val="none"/>
              <w:lang w:val="en-US" w:eastAsia="en-US" w:bidi="ar-SA"/>
            </w:rPr>
            <w:fldChar w:fldCharType="separate"/>
          </w:r>
          <w:r>
            <w:rPr>
              <w:rFonts w:hint="eastAsia" w:ascii="宋体" w:hAnsi="宋体" w:eastAsia="宋体" w:cs="宋体"/>
              <w:bCs/>
              <w:color w:val="auto"/>
              <w:kern w:val="0"/>
              <w:szCs w:val="24"/>
              <w:highlight w:val="none"/>
              <w:lang w:val="en-US" w:eastAsia="zh-CN" w:bidi="ar-SA"/>
            </w:rPr>
            <w:t>9.</w:t>
          </w:r>
          <w:r>
            <w:rPr>
              <w:rFonts w:hint="eastAsia" w:ascii="宋体" w:hAnsi="宋体" w:eastAsia="宋体" w:cs="宋体"/>
              <w:color w:val="auto"/>
              <w:highlight w:val="none"/>
            </w:rPr>
            <w:t>是否采用电子招标投标</w:t>
          </w:r>
          <w:r>
            <w:rPr>
              <w:color w:val="auto"/>
              <w:highlight w:val="none"/>
            </w:rPr>
            <w:tab/>
          </w:r>
          <w:r>
            <w:rPr>
              <w:color w:val="auto"/>
              <w:highlight w:val="none"/>
            </w:rPr>
            <w:fldChar w:fldCharType="begin"/>
          </w:r>
          <w:r>
            <w:rPr>
              <w:color w:val="auto"/>
              <w:highlight w:val="none"/>
            </w:rPr>
            <w:instrText xml:space="preserve"> PAGEREF _Toc24583 \h </w:instrText>
          </w:r>
          <w:r>
            <w:rPr>
              <w:color w:val="auto"/>
              <w:highlight w:val="none"/>
            </w:rPr>
            <w:fldChar w:fldCharType="separate"/>
          </w:r>
          <w:r>
            <w:rPr>
              <w:color w:val="auto"/>
              <w:highlight w:val="none"/>
            </w:rPr>
            <w:t>57</w:t>
          </w:r>
          <w:r>
            <w:rPr>
              <w:color w:val="auto"/>
              <w:highlight w:val="none"/>
            </w:rPr>
            <w:fldChar w:fldCharType="end"/>
          </w:r>
          <w:r>
            <w:rPr>
              <w:rFonts w:ascii="宋体" w:hAnsi="宋体" w:eastAsia="宋体" w:cs="宋体"/>
              <w:snapToGrid w:val="0"/>
              <w:color w:val="auto"/>
              <w:kern w:val="0"/>
              <w:szCs w:val="24"/>
              <w:highlight w:val="none"/>
              <w:lang w:val="en-US" w:eastAsia="en-US" w:bidi="ar-SA"/>
            </w:rPr>
            <w:fldChar w:fldCharType="end"/>
          </w:r>
        </w:p>
        <w:p w14:paraId="09E4A15F">
          <w:pPr>
            <w:pStyle w:val="11"/>
            <w:tabs>
              <w:tab w:val="right" w:leader="dot" w:pos="8797"/>
            </w:tabs>
            <w:rPr>
              <w:color w:val="auto"/>
              <w:highlight w:val="none"/>
            </w:rPr>
          </w:pPr>
          <w:r>
            <w:rPr>
              <w:rFonts w:ascii="宋体" w:hAnsi="宋体" w:eastAsia="宋体" w:cs="宋体"/>
              <w:snapToGrid w:val="0"/>
              <w:color w:val="auto"/>
              <w:kern w:val="0"/>
              <w:szCs w:val="24"/>
              <w:highlight w:val="none"/>
              <w:lang w:val="en-US" w:eastAsia="en-US" w:bidi="ar-SA"/>
            </w:rPr>
            <w:fldChar w:fldCharType="begin"/>
          </w:r>
          <w:r>
            <w:rPr>
              <w:rFonts w:ascii="宋体" w:hAnsi="宋体" w:eastAsia="宋体" w:cs="宋体"/>
              <w:snapToGrid w:val="0"/>
              <w:color w:val="auto"/>
              <w:kern w:val="0"/>
              <w:szCs w:val="24"/>
              <w:highlight w:val="none"/>
              <w:lang w:val="en-US" w:eastAsia="en-US" w:bidi="ar-SA"/>
            </w:rPr>
            <w:instrText xml:space="preserve"> HYPERLINK \l _Toc13438 </w:instrText>
          </w:r>
          <w:r>
            <w:rPr>
              <w:rFonts w:ascii="宋体" w:hAnsi="宋体" w:eastAsia="宋体" w:cs="宋体"/>
              <w:snapToGrid w:val="0"/>
              <w:color w:val="auto"/>
              <w:kern w:val="0"/>
              <w:szCs w:val="24"/>
              <w:highlight w:val="none"/>
              <w:lang w:val="en-US" w:eastAsia="en-US" w:bidi="ar-SA"/>
            </w:rPr>
            <w:fldChar w:fldCharType="separate"/>
          </w:r>
          <w:r>
            <w:rPr>
              <w:rFonts w:hint="eastAsia" w:ascii="宋体" w:hAnsi="宋体" w:eastAsia="宋体" w:cs="宋体"/>
              <w:bCs/>
              <w:color w:val="auto"/>
              <w:kern w:val="0"/>
              <w:szCs w:val="24"/>
              <w:highlight w:val="none"/>
              <w:lang w:val="en-US" w:eastAsia="zh-CN" w:bidi="ar-SA"/>
            </w:rPr>
            <w:t>10.</w:t>
          </w:r>
          <w:r>
            <w:rPr>
              <w:rFonts w:hint="eastAsia" w:ascii="宋体" w:hAnsi="宋体" w:eastAsia="宋体" w:cs="宋体"/>
              <w:color w:val="auto"/>
              <w:highlight w:val="none"/>
            </w:rPr>
            <w:t>需要补充的其他内容</w:t>
          </w:r>
          <w:r>
            <w:rPr>
              <w:color w:val="auto"/>
              <w:highlight w:val="none"/>
            </w:rPr>
            <w:tab/>
          </w:r>
          <w:r>
            <w:rPr>
              <w:color w:val="auto"/>
              <w:highlight w:val="none"/>
            </w:rPr>
            <w:fldChar w:fldCharType="begin"/>
          </w:r>
          <w:r>
            <w:rPr>
              <w:color w:val="auto"/>
              <w:highlight w:val="none"/>
            </w:rPr>
            <w:instrText xml:space="preserve"> PAGEREF _Toc13438 \h </w:instrText>
          </w:r>
          <w:r>
            <w:rPr>
              <w:color w:val="auto"/>
              <w:highlight w:val="none"/>
            </w:rPr>
            <w:fldChar w:fldCharType="separate"/>
          </w:r>
          <w:r>
            <w:rPr>
              <w:color w:val="auto"/>
              <w:highlight w:val="none"/>
            </w:rPr>
            <w:t>57</w:t>
          </w:r>
          <w:r>
            <w:rPr>
              <w:color w:val="auto"/>
              <w:highlight w:val="none"/>
            </w:rPr>
            <w:fldChar w:fldCharType="end"/>
          </w:r>
          <w:r>
            <w:rPr>
              <w:rFonts w:ascii="宋体" w:hAnsi="宋体" w:eastAsia="宋体" w:cs="宋体"/>
              <w:snapToGrid w:val="0"/>
              <w:color w:val="auto"/>
              <w:kern w:val="0"/>
              <w:szCs w:val="24"/>
              <w:highlight w:val="none"/>
              <w:lang w:val="en-US" w:eastAsia="en-US" w:bidi="ar-SA"/>
            </w:rPr>
            <w:fldChar w:fldCharType="end"/>
          </w:r>
        </w:p>
        <w:p w14:paraId="3C43A813">
          <w:pPr>
            <w:pStyle w:val="10"/>
            <w:tabs>
              <w:tab w:val="right" w:leader="dot" w:pos="8797"/>
            </w:tabs>
            <w:rPr>
              <w:color w:val="auto"/>
              <w:highlight w:val="none"/>
            </w:rPr>
          </w:pPr>
          <w:r>
            <w:rPr>
              <w:rFonts w:ascii="宋体" w:hAnsi="宋体" w:eastAsia="宋体" w:cs="宋体"/>
              <w:snapToGrid w:val="0"/>
              <w:color w:val="auto"/>
              <w:kern w:val="0"/>
              <w:szCs w:val="24"/>
              <w:highlight w:val="none"/>
              <w:lang w:val="en-US" w:eastAsia="en-US" w:bidi="ar-SA"/>
            </w:rPr>
            <w:fldChar w:fldCharType="begin"/>
          </w:r>
          <w:r>
            <w:rPr>
              <w:rFonts w:ascii="宋体" w:hAnsi="宋体" w:eastAsia="宋体" w:cs="宋体"/>
              <w:snapToGrid w:val="0"/>
              <w:color w:val="auto"/>
              <w:kern w:val="0"/>
              <w:szCs w:val="24"/>
              <w:highlight w:val="none"/>
              <w:lang w:val="en-US" w:eastAsia="en-US" w:bidi="ar-SA"/>
            </w:rPr>
            <w:instrText xml:space="preserve"> HYPERLINK \l _Toc626 </w:instrText>
          </w:r>
          <w:r>
            <w:rPr>
              <w:rFonts w:ascii="宋体" w:hAnsi="宋体" w:eastAsia="宋体" w:cs="宋体"/>
              <w:snapToGrid w:val="0"/>
              <w:color w:val="auto"/>
              <w:kern w:val="0"/>
              <w:szCs w:val="24"/>
              <w:highlight w:val="none"/>
              <w:lang w:val="en-US" w:eastAsia="en-US" w:bidi="ar-SA"/>
            </w:rPr>
            <w:fldChar w:fldCharType="separate"/>
          </w:r>
          <w:r>
            <w:rPr>
              <w:rFonts w:ascii="宋体" w:hAnsi="宋体" w:eastAsia="宋体" w:cs="宋体"/>
              <w:bCs/>
              <w:color w:val="auto"/>
              <w:spacing w:val="-5"/>
              <w:szCs w:val="52"/>
              <w:highlight w:val="none"/>
            </w:rPr>
            <w:t>第三章</w:t>
          </w:r>
          <w:r>
            <w:rPr>
              <w:rFonts w:ascii="宋体" w:hAnsi="宋体" w:eastAsia="宋体" w:cs="宋体"/>
              <w:color w:val="auto"/>
              <w:spacing w:val="-5"/>
              <w:szCs w:val="52"/>
              <w:highlight w:val="none"/>
            </w:rPr>
            <w:t xml:space="preserve">  </w:t>
          </w:r>
          <w:r>
            <w:rPr>
              <w:rFonts w:ascii="宋体" w:hAnsi="宋体" w:eastAsia="宋体" w:cs="宋体"/>
              <w:bCs/>
              <w:color w:val="auto"/>
              <w:spacing w:val="-5"/>
              <w:szCs w:val="52"/>
              <w:highlight w:val="none"/>
            </w:rPr>
            <w:t>评标办法</w:t>
          </w:r>
          <w:r>
            <w:rPr>
              <w:rFonts w:hint="eastAsia" w:ascii="宋体" w:hAnsi="宋体" w:cs="宋体"/>
              <w:bCs/>
              <w:color w:val="auto"/>
              <w:szCs w:val="52"/>
              <w:highlight w:val="none"/>
              <w:lang w:val="en-US" w:eastAsia="zh-CN"/>
            </w:rPr>
            <w:t>及定标办法</w:t>
          </w:r>
          <w:r>
            <w:rPr>
              <w:color w:val="auto"/>
              <w:highlight w:val="none"/>
            </w:rPr>
            <w:tab/>
          </w:r>
          <w:r>
            <w:rPr>
              <w:color w:val="auto"/>
              <w:highlight w:val="none"/>
            </w:rPr>
            <w:fldChar w:fldCharType="begin"/>
          </w:r>
          <w:r>
            <w:rPr>
              <w:color w:val="auto"/>
              <w:highlight w:val="none"/>
            </w:rPr>
            <w:instrText xml:space="preserve"> PAGEREF _Toc626 \h </w:instrText>
          </w:r>
          <w:r>
            <w:rPr>
              <w:color w:val="auto"/>
              <w:highlight w:val="none"/>
            </w:rPr>
            <w:fldChar w:fldCharType="separate"/>
          </w:r>
          <w:r>
            <w:rPr>
              <w:color w:val="auto"/>
              <w:highlight w:val="none"/>
            </w:rPr>
            <w:t>58</w:t>
          </w:r>
          <w:r>
            <w:rPr>
              <w:color w:val="auto"/>
              <w:highlight w:val="none"/>
            </w:rPr>
            <w:fldChar w:fldCharType="end"/>
          </w:r>
          <w:r>
            <w:rPr>
              <w:rFonts w:ascii="宋体" w:hAnsi="宋体" w:eastAsia="宋体" w:cs="宋体"/>
              <w:snapToGrid w:val="0"/>
              <w:color w:val="auto"/>
              <w:kern w:val="0"/>
              <w:szCs w:val="24"/>
              <w:highlight w:val="none"/>
              <w:lang w:val="en-US" w:eastAsia="en-US" w:bidi="ar-SA"/>
            </w:rPr>
            <w:fldChar w:fldCharType="end"/>
          </w:r>
        </w:p>
        <w:p w14:paraId="11323BC2">
          <w:pPr>
            <w:pStyle w:val="10"/>
            <w:tabs>
              <w:tab w:val="right" w:leader="dot" w:pos="8797"/>
            </w:tabs>
            <w:rPr>
              <w:color w:val="auto"/>
              <w:highlight w:val="none"/>
            </w:rPr>
          </w:pPr>
          <w:r>
            <w:rPr>
              <w:rFonts w:ascii="宋体" w:hAnsi="宋体" w:eastAsia="宋体" w:cs="宋体"/>
              <w:snapToGrid w:val="0"/>
              <w:color w:val="auto"/>
              <w:kern w:val="0"/>
              <w:szCs w:val="24"/>
              <w:highlight w:val="none"/>
              <w:lang w:val="en-US" w:eastAsia="en-US" w:bidi="ar-SA"/>
            </w:rPr>
            <w:fldChar w:fldCharType="begin"/>
          </w:r>
          <w:r>
            <w:rPr>
              <w:rFonts w:ascii="宋体" w:hAnsi="宋体" w:eastAsia="宋体" w:cs="宋体"/>
              <w:snapToGrid w:val="0"/>
              <w:color w:val="auto"/>
              <w:kern w:val="0"/>
              <w:szCs w:val="24"/>
              <w:highlight w:val="none"/>
              <w:lang w:val="en-US" w:eastAsia="en-US" w:bidi="ar-SA"/>
            </w:rPr>
            <w:instrText xml:space="preserve"> HYPERLINK \l _Toc9790 </w:instrText>
          </w:r>
          <w:r>
            <w:rPr>
              <w:rFonts w:ascii="宋体" w:hAnsi="宋体" w:eastAsia="宋体" w:cs="宋体"/>
              <w:snapToGrid w:val="0"/>
              <w:color w:val="auto"/>
              <w:kern w:val="0"/>
              <w:szCs w:val="24"/>
              <w:highlight w:val="none"/>
              <w:lang w:val="en-US" w:eastAsia="en-US" w:bidi="ar-SA"/>
            </w:rPr>
            <w:fldChar w:fldCharType="separate"/>
          </w:r>
          <w:r>
            <w:rPr>
              <w:rFonts w:hint="eastAsia" w:ascii="宋体" w:hAnsi="宋体" w:eastAsia="宋体" w:cs="宋体"/>
              <w:bCs/>
              <w:color w:val="auto"/>
              <w:spacing w:val="6"/>
              <w:szCs w:val="31"/>
              <w:highlight w:val="none"/>
              <w:lang w:val="en-US" w:eastAsia="zh-CN"/>
            </w:rPr>
            <w:t>第一节</w:t>
          </w:r>
          <w:r>
            <w:rPr>
              <w:rFonts w:ascii="宋体" w:hAnsi="宋体" w:eastAsia="宋体" w:cs="宋体"/>
              <w:color w:val="auto"/>
              <w:spacing w:val="6"/>
              <w:szCs w:val="31"/>
              <w:highlight w:val="none"/>
            </w:rPr>
            <w:t xml:space="preserve">  </w:t>
          </w:r>
          <w:r>
            <w:rPr>
              <w:rFonts w:ascii="宋体" w:hAnsi="宋体" w:eastAsia="宋体" w:cs="宋体"/>
              <w:bCs/>
              <w:color w:val="auto"/>
              <w:spacing w:val="6"/>
              <w:szCs w:val="31"/>
              <w:highlight w:val="none"/>
            </w:rPr>
            <w:t>评标办法（综合评估法）</w:t>
          </w:r>
          <w:r>
            <w:rPr>
              <w:color w:val="auto"/>
              <w:highlight w:val="none"/>
            </w:rPr>
            <w:tab/>
          </w:r>
          <w:r>
            <w:rPr>
              <w:color w:val="auto"/>
              <w:highlight w:val="none"/>
            </w:rPr>
            <w:fldChar w:fldCharType="begin"/>
          </w:r>
          <w:r>
            <w:rPr>
              <w:color w:val="auto"/>
              <w:highlight w:val="none"/>
            </w:rPr>
            <w:instrText xml:space="preserve"> PAGEREF _Toc9790 \h </w:instrText>
          </w:r>
          <w:r>
            <w:rPr>
              <w:color w:val="auto"/>
              <w:highlight w:val="none"/>
            </w:rPr>
            <w:fldChar w:fldCharType="separate"/>
          </w:r>
          <w:r>
            <w:rPr>
              <w:color w:val="auto"/>
              <w:highlight w:val="none"/>
            </w:rPr>
            <w:t>59</w:t>
          </w:r>
          <w:r>
            <w:rPr>
              <w:color w:val="auto"/>
              <w:highlight w:val="none"/>
            </w:rPr>
            <w:fldChar w:fldCharType="end"/>
          </w:r>
          <w:r>
            <w:rPr>
              <w:rFonts w:ascii="宋体" w:hAnsi="宋体" w:eastAsia="宋体" w:cs="宋体"/>
              <w:snapToGrid w:val="0"/>
              <w:color w:val="auto"/>
              <w:kern w:val="0"/>
              <w:szCs w:val="24"/>
              <w:highlight w:val="none"/>
              <w:lang w:val="en-US" w:eastAsia="en-US" w:bidi="ar-SA"/>
            </w:rPr>
            <w:fldChar w:fldCharType="end"/>
          </w:r>
        </w:p>
        <w:p w14:paraId="0B022074">
          <w:pPr>
            <w:pStyle w:val="11"/>
            <w:tabs>
              <w:tab w:val="right" w:leader="dot" w:pos="8797"/>
            </w:tabs>
            <w:rPr>
              <w:color w:val="auto"/>
              <w:highlight w:val="none"/>
            </w:rPr>
          </w:pPr>
          <w:r>
            <w:rPr>
              <w:rFonts w:ascii="宋体" w:hAnsi="宋体" w:eastAsia="宋体" w:cs="宋体"/>
              <w:snapToGrid w:val="0"/>
              <w:color w:val="auto"/>
              <w:kern w:val="0"/>
              <w:szCs w:val="24"/>
              <w:highlight w:val="none"/>
              <w:lang w:val="en-US" w:eastAsia="en-US" w:bidi="ar-SA"/>
            </w:rPr>
            <w:fldChar w:fldCharType="begin"/>
          </w:r>
          <w:r>
            <w:rPr>
              <w:rFonts w:ascii="宋体" w:hAnsi="宋体" w:eastAsia="宋体" w:cs="宋体"/>
              <w:snapToGrid w:val="0"/>
              <w:color w:val="auto"/>
              <w:kern w:val="0"/>
              <w:szCs w:val="24"/>
              <w:highlight w:val="none"/>
              <w:lang w:val="en-US" w:eastAsia="en-US" w:bidi="ar-SA"/>
            </w:rPr>
            <w:instrText xml:space="preserve"> HYPERLINK \l _Toc724 </w:instrText>
          </w:r>
          <w:r>
            <w:rPr>
              <w:rFonts w:ascii="宋体" w:hAnsi="宋体" w:eastAsia="宋体" w:cs="宋体"/>
              <w:snapToGrid w:val="0"/>
              <w:color w:val="auto"/>
              <w:kern w:val="0"/>
              <w:szCs w:val="24"/>
              <w:highlight w:val="none"/>
              <w:lang w:val="en-US" w:eastAsia="en-US" w:bidi="ar-SA"/>
            </w:rPr>
            <w:fldChar w:fldCharType="separate"/>
          </w:r>
          <w:r>
            <w:rPr>
              <w:rFonts w:ascii="宋体" w:hAnsi="宋体" w:eastAsia="宋体" w:cs="宋体"/>
              <w:bCs/>
              <w:color w:val="auto"/>
              <w:spacing w:val="-3"/>
              <w:szCs w:val="24"/>
              <w:highlight w:val="none"/>
            </w:rPr>
            <w:t>评标办法前附表</w:t>
          </w:r>
          <w:r>
            <w:rPr>
              <w:color w:val="auto"/>
              <w:highlight w:val="none"/>
            </w:rPr>
            <w:tab/>
          </w:r>
          <w:r>
            <w:rPr>
              <w:color w:val="auto"/>
              <w:highlight w:val="none"/>
            </w:rPr>
            <w:fldChar w:fldCharType="begin"/>
          </w:r>
          <w:r>
            <w:rPr>
              <w:color w:val="auto"/>
              <w:highlight w:val="none"/>
            </w:rPr>
            <w:instrText xml:space="preserve"> PAGEREF _Toc724 \h </w:instrText>
          </w:r>
          <w:r>
            <w:rPr>
              <w:color w:val="auto"/>
              <w:highlight w:val="none"/>
            </w:rPr>
            <w:fldChar w:fldCharType="separate"/>
          </w:r>
          <w:r>
            <w:rPr>
              <w:color w:val="auto"/>
              <w:highlight w:val="none"/>
            </w:rPr>
            <w:t>59</w:t>
          </w:r>
          <w:r>
            <w:rPr>
              <w:color w:val="auto"/>
              <w:highlight w:val="none"/>
            </w:rPr>
            <w:fldChar w:fldCharType="end"/>
          </w:r>
          <w:r>
            <w:rPr>
              <w:rFonts w:ascii="宋体" w:hAnsi="宋体" w:eastAsia="宋体" w:cs="宋体"/>
              <w:snapToGrid w:val="0"/>
              <w:color w:val="auto"/>
              <w:kern w:val="0"/>
              <w:szCs w:val="24"/>
              <w:highlight w:val="none"/>
              <w:lang w:val="en-US" w:eastAsia="en-US" w:bidi="ar-SA"/>
            </w:rPr>
            <w:fldChar w:fldCharType="end"/>
          </w:r>
        </w:p>
        <w:p w14:paraId="555D5C60">
          <w:pPr>
            <w:pStyle w:val="10"/>
            <w:tabs>
              <w:tab w:val="right" w:leader="dot" w:pos="8797"/>
            </w:tabs>
            <w:rPr>
              <w:color w:val="auto"/>
              <w:highlight w:val="none"/>
            </w:rPr>
          </w:pPr>
          <w:r>
            <w:rPr>
              <w:rFonts w:ascii="宋体" w:hAnsi="宋体" w:eastAsia="宋体" w:cs="宋体"/>
              <w:snapToGrid w:val="0"/>
              <w:color w:val="auto"/>
              <w:kern w:val="0"/>
              <w:szCs w:val="24"/>
              <w:highlight w:val="none"/>
              <w:lang w:val="en-US" w:eastAsia="en-US" w:bidi="ar-SA"/>
            </w:rPr>
            <w:fldChar w:fldCharType="begin"/>
          </w:r>
          <w:r>
            <w:rPr>
              <w:rFonts w:ascii="宋体" w:hAnsi="宋体" w:eastAsia="宋体" w:cs="宋体"/>
              <w:snapToGrid w:val="0"/>
              <w:color w:val="auto"/>
              <w:kern w:val="0"/>
              <w:szCs w:val="24"/>
              <w:highlight w:val="none"/>
              <w:lang w:val="en-US" w:eastAsia="en-US" w:bidi="ar-SA"/>
            </w:rPr>
            <w:instrText xml:space="preserve"> HYPERLINK \l _Toc596 </w:instrText>
          </w:r>
          <w:r>
            <w:rPr>
              <w:rFonts w:ascii="宋体" w:hAnsi="宋体" w:eastAsia="宋体" w:cs="宋体"/>
              <w:snapToGrid w:val="0"/>
              <w:color w:val="auto"/>
              <w:kern w:val="0"/>
              <w:szCs w:val="24"/>
              <w:highlight w:val="none"/>
              <w:lang w:val="en-US" w:eastAsia="en-US" w:bidi="ar-SA"/>
            </w:rPr>
            <w:fldChar w:fldCharType="separate"/>
          </w:r>
          <w:r>
            <w:rPr>
              <w:rFonts w:ascii="宋体" w:hAnsi="宋体" w:eastAsia="宋体" w:cs="宋体"/>
              <w:bCs/>
              <w:color w:val="auto"/>
              <w:spacing w:val="-7"/>
              <w:szCs w:val="28"/>
              <w:highlight w:val="none"/>
            </w:rPr>
            <w:t>1.</w:t>
          </w:r>
          <w:r>
            <w:rPr>
              <w:rFonts w:ascii="宋体" w:hAnsi="宋体" w:eastAsia="宋体" w:cs="宋体"/>
              <w:color w:val="auto"/>
              <w:spacing w:val="-7"/>
              <w:szCs w:val="28"/>
              <w:highlight w:val="none"/>
            </w:rPr>
            <w:t xml:space="preserve"> </w:t>
          </w:r>
          <w:r>
            <w:rPr>
              <w:rFonts w:ascii="宋体" w:hAnsi="宋体" w:eastAsia="宋体" w:cs="宋体"/>
              <w:bCs/>
              <w:color w:val="auto"/>
              <w:spacing w:val="-7"/>
              <w:szCs w:val="28"/>
              <w:highlight w:val="none"/>
            </w:rPr>
            <w:t>评标方法</w:t>
          </w:r>
          <w:r>
            <w:rPr>
              <w:color w:val="auto"/>
              <w:highlight w:val="none"/>
            </w:rPr>
            <w:tab/>
          </w:r>
          <w:r>
            <w:rPr>
              <w:color w:val="auto"/>
              <w:highlight w:val="none"/>
            </w:rPr>
            <w:fldChar w:fldCharType="begin"/>
          </w:r>
          <w:r>
            <w:rPr>
              <w:color w:val="auto"/>
              <w:highlight w:val="none"/>
            </w:rPr>
            <w:instrText xml:space="preserve"> PAGEREF _Toc596 \h </w:instrText>
          </w:r>
          <w:r>
            <w:rPr>
              <w:color w:val="auto"/>
              <w:highlight w:val="none"/>
            </w:rPr>
            <w:fldChar w:fldCharType="separate"/>
          </w:r>
          <w:r>
            <w:rPr>
              <w:color w:val="auto"/>
              <w:highlight w:val="none"/>
            </w:rPr>
            <w:t>68</w:t>
          </w:r>
          <w:r>
            <w:rPr>
              <w:color w:val="auto"/>
              <w:highlight w:val="none"/>
            </w:rPr>
            <w:fldChar w:fldCharType="end"/>
          </w:r>
          <w:r>
            <w:rPr>
              <w:rFonts w:ascii="宋体" w:hAnsi="宋体" w:eastAsia="宋体" w:cs="宋体"/>
              <w:snapToGrid w:val="0"/>
              <w:color w:val="auto"/>
              <w:kern w:val="0"/>
              <w:szCs w:val="24"/>
              <w:highlight w:val="none"/>
              <w:lang w:val="en-US" w:eastAsia="en-US" w:bidi="ar-SA"/>
            </w:rPr>
            <w:fldChar w:fldCharType="end"/>
          </w:r>
        </w:p>
        <w:p w14:paraId="707DD6BE">
          <w:pPr>
            <w:pStyle w:val="11"/>
            <w:tabs>
              <w:tab w:val="right" w:leader="dot" w:pos="8797"/>
            </w:tabs>
            <w:rPr>
              <w:color w:val="auto"/>
              <w:highlight w:val="none"/>
            </w:rPr>
          </w:pPr>
          <w:r>
            <w:rPr>
              <w:rFonts w:ascii="宋体" w:hAnsi="宋体" w:eastAsia="宋体" w:cs="宋体"/>
              <w:snapToGrid w:val="0"/>
              <w:color w:val="auto"/>
              <w:kern w:val="0"/>
              <w:szCs w:val="24"/>
              <w:highlight w:val="none"/>
              <w:lang w:val="en-US" w:eastAsia="en-US" w:bidi="ar-SA"/>
            </w:rPr>
            <w:fldChar w:fldCharType="begin"/>
          </w:r>
          <w:r>
            <w:rPr>
              <w:rFonts w:ascii="宋体" w:hAnsi="宋体" w:eastAsia="宋体" w:cs="宋体"/>
              <w:snapToGrid w:val="0"/>
              <w:color w:val="auto"/>
              <w:kern w:val="0"/>
              <w:szCs w:val="24"/>
              <w:highlight w:val="none"/>
              <w:lang w:val="en-US" w:eastAsia="en-US" w:bidi="ar-SA"/>
            </w:rPr>
            <w:instrText xml:space="preserve"> HYPERLINK \l _Toc15482 </w:instrText>
          </w:r>
          <w:r>
            <w:rPr>
              <w:rFonts w:ascii="宋体" w:hAnsi="宋体" w:eastAsia="宋体" w:cs="宋体"/>
              <w:snapToGrid w:val="0"/>
              <w:color w:val="auto"/>
              <w:kern w:val="0"/>
              <w:szCs w:val="24"/>
              <w:highlight w:val="none"/>
              <w:lang w:val="en-US" w:eastAsia="en-US" w:bidi="ar-SA"/>
            </w:rPr>
            <w:fldChar w:fldCharType="separate"/>
          </w:r>
          <w:r>
            <w:rPr>
              <w:rFonts w:ascii="宋体" w:hAnsi="宋体" w:eastAsia="宋体" w:cs="宋体"/>
              <w:bCs/>
              <w:color w:val="auto"/>
              <w:spacing w:val="-7"/>
              <w:szCs w:val="24"/>
              <w:highlight w:val="none"/>
            </w:rPr>
            <w:t>1.1</w:t>
          </w:r>
          <w:r>
            <w:rPr>
              <w:rFonts w:ascii="宋体" w:hAnsi="宋体" w:eastAsia="宋体" w:cs="宋体"/>
              <w:color w:val="auto"/>
              <w:spacing w:val="-52"/>
              <w:szCs w:val="24"/>
              <w:highlight w:val="none"/>
            </w:rPr>
            <w:t xml:space="preserve"> </w:t>
          </w:r>
          <w:r>
            <w:rPr>
              <w:rFonts w:ascii="宋体" w:hAnsi="宋体" w:eastAsia="宋体" w:cs="宋体"/>
              <w:bCs/>
              <w:color w:val="auto"/>
              <w:spacing w:val="-7"/>
              <w:szCs w:val="24"/>
              <w:highlight w:val="none"/>
            </w:rPr>
            <w:t>评标方法</w:t>
          </w:r>
          <w:r>
            <w:rPr>
              <w:color w:val="auto"/>
              <w:highlight w:val="none"/>
            </w:rPr>
            <w:tab/>
          </w:r>
          <w:r>
            <w:rPr>
              <w:color w:val="auto"/>
              <w:highlight w:val="none"/>
            </w:rPr>
            <w:fldChar w:fldCharType="begin"/>
          </w:r>
          <w:r>
            <w:rPr>
              <w:color w:val="auto"/>
              <w:highlight w:val="none"/>
            </w:rPr>
            <w:instrText xml:space="preserve"> PAGEREF _Toc15482 \h </w:instrText>
          </w:r>
          <w:r>
            <w:rPr>
              <w:color w:val="auto"/>
              <w:highlight w:val="none"/>
            </w:rPr>
            <w:fldChar w:fldCharType="separate"/>
          </w:r>
          <w:r>
            <w:rPr>
              <w:color w:val="auto"/>
              <w:highlight w:val="none"/>
            </w:rPr>
            <w:t>68</w:t>
          </w:r>
          <w:r>
            <w:rPr>
              <w:color w:val="auto"/>
              <w:highlight w:val="none"/>
            </w:rPr>
            <w:fldChar w:fldCharType="end"/>
          </w:r>
          <w:r>
            <w:rPr>
              <w:rFonts w:ascii="宋体" w:hAnsi="宋体" w:eastAsia="宋体" w:cs="宋体"/>
              <w:snapToGrid w:val="0"/>
              <w:color w:val="auto"/>
              <w:kern w:val="0"/>
              <w:szCs w:val="24"/>
              <w:highlight w:val="none"/>
              <w:lang w:val="en-US" w:eastAsia="en-US" w:bidi="ar-SA"/>
            </w:rPr>
            <w:fldChar w:fldCharType="end"/>
          </w:r>
        </w:p>
        <w:p w14:paraId="1667B2D4">
          <w:pPr>
            <w:pStyle w:val="11"/>
            <w:tabs>
              <w:tab w:val="right" w:leader="dot" w:pos="8797"/>
            </w:tabs>
            <w:rPr>
              <w:color w:val="auto"/>
              <w:highlight w:val="none"/>
            </w:rPr>
          </w:pPr>
          <w:r>
            <w:rPr>
              <w:rFonts w:ascii="宋体" w:hAnsi="宋体" w:eastAsia="宋体" w:cs="宋体"/>
              <w:snapToGrid w:val="0"/>
              <w:color w:val="auto"/>
              <w:kern w:val="0"/>
              <w:szCs w:val="24"/>
              <w:highlight w:val="none"/>
              <w:lang w:val="en-US" w:eastAsia="en-US" w:bidi="ar-SA"/>
            </w:rPr>
            <w:fldChar w:fldCharType="begin"/>
          </w:r>
          <w:r>
            <w:rPr>
              <w:rFonts w:ascii="宋体" w:hAnsi="宋体" w:eastAsia="宋体" w:cs="宋体"/>
              <w:snapToGrid w:val="0"/>
              <w:color w:val="auto"/>
              <w:kern w:val="0"/>
              <w:szCs w:val="24"/>
              <w:highlight w:val="none"/>
              <w:lang w:val="en-US" w:eastAsia="en-US" w:bidi="ar-SA"/>
            </w:rPr>
            <w:instrText xml:space="preserve"> HYPERLINK \l _Toc15048 </w:instrText>
          </w:r>
          <w:r>
            <w:rPr>
              <w:rFonts w:ascii="宋体" w:hAnsi="宋体" w:eastAsia="宋体" w:cs="宋体"/>
              <w:snapToGrid w:val="0"/>
              <w:color w:val="auto"/>
              <w:kern w:val="0"/>
              <w:szCs w:val="24"/>
              <w:highlight w:val="none"/>
              <w:lang w:val="en-US" w:eastAsia="en-US" w:bidi="ar-SA"/>
            </w:rPr>
            <w:fldChar w:fldCharType="separate"/>
          </w:r>
          <w:r>
            <w:rPr>
              <w:rFonts w:ascii="宋体" w:hAnsi="宋体" w:eastAsia="宋体" w:cs="宋体"/>
              <w:bCs/>
              <w:color w:val="auto"/>
              <w:spacing w:val="-7"/>
              <w:szCs w:val="24"/>
              <w:highlight w:val="none"/>
            </w:rPr>
            <w:t>1.2</w:t>
          </w:r>
          <w:r>
            <w:rPr>
              <w:rFonts w:ascii="宋体" w:hAnsi="宋体" w:eastAsia="宋体" w:cs="宋体"/>
              <w:color w:val="auto"/>
              <w:spacing w:val="-52"/>
              <w:szCs w:val="24"/>
              <w:highlight w:val="none"/>
            </w:rPr>
            <w:t xml:space="preserve"> </w:t>
          </w:r>
          <w:r>
            <w:rPr>
              <w:rFonts w:ascii="宋体" w:hAnsi="宋体" w:eastAsia="宋体" w:cs="宋体"/>
              <w:bCs/>
              <w:color w:val="auto"/>
              <w:spacing w:val="-7"/>
              <w:szCs w:val="24"/>
              <w:highlight w:val="none"/>
            </w:rPr>
            <w:t>评标组织</w:t>
          </w:r>
          <w:r>
            <w:rPr>
              <w:color w:val="auto"/>
              <w:highlight w:val="none"/>
            </w:rPr>
            <w:tab/>
          </w:r>
          <w:r>
            <w:rPr>
              <w:color w:val="auto"/>
              <w:highlight w:val="none"/>
            </w:rPr>
            <w:fldChar w:fldCharType="begin"/>
          </w:r>
          <w:r>
            <w:rPr>
              <w:color w:val="auto"/>
              <w:highlight w:val="none"/>
            </w:rPr>
            <w:instrText xml:space="preserve"> PAGEREF _Toc15048 \h </w:instrText>
          </w:r>
          <w:r>
            <w:rPr>
              <w:color w:val="auto"/>
              <w:highlight w:val="none"/>
            </w:rPr>
            <w:fldChar w:fldCharType="separate"/>
          </w:r>
          <w:r>
            <w:rPr>
              <w:color w:val="auto"/>
              <w:highlight w:val="none"/>
            </w:rPr>
            <w:t>68</w:t>
          </w:r>
          <w:r>
            <w:rPr>
              <w:color w:val="auto"/>
              <w:highlight w:val="none"/>
            </w:rPr>
            <w:fldChar w:fldCharType="end"/>
          </w:r>
          <w:r>
            <w:rPr>
              <w:rFonts w:ascii="宋体" w:hAnsi="宋体" w:eastAsia="宋体" w:cs="宋体"/>
              <w:snapToGrid w:val="0"/>
              <w:color w:val="auto"/>
              <w:kern w:val="0"/>
              <w:szCs w:val="24"/>
              <w:highlight w:val="none"/>
              <w:lang w:val="en-US" w:eastAsia="en-US" w:bidi="ar-SA"/>
            </w:rPr>
            <w:fldChar w:fldCharType="end"/>
          </w:r>
        </w:p>
        <w:p w14:paraId="637F4BB8">
          <w:pPr>
            <w:pStyle w:val="11"/>
            <w:tabs>
              <w:tab w:val="right" w:leader="dot" w:pos="8797"/>
            </w:tabs>
            <w:rPr>
              <w:color w:val="auto"/>
              <w:highlight w:val="none"/>
            </w:rPr>
          </w:pPr>
          <w:r>
            <w:rPr>
              <w:rFonts w:ascii="宋体" w:hAnsi="宋体" w:eastAsia="宋体" w:cs="宋体"/>
              <w:snapToGrid w:val="0"/>
              <w:color w:val="auto"/>
              <w:kern w:val="0"/>
              <w:szCs w:val="24"/>
              <w:highlight w:val="none"/>
              <w:lang w:val="en-US" w:eastAsia="en-US" w:bidi="ar-SA"/>
            </w:rPr>
            <w:fldChar w:fldCharType="begin"/>
          </w:r>
          <w:r>
            <w:rPr>
              <w:rFonts w:ascii="宋体" w:hAnsi="宋体" w:eastAsia="宋体" w:cs="宋体"/>
              <w:snapToGrid w:val="0"/>
              <w:color w:val="auto"/>
              <w:kern w:val="0"/>
              <w:szCs w:val="24"/>
              <w:highlight w:val="none"/>
              <w:lang w:val="en-US" w:eastAsia="en-US" w:bidi="ar-SA"/>
            </w:rPr>
            <w:instrText xml:space="preserve"> HYPERLINK \l _Toc30098 </w:instrText>
          </w:r>
          <w:r>
            <w:rPr>
              <w:rFonts w:ascii="宋体" w:hAnsi="宋体" w:eastAsia="宋体" w:cs="宋体"/>
              <w:snapToGrid w:val="0"/>
              <w:color w:val="auto"/>
              <w:kern w:val="0"/>
              <w:szCs w:val="24"/>
              <w:highlight w:val="none"/>
              <w:lang w:val="en-US" w:eastAsia="en-US" w:bidi="ar-SA"/>
            </w:rPr>
            <w:fldChar w:fldCharType="separate"/>
          </w:r>
          <w:r>
            <w:rPr>
              <w:rFonts w:ascii="宋体" w:hAnsi="宋体" w:eastAsia="宋体" w:cs="宋体"/>
              <w:bCs/>
              <w:color w:val="auto"/>
              <w:spacing w:val="-6"/>
              <w:szCs w:val="24"/>
              <w:highlight w:val="none"/>
            </w:rPr>
            <w:t>1.3</w:t>
          </w:r>
          <w:r>
            <w:rPr>
              <w:rFonts w:ascii="宋体" w:hAnsi="宋体" w:eastAsia="宋体" w:cs="宋体"/>
              <w:color w:val="auto"/>
              <w:spacing w:val="-50"/>
              <w:szCs w:val="24"/>
              <w:highlight w:val="none"/>
            </w:rPr>
            <w:t xml:space="preserve"> </w:t>
          </w:r>
          <w:r>
            <w:rPr>
              <w:rFonts w:ascii="宋体" w:hAnsi="宋体" w:eastAsia="宋体" w:cs="宋体"/>
              <w:bCs/>
              <w:color w:val="auto"/>
              <w:spacing w:val="-6"/>
              <w:szCs w:val="24"/>
              <w:highlight w:val="none"/>
            </w:rPr>
            <w:t>评审工作程序</w:t>
          </w:r>
          <w:r>
            <w:rPr>
              <w:color w:val="auto"/>
              <w:highlight w:val="none"/>
            </w:rPr>
            <w:tab/>
          </w:r>
          <w:r>
            <w:rPr>
              <w:color w:val="auto"/>
              <w:highlight w:val="none"/>
            </w:rPr>
            <w:fldChar w:fldCharType="begin"/>
          </w:r>
          <w:r>
            <w:rPr>
              <w:color w:val="auto"/>
              <w:highlight w:val="none"/>
            </w:rPr>
            <w:instrText xml:space="preserve"> PAGEREF _Toc30098 \h </w:instrText>
          </w:r>
          <w:r>
            <w:rPr>
              <w:color w:val="auto"/>
              <w:highlight w:val="none"/>
            </w:rPr>
            <w:fldChar w:fldCharType="separate"/>
          </w:r>
          <w:r>
            <w:rPr>
              <w:color w:val="auto"/>
              <w:highlight w:val="none"/>
            </w:rPr>
            <w:t>69</w:t>
          </w:r>
          <w:r>
            <w:rPr>
              <w:color w:val="auto"/>
              <w:highlight w:val="none"/>
            </w:rPr>
            <w:fldChar w:fldCharType="end"/>
          </w:r>
          <w:r>
            <w:rPr>
              <w:rFonts w:ascii="宋体" w:hAnsi="宋体" w:eastAsia="宋体" w:cs="宋体"/>
              <w:snapToGrid w:val="0"/>
              <w:color w:val="auto"/>
              <w:kern w:val="0"/>
              <w:szCs w:val="24"/>
              <w:highlight w:val="none"/>
              <w:lang w:val="en-US" w:eastAsia="en-US" w:bidi="ar-SA"/>
            </w:rPr>
            <w:fldChar w:fldCharType="end"/>
          </w:r>
        </w:p>
        <w:p w14:paraId="22C386B5">
          <w:pPr>
            <w:pStyle w:val="10"/>
            <w:tabs>
              <w:tab w:val="right" w:leader="dot" w:pos="8797"/>
            </w:tabs>
            <w:rPr>
              <w:color w:val="auto"/>
              <w:highlight w:val="none"/>
            </w:rPr>
          </w:pPr>
          <w:r>
            <w:rPr>
              <w:rFonts w:ascii="宋体" w:hAnsi="宋体" w:eastAsia="宋体" w:cs="宋体"/>
              <w:snapToGrid w:val="0"/>
              <w:color w:val="auto"/>
              <w:kern w:val="0"/>
              <w:szCs w:val="24"/>
              <w:highlight w:val="none"/>
              <w:lang w:val="en-US" w:eastAsia="en-US" w:bidi="ar-SA"/>
            </w:rPr>
            <w:fldChar w:fldCharType="begin"/>
          </w:r>
          <w:r>
            <w:rPr>
              <w:rFonts w:ascii="宋体" w:hAnsi="宋体" w:eastAsia="宋体" w:cs="宋体"/>
              <w:snapToGrid w:val="0"/>
              <w:color w:val="auto"/>
              <w:kern w:val="0"/>
              <w:szCs w:val="24"/>
              <w:highlight w:val="none"/>
              <w:lang w:val="en-US" w:eastAsia="en-US" w:bidi="ar-SA"/>
            </w:rPr>
            <w:instrText xml:space="preserve"> HYPERLINK \l _Toc12356 </w:instrText>
          </w:r>
          <w:r>
            <w:rPr>
              <w:rFonts w:ascii="宋体" w:hAnsi="宋体" w:eastAsia="宋体" w:cs="宋体"/>
              <w:snapToGrid w:val="0"/>
              <w:color w:val="auto"/>
              <w:kern w:val="0"/>
              <w:szCs w:val="24"/>
              <w:highlight w:val="none"/>
              <w:lang w:val="en-US" w:eastAsia="en-US" w:bidi="ar-SA"/>
            </w:rPr>
            <w:fldChar w:fldCharType="separate"/>
          </w:r>
          <w:r>
            <w:rPr>
              <w:rFonts w:ascii="宋体" w:hAnsi="宋体" w:eastAsia="宋体" w:cs="宋体"/>
              <w:bCs/>
              <w:color w:val="auto"/>
              <w:spacing w:val="-4"/>
              <w:szCs w:val="28"/>
              <w:highlight w:val="none"/>
            </w:rPr>
            <w:t>2.</w:t>
          </w:r>
          <w:r>
            <w:rPr>
              <w:rFonts w:ascii="宋体" w:hAnsi="宋体" w:eastAsia="宋体" w:cs="宋体"/>
              <w:color w:val="auto"/>
              <w:spacing w:val="-4"/>
              <w:szCs w:val="28"/>
              <w:highlight w:val="none"/>
            </w:rPr>
            <w:t xml:space="preserve"> </w:t>
          </w:r>
          <w:r>
            <w:rPr>
              <w:rFonts w:ascii="宋体" w:hAnsi="宋体" w:eastAsia="宋体" w:cs="宋体"/>
              <w:bCs/>
              <w:color w:val="auto"/>
              <w:spacing w:val="-4"/>
              <w:szCs w:val="28"/>
              <w:highlight w:val="none"/>
            </w:rPr>
            <w:t>评审标准</w:t>
          </w:r>
          <w:r>
            <w:rPr>
              <w:color w:val="auto"/>
              <w:highlight w:val="none"/>
            </w:rPr>
            <w:tab/>
          </w:r>
          <w:r>
            <w:rPr>
              <w:color w:val="auto"/>
              <w:highlight w:val="none"/>
            </w:rPr>
            <w:fldChar w:fldCharType="begin"/>
          </w:r>
          <w:r>
            <w:rPr>
              <w:color w:val="auto"/>
              <w:highlight w:val="none"/>
            </w:rPr>
            <w:instrText xml:space="preserve"> PAGEREF _Toc12356 \h </w:instrText>
          </w:r>
          <w:r>
            <w:rPr>
              <w:color w:val="auto"/>
              <w:highlight w:val="none"/>
            </w:rPr>
            <w:fldChar w:fldCharType="separate"/>
          </w:r>
          <w:r>
            <w:rPr>
              <w:color w:val="auto"/>
              <w:highlight w:val="none"/>
            </w:rPr>
            <w:t>69</w:t>
          </w:r>
          <w:r>
            <w:rPr>
              <w:color w:val="auto"/>
              <w:highlight w:val="none"/>
            </w:rPr>
            <w:fldChar w:fldCharType="end"/>
          </w:r>
          <w:r>
            <w:rPr>
              <w:rFonts w:ascii="宋体" w:hAnsi="宋体" w:eastAsia="宋体" w:cs="宋体"/>
              <w:snapToGrid w:val="0"/>
              <w:color w:val="auto"/>
              <w:kern w:val="0"/>
              <w:szCs w:val="24"/>
              <w:highlight w:val="none"/>
              <w:lang w:val="en-US" w:eastAsia="en-US" w:bidi="ar-SA"/>
            </w:rPr>
            <w:fldChar w:fldCharType="end"/>
          </w:r>
        </w:p>
        <w:p w14:paraId="5940D686">
          <w:pPr>
            <w:pStyle w:val="11"/>
            <w:tabs>
              <w:tab w:val="right" w:leader="dot" w:pos="8797"/>
            </w:tabs>
            <w:rPr>
              <w:color w:val="auto"/>
              <w:highlight w:val="none"/>
            </w:rPr>
          </w:pPr>
          <w:r>
            <w:rPr>
              <w:rFonts w:ascii="宋体" w:hAnsi="宋体" w:eastAsia="宋体" w:cs="宋体"/>
              <w:snapToGrid w:val="0"/>
              <w:color w:val="auto"/>
              <w:kern w:val="0"/>
              <w:szCs w:val="24"/>
              <w:highlight w:val="none"/>
              <w:lang w:val="en-US" w:eastAsia="en-US" w:bidi="ar-SA"/>
            </w:rPr>
            <w:fldChar w:fldCharType="begin"/>
          </w:r>
          <w:r>
            <w:rPr>
              <w:rFonts w:ascii="宋体" w:hAnsi="宋体" w:eastAsia="宋体" w:cs="宋体"/>
              <w:snapToGrid w:val="0"/>
              <w:color w:val="auto"/>
              <w:kern w:val="0"/>
              <w:szCs w:val="24"/>
              <w:highlight w:val="none"/>
              <w:lang w:val="en-US" w:eastAsia="en-US" w:bidi="ar-SA"/>
            </w:rPr>
            <w:instrText xml:space="preserve"> HYPERLINK \l _Toc23149 </w:instrText>
          </w:r>
          <w:r>
            <w:rPr>
              <w:rFonts w:ascii="宋体" w:hAnsi="宋体" w:eastAsia="宋体" w:cs="宋体"/>
              <w:snapToGrid w:val="0"/>
              <w:color w:val="auto"/>
              <w:kern w:val="0"/>
              <w:szCs w:val="24"/>
              <w:highlight w:val="none"/>
              <w:lang w:val="en-US" w:eastAsia="en-US" w:bidi="ar-SA"/>
            </w:rPr>
            <w:fldChar w:fldCharType="separate"/>
          </w:r>
          <w:r>
            <w:rPr>
              <w:rFonts w:ascii="宋体" w:hAnsi="宋体" w:eastAsia="宋体" w:cs="宋体"/>
              <w:bCs/>
              <w:color w:val="auto"/>
              <w:spacing w:val="-3"/>
              <w:szCs w:val="24"/>
              <w:highlight w:val="none"/>
            </w:rPr>
            <w:t>2.1</w:t>
          </w:r>
          <w:r>
            <w:rPr>
              <w:rFonts w:ascii="宋体" w:hAnsi="宋体" w:eastAsia="宋体" w:cs="宋体"/>
              <w:color w:val="auto"/>
              <w:spacing w:val="-3"/>
              <w:szCs w:val="24"/>
              <w:highlight w:val="none"/>
            </w:rPr>
            <w:t xml:space="preserve"> </w:t>
          </w:r>
          <w:r>
            <w:rPr>
              <w:rFonts w:ascii="宋体" w:hAnsi="宋体" w:eastAsia="宋体" w:cs="宋体"/>
              <w:bCs/>
              <w:color w:val="auto"/>
              <w:spacing w:val="-3"/>
              <w:szCs w:val="24"/>
              <w:highlight w:val="none"/>
            </w:rPr>
            <w:t>初步评审标准</w:t>
          </w:r>
          <w:r>
            <w:rPr>
              <w:color w:val="auto"/>
              <w:highlight w:val="none"/>
            </w:rPr>
            <w:tab/>
          </w:r>
          <w:r>
            <w:rPr>
              <w:color w:val="auto"/>
              <w:highlight w:val="none"/>
            </w:rPr>
            <w:fldChar w:fldCharType="begin"/>
          </w:r>
          <w:r>
            <w:rPr>
              <w:color w:val="auto"/>
              <w:highlight w:val="none"/>
            </w:rPr>
            <w:instrText xml:space="preserve"> PAGEREF _Toc23149 \h </w:instrText>
          </w:r>
          <w:r>
            <w:rPr>
              <w:color w:val="auto"/>
              <w:highlight w:val="none"/>
            </w:rPr>
            <w:fldChar w:fldCharType="separate"/>
          </w:r>
          <w:r>
            <w:rPr>
              <w:color w:val="auto"/>
              <w:highlight w:val="none"/>
            </w:rPr>
            <w:t>69</w:t>
          </w:r>
          <w:r>
            <w:rPr>
              <w:color w:val="auto"/>
              <w:highlight w:val="none"/>
            </w:rPr>
            <w:fldChar w:fldCharType="end"/>
          </w:r>
          <w:r>
            <w:rPr>
              <w:rFonts w:ascii="宋体" w:hAnsi="宋体" w:eastAsia="宋体" w:cs="宋体"/>
              <w:snapToGrid w:val="0"/>
              <w:color w:val="auto"/>
              <w:kern w:val="0"/>
              <w:szCs w:val="24"/>
              <w:highlight w:val="none"/>
              <w:lang w:val="en-US" w:eastAsia="en-US" w:bidi="ar-SA"/>
            </w:rPr>
            <w:fldChar w:fldCharType="end"/>
          </w:r>
        </w:p>
        <w:p w14:paraId="3ADB43E1">
          <w:pPr>
            <w:pStyle w:val="11"/>
            <w:tabs>
              <w:tab w:val="right" w:leader="dot" w:pos="8797"/>
            </w:tabs>
            <w:rPr>
              <w:color w:val="auto"/>
              <w:highlight w:val="none"/>
            </w:rPr>
          </w:pPr>
          <w:r>
            <w:rPr>
              <w:rFonts w:ascii="宋体" w:hAnsi="宋体" w:eastAsia="宋体" w:cs="宋体"/>
              <w:snapToGrid w:val="0"/>
              <w:color w:val="auto"/>
              <w:kern w:val="0"/>
              <w:szCs w:val="24"/>
              <w:highlight w:val="none"/>
              <w:lang w:val="en-US" w:eastAsia="en-US" w:bidi="ar-SA"/>
            </w:rPr>
            <w:fldChar w:fldCharType="begin"/>
          </w:r>
          <w:r>
            <w:rPr>
              <w:rFonts w:ascii="宋体" w:hAnsi="宋体" w:eastAsia="宋体" w:cs="宋体"/>
              <w:snapToGrid w:val="0"/>
              <w:color w:val="auto"/>
              <w:kern w:val="0"/>
              <w:szCs w:val="24"/>
              <w:highlight w:val="none"/>
              <w:lang w:val="en-US" w:eastAsia="en-US" w:bidi="ar-SA"/>
            </w:rPr>
            <w:instrText xml:space="preserve"> HYPERLINK \l _Toc15076 </w:instrText>
          </w:r>
          <w:r>
            <w:rPr>
              <w:rFonts w:ascii="宋体" w:hAnsi="宋体" w:eastAsia="宋体" w:cs="宋体"/>
              <w:snapToGrid w:val="0"/>
              <w:color w:val="auto"/>
              <w:kern w:val="0"/>
              <w:szCs w:val="24"/>
              <w:highlight w:val="none"/>
              <w:lang w:val="en-US" w:eastAsia="en-US" w:bidi="ar-SA"/>
            </w:rPr>
            <w:fldChar w:fldCharType="separate"/>
          </w:r>
          <w:r>
            <w:rPr>
              <w:rFonts w:ascii="宋体" w:hAnsi="宋体" w:eastAsia="宋体" w:cs="宋体"/>
              <w:bCs/>
              <w:color w:val="auto"/>
              <w:spacing w:val="-3"/>
              <w:szCs w:val="24"/>
              <w:highlight w:val="none"/>
            </w:rPr>
            <w:t>2.2</w:t>
          </w:r>
          <w:r>
            <w:rPr>
              <w:rFonts w:ascii="宋体" w:hAnsi="宋体" w:eastAsia="宋体" w:cs="宋体"/>
              <w:color w:val="auto"/>
              <w:spacing w:val="-3"/>
              <w:szCs w:val="24"/>
              <w:highlight w:val="none"/>
            </w:rPr>
            <w:t xml:space="preserve"> </w:t>
          </w:r>
          <w:r>
            <w:rPr>
              <w:rFonts w:ascii="宋体" w:hAnsi="宋体" w:eastAsia="宋体" w:cs="宋体"/>
              <w:bCs/>
              <w:color w:val="auto"/>
              <w:spacing w:val="-3"/>
              <w:szCs w:val="24"/>
              <w:highlight w:val="none"/>
            </w:rPr>
            <w:t>分值构成与评分标准</w:t>
          </w:r>
          <w:r>
            <w:rPr>
              <w:color w:val="auto"/>
              <w:highlight w:val="none"/>
            </w:rPr>
            <w:tab/>
          </w:r>
          <w:r>
            <w:rPr>
              <w:color w:val="auto"/>
              <w:highlight w:val="none"/>
            </w:rPr>
            <w:fldChar w:fldCharType="begin"/>
          </w:r>
          <w:r>
            <w:rPr>
              <w:color w:val="auto"/>
              <w:highlight w:val="none"/>
            </w:rPr>
            <w:instrText xml:space="preserve"> PAGEREF _Toc15076 \h </w:instrText>
          </w:r>
          <w:r>
            <w:rPr>
              <w:color w:val="auto"/>
              <w:highlight w:val="none"/>
            </w:rPr>
            <w:fldChar w:fldCharType="separate"/>
          </w:r>
          <w:r>
            <w:rPr>
              <w:color w:val="auto"/>
              <w:highlight w:val="none"/>
            </w:rPr>
            <w:t>69</w:t>
          </w:r>
          <w:r>
            <w:rPr>
              <w:color w:val="auto"/>
              <w:highlight w:val="none"/>
            </w:rPr>
            <w:fldChar w:fldCharType="end"/>
          </w:r>
          <w:r>
            <w:rPr>
              <w:rFonts w:ascii="宋体" w:hAnsi="宋体" w:eastAsia="宋体" w:cs="宋体"/>
              <w:snapToGrid w:val="0"/>
              <w:color w:val="auto"/>
              <w:kern w:val="0"/>
              <w:szCs w:val="24"/>
              <w:highlight w:val="none"/>
              <w:lang w:val="en-US" w:eastAsia="en-US" w:bidi="ar-SA"/>
            </w:rPr>
            <w:fldChar w:fldCharType="end"/>
          </w:r>
        </w:p>
        <w:p w14:paraId="5A6A8BC0">
          <w:pPr>
            <w:pStyle w:val="10"/>
            <w:tabs>
              <w:tab w:val="right" w:leader="dot" w:pos="8797"/>
            </w:tabs>
            <w:rPr>
              <w:color w:val="auto"/>
              <w:highlight w:val="none"/>
            </w:rPr>
          </w:pPr>
          <w:r>
            <w:rPr>
              <w:rFonts w:ascii="宋体" w:hAnsi="宋体" w:eastAsia="宋体" w:cs="宋体"/>
              <w:snapToGrid w:val="0"/>
              <w:color w:val="auto"/>
              <w:kern w:val="0"/>
              <w:szCs w:val="24"/>
              <w:highlight w:val="none"/>
              <w:lang w:val="en-US" w:eastAsia="en-US" w:bidi="ar-SA"/>
            </w:rPr>
            <w:fldChar w:fldCharType="begin"/>
          </w:r>
          <w:r>
            <w:rPr>
              <w:rFonts w:ascii="宋体" w:hAnsi="宋体" w:eastAsia="宋体" w:cs="宋体"/>
              <w:snapToGrid w:val="0"/>
              <w:color w:val="auto"/>
              <w:kern w:val="0"/>
              <w:szCs w:val="24"/>
              <w:highlight w:val="none"/>
              <w:lang w:val="en-US" w:eastAsia="en-US" w:bidi="ar-SA"/>
            </w:rPr>
            <w:instrText xml:space="preserve"> HYPERLINK \l _Toc29596 </w:instrText>
          </w:r>
          <w:r>
            <w:rPr>
              <w:rFonts w:ascii="宋体" w:hAnsi="宋体" w:eastAsia="宋体" w:cs="宋体"/>
              <w:snapToGrid w:val="0"/>
              <w:color w:val="auto"/>
              <w:kern w:val="0"/>
              <w:szCs w:val="24"/>
              <w:highlight w:val="none"/>
              <w:lang w:val="en-US" w:eastAsia="en-US" w:bidi="ar-SA"/>
            </w:rPr>
            <w:fldChar w:fldCharType="separate"/>
          </w:r>
          <w:r>
            <w:rPr>
              <w:rFonts w:ascii="宋体" w:hAnsi="宋体" w:eastAsia="宋体" w:cs="宋体"/>
              <w:bCs/>
              <w:color w:val="auto"/>
              <w:spacing w:val="-5"/>
              <w:szCs w:val="28"/>
              <w:highlight w:val="none"/>
            </w:rPr>
            <w:t>3.</w:t>
          </w:r>
          <w:r>
            <w:rPr>
              <w:rFonts w:ascii="宋体" w:hAnsi="宋体" w:eastAsia="宋体" w:cs="宋体"/>
              <w:color w:val="auto"/>
              <w:spacing w:val="-5"/>
              <w:szCs w:val="28"/>
              <w:highlight w:val="none"/>
            </w:rPr>
            <w:t xml:space="preserve"> </w:t>
          </w:r>
          <w:r>
            <w:rPr>
              <w:rFonts w:ascii="宋体" w:hAnsi="宋体" w:eastAsia="宋体" w:cs="宋体"/>
              <w:bCs/>
              <w:color w:val="auto"/>
              <w:spacing w:val="-5"/>
              <w:szCs w:val="28"/>
              <w:highlight w:val="none"/>
            </w:rPr>
            <w:t>评标程序</w:t>
          </w:r>
          <w:r>
            <w:rPr>
              <w:color w:val="auto"/>
              <w:highlight w:val="none"/>
            </w:rPr>
            <w:tab/>
          </w:r>
          <w:r>
            <w:rPr>
              <w:color w:val="auto"/>
              <w:highlight w:val="none"/>
            </w:rPr>
            <w:fldChar w:fldCharType="begin"/>
          </w:r>
          <w:r>
            <w:rPr>
              <w:color w:val="auto"/>
              <w:highlight w:val="none"/>
            </w:rPr>
            <w:instrText xml:space="preserve"> PAGEREF _Toc29596 \h </w:instrText>
          </w:r>
          <w:r>
            <w:rPr>
              <w:color w:val="auto"/>
              <w:highlight w:val="none"/>
            </w:rPr>
            <w:fldChar w:fldCharType="separate"/>
          </w:r>
          <w:r>
            <w:rPr>
              <w:color w:val="auto"/>
              <w:highlight w:val="none"/>
            </w:rPr>
            <w:t>70</w:t>
          </w:r>
          <w:r>
            <w:rPr>
              <w:color w:val="auto"/>
              <w:highlight w:val="none"/>
            </w:rPr>
            <w:fldChar w:fldCharType="end"/>
          </w:r>
          <w:r>
            <w:rPr>
              <w:rFonts w:ascii="宋体" w:hAnsi="宋体" w:eastAsia="宋体" w:cs="宋体"/>
              <w:snapToGrid w:val="0"/>
              <w:color w:val="auto"/>
              <w:kern w:val="0"/>
              <w:szCs w:val="24"/>
              <w:highlight w:val="none"/>
              <w:lang w:val="en-US" w:eastAsia="en-US" w:bidi="ar-SA"/>
            </w:rPr>
            <w:fldChar w:fldCharType="end"/>
          </w:r>
        </w:p>
        <w:p w14:paraId="39AB3B2E">
          <w:pPr>
            <w:pStyle w:val="11"/>
            <w:tabs>
              <w:tab w:val="right" w:leader="dot" w:pos="8797"/>
            </w:tabs>
            <w:rPr>
              <w:color w:val="auto"/>
              <w:highlight w:val="none"/>
            </w:rPr>
          </w:pPr>
          <w:r>
            <w:rPr>
              <w:rFonts w:ascii="宋体" w:hAnsi="宋体" w:eastAsia="宋体" w:cs="宋体"/>
              <w:snapToGrid w:val="0"/>
              <w:color w:val="auto"/>
              <w:kern w:val="0"/>
              <w:szCs w:val="24"/>
              <w:highlight w:val="none"/>
              <w:lang w:val="en-US" w:eastAsia="en-US" w:bidi="ar-SA"/>
            </w:rPr>
            <w:fldChar w:fldCharType="begin"/>
          </w:r>
          <w:r>
            <w:rPr>
              <w:rFonts w:ascii="宋体" w:hAnsi="宋体" w:eastAsia="宋体" w:cs="宋体"/>
              <w:snapToGrid w:val="0"/>
              <w:color w:val="auto"/>
              <w:kern w:val="0"/>
              <w:szCs w:val="24"/>
              <w:highlight w:val="none"/>
              <w:lang w:val="en-US" w:eastAsia="en-US" w:bidi="ar-SA"/>
            </w:rPr>
            <w:instrText xml:space="preserve"> HYPERLINK \l _Toc5708 </w:instrText>
          </w:r>
          <w:r>
            <w:rPr>
              <w:rFonts w:ascii="宋体" w:hAnsi="宋体" w:eastAsia="宋体" w:cs="宋体"/>
              <w:snapToGrid w:val="0"/>
              <w:color w:val="auto"/>
              <w:kern w:val="0"/>
              <w:szCs w:val="24"/>
              <w:highlight w:val="none"/>
              <w:lang w:val="en-US" w:eastAsia="en-US" w:bidi="ar-SA"/>
            </w:rPr>
            <w:fldChar w:fldCharType="separate"/>
          </w:r>
          <w:r>
            <w:rPr>
              <w:rFonts w:ascii="宋体" w:hAnsi="宋体" w:eastAsia="宋体" w:cs="宋体"/>
              <w:bCs/>
              <w:color w:val="auto"/>
              <w:spacing w:val="-3"/>
              <w:szCs w:val="24"/>
              <w:highlight w:val="none"/>
            </w:rPr>
            <w:t>3.1</w:t>
          </w:r>
          <w:r>
            <w:rPr>
              <w:rFonts w:ascii="宋体" w:hAnsi="宋体" w:eastAsia="宋体" w:cs="宋体"/>
              <w:color w:val="auto"/>
              <w:spacing w:val="-3"/>
              <w:szCs w:val="24"/>
              <w:highlight w:val="none"/>
            </w:rPr>
            <w:t xml:space="preserve"> </w:t>
          </w:r>
          <w:r>
            <w:rPr>
              <w:rFonts w:ascii="宋体" w:hAnsi="宋体" w:eastAsia="宋体" w:cs="宋体"/>
              <w:bCs/>
              <w:color w:val="auto"/>
              <w:spacing w:val="-3"/>
              <w:szCs w:val="24"/>
              <w:highlight w:val="none"/>
            </w:rPr>
            <w:t>第一个信封初步评审</w:t>
          </w:r>
          <w:r>
            <w:rPr>
              <w:color w:val="auto"/>
              <w:highlight w:val="none"/>
            </w:rPr>
            <w:tab/>
          </w:r>
          <w:r>
            <w:rPr>
              <w:color w:val="auto"/>
              <w:highlight w:val="none"/>
            </w:rPr>
            <w:fldChar w:fldCharType="begin"/>
          </w:r>
          <w:r>
            <w:rPr>
              <w:color w:val="auto"/>
              <w:highlight w:val="none"/>
            </w:rPr>
            <w:instrText xml:space="preserve"> PAGEREF _Toc5708 \h </w:instrText>
          </w:r>
          <w:r>
            <w:rPr>
              <w:color w:val="auto"/>
              <w:highlight w:val="none"/>
            </w:rPr>
            <w:fldChar w:fldCharType="separate"/>
          </w:r>
          <w:r>
            <w:rPr>
              <w:color w:val="auto"/>
              <w:highlight w:val="none"/>
            </w:rPr>
            <w:t>70</w:t>
          </w:r>
          <w:r>
            <w:rPr>
              <w:color w:val="auto"/>
              <w:highlight w:val="none"/>
            </w:rPr>
            <w:fldChar w:fldCharType="end"/>
          </w:r>
          <w:r>
            <w:rPr>
              <w:rFonts w:ascii="宋体" w:hAnsi="宋体" w:eastAsia="宋体" w:cs="宋体"/>
              <w:snapToGrid w:val="0"/>
              <w:color w:val="auto"/>
              <w:kern w:val="0"/>
              <w:szCs w:val="24"/>
              <w:highlight w:val="none"/>
              <w:lang w:val="en-US" w:eastAsia="en-US" w:bidi="ar-SA"/>
            </w:rPr>
            <w:fldChar w:fldCharType="end"/>
          </w:r>
        </w:p>
        <w:p w14:paraId="4E6F89A1">
          <w:pPr>
            <w:pStyle w:val="11"/>
            <w:tabs>
              <w:tab w:val="right" w:leader="dot" w:pos="8797"/>
            </w:tabs>
            <w:rPr>
              <w:color w:val="auto"/>
              <w:highlight w:val="none"/>
            </w:rPr>
          </w:pPr>
          <w:r>
            <w:rPr>
              <w:rFonts w:ascii="宋体" w:hAnsi="宋体" w:eastAsia="宋体" w:cs="宋体"/>
              <w:snapToGrid w:val="0"/>
              <w:color w:val="auto"/>
              <w:kern w:val="0"/>
              <w:szCs w:val="24"/>
              <w:highlight w:val="none"/>
              <w:lang w:val="en-US" w:eastAsia="en-US" w:bidi="ar-SA"/>
            </w:rPr>
            <w:fldChar w:fldCharType="begin"/>
          </w:r>
          <w:r>
            <w:rPr>
              <w:rFonts w:ascii="宋体" w:hAnsi="宋体" w:eastAsia="宋体" w:cs="宋体"/>
              <w:snapToGrid w:val="0"/>
              <w:color w:val="auto"/>
              <w:kern w:val="0"/>
              <w:szCs w:val="24"/>
              <w:highlight w:val="none"/>
              <w:lang w:val="en-US" w:eastAsia="en-US" w:bidi="ar-SA"/>
            </w:rPr>
            <w:instrText xml:space="preserve"> HYPERLINK \l _Toc30242 </w:instrText>
          </w:r>
          <w:r>
            <w:rPr>
              <w:rFonts w:ascii="宋体" w:hAnsi="宋体" w:eastAsia="宋体" w:cs="宋体"/>
              <w:snapToGrid w:val="0"/>
              <w:color w:val="auto"/>
              <w:kern w:val="0"/>
              <w:szCs w:val="24"/>
              <w:highlight w:val="none"/>
              <w:lang w:val="en-US" w:eastAsia="en-US" w:bidi="ar-SA"/>
            </w:rPr>
            <w:fldChar w:fldCharType="separate"/>
          </w:r>
          <w:r>
            <w:rPr>
              <w:rFonts w:ascii="宋体" w:hAnsi="宋体" w:eastAsia="宋体" w:cs="宋体"/>
              <w:bCs/>
              <w:color w:val="auto"/>
              <w:spacing w:val="-3"/>
              <w:szCs w:val="24"/>
              <w:highlight w:val="none"/>
            </w:rPr>
            <w:t>3.2</w:t>
          </w:r>
          <w:r>
            <w:rPr>
              <w:rFonts w:ascii="宋体" w:hAnsi="宋体" w:eastAsia="宋体" w:cs="宋体"/>
              <w:color w:val="auto"/>
              <w:spacing w:val="-3"/>
              <w:szCs w:val="24"/>
              <w:highlight w:val="none"/>
            </w:rPr>
            <w:t xml:space="preserve"> </w:t>
          </w:r>
          <w:r>
            <w:rPr>
              <w:rFonts w:ascii="宋体" w:hAnsi="宋体" w:eastAsia="宋体" w:cs="宋体"/>
              <w:bCs/>
              <w:color w:val="auto"/>
              <w:spacing w:val="-3"/>
              <w:szCs w:val="24"/>
              <w:highlight w:val="none"/>
            </w:rPr>
            <w:t>第一个信封详细评审</w:t>
          </w:r>
          <w:r>
            <w:rPr>
              <w:color w:val="auto"/>
              <w:highlight w:val="none"/>
            </w:rPr>
            <w:tab/>
          </w:r>
          <w:r>
            <w:rPr>
              <w:color w:val="auto"/>
              <w:highlight w:val="none"/>
            </w:rPr>
            <w:fldChar w:fldCharType="begin"/>
          </w:r>
          <w:r>
            <w:rPr>
              <w:color w:val="auto"/>
              <w:highlight w:val="none"/>
            </w:rPr>
            <w:instrText xml:space="preserve"> PAGEREF _Toc30242 \h </w:instrText>
          </w:r>
          <w:r>
            <w:rPr>
              <w:color w:val="auto"/>
              <w:highlight w:val="none"/>
            </w:rPr>
            <w:fldChar w:fldCharType="separate"/>
          </w:r>
          <w:r>
            <w:rPr>
              <w:color w:val="auto"/>
              <w:highlight w:val="none"/>
            </w:rPr>
            <w:t>70</w:t>
          </w:r>
          <w:r>
            <w:rPr>
              <w:color w:val="auto"/>
              <w:highlight w:val="none"/>
            </w:rPr>
            <w:fldChar w:fldCharType="end"/>
          </w:r>
          <w:r>
            <w:rPr>
              <w:rFonts w:ascii="宋体" w:hAnsi="宋体" w:eastAsia="宋体" w:cs="宋体"/>
              <w:snapToGrid w:val="0"/>
              <w:color w:val="auto"/>
              <w:kern w:val="0"/>
              <w:szCs w:val="24"/>
              <w:highlight w:val="none"/>
              <w:lang w:val="en-US" w:eastAsia="en-US" w:bidi="ar-SA"/>
            </w:rPr>
            <w:fldChar w:fldCharType="end"/>
          </w:r>
        </w:p>
        <w:p w14:paraId="6A52A671">
          <w:pPr>
            <w:pStyle w:val="11"/>
            <w:tabs>
              <w:tab w:val="right" w:leader="dot" w:pos="8797"/>
            </w:tabs>
            <w:rPr>
              <w:color w:val="auto"/>
              <w:highlight w:val="none"/>
            </w:rPr>
          </w:pPr>
          <w:r>
            <w:rPr>
              <w:rFonts w:ascii="宋体" w:hAnsi="宋体" w:eastAsia="宋体" w:cs="宋体"/>
              <w:snapToGrid w:val="0"/>
              <w:color w:val="auto"/>
              <w:kern w:val="0"/>
              <w:szCs w:val="24"/>
              <w:highlight w:val="none"/>
              <w:lang w:val="en-US" w:eastAsia="en-US" w:bidi="ar-SA"/>
            </w:rPr>
            <w:fldChar w:fldCharType="begin"/>
          </w:r>
          <w:r>
            <w:rPr>
              <w:rFonts w:ascii="宋体" w:hAnsi="宋体" w:eastAsia="宋体" w:cs="宋体"/>
              <w:snapToGrid w:val="0"/>
              <w:color w:val="auto"/>
              <w:kern w:val="0"/>
              <w:szCs w:val="24"/>
              <w:highlight w:val="none"/>
              <w:lang w:val="en-US" w:eastAsia="en-US" w:bidi="ar-SA"/>
            </w:rPr>
            <w:instrText xml:space="preserve"> HYPERLINK \l _Toc13217 </w:instrText>
          </w:r>
          <w:r>
            <w:rPr>
              <w:rFonts w:ascii="宋体" w:hAnsi="宋体" w:eastAsia="宋体" w:cs="宋体"/>
              <w:snapToGrid w:val="0"/>
              <w:color w:val="auto"/>
              <w:kern w:val="0"/>
              <w:szCs w:val="24"/>
              <w:highlight w:val="none"/>
              <w:lang w:val="en-US" w:eastAsia="en-US" w:bidi="ar-SA"/>
            </w:rPr>
            <w:fldChar w:fldCharType="separate"/>
          </w:r>
          <w:r>
            <w:rPr>
              <w:rFonts w:ascii="宋体" w:hAnsi="宋体" w:eastAsia="宋体" w:cs="宋体"/>
              <w:bCs/>
              <w:color w:val="auto"/>
              <w:spacing w:val="-3"/>
              <w:szCs w:val="24"/>
              <w:highlight w:val="none"/>
            </w:rPr>
            <w:t>3.3</w:t>
          </w:r>
          <w:r>
            <w:rPr>
              <w:rFonts w:ascii="宋体" w:hAnsi="宋体" w:eastAsia="宋体" w:cs="宋体"/>
              <w:color w:val="auto"/>
              <w:spacing w:val="-3"/>
              <w:szCs w:val="24"/>
              <w:highlight w:val="none"/>
            </w:rPr>
            <w:t xml:space="preserve"> </w:t>
          </w:r>
          <w:r>
            <w:rPr>
              <w:rFonts w:ascii="宋体" w:hAnsi="宋体" w:eastAsia="宋体" w:cs="宋体"/>
              <w:bCs/>
              <w:color w:val="auto"/>
              <w:spacing w:val="-3"/>
              <w:szCs w:val="24"/>
              <w:highlight w:val="none"/>
            </w:rPr>
            <w:t>第二个信封开标</w:t>
          </w:r>
          <w:r>
            <w:rPr>
              <w:color w:val="auto"/>
              <w:highlight w:val="none"/>
            </w:rPr>
            <w:tab/>
          </w:r>
          <w:r>
            <w:rPr>
              <w:color w:val="auto"/>
              <w:highlight w:val="none"/>
            </w:rPr>
            <w:fldChar w:fldCharType="begin"/>
          </w:r>
          <w:r>
            <w:rPr>
              <w:color w:val="auto"/>
              <w:highlight w:val="none"/>
            </w:rPr>
            <w:instrText xml:space="preserve"> PAGEREF _Toc13217 \h </w:instrText>
          </w:r>
          <w:r>
            <w:rPr>
              <w:color w:val="auto"/>
              <w:highlight w:val="none"/>
            </w:rPr>
            <w:fldChar w:fldCharType="separate"/>
          </w:r>
          <w:r>
            <w:rPr>
              <w:color w:val="auto"/>
              <w:highlight w:val="none"/>
            </w:rPr>
            <w:t>71</w:t>
          </w:r>
          <w:r>
            <w:rPr>
              <w:color w:val="auto"/>
              <w:highlight w:val="none"/>
            </w:rPr>
            <w:fldChar w:fldCharType="end"/>
          </w:r>
          <w:r>
            <w:rPr>
              <w:rFonts w:ascii="宋体" w:hAnsi="宋体" w:eastAsia="宋体" w:cs="宋体"/>
              <w:snapToGrid w:val="0"/>
              <w:color w:val="auto"/>
              <w:kern w:val="0"/>
              <w:szCs w:val="24"/>
              <w:highlight w:val="none"/>
              <w:lang w:val="en-US" w:eastAsia="en-US" w:bidi="ar-SA"/>
            </w:rPr>
            <w:fldChar w:fldCharType="end"/>
          </w:r>
        </w:p>
        <w:p w14:paraId="56E15206">
          <w:pPr>
            <w:pStyle w:val="11"/>
            <w:tabs>
              <w:tab w:val="right" w:leader="dot" w:pos="8797"/>
            </w:tabs>
            <w:rPr>
              <w:color w:val="auto"/>
              <w:highlight w:val="none"/>
            </w:rPr>
          </w:pPr>
          <w:r>
            <w:rPr>
              <w:rFonts w:ascii="宋体" w:hAnsi="宋体" w:eastAsia="宋体" w:cs="宋体"/>
              <w:snapToGrid w:val="0"/>
              <w:color w:val="auto"/>
              <w:kern w:val="0"/>
              <w:szCs w:val="24"/>
              <w:highlight w:val="none"/>
              <w:lang w:val="en-US" w:eastAsia="en-US" w:bidi="ar-SA"/>
            </w:rPr>
            <w:fldChar w:fldCharType="begin"/>
          </w:r>
          <w:r>
            <w:rPr>
              <w:rFonts w:ascii="宋体" w:hAnsi="宋体" w:eastAsia="宋体" w:cs="宋体"/>
              <w:snapToGrid w:val="0"/>
              <w:color w:val="auto"/>
              <w:kern w:val="0"/>
              <w:szCs w:val="24"/>
              <w:highlight w:val="none"/>
              <w:lang w:val="en-US" w:eastAsia="en-US" w:bidi="ar-SA"/>
            </w:rPr>
            <w:instrText xml:space="preserve"> HYPERLINK \l _Toc1555 </w:instrText>
          </w:r>
          <w:r>
            <w:rPr>
              <w:rFonts w:ascii="宋体" w:hAnsi="宋体" w:eastAsia="宋体" w:cs="宋体"/>
              <w:snapToGrid w:val="0"/>
              <w:color w:val="auto"/>
              <w:kern w:val="0"/>
              <w:szCs w:val="24"/>
              <w:highlight w:val="none"/>
              <w:lang w:val="en-US" w:eastAsia="en-US" w:bidi="ar-SA"/>
            </w:rPr>
            <w:fldChar w:fldCharType="separate"/>
          </w:r>
          <w:r>
            <w:rPr>
              <w:rFonts w:ascii="宋体" w:hAnsi="宋体" w:eastAsia="宋体" w:cs="宋体"/>
              <w:bCs/>
              <w:color w:val="auto"/>
              <w:spacing w:val="-3"/>
              <w:szCs w:val="24"/>
              <w:highlight w:val="none"/>
            </w:rPr>
            <w:t>3.4</w:t>
          </w:r>
          <w:r>
            <w:rPr>
              <w:rFonts w:ascii="宋体" w:hAnsi="宋体" w:eastAsia="宋体" w:cs="宋体"/>
              <w:color w:val="auto"/>
              <w:spacing w:val="-3"/>
              <w:szCs w:val="24"/>
              <w:highlight w:val="none"/>
            </w:rPr>
            <w:t xml:space="preserve"> </w:t>
          </w:r>
          <w:r>
            <w:rPr>
              <w:rFonts w:ascii="宋体" w:hAnsi="宋体" w:eastAsia="宋体" w:cs="宋体"/>
              <w:bCs/>
              <w:color w:val="auto"/>
              <w:spacing w:val="-3"/>
              <w:szCs w:val="24"/>
              <w:highlight w:val="none"/>
            </w:rPr>
            <w:t>第二个信封初步评审</w:t>
          </w:r>
          <w:r>
            <w:rPr>
              <w:color w:val="auto"/>
              <w:highlight w:val="none"/>
            </w:rPr>
            <w:tab/>
          </w:r>
          <w:r>
            <w:rPr>
              <w:color w:val="auto"/>
              <w:highlight w:val="none"/>
            </w:rPr>
            <w:fldChar w:fldCharType="begin"/>
          </w:r>
          <w:r>
            <w:rPr>
              <w:color w:val="auto"/>
              <w:highlight w:val="none"/>
            </w:rPr>
            <w:instrText xml:space="preserve"> PAGEREF _Toc1555 \h </w:instrText>
          </w:r>
          <w:r>
            <w:rPr>
              <w:color w:val="auto"/>
              <w:highlight w:val="none"/>
            </w:rPr>
            <w:fldChar w:fldCharType="separate"/>
          </w:r>
          <w:r>
            <w:rPr>
              <w:color w:val="auto"/>
              <w:highlight w:val="none"/>
            </w:rPr>
            <w:t>71</w:t>
          </w:r>
          <w:r>
            <w:rPr>
              <w:color w:val="auto"/>
              <w:highlight w:val="none"/>
            </w:rPr>
            <w:fldChar w:fldCharType="end"/>
          </w:r>
          <w:r>
            <w:rPr>
              <w:rFonts w:ascii="宋体" w:hAnsi="宋体" w:eastAsia="宋体" w:cs="宋体"/>
              <w:snapToGrid w:val="0"/>
              <w:color w:val="auto"/>
              <w:kern w:val="0"/>
              <w:szCs w:val="24"/>
              <w:highlight w:val="none"/>
              <w:lang w:val="en-US" w:eastAsia="en-US" w:bidi="ar-SA"/>
            </w:rPr>
            <w:fldChar w:fldCharType="end"/>
          </w:r>
        </w:p>
        <w:p w14:paraId="2D31AF23">
          <w:pPr>
            <w:pStyle w:val="11"/>
            <w:tabs>
              <w:tab w:val="right" w:leader="dot" w:pos="8797"/>
            </w:tabs>
            <w:rPr>
              <w:color w:val="auto"/>
              <w:highlight w:val="none"/>
            </w:rPr>
          </w:pPr>
          <w:r>
            <w:rPr>
              <w:rFonts w:ascii="宋体" w:hAnsi="宋体" w:eastAsia="宋体" w:cs="宋体"/>
              <w:snapToGrid w:val="0"/>
              <w:color w:val="auto"/>
              <w:kern w:val="0"/>
              <w:szCs w:val="24"/>
              <w:highlight w:val="none"/>
              <w:lang w:val="en-US" w:eastAsia="en-US" w:bidi="ar-SA"/>
            </w:rPr>
            <w:fldChar w:fldCharType="begin"/>
          </w:r>
          <w:r>
            <w:rPr>
              <w:rFonts w:ascii="宋体" w:hAnsi="宋体" w:eastAsia="宋体" w:cs="宋体"/>
              <w:snapToGrid w:val="0"/>
              <w:color w:val="auto"/>
              <w:kern w:val="0"/>
              <w:szCs w:val="24"/>
              <w:highlight w:val="none"/>
              <w:lang w:val="en-US" w:eastAsia="en-US" w:bidi="ar-SA"/>
            </w:rPr>
            <w:instrText xml:space="preserve"> HYPERLINK \l _Toc18458 </w:instrText>
          </w:r>
          <w:r>
            <w:rPr>
              <w:rFonts w:ascii="宋体" w:hAnsi="宋体" w:eastAsia="宋体" w:cs="宋体"/>
              <w:snapToGrid w:val="0"/>
              <w:color w:val="auto"/>
              <w:kern w:val="0"/>
              <w:szCs w:val="24"/>
              <w:highlight w:val="none"/>
              <w:lang w:val="en-US" w:eastAsia="en-US" w:bidi="ar-SA"/>
            </w:rPr>
            <w:fldChar w:fldCharType="separate"/>
          </w:r>
          <w:r>
            <w:rPr>
              <w:rFonts w:ascii="宋体" w:hAnsi="宋体" w:eastAsia="宋体" w:cs="宋体"/>
              <w:bCs/>
              <w:color w:val="auto"/>
              <w:spacing w:val="-3"/>
              <w:szCs w:val="24"/>
              <w:highlight w:val="none"/>
            </w:rPr>
            <w:t>3.5</w:t>
          </w:r>
          <w:r>
            <w:rPr>
              <w:rFonts w:ascii="宋体" w:hAnsi="宋体" w:eastAsia="宋体" w:cs="宋体"/>
              <w:color w:val="auto"/>
              <w:spacing w:val="-3"/>
              <w:szCs w:val="24"/>
              <w:highlight w:val="none"/>
            </w:rPr>
            <w:t xml:space="preserve"> </w:t>
          </w:r>
          <w:r>
            <w:rPr>
              <w:rFonts w:ascii="宋体" w:hAnsi="宋体" w:eastAsia="宋体" w:cs="宋体"/>
              <w:bCs/>
              <w:color w:val="auto"/>
              <w:spacing w:val="-3"/>
              <w:szCs w:val="24"/>
              <w:highlight w:val="none"/>
            </w:rPr>
            <w:t>第二个信封详细评审</w:t>
          </w:r>
          <w:r>
            <w:rPr>
              <w:color w:val="auto"/>
              <w:highlight w:val="none"/>
            </w:rPr>
            <w:tab/>
          </w:r>
          <w:r>
            <w:rPr>
              <w:color w:val="auto"/>
              <w:highlight w:val="none"/>
            </w:rPr>
            <w:fldChar w:fldCharType="begin"/>
          </w:r>
          <w:r>
            <w:rPr>
              <w:color w:val="auto"/>
              <w:highlight w:val="none"/>
            </w:rPr>
            <w:instrText xml:space="preserve"> PAGEREF _Toc18458 \h </w:instrText>
          </w:r>
          <w:r>
            <w:rPr>
              <w:color w:val="auto"/>
              <w:highlight w:val="none"/>
            </w:rPr>
            <w:fldChar w:fldCharType="separate"/>
          </w:r>
          <w:r>
            <w:rPr>
              <w:color w:val="auto"/>
              <w:highlight w:val="none"/>
            </w:rPr>
            <w:t>72</w:t>
          </w:r>
          <w:r>
            <w:rPr>
              <w:color w:val="auto"/>
              <w:highlight w:val="none"/>
            </w:rPr>
            <w:fldChar w:fldCharType="end"/>
          </w:r>
          <w:r>
            <w:rPr>
              <w:rFonts w:ascii="宋体" w:hAnsi="宋体" w:eastAsia="宋体" w:cs="宋体"/>
              <w:snapToGrid w:val="0"/>
              <w:color w:val="auto"/>
              <w:kern w:val="0"/>
              <w:szCs w:val="24"/>
              <w:highlight w:val="none"/>
              <w:lang w:val="en-US" w:eastAsia="en-US" w:bidi="ar-SA"/>
            </w:rPr>
            <w:fldChar w:fldCharType="end"/>
          </w:r>
        </w:p>
        <w:p w14:paraId="3C3CF673">
          <w:pPr>
            <w:pStyle w:val="11"/>
            <w:tabs>
              <w:tab w:val="right" w:leader="dot" w:pos="8797"/>
            </w:tabs>
            <w:rPr>
              <w:color w:val="auto"/>
              <w:highlight w:val="none"/>
            </w:rPr>
          </w:pPr>
          <w:r>
            <w:rPr>
              <w:rFonts w:ascii="宋体" w:hAnsi="宋体" w:eastAsia="宋体" w:cs="宋体"/>
              <w:snapToGrid w:val="0"/>
              <w:color w:val="auto"/>
              <w:kern w:val="0"/>
              <w:szCs w:val="24"/>
              <w:highlight w:val="none"/>
              <w:lang w:val="en-US" w:eastAsia="en-US" w:bidi="ar-SA"/>
            </w:rPr>
            <w:fldChar w:fldCharType="begin"/>
          </w:r>
          <w:r>
            <w:rPr>
              <w:rFonts w:ascii="宋体" w:hAnsi="宋体" w:eastAsia="宋体" w:cs="宋体"/>
              <w:snapToGrid w:val="0"/>
              <w:color w:val="auto"/>
              <w:kern w:val="0"/>
              <w:szCs w:val="24"/>
              <w:highlight w:val="none"/>
              <w:lang w:val="en-US" w:eastAsia="en-US" w:bidi="ar-SA"/>
            </w:rPr>
            <w:instrText xml:space="preserve"> HYPERLINK \l _Toc25922 </w:instrText>
          </w:r>
          <w:r>
            <w:rPr>
              <w:rFonts w:ascii="宋体" w:hAnsi="宋体" w:eastAsia="宋体" w:cs="宋体"/>
              <w:snapToGrid w:val="0"/>
              <w:color w:val="auto"/>
              <w:kern w:val="0"/>
              <w:szCs w:val="24"/>
              <w:highlight w:val="none"/>
              <w:lang w:val="en-US" w:eastAsia="en-US" w:bidi="ar-SA"/>
            </w:rPr>
            <w:fldChar w:fldCharType="separate"/>
          </w:r>
          <w:r>
            <w:rPr>
              <w:rFonts w:ascii="宋体" w:hAnsi="宋体" w:eastAsia="宋体" w:cs="宋体"/>
              <w:bCs/>
              <w:color w:val="auto"/>
              <w:spacing w:val="-3"/>
              <w:szCs w:val="24"/>
              <w:highlight w:val="none"/>
            </w:rPr>
            <w:t>3.6</w:t>
          </w:r>
          <w:r>
            <w:rPr>
              <w:rFonts w:ascii="宋体" w:hAnsi="宋体" w:eastAsia="宋体" w:cs="宋体"/>
              <w:color w:val="auto"/>
              <w:spacing w:val="-3"/>
              <w:szCs w:val="24"/>
              <w:highlight w:val="none"/>
            </w:rPr>
            <w:t xml:space="preserve"> </w:t>
          </w:r>
          <w:r>
            <w:rPr>
              <w:rFonts w:ascii="宋体" w:hAnsi="宋体" w:eastAsia="宋体" w:cs="宋体"/>
              <w:bCs/>
              <w:color w:val="auto"/>
              <w:spacing w:val="-3"/>
              <w:szCs w:val="24"/>
              <w:highlight w:val="none"/>
            </w:rPr>
            <w:t>投标文件相关信息的核查</w:t>
          </w:r>
          <w:r>
            <w:rPr>
              <w:color w:val="auto"/>
              <w:highlight w:val="none"/>
            </w:rPr>
            <w:tab/>
          </w:r>
          <w:r>
            <w:rPr>
              <w:color w:val="auto"/>
              <w:highlight w:val="none"/>
            </w:rPr>
            <w:fldChar w:fldCharType="begin"/>
          </w:r>
          <w:r>
            <w:rPr>
              <w:color w:val="auto"/>
              <w:highlight w:val="none"/>
            </w:rPr>
            <w:instrText xml:space="preserve"> PAGEREF _Toc25922 \h </w:instrText>
          </w:r>
          <w:r>
            <w:rPr>
              <w:color w:val="auto"/>
              <w:highlight w:val="none"/>
            </w:rPr>
            <w:fldChar w:fldCharType="separate"/>
          </w:r>
          <w:r>
            <w:rPr>
              <w:color w:val="auto"/>
              <w:highlight w:val="none"/>
            </w:rPr>
            <w:t>72</w:t>
          </w:r>
          <w:r>
            <w:rPr>
              <w:color w:val="auto"/>
              <w:highlight w:val="none"/>
            </w:rPr>
            <w:fldChar w:fldCharType="end"/>
          </w:r>
          <w:r>
            <w:rPr>
              <w:rFonts w:ascii="宋体" w:hAnsi="宋体" w:eastAsia="宋体" w:cs="宋体"/>
              <w:snapToGrid w:val="0"/>
              <w:color w:val="auto"/>
              <w:kern w:val="0"/>
              <w:szCs w:val="24"/>
              <w:highlight w:val="none"/>
              <w:lang w:val="en-US" w:eastAsia="en-US" w:bidi="ar-SA"/>
            </w:rPr>
            <w:fldChar w:fldCharType="end"/>
          </w:r>
        </w:p>
        <w:p w14:paraId="687A2A24">
          <w:pPr>
            <w:pStyle w:val="11"/>
            <w:tabs>
              <w:tab w:val="right" w:leader="dot" w:pos="8797"/>
            </w:tabs>
            <w:rPr>
              <w:color w:val="auto"/>
              <w:highlight w:val="none"/>
            </w:rPr>
          </w:pPr>
          <w:r>
            <w:rPr>
              <w:rFonts w:ascii="宋体" w:hAnsi="宋体" w:eastAsia="宋体" w:cs="宋体"/>
              <w:snapToGrid w:val="0"/>
              <w:color w:val="auto"/>
              <w:kern w:val="0"/>
              <w:szCs w:val="24"/>
              <w:highlight w:val="none"/>
              <w:lang w:val="en-US" w:eastAsia="en-US" w:bidi="ar-SA"/>
            </w:rPr>
            <w:fldChar w:fldCharType="begin"/>
          </w:r>
          <w:r>
            <w:rPr>
              <w:rFonts w:ascii="宋体" w:hAnsi="宋体" w:eastAsia="宋体" w:cs="宋体"/>
              <w:snapToGrid w:val="0"/>
              <w:color w:val="auto"/>
              <w:kern w:val="0"/>
              <w:szCs w:val="24"/>
              <w:highlight w:val="none"/>
              <w:lang w:val="en-US" w:eastAsia="en-US" w:bidi="ar-SA"/>
            </w:rPr>
            <w:instrText xml:space="preserve"> HYPERLINK \l _Toc13697 </w:instrText>
          </w:r>
          <w:r>
            <w:rPr>
              <w:rFonts w:ascii="宋体" w:hAnsi="宋体" w:eastAsia="宋体" w:cs="宋体"/>
              <w:snapToGrid w:val="0"/>
              <w:color w:val="auto"/>
              <w:kern w:val="0"/>
              <w:szCs w:val="24"/>
              <w:highlight w:val="none"/>
              <w:lang w:val="en-US" w:eastAsia="en-US" w:bidi="ar-SA"/>
            </w:rPr>
            <w:fldChar w:fldCharType="separate"/>
          </w:r>
          <w:r>
            <w:rPr>
              <w:rFonts w:ascii="宋体" w:hAnsi="宋体" w:eastAsia="宋体" w:cs="宋体"/>
              <w:bCs/>
              <w:color w:val="auto"/>
              <w:spacing w:val="-3"/>
              <w:szCs w:val="24"/>
              <w:highlight w:val="none"/>
            </w:rPr>
            <w:t>3.7</w:t>
          </w:r>
          <w:r>
            <w:rPr>
              <w:rFonts w:ascii="宋体" w:hAnsi="宋体" w:eastAsia="宋体" w:cs="宋体"/>
              <w:color w:val="auto"/>
              <w:spacing w:val="-3"/>
              <w:szCs w:val="24"/>
              <w:highlight w:val="none"/>
            </w:rPr>
            <w:t xml:space="preserve"> </w:t>
          </w:r>
          <w:r>
            <w:rPr>
              <w:rFonts w:ascii="宋体" w:hAnsi="宋体" w:eastAsia="宋体" w:cs="宋体"/>
              <w:bCs/>
              <w:color w:val="auto"/>
              <w:spacing w:val="-3"/>
              <w:szCs w:val="24"/>
              <w:highlight w:val="none"/>
            </w:rPr>
            <w:t>投标文件的澄清和说明</w:t>
          </w:r>
          <w:r>
            <w:rPr>
              <w:color w:val="auto"/>
              <w:highlight w:val="none"/>
            </w:rPr>
            <w:tab/>
          </w:r>
          <w:r>
            <w:rPr>
              <w:color w:val="auto"/>
              <w:highlight w:val="none"/>
            </w:rPr>
            <w:fldChar w:fldCharType="begin"/>
          </w:r>
          <w:r>
            <w:rPr>
              <w:color w:val="auto"/>
              <w:highlight w:val="none"/>
            </w:rPr>
            <w:instrText xml:space="preserve"> PAGEREF _Toc13697 \h </w:instrText>
          </w:r>
          <w:r>
            <w:rPr>
              <w:color w:val="auto"/>
              <w:highlight w:val="none"/>
            </w:rPr>
            <w:fldChar w:fldCharType="separate"/>
          </w:r>
          <w:r>
            <w:rPr>
              <w:color w:val="auto"/>
              <w:highlight w:val="none"/>
            </w:rPr>
            <w:t>74</w:t>
          </w:r>
          <w:r>
            <w:rPr>
              <w:color w:val="auto"/>
              <w:highlight w:val="none"/>
            </w:rPr>
            <w:fldChar w:fldCharType="end"/>
          </w:r>
          <w:r>
            <w:rPr>
              <w:rFonts w:ascii="宋体" w:hAnsi="宋体" w:eastAsia="宋体" w:cs="宋体"/>
              <w:snapToGrid w:val="0"/>
              <w:color w:val="auto"/>
              <w:kern w:val="0"/>
              <w:szCs w:val="24"/>
              <w:highlight w:val="none"/>
              <w:lang w:val="en-US" w:eastAsia="en-US" w:bidi="ar-SA"/>
            </w:rPr>
            <w:fldChar w:fldCharType="end"/>
          </w:r>
        </w:p>
        <w:p w14:paraId="1936A9AC">
          <w:pPr>
            <w:pStyle w:val="11"/>
            <w:tabs>
              <w:tab w:val="right" w:leader="dot" w:pos="8797"/>
            </w:tabs>
            <w:rPr>
              <w:color w:val="auto"/>
              <w:highlight w:val="none"/>
            </w:rPr>
          </w:pPr>
          <w:r>
            <w:rPr>
              <w:rFonts w:ascii="宋体" w:hAnsi="宋体" w:eastAsia="宋体" w:cs="宋体"/>
              <w:snapToGrid w:val="0"/>
              <w:color w:val="auto"/>
              <w:kern w:val="0"/>
              <w:szCs w:val="24"/>
              <w:highlight w:val="none"/>
              <w:lang w:val="en-US" w:eastAsia="en-US" w:bidi="ar-SA"/>
            </w:rPr>
            <w:fldChar w:fldCharType="begin"/>
          </w:r>
          <w:r>
            <w:rPr>
              <w:rFonts w:ascii="宋体" w:hAnsi="宋体" w:eastAsia="宋体" w:cs="宋体"/>
              <w:snapToGrid w:val="0"/>
              <w:color w:val="auto"/>
              <w:kern w:val="0"/>
              <w:szCs w:val="24"/>
              <w:highlight w:val="none"/>
              <w:lang w:val="en-US" w:eastAsia="en-US" w:bidi="ar-SA"/>
            </w:rPr>
            <w:instrText xml:space="preserve"> HYPERLINK \l _Toc4130 </w:instrText>
          </w:r>
          <w:r>
            <w:rPr>
              <w:rFonts w:ascii="宋体" w:hAnsi="宋体" w:eastAsia="宋体" w:cs="宋体"/>
              <w:snapToGrid w:val="0"/>
              <w:color w:val="auto"/>
              <w:kern w:val="0"/>
              <w:szCs w:val="24"/>
              <w:highlight w:val="none"/>
              <w:lang w:val="en-US" w:eastAsia="en-US" w:bidi="ar-SA"/>
            </w:rPr>
            <w:fldChar w:fldCharType="separate"/>
          </w:r>
          <w:r>
            <w:rPr>
              <w:rFonts w:ascii="宋体" w:hAnsi="宋体" w:eastAsia="宋体" w:cs="宋体"/>
              <w:bCs/>
              <w:color w:val="auto"/>
              <w:spacing w:val="-3"/>
              <w:szCs w:val="24"/>
              <w:highlight w:val="none"/>
            </w:rPr>
            <w:t>3.8</w:t>
          </w:r>
          <w:r>
            <w:rPr>
              <w:rFonts w:ascii="宋体" w:hAnsi="宋体" w:eastAsia="宋体" w:cs="宋体"/>
              <w:color w:val="auto"/>
              <w:spacing w:val="-3"/>
              <w:szCs w:val="24"/>
              <w:highlight w:val="none"/>
            </w:rPr>
            <w:t xml:space="preserve"> </w:t>
          </w:r>
          <w:r>
            <w:rPr>
              <w:rFonts w:ascii="宋体" w:hAnsi="宋体" w:eastAsia="宋体" w:cs="宋体"/>
              <w:bCs/>
              <w:color w:val="auto"/>
              <w:spacing w:val="-3"/>
              <w:szCs w:val="24"/>
              <w:highlight w:val="none"/>
            </w:rPr>
            <w:t>不得否决投标的情形</w:t>
          </w:r>
          <w:r>
            <w:rPr>
              <w:color w:val="auto"/>
              <w:highlight w:val="none"/>
            </w:rPr>
            <w:tab/>
          </w:r>
          <w:r>
            <w:rPr>
              <w:color w:val="auto"/>
              <w:highlight w:val="none"/>
            </w:rPr>
            <w:fldChar w:fldCharType="begin"/>
          </w:r>
          <w:r>
            <w:rPr>
              <w:color w:val="auto"/>
              <w:highlight w:val="none"/>
            </w:rPr>
            <w:instrText xml:space="preserve"> PAGEREF _Toc4130 \h </w:instrText>
          </w:r>
          <w:r>
            <w:rPr>
              <w:color w:val="auto"/>
              <w:highlight w:val="none"/>
            </w:rPr>
            <w:fldChar w:fldCharType="separate"/>
          </w:r>
          <w:r>
            <w:rPr>
              <w:color w:val="auto"/>
              <w:highlight w:val="none"/>
            </w:rPr>
            <w:t>74</w:t>
          </w:r>
          <w:r>
            <w:rPr>
              <w:color w:val="auto"/>
              <w:highlight w:val="none"/>
            </w:rPr>
            <w:fldChar w:fldCharType="end"/>
          </w:r>
          <w:r>
            <w:rPr>
              <w:rFonts w:ascii="宋体" w:hAnsi="宋体" w:eastAsia="宋体" w:cs="宋体"/>
              <w:snapToGrid w:val="0"/>
              <w:color w:val="auto"/>
              <w:kern w:val="0"/>
              <w:szCs w:val="24"/>
              <w:highlight w:val="none"/>
              <w:lang w:val="en-US" w:eastAsia="en-US" w:bidi="ar-SA"/>
            </w:rPr>
            <w:fldChar w:fldCharType="end"/>
          </w:r>
        </w:p>
        <w:p w14:paraId="0D3B0053">
          <w:pPr>
            <w:pStyle w:val="11"/>
            <w:tabs>
              <w:tab w:val="right" w:leader="dot" w:pos="8797"/>
            </w:tabs>
            <w:rPr>
              <w:color w:val="auto"/>
              <w:highlight w:val="none"/>
            </w:rPr>
          </w:pPr>
          <w:r>
            <w:rPr>
              <w:rFonts w:ascii="宋体" w:hAnsi="宋体" w:eastAsia="宋体" w:cs="宋体"/>
              <w:snapToGrid w:val="0"/>
              <w:color w:val="auto"/>
              <w:kern w:val="0"/>
              <w:szCs w:val="24"/>
              <w:highlight w:val="none"/>
              <w:lang w:val="en-US" w:eastAsia="en-US" w:bidi="ar-SA"/>
            </w:rPr>
            <w:fldChar w:fldCharType="begin"/>
          </w:r>
          <w:r>
            <w:rPr>
              <w:rFonts w:ascii="宋体" w:hAnsi="宋体" w:eastAsia="宋体" w:cs="宋体"/>
              <w:snapToGrid w:val="0"/>
              <w:color w:val="auto"/>
              <w:kern w:val="0"/>
              <w:szCs w:val="24"/>
              <w:highlight w:val="none"/>
              <w:lang w:val="en-US" w:eastAsia="en-US" w:bidi="ar-SA"/>
            </w:rPr>
            <w:instrText xml:space="preserve"> HYPERLINK \l _Toc17044 </w:instrText>
          </w:r>
          <w:r>
            <w:rPr>
              <w:rFonts w:ascii="宋体" w:hAnsi="宋体" w:eastAsia="宋体" w:cs="宋体"/>
              <w:snapToGrid w:val="0"/>
              <w:color w:val="auto"/>
              <w:kern w:val="0"/>
              <w:szCs w:val="24"/>
              <w:highlight w:val="none"/>
              <w:lang w:val="en-US" w:eastAsia="en-US" w:bidi="ar-SA"/>
            </w:rPr>
            <w:fldChar w:fldCharType="separate"/>
          </w:r>
          <w:r>
            <w:rPr>
              <w:rFonts w:ascii="宋体" w:hAnsi="宋体" w:eastAsia="宋体" w:cs="宋体"/>
              <w:bCs/>
              <w:color w:val="auto"/>
              <w:spacing w:val="-4"/>
              <w:szCs w:val="24"/>
              <w:highlight w:val="none"/>
            </w:rPr>
            <w:t>3.9</w:t>
          </w:r>
          <w:r>
            <w:rPr>
              <w:rFonts w:ascii="宋体" w:hAnsi="宋体" w:eastAsia="宋体" w:cs="宋体"/>
              <w:color w:val="auto"/>
              <w:spacing w:val="-4"/>
              <w:szCs w:val="24"/>
              <w:highlight w:val="none"/>
            </w:rPr>
            <w:t xml:space="preserve"> </w:t>
          </w:r>
          <w:r>
            <w:rPr>
              <w:rFonts w:ascii="宋体" w:hAnsi="宋体" w:eastAsia="宋体" w:cs="宋体"/>
              <w:bCs/>
              <w:color w:val="auto"/>
              <w:spacing w:val="-4"/>
              <w:szCs w:val="24"/>
              <w:highlight w:val="none"/>
            </w:rPr>
            <w:t>评标结果</w:t>
          </w:r>
          <w:r>
            <w:rPr>
              <w:color w:val="auto"/>
              <w:highlight w:val="none"/>
            </w:rPr>
            <w:tab/>
          </w:r>
          <w:r>
            <w:rPr>
              <w:color w:val="auto"/>
              <w:highlight w:val="none"/>
            </w:rPr>
            <w:fldChar w:fldCharType="begin"/>
          </w:r>
          <w:r>
            <w:rPr>
              <w:color w:val="auto"/>
              <w:highlight w:val="none"/>
            </w:rPr>
            <w:instrText xml:space="preserve"> PAGEREF _Toc17044 \h </w:instrText>
          </w:r>
          <w:r>
            <w:rPr>
              <w:color w:val="auto"/>
              <w:highlight w:val="none"/>
            </w:rPr>
            <w:fldChar w:fldCharType="separate"/>
          </w:r>
          <w:r>
            <w:rPr>
              <w:color w:val="auto"/>
              <w:highlight w:val="none"/>
            </w:rPr>
            <w:t>74</w:t>
          </w:r>
          <w:r>
            <w:rPr>
              <w:color w:val="auto"/>
              <w:highlight w:val="none"/>
            </w:rPr>
            <w:fldChar w:fldCharType="end"/>
          </w:r>
          <w:r>
            <w:rPr>
              <w:rFonts w:ascii="宋体" w:hAnsi="宋体" w:eastAsia="宋体" w:cs="宋体"/>
              <w:snapToGrid w:val="0"/>
              <w:color w:val="auto"/>
              <w:kern w:val="0"/>
              <w:szCs w:val="24"/>
              <w:highlight w:val="none"/>
              <w:lang w:val="en-US" w:eastAsia="en-US" w:bidi="ar-SA"/>
            </w:rPr>
            <w:fldChar w:fldCharType="end"/>
          </w:r>
        </w:p>
        <w:p w14:paraId="7FDBEBE5">
          <w:pPr>
            <w:pStyle w:val="10"/>
            <w:tabs>
              <w:tab w:val="right" w:leader="dot" w:pos="8797"/>
            </w:tabs>
            <w:rPr>
              <w:color w:val="auto"/>
              <w:highlight w:val="none"/>
            </w:rPr>
          </w:pPr>
          <w:r>
            <w:rPr>
              <w:rFonts w:ascii="宋体" w:hAnsi="宋体" w:eastAsia="宋体" w:cs="宋体"/>
              <w:snapToGrid w:val="0"/>
              <w:color w:val="auto"/>
              <w:kern w:val="0"/>
              <w:szCs w:val="24"/>
              <w:highlight w:val="none"/>
              <w:lang w:val="en-US" w:eastAsia="en-US" w:bidi="ar-SA"/>
            </w:rPr>
            <w:fldChar w:fldCharType="begin"/>
          </w:r>
          <w:r>
            <w:rPr>
              <w:rFonts w:ascii="宋体" w:hAnsi="宋体" w:eastAsia="宋体" w:cs="宋体"/>
              <w:snapToGrid w:val="0"/>
              <w:color w:val="auto"/>
              <w:kern w:val="0"/>
              <w:szCs w:val="24"/>
              <w:highlight w:val="none"/>
              <w:lang w:val="en-US" w:eastAsia="en-US" w:bidi="ar-SA"/>
            </w:rPr>
            <w:instrText xml:space="preserve"> HYPERLINK \l _Toc14062 </w:instrText>
          </w:r>
          <w:r>
            <w:rPr>
              <w:rFonts w:ascii="宋体" w:hAnsi="宋体" w:eastAsia="宋体" w:cs="宋体"/>
              <w:snapToGrid w:val="0"/>
              <w:color w:val="auto"/>
              <w:kern w:val="0"/>
              <w:szCs w:val="24"/>
              <w:highlight w:val="none"/>
              <w:lang w:val="en-US" w:eastAsia="en-US" w:bidi="ar-SA"/>
            </w:rPr>
            <w:fldChar w:fldCharType="separate"/>
          </w:r>
          <w:r>
            <w:rPr>
              <w:rFonts w:hint="eastAsia" w:ascii="宋体" w:hAnsi="宋体" w:cs="宋体"/>
              <w:bCs/>
              <w:color w:val="auto"/>
              <w:highlight w:val="none"/>
            </w:rPr>
            <w:t>第</w:t>
          </w:r>
          <w:r>
            <w:rPr>
              <w:rFonts w:hint="eastAsia" w:ascii="宋体" w:hAnsi="宋体" w:cs="宋体"/>
              <w:bCs/>
              <w:color w:val="auto"/>
              <w:highlight w:val="none"/>
              <w:lang w:eastAsia="zh-CN"/>
            </w:rPr>
            <w:t>二节</w:t>
          </w:r>
          <w:r>
            <w:rPr>
              <w:rFonts w:hint="eastAsia" w:ascii="宋体" w:hAnsi="宋体" w:cs="宋体"/>
              <w:bCs/>
              <w:color w:val="auto"/>
              <w:highlight w:val="none"/>
            </w:rPr>
            <w:t xml:space="preserve"> </w:t>
          </w:r>
          <w:r>
            <w:rPr>
              <w:rFonts w:hint="eastAsia" w:ascii="宋体" w:hAnsi="宋体" w:cs="宋体"/>
              <w:bCs/>
              <w:color w:val="auto"/>
              <w:highlight w:val="none"/>
              <w:lang w:eastAsia="zh-CN"/>
            </w:rPr>
            <w:t>定</w:t>
          </w:r>
          <w:r>
            <w:rPr>
              <w:rFonts w:hint="eastAsia" w:ascii="宋体" w:hAnsi="宋体" w:cs="宋体"/>
              <w:bCs/>
              <w:color w:val="auto"/>
              <w:highlight w:val="none"/>
            </w:rPr>
            <w:t>标办法（</w:t>
          </w:r>
          <w:r>
            <w:rPr>
              <w:rFonts w:hint="eastAsia" w:ascii="宋体" w:hAnsi="宋体" w:cs="宋体"/>
              <w:bCs/>
              <w:color w:val="auto"/>
              <w:highlight w:val="none"/>
              <w:lang w:eastAsia="zh-CN"/>
            </w:rPr>
            <w:t>票决数量法</w:t>
          </w:r>
          <w:r>
            <w:rPr>
              <w:rFonts w:hint="eastAsia" w:ascii="宋体" w:hAnsi="宋体" w:cs="宋体"/>
              <w:bCs/>
              <w:color w:val="auto"/>
              <w:highlight w:val="none"/>
            </w:rPr>
            <w:t>）</w:t>
          </w:r>
          <w:r>
            <w:rPr>
              <w:color w:val="auto"/>
              <w:highlight w:val="none"/>
            </w:rPr>
            <w:tab/>
          </w:r>
          <w:r>
            <w:rPr>
              <w:color w:val="auto"/>
              <w:highlight w:val="none"/>
            </w:rPr>
            <w:fldChar w:fldCharType="begin"/>
          </w:r>
          <w:r>
            <w:rPr>
              <w:color w:val="auto"/>
              <w:highlight w:val="none"/>
            </w:rPr>
            <w:instrText xml:space="preserve"> PAGEREF _Toc14062 \h </w:instrText>
          </w:r>
          <w:r>
            <w:rPr>
              <w:color w:val="auto"/>
              <w:highlight w:val="none"/>
            </w:rPr>
            <w:fldChar w:fldCharType="separate"/>
          </w:r>
          <w:r>
            <w:rPr>
              <w:color w:val="auto"/>
              <w:highlight w:val="none"/>
            </w:rPr>
            <w:t>76</w:t>
          </w:r>
          <w:r>
            <w:rPr>
              <w:color w:val="auto"/>
              <w:highlight w:val="none"/>
            </w:rPr>
            <w:fldChar w:fldCharType="end"/>
          </w:r>
          <w:r>
            <w:rPr>
              <w:rFonts w:ascii="宋体" w:hAnsi="宋体" w:eastAsia="宋体" w:cs="宋体"/>
              <w:snapToGrid w:val="0"/>
              <w:color w:val="auto"/>
              <w:kern w:val="0"/>
              <w:szCs w:val="24"/>
              <w:highlight w:val="none"/>
              <w:lang w:val="en-US" w:eastAsia="en-US" w:bidi="ar-SA"/>
            </w:rPr>
            <w:fldChar w:fldCharType="end"/>
          </w:r>
        </w:p>
        <w:p w14:paraId="2BD71919">
          <w:pPr>
            <w:pStyle w:val="11"/>
            <w:tabs>
              <w:tab w:val="right" w:leader="dot" w:pos="8797"/>
            </w:tabs>
            <w:rPr>
              <w:color w:val="auto"/>
              <w:highlight w:val="none"/>
            </w:rPr>
          </w:pPr>
          <w:r>
            <w:rPr>
              <w:rFonts w:ascii="宋体" w:hAnsi="宋体" w:eastAsia="宋体" w:cs="宋体"/>
              <w:snapToGrid w:val="0"/>
              <w:color w:val="auto"/>
              <w:kern w:val="0"/>
              <w:szCs w:val="24"/>
              <w:highlight w:val="none"/>
              <w:lang w:val="en-US" w:eastAsia="en-US" w:bidi="ar-SA"/>
            </w:rPr>
            <w:fldChar w:fldCharType="begin"/>
          </w:r>
          <w:r>
            <w:rPr>
              <w:rFonts w:ascii="宋体" w:hAnsi="宋体" w:eastAsia="宋体" w:cs="宋体"/>
              <w:snapToGrid w:val="0"/>
              <w:color w:val="auto"/>
              <w:kern w:val="0"/>
              <w:szCs w:val="24"/>
              <w:highlight w:val="none"/>
              <w:lang w:val="en-US" w:eastAsia="en-US" w:bidi="ar-SA"/>
            </w:rPr>
            <w:instrText xml:space="preserve"> HYPERLINK \l _Toc32444 </w:instrText>
          </w:r>
          <w:r>
            <w:rPr>
              <w:rFonts w:ascii="宋体" w:hAnsi="宋体" w:eastAsia="宋体" w:cs="宋体"/>
              <w:snapToGrid w:val="0"/>
              <w:color w:val="auto"/>
              <w:kern w:val="0"/>
              <w:szCs w:val="24"/>
              <w:highlight w:val="none"/>
              <w:lang w:val="en-US" w:eastAsia="en-US" w:bidi="ar-SA"/>
            </w:rPr>
            <w:fldChar w:fldCharType="separate"/>
          </w:r>
          <w:r>
            <w:rPr>
              <w:rFonts w:hint="eastAsia" w:ascii="宋体" w:hAnsi="宋体" w:eastAsia="宋体" w:cs="宋体"/>
              <w:color w:val="auto"/>
              <w:highlight w:val="none"/>
              <w:lang w:val="en-US" w:eastAsia="zh-CN"/>
            </w:rPr>
            <w:t>1.定标方法</w:t>
          </w:r>
          <w:r>
            <w:rPr>
              <w:color w:val="auto"/>
              <w:highlight w:val="none"/>
            </w:rPr>
            <w:tab/>
          </w:r>
          <w:r>
            <w:rPr>
              <w:color w:val="auto"/>
              <w:highlight w:val="none"/>
            </w:rPr>
            <w:fldChar w:fldCharType="begin"/>
          </w:r>
          <w:r>
            <w:rPr>
              <w:color w:val="auto"/>
              <w:highlight w:val="none"/>
            </w:rPr>
            <w:instrText xml:space="preserve"> PAGEREF _Toc32444 \h </w:instrText>
          </w:r>
          <w:r>
            <w:rPr>
              <w:color w:val="auto"/>
              <w:highlight w:val="none"/>
            </w:rPr>
            <w:fldChar w:fldCharType="separate"/>
          </w:r>
          <w:r>
            <w:rPr>
              <w:color w:val="auto"/>
              <w:highlight w:val="none"/>
            </w:rPr>
            <w:t>77</w:t>
          </w:r>
          <w:r>
            <w:rPr>
              <w:color w:val="auto"/>
              <w:highlight w:val="none"/>
            </w:rPr>
            <w:fldChar w:fldCharType="end"/>
          </w:r>
          <w:r>
            <w:rPr>
              <w:rFonts w:ascii="宋体" w:hAnsi="宋体" w:eastAsia="宋体" w:cs="宋体"/>
              <w:snapToGrid w:val="0"/>
              <w:color w:val="auto"/>
              <w:kern w:val="0"/>
              <w:szCs w:val="24"/>
              <w:highlight w:val="none"/>
              <w:lang w:val="en-US" w:eastAsia="en-US" w:bidi="ar-SA"/>
            </w:rPr>
            <w:fldChar w:fldCharType="end"/>
          </w:r>
        </w:p>
        <w:p w14:paraId="45C65E13">
          <w:pPr>
            <w:pStyle w:val="11"/>
            <w:tabs>
              <w:tab w:val="right" w:leader="dot" w:pos="8797"/>
            </w:tabs>
            <w:rPr>
              <w:color w:val="auto"/>
              <w:highlight w:val="none"/>
            </w:rPr>
          </w:pPr>
          <w:r>
            <w:rPr>
              <w:rFonts w:ascii="宋体" w:hAnsi="宋体" w:eastAsia="宋体" w:cs="宋体"/>
              <w:snapToGrid w:val="0"/>
              <w:color w:val="auto"/>
              <w:kern w:val="0"/>
              <w:szCs w:val="24"/>
              <w:highlight w:val="none"/>
              <w:lang w:val="en-US" w:eastAsia="en-US" w:bidi="ar-SA"/>
            </w:rPr>
            <w:fldChar w:fldCharType="begin"/>
          </w:r>
          <w:r>
            <w:rPr>
              <w:rFonts w:ascii="宋体" w:hAnsi="宋体" w:eastAsia="宋体" w:cs="宋体"/>
              <w:snapToGrid w:val="0"/>
              <w:color w:val="auto"/>
              <w:kern w:val="0"/>
              <w:szCs w:val="24"/>
              <w:highlight w:val="none"/>
              <w:lang w:val="en-US" w:eastAsia="en-US" w:bidi="ar-SA"/>
            </w:rPr>
            <w:instrText xml:space="preserve"> HYPERLINK \l _Toc8429 </w:instrText>
          </w:r>
          <w:r>
            <w:rPr>
              <w:rFonts w:ascii="宋体" w:hAnsi="宋体" w:eastAsia="宋体" w:cs="宋体"/>
              <w:snapToGrid w:val="0"/>
              <w:color w:val="auto"/>
              <w:kern w:val="0"/>
              <w:szCs w:val="24"/>
              <w:highlight w:val="none"/>
              <w:lang w:val="en-US" w:eastAsia="en-US" w:bidi="ar-SA"/>
            </w:rPr>
            <w:fldChar w:fldCharType="separate"/>
          </w:r>
          <w:r>
            <w:rPr>
              <w:rFonts w:hint="eastAsia" w:ascii="宋体" w:hAnsi="宋体" w:eastAsia="宋体" w:cs="宋体"/>
              <w:color w:val="auto"/>
              <w:highlight w:val="none"/>
              <w:lang w:val="en-US" w:eastAsia="zh-CN"/>
            </w:rPr>
            <w:t>2.定标委员会</w:t>
          </w:r>
          <w:r>
            <w:rPr>
              <w:color w:val="auto"/>
              <w:highlight w:val="none"/>
            </w:rPr>
            <w:tab/>
          </w:r>
          <w:r>
            <w:rPr>
              <w:color w:val="auto"/>
              <w:highlight w:val="none"/>
            </w:rPr>
            <w:fldChar w:fldCharType="begin"/>
          </w:r>
          <w:r>
            <w:rPr>
              <w:color w:val="auto"/>
              <w:highlight w:val="none"/>
            </w:rPr>
            <w:instrText xml:space="preserve"> PAGEREF _Toc8429 \h </w:instrText>
          </w:r>
          <w:r>
            <w:rPr>
              <w:color w:val="auto"/>
              <w:highlight w:val="none"/>
            </w:rPr>
            <w:fldChar w:fldCharType="separate"/>
          </w:r>
          <w:r>
            <w:rPr>
              <w:color w:val="auto"/>
              <w:highlight w:val="none"/>
            </w:rPr>
            <w:t>77</w:t>
          </w:r>
          <w:r>
            <w:rPr>
              <w:color w:val="auto"/>
              <w:highlight w:val="none"/>
            </w:rPr>
            <w:fldChar w:fldCharType="end"/>
          </w:r>
          <w:r>
            <w:rPr>
              <w:rFonts w:ascii="宋体" w:hAnsi="宋体" w:eastAsia="宋体" w:cs="宋体"/>
              <w:snapToGrid w:val="0"/>
              <w:color w:val="auto"/>
              <w:kern w:val="0"/>
              <w:szCs w:val="24"/>
              <w:highlight w:val="none"/>
              <w:lang w:val="en-US" w:eastAsia="en-US" w:bidi="ar-SA"/>
            </w:rPr>
            <w:fldChar w:fldCharType="end"/>
          </w:r>
        </w:p>
        <w:p w14:paraId="20318C7D">
          <w:pPr>
            <w:pStyle w:val="11"/>
            <w:tabs>
              <w:tab w:val="right" w:leader="dot" w:pos="8797"/>
            </w:tabs>
            <w:rPr>
              <w:color w:val="auto"/>
              <w:highlight w:val="none"/>
            </w:rPr>
          </w:pPr>
          <w:r>
            <w:rPr>
              <w:rFonts w:ascii="宋体" w:hAnsi="宋体" w:eastAsia="宋体" w:cs="宋体"/>
              <w:snapToGrid w:val="0"/>
              <w:color w:val="auto"/>
              <w:kern w:val="0"/>
              <w:szCs w:val="24"/>
              <w:highlight w:val="none"/>
              <w:lang w:val="en-US" w:eastAsia="en-US" w:bidi="ar-SA"/>
            </w:rPr>
            <w:fldChar w:fldCharType="begin"/>
          </w:r>
          <w:r>
            <w:rPr>
              <w:rFonts w:ascii="宋体" w:hAnsi="宋体" w:eastAsia="宋体" w:cs="宋体"/>
              <w:snapToGrid w:val="0"/>
              <w:color w:val="auto"/>
              <w:kern w:val="0"/>
              <w:szCs w:val="24"/>
              <w:highlight w:val="none"/>
              <w:lang w:val="en-US" w:eastAsia="en-US" w:bidi="ar-SA"/>
            </w:rPr>
            <w:instrText xml:space="preserve"> HYPERLINK \l _Toc21753 </w:instrText>
          </w:r>
          <w:r>
            <w:rPr>
              <w:rFonts w:ascii="宋体" w:hAnsi="宋体" w:eastAsia="宋体" w:cs="宋体"/>
              <w:snapToGrid w:val="0"/>
              <w:color w:val="auto"/>
              <w:kern w:val="0"/>
              <w:szCs w:val="24"/>
              <w:highlight w:val="none"/>
              <w:lang w:val="en-US" w:eastAsia="en-US" w:bidi="ar-SA"/>
            </w:rPr>
            <w:fldChar w:fldCharType="separate"/>
          </w:r>
          <w:r>
            <w:rPr>
              <w:rFonts w:hint="eastAsia" w:ascii="宋体" w:hAnsi="宋体" w:eastAsia="宋体" w:cs="宋体"/>
              <w:color w:val="auto"/>
              <w:highlight w:val="none"/>
              <w:lang w:val="en-US" w:eastAsia="zh-CN"/>
            </w:rPr>
            <w:t>3.定标评审标准：见定标办法前附表</w:t>
          </w:r>
          <w:r>
            <w:rPr>
              <w:color w:val="auto"/>
              <w:highlight w:val="none"/>
            </w:rPr>
            <w:tab/>
          </w:r>
          <w:r>
            <w:rPr>
              <w:color w:val="auto"/>
              <w:highlight w:val="none"/>
            </w:rPr>
            <w:fldChar w:fldCharType="begin"/>
          </w:r>
          <w:r>
            <w:rPr>
              <w:color w:val="auto"/>
              <w:highlight w:val="none"/>
            </w:rPr>
            <w:instrText xml:space="preserve"> PAGEREF _Toc21753 \h </w:instrText>
          </w:r>
          <w:r>
            <w:rPr>
              <w:color w:val="auto"/>
              <w:highlight w:val="none"/>
            </w:rPr>
            <w:fldChar w:fldCharType="separate"/>
          </w:r>
          <w:r>
            <w:rPr>
              <w:color w:val="auto"/>
              <w:highlight w:val="none"/>
            </w:rPr>
            <w:t>77</w:t>
          </w:r>
          <w:r>
            <w:rPr>
              <w:color w:val="auto"/>
              <w:highlight w:val="none"/>
            </w:rPr>
            <w:fldChar w:fldCharType="end"/>
          </w:r>
          <w:r>
            <w:rPr>
              <w:rFonts w:ascii="宋体" w:hAnsi="宋体" w:eastAsia="宋体" w:cs="宋体"/>
              <w:snapToGrid w:val="0"/>
              <w:color w:val="auto"/>
              <w:kern w:val="0"/>
              <w:szCs w:val="24"/>
              <w:highlight w:val="none"/>
              <w:lang w:val="en-US" w:eastAsia="en-US" w:bidi="ar-SA"/>
            </w:rPr>
            <w:fldChar w:fldCharType="end"/>
          </w:r>
        </w:p>
        <w:p w14:paraId="6CD2D4FE">
          <w:pPr>
            <w:pStyle w:val="11"/>
            <w:tabs>
              <w:tab w:val="right" w:leader="dot" w:pos="8797"/>
            </w:tabs>
            <w:rPr>
              <w:color w:val="auto"/>
              <w:highlight w:val="none"/>
            </w:rPr>
          </w:pPr>
          <w:r>
            <w:rPr>
              <w:rFonts w:ascii="宋体" w:hAnsi="宋体" w:eastAsia="宋体" w:cs="宋体"/>
              <w:snapToGrid w:val="0"/>
              <w:color w:val="auto"/>
              <w:kern w:val="0"/>
              <w:szCs w:val="24"/>
              <w:highlight w:val="none"/>
              <w:lang w:val="en-US" w:eastAsia="en-US" w:bidi="ar-SA"/>
            </w:rPr>
            <w:fldChar w:fldCharType="begin"/>
          </w:r>
          <w:r>
            <w:rPr>
              <w:rFonts w:ascii="宋体" w:hAnsi="宋体" w:eastAsia="宋体" w:cs="宋体"/>
              <w:snapToGrid w:val="0"/>
              <w:color w:val="auto"/>
              <w:kern w:val="0"/>
              <w:szCs w:val="24"/>
              <w:highlight w:val="none"/>
              <w:lang w:val="en-US" w:eastAsia="en-US" w:bidi="ar-SA"/>
            </w:rPr>
            <w:instrText xml:space="preserve"> HYPERLINK \l _Toc4777 </w:instrText>
          </w:r>
          <w:r>
            <w:rPr>
              <w:rFonts w:ascii="宋体" w:hAnsi="宋体" w:eastAsia="宋体" w:cs="宋体"/>
              <w:snapToGrid w:val="0"/>
              <w:color w:val="auto"/>
              <w:kern w:val="0"/>
              <w:szCs w:val="24"/>
              <w:highlight w:val="none"/>
              <w:lang w:val="en-US" w:eastAsia="en-US" w:bidi="ar-SA"/>
            </w:rPr>
            <w:fldChar w:fldCharType="separate"/>
          </w:r>
          <w:r>
            <w:rPr>
              <w:rFonts w:hint="eastAsia" w:ascii="宋体" w:hAnsi="宋体" w:eastAsia="宋体" w:cs="宋体"/>
              <w:color w:val="auto"/>
              <w:highlight w:val="none"/>
              <w:lang w:val="en-US" w:eastAsia="zh-CN"/>
            </w:rPr>
            <w:t>4.定标程序</w:t>
          </w:r>
          <w:r>
            <w:rPr>
              <w:color w:val="auto"/>
              <w:highlight w:val="none"/>
            </w:rPr>
            <w:tab/>
          </w:r>
          <w:r>
            <w:rPr>
              <w:color w:val="auto"/>
              <w:highlight w:val="none"/>
            </w:rPr>
            <w:fldChar w:fldCharType="begin"/>
          </w:r>
          <w:r>
            <w:rPr>
              <w:color w:val="auto"/>
              <w:highlight w:val="none"/>
            </w:rPr>
            <w:instrText xml:space="preserve"> PAGEREF _Toc4777 \h </w:instrText>
          </w:r>
          <w:r>
            <w:rPr>
              <w:color w:val="auto"/>
              <w:highlight w:val="none"/>
            </w:rPr>
            <w:fldChar w:fldCharType="separate"/>
          </w:r>
          <w:r>
            <w:rPr>
              <w:color w:val="auto"/>
              <w:highlight w:val="none"/>
            </w:rPr>
            <w:t>77</w:t>
          </w:r>
          <w:r>
            <w:rPr>
              <w:color w:val="auto"/>
              <w:highlight w:val="none"/>
            </w:rPr>
            <w:fldChar w:fldCharType="end"/>
          </w:r>
          <w:r>
            <w:rPr>
              <w:rFonts w:ascii="宋体" w:hAnsi="宋体" w:eastAsia="宋体" w:cs="宋体"/>
              <w:snapToGrid w:val="0"/>
              <w:color w:val="auto"/>
              <w:kern w:val="0"/>
              <w:szCs w:val="24"/>
              <w:highlight w:val="none"/>
              <w:lang w:val="en-US" w:eastAsia="en-US" w:bidi="ar-SA"/>
            </w:rPr>
            <w:fldChar w:fldCharType="end"/>
          </w:r>
        </w:p>
        <w:p w14:paraId="6A7A4BBB">
          <w:pPr>
            <w:pStyle w:val="10"/>
            <w:tabs>
              <w:tab w:val="right" w:leader="dot" w:pos="8797"/>
            </w:tabs>
            <w:rPr>
              <w:color w:val="auto"/>
              <w:highlight w:val="none"/>
            </w:rPr>
          </w:pPr>
          <w:r>
            <w:rPr>
              <w:rFonts w:ascii="宋体" w:hAnsi="宋体" w:eastAsia="宋体" w:cs="宋体"/>
              <w:snapToGrid w:val="0"/>
              <w:color w:val="auto"/>
              <w:kern w:val="0"/>
              <w:szCs w:val="24"/>
              <w:highlight w:val="none"/>
              <w:lang w:val="en-US" w:eastAsia="en-US" w:bidi="ar-SA"/>
            </w:rPr>
            <w:fldChar w:fldCharType="begin"/>
          </w:r>
          <w:r>
            <w:rPr>
              <w:rFonts w:ascii="宋体" w:hAnsi="宋体" w:eastAsia="宋体" w:cs="宋体"/>
              <w:snapToGrid w:val="0"/>
              <w:color w:val="auto"/>
              <w:kern w:val="0"/>
              <w:szCs w:val="24"/>
              <w:highlight w:val="none"/>
              <w:lang w:val="en-US" w:eastAsia="en-US" w:bidi="ar-SA"/>
            </w:rPr>
            <w:instrText xml:space="preserve"> HYPERLINK \l _Toc3854 </w:instrText>
          </w:r>
          <w:r>
            <w:rPr>
              <w:rFonts w:ascii="宋体" w:hAnsi="宋体" w:eastAsia="宋体" w:cs="宋体"/>
              <w:snapToGrid w:val="0"/>
              <w:color w:val="auto"/>
              <w:kern w:val="0"/>
              <w:szCs w:val="24"/>
              <w:highlight w:val="none"/>
              <w:lang w:val="en-US" w:eastAsia="en-US" w:bidi="ar-SA"/>
            </w:rPr>
            <w:fldChar w:fldCharType="separate"/>
          </w:r>
          <w:r>
            <w:rPr>
              <w:rFonts w:ascii="宋体" w:hAnsi="宋体" w:eastAsia="宋体" w:cs="宋体"/>
              <w:bCs/>
              <w:color w:val="auto"/>
              <w:spacing w:val="-5"/>
              <w:szCs w:val="52"/>
              <w:highlight w:val="none"/>
            </w:rPr>
            <w:t>第四章</w:t>
          </w:r>
          <w:r>
            <w:rPr>
              <w:rFonts w:ascii="宋体" w:hAnsi="宋体" w:eastAsia="宋体" w:cs="宋体"/>
              <w:color w:val="auto"/>
              <w:spacing w:val="-5"/>
              <w:szCs w:val="52"/>
              <w:highlight w:val="none"/>
            </w:rPr>
            <w:t xml:space="preserve">  </w:t>
          </w:r>
          <w:r>
            <w:rPr>
              <w:rFonts w:ascii="宋体" w:hAnsi="宋体" w:eastAsia="宋体" w:cs="宋体"/>
              <w:bCs/>
              <w:color w:val="auto"/>
              <w:spacing w:val="-5"/>
              <w:szCs w:val="52"/>
              <w:highlight w:val="none"/>
            </w:rPr>
            <w:t>合同条款及格式</w:t>
          </w:r>
          <w:r>
            <w:rPr>
              <w:color w:val="auto"/>
              <w:highlight w:val="none"/>
            </w:rPr>
            <w:tab/>
          </w:r>
          <w:r>
            <w:rPr>
              <w:color w:val="auto"/>
              <w:highlight w:val="none"/>
            </w:rPr>
            <w:fldChar w:fldCharType="begin"/>
          </w:r>
          <w:r>
            <w:rPr>
              <w:color w:val="auto"/>
              <w:highlight w:val="none"/>
            </w:rPr>
            <w:instrText xml:space="preserve"> PAGEREF _Toc3854 \h </w:instrText>
          </w:r>
          <w:r>
            <w:rPr>
              <w:color w:val="auto"/>
              <w:highlight w:val="none"/>
            </w:rPr>
            <w:fldChar w:fldCharType="separate"/>
          </w:r>
          <w:r>
            <w:rPr>
              <w:color w:val="auto"/>
              <w:highlight w:val="none"/>
            </w:rPr>
            <w:t>79</w:t>
          </w:r>
          <w:r>
            <w:rPr>
              <w:color w:val="auto"/>
              <w:highlight w:val="none"/>
            </w:rPr>
            <w:fldChar w:fldCharType="end"/>
          </w:r>
          <w:r>
            <w:rPr>
              <w:rFonts w:ascii="宋体" w:hAnsi="宋体" w:eastAsia="宋体" w:cs="宋体"/>
              <w:snapToGrid w:val="0"/>
              <w:color w:val="auto"/>
              <w:kern w:val="0"/>
              <w:szCs w:val="24"/>
              <w:highlight w:val="none"/>
              <w:lang w:val="en-US" w:eastAsia="en-US" w:bidi="ar-SA"/>
            </w:rPr>
            <w:fldChar w:fldCharType="end"/>
          </w:r>
        </w:p>
        <w:p w14:paraId="3183BB36">
          <w:pPr>
            <w:pStyle w:val="10"/>
            <w:tabs>
              <w:tab w:val="right" w:leader="dot" w:pos="8797"/>
            </w:tabs>
            <w:rPr>
              <w:color w:val="auto"/>
              <w:highlight w:val="none"/>
            </w:rPr>
          </w:pPr>
          <w:r>
            <w:rPr>
              <w:rFonts w:ascii="宋体" w:hAnsi="宋体" w:eastAsia="宋体" w:cs="宋体"/>
              <w:snapToGrid w:val="0"/>
              <w:color w:val="auto"/>
              <w:kern w:val="0"/>
              <w:szCs w:val="24"/>
              <w:highlight w:val="none"/>
              <w:lang w:val="en-US" w:eastAsia="en-US" w:bidi="ar-SA"/>
            </w:rPr>
            <w:fldChar w:fldCharType="begin"/>
          </w:r>
          <w:r>
            <w:rPr>
              <w:rFonts w:ascii="宋体" w:hAnsi="宋体" w:eastAsia="宋体" w:cs="宋体"/>
              <w:snapToGrid w:val="0"/>
              <w:color w:val="auto"/>
              <w:kern w:val="0"/>
              <w:szCs w:val="24"/>
              <w:highlight w:val="none"/>
              <w:lang w:val="en-US" w:eastAsia="en-US" w:bidi="ar-SA"/>
            </w:rPr>
            <w:instrText xml:space="preserve"> HYPERLINK \l _Toc28852 </w:instrText>
          </w:r>
          <w:r>
            <w:rPr>
              <w:rFonts w:ascii="宋体" w:hAnsi="宋体" w:eastAsia="宋体" w:cs="宋体"/>
              <w:snapToGrid w:val="0"/>
              <w:color w:val="auto"/>
              <w:kern w:val="0"/>
              <w:szCs w:val="24"/>
              <w:highlight w:val="none"/>
              <w:lang w:val="en-US" w:eastAsia="en-US" w:bidi="ar-SA"/>
            </w:rPr>
            <w:fldChar w:fldCharType="separate"/>
          </w:r>
          <w:r>
            <w:rPr>
              <w:rFonts w:ascii="宋体" w:hAnsi="宋体" w:eastAsia="宋体" w:cs="宋体"/>
              <w:bCs/>
              <w:color w:val="auto"/>
              <w:spacing w:val="6"/>
              <w:szCs w:val="31"/>
              <w:highlight w:val="none"/>
            </w:rPr>
            <w:t>第一节</w:t>
          </w:r>
          <w:r>
            <w:rPr>
              <w:rFonts w:ascii="宋体" w:hAnsi="宋体" w:eastAsia="宋体" w:cs="宋体"/>
              <w:color w:val="auto"/>
              <w:spacing w:val="6"/>
              <w:szCs w:val="31"/>
              <w:highlight w:val="none"/>
            </w:rPr>
            <w:t xml:space="preserve"> </w:t>
          </w:r>
          <w:r>
            <w:rPr>
              <w:rFonts w:ascii="宋体" w:hAnsi="宋体" w:eastAsia="宋体" w:cs="宋体"/>
              <w:bCs/>
              <w:color w:val="auto"/>
              <w:spacing w:val="6"/>
              <w:szCs w:val="31"/>
              <w:highlight w:val="none"/>
            </w:rPr>
            <w:t>通用合同条款</w:t>
          </w:r>
          <w:r>
            <w:rPr>
              <w:color w:val="auto"/>
              <w:highlight w:val="none"/>
            </w:rPr>
            <w:tab/>
          </w:r>
          <w:r>
            <w:rPr>
              <w:color w:val="auto"/>
              <w:highlight w:val="none"/>
            </w:rPr>
            <w:fldChar w:fldCharType="begin"/>
          </w:r>
          <w:r>
            <w:rPr>
              <w:color w:val="auto"/>
              <w:highlight w:val="none"/>
            </w:rPr>
            <w:instrText xml:space="preserve"> PAGEREF _Toc28852 \h </w:instrText>
          </w:r>
          <w:r>
            <w:rPr>
              <w:color w:val="auto"/>
              <w:highlight w:val="none"/>
            </w:rPr>
            <w:fldChar w:fldCharType="separate"/>
          </w:r>
          <w:r>
            <w:rPr>
              <w:color w:val="auto"/>
              <w:highlight w:val="none"/>
            </w:rPr>
            <w:t>80</w:t>
          </w:r>
          <w:r>
            <w:rPr>
              <w:color w:val="auto"/>
              <w:highlight w:val="none"/>
            </w:rPr>
            <w:fldChar w:fldCharType="end"/>
          </w:r>
          <w:r>
            <w:rPr>
              <w:rFonts w:ascii="宋体" w:hAnsi="宋体" w:eastAsia="宋体" w:cs="宋体"/>
              <w:snapToGrid w:val="0"/>
              <w:color w:val="auto"/>
              <w:kern w:val="0"/>
              <w:szCs w:val="24"/>
              <w:highlight w:val="none"/>
              <w:lang w:val="en-US" w:eastAsia="en-US" w:bidi="ar-SA"/>
            </w:rPr>
            <w:fldChar w:fldCharType="end"/>
          </w:r>
        </w:p>
        <w:p w14:paraId="1A84C345">
          <w:pPr>
            <w:pStyle w:val="10"/>
            <w:tabs>
              <w:tab w:val="right" w:leader="dot" w:pos="8797"/>
            </w:tabs>
            <w:rPr>
              <w:color w:val="auto"/>
              <w:highlight w:val="none"/>
            </w:rPr>
          </w:pPr>
          <w:r>
            <w:rPr>
              <w:rFonts w:ascii="宋体" w:hAnsi="宋体" w:eastAsia="宋体" w:cs="宋体"/>
              <w:snapToGrid w:val="0"/>
              <w:color w:val="auto"/>
              <w:kern w:val="0"/>
              <w:szCs w:val="24"/>
              <w:highlight w:val="none"/>
              <w:lang w:val="en-US" w:eastAsia="en-US" w:bidi="ar-SA"/>
            </w:rPr>
            <w:fldChar w:fldCharType="begin"/>
          </w:r>
          <w:r>
            <w:rPr>
              <w:rFonts w:ascii="宋体" w:hAnsi="宋体" w:eastAsia="宋体" w:cs="宋体"/>
              <w:snapToGrid w:val="0"/>
              <w:color w:val="auto"/>
              <w:kern w:val="0"/>
              <w:szCs w:val="24"/>
              <w:highlight w:val="none"/>
              <w:lang w:val="en-US" w:eastAsia="en-US" w:bidi="ar-SA"/>
            </w:rPr>
            <w:instrText xml:space="preserve"> HYPERLINK \l _Toc8630 </w:instrText>
          </w:r>
          <w:r>
            <w:rPr>
              <w:rFonts w:ascii="宋体" w:hAnsi="宋体" w:eastAsia="宋体" w:cs="宋体"/>
              <w:snapToGrid w:val="0"/>
              <w:color w:val="auto"/>
              <w:kern w:val="0"/>
              <w:szCs w:val="24"/>
              <w:highlight w:val="none"/>
              <w:lang w:val="en-US" w:eastAsia="en-US" w:bidi="ar-SA"/>
            </w:rPr>
            <w:fldChar w:fldCharType="separate"/>
          </w:r>
          <w:r>
            <w:rPr>
              <w:rFonts w:ascii="宋体" w:hAnsi="宋体" w:eastAsia="宋体" w:cs="宋体"/>
              <w:bCs/>
              <w:color w:val="auto"/>
              <w:spacing w:val="6"/>
              <w:szCs w:val="31"/>
              <w:highlight w:val="none"/>
            </w:rPr>
            <w:t>第二节</w:t>
          </w:r>
          <w:r>
            <w:rPr>
              <w:rFonts w:ascii="宋体" w:hAnsi="宋体" w:eastAsia="宋体" w:cs="宋体"/>
              <w:color w:val="auto"/>
              <w:spacing w:val="6"/>
              <w:szCs w:val="31"/>
              <w:highlight w:val="none"/>
            </w:rPr>
            <w:t xml:space="preserve">  </w:t>
          </w:r>
          <w:r>
            <w:rPr>
              <w:rFonts w:ascii="宋体" w:hAnsi="宋体" w:eastAsia="宋体" w:cs="宋体"/>
              <w:bCs/>
              <w:color w:val="auto"/>
              <w:spacing w:val="6"/>
              <w:szCs w:val="31"/>
              <w:highlight w:val="none"/>
            </w:rPr>
            <w:t>专用合同条款</w:t>
          </w:r>
          <w:r>
            <w:rPr>
              <w:color w:val="auto"/>
              <w:highlight w:val="none"/>
            </w:rPr>
            <w:tab/>
          </w:r>
          <w:r>
            <w:rPr>
              <w:color w:val="auto"/>
              <w:highlight w:val="none"/>
            </w:rPr>
            <w:fldChar w:fldCharType="begin"/>
          </w:r>
          <w:r>
            <w:rPr>
              <w:color w:val="auto"/>
              <w:highlight w:val="none"/>
            </w:rPr>
            <w:instrText xml:space="preserve"> PAGEREF _Toc8630 \h </w:instrText>
          </w:r>
          <w:r>
            <w:rPr>
              <w:color w:val="auto"/>
              <w:highlight w:val="none"/>
            </w:rPr>
            <w:fldChar w:fldCharType="separate"/>
          </w:r>
          <w:r>
            <w:rPr>
              <w:color w:val="auto"/>
              <w:highlight w:val="none"/>
            </w:rPr>
            <w:t>81</w:t>
          </w:r>
          <w:r>
            <w:rPr>
              <w:color w:val="auto"/>
              <w:highlight w:val="none"/>
            </w:rPr>
            <w:fldChar w:fldCharType="end"/>
          </w:r>
          <w:r>
            <w:rPr>
              <w:rFonts w:ascii="宋体" w:hAnsi="宋体" w:eastAsia="宋体" w:cs="宋体"/>
              <w:snapToGrid w:val="0"/>
              <w:color w:val="auto"/>
              <w:kern w:val="0"/>
              <w:szCs w:val="24"/>
              <w:highlight w:val="none"/>
              <w:lang w:val="en-US" w:eastAsia="en-US" w:bidi="ar-SA"/>
            </w:rPr>
            <w:fldChar w:fldCharType="end"/>
          </w:r>
        </w:p>
        <w:p w14:paraId="2A809494">
          <w:pPr>
            <w:pStyle w:val="10"/>
            <w:tabs>
              <w:tab w:val="right" w:leader="dot" w:pos="8797"/>
            </w:tabs>
            <w:rPr>
              <w:color w:val="auto"/>
              <w:highlight w:val="none"/>
            </w:rPr>
          </w:pPr>
          <w:r>
            <w:rPr>
              <w:rFonts w:ascii="宋体" w:hAnsi="宋体" w:eastAsia="宋体" w:cs="宋体"/>
              <w:snapToGrid w:val="0"/>
              <w:color w:val="auto"/>
              <w:kern w:val="0"/>
              <w:szCs w:val="24"/>
              <w:highlight w:val="none"/>
              <w:lang w:val="en-US" w:eastAsia="en-US" w:bidi="ar-SA"/>
            </w:rPr>
            <w:fldChar w:fldCharType="begin"/>
          </w:r>
          <w:r>
            <w:rPr>
              <w:rFonts w:ascii="宋体" w:hAnsi="宋体" w:eastAsia="宋体" w:cs="宋体"/>
              <w:snapToGrid w:val="0"/>
              <w:color w:val="auto"/>
              <w:kern w:val="0"/>
              <w:szCs w:val="24"/>
              <w:highlight w:val="none"/>
              <w:lang w:val="en-US" w:eastAsia="en-US" w:bidi="ar-SA"/>
            </w:rPr>
            <w:instrText xml:space="preserve"> HYPERLINK \l _Toc26859 </w:instrText>
          </w:r>
          <w:r>
            <w:rPr>
              <w:rFonts w:ascii="宋体" w:hAnsi="宋体" w:eastAsia="宋体" w:cs="宋体"/>
              <w:snapToGrid w:val="0"/>
              <w:color w:val="auto"/>
              <w:kern w:val="0"/>
              <w:szCs w:val="24"/>
              <w:highlight w:val="none"/>
              <w:lang w:val="en-US" w:eastAsia="en-US" w:bidi="ar-SA"/>
            </w:rPr>
            <w:fldChar w:fldCharType="separate"/>
          </w:r>
          <w:r>
            <w:rPr>
              <w:rFonts w:ascii="宋体" w:hAnsi="宋体" w:eastAsia="宋体" w:cs="宋体"/>
              <w:bCs/>
              <w:color w:val="auto"/>
              <w:spacing w:val="6"/>
              <w:szCs w:val="31"/>
              <w:highlight w:val="none"/>
            </w:rPr>
            <w:t>第三节  合同附件格式</w:t>
          </w:r>
          <w:r>
            <w:rPr>
              <w:color w:val="auto"/>
              <w:highlight w:val="none"/>
            </w:rPr>
            <w:tab/>
          </w:r>
          <w:r>
            <w:rPr>
              <w:color w:val="auto"/>
              <w:highlight w:val="none"/>
            </w:rPr>
            <w:fldChar w:fldCharType="begin"/>
          </w:r>
          <w:r>
            <w:rPr>
              <w:color w:val="auto"/>
              <w:highlight w:val="none"/>
            </w:rPr>
            <w:instrText xml:space="preserve"> PAGEREF _Toc26859 \h </w:instrText>
          </w:r>
          <w:r>
            <w:rPr>
              <w:color w:val="auto"/>
              <w:highlight w:val="none"/>
            </w:rPr>
            <w:fldChar w:fldCharType="separate"/>
          </w:r>
          <w:r>
            <w:rPr>
              <w:color w:val="auto"/>
              <w:highlight w:val="none"/>
            </w:rPr>
            <w:t>112</w:t>
          </w:r>
          <w:r>
            <w:rPr>
              <w:color w:val="auto"/>
              <w:highlight w:val="none"/>
            </w:rPr>
            <w:fldChar w:fldCharType="end"/>
          </w:r>
          <w:r>
            <w:rPr>
              <w:rFonts w:ascii="宋体" w:hAnsi="宋体" w:eastAsia="宋体" w:cs="宋体"/>
              <w:snapToGrid w:val="0"/>
              <w:color w:val="auto"/>
              <w:kern w:val="0"/>
              <w:szCs w:val="24"/>
              <w:highlight w:val="none"/>
              <w:lang w:val="en-US" w:eastAsia="en-US" w:bidi="ar-SA"/>
            </w:rPr>
            <w:fldChar w:fldCharType="end"/>
          </w:r>
        </w:p>
        <w:p w14:paraId="654855B8">
          <w:pPr>
            <w:pStyle w:val="11"/>
            <w:tabs>
              <w:tab w:val="right" w:leader="dot" w:pos="8797"/>
            </w:tabs>
            <w:rPr>
              <w:color w:val="auto"/>
              <w:highlight w:val="none"/>
            </w:rPr>
          </w:pPr>
          <w:r>
            <w:rPr>
              <w:rFonts w:ascii="宋体" w:hAnsi="宋体" w:eastAsia="宋体" w:cs="宋体"/>
              <w:snapToGrid w:val="0"/>
              <w:color w:val="auto"/>
              <w:kern w:val="0"/>
              <w:szCs w:val="24"/>
              <w:highlight w:val="none"/>
              <w:lang w:val="en-US" w:eastAsia="en-US" w:bidi="ar-SA"/>
            </w:rPr>
            <w:fldChar w:fldCharType="begin"/>
          </w:r>
          <w:r>
            <w:rPr>
              <w:rFonts w:ascii="宋体" w:hAnsi="宋体" w:eastAsia="宋体" w:cs="宋体"/>
              <w:snapToGrid w:val="0"/>
              <w:color w:val="auto"/>
              <w:kern w:val="0"/>
              <w:szCs w:val="24"/>
              <w:highlight w:val="none"/>
              <w:lang w:val="en-US" w:eastAsia="en-US" w:bidi="ar-SA"/>
            </w:rPr>
            <w:instrText xml:space="preserve"> HYPERLINK \l _Toc27620 </w:instrText>
          </w:r>
          <w:r>
            <w:rPr>
              <w:rFonts w:ascii="宋体" w:hAnsi="宋体" w:eastAsia="宋体" w:cs="宋体"/>
              <w:snapToGrid w:val="0"/>
              <w:color w:val="auto"/>
              <w:kern w:val="0"/>
              <w:szCs w:val="24"/>
              <w:highlight w:val="none"/>
              <w:lang w:val="en-US" w:eastAsia="en-US" w:bidi="ar-SA"/>
            </w:rPr>
            <w:fldChar w:fldCharType="separate"/>
          </w:r>
          <w:r>
            <w:rPr>
              <w:color w:val="auto"/>
              <w:szCs w:val="71"/>
              <w:highlight w:val="none"/>
            </w:rPr>
            <w:t>第二卷</w:t>
          </w:r>
          <w:r>
            <w:rPr>
              <w:color w:val="auto"/>
              <w:highlight w:val="none"/>
            </w:rPr>
            <w:tab/>
          </w:r>
          <w:r>
            <w:rPr>
              <w:color w:val="auto"/>
              <w:highlight w:val="none"/>
            </w:rPr>
            <w:fldChar w:fldCharType="begin"/>
          </w:r>
          <w:r>
            <w:rPr>
              <w:color w:val="auto"/>
              <w:highlight w:val="none"/>
            </w:rPr>
            <w:instrText xml:space="preserve"> PAGEREF _Toc27620 \h </w:instrText>
          </w:r>
          <w:r>
            <w:rPr>
              <w:color w:val="auto"/>
              <w:highlight w:val="none"/>
            </w:rPr>
            <w:fldChar w:fldCharType="separate"/>
          </w:r>
          <w:r>
            <w:rPr>
              <w:color w:val="auto"/>
              <w:highlight w:val="none"/>
            </w:rPr>
            <w:t>120</w:t>
          </w:r>
          <w:r>
            <w:rPr>
              <w:color w:val="auto"/>
              <w:highlight w:val="none"/>
            </w:rPr>
            <w:fldChar w:fldCharType="end"/>
          </w:r>
          <w:r>
            <w:rPr>
              <w:rFonts w:ascii="宋体" w:hAnsi="宋体" w:eastAsia="宋体" w:cs="宋体"/>
              <w:snapToGrid w:val="0"/>
              <w:color w:val="auto"/>
              <w:kern w:val="0"/>
              <w:szCs w:val="24"/>
              <w:highlight w:val="none"/>
              <w:lang w:val="en-US" w:eastAsia="en-US" w:bidi="ar-SA"/>
            </w:rPr>
            <w:fldChar w:fldCharType="end"/>
          </w:r>
        </w:p>
        <w:p w14:paraId="6E9DE69C">
          <w:pPr>
            <w:pStyle w:val="10"/>
            <w:tabs>
              <w:tab w:val="right" w:leader="dot" w:pos="8797"/>
            </w:tabs>
            <w:rPr>
              <w:color w:val="auto"/>
              <w:highlight w:val="none"/>
            </w:rPr>
          </w:pPr>
          <w:r>
            <w:rPr>
              <w:rFonts w:ascii="宋体" w:hAnsi="宋体" w:eastAsia="宋体" w:cs="宋体"/>
              <w:snapToGrid w:val="0"/>
              <w:color w:val="auto"/>
              <w:kern w:val="0"/>
              <w:szCs w:val="24"/>
              <w:highlight w:val="none"/>
              <w:lang w:val="en-US" w:eastAsia="en-US" w:bidi="ar-SA"/>
            </w:rPr>
            <w:fldChar w:fldCharType="begin"/>
          </w:r>
          <w:r>
            <w:rPr>
              <w:rFonts w:ascii="宋体" w:hAnsi="宋体" w:eastAsia="宋体" w:cs="宋体"/>
              <w:snapToGrid w:val="0"/>
              <w:color w:val="auto"/>
              <w:kern w:val="0"/>
              <w:szCs w:val="24"/>
              <w:highlight w:val="none"/>
              <w:lang w:val="en-US" w:eastAsia="en-US" w:bidi="ar-SA"/>
            </w:rPr>
            <w:instrText xml:space="preserve"> HYPERLINK \l _Toc28222 </w:instrText>
          </w:r>
          <w:r>
            <w:rPr>
              <w:rFonts w:ascii="宋体" w:hAnsi="宋体" w:eastAsia="宋体" w:cs="宋体"/>
              <w:snapToGrid w:val="0"/>
              <w:color w:val="auto"/>
              <w:kern w:val="0"/>
              <w:szCs w:val="24"/>
              <w:highlight w:val="none"/>
              <w:lang w:val="en-US" w:eastAsia="en-US" w:bidi="ar-SA"/>
            </w:rPr>
            <w:fldChar w:fldCharType="separate"/>
          </w:r>
          <w:r>
            <w:rPr>
              <w:rFonts w:ascii="宋体" w:hAnsi="宋体" w:eastAsia="宋体" w:cs="宋体"/>
              <w:bCs/>
              <w:color w:val="auto"/>
              <w:spacing w:val="-5"/>
              <w:szCs w:val="52"/>
              <w:highlight w:val="none"/>
            </w:rPr>
            <w:t>第五章</w:t>
          </w:r>
          <w:r>
            <w:rPr>
              <w:rFonts w:ascii="宋体" w:hAnsi="宋体" w:eastAsia="宋体" w:cs="宋体"/>
              <w:color w:val="auto"/>
              <w:spacing w:val="-5"/>
              <w:szCs w:val="52"/>
              <w:highlight w:val="none"/>
            </w:rPr>
            <w:t xml:space="preserve">  </w:t>
          </w:r>
          <w:r>
            <w:rPr>
              <w:rFonts w:ascii="宋体" w:hAnsi="宋体" w:eastAsia="宋体" w:cs="宋体"/>
              <w:bCs/>
              <w:color w:val="auto"/>
              <w:spacing w:val="-5"/>
              <w:szCs w:val="52"/>
              <w:highlight w:val="none"/>
            </w:rPr>
            <w:t>委托人要求</w:t>
          </w:r>
          <w:r>
            <w:rPr>
              <w:color w:val="auto"/>
              <w:highlight w:val="none"/>
            </w:rPr>
            <w:tab/>
          </w:r>
          <w:r>
            <w:rPr>
              <w:color w:val="auto"/>
              <w:highlight w:val="none"/>
            </w:rPr>
            <w:fldChar w:fldCharType="begin"/>
          </w:r>
          <w:r>
            <w:rPr>
              <w:color w:val="auto"/>
              <w:highlight w:val="none"/>
            </w:rPr>
            <w:instrText xml:space="preserve"> PAGEREF _Toc28222 \h </w:instrText>
          </w:r>
          <w:r>
            <w:rPr>
              <w:color w:val="auto"/>
              <w:highlight w:val="none"/>
            </w:rPr>
            <w:fldChar w:fldCharType="separate"/>
          </w:r>
          <w:r>
            <w:rPr>
              <w:color w:val="auto"/>
              <w:highlight w:val="none"/>
            </w:rPr>
            <w:t>121</w:t>
          </w:r>
          <w:r>
            <w:rPr>
              <w:color w:val="auto"/>
              <w:highlight w:val="none"/>
            </w:rPr>
            <w:fldChar w:fldCharType="end"/>
          </w:r>
          <w:r>
            <w:rPr>
              <w:rFonts w:ascii="宋体" w:hAnsi="宋体" w:eastAsia="宋体" w:cs="宋体"/>
              <w:snapToGrid w:val="0"/>
              <w:color w:val="auto"/>
              <w:kern w:val="0"/>
              <w:szCs w:val="24"/>
              <w:highlight w:val="none"/>
              <w:lang w:val="en-US" w:eastAsia="en-US" w:bidi="ar-SA"/>
            </w:rPr>
            <w:fldChar w:fldCharType="end"/>
          </w:r>
        </w:p>
        <w:p w14:paraId="763240AB">
          <w:pPr>
            <w:pStyle w:val="11"/>
            <w:tabs>
              <w:tab w:val="right" w:leader="dot" w:pos="8797"/>
            </w:tabs>
            <w:rPr>
              <w:color w:val="auto"/>
              <w:highlight w:val="none"/>
            </w:rPr>
          </w:pPr>
          <w:r>
            <w:rPr>
              <w:rFonts w:ascii="宋体" w:hAnsi="宋体" w:eastAsia="宋体" w:cs="宋体"/>
              <w:snapToGrid w:val="0"/>
              <w:color w:val="auto"/>
              <w:kern w:val="0"/>
              <w:szCs w:val="24"/>
              <w:highlight w:val="none"/>
              <w:lang w:val="en-US" w:eastAsia="en-US" w:bidi="ar-SA"/>
            </w:rPr>
            <w:fldChar w:fldCharType="begin"/>
          </w:r>
          <w:r>
            <w:rPr>
              <w:rFonts w:ascii="宋体" w:hAnsi="宋体" w:eastAsia="宋体" w:cs="宋体"/>
              <w:snapToGrid w:val="0"/>
              <w:color w:val="auto"/>
              <w:kern w:val="0"/>
              <w:szCs w:val="24"/>
              <w:highlight w:val="none"/>
              <w:lang w:val="en-US" w:eastAsia="en-US" w:bidi="ar-SA"/>
            </w:rPr>
            <w:instrText xml:space="preserve"> HYPERLINK \l _Toc10755 </w:instrText>
          </w:r>
          <w:r>
            <w:rPr>
              <w:rFonts w:ascii="宋体" w:hAnsi="宋体" w:eastAsia="宋体" w:cs="宋体"/>
              <w:snapToGrid w:val="0"/>
              <w:color w:val="auto"/>
              <w:kern w:val="0"/>
              <w:szCs w:val="24"/>
              <w:highlight w:val="none"/>
              <w:lang w:val="en-US" w:eastAsia="en-US" w:bidi="ar-SA"/>
            </w:rPr>
            <w:fldChar w:fldCharType="separate"/>
          </w:r>
          <w:r>
            <w:rPr>
              <w:rFonts w:ascii="宋体" w:hAnsi="宋体" w:eastAsia="宋体" w:cs="宋体"/>
              <w:bCs/>
              <w:color w:val="auto"/>
              <w:spacing w:val="-4"/>
              <w:szCs w:val="24"/>
              <w:highlight w:val="none"/>
            </w:rPr>
            <w:t>一、监理要求</w:t>
          </w:r>
          <w:r>
            <w:rPr>
              <w:color w:val="auto"/>
              <w:highlight w:val="none"/>
            </w:rPr>
            <w:tab/>
          </w:r>
          <w:r>
            <w:rPr>
              <w:color w:val="auto"/>
              <w:highlight w:val="none"/>
            </w:rPr>
            <w:fldChar w:fldCharType="begin"/>
          </w:r>
          <w:r>
            <w:rPr>
              <w:color w:val="auto"/>
              <w:highlight w:val="none"/>
            </w:rPr>
            <w:instrText xml:space="preserve"> PAGEREF _Toc10755 \h </w:instrText>
          </w:r>
          <w:r>
            <w:rPr>
              <w:color w:val="auto"/>
              <w:highlight w:val="none"/>
            </w:rPr>
            <w:fldChar w:fldCharType="separate"/>
          </w:r>
          <w:r>
            <w:rPr>
              <w:color w:val="auto"/>
              <w:highlight w:val="none"/>
            </w:rPr>
            <w:t>122</w:t>
          </w:r>
          <w:r>
            <w:rPr>
              <w:color w:val="auto"/>
              <w:highlight w:val="none"/>
            </w:rPr>
            <w:fldChar w:fldCharType="end"/>
          </w:r>
          <w:r>
            <w:rPr>
              <w:rFonts w:ascii="宋体" w:hAnsi="宋体" w:eastAsia="宋体" w:cs="宋体"/>
              <w:snapToGrid w:val="0"/>
              <w:color w:val="auto"/>
              <w:kern w:val="0"/>
              <w:szCs w:val="24"/>
              <w:highlight w:val="none"/>
              <w:lang w:val="en-US" w:eastAsia="en-US" w:bidi="ar-SA"/>
            </w:rPr>
            <w:fldChar w:fldCharType="end"/>
          </w:r>
        </w:p>
        <w:p w14:paraId="6B069F12">
          <w:pPr>
            <w:pStyle w:val="11"/>
            <w:tabs>
              <w:tab w:val="right" w:leader="dot" w:pos="8797"/>
            </w:tabs>
            <w:rPr>
              <w:color w:val="auto"/>
              <w:highlight w:val="none"/>
            </w:rPr>
          </w:pPr>
          <w:r>
            <w:rPr>
              <w:rFonts w:ascii="宋体" w:hAnsi="宋体" w:eastAsia="宋体" w:cs="宋体"/>
              <w:snapToGrid w:val="0"/>
              <w:color w:val="auto"/>
              <w:kern w:val="0"/>
              <w:szCs w:val="24"/>
              <w:highlight w:val="none"/>
              <w:lang w:val="en-US" w:eastAsia="en-US" w:bidi="ar-SA"/>
            </w:rPr>
            <w:fldChar w:fldCharType="begin"/>
          </w:r>
          <w:r>
            <w:rPr>
              <w:rFonts w:ascii="宋体" w:hAnsi="宋体" w:eastAsia="宋体" w:cs="宋体"/>
              <w:snapToGrid w:val="0"/>
              <w:color w:val="auto"/>
              <w:kern w:val="0"/>
              <w:szCs w:val="24"/>
              <w:highlight w:val="none"/>
              <w:lang w:val="en-US" w:eastAsia="en-US" w:bidi="ar-SA"/>
            </w:rPr>
            <w:instrText xml:space="preserve"> HYPERLINK \l _Toc10920 </w:instrText>
          </w:r>
          <w:r>
            <w:rPr>
              <w:rFonts w:ascii="宋体" w:hAnsi="宋体" w:eastAsia="宋体" w:cs="宋体"/>
              <w:snapToGrid w:val="0"/>
              <w:color w:val="auto"/>
              <w:kern w:val="0"/>
              <w:szCs w:val="24"/>
              <w:highlight w:val="none"/>
              <w:lang w:val="en-US" w:eastAsia="en-US" w:bidi="ar-SA"/>
            </w:rPr>
            <w:fldChar w:fldCharType="separate"/>
          </w:r>
          <w:r>
            <w:rPr>
              <w:rFonts w:ascii="宋体" w:hAnsi="宋体" w:eastAsia="宋体" w:cs="宋体"/>
              <w:bCs/>
              <w:color w:val="auto"/>
              <w:spacing w:val="-4"/>
              <w:szCs w:val="24"/>
              <w:highlight w:val="none"/>
            </w:rPr>
            <w:t>二、适用规范标准</w:t>
          </w:r>
          <w:r>
            <w:rPr>
              <w:color w:val="auto"/>
              <w:highlight w:val="none"/>
            </w:rPr>
            <w:tab/>
          </w:r>
          <w:r>
            <w:rPr>
              <w:color w:val="auto"/>
              <w:highlight w:val="none"/>
            </w:rPr>
            <w:fldChar w:fldCharType="begin"/>
          </w:r>
          <w:r>
            <w:rPr>
              <w:color w:val="auto"/>
              <w:highlight w:val="none"/>
            </w:rPr>
            <w:instrText xml:space="preserve"> PAGEREF _Toc10920 \h </w:instrText>
          </w:r>
          <w:r>
            <w:rPr>
              <w:color w:val="auto"/>
              <w:highlight w:val="none"/>
            </w:rPr>
            <w:fldChar w:fldCharType="separate"/>
          </w:r>
          <w:r>
            <w:rPr>
              <w:color w:val="auto"/>
              <w:highlight w:val="none"/>
            </w:rPr>
            <w:t>122</w:t>
          </w:r>
          <w:r>
            <w:rPr>
              <w:color w:val="auto"/>
              <w:highlight w:val="none"/>
            </w:rPr>
            <w:fldChar w:fldCharType="end"/>
          </w:r>
          <w:r>
            <w:rPr>
              <w:rFonts w:ascii="宋体" w:hAnsi="宋体" w:eastAsia="宋体" w:cs="宋体"/>
              <w:snapToGrid w:val="0"/>
              <w:color w:val="auto"/>
              <w:kern w:val="0"/>
              <w:szCs w:val="24"/>
              <w:highlight w:val="none"/>
              <w:lang w:val="en-US" w:eastAsia="en-US" w:bidi="ar-SA"/>
            </w:rPr>
            <w:fldChar w:fldCharType="end"/>
          </w:r>
        </w:p>
        <w:p w14:paraId="4A2EE163">
          <w:pPr>
            <w:pStyle w:val="11"/>
            <w:tabs>
              <w:tab w:val="right" w:leader="dot" w:pos="8797"/>
            </w:tabs>
            <w:rPr>
              <w:color w:val="auto"/>
              <w:highlight w:val="none"/>
            </w:rPr>
          </w:pPr>
          <w:r>
            <w:rPr>
              <w:rFonts w:ascii="宋体" w:hAnsi="宋体" w:eastAsia="宋体" w:cs="宋体"/>
              <w:snapToGrid w:val="0"/>
              <w:color w:val="auto"/>
              <w:kern w:val="0"/>
              <w:szCs w:val="24"/>
              <w:highlight w:val="none"/>
              <w:lang w:val="en-US" w:eastAsia="en-US" w:bidi="ar-SA"/>
            </w:rPr>
            <w:fldChar w:fldCharType="begin"/>
          </w:r>
          <w:r>
            <w:rPr>
              <w:rFonts w:ascii="宋体" w:hAnsi="宋体" w:eastAsia="宋体" w:cs="宋体"/>
              <w:snapToGrid w:val="0"/>
              <w:color w:val="auto"/>
              <w:kern w:val="0"/>
              <w:szCs w:val="24"/>
              <w:highlight w:val="none"/>
              <w:lang w:val="en-US" w:eastAsia="en-US" w:bidi="ar-SA"/>
            </w:rPr>
            <w:instrText xml:space="preserve"> HYPERLINK \l _Toc22416 </w:instrText>
          </w:r>
          <w:r>
            <w:rPr>
              <w:rFonts w:ascii="宋体" w:hAnsi="宋体" w:eastAsia="宋体" w:cs="宋体"/>
              <w:snapToGrid w:val="0"/>
              <w:color w:val="auto"/>
              <w:kern w:val="0"/>
              <w:szCs w:val="24"/>
              <w:highlight w:val="none"/>
              <w:lang w:val="en-US" w:eastAsia="en-US" w:bidi="ar-SA"/>
            </w:rPr>
            <w:fldChar w:fldCharType="separate"/>
          </w:r>
          <w:r>
            <w:rPr>
              <w:rFonts w:ascii="宋体" w:hAnsi="宋体" w:eastAsia="宋体" w:cs="宋体"/>
              <w:bCs/>
              <w:color w:val="auto"/>
              <w:spacing w:val="-3"/>
              <w:szCs w:val="24"/>
              <w:highlight w:val="none"/>
            </w:rPr>
            <w:t>三、成果文件要求</w:t>
          </w:r>
          <w:r>
            <w:rPr>
              <w:color w:val="auto"/>
              <w:highlight w:val="none"/>
            </w:rPr>
            <w:tab/>
          </w:r>
          <w:r>
            <w:rPr>
              <w:color w:val="auto"/>
              <w:highlight w:val="none"/>
            </w:rPr>
            <w:fldChar w:fldCharType="begin"/>
          </w:r>
          <w:r>
            <w:rPr>
              <w:color w:val="auto"/>
              <w:highlight w:val="none"/>
            </w:rPr>
            <w:instrText xml:space="preserve"> PAGEREF _Toc22416 \h </w:instrText>
          </w:r>
          <w:r>
            <w:rPr>
              <w:color w:val="auto"/>
              <w:highlight w:val="none"/>
            </w:rPr>
            <w:fldChar w:fldCharType="separate"/>
          </w:r>
          <w:r>
            <w:rPr>
              <w:color w:val="auto"/>
              <w:highlight w:val="none"/>
            </w:rPr>
            <w:t>123</w:t>
          </w:r>
          <w:r>
            <w:rPr>
              <w:color w:val="auto"/>
              <w:highlight w:val="none"/>
            </w:rPr>
            <w:fldChar w:fldCharType="end"/>
          </w:r>
          <w:r>
            <w:rPr>
              <w:rFonts w:ascii="宋体" w:hAnsi="宋体" w:eastAsia="宋体" w:cs="宋体"/>
              <w:snapToGrid w:val="0"/>
              <w:color w:val="auto"/>
              <w:kern w:val="0"/>
              <w:szCs w:val="24"/>
              <w:highlight w:val="none"/>
              <w:lang w:val="en-US" w:eastAsia="en-US" w:bidi="ar-SA"/>
            </w:rPr>
            <w:fldChar w:fldCharType="end"/>
          </w:r>
        </w:p>
        <w:p w14:paraId="795CF1E3">
          <w:pPr>
            <w:pStyle w:val="11"/>
            <w:tabs>
              <w:tab w:val="right" w:leader="dot" w:pos="8797"/>
            </w:tabs>
            <w:rPr>
              <w:color w:val="auto"/>
              <w:highlight w:val="none"/>
            </w:rPr>
          </w:pPr>
          <w:r>
            <w:rPr>
              <w:rFonts w:ascii="宋体" w:hAnsi="宋体" w:eastAsia="宋体" w:cs="宋体"/>
              <w:snapToGrid w:val="0"/>
              <w:color w:val="auto"/>
              <w:kern w:val="0"/>
              <w:szCs w:val="24"/>
              <w:highlight w:val="none"/>
              <w:lang w:val="en-US" w:eastAsia="en-US" w:bidi="ar-SA"/>
            </w:rPr>
            <w:fldChar w:fldCharType="begin"/>
          </w:r>
          <w:r>
            <w:rPr>
              <w:rFonts w:ascii="宋体" w:hAnsi="宋体" w:eastAsia="宋体" w:cs="宋体"/>
              <w:snapToGrid w:val="0"/>
              <w:color w:val="auto"/>
              <w:kern w:val="0"/>
              <w:szCs w:val="24"/>
              <w:highlight w:val="none"/>
              <w:lang w:val="en-US" w:eastAsia="en-US" w:bidi="ar-SA"/>
            </w:rPr>
            <w:instrText xml:space="preserve"> HYPERLINK \l _Toc9281 </w:instrText>
          </w:r>
          <w:r>
            <w:rPr>
              <w:rFonts w:ascii="宋体" w:hAnsi="宋体" w:eastAsia="宋体" w:cs="宋体"/>
              <w:snapToGrid w:val="0"/>
              <w:color w:val="auto"/>
              <w:kern w:val="0"/>
              <w:szCs w:val="24"/>
              <w:highlight w:val="none"/>
              <w:lang w:val="en-US" w:eastAsia="en-US" w:bidi="ar-SA"/>
            </w:rPr>
            <w:fldChar w:fldCharType="separate"/>
          </w:r>
          <w:r>
            <w:rPr>
              <w:rFonts w:ascii="宋体" w:hAnsi="宋体" w:eastAsia="宋体" w:cs="宋体"/>
              <w:bCs/>
              <w:color w:val="auto"/>
              <w:spacing w:val="-6"/>
              <w:szCs w:val="24"/>
              <w:highlight w:val="none"/>
            </w:rPr>
            <w:t>四、委托人财产清单</w:t>
          </w:r>
          <w:r>
            <w:rPr>
              <w:color w:val="auto"/>
              <w:highlight w:val="none"/>
            </w:rPr>
            <w:tab/>
          </w:r>
          <w:r>
            <w:rPr>
              <w:color w:val="auto"/>
              <w:highlight w:val="none"/>
            </w:rPr>
            <w:fldChar w:fldCharType="begin"/>
          </w:r>
          <w:r>
            <w:rPr>
              <w:color w:val="auto"/>
              <w:highlight w:val="none"/>
            </w:rPr>
            <w:instrText xml:space="preserve"> PAGEREF _Toc9281 \h </w:instrText>
          </w:r>
          <w:r>
            <w:rPr>
              <w:color w:val="auto"/>
              <w:highlight w:val="none"/>
            </w:rPr>
            <w:fldChar w:fldCharType="separate"/>
          </w:r>
          <w:r>
            <w:rPr>
              <w:color w:val="auto"/>
              <w:highlight w:val="none"/>
            </w:rPr>
            <w:t>123</w:t>
          </w:r>
          <w:r>
            <w:rPr>
              <w:color w:val="auto"/>
              <w:highlight w:val="none"/>
            </w:rPr>
            <w:fldChar w:fldCharType="end"/>
          </w:r>
          <w:r>
            <w:rPr>
              <w:rFonts w:ascii="宋体" w:hAnsi="宋体" w:eastAsia="宋体" w:cs="宋体"/>
              <w:snapToGrid w:val="0"/>
              <w:color w:val="auto"/>
              <w:kern w:val="0"/>
              <w:szCs w:val="24"/>
              <w:highlight w:val="none"/>
              <w:lang w:val="en-US" w:eastAsia="en-US" w:bidi="ar-SA"/>
            </w:rPr>
            <w:fldChar w:fldCharType="end"/>
          </w:r>
        </w:p>
        <w:p w14:paraId="3CFE7583">
          <w:pPr>
            <w:pStyle w:val="11"/>
            <w:tabs>
              <w:tab w:val="right" w:leader="dot" w:pos="8797"/>
            </w:tabs>
            <w:rPr>
              <w:color w:val="auto"/>
              <w:highlight w:val="none"/>
            </w:rPr>
          </w:pPr>
          <w:r>
            <w:rPr>
              <w:rFonts w:ascii="宋体" w:hAnsi="宋体" w:eastAsia="宋体" w:cs="宋体"/>
              <w:snapToGrid w:val="0"/>
              <w:color w:val="auto"/>
              <w:kern w:val="0"/>
              <w:szCs w:val="24"/>
              <w:highlight w:val="none"/>
              <w:lang w:val="en-US" w:eastAsia="en-US" w:bidi="ar-SA"/>
            </w:rPr>
            <w:fldChar w:fldCharType="begin"/>
          </w:r>
          <w:r>
            <w:rPr>
              <w:rFonts w:ascii="宋体" w:hAnsi="宋体" w:eastAsia="宋体" w:cs="宋体"/>
              <w:snapToGrid w:val="0"/>
              <w:color w:val="auto"/>
              <w:kern w:val="0"/>
              <w:szCs w:val="24"/>
              <w:highlight w:val="none"/>
              <w:lang w:val="en-US" w:eastAsia="en-US" w:bidi="ar-SA"/>
            </w:rPr>
            <w:instrText xml:space="preserve"> HYPERLINK \l _Toc25631 </w:instrText>
          </w:r>
          <w:r>
            <w:rPr>
              <w:rFonts w:ascii="宋体" w:hAnsi="宋体" w:eastAsia="宋体" w:cs="宋体"/>
              <w:snapToGrid w:val="0"/>
              <w:color w:val="auto"/>
              <w:kern w:val="0"/>
              <w:szCs w:val="24"/>
              <w:highlight w:val="none"/>
              <w:lang w:val="en-US" w:eastAsia="en-US" w:bidi="ar-SA"/>
            </w:rPr>
            <w:fldChar w:fldCharType="separate"/>
          </w:r>
          <w:r>
            <w:rPr>
              <w:rFonts w:ascii="宋体" w:hAnsi="宋体" w:eastAsia="宋体" w:cs="宋体"/>
              <w:bCs/>
              <w:color w:val="auto"/>
              <w:spacing w:val="-3"/>
              <w:szCs w:val="24"/>
              <w:highlight w:val="none"/>
            </w:rPr>
            <w:t>五、委托人提供的便利条件</w:t>
          </w:r>
          <w:r>
            <w:rPr>
              <w:color w:val="auto"/>
              <w:highlight w:val="none"/>
            </w:rPr>
            <w:tab/>
          </w:r>
          <w:r>
            <w:rPr>
              <w:color w:val="auto"/>
              <w:highlight w:val="none"/>
            </w:rPr>
            <w:fldChar w:fldCharType="begin"/>
          </w:r>
          <w:r>
            <w:rPr>
              <w:color w:val="auto"/>
              <w:highlight w:val="none"/>
            </w:rPr>
            <w:instrText xml:space="preserve"> PAGEREF _Toc25631 \h </w:instrText>
          </w:r>
          <w:r>
            <w:rPr>
              <w:color w:val="auto"/>
              <w:highlight w:val="none"/>
            </w:rPr>
            <w:fldChar w:fldCharType="separate"/>
          </w:r>
          <w:r>
            <w:rPr>
              <w:color w:val="auto"/>
              <w:highlight w:val="none"/>
            </w:rPr>
            <w:t>124</w:t>
          </w:r>
          <w:r>
            <w:rPr>
              <w:color w:val="auto"/>
              <w:highlight w:val="none"/>
            </w:rPr>
            <w:fldChar w:fldCharType="end"/>
          </w:r>
          <w:r>
            <w:rPr>
              <w:rFonts w:ascii="宋体" w:hAnsi="宋体" w:eastAsia="宋体" w:cs="宋体"/>
              <w:snapToGrid w:val="0"/>
              <w:color w:val="auto"/>
              <w:kern w:val="0"/>
              <w:szCs w:val="24"/>
              <w:highlight w:val="none"/>
              <w:lang w:val="en-US" w:eastAsia="en-US" w:bidi="ar-SA"/>
            </w:rPr>
            <w:fldChar w:fldCharType="end"/>
          </w:r>
        </w:p>
        <w:p w14:paraId="482FDB13">
          <w:pPr>
            <w:pStyle w:val="11"/>
            <w:tabs>
              <w:tab w:val="right" w:leader="dot" w:pos="8797"/>
            </w:tabs>
            <w:rPr>
              <w:color w:val="auto"/>
              <w:highlight w:val="none"/>
            </w:rPr>
          </w:pPr>
          <w:r>
            <w:rPr>
              <w:rFonts w:ascii="宋体" w:hAnsi="宋体" w:eastAsia="宋体" w:cs="宋体"/>
              <w:snapToGrid w:val="0"/>
              <w:color w:val="auto"/>
              <w:kern w:val="0"/>
              <w:szCs w:val="24"/>
              <w:highlight w:val="none"/>
              <w:lang w:val="en-US" w:eastAsia="en-US" w:bidi="ar-SA"/>
            </w:rPr>
            <w:fldChar w:fldCharType="begin"/>
          </w:r>
          <w:r>
            <w:rPr>
              <w:rFonts w:ascii="宋体" w:hAnsi="宋体" w:eastAsia="宋体" w:cs="宋体"/>
              <w:snapToGrid w:val="0"/>
              <w:color w:val="auto"/>
              <w:kern w:val="0"/>
              <w:szCs w:val="24"/>
              <w:highlight w:val="none"/>
              <w:lang w:val="en-US" w:eastAsia="en-US" w:bidi="ar-SA"/>
            </w:rPr>
            <w:instrText xml:space="preserve"> HYPERLINK \l _Toc4643 </w:instrText>
          </w:r>
          <w:r>
            <w:rPr>
              <w:rFonts w:ascii="宋体" w:hAnsi="宋体" w:eastAsia="宋体" w:cs="宋体"/>
              <w:snapToGrid w:val="0"/>
              <w:color w:val="auto"/>
              <w:kern w:val="0"/>
              <w:szCs w:val="24"/>
              <w:highlight w:val="none"/>
              <w:lang w:val="en-US" w:eastAsia="en-US" w:bidi="ar-SA"/>
            </w:rPr>
            <w:fldChar w:fldCharType="separate"/>
          </w:r>
          <w:r>
            <w:rPr>
              <w:rFonts w:ascii="宋体" w:hAnsi="宋体" w:eastAsia="宋体" w:cs="宋体"/>
              <w:bCs/>
              <w:color w:val="auto"/>
              <w:spacing w:val="-3"/>
              <w:szCs w:val="24"/>
              <w:highlight w:val="none"/>
            </w:rPr>
            <w:t>六、监理人需要自备的工作条件</w:t>
          </w:r>
          <w:r>
            <w:rPr>
              <w:color w:val="auto"/>
              <w:highlight w:val="none"/>
            </w:rPr>
            <w:tab/>
          </w:r>
          <w:r>
            <w:rPr>
              <w:color w:val="auto"/>
              <w:highlight w:val="none"/>
            </w:rPr>
            <w:fldChar w:fldCharType="begin"/>
          </w:r>
          <w:r>
            <w:rPr>
              <w:color w:val="auto"/>
              <w:highlight w:val="none"/>
            </w:rPr>
            <w:instrText xml:space="preserve"> PAGEREF _Toc4643 \h </w:instrText>
          </w:r>
          <w:r>
            <w:rPr>
              <w:color w:val="auto"/>
              <w:highlight w:val="none"/>
            </w:rPr>
            <w:fldChar w:fldCharType="separate"/>
          </w:r>
          <w:r>
            <w:rPr>
              <w:color w:val="auto"/>
              <w:highlight w:val="none"/>
            </w:rPr>
            <w:t>124</w:t>
          </w:r>
          <w:r>
            <w:rPr>
              <w:color w:val="auto"/>
              <w:highlight w:val="none"/>
            </w:rPr>
            <w:fldChar w:fldCharType="end"/>
          </w:r>
          <w:r>
            <w:rPr>
              <w:rFonts w:ascii="宋体" w:hAnsi="宋体" w:eastAsia="宋体" w:cs="宋体"/>
              <w:snapToGrid w:val="0"/>
              <w:color w:val="auto"/>
              <w:kern w:val="0"/>
              <w:szCs w:val="24"/>
              <w:highlight w:val="none"/>
              <w:lang w:val="en-US" w:eastAsia="en-US" w:bidi="ar-SA"/>
            </w:rPr>
            <w:fldChar w:fldCharType="end"/>
          </w:r>
        </w:p>
        <w:p w14:paraId="1848BB1F">
          <w:pPr>
            <w:pStyle w:val="11"/>
            <w:tabs>
              <w:tab w:val="right" w:leader="dot" w:pos="8797"/>
            </w:tabs>
            <w:rPr>
              <w:color w:val="auto"/>
              <w:highlight w:val="none"/>
            </w:rPr>
          </w:pPr>
          <w:r>
            <w:rPr>
              <w:rFonts w:ascii="宋体" w:hAnsi="宋体" w:eastAsia="宋体" w:cs="宋体"/>
              <w:snapToGrid w:val="0"/>
              <w:color w:val="auto"/>
              <w:kern w:val="0"/>
              <w:szCs w:val="24"/>
              <w:highlight w:val="none"/>
              <w:lang w:val="en-US" w:eastAsia="en-US" w:bidi="ar-SA"/>
            </w:rPr>
            <w:fldChar w:fldCharType="begin"/>
          </w:r>
          <w:r>
            <w:rPr>
              <w:rFonts w:ascii="宋体" w:hAnsi="宋体" w:eastAsia="宋体" w:cs="宋体"/>
              <w:snapToGrid w:val="0"/>
              <w:color w:val="auto"/>
              <w:kern w:val="0"/>
              <w:szCs w:val="24"/>
              <w:highlight w:val="none"/>
              <w:lang w:val="en-US" w:eastAsia="en-US" w:bidi="ar-SA"/>
            </w:rPr>
            <w:instrText xml:space="preserve"> HYPERLINK \l _Toc24817 </w:instrText>
          </w:r>
          <w:r>
            <w:rPr>
              <w:rFonts w:ascii="宋体" w:hAnsi="宋体" w:eastAsia="宋体" w:cs="宋体"/>
              <w:snapToGrid w:val="0"/>
              <w:color w:val="auto"/>
              <w:kern w:val="0"/>
              <w:szCs w:val="24"/>
              <w:highlight w:val="none"/>
              <w:lang w:val="en-US" w:eastAsia="en-US" w:bidi="ar-SA"/>
            </w:rPr>
            <w:fldChar w:fldCharType="separate"/>
          </w:r>
          <w:r>
            <w:rPr>
              <w:rFonts w:ascii="宋体" w:hAnsi="宋体" w:eastAsia="宋体" w:cs="宋体"/>
              <w:bCs/>
              <w:color w:val="auto"/>
              <w:spacing w:val="-3"/>
              <w:szCs w:val="24"/>
              <w:highlight w:val="none"/>
            </w:rPr>
            <w:t>七、委托人的其他要求</w:t>
          </w:r>
          <w:r>
            <w:rPr>
              <w:color w:val="auto"/>
              <w:highlight w:val="none"/>
            </w:rPr>
            <w:tab/>
          </w:r>
          <w:r>
            <w:rPr>
              <w:color w:val="auto"/>
              <w:highlight w:val="none"/>
            </w:rPr>
            <w:fldChar w:fldCharType="begin"/>
          </w:r>
          <w:r>
            <w:rPr>
              <w:color w:val="auto"/>
              <w:highlight w:val="none"/>
            </w:rPr>
            <w:instrText xml:space="preserve"> PAGEREF _Toc24817 \h </w:instrText>
          </w:r>
          <w:r>
            <w:rPr>
              <w:color w:val="auto"/>
              <w:highlight w:val="none"/>
            </w:rPr>
            <w:fldChar w:fldCharType="separate"/>
          </w:r>
          <w:r>
            <w:rPr>
              <w:color w:val="auto"/>
              <w:highlight w:val="none"/>
            </w:rPr>
            <w:t>124</w:t>
          </w:r>
          <w:r>
            <w:rPr>
              <w:color w:val="auto"/>
              <w:highlight w:val="none"/>
            </w:rPr>
            <w:fldChar w:fldCharType="end"/>
          </w:r>
          <w:r>
            <w:rPr>
              <w:rFonts w:ascii="宋体" w:hAnsi="宋体" w:eastAsia="宋体" w:cs="宋体"/>
              <w:snapToGrid w:val="0"/>
              <w:color w:val="auto"/>
              <w:kern w:val="0"/>
              <w:szCs w:val="24"/>
              <w:highlight w:val="none"/>
              <w:lang w:val="en-US" w:eastAsia="en-US" w:bidi="ar-SA"/>
            </w:rPr>
            <w:fldChar w:fldCharType="end"/>
          </w:r>
        </w:p>
        <w:p w14:paraId="364D5E00">
          <w:pPr>
            <w:pStyle w:val="10"/>
            <w:tabs>
              <w:tab w:val="right" w:leader="dot" w:pos="8797"/>
            </w:tabs>
            <w:rPr>
              <w:color w:val="auto"/>
              <w:highlight w:val="none"/>
            </w:rPr>
          </w:pPr>
          <w:r>
            <w:rPr>
              <w:rFonts w:ascii="宋体" w:hAnsi="宋体" w:eastAsia="宋体" w:cs="宋体"/>
              <w:snapToGrid w:val="0"/>
              <w:color w:val="auto"/>
              <w:kern w:val="0"/>
              <w:szCs w:val="24"/>
              <w:highlight w:val="none"/>
              <w:lang w:val="en-US" w:eastAsia="en-US" w:bidi="ar-SA"/>
            </w:rPr>
            <w:fldChar w:fldCharType="begin"/>
          </w:r>
          <w:r>
            <w:rPr>
              <w:rFonts w:ascii="宋体" w:hAnsi="宋体" w:eastAsia="宋体" w:cs="宋体"/>
              <w:snapToGrid w:val="0"/>
              <w:color w:val="auto"/>
              <w:kern w:val="0"/>
              <w:szCs w:val="24"/>
              <w:highlight w:val="none"/>
              <w:lang w:val="en-US" w:eastAsia="en-US" w:bidi="ar-SA"/>
            </w:rPr>
            <w:instrText xml:space="preserve"> HYPERLINK \l _Toc17641 </w:instrText>
          </w:r>
          <w:r>
            <w:rPr>
              <w:rFonts w:ascii="宋体" w:hAnsi="宋体" w:eastAsia="宋体" w:cs="宋体"/>
              <w:snapToGrid w:val="0"/>
              <w:color w:val="auto"/>
              <w:kern w:val="0"/>
              <w:szCs w:val="24"/>
              <w:highlight w:val="none"/>
              <w:lang w:val="en-US" w:eastAsia="en-US" w:bidi="ar-SA"/>
            </w:rPr>
            <w:fldChar w:fldCharType="separate"/>
          </w:r>
          <w:r>
            <w:rPr>
              <w:rFonts w:ascii="宋体" w:hAnsi="宋体" w:eastAsia="宋体" w:cs="宋体"/>
              <w:bCs/>
              <w:color w:val="auto"/>
              <w:spacing w:val="-16"/>
              <w:szCs w:val="52"/>
              <w:highlight w:val="none"/>
            </w:rPr>
            <w:t>第六章</w:t>
          </w:r>
          <w:r>
            <w:rPr>
              <w:rFonts w:ascii="宋体" w:hAnsi="宋体" w:eastAsia="宋体" w:cs="宋体"/>
              <w:color w:val="auto"/>
              <w:spacing w:val="39"/>
              <w:szCs w:val="52"/>
              <w:highlight w:val="none"/>
            </w:rPr>
            <w:t xml:space="preserve">  </w:t>
          </w:r>
          <w:r>
            <w:rPr>
              <w:rFonts w:ascii="宋体" w:hAnsi="宋体" w:eastAsia="宋体" w:cs="宋体"/>
              <w:bCs/>
              <w:color w:val="auto"/>
              <w:spacing w:val="-16"/>
              <w:szCs w:val="52"/>
              <w:highlight w:val="none"/>
            </w:rPr>
            <w:t>图纸和资料</w:t>
          </w:r>
          <w:r>
            <w:rPr>
              <w:color w:val="auto"/>
              <w:highlight w:val="none"/>
            </w:rPr>
            <w:tab/>
          </w:r>
          <w:r>
            <w:rPr>
              <w:color w:val="auto"/>
              <w:highlight w:val="none"/>
            </w:rPr>
            <w:fldChar w:fldCharType="begin"/>
          </w:r>
          <w:r>
            <w:rPr>
              <w:color w:val="auto"/>
              <w:highlight w:val="none"/>
            </w:rPr>
            <w:instrText xml:space="preserve"> PAGEREF _Toc17641 \h </w:instrText>
          </w:r>
          <w:r>
            <w:rPr>
              <w:color w:val="auto"/>
              <w:highlight w:val="none"/>
            </w:rPr>
            <w:fldChar w:fldCharType="separate"/>
          </w:r>
          <w:r>
            <w:rPr>
              <w:color w:val="auto"/>
              <w:highlight w:val="none"/>
            </w:rPr>
            <w:t>125</w:t>
          </w:r>
          <w:r>
            <w:rPr>
              <w:color w:val="auto"/>
              <w:highlight w:val="none"/>
            </w:rPr>
            <w:fldChar w:fldCharType="end"/>
          </w:r>
          <w:r>
            <w:rPr>
              <w:rFonts w:ascii="宋体" w:hAnsi="宋体" w:eastAsia="宋体" w:cs="宋体"/>
              <w:snapToGrid w:val="0"/>
              <w:color w:val="auto"/>
              <w:kern w:val="0"/>
              <w:szCs w:val="24"/>
              <w:highlight w:val="none"/>
              <w:lang w:val="en-US" w:eastAsia="en-US" w:bidi="ar-SA"/>
            </w:rPr>
            <w:fldChar w:fldCharType="end"/>
          </w:r>
        </w:p>
        <w:p w14:paraId="30FAB559">
          <w:pPr>
            <w:pStyle w:val="11"/>
            <w:tabs>
              <w:tab w:val="right" w:leader="dot" w:pos="8797"/>
            </w:tabs>
            <w:rPr>
              <w:color w:val="auto"/>
              <w:highlight w:val="none"/>
            </w:rPr>
          </w:pPr>
          <w:r>
            <w:rPr>
              <w:rFonts w:ascii="宋体" w:hAnsi="宋体" w:eastAsia="宋体" w:cs="宋体"/>
              <w:snapToGrid w:val="0"/>
              <w:color w:val="auto"/>
              <w:kern w:val="0"/>
              <w:szCs w:val="24"/>
              <w:highlight w:val="none"/>
              <w:lang w:val="en-US" w:eastAsia="en-US" w:bidi="ar-SA"/>
            </w:rPr>
            <w:fldChar w:fldCharType="begin"/>
          </w:r>
          <w:r>
            <w:rPr>
              <w:rFonts w:ascii="宋体" w:hAnsi="宋体" w:eastAsia="宋体" w:cs="宋体"/>
              <w:snapToGrid w:val="0"/>
              <w:color w:val="auto"/>
              <w:kern w:val="0"/>
              <w:szCs w:val="24"/>
              <w:highlight w:val="none"/>
              <w:lang w:val="en-US" w:eastAsia="en-US" w:bidi="ar-SA"/>
            </w:rPr>
            <w:instrText xml:space="preserve"> HYPERLINK \l _Toc22281 </w:instrText>
          </w:r>
          <w:r>
            <w:rPr>
              <w:rFonts w:ascii="宋体" w:hAnsi="宋体" w:eastAsia="宋体" w:cs="宋体"/>
              <w:snapToGrid w:val="0"/>
              <w:color w:val="auto"/>
              <w:kern w:val="0"/>
              <w:szCs w:val="24"/>
              <w:highlight w:val="none"/>
              <w:lang w:val="en-US" w:eastAsia="en-US" w:bidi="ar-SA"/>
            </w:rPr>
            <w:fldChar w:fldCharType="separate"/>
          </w:r>
          <w:r>
            <w:rPr>
              <w:color w:val="auto"/>
              <w:szCs w:val="71"/>
              <w:highlight w:val="none"/>
            </w:rPr>
            <w:t>第三卷</w:t>
          </w:r>
          <w:r>
            <w:rPr>
              <w:color w:val="auto"/>
              <w:highlight w:val="none"/>
            </w:rPr>
            <w:tab/>
          </w:r>
          <w:r>
            <w:rPr>
              <w:color w:val="auto"/>
              <w:highlight w:val="none"/>
            </w:rPr>
            <w:fldChar w:fldCharType="begin"/>
          </w:r>
          <w:r>
            <w:rPr>
              <w:color w:val="auto"/>
              <w:highlight w:val="none"/>
            </w:rPr>
            <w:instrText xml:space="preserve"> PAGEREF _Toc22281 \h </w:instrText>
          </w:r>
          <w:r>
            <w:rPr>
              <w:color w:val="auto"/>
              <w:highlight w:val="none"/>
            </w:rPr>
            <w:fldChar w:fldCharType="separate"/>
          </w:r>
          <w:r>
            <w:rPr>
              <w:color w:val="auto"/>
              <w:highlight w:val="none"/>
            </w:rPr>
            <w:t>126</w:t>
          </w:r>
          <w:r>
            <w:rPr>
              <w:color w:val="auto"/>
              <w:highlight w:val="none"/>
            </w:rPr>
            <w:fldChar w:fldCharType="end"/>
          </w:r>
          <w:r>
            <w:rPr>
              <w:rFonts w:ascii="宋体" w:hAnsi="宋体" w:eastAsia="宋体" w:cs="宋体"/>
              <w:snapToGrid w:val="0"/>
              <w:color w:val="auto"/>
              <w:kern w:val="0"/>
              <w:szCs w:val="24"/>
              <w:highlight w:val="none"/>
              <w:lang w:val="en-US" w:eastAsia="en-US" w:bidi="ar-SA"/>
            </w:rPr>
            <w:fldChar w:fldCharType="end"/>
          </w:r>
        </w:p>
        <w:p w14:paraId="0C820E70">
          <w:pPr>
            <w:pStyle w:val="10"/>
            <w:tabs>
              <w:tab w:val="right" w:leader="dot" w:pos="8797"/>
            </w:tabs>
            <w:rPr>
              <w:color w:val="auto"/>
              <w:highlight w:val="none"/>
            </w:rPr>
          </w:pPr>
          <w:r>
            <w:rPr>
              <w:rFonts w:ascii="宋体" w:hAnsi="宋体" w:eastAsia="宋体" w:cs="宋体"/>
              <w:snapToGrid w:val="0"/>
              <w:color w:val="auto"/>
              <w:kern w:val="0"/>
              <w:szCs w:val="24"/>
              <w:highlight w:val="none"/>
              <w:lang w:val="en-US" w:eastAsia="en-US" w:bidi="ar-SA"/>
            </w:rPr>
            <w:fldChar w:fldCharType="begin"/>
          </w:r>
          <w:r>
            <w:rPr>
              <w:rFonts w:ascii="宋体" w:hAnsi="宋体" w:eastAsia="宋体" w:cs="宋体"/>
              <w:snapToGrid w:val="0"/>
              <w:color w:val="auto"/>
              <w:kern w:val="0"/>
              <w:szCs w:val="24"/>
              <w:highlight w:val="none"/>
              <w:lang w:val="en-US" w:eastAsia="en-US" w:bidi="ar-SA"/>
            </w:rPr>
            <w:instrText xml:space="preserve"> HYPERLINK \l _Toc6397 </w:instrText>
          </w:r>
          <w:r>
            <w:rPr>
              <w:rFonts w:ascii="宋体" w:hAnsi="宋体" w:eastAsia="宋体" w:cs="宋体"/>
              <w:snapToGrid w:val="0"/>
              <w:color w:val="auto"/>
              <w:kern w:val="0"/>
              <w:szCs w:val="24"/>
              <w:highlight w:val="none"/>
              <w:lang w:val="en-US" w:eastAsia="en-US" w:bidi="ar-SA"/>
            </w:rPr>
            <w:fldChar w:fldCharType="separate"/>
          </w:r>
          <w:r>
            <w:rPr>
              <w:rFonts w:ascii="宋体" w:hAnsi="宋体" w:eastAsia="宋体" w:cs="宋体"/>
              <w:bCs/>
              <w:color w:val="auto"/>
              <w:spacing w:val="-5"/>
              <w:szCs w:val="52"/>
              <w:highlight w:val="none"/>
            </w:rPr>
            <w:t>第七章</w:t>
          </w:r>
          <w:r>
            <w:rPr>
              <w:rFonts w:ascii="宋体" w:hAnsi="宋体" w:eastAsia="宋体" w:cs="宋体"/>
              <w:color w:val="auto"/>
              <w:spacing w:val="-5"/>
              <w:szCs w:val="52"/>
              <w:highlight w:val="none"/>
            </w:rPr>
            <w:t xml:space="preserve">  </w:t>
          </w:r>
          <w:r>
            <w:rPr>
              <w:rFonts w:ascii="宋体" w:hAnsi="宋体" w:eastAsia="宋体" w:cs="宋体"/>
              <w:bCs/>
              <w:color w:val="auto"/>
              <w:spacing w:val="-5"/>
              <w:szCs w:val="52"/>
              <w:highlight w:val="none"/>
            </w:rPr>
            <w:t>投标文件格式</w:t>
          </w:r>
          <w:r>
            <w:rPr>
              <w:color w:val="auto"/>
              <w:highlight w:val="none"/>
            </w:rPr>
            <w:tab/>
          </w:r>
          <w:r>
            <w:rPr>
              <w:color w:val="auto"/>
              <w:highlight w:val="none"/>
            </w:rPr>
            <w:fldChar w:fldCharType="begin"/>
          </w:r>
          <w:r>
            <w:rPr>
              <w:color w:val="auto"/>
              <w:highlight w:val="none"/>
            </w:rPr>
            <w:instrText xml:space="preserve"> PAGEREF _Toc6397 \h </w:instrText>
          </w:r>
          <w:r>
            <w:rPr>
              <w:color w:val="auto"/>
              <w:highlight w:val="none"/>
            </w:rPr>
            <w:fldChar w:fldCharType="separate"/>
          </w:r>
          <w:r>
            <w:rPr>
              <w:color w:val="auto"/>
              <w:highlight w:val="none"/>
            </w:rPr>
            <w:t>127</w:t>
          </w:r>
          <w:r>
            <w:rPr>
              <w:color w:val="auto"/>
              <w:highlight w:val="none"/>
            </w:rPr>
            <w:fldChar w:fldCharType="end"/>
          </w:r>
          <w:r>
            <w:rPr>
              <w:rFonts w:ascii="宋体" w:hAnsi="宋体" w:eastAsia="宋体" w:cs="宋体"/>
              <w:snapToGrid w:val="0"/>
              <w:color w:val="auto"/>
              <w:kern w:val="0"/>
              <w:szCs w:val="24"/>
              <w:highlight w:val="none"/>
              <w:lang w:val="en-US" w:eastAsia="en-US" w:bidi="ar-SA"/>
            </w:rPr>
            <w:fldChar w:fldCharType="end"/>
          </w:r>
        </w:p>
        <w:p w14:paraId="0E56A353">
          <w:pPr>
            <w:pStyle w:val="11"/>
            <w:tabs>
              <w:tab w:val="right" w:leader="dot" w:pos="8797"/>
            </w:tabs>
            <w:rPr>
              <w:color w:val="auto"/>
              <w:highlight w:val="none"/>
            </w:rPr>
          </w:pPr>
        </w:p>
        <w:p w14:paraId="59C2D433">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宋体" w:hAnsi="宋体" w:eastAsia="宋体" w:cs="宋体"/>
              <w:snapToGrid w:val="0"/>
              <w:color w:val="auto"/>
              <w:kern w:val="0"/>
              <w:sz w:val="21"/>
              <w:szCs w:val="24"/>
              <w:highlight w:val="none"/>
              <w:lang w:val="en-US" w:eastAsia="en-US" w:bidi="ar-SA"/>
            </w:rPr>
          </w:pPr>
          <w:r>
            <w:rPr>
              <w:rFonts w:ascii="宋体" w:hAnsi="宋体" w:eastAsia="宋体" w:cs="宋体"/>
              <w:snapToGrid w:val="0"/>
              <w:color w:val="auto"/>
              <w:kern w:val="0"/>
              <w:szCs w:val="24"/>
              <w:highlight w:val="none"/>
              <w:lang w:val="en-US" w:eastAsia="en-US" w:bidi="ar-SA"/>
            </w:rPr>
            <w:fldChar w:fldCharType="end"/>
          </w:r>
        </w:p>
      </w:sdtContent>
    </w:sdt>
    <w:p w14:paraId="1AE48337">
      <w:pPr>
        <w:spacing w:line="219" w:lineRule="auto"/>
        <w:rPr>
          <w:rFonts w:ascii="宋体" w:hAnsi="宋体" w:eastAsia="宋体" w:cs="宋体"/>
          <w:snapToGrid w:val="0"/>
          <w:color w:val="auto"/>
          <w:kern w:val="0"/>
          <w:sz w:val="21"/>
          <w:szCs w:val="24"/>
          <w:highlight w:val="none"/>
          <w:lang w:val="en-US" w:eastAsia="en-US" w:bidi="ar-SA"/>
        </w:rPr>
        <w:sectPr>
          <w:pgSz w:w="11906" w:h="16839"/>
          <w:pgMar w:top="1431" w:right="1550" w:bottom="400" w:left="1559" w:header="0" w:footer="0" w:gutter="0"/>
          <w:cols w:space="720" w:num="1"/>
        </w:sectPr>
      </w:pPr>
    </w:p>
    <w:p w14:paraId="306ED9EB">
      <w:pPr>
        <w:rPr>
          <w:rFonts w:ascii="Arial"/>
          <w:color w:val="auto"/>
          <w:sz w:val="21"/>
          <w:highlight w:val="none"/>
        </w:rPr>
      </w:pPr>
    </w:p>
    <w:p w14:paraId="103C12DA">
      <w:pPr>
        <w:rPr>
          <w:rFonts w:ascii="Arial"/>
          <w:color w:val="auto"/>
          <w:sz w:val="21"/>
          <w:highlight w:val="none"/>
        </w:rPr>
      </w:pPr>
    </w:p>
    <w:p w14:paraId="57AF8A05">
      <w:pPr>
        <w:rPr>
          <w:rFonts w:ascii="Arial"/>
          <w:color w:val="auto"/>
          <w:sz w:val="21"/>
          <w:highlight w:val="none"/>
        </w:rPr>
      </w:pPr>
    </w:p>
    <w:p w14:paraId="2B204B54">
      <w:pPr>
        <w:rPr>
          <w:rFonts w:ascii="Arial"/>
          <w:color w:val="auto"/>
          <w:sz w:val="21"/>
          <w:highlight w:val="none"/>
        </w:rPr>
      </w:pPr>
    </w:p>
    <w:p w14:paraId="6817116A">
      <w:pPr>
        <w:rPr>
          <w:rFonts w:ascii="Arial"/>
          <w:color w:val="auto"/>
          <w:sz w:val="21"/>
          <w:highlight w:val="none"/>
        </w:rPr>
      </w:pPr>
    </w:p>
    <w:p w14:paraId="06254705">
      <w:pPr>
        <w:rPr>
          <w:rFonts w:ascii="Arial"/>
          <w:color w:val="auto"/>
          <w:sz w:val="21"/>
          <w:highlight w:val="none"/>
        </w:rPr>
      </w:pPr>
    </w:p>
    <w:p w14:paraId="561471EF">
      <w:pPr>
        <w:rPr>
          <w:rFonts w:ascii="Arial"/>
          <w:color w:val="auto"/>
          <w:sz w:val="21"/>
          <w:highlight w:val="none"/>
        </w:rPr>
      </w:pPr>
    </w:p>
    <w:p w14:paraId="32FA7A87">
      <w:pPr>
        <w:rPr>
          <w:rFonts w:ascii="Arial"/>
          <w:color w:val="auto"/>
          <w:sz w:val="21"/>
          <w:highlight w:val="none"/>
        </w:rPr>
      </w:pPr>
    </w:p>
    <w:p w14:paraId="5A1FD133">
      <w:pPr>
        <w:rPr>
          <w:rFonts w:ascii="Arial"/>
          <w:color w:val="auto"/>
          <w:sz w:val="21"/>
          <w:highlight w:val="none"/>
        </w:rPr>
      </w:pPr>
    </w:p>
    <w:p w14:paraId="1B224F90">
      <w:pPr>
        <w:rPr>
          <w:rFonts w:ascii="Arial"/>
          <w:color w:val="auto"/>
          <w:sz w:val="21"/>
          <w:highlight w:val="none"/>
        </w:rPr>
      </w:pPr>
    </w:p>
    <w:p w14:paraId="0C53C397">
      <w:pPr>
        <w:rPr>
          <w:rFonts w:ascii="Arial"/>
          <w:color w:val="auto"/>
          <w:sz w:val="21"/>
          <w:highlight w:val="none"/>
        </w:rPr>
      </w:pPr>
    </w:p>
    <w:p w14:paraId="7911E778">
      <w:pPr>
        <w:rPr>
          <w:rFonts w:ascii="Arial"/>
          <w:color w:val="auto"/>
          <w:sz w:val="21"/>
          <w:highlight w:val="none"/>
        </w:rPr>
      </w:pPr>
    </w:p>
    <w:p w14:paraId="19DD588E">
      <w:pPr>
        <w:spacing w:line="241" w:lineRule="auto"/>
        <w:rPr>
          <w:rFonts w:ascii="Arial"/>
          <w:color w:val="auto"/>
          <w:sz w:val="21"/>
          <w:highlight w:val="none"/>
        </w:rPr>
      </w:pPr>
    </w:p>
    <w:p w14:paraId="64F24347">
      <w:pPr>
        <w:spacing w:line="241" w:lineRule="auto"/>
        <w:rPr>
          <w:rFonts w:ascii="Arial"/>
          <w:color w:val="auto"/>
          <w:sz w:val="21"/>
          <w:highlight w:val="none"/>
        </w:rPr>
      </w:pPr>
    </w:p>
    <w:p w14:paraId="498ADC73">
      <w:pPr>
        <w:pStyle w:val="5"/>
        <w:spacing w:before="231" w:line="224" w:lineRule="auto"/>
        <w:ind w:left="3114"/>
        <w:outlineLvl w:val="1"/>
        <w:rPr>
          <w:color w:val="auto"/>
          <w:sz w:val="71"/>
          <w:szCs w:val="71"/>
          <w:highlight w:val="none"/>
        </w:rPr>
      </w:pPr>
      <w:bookmarkStart w:id="7" w:name="_Toc13917"/>
      <w:r>
        <w:rPr>
          <w:color w:val="auto"/>
          <w:sz w:val="71"/>
          <w:szCs w:val="71"/>
          <w:highlight w:val="none"/>
        </w:rPr>
        <w:t>第一卷</w:t>
      </w:r>
      <w:bookmarkEnd w:id="7"/>
    </w:p>
    <w:p w14:paraId="35A49B9E">
      <w:pPr>
        <w:spacing w:line="224" w:lineRule="auto"/>
        <w:rPr>
          <w:color w:val="auto"/>
          <w:sz w:val="71"/>
          <w:szCs w:val="71"/>
          <w:highlight w:val="none"/>
        </w:rPr>
        <w:sectPr>
          <w:footerReference r:id="rId6" w:type="default"/>
          <w:pgSz w:w="11906" w:h="16839"/>
          <w:pgMar w:top="1431" w:right="1785" w:bottom="1297" w:left="1785" w:header="0" w:footer="1065" w:gutter="0"/>
          <w:pgNumType w:fmt="decimal" w:start="1"/>
          <w:cols w:space="720" w:num="1"/>
        </w:sectPr>
      </w:pPr>
    </w:p>
    <w:p w14:paraId="73D822A5">
      <w:pPr>
        <w:spacing w:line="241" w:lineRule="auto"/>
        <w:rPr>
          <w:rFonts w:ascii="Arial"/>
          <w:color w:val="auto"/>
          <w:sz w:val="21"/>
          <w:highlight w:val="none"/>
        </w:rPr>
      </w:pPr>
    </w:p>
    <w:p w14:paraId="6AEA5331">
      <w:pPr>
        <w:spacing w:line="241" w:lineRule="auto"/>
        <w:rPr>
          <w:rFonts w:ascii="Arial"/>
          <w:color w:val="auto"/>
          <w:sz w:val="21"/>
          <w:highlight w:val="none"/>
        </w:rPr>
      </w:pPr>
    </w:p>
    <w:p w14:paraId="61348DE5">
      <w:pPr>
        <w:spacing w:line="241" w:lineRule="auto"/>
        <w:rPr>
          <w:rFonts w:ascii="Arial"/>
          <w:color w:val="auto"/>
          <w:sz w:val="21"/>
          <w:highlight w:val="none"/>
        </w:rPr>
      </w:pPr>
    </w:p>
    <w:p w14:paraId="4EEE2ED3">
      <w:pPr>
        <w:spacing w:line="241" w:lineRule="auto"/>
        <w:rPr>
          <w:rFonts w:ascii="Arial"/>
          <w:color w:val="auto"/>
          <w:sz w:val="21"/>
          <w:highlight w:val="none"/>
        </w:rPr>
      </w:pPr>
    </w:p>
    <w:p w14:paraId="5DC930CC">
      <w:pPr>
        <w:spacing w:line="241" w:lineRule="auto"/>
        <w:rPr>
          <w:rFonts w:ascii="Arial"/>
          <w:color w:val="auto"/>
          <w:sz w:val="21"/>
          <w:highlight w:val="none"/>
        </w:rPr>
      </w:pPr>
    </w:p>
    <w:p w14:paraId="7241AF4A">
      <w:pPr>
        <w:spacing w:line="241" w:lineRule="auto"/>
        <w:rPr>
          <w:rFonts w:ascii="Arial"/>
          <w:color w:val="auto"/>
          <w:sz w:val="21"/>
          <w:highlight w:val="none"/>
        </w:rPr>
      </w:pPr>
    </w:p>
    <w:p w14:paraId="6DF665B0">
      <w:pPr>
        <w:spacing w:line="241" w:lineRule="auto"/>
        <w:rPr>
          <w:rFonts w:ascii="Arial"/>
          <w:color w:val="auto"/>
          <w:sz w:val="21"/>
          <w:highlight w:val="none"/>
        </w:rPr>
      </w:pPr>
    </w:p>
    <w:p w14:paraId="2A65949D">
      <w:pPr>
        <w:spacing w:line="241" w:lineRule="auto"/>
        <w:rPr>
          <w:rFonts w:ascii="Arial"/>
          <w:color w:val="auto"/>
          <w:sz w:val="21"/>
          <w:highlight w:val="none"/>
        </w:rPr>
      </w:pPr>
    </w:p>
    <w:p w14:paraId="4001F4BE">
      <w:pPr>
        <w:spacing w:line="241" w:lineRule="auto"/>
        <w:rPr>
          <w:rFonts w:ascii="Arial"/>
          <w:color w:val="auto"/>
          <w:sz w:val="21"/>
          <w:highlight w:val="none"/>
        </w:rPr>
      </w:pPr>
    </w:p>
    <w:p w14:paraId="1E32C3AC">
      <w:pPr>
        <w:spacing w:line="241" w:lineRule="auto"/>
        <w:rPr>
          <w:rFonts w:ascii="Arial"/>
          <w:color w:val="auto"/>
          <w:sz w:val="21"/>
          <w:highlight w:val="none"/>
        </w:rPr>
      </w:pPr>
    </w:p>
    <w:p w14:paraId="789C1DCA">
      <w:pPr>
        <w:spacing w:line="241" w:lineRule="auto"/>
        <w:rPr>
          <w:rFonts w:ascii="Arial"/>
          <w:color w:val="auto"/>
          <w:sz w:val="21"/>
          <w:highlight w:val="none"/>
        </w:rPr>
      </w:pPr>
    </w:p>
    <w:p w14:paraId="03C7D1F4">
      <w:pPr>
        <w:spacing w:line="241" w:lineRule="auto"/>
        <w:rPr>
          <w:rFonts w:ascii="Arial"/>
          <w:color w:val="auto"/>
          <w:sz w:val="21"/>
          <w:highlight w:val="none"/>
        </w:rPr>
      </w:pPr>
    </w:p>
    <w:p w14:paraId="50B07F01">
      <w:pPr>
        <w:spacing w:line="241" w:lineRule="auto"/>
        <w:rPr>
          <w:rFonts w:ascii="Arial"/>
          <w:color w:val="auto"/>
          <w:sz w:val="21"/>
          <w:highlight w:val="none"/>
        </w:rPr>
      </w:pPr>
    </w:p>
    <w:p w14:paraId="1CB912F0">
      <w:pPr>
        <w:spacing w:line="241" w:lineRule="auto"/>
        <w:rPr>
          <w:rFonts w:ascii="Arial"/>
          <w:color w:val="auto"/>
          <w:sz w:val="21"/>
          <w:highlight w:val="none"/>
        </w:rPr>
      </w:pPr>
    </w:p>
    <w:p w14:paraId="1A914B62">
      <w:pPr>
        <w:spacing w:line="241" w:lineRule="auto"/>
        <w:rPr>
          <w:rFonts w:ascii="Arial"/>
          <w:color w:val="auto"/>
          <w:sz w:val="21"/>
          <w:highlight w:val="none"/>
        </w:rPr>
      </w:pPr>
    </w:p>
    <w:p w14:paraId="59040DF7">
      <w:pPr>
        <w:spacing w:line="241" w:lineRule="auto"/>
        <w:rPr>
          <w:rFonts w:ascii="Arial"/>
          <w:color w:val="auto"/>
          <w:sz w:val="21"/>
          <w:highlight w:val="none"/>
        </w:rPr>
      </w:pPr>
    </w:p>
    <w:p w14:paraId="6AE1B213">
      <w:pPr>
        <w:spacing w:line="241" w:lineRule="auto"/>
        <w:rPr>
          <w:rFonts w:ascii="Arial"/>
          <w:color w:val="auto"/>
          <w:sz w:val="21"/>
          <w:highlight w:val="none"/>
        </w:rPr>
      </w:pPr>
    </w:p>
    <w:p w14:paraId="7827CC9A">
      <w:pPr>
        <w:spacing w:line="241" w:lineRule="auto"/>
        <w:rPr>
          <w:rFonts w:ascii="Arial"/>
          <w:color w:val="auto"/>
          <w:sz w:val="21"/>
          <w:highlight w:val="none"/>
        </w:rPr>
      </w:pPr>
    </w:p>
    <w:p w14:paraId="29E3F70F">
      <w:pPr>
        <w:spacing w:line="241" w:lineRule="auto"/>
        <w:rPr>
          <w:rFonts w:ascii="Arial"/>
          <w:color w:val="auto"/>
          <w:sz w:val="21"/>
          <w:highlight w:val="none"/>
        </w:rPr>
      </w:pPr>
    </w:p>
    <w:p w14:paraId="5AEAA6EF">
      <w:pPr>
        <w:spacing w:line="242" w:lineRule="auto"/>
        <w:rPr>
          <w:rFonts w:ascii="Arial"/>
          <w:color w:val="auto"/>
          <w:sz w:val="21"/>
          <w:highlight w:val="none"/>
        </w:rPr>
      </w:pPr>
    </w:p>
    <w:p w14:paraId="44D7B24C">
      <w:pPr>
        <w:spacing w:before="169" w:line="218" w:lineRule="auto"/>
        <w:ind w:left="663"/>
        <w:jc w:val="center"/>
        <w:outlineLvl w:val="0"/>
        <w:rPr>
          <w:rFonts w:ascii="宋体" w:hAnsi="宋体" w:eastAsia="宋体" w:cs="宋体"/>
          <w:color w:val="auto"/>
          <w:sz w:val="52"/>
          <w:szCs w:val="52"/>
          <w:highlight w:val="none"/>
        </w:rPr>
      </w:pPr>
      <w:bookmarkStart w:id="8" w:name="_Toc14475"/>
      <w:r>
        <w:rPr>
          <w:rFonts w:ascii="宋体" w:hAnsi="宋体" w:eastAsia="宋体" w:cs="宋体"/>
          <w:b/>
          <w:bCs/>
          <w:color w:val="auto"/>
          <w:spacing w:val="-5"/>
          <w:sz w:val="52"/>
          <w:szCs w:val="52"/>
          <w:highlight w:val="none"/>
        </w:rPr>
        <w:t>第一章</w:t>
      </w:r>
      <w:r>
        <w:rPr>
          <w:rFonts w:ascii="宋体" w:hAnsi="宋体" w:eastAsia="宋体" w:cs="宋体"/>
          <w:color w:val="auto"/>
          <w:spacing w:val="-5"/>
          <w:sz w:val="52"/>
          <w:szCs w:val="52"/>
          <w:highlight w:val="none"/>
        </w:rPr>
        <w:t xml:space="preserve">  </w:t>
      </w:r>
      <w:r>
        <w:rPr>
          <w:rFonts w:ascii="宋体" w:hAnsi="宋体" w:eastAsia="宋体" w:cs="宋体"/>
          <w:b/>
          <w:bCs/>
          <w:color w:val="auto"/>
          <w:spacing w:val="-5"/>
          <w:sz w:val="52"/>
          <w:szCs w:val="52"/>
          <w:highlight w:val="none"/>
        </w:rPr>
        <w:t>招标公告</w:t>
      </w:r>
      <w:bookmarkEnd w:id="8"/>
    </w:p>
    <w:p w14:paraId="6A9D152A">
      <w:pPr>
        <w:spacing w:line="218" w:lineRule="auto"/>
        <w:rPr>
          <w:rFonts w:ascii="宋体" w:hAnsi="宋体" w:eastAsia="宋体" w:cs="宋体"/>
          <w:color w:val="auto"/>
          <w:sz w:val="52"/>
          <w:szCs w:val="52"/>
          <w:highlight w:val="none"/>
        </w:rPr>
        <w:sectPr>
          <w:footerReference r:id="rId7" w:type="default"/>
          <w:pgSz w:w="11906" w:h="16839"/>
          <w:pgMar w:top="1431" w:right="1785" w:bottom="1297" w:left="1785" w:header="0" w:footer="1065" w:gutter="0"/>
          <w:pgNumType w:fmt="decimal"/>
          <w:cols w:space="720" w:num="1"/>
        </w:sectPr>
      </w:pPr>
    </w:p>
    <w:p w14:paraId="544D25D8">
      <w:pPr>
        <w:spacing w:before="252"/>
        <w:ind w:left="3499"/>
        <w:outlineLvl w:val="0"/>
        <w:rPr>
          <w:rFonts w:ascii="宋体" w:hAnsi="宋体" w:eastAsia="宋体" w:cs="宋体"/>
          <w:color w:val="auto"/>
          <w:sz w:val="16"/>
          <w:szCs w:val="16"/>
          <w:highlight w:val="none"/>
        </w:rPr>
      </w:pPr>
      <w:bookmarkStart w:id="9" w:name="_Toc25154"/>
      <w:bookmarkStart w:id="10" w:name="_Toc14183"/>
      <w:r>
        <w:rPr>
          <w:rFonts w:ascii="宋体" w:hAnsi="宋体" w:eastAsia="宋体" w:cs="宋体"/>
          <w:b/>
          <w:bCs/>
          <w:color w:val="auto"/>
          <w:spacing w:val="5"/>
          <w:sz w:val="31"/>
          <w:szCs w:val="31"/>
          <w:highlight w:val="none"/>
        </w:rPr>
        <w:t>第一章</w:t>
      </w:r>
      <w:r>
        <w:rPr>
          <w:rFonts w:ascii="宋体" w:hAnsi="宋体" w:eastAsia="宋体" w:cs="宋体"/>
          <w:color w:val="auto"/>
          <w:spacing w:val="5"/>
          <w:sz w:val="31"/>
          <w:szCs w:val="31"/>
          <w:highlight w:val="none"/>
        </w:rPr>
        <w:t xml:space="preserve">  </w:t>
      </w:r>
      <w:r>
        <w:rPr>
          <w:rFonts w:ascii="宋体" w:hAnsi="宋体" w:eastAsia="宋体" w:cs="宋体"/>
          <w:b/>
          <w:bCs/>
          <w:color w:val="auto"/>
          <w:spacing w:val="5"/>
          <w:sz w:val="31"/>
          <w:szCs w:val="31"/>
          <w:highlight w:val="none"/>
        </w:rPr>
        <w:t>招标公告</w:t>
      </w:r>
      <w:bookmarkEnd w:id="9"/>
      <w:bookmarkEnd w:id="10"/>
    </w:p>
    <w:p w14:paraId="71E196D4">
      <w:pPr>
        <w:spacing w:line="436" w:lineRule="auto"/>
        <w:rPr>
          <w:rFonts w:ascii="Arial"/>
          <w:color w:val="auto"/>
          <w:sz w:val="21"/>
          <w:highlight w:val="none"/>
        </w:rPr>
      </w:pPr>
    </w:p>
    <w:p w14:paraId="2AD93C00">
      <w:pPr>
        <w:tabs>
          <w:tab w:val="left" w:pos="1976"/>
        </w:tabs>
        <w:spacing w:before="101" w:line="223" w:lineRule="auto"/>
        <w:ind w:left="673"/>
        <w:jc w:val="center"/>
        <w:rPr>
          <w:rFonts w:ascii="宋体" w:hAnsi="宋体" w:eastAsia="宋体" w:cs="宋体"/>
          <w:color w:val="auto"/>
          <w:sz w:val="31"/>
          <w:szCs w:val="31"/>
          <w:highlight w:val="none"/>
        </w:rPr>
      </w:pPr>
      <w:r>
        <w:rPr>
          <w:rFonts w:hint="eastAsia" w:ascii="宋体" w:hAnsi="宋体" w:eastAsia="宋体" w:cs="宋体"/>
          <w:b/>
          <w:bCs/>
          <w:color w:val="auto"/>
          <w:sz w:val="31"/>
          <w:szCs w:val="31"/>
          <w:highlight w:val="none"/>
          <w:u w:val="single" w:color="auto"/>
          <w:lang w:val="en-US" w:eastAsia="zh-CN"/>
        </w:rPr>
        <w:t>省道S247线乐昌金水湾至龙山温泉段改建工程</w:t>
      </w:r>
      <w:r>
        <w:rPr>
          <w:rFonts w:ascii="宋体" w:hAnsi="宋体" w:eastAsia="宋体" w:cs="宋体"/>
          <w:b/>
          <w:bCs/>
          <w:color w:val="auto"/>
          <w:sz w:val="31"/>
          <w:szCs w:val="31"/>
          <w:highlight w:val="none"/>
          <w:u w:val="single" w:color="auto"/>
        </w:rPr>
        <w:t>（项目名称</w:t>
      </w:r>
      <w:r>
        <w:rPr>
          <w:rFonts w:ascii="宋体" w:hAnsi="宋体" w:eastAsia="宋体" w:cs="宋体"/>
          <w:b/>
          <w:bCs/>
          <w:color w:val="auto"/>
          <w:spacing w:val="-18"/>
          <w:sz w:val="31"/>
          <w:szCs w:val="31"/>
          <w:highlight w:val="none"/>
          <w:u w:val="single" w:color="auto"/>
        </w:rPr>
        <w:t>）</w:t>
      </w:r>
      <w:r>
        <w:rPr>
          <w:rFonts w:hint="eastAsia" w:ascii="宋体" w:hAnsi="宋体" w:eastAsia="宋体" w:cs="宋体"/>
          <w:color w:val="auto"/>
          <w:spacing w:val="12"/>
          <w:sz w:val="31"/>
          <w:szCs w:val="31"/>
          <w:highlight w:val="none"/>
          <w:u w:val="single" w:color="auto"/>
          <w:lang w:val="en-US" w:eastAsia="zh-CN"/>
        </w:rPr>
        <w:t>/</w:t>
      </w:r>
      <w:r>
        <w:rPr>
          <w:rFonts w:ascii="宋体" w:hAnsi="宋体" w:eastAsia="宋体" w:cs="宋体"/>
          <w:b/>
          <w:bCs/>
          <w:color w:val="auto"/>
          <w:spacing w:val="-18"/>
          <w:sz w:val="31"/>
          <w:szCs w:val="31"/>
          <w:highlight w:val="none"/>
          <w:u w:val="single" w:color="auto"/>
        </w:rPr>
        <w:t>（</w:t>
      </w:r>
      <w:r>
        <w:rPr>
          <w:rFonts w:ascii="宋体" w:hAnsi="宋体" w:eastAsia="宋体" w:cs="宋体"/>
          <w:b/>
          <w:bCs/>
          <w:color w:val="auto"/>
          <w:sz w:val="31"/>
          <w:szCs w:val="31"/>
          <w:highlight w:val="none"/>
          <w:u w:val="single" w:color="auto"/>
        </w:rPr>
        <w:t>标类或标段）</w:t>
      </w:r>
      <w:r>
        <w:rPr>
          <w:rFonts w:ascii="宋体" w:hAnsi="宋体" w:eastAsia="宋体" w:cs="宋体"/>
          <w:b/>
          <w:bCs/>
          <w:color w:val="auto"/>
          <w:sz w:val="31"/>
          <w:szCs w:val="31"/>
          <w:highlight w:val="none"/>
        </w:rPr>
        <w:t>施工监理招标公告</w:t>
      </w:r>
    </w:p>
    <w:p w14:paraId="5A881069">
      <w:pPr>
        <w:spacing w:line="198" w:lineRule="exact"/>
        <w:rPr>
          <w:color w:val="auto"/>
          <w:highlight w:val="none"/>
        </w:rPr>
      </w:pPr>
    </w:p>
    <w:tbl>
      <w:tblPr>
        <w:tblStyle w:val="17"/>
        <w:tblW w:w="969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03"/>
        <w:gridCol w:w="1979"/>
        <w:gridCol w:w="1663"/>
        <w:gridCol w:w="4151"/>
      </w:tblGrid>
      <w:tr w14:paraId="0B065E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1903" w:type="dxa"/>
            <w:vAlign w:val="center"/>
          </w:tcPr>
          <w:p w14:paraId="08B29CB3">
            <w:pPr>
              <w:pStyle w:val="18"/>
              <w:spacing w:before="112" w:line="228" w:lineRule="auto"/>
              <w:ind w:left="326"/>
              <w:jc w:val="both"/>
              <w:rPr>
                <w:color w:val="auto"/>
                <w:sz w:val="20"/>
                <w:szCs w:val="20"/>
                <w:highlight w:val="none"/>
              </w:rPr>
            </w:pPr>
            <w:r>
              <w:rPr>
                <w:b/>
                <w:bCs/>
                <w:color w:val="auto"/>
                <w:spacing w:val="6"/>
                <w:sz w:val="20"/>
                <w:szCs w:val="20"/>
                <w:highlight w:val="none"/>
              </w:rPr>
              <w:t>投资项目代码</w:t>
            </w:r>
          </w:p>
        </w:tc>
        <w:tc>
          <w:tcPr>
            <w:tcW w:w="7793" w:type="dxa"/>
            <w:gridSpan w:val="3"/>
            <w:vAlign w:val="center"/>
          </w:tcPr>
          <w:p w14:paraId="16EC6C27">
            <w:pPr>
              <w:pStyle w:val="18"/>
              <w:spacing w:before="65" w:line="265" w:lineRule="exact"/>
              <w:ind w:left="1822"/>
              <w:jc w:val="both"/>
              <w:rPr>
                <w:color w:val="auto"/>
                <w:spacing w:val="4"/>
                <w:sz w:val="20"/>
                <w:szCs w:val="20"/>
                <w:highlight w:val="none"/>
              </w:rPr>
            </w:pPr>
            <w:r>
              <w:rPr>
                <w:rFonts w:hint="eastAsia"/>
                <w:color w:val="auto"/>
                <w:spacing w:val="4"/>
                <w:sz w:val="20"/>
                <w:szCs w:val="20"/>
                <w:highlight w:val="none"/>
                <w:lang w:val="en-US" w:eastAsia="zh-CN"/>
              </w:rPr>
              <w:t>2109-440200-04-01-990546</w:t>
            </w:r>
          </w:p>
        </w:tc>
      </w:tr>
      <w:tr w14:paraId="7ECA9D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903" w:type="dxa"/>
            <w:vAlign w:val="center"/>
          </w:tcPr>
          <w:p w14:paraId="51A8B8E6">
            <w:pPr>
              <w:pStyle w:val="18"/>
              <w:spacing w:before="111" w:line="228" w:lineRule="auto"/>
              <w:ind w:left="326"/>
              <w:jc w:val="both"/>
              <w:rPr>
                <w:color w:val="auto"/>
                <w:sz w:val="20"/>
                <w:szCs w:val="20"/>
                <w:highlight w:val="none"/>
              </w:rPr>
            </w:pPr>
            <w:r>
              <w:rPr>
                <w:b/>
                <w:bCs/>
                <w:color w:val="auto"/>
                <w:spacing w:val="6"/>
                <w:sz w:val="20"/>
                <w:szCs w:val="20"/>
                <w:highlight w:val="none"/>
              </w:rPr>
              <w:t>投资项目名称</w:t>
            </w:r>
          </w:p>
        </w:tc>
        <w:tc>
          <w:tcPr>
            <w:tcW w:w="7793" w:type="dxa"/>
            <w:gridSpan w:val="3"/>
            <w:vAlign w:val="center"/>
          </w:tcPr>
          <w:p w14:paraId="5E0DACD1">
            <w:pPr>
              <w:pStyle w:val="18"/>
              <w:spacing w:before="65" w:line="265" w:lineRule="exact"/>
              <w:ind w:left="1822"/>
              <w:jc w:val="both"/>
              <w:rPr>
                <w:color w:val="auto"/>
                <w:spacing w:val="4"/>
                <w:sz w:val="20"/>
                <w:szCs w:val="20"/>
                <w:highlight w:val="none"/>
              </w:rPr>
            </w:pPr>
            <w:r>
              <w:rPr>
                <w:rFonts w:hint="eastAsia"/>
                <w:color w:val="auto"/>
                <w:spacing w:val="4"/>
                <w:sz w:val="20"/>
                <w:szCs w:val="20"/>
                <w:highlight w:val="none"/>
                <w:lang w:val="en-US" w:eastAsia="zh-CN"/>
              </w:rPr>
              <w:t>省道S247线乐昌金水湾至龙山温泉段改建工程</w:t>
            </w:r>
          </w:p>
        </w:tc>
      </w:tr>
      <w:tr w14:paraId="276150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903" w:type="dxa"/>
            <w:vAlign w:val="center"/>
          </w:tcPr>
          <w:p w14:paraId="56C01672">
            <w:pPr>
              <w:pStyle w:val="18"/>
              <w:spacing w:before="110" w:line="228" w:lineRule="auto"/>
              <w:ind w:left="324"/>
              <w:jc w:val="both"/>
              <w:rPr>
                <w:color w:val="auto"/>
                <w:sz w:val="20"/>
                <w:szCs w:val="20"/>
                <w:highlight w:val="none"/>
              </w:rPr>
            </w:pPr>
            <w:r>
              <w:rPr>
                <w:b/>
                <w:bCs/>
                <w:color w:val="auto"/>
                <w:spacing w:val="6"/>
                <w:sz w:val="20"/>
                <w:szCs w:val="20"/>
                <w:highlight w:val="none"/>
              </w:rPr>
              <w:t>招标项目名称</w:t>
            </w:r>
          </w:p>
        </w:tc>
        <w:tc>
          <w:tcPr>
            <w:tcW w:w="7793" w:type="dxa"/>
            <w:gridSpan w:val="3"/>
            <w:vAlign w:val="center"/>
          </w:tcPr>
          <w:p w14:paraId="2E8F991B">
            <w:pPr>
              <w:pStyle w:val="18"/>
              <w:spacing w:before="65" w:line="265" w:lineRule="exact"/>
              <w:ind w:left="1822"/>
              <w:jc w:val="both"/>
              <w:rPr>
                <w:color w:val="auto"/>
                <w:spacing w:val="4"/>
                <w:sz w:val="20"/>
                <w:szCs w:val="20"/>
                <w:highlight w:val="none"/>
              </w:rPr>
            </w:pPr>
            <w:r>
              <w:rPr>
                <w:rFonts w:hint="eastAsia"/>
                <w:color w:val="auto"/>
                <w:spacing w:val="4"/>
                <w:sz w:val="20"/>
                <w:szCs w:val="20"/>
                <w:highlight w:val="none"/>
                <w:lang w:val="en-US" w:eastAsia="zh-CN"/>
              </w:rPr>
              <w:t>省道S247线乐昌金水湾至龙山温泉段改建工程</w:t>
            </w:r>
            <w:r>
              <w:rPr>
                <w:color w:val="auto"/>
                <w:spacing w:val="4"/>
                <w:sz w:val="20"/>
                <w:szCs w:val="20"/>
                <w:highlight w:val="none"/>
                <w:lang w:val="en-US" w:eastAsia="zh-CN"/>
              </w:rPr>
              <w:t>施工监理</w:t>
            </w:r>
          </w:p>
        </w:tc>
      </w:tr>
      <w:tr w14:paraId="2E4D5F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9" w:hRule="atLeast"/>
        </w:trPr>
        <w:tc>
          <w:tcPr>
            <w:tcW w:w="1903" w:type="dxa"/>
            <w:vAlign w:val="center"/>
          </w:tcPr>
          <w:p w14:paraId="51E77A7A">
            <w:pPr>
              <w:pStyle w:val="18"/>
              <w:spacing w:before="65" w:line="228" w:lineRule="auto"/>
              <w:ind w:left="219"/>
              <w:jc w:val="both"/>
              <w:rPr>
                <w:color w:val="auto"/>
                <w:sz w:val="20"/>
                <w:szCs w:val="20"/>
                <w:highlight w:val="none"/>
              </w:rPr>
            </w:pPr>
            <w:r>
              <w:rPr>
                <w:b/>
                <w:bCs/>
                <w:color w:val="auto"/>
                <w:spacing w:val="7"/>
                <w:sz w:val="20"/>
                <w:szCs w:val="20"/>
                <w:highlight w:val="none"/>
              </w:rPr>
              <w:t>标段（包）名称</w:t>
            </w:r>
          </w:p>
        </w:tc>
        <w:tc>
          <w:tcPr>
            <w:tcW w:w="1979" w:type="dxa"/>
            <w:vAlign w:val="center"/>
          </w:tcPr>
          <w:p w14:paraId="097155E2">
            <w:pPr>
              <w:pStyle w:val="18"/>
              <w:spacing w:before="160" w:line="233" w:lineRule="auto"/>
              <w:jc w:val="both"/>
              <w:rPr>
                <w:color w:val="auto"/>
                <w:sz w:val="20"/>
                <w:szCs w:val="20"/>
                <w:highlight w:val="none"/>
              </w:rPr>
            </w:pPr>
            <w:r>
              <w:rPr>
                <w:rFonts w:hint="eastAsia"/>
                <w:color w:val="auto"/>
                <w:spacing w:val="4"/>
                <w:sz w:val="20"/>
                <w:szCs w:val="20"/>
                <w:highlight w:val="none"/>
                <w:lang w:val="en-US" w:eastAsia="zh-CN"/>
              </w:rPr>
              <w:t>省道S247线乐昌金水湾至龙山温泉段改建工程</w:t>
            </w:r>
            <w:r>
              <w:rPr>
                <w:color w:val="auto"/>
                <w:spacing w:val="4"/>
                <w:sz w:val="20"/>
                <w:szCs w:val="20"/>
                <w:highlight w:val="none"/>
                <w:lang w:val="en-US" w:eastAsia="zh-CN"/>
              </w:rPr>
              <w:t>施工监理</w:t>
            </w:r>
          </w:p>
        </w:tc>
        <w:tc>
          <w:tcPr>
            <w:tcW w:w="1663" w:type="dxa"/>
            <w:vAlign w:val="center"/>
          </w:tcPr>
          <w:p w14:paraId="4A00CD4E">
            <w:pPr>
              <w:pStyle w:val="18"/>
              <w:spacing w:before="65" w:line="226" w:lineRule="auto"/>
              <w:ind w:left="420"/>
              <w:jc w:val="both"/>
              <w:rPr>
                <w:color w:val="auto"/>
                <w:sz w:val="20"/>
                <w:szCs w:val="20"/>
                <w:highlight w:val="none"/>
              </w:rPr>
            </w:pPr>
            <w:r>
              <w:rPr>
                <w:b/>
                <w:bCs/>
                <w:color w:val="auto"/>
                <w:spacing w:val="4"/>
                <w:sz w:val="20"/>
                <w:szCs w:val="20"/>
                <w:highlight w:val="none"/>
              </w:rPr>
              <w:t>公告性质</w:t>
            </w:r>
          </w:p>
        </w:tc>
        <w:tc>
          <w:tcPr>
            <w:tcW w:w="4151" w:type="dxa"/>
            <w:vAlign w:val="center"/>
          </w:tcPr>
          <w:p w14:paraId="2CED28E6">
            <w:pPr>
              <w:pStyle w:val="18"/>
              <w:spacing w:before="65" w:line="265" w:lineRule="exact"/>
              <w:ind w:left="1822"/>
              <w:jc w:val="both"/>
              <w:rPr>
                <w:color w:val="auto"/>
                <w:sz w:val="20"/>
                <w:szCs w:val="20"/>
                <w:highlight w:val="none"/>
              </w:rPr>
            </w:pPr>
            <w:r>
              <w:rPr>
                <w:color w:val="auto"/>
                <w:spacing w:val="4"/>
                <w:sz w:val="20"/>
                <w:szCs w:val="20"/>
                <w:highlight w:val="none"/>
              </w:rPr>
              <w:t>正常</w:t>
            </w:r>
          </w:p>
        </w:tc>
      </w:tr>
      <w:tr w14:paraId="4991C6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903" w:type="dxa"/>
            <w:vAlign w:val="center"/>
          </w:tcPr>
          <w:p w14:paraId="0E218312">
            <w:pPr>
              <w:pStyle w:val="18"/>
              <w:spacing w:before="112" w:line="228" w:lineRule="auto"/>
              <w:ind w:left="333"/>
              <w:jc w:val="both"/>
              <w:rPr>
                <w:color w:val="auto"/>
                <w:sz w:val="20"/>
                <w:szCs w:val="20"/>
                <w:highlight w:val="none"/>
              </w:rPr>
            </w:pPr>
            <w:r>
              <w:rPr>
                <w:b/>
                <w:bCs/>
                <w:color w:val="auto"/>
                <w:spacing w:val="5"/>
                <w:sz w:val="20"/>
                <w:szCs w:val="20"/>
                <w:highlight w:val="none"/>
              </w:rPr>
              <w:t>资格审查方式</w:t>
            </w:r>
          </w:p>
        </w:tc>
        <w:tc>
          <w:tcPr>
            <w:tcW w:w="7793" w:type="dxa"/>
            <w:gridSpan w:val="3"/>
            <w:vAlign w:val="center"/>
          </w:tcPr>
          <w:p w14:paraId="79907B16">
            <w:pPr>
              <w:pStyle w:val="18"/>
              <w:spacing w:before="112" w:line="228" w:lineRule="auto"/>
              <w:ind w:left="3489"/>
              <w:jc w:val="both"/>
              <w:rPr>
                <w:color w:val="auto"/>
                <w:sz w:val="20"/>
                <w:szCs w:val="20"/>
                <w:highlight w:val="none"/>
              </w:rPr>
            </w:pPr>
            <w:r>
              <w:rPr>
                <w:color w:val="auto"/>
                <w:spacing w:val="5"/>
                <w:sz w:val="20"/>
                <w:szCs w:val="20"/>
                <w:highlight w:val="none"/>
              </w:rPr>
              <w:t>资格后审</w:t>
            </w:r>
          </w:p>
        </w:tc>
      </w:tr>
      <w:tr w14:paraId="19C53B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1903" w:type="dxa"/>
            <w:vAlign w:val="center"/>
          </w:tcPr>
          <w:p w14:paraId="5C153BF9">
            <w:pPr>
              <w:pStyle w:val="18"/>
              <w:spacing w:before="33" w:line="359" w:lineRule="auto"/>
              <w:ind w:left="333" w:right="319" w:hanging="9"/>
              <w:jc w:val="both"/>
              <w:rPr>
                <w:color w:val="auto"/>
                <w:sz w:val="20"/>
                <w:szCs w:val="20"/>
                <w:highlight w:val="none"/>
              </w:rPr>
            </w:pPr>
            <w:r>
              <w:rPr>
                <w:b/>
                <w:bCs/>
                <w:color w:val="auto"/>
                <w:spacing w:val="6"/>
                <w:sz w:val="20"/>
                <w:szCs w:val="20"/>
                <w:highlight w:val="none"/>
              </w:rPr>
              <w:t>招标项目实施</w:t>
            </w:r>
            <w:r>
              <w:rPr>
                <w:b/>
                <w:bCs/>
                <w:color w:val="auto"/>
                <w:spacing w:val="5"/>
                <w:sz w:val="20"/>
                <w:szCs w:val="20"/>
                <w:highlight w:val="none"/>
              </w:rPr>
              <w:t>（交货）地点</w:t>
            </w:r>
          </w:p>
        </w:tc>
        <w:tc>
          <w:tcPr>
            <w:tcW w:w="7793" w:type="dxa"/>
            <w:gridSpan w:val="3"/>
            <w:vAlign w:val="center"/>
          </w:tcPr>
          <w:p w14:paraId="543ADFB3">
            <w:pPr>
              <w:jc w:val="both"/>
              <w:rPr>
                <w:rFonts w:ascii="Arial"/>
                <w:color w:val="auto"/>
                <w:sz w:val="20"/>
                <w:szCs w:val="20"/>
                <w:highlight w:val="none"/>
              </w:rPr>
            </w:pPr>
            <w:r>
              <w:rPr>
                <w:rFonts w:ascii="Arial"/>
                <w:color w:val="auto"/>
                <w:sz w:val="20"/>
                <w:szCs w:val="20"/>
                <w:highlight w:val="none"/>
                <w:lang w:val="en-US" w:eastAsia="zh-CN"/>
              </w:rPr>
              <w:t>项目建设地点</w:t>
            </w:r>
            <w:r>
              <w:rPr>
                <w:rFonts w:hint="eastAsia" w:ascii="Arial"/>
                <w:color w:val="auto"/>
                <w:sz w:val="20"/>
                <w:szCs w:val="20"/>
                <w:highlight w:val="none"/>
                <w:lang w:val="en-US" w:eastAsia="zh-CN"/>
              </w:rPr>
              <w:t>位于广东省乐昌市</w:t>
            </w:r>
          </w:p>
        </w:tc>
      </w:tr>
      <w:tr w14:paraId="7AE53B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903" w:type="dxa"/>
            <w:vAlign w:val="center"/>
          </w:tcPr>
          <w:p w14:paraId="3B99C174">
            <w:pPr>
              <w:pStyle w:val="18"/>
              <w:spacing w:before="113" w:line="228" w:lineRule="auto"/>
              <w:ind w:left="544"/>
              <w:jc w:val="both"/>
              <w:rPr>
                <w:color w:val="auto"/>
                <w:sz w:val="20"/>
                <w:szCs w:val="20"/>
                <w:highlight w:val="none"/>
              </w:rPr>
            </w:pPr>
            <w:r>
              <w:rPr>
                <w:b/>
                <w:bCs/>
                <w:color w:val="auto"/>
                <w:spacing w:val="4"/>
                <w:sz w:val="20"/>
                <w:szCs w:val="20"/>
                <w:highlight w:val="none"/>
              </w:rPr>
              <w:t>资金来源</w:t>
            </w:r>
          </w:p>
        </w:tc>
        <w:tc>
          <w:tcPr>
            <w:tcW w:w="1979" w:type="dxa"/>
            <w:vAlign w:val="center"/>
          </w:tcPr>
          <w:p w14:paraId="119C5319">
            <w:pPr>
              <w:jc w:val="center"/>
              <w:rPr>
                <w:rFonts w:ascii="Arial"/>
                <w:color w:val="auto"/>
                <w:sz w:val="20"/>
                <w:szCs w:val="20"/>
                <w:highlight w:val="none"/>
              </w:rPr>
            </w:pPr>
            <w:r>
              <w:rPr>
                <w:rFonts w:hint="eastAsia"/>
                <w:color w:val="auto"/>
                <w:sz w:val="20"/>
                <w:szCs w:val="20"/>
                <w:highlight w:val="none"/>
                <w:lang w:val="en-US" w:eastAsia="zh-CN"/>
              </w:rPr>
              <w:t>财政性资金</w:t>
            </w:r>
          </w:p>
        </w:tc>
        <w:tc>
          <w:tcPr>
            <w:tcW w:w="1663" w:type="dxa"/>
            <w:vAlign w:val="center"/>
          </w:tcPr>
          <w:p w14:paraId="5203A326">
            <w:pPr>
              <w:pStyle w:val="18"/>
              <w:spacing w:before="113" w:line="228" w:lineRule="auto"/>
              <w:ind w:left="211"/>
              <w:jc w:val="both"/>
              <w:rPr>
                <w:color w:val="auto"/>
                <w:sz w:val="20"/>
                <w:szCs w:val="20"/>
                <w:highlight w:val="none"/>
              </w:rPr>
            </w:pPr>
            <w:r>
              <w:rPr>
                <w:b/>
                <w:bCs/>
                <w:color w:val="auto"/>
                <w:spacing w:val="5"/>
                <w:sz w:val="20"/>
                <w:szCs w:val="20"/>
                <w:highlight w:val="none"/>
              </w:rPr>
              <w:t>资金来源构成</w:t>
            </w:r>
          </w:p>
        </w:tc>
        <w:tc>
          <w:tcPr>
            <w:tcW w:w="4151" w:type="dxa"/>
            <w:vAlign w:val="center"/>
          </w:tcPr>
          <w:p w14:paraId="4336E044">
            <w:pPr>
              <w:jc w:val="center"/>
              <w:rPr>
                <w:rFonts w:hint="default" w:ascii="Arial" w:eastAsia="宋体"/>
                <w:color w:val="auto"/>
                <w:sz w:val="20"/>
                <w:szCs w:val="20"/>
                <w:highlight w:val="none"/>
                <w:lang w:val="en-US" w:eastAsia="zh-CN"/>
              </w:rPr>
            </w:pPr>
            <w:r>
              <w:rPr>
                <w:rFonts w:hint="eastAsia" w:eastAsia="宋体"/>
                <w:color w:val="auto"/>
                <w:sz w:val="20"/>
                <w:szCs w:val="20"/>
                <w:highlight w:val="none"/>
                <w:lang w:val="en-US" w:eastAsia="zh-CN"/>
              </w:rPr>
              <w:t>100%</w:t>
            </w:r>
          </w:p>
        </w:tc>
      </w:tr>
      <w:tr w14:paraId="35153C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903" w:type="dxa"/>
            <w:vAlign w:val="top"/>
          </w:tcPr>
          <w:p w14:paraId="3D61DA13">
            <w:pPr>
              <w:pStyle w:val="18"/>
              <w:spacing w:before="112" w:line="228" w:lineRule="auto"/>
              <w:ind w:left="219"/>
              <w:rPr>
                <w:color w:val="auto"/>
                <w:highlight w:val="none"/>
              </w:rPr>
            </w:pPr>
            <w:r>
              <w:rPr>
                <w:b/>
                <w:bCs/>
                <w:color w:val="auto"/>
                <w:spacing w:val="7"/>
                <w:highlight w:val="none"/>
              </w:rPr>
              <w:t>招标范围及规模</w:t>
            </w:r>
          </w:p>
        </w:tc>
        <w:tc>
          <w:tcPr>
            <w:tcW w:w="7793" w:type="dxa"/>
            <w:gridSpan w:val="3"/>
            <w:vAlign w:val="center"/>
          </w:tcPr>
          <w:p w14:paraId="13C7D129">
            <w:pPr>
              <w:pStyle w:val="18"/>
              <w:tabs>
                <w:tab w:val="left" w:pos="7562"/>
              </w:tabs>
              <w:spacing w:before="33" w:line="360" w:lineRule="auto"/>
              <w:ind w:left="117" w:right="224"/>
              <w:jc w:val="both"/>
              <w:rPr>
                <w:rFonts w:hint="default" w:ascii="宋体" w:hAnsi="宋体" w:eastAsia="宋体" w:cs="宋体"/>
                <w:color w:val="auto"/>
                <w:spacing w:val="9"/>
                <w:highlight w:val="none"/>
                <w:lang w:val="en-US"/>
              </w:rPr>
            </w:pPr>
            <w:r>
              <w:rPr>
                <w:rFonts w:hint="eastAsia" w:ascii="宋体" w:hAnsi="宋体" w:eastAsia="宋体" w:cs="宋体"/>
                <w:color w:val="auto"/>
                <w:spacing w:val="9"/>
                <w:highlight w:val="none"/>
              </w:rPr>
              <w:t>1.建设地点：</w:t>
            </w:r>
            <w:r>
              <w:rPr>
                <w:rFonts w:hint="eastAsia" w:ascii="宋体" w:hAnsi="宋体" w:eastAsia="宋体" w:cs="宋体"/>
                <w:color w:val="auto"/>
                <w:spacing w:val="9"/>
                <w:highlight w:val="none"/>
                <w:lang w:val="en-US" w:eastAsia="zh-CN"/>
              </w:rPr>
              <w:t>本项目位于乐昌市，路线呈北南走向</w:t>
            </w:r>
            <w:r>
              <w:rPr>
                <w:rFonts w:hint="eastAsia" w:cs="宋体"/>
                <w:color w:val="auto"/>
                <w:spacing w:val="9"/>
                <w:highlight w:val="none"/>
                <w:lang w:val="en-US" w:eastAsia="zh-CN"/>
              </w:rPr>
              <w:t>，</w:t>
            </w:r>
            <w:r>
              <w:rPr>
                <w:rFonts w:hint="eastAsia" w:ascii="宋体" w:hAnsi="宋体" w:eastAsia="宋体" w:cs="宋体"/>
                <w:color w:val="auto"/>
                <w:spacing w:val="9"/>
                <w:highlight w:val="none"/>
                <w:lang w:val="en-US" w:eastAsia="zh-CN"/>
              </w:rPr>
              <w:t>起于湖南省与乐昌市交界金水湾附近，起点桩号为K0+000，途经金水湾后沿现状道路S247往南布线，经石下、山溪、五山镇、龙山水库、龙山林场，终点止于龙山温泉附近</w:t>
            </w:r>
            <w:r>
              <w:rPr>
                <w:rFonts w:hint="eastAsia" w:cs="宋体"/>
                <w:color w:val="auto"/>
                <w:spacing w:val="9"/>
                <w:highlight w:val="none"/>
                <w:lang w:val="en-US" w:eastAsia="zh-CN"/>
              </w:rPr>
              <w:t>，</w:t>
            </w:r>
            <w:r>
              <w:rPr>
                <w:rFonts w:hint="eastAsia" w:ascii="宋体" w:hAnsi="宋体" w:eastAsia="宋体" w:cs="宋体"/>
                <w:color w:val="auto"/>
                <w:spacing w:val="9"/>
                <w:highlight w:val="none"/>
                <w:lang w:val="en-US" w:eastAsia="zh-CN"/>
              </w:rPr>
              <w:t>与现状省道S247线相接，终点桩号K31+626.432，路线全长31.626km。</w:t>
            </w:r>
          </w:p>
          <w:p w14:paraId="12DAB645">
            <w:pPr>
              <w:pStyle w:val="18"/>
              <w:tabs>
                <w:tab w:val="left" w:pos="7562"/>
              </w:tabs>
              <w:spacing w:before="33" w:line="360" w:lineRule="auto"/>
              <w:ind w:left="117" w:right="224"/>
              <w:jc w:val="both"/>
              <w:rPr>
                <w:rFonts w:hint="eastAsia" w:ascii="宋体" w:hAnsi="宋体" w:eastAsia="宋体" w:cs="宋体"/>
                <w:color w:val="auto"/>
                <w:spacing w:val="9"/>
                <w:highlight w:val="none"/>
              </w:rPr>
            </w:pPr>
            <w:r>
              <w:rPr>
                <w:rFonts w:hint="eastAsia" w:ascii="宋体" w:hAnsi="宋体" w:eastAsia="宋体" w:cs="宋体"/>
                <w:color w:val="auto"/>
                <w:spacing w:val="9"/>
                <w:highlight w:val="none"/>
              </w:rPr>
              <w:t>2.建设内容及规模：</w:t>
            </w:r>
          </w:p>
          <w:p w14:paraId="118E2C8C">
            <w:pPr>
              <w:pStyle w:val="18"/>
              <w:tabs>
                <w:tab w:val="left" w:pos="7562"/>
              </w:tabs>
              <w:spacing w:before="33" w:line="360" w:lineRule="auto"/>
              <w:ind w:left="117" w:right="224"/>
              <w:jc w:val="both"/>
              <w:rPr>
                <w:color w:val="auto"/>
                <w:highlight w:val="none"/>
              </w:rPr>
            </w:pPr>
            <w:r>
              <w:rPr>
                <w:rFonts w:hint="eastAsia"/>
                <w:color w:val="auto"/>
                <w:highlight w:val="none"/>
                <w:lang w:val="en-US" w:eastAsia="zh-CN"/>
              </w:rPr>
              <w:t>本项目路线全长31.626km，拟建路段范围内拆除重建桥梁47.94m/2 座，利用旧桥 55.9m/3 座，桥改涵 12.0m/2 座，设涵洞 158 道，平面交叉 107 处，路基土石方开挖约23.7665万立方米，水泥混凝土路面约124.66千平方米。全线双向两车道，总体采用三级公路技术标准，设计速度30Km/h设计(局部路段降低标准按照20Km/h设计）</w:t>
            </w:r>
            <w:r>
              <w:rPr>
                <w:rFonts w:hint="eastAsia"/>
                <w:color w:val="auto"/>
                <w:highlight w:val="none"/>
                <w:lang w:eastAsia="zh-CN"/>
              </w:rPr>
              <w:t>。本次招标</w:t>
            </w:r>
            <w:r>
              <w:rPr>
                <w:rFonts w:hint="eastAsia"/>
                <w:color w:val="auto"/>
                <w:highlight w:val="none"/>
                <w:lang w:val="en-US" w:eastAsia="zh-CN"/>
              </w:rPr>
              <w:t>建安</w:t>
            </w:r>
            <w:r>
              <w:rPr>
                <w:rFonts w:hint="eastAsia"/>
                <w:color w:val="auto"/>
                <w:highlight w:val="none"/>
                <w:lang w:eastAsia="zh-CN"/>
              </w:rPr>
              <w:t>工程造价约</w:t>
            </w:r>
            <w:r>
              <w:rPr>
                <w:rFonts w:hint="eastAsia"/>
                <w:color w:val="auto"/>
                <w:highlight w:val="none"/>
                <w:lang w:val="en-US" w:eastAsia="zh-CN"/>
              </w:rPr>
              <w:t>24450.68</w:t>
            </w:r>
            <w:r>
              <w:rPr>
                <w:rFonts w:hint="eastAsia"/>
                <w:color w:val="auto"/>
                <w:highlight w:val="none"/>
                <w:lang w:eastAsia="zh-CN"/>
              </w:rPr>
              <w:t>万元，</w:t>
            </w:r>
            <w:r>
              <w:rPr>
                <w:rFonts w:hint="eastAsia"/>
                <w:color w:val="auto"/>
                <w:highlight w:val="none"/>
                <w:lang w:val="en-US" w:eastAsia="zh-CN"/>
              </w:rPr>
              <w:t>监理费预估发包价约315.14万元</w:t>
            </w:r>
            <w:r>
              <w:rPr>
                <w:rFonts w:hint="eastAsia"/>
                <w:color w:val="auto"/>
                <w:highlight w:val="none"/>
                <w:lang w:eastAsia="zh-CN"/>
              </w:rPr>
              <w:t>。</w:t>
            </w:r>
          </w:p>
        </w:tc>
      </w:tr>
      <w:tr w14:paraId="399E9F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trPr>
        <w:tc>
          <w:tcPr>
            <w:tcW w:w="1903" w:type="dxa"/>
            <w:vAlign w:val="top"/>
          </w:tcPr>
          <w:p w14:paraId="19044E1D">
            <w:pPr>
              <w:pStyle w:val="18"/>
              <w:spacing w:before="238" w:line="228" w:lineRule="auto"/>
              <w:ind w:left="536"/>
              <w:rPr>
                <w:color w:val="auto"/>
                <w:highlight w:val="none"/>
              </w:rPr>
            </w:pPr>
            <w:r>
              <w:rPr>
                <w:b/>
                <w:bCs/>
                <w:color w:val="auto"/>
                <w:spacing w:val="6"/>
                <w:highlight w:val="none"/>
              </w:rPr>
              <w:t>招标内容</w:t>
            </w:r>
          </w:p>
        </w:tc>
        <w:tc>
          <w:tcPr>
            <w:tcW w:w="7793" w:type="dxa"/>
            <w:gridSpan w:val="3"/>
            <w:vAlign w:val="center"/>
          </w:tcPr>
          <w:p w14:paraId="6A96D0A9">
            <w:pPr>
              <w:pStyle w:val="18"/>
              <w:spacing w:before="35" w:line="227" w:lineRule="auto"/>
              <w:ind w:left="118"/>
              <w:jc w:val="both"/>
              <w:rPr>
                <w:color w:val="auto"/>
                <w:sz w:val="10"/>
                <w:szCs w:val="10"/>
                <w:highlight w:val="none"/>
              </w:rPr>
            </w:pPr>
            <w:r>
              <w:rPr>
                <w:color w:val="auto"/>
                <w:spacing w:val="7"/>
                <w:highlight w:val="none"/>
              </w:rPr>
              <w:t>本次招标共分</w:t>
            </w:r>
            <w:r>
              <w:rPr>
                <w:color w:val="auto"/>
                <w:spacing w:val="-83"/>
                <w:highlight w:val="none"/>
              </w:rPr>
              <w:t xml:space="preserve"> </w:t>
            </w:r>
            <w:r>
              <w:rPr>
                <w:color w:val="auto"/>
                <w:spacing w:val="4"/>
                <w:highlight w:val="none"/>
                <w:u w:val="single" w:color="auto"/>
              </w:rPr>
              <w:t xml:space="preserve">  </w:t>
            </w:r>
            <w:r>
              <w:rPr>
                <w:rFonts w:hint="eastAsia"/>
                <w:color w:val="auto"/>
                <w:spacing w:val="4"/>
                <w:highlight w:val="none"/>
                <w:u w:val="single" w:color="auto"/>
                <w:lang w:val="en-US" w:eastAsia="zh-CN"/>
              </w:rPr>
              <w:t>1</w:t>
            </w:r>
            <w:r>
              <w:rPr>
                <w:color w:val="auto"/>
                <w:spacing w:val="4"/>
                <w:highlight w:val="none"/>
                <w:u w:val="single" w:color="auto"/>
              </w:rPr>
              <w:t xml:space="preserve"> </w:t>
            </w:r>
            <w:r>
              <w:rPr>
                <w:color w:val="auto"/>
                <w:spacing w:val="-90"/>
                <w:highlight w:val="none"/>
              </w:rPr>
              <w:t xml:space="preserve"> </w:t>
            </w:r>
            <w:r>
              <w:rPr>
                <w:color w:val="auto"/>
                <w:spacing w:val="7"/>
                <w:highlight w:val="none"/>
              </w:rPr>
              <w:t>个标类</w:t>
            </w:r>
            <w:r>
              <w:rPr>
                <w:color w:val="auto"/>
                <w:spacing w:val="7"/>
                <w:highlight w:val="none"/>
                <w:u w:val="single" w:color="auto"/>
              </w:rPr>
              <w:t xml:space="preserve"> </w:t>
            </w:r>
            <w:r>
              <w:rPr>
                <w:rFonts w:hint="eastAsia"/>
                <w:color w:val="auto"/>
                <w:spacing w:val="7"/>
                <w:highlight w:val="none"/>
                <w:u w:val="single" w:color="auto"/>
                <w:lang w:val="en-US" w:eastAsia="zh-CN"/>
              </w:rPr>
              <w:t>1</w:t>
            </w:r>
            <w:r>
              <w:rPr>
                <w:color w:val="auto"/>
                <w:spacing w:val="7"/>
                <w:highlight w:val="none"/>
                <w:u w:val="single" w:color="auto"/>
              </w:rPr>
              <w:t xml:space="preserve">  </w:t>
            </w:r>
            <w:r>
              <w:rPr>
                <w:color w:val="auto"/>
                <w:spacing w:val="-92"/>
                <w:highlight w:val="none"/>
              </w:rPr>
              <w:t xml:space="preserve"> </w:t>
            </w:r>
            <w:r>
              <w:rPr>
                <w:color w:val="auto"/>
                <w:spacing w:val="7"/>
                <w:highlight w:val="none"/>
              </w:rPr>
              <w:t>个标段。具体见附件</w:t>
            </w:r>
            <w:r>
              <w:rPr>
                <w:color w:val="auto"/>
                <w:spacing w:val="-23"/>
                <w:highlight w:val="none"/>
              </w:rPr>
              <w:t xml:space="preserve"> </w:t>
            </w:r>
            <w:r>
              <w:rPr>
                <w:color w:val="auto"/>
                <w:spacing w:val="7"/>
                <w:highlight w:val="none"/>
              </w:rPr>
              <w:t>1</w:t>
            </w:r>
            <w:r>
              <w:rPr>
                <w:color w:val="auto"/>
                <w:spacing w:val="-38"/>
                <w:highlight w:val="none"/>
              </w:rPr>
              <w:t xml:space="preserve"> </w:t>
            </w:r>
            <w:r>
              <w:rPr>
                <w:color w:val="auto"/>
                <w:spacing w:val="7"/>
                <w:highlight w:val="none"/>
              </w:rPr>
              <w:t>标段划分及主要工程项目情况。</w:t>
            </w:r>
          </w:p>
        </w:tc>
      </w:tr>
      <w:tr w14:paraId="5A7E82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0" w:hRule="atLeast"/>
        </w:trPr>
        <w:tc>
          <w:tcPr>
            <w:tcW w:w="1903" w:type="dxa"/>
            <w:vAlign w:val="top"/>
          </w:tcPr>
          <w:p w14:paraId="1E1B9ACD">
            <w:pPr>
              <w:spacing w:line="375" w:lineRule="auto"/>
              <w:rPr>
                <w:rFonts w:ascii="Arial"/>
                <w:color w:val="auto"/>
                <w:sz w:val="21"/>
                <w:highlight w:val="none"/>
              </w:rPr>
            </w:pPr>
          </w:p>
          <w:p w14:paraId="2F92F8BE">
            <w:pPr>
              <w:pStyle w:val="18"/>
              <w:spacing w:before="65" w:line="227" w:lineRule="auto"/>
              <w:ind w:left="221"/>
              <w:rPr>
                <w:color w:val="auto"/>
                <w:highlight w:val="none"/>
              </w:rPr>
            </w:pPr>
            <w:r>
              <w:rPr>
                <w:b/>
                <w:bCs/>
                <w:color w:val="auto"/>
                <w:spacing w:val="5"/>
                <w:highlight w:val="none"/>
              </w:rPr>
              <w:t>工期（交货期）</w:t>
            </w:r>
          </w:p>
        </w:tc>
        <w:tc>
          <w:tcPr>
            <w:tcW w:w="7793" w:type="dxa"/>
            <w:gridSpan w:val="3"/>
            <w:vAlign w:val="center"/>
          </w:tcPr>
          <w:p w14:paraId="4C0FB8C9">
            <w:pPr>
              <w:pStyle w:val="18"/>
              <w:tabs>
                <w:tab w:val="left" w:pos="7562"/>
              </w:tabs>
              <w:spacing w:before="33" w:line="365" w:lineRule="auto"/>
              <w:ind w:left="117" w:right="224"/>
              <w:jc w:val="both"/>
              <w:rPr>
                <w:color w:val="auto"/>
                <w:highlight w:val="none"/>
              </w:rPr>
            </w:pPr>
            <w:r>
              <w:rPr>
                <w:color w:val="auto"/>
                <w:spacing w:val="9"/>
                <w:highlight w:val="none"/>
              </w:rPr>
              <w:t>施工监理服务期限为：</w:t>
            </w:r>
            <w:r>
              <w:rPr>
                <w:rFonts w:hint="eastAsia"/>
                <w:color w:val="auto"/>
                <w:spacing w:val="9"/>
                <w:highlight w:val="none"/>
                <w:u w:val="single" w:color="auto"/>
                <w:lang w:val="en-US" w:eastAsia="zh-CN"/>
              </w:rPr>
              <w:t>61</w:t>
            </w:r>
            <w:r>
              <w:rPr>
                <w:color w:val="auto"/>
                <w:spacing w:val="9"/>
                <w:highlight w:val="none"/>
              </w:rPr>
              <w:t>个月，包括施工准</w:t>
            </w:r>
            <w:r>
              <w:rPr>
                <w:color w:val="auto"/>
                <w:spacing w:val="8"/>
                <w:highlight w:val="none"/>
              </w:rPr>
              <w:t>备阶段监理</w:t>
            </w:r>
            <w:r>
              <w:rPr>
                <w:color w:val="auto"/>
                <w:spacing w:val="8"/>
                <w:highlight w:val="none"/>
                <w:u w:val="single" w:color="auto"/>
              </w:rPr>
              <w:t xml:space="preserve"> </w:t>
            </w:r>
            <w:r>
              <w:rPr>
                <w:rFonts w:hint="eastAsia"/>
                <w:color w:val="auto"/>
                <w:spacing w:val="8"/>
                <w:highlight w:val="none"/>
                <w:u w:val="single" w:color="auto"/>
                <w:lang w:val="en-US" w:eastAsia="zh-CN"/>
              </w:rPr>
              <w:t>1</w:t>
            </w:r>
            <w:r>
              <w:rPr>
                <w:color w:val="auto"/>
                <w:spacing w:val="8"/>
                <w:highlight w:val="none"/>
                <w:u w:val="single" w:color="auto"/>
              </w:rPr>
              <w:t xml:space="preserve"> </w:t>
            </w:r>
            <w:r>
              <w:rPr>
                <w:color w:val="auto"/>
                <w:spacing w:val="-91"/>
                <w:highlight w:val="none"/>
              </w:rPr>
              <w:t xml:space="preserve"> </w:t>
            </w:r>
            <w:r>
              <w:rPr>
                <w:color w:val="auto"/>
                <w:spacing w:val="8"/>
                <w:highlight w:val="none"/>
              </w:rPr>
              <w:t>个月，施工阶段监理</w:t>
            </w:r>
            <w:r>
              <w:rPr>
                <w:rFonts w:hint="eastAsia"/>
                <w:color w:val="auto"/>
                <w:spacing w:val="9"/>
                <w:highlight w:val="none"/>
                <w:u w:val="single" w:color="auto"/>
                <w:lang w:val="en-US" w:eastAsia="zh-CN"/>
              </w:rPr>
              <w:t xml:space="preserve">  </w:t>
            </w:r>
            <w:r>
              <w:rPr>
                <w:rFonts w:hint="eastAsia"/>
                <w:color w:val="auto"/>
                <w:highlight w:val="none"/>
                <w:u w:val="single" w:color="auto"/>
                <w:lang w:val="en-US" w:eastAsia="zh-CN"/>
              </w:rPr>
              <w:t xml:space="preserve"> </w:t>
            </w:r>
            <w:r>
              <w:rPr>
                <w:color w:val="auto"/>
                <w:highlight w:val="none"/>
              </w:rPr>
              <w:t xml:space="preserve"> </w:t>
            </w:r>
            <w:r>
              <w:rPr>
                <w:rFonts w:hint="eastAsia"/>
                <w:color w:val="auto"/>
                <w:highlight w:val="none"/>
                <w:u w:val="single"/>
                <w:lang w:val="en-US" w:eastAsia="zh-CN"/>
              </w:rPr>
              <w:t>36</w:t>
            </w:r>
            <w:r>
              <w:rPr>
                <w:color w:val="auto"/>
                <w:spacing w:val="9"/>
                <w:highlight w:val="none"/>
              </w:rPr>
              <w:t>个月，交(竣)工验收及缺陷责任期监理</w:t>
            </w:r>
            <w:r>
              <w:rPr>
                <w:color w:val="auto"/>
                <w:spacing w:val="6"/>
                <w:highlight w:val="none"/>
                <w:u w:val="single" w:color="auto"/>
              </w:rPr>
              <w:t xml:space="preserve"> </w:t>
            </w:r>
            <w:r>
              <w:rPr>
                <w:rFonts w:hint="eastAsia"/>
                <w:color w:val="auto"/>
                <w:spacing w:val="6"/>
                <w:highlight w:val="none"/>
                <w:u w:val="single" w:color="auto"/>
                <w:lang w:val="en-US" w:eastAsia="zh-CN"/>
              </w:rPr>
              <w:t>24</w:t>
            </w:r>
            <w:r>
              <w:rPr>
                <w:color w:val="auto"/>
                <w:spacing w:val="6"/>
                <w:highlight w:val="none"/>
                <w:u w:val="single" w:color="auto"/>
              </w:rPr>
              <w:t xml:space="preserve"> </w:t>
            </w:r>
            <w:r>
              <w:rPr>
                <w:color w:val="auto"/>
                <w:spacing w:val="-91"/>
                <w:highlight w:val="none"/>
              </w:rPr>
              <w:t xml:space="preserve"> </w:t>
            </w:r>
            <w:r>
              <w:rPr>
                <w:color w:val="auto"/>
                <w:spacing w:val="9"/>
                <w:highlight w:val="none"/>
              </w:rPr>
              <w:t>个月，如施工工期进行调整，监理服务</w:t>
            </w:r>
            <w:r>
              <w:rPr>
                <w:color w:val="auto"/>
                <w:spacing w:val="7"/>
                <w:highlight w:val="none"/>
              </w:rPr>
              <w:t>期也相应进行调整。</w:t>
            </w:r>
          </w:p>
        </w:tc>
      </w:tr>
      <w:tr w14:paraId="255E73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903" w:type="dxa"/>
            <w:vAlign w:val="top"/>
          </w:tcPr>
          <w:p w14:paraId="280AA82D">
            <w:pPr>
              <w:pStyle w:val="18"/>
              <w:spacing w:before="115" w:line="226" w:lineRule="auto"/>
              <w:ind w:left="326"/>
              <w:rPr>
                <w:color w:val="auto"/>
                <w:highlight w:val="none"/>
              </w:rPr>
            </w:pPr>
            <w:r>
              <w:rPr>
                <w:b/>
                <w:bCs/>
                <w:color w:val="auto"/>
                <w:spacing w:val="6"/>
                <w:highlight w:val="none"/>
              </w:rPr>
              <w:t>最高投标限价</w:t>
            </w:r>
          </w:p>
        </w:tc>
        <w:tc>
          <w:tcPr>
            <w:tcW w:w="7793" w:type="dxa"/>
            <w:gridSpan w:val="3"/>
            <w:vAlign w:val="center"/>
          </w:tcPr>
          <w:p w14:paraId="3AF718E9">
            <w:pPr>
              <w:pStyle w:val="18"/>
              <w:tabs>
                <w:tab w:val="left" w:pos="7562"/>
              </w:tabs>
              <w:spacing w:before="33" w:line="365" w:lineRule="auto"/>
              <w:ind w:left="117" w:right="224"/>
              <w:jc w:val="both"/>
              <w:rPr>
                <w:color w:val="auto"/>
                <w:highlight w:val="none"/>
              </w:rPr>
            </w:pPr>
            <w:r>
              <w:rPr>
                <w:rFonts w:hint="eastAsia"/>
                <w:color w:val="auto"/>
                <w:spacing w:val="7"/>
                <w:highlight w:val="none"/>
              </w:rPr>
              <w:t>人民币</w:t>
            </w:r>
            <w:r>
              <w:rPr>
                <w:rFonts w:hint="eastAsia"/>
                <w:color w:val="auto"/>
                <w:spacing w:val="7"/>
                <w:highlight w:val="none"/>
                <w:lang w:val="en-US" w:eastAsia="zh-CN"/>
              </w:rPr>
              <w:t>叁佰壹拾伍万壹仟肆佰元整</w:t>
            </w:r>
            <w:r>
              <w:rPr>
                <w:rFonts w:hint="eastAsia"/>
                <w:color w:val="auto"/>
                <w:spacing w:val="7"/>
                <w:highlight w:val="none"/>
              </w:rPr>
              <w:t>（¥</w:t>
            </w:r>
            <w:r>
              <w:rPr>
                <w:rFonts w:hint="eastAsia"/>
                <w:color w:val="auto"/>
                <w:spacing w:val="7"/>
                <w:highlight w:val="none"/>
                <w:lang w:eastAsia="zh-CN"/>
              </w:rPr>
              <w:t>3151400.00</w:t>
            </w:r>
            <w:r>
              <w:rPr>
                <w:rFonts w:hint="eastAsia"/>
                <w:color w:val="auto"/>
                <w:spacing w:val="7"/>
                <w:highlight w:val="none"/>
              </w:rPr>
              <w:t>元）。</w:t>
            </w:r>
          </w:p>
        </w:tc>
      </w:tr>
      <w:tr w14:paraId="0F89F0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4" w:hRule="atLeast"/>
        </w:trPr>
        <w:tc>
          <w:tcPr>
            <w:tcW w:w="1903" w:type="dxa"/>
            <w:vAlign w:val="top"/>
          </w:tcPr>
          <w:p w14:paraId="1BFB953A">
            <w:pPr>
              <w:pStyle w:val="18"/>
              <w:spacing w:before="65" w:line="378" w:lineRule="auto"/>
              <w:ind w:left="748" w:right="213" w:hanging="527"/>
              <w:rPr>
                <w:color w:val="auto"/>
                <w:highlight w:val="none"/>
              </w:rPr>
            </w:pPr>
            <w:r>
              <w:rPr>
                <w:b/>
                <w:bCs/>
                <w:color w:val="auto"/>
                <w:spacing w:val="6"/>
                <w:highlight w:val="none"/>
              </w:rPr>
              <w:t>是否接受联合体</w:t>
            </w:r>
            <w:bookmarkStart w:id="11" w:name="bookmark23"/>
            <w:bookmarkEnd w:id="11"/>
            <w:r>
              <w:rPr>
                <w:b/>
                <w:bCs/>
                <w:color w:val="auto"/>
                <w:spacing w:val="2"/>
                <w:highlight w:val="none"/>
              </w:rPr>
              <w:t>投标</w:t>
            </w:r>
          </w:p>
        </w:tc>
        <w:tc>
          <w:tcPr>
            <w:tcW w:w="7793" w:type="dxa"/>
            <w:gridSpan w:val="3"/>
            <w:vAlign w:val="top"/>
          </w:tcPr>
          <w:p w14:paraId="74504235">
            <w:pPr>
              <w:pStyle w:val="18"/>
              <w:spacing w:before="161" w:line="303" w:lineRule="auto"/>
              <w:ind w:left="113" w:right="120" w:firstLine="461"/>
              <w:rPr>
                <w:color w:val="auto"/>
                <w:highlight w:val="none"/>
              </w:rPr>
            </w:pPr>
            <w:r>
              <w:rPr>
                <w:color w:val="auto"/>
                <w:spacing w:val="8"/>
                <w:highlight w:val="none"/>
              </w:rPr>
              <w:t>本工程</w:t>
            </w:r>
            <w:r>
              <w:rPr>
                <w:color w:val="auto"/>
                <w:spacing w:val="8"/>
                <w:highlight w:val="none"/>
                <w:u w:val="single" w:color="auto"/>
              </w:rPr>
              <w:t xml:space="preserve"> </w:t>
            </w:r>
            <w:r>
              <w:rPr>
                <w:b/>
                <w:bCs/>
                <w:color w:val="auto"/>
                <w:spacing w:val="8"/>
                <w:highlight w:val="none"/>
                <w:u w:val="single" w:color="auto"/>
              </w:rPr>
              <w:t>不接受</w:t>
            </w:r>
            <w:r>
              <w:rPr>
                <w:color w:val="auto"/>
                <w:spacing w:val="8"/>
                <w:position w:val="10"/>
                <w:sz w:val="10"/>
                <w:szCs w:val="10"/>
                <w:highlight w:val="none"/>
                <w:u w:val="single" w:color="auto"/>
              </w:rPr>
              <w:t xml:space="preserve">  </w:t>
            </w:r>
            <w:r>
              <w:rPr>
                <w:color w:val="auto"/>
                <w:spacing w:val="8"/>
                <w:highlight w:val="none"/>
              </w:rPr>
              <w:t>联合体投标。</w:t>
            </w:r>
          </w:p>
        </w:tc>
      </w:tr>
    </w:tbl>
    <w:p w14:paraId="1038D512">
      <w:pPr>
        <w:spacing w:line="330" w:lineRule="auto"/>
        <w:rPr>
          <w:rFonts w:ascii="Arial"/>
          <w:color w:val="auto"/>
          <w:sz w:val="21"/>
          <w:highlight w:val="none"/>
        </w:rPr>
      </w:pPr>
    </w:p>
    <w:tbl>
      <w:tblPr>
        <w:tblStyle w:val="17"/>
        <w:tblW w:w="969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03"/>
        <w:gridCol w:w="1979"/>
        <w:gridCol w:w="1663"/>
        <w:gridCol w:w="1320"/>
        <w:gridCol w:w="2831"/>
      </w:tblGrid>
      <w:tr w14:paraId="5B02E5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94" w:hRule="atLeast"/>
        </w:trPr>
        <w:tc>
          <w:tcPr>
            <w:tcW w:w="1903" w:type="dxa"/>
            <w:vMerge w:val="restart"/>
            <w:tcBorders>
              <w:bottom w:val="nil"/>
            </w:tcBorders>
            <w:vAlign w:val="top"/>
          </w:tcPr>
          <w:p w14:paraId="3EFC8888">
            <w:pPr>
              <w:spacing w:line="339" w:lineRule="auto"/>
              <w:rPr>
                <w:rFonts w:ascii="Arial"/>
                <w:color w:val="auto"/>
                <w:sz w:val="21"/>
                <w:highlight w:val="none"/>
              </w:rPr>
            </w:pPr>
          </w:p>
          <w:p w14:paraId="26A01D87">
            <w:pPr>
              <w:spacing w:line="339" w:lineRule="auto"/>
              <w:rPr>
                <w:rFonts w:ascii="Arial"/>
                <w:color w:val="auto"/>
                <w:sz w:val="21"/>
                <w:highlight w:val="none"/>
              </w:rPr>
            </w:pPr>
          </w:p>
          <w:p w14:paraId="736A7DCD">
            <w:pPr>
              <w:pStyle w:val="18"/>
              <w:spacing w:before="65" w:line="228" w:lineRule="auto"/>
              <w:ind w:left="221"/>
              <w:rPr>
                <w:color w:val="auto"/>
                <w:highlight w:val="none"/>
              </w:rPr>
            </w:pPr>
            <w:r>
              <w:rPr>
                <w:b/>
                <w:bCs/>
                <w:color w:val="auto"/>
                <w:spacing w:val="6"/>
                <w:highlight w:val="none"/>
              </w:rPr>
              <w:t>投标资格能力要</w:t>
            </w:r>
          </w:p>
          <w:p w14:paraId="0F77C41D">
            <w:pPr>
              <w:pStyle w:val="18"/>
              <w:spacing w:before="161" w:line="228" w:lineRule="auto"/>
              <w:ind w:left="220"/>
              <w:rPr>
                <w:color w:val="auto"/>
                <w:highlight w:val="none"/>
              </w:rPr>
            </w:pPr>
            <w:r>
              <w:rPr>
                <w:b/>
                <w:bCs/>
                <w:color w:val="auto"/>
                <w:spacing w:val="7"/>
                <w:highlight w:val="none"/>
              </w:rPr>
              <w:t>求（包括但不限</w:t>
            </w:r>
          </w:p>
          <w:p w14:paraId="1C2CCD56">
            <w:pPr>
              <w:pStyle w:val="18"/>
              <w:spacing w:before="161" w:line="228" w:lineRule="auto"/>
              <w:ind w:left="221"/>
              <w:rPr>
                <w:color w:val="auto"/>
                <w:highlight w:val="none"/>
              </w:rPr>
            </w:pPr>
            <w:r>
              <w:rPr>
                <w:b/>
                <w:bCs/>
                <w:color w:val="auto"/>
                <w:spacing w:val="6"/>
                <w:highlight w:val="none"/>
              </w:rPr>
              <w:t>于资质人员、业</w:t>
            </w:r>
          </w:p>
          <w:p w14:paraId="69201A9F">
            <w:pPr>
              <w:pStyle w:val="18"/>
              <w:spacing w:before="160" w:line="228" w:lineRule="auto"/>
              <w:ind w:left="433"/>
              <w:rPr>
                <w:color w:val="auto"/>
                <w:highlight w:val="none"/>
              </w:rPr>
            </w:pPr>
            <w:r>
              <w:rPr>
                <w:b/>
                <w:bCs/>
                <w:color w:val="auto"/>
                <w:spacing w:val="4"/>
                <w:highlight w:val="none"/>
              </w:rPr>
              <w:t>绩等要求）</w:t>
            </w:r>
          </w:p>
        </w:tc>
        <w:tc>
          <w:tcPr>
            <w:tcW w:w="1979" w:type="dxa"/>
            <w:vAlign w:val="top"/>
          </w:tcPr>
          <w:p w14:paraId="255B9598">
            <w:pPr>
              <w:spacing w:line="250" w:lineRule="auto"/>
              <w:rPr>
                <w:rFonts w:ascii="Arial"/>
                <w:color w:val="auto"/>
                <w:sz w:val="21"/>
                <w:highlight w:val="none"/>
              </w:rPr>
            </w:pPr>
          </w:p>
          <w:p w14:paraId="02ED0E8C">
            <w:pPr>
              <w:spacing w:line="250" w:lineRule="auto"/>
              <w:rPr>
                <w:rFonts w:ascii="Arial"/>
                <w:color w:val="auto"/>
                <w:sz w:val="21"/>
                <w:highlight w:val="none"/>
              </w:rPr>
            </w:pPr>
          </w:p>
          <w:p w14:paraId="31535F93">
            <w:pPr>
              <w:spacing w:line="250" w:lineRule="auto"/>
              <w:rPr>
                <w:rFonts w:ascii="Arial"/>
                <w:color w:val="auto"/>
                <w:sz w:val="21"/>
                <w:highlight w:val="none"/>
              </w:rPr>
            </w:pPr>
          </w:p>
          <w:p w14:paraId="529AD709">
            <w:pPr>
              <w:spacing w:line="250" w:lineRule="auto"/>
              <w:rPr>
                <w:rFonts w:ascii="Arial"/>
                <w:color w:val="auto"/>
                <w:sz w:val="21"/>
                <w:highlight w:val="none"/>
              </w:rPr>
            </w:pPr>
          </w:p>
          <w:p w14:paraId="075B7277">
            <w:pPr>
              <w:pStyle w:val="18"/>
              <w:spacing w:before="65" w:line="228" w:lineRule="auto"/>
              <w:ind w:left="262"/>
              <w:rPr>
                <w:color w:val="auto"/>
                <w:highlight w:val="none"/>
              </w:rPr>
            </w:pPr>
            <w:r>
              <w:rPr>
                <w:color w:val="auto"/>
                <w:spacing w:val="8"/>
                <w:highlight w:val="none"/>
              </w:rPr>
              <w:t>投标人资格要求</w:t>
            </w:r>
          </w:p>
        </w:tc>
        <w:tc>
          <w:tcPr>
            <w:tcW w:w="5814" w:type="dxa"/>
            <w:gridSpan w:val="3"/>
            <w:vAlign w:val="top"/>
          </w:tcPr>
          <w:p w14:paraId="1B27E596">
            <w:pPr>
              <w:pStyle w:val="18"/>
              <w:spacing w:before="28" w:line="378" w:lineRule="auto"/>
              <w:ind w:left="117" w:right="199" w:firstLine="4"/>
              <w:jc w:val="both"/>
              <w:rPr>
                <w:color w:val="auto"/>
                <w:highlight w:val="none"/>
              </w:rPr>
            </w:pPr>
            <w:r>
              <w:rPr>
                <w:color w:val="auto"/>
                <w:spacing w:val="24"/>
                <w:highlight w:val="none"/>
              </w:rPr>
              <w:t>投标人应具有以下资</w:t>
            </w:r>
            <w:r>
              <w:rPr>
                <w:rFonts w:ascii="宋体" w:hAnsi="宋体" w:eastAsia="宋体" w:cs="宋体"/>
                <w:color w:val="auto"/>
                <w:spacing w:val="24"/>
                <w:highlight w:val="none"/>
              </w:rPr>
              <w:t>质： 详见招</w:t>
            </w:r>
            <w:r>
              <w:rPr>
                <w:color w:val="auto"/>
                <w:spacing w:val="24"/>
                <w:highlight w:val="none"/>
              </w:rPr>
              <w:t>标公告附件</w:t>
            </w:r>
            <w:r>
              <w:rPr>
                <w:color w:val="auto"/>
                <w:spacing w:val="-54"/>
                <w:highlight w:val="none"/>
              </w:rPr>
              <w:t xml:space="preserve"> </w:t>
            </w:r>
            <w:r>
              <w:rPr>
                <w:color w:val="auto"/>
                <w:spacing w:val="24"/>
                <w:highlight w:val="none"/>
              </w:rPr>
              <w:t>，</w:t>
            </w:r>
            <w:r>
              <w:rPr>
                <w:color w:val="auto"/>
                <w:spacing w:val="24"/>
                <w:highlight w:val="none"/>
                <w:u w:val="single" w:color="auto"/>
              </w:rPr>
              <w:t>投标人应</w:t>
            </w:r>
            <w:r>
              <w:rPr>
                <w:color w:val="auto"/>
                <w:spacing w:val="23"/>
                <w:highlight w:val="none"/>
                <w:u w:val="single" w:color="auto"/>
              </w:rPr>
              <w:t>进入交通运输部</w:t>
            </w:r>
            <w:r>
              <w:rPr>
                <w:color w:val="auto"/>
                <w:spacing w:val="-71"/>
                <w:highlight w:val="none"/>
                <w:u w:val="single" w:color="auto"/>
              </w:rPr>
              <w:t xml:space="preserve"> </w:t>
            </w:r>
            <w:r>
              <w:rPr>
                <w:color w:val="auto"/>
                <w:spacing w:val="23"/>
                <w:highlight w:val="none"/>
                <w:u w:val="single" w:color="auto"/>
              </w:rPr>
              <w:t>“</w:t>
            </w:r>
            <w:r>
              <w:rPr>
                <w:color w:val="auto"/>
                <w:spacing w:val="-70"/>
                <w:highlight w:val="none"/>
                <w:u w:val="single" w:color="auto"/>
              </w:rPr>
              <w:t xml:space="preserve"> </w:t>
            </w:r>
            <w:r>
              <w:rPr>
                <w:color w:val="auto"/>
                <w:spacing w:val="23"/>
                <w:highlight w:val="none"/>
                <w:u w:val="single" w:color="auto"/>
              </w:rPr>
              <w:t>全国公路建设市场监督管理系统</w:t>
            </w:r>
            <w:r>
              <w:rPr>
                <w:color w:val="auto"/>
                <w:spacing w:val="-51"/>
                <w:highlight w:val="none"/>
                <w:u w:val="single" w:color="auto"/>
              </w:rPr>
              <w:t xml:space="preserve"> </w:t>
            </w:r>
            <w:r>
              <w:rPr>
                <w:color w:val="auto"/>
                <w:spacing w:val="23"/>
                <w:highlight w:val="none"/>
                <w:u w:val="single" w:color="auto"/>
              </w:rPr>
              <w:t>”</w:t>
            </w:r>
            <w:r>
              <w:rPr>
                <w:color w:val="auto"/>
                <w:spacing w:val="-69"/>
                <w:highlight w:val="none"/>
                <w:u w:val="single" w:color="auto"/>
              </w:rPr>
              <w:t xml:space="preserve"> </w:t>
            </w:r>
            <w:r>
              <w:rPr>
                <w:color w:val="auto"/>
                <w:spacing w:val="23"/>
                <w:highlight w:val="none"/>
                <w:u w:val="single" w:color="auto"/>
              </w:rPr>
              <w:t>中</w:t>
            </w:r>
            <w:r>
              <w:rPr>
                <w:color w:val="auto"/>
                <w:spacing w:val="27"/>
                <w:highlight w:val="none"/>
                <w:u w:val="single" w:color="auto"/>
              </w:rPr>
              <w:t>的公路工程施工监理资质企业名录</w:t>
            </w:r>
            <w:r>
              <w:rPr>
                <w:color w:val="auto"/>
                <w:spacing w:val="-53"/>
                <w:highlight w:val="none"/>
                <w:u w:val="single" w:color="auto"/>
              </w:rPr>
              <w:t xml:space="preserve"> </w:t>
            </w:r>
            <w:r>
              <w:rPr>
                <w:color w:val="auto"/>
                <w:spacing w:val="27"/>
                <w:highlight w:val="none"/>
                <w:u w:val="single" w:color="auto"/>
              </w:rPr>
              <w:t>，且投标人</w:t>
            </w:r>
            <w:r>
              <w:rPr>
                <w:color w:val="auto"/>
                <w:spacing w:val="26"/>
                <w:highlight w:val="none"/>
                <w:u w:val="single" w:color="auto"/>
              </w:rPr>
              <w:t>名称和资</w:t>
            </w:r>
            <w:r>
              <w:rPr>
                <w:color w:val="auto"/>
                <w:spacing w:val="27"/>
                <w:highlight w:val="none"/>
                <w:u w:val="single" w:color="auto"/>
              </w:rPr>
              <w:t>质与该名录中的相应企业名称和资质完全一致</w:t>
            </w:r>
            <w:r>
              <w:rPr>
                <w:color w:val="auto"/>
                <w:spacing w:val="27"/>
                <w:highlight w:val="none"/>
              </w:rPr>
              <w:t>。</w:t>
            </w:r>
          </w:p>
          <w:p w14:paraId="1386AF83">
            <w:pPr>
              <w:pStyle w:val="18"/>
              <w:spacing w:line="343" w:lineRule="auto"/>
              <w:ind w:left="125" w:right="264" w:hanging="1"/>
              <w:jc w:val="both"/>
              <w:rPr>
                <w:color w:val="auto"/>
                <w:highlight w:val="none"/>
              </w:rPr>
            </w:pPr>
            <w:r>
              <w:rPr>
                <w:color w:val="auto"/>
                <w:spacing w:val="24"/>
                <w:highlight w:val="none"/>
              </w:rPr>
              <w:t>总监理工程师/驻地监理工程师的资格要求： 详见招标公告附件。</w:t>
            </w:r>
          </w:p>
        </w:tc>
      </w:tr>
      <w:tr w14:paraId="00DAD6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903" w:type="dxa"/>
            <w:vMerge w:val="continue"/>
            <w:tcBorders>
              <w:top w:val="nil"/>
            </w:tcBorders>
            <w:vAlign w:val="top"/>
          </w:tcPr>
          <w:p w14:paraId="06F0B24F">
            <w:pPr>
              <w:rPr>
                <w:rFonts w:ascii="Arial"/>
                <w:color w:val="auto"/>
                <w:sz w:val="21"/>
                <w:highlight w:val="none"/>
              </w:rPr>
            </w:pPr>
          </w:p>
        </w:tc>
        <w:tc>
          <w:tcPr>
            <w:tcW w:w="1979" w:type="dxa"/>
            <w:vAlign w:val="top"/>
          </w:tcPr>
          <w:p w14:paraId="227EC5AB">
            <w:pPr>
              <w:pStyle w:val="18"/>
              <w:spacing w:before="111" w:line="228" w:lineRule="auto"/>
              <w:ind w:left="262"/>
              <w:rPr>
                <w:color w:val="auto"/>
                <w:highlight w:val="none"/>
              </w:rPr>
            </w:pPr>
            <w:r>
              <w:rPr>
                <w:color w:val="auto"/>
                <w:spacing w:val="8"/>
                <w:highlight w:val="none"/>
              </w:rPr>
              <w:t>投标人业绩要求</w:t>
            </w:r>
          </w:p>
        </w:tc>
        <w:tc>
          <w:tcPr>
            <w:tcW w:w="5814" w:type="dxa"/>
            <w:gridSpan w:val="3"/>
            <w:vAlign w:val="top"/>
          </w:tcPr>
          <w:p w14:paraId="06A3AB25">
            <w:pPr>
              <w:pStyle w:val="18"/>
              <w:spacing w:before="111" w:line="226" w:lineRule="auto"/>
              <w:ind w:left="121"/>
              <w:rPr>
                <w:color w:val="auto"/>
                <w:highlight w:val="none"/>
              </w:rPr>
            </w:pPr>
            <w:r>
              <w:rPr>
                <w:color w:val="auto"/>
                <w:spacing w:val="18"/>
                <w:highlight w:val="none"/>
                <w:u w:val="none" w:color="auto"/>
              </w:rPr>
              <w:t>详见招标公告附件</w:t>
            </w:r>
            <w:r>
              <w:rPr>
                <w:color w:val="auto"/>
                <w:spacing w:val="-51"/>
                <w:highlight w:val="none"/>
                <w:u w:val="none" w:color="auto"/>
              </w:rPr>
              <w:t xml:space="preserve"> </w:t>
            </w:r>
            <w:r>
              <w:rPr>
                <w:color w:val="auto"/>
                <w:spacing w:val="18"/>
                <w:highlight w:val="none"/>
                <w:u w:val="none" w:color="auto"/>
              </w:rPr>
              <w:t xml:space="preserve">。 </w:t>
            </w:r>
          </w:p>
        </w:tc>
      </w:tr>
      <w:tr w14:paraId="1A19F8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37" w:hRule="atLeast"/>
        </w:trPr>
        <w:tc>
          <w:tcPr>
            <w:tcW w:w="1903" w:type="dxa"/>
            <w:vMerge w:val="restart"/>
            <w:tcBorders>
              <w:bottom w:val="nil"/>
            </w:tcBorders>
            <w:vAlign w:val="center"/>
          </w:tcPr>
          <w:p w14:paraId="22926575">
            <w:pPr>
              <w:pStyle w:val="18"/>
              <w:spacing w:before="65" w:line="240" w:lineRule="auto"/>
              <w:ind w:left="324" w:right="319" w:firstLine="2"/>
              <w:jc w:val="both"/>
              <w:rPr>
                <w:color w:val="auto"/>
                <w:highlight w:val="none"/>
              </w:rPr>
            </w:pPr>
            <w:r>
              <w:rPr>
                <w:b/>
                <w:bCs/>
                <w:color w:val="auto"/>
                <w:spacing w:val="6"/>
                <w:highlight w:val="none"/>
              </w:rPr>
              <w:t>是否采用电子招标投标方式</w:t>
            </w:r>
          </w:p>
        </w:tc>
        <w:tc>
          <w:tcPr>
            <w:tcW w:w="1979" w:type="dxa"/>
            <w:vMerge w:val="restart"/>
            <w:tcBorders>
              <w:bottom w:val="nil"/>
            </w:tcBorders>
            <w:vAlign w:val="center"/>
          </w:tcPr>
          <w:p w14:paraId="248C1F25">
            <w:pPr>
              <w:pStyle w:val="18"/>
              <w:spacing w:before="65" w:line="240" w:lineRule="auto"/>
              <w:ind w:left="891"/>
              <w:jc w:val="both"/>
              <w:rPr>
                <w:color w:val="auto"/>
                <w:highlight w:val="none"/>
              </w:rPr>
            </w:pPr>
            <w:r>
              <w:rPr>
                <w:color w:val="auto"/>
                <w:highlight w:val="none"/>
              </w:rPr>
              <w:t>是</w:t>
            </w:r>
          </w:p>
        </w:tc>
        <w:tc>
          <w:tcPr>
            <w:tcW w:w="1663" w:type="dxa"/>
            <w:vMerge w:val="restart"/>
            <w:tcBorders>
              <w:bottom w:val="nil"/>
            </w:tcBorders>
            <w:vAlign w:val="center"/>
          </w:tcPr>
          <w:p w14:paraId="0CB02F90">
            <w:pPr>
              <w:spacing w:line="240" w:lineRule="auto"/>
              <w:jc w:val="both"/>
              <w:rPr>
                <w:rFonts w:ascii="Arial"/>
                <w:color w:val="auto"/>
                <w:sz w:val="21"/>
                <w:highlight w:val="none"/>
              </w:rPr>
            </w:pPr>
          </w:p>
          <w:p w14:paraId="243593A9">
            <w:pPr>
              <w:pStyle w:val="18"/>
              <w:spacing w:before="65" w:line="240" w:lineRule="auto"/>
              <w:ind w:left="734" w:right="200" w:hanging="531"/>
              <w:jc w:val="both"/>
              <w:rPr>
                <w:color w:val="auto"/>
                <w:highlight w:val="none"/>
              </w:rPr>
            </w:pPr>
            <w:r>
              <w:rPr>
                <w:b/>
                <w:bCs/>
                <w:color w:val="auto"/>
                <w:spacing w:val="6"/>
                <w:highlight w:val="none"/>
              </w:rPr>
              <w:t>招标文件的方</w:t>
            </w:r>
            <w:r>
              <w:rPr>
                <w:b/>
                <w:bCs/>
                <w:color w:val="auto"/>
                <w:spacing w:val="-3"/>
                <w:highlight w:val="none"/>
              </w:rPr>
              <w:t>式</w:t>
            </w:r>
          </w:p>
        </w:tc>
        <w:tc>
          <w:tcPr>
            <w:tcW w:w="1320" w:type="dxa"/>
            <w:vAlign w:val="center"/>
          </w:tcPr>
          <w:p w14:paraId="34BBA920">
            <w:pPr>
              <w:pStyle w:val="18"/>
              <w:spacing w:before="33" w:line="240" w:lineRule="auto"/>
              <w:ind w:left="125"/>
              <w:jc w:val="both"/>
              <w:rPr>
                <w:color w:val="auto"/>
                <w:highlight w:val="none"/>
              </w:rPr>
            </w:pPr>
            <w:r>
              <w:rPr>
                <w:color w:val="auto"/>
                <w:spacing w:val="15"/>
                <w:highlight w:val="none"/>
              </w:rPr>
              <w:t>下载招标文</w:t>
            </w:r>
          </w:p>
          <w:p w14:paraId="40FF9CB0">
            <w:pPr>
              <w:pStyle w:val="18"/>
              <w:spacing w:before="160" w:line="240" w:lineRule="auto"/>
              <w:ind w:left="119" w:right="109" w:hanging="1"/>
              <w:jc w:val="both"/>
              <w:rPr>
                <w:color w:val="auto"/>
                <w:highlight w:val="none"/>
              </w:rPr>
            </w:pPr>
            <w:r>
              <w:rPr>
                <w:color w:val="auto"/>
                <w:spacing w:val="17"/>
                <w:highlight w:val="none"/>
              </w:rPr>
              <w:t>件的网络地</w:t>
            </w:r>
            <w:r>
              <w:rPr>
                <w:color w:val="auto"/>
                <w:highlight w:val="none"/>
              </w:rPr>
              <w:t>址</w:t>
            </w:r>
          </w:p>
        </w:tc>
        <w:tc>
          <w:tcPr>
            <w:tcW w:w="2831" w:type="dxa"/>
            <w:vAlign w:val="center"/>
          </w:tcPr>
          <w:p w14:paraId="5138EACC">
            <w:pPr>
              <w:pStyle w:val="18"/>
              <w:tabs>
                <w:tab w:val="left" w:pos="530"/>
              </w:tabs>
              <w:spacing w:before="161" w:line="240" w:lineRule="auto"/>
              <w:ind w:left="119" w:right="113" w:hanging="9"/>
              <w:jc w:val="both"/>
              <w:rPr>
                <w:color w:val="auto"/>
                <w:highlight w:val="none"/>
              </w:rPr>
            </w:pPr>
            <w:r>
              <w:rPr>
                <w:rFonts w:hint="eastAsia"/>
                <w:color w:val="auto"/>
                <w:highlight w:val="none"/>
              </w:rPr>
              <w:t>广东省招标投标监管网https://zbtb.gd.gov.cn/；</w:t>
            </w:r>
          </w:p>
          <w:p w14:paraId="5422A512">
            <w:pPr>
              <w:pStyle w:val="18"/>
              <w:tabs>
                <w:tab w:val="left" w:pos="530"/>
              </w:tabs>
              <w:spacing w:before="161" w:line="240" w:lineRule="auto"/>
              <w:ind w:left="119" w:right="113" w:hanging="9"/>
              <w:jc w:val="both"/>
              <w:rPr>
                <w:color w:val="auto"/>
                <w:highlight w:val="none"/>
              </w:rPr>
            </w:pPr>
            <w:r>
              <w:rPr>
                <w:rFonts w:hint="eastAsia"/>
                <w:color w:val="auto"/>
                <w:highlight w:val="none"/>
              </w:rPr>
              <w:t>全国公共资源交易平台（广东省·韶关市）https://ygp.gdzwfw.gov.cn/ggzy-portal/#/440200/index。</w:t>
            </w:r>
          </w:p>
        </w:tc>
      </w:tr>
      <w:tr w14:paraId="5DB3A1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19" w:hRule="atLeast"/>
        </w:trPr>
        <w:tc>
          <w:tcPr>
            <w:tcW w:w="1903" w:type="dxa"/>
            <w:vMerge w:val="continue"/>
            <w:tcBorders>
              <w:top w:val="nil"/>
            </w:tcBorders>
            <w:vAlign w:val="center"/>
          </w:tcPr>
          <w:p w14:paraId="27727AD9">
            <w:pPr>
              <w:spacing w:line="240" w:lineRule="auto"/>
              <w:jc w:val="both"/>
              <w:rPr>
                <w:rFonts w:ascii="Arial"/>
                <w:color w:val="auto"/>
                <w:sz w:val="21"/>
                <w:highlight w:val="none"/>
              </w:rPr>
            </w:pPr>
          </w:p>
        </w:tc>
        <w:tc>
          <w:tcPr>
            <w:tcW w:w="1979" w:type="dxa"/>
            <w:vMerge w:val="continue"/>
            <w:tcBorders>
              <w:top w:val="nil"/>
            </w:tcBorders>
            <w:vAlign w:val="center"/>
          </w:tcPr>
          <w:p w14:paraId="1C10901A">
            <w:pPr>
              <w:spacing w:line="240" w:lineRule="auto"/>
              <w:jc w:val="both"/>
              <w:rPr>
                <w:rFonts w:ascii="Arial"/>
                <w:color w:val="auto"/>
                <w:sz w:val="21"/>
                <w:highlight w:val="none"/>
              </w:rPr>
            </w:pPr>
          </w:p>
        </w:tc>
        <w:tc>
          <w:tcPr>
            <w:tcW w:w="1663" w:type="dxa"/>
            <w:vMerge w:val="continue"/>
            <w:tcBorders>
              <w:top w:val="nil"/>
            </w:tcBorders>
            <w:vAlign w:val="center"/>
          </w:tcPr>
          <w:p w14:paraId="3F70241C">
            <w:pPr>
              <w:spacing w:line="240" w:lineRule="auto"/>
              <w:jc w:val="both"/>
              <w:rPr>
                <w:rFonts w:ascii="Arial"/>
                <w:color w:val="auto"/>
                <w:sz w:val="21"/>
                <w:highlight w:val="none"/>
              </w:rPr>
            </w:pPr>
          </w:p>
        </w:tc>
        <w:tc>
          <w:tcPr>
            <w:tcW w:w="1320" w:type="dxa"/>
            <w:vAlign w:val="center"/>
          </w:tcPr>
          <w:p w14:paraId="2398D125">
            <w:pPr>
              <w:pStyle w:val="18"/>
              <w:spacing w:before="65" w:line="240" w:lineRule="auto"/>
              <w:ind w:left="118" w:right="111" w:firstLine="4"/>
              <w:jc w:val="both"/>
              <w:rPr>
                <w:color w:val="auto"/>
                <w:highlight w:val="none"/>
              </w:rPr>
            </w:pPr>
            <w:r>
              <w:rPr>
                <w:color w:val="auto"/>
                <w:spacing w:val="16"/>
                <w:highlight w:val="none"/>
              </w:rPr>
              <w:t>获取招标文</w:t>
            </w:r>
            <w:r>
              <w:rPr>
                <w:color w:val="auto"/>
                <w:spacing w:val="7"/>
                <w:highlight w:val="none"/>
              </w:rPr>
              <w:t>件的方式</w:t>
            </w:r>
          </w:p>
        </w:tc>
        <w:tc>
          <w:tcPr>
            <w:tcW w:w="2831" w:type="dxa"/>
            <w:vAlign w:val="center"/>
          </w:tcPr>
          <w:p w14:paraId="539518C1">
            <w:pPr>
              <w:pStyle w:val="18"/>
              <w:spacing w:before="31" w:line="240" w:lineRule="auto"/>
              <w:ind w:left="114" w:right="113" w:firstLine="9"/>
              <w:jc w:val="both"/>
              <w:rPr>
                <w:color w:val="auto"/>
                <w:highlight w:val="none"/>
              </w:rPr>
            </w:pPr>
            <w:r>
              <w:rPr>
                <w:color w:val="auto"/>
                <w:spacing w:val="15"/>
                <w:highlight w:val="none"/>
              </w:rPr>
              <w:t>凡有意参加投标者，请于获</w:t>
            </w:r>
            <w:r>
              <w:rPr>
                <w:color w:val="auto"/>
                <w:spacing w:val="16"/>
                <w:highlight w:val="none"/>
              </w:rPr>
              <w:t>取招标文件截止时间前，登</w:t>
            </w:r>
            <w:r>
              <w:rPr>
                <w:color w:val="auto"/>
                <w:spacing w:val="13"/>
                <w:highlight w:val="none"/>
              </w:rPr>
              <w:t>录</w:t>
            </w:r>
            <w:r>
              <w:rPr>
                <w:color w:val="auto"/>
                <w:spacing w:val="-94"/>
                <w:highlight w:val="none"/>
              </w:rPr>
              <w:t xml:space="preserve"> </w:t>
            </w:r>
            <w:r>
              <w:rPr>
                <w:rFonts w:hint="eastAsia"/>
                <w:color w:val="auto"/>
                <w:highlight w:val="none"/>
              </w:rPr>
              <w:t>全国公共资源交易平台（广东省·韶关市）</w:t>
            </w:r>
            <w:r>
              <w:rPr>
                <w:color w:val="auto"/>
                <w:spacing w:val="13"/>
                <w:highlight w:val="none"/>
              </w:rPr>
              <w:t>网</w:t>
            </w:r>
            <w:r>
              <w:rPr>
                <w:color w:val="auto"/>
                <w:spacing w:val="16"/>
                <w:highlight w:val="none"/>
              </w:rPr>
              <w:t>站，选择对应招标项目进行登记，并自行在网站中下载招标文件。</w:t>
            </w:r>
          </w:p>
        </w:tc>
      </w:tr>
      <w:tr w14:paraId="18B617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1903" w:type="dxa"/>
            <w:vAlign w:val="center"/>
          </w:tcPr>
          <w:p w14:paraId="36FA2514">
            <w:pPr>
              <w:pStyle w:val="18"/>
              <w:spacing w:before="36" w:line="240" w:lineRule="auto"/>
              <w:ind w:left="640" w:right="213" w:hanging="419"/>
              <w:jc w:val="both"/>
              <w:rPr>
                <w:color w:val="auto"/>
                <w:highlight w:val="none"/>
              </w:rPr>
            </w:pPr>
            <w:r>
              <w:rPr>
                <w:b/>
                <w:bCs/>
                <w:color w:val="auto"/>
                <w:spacing w:val="6"/>
                <w:highlight w:val="none"/>
              </w:rPr>
              <w:t>获取招标文件开</w:t>
            </w:r>
            <w:r>
              <w:rPr>
                <w:b/>
                <w:bCs/>
                <w:color w:val="auto"/>
                <w:spacing w:val="5"/>
                <w:highlight w:val="none"/>
              </w:rPr>
              <w:t>始时间</w:t>
            </w:r>
          </w:p>
        </w:tc>
        <w:tc>
          <w:tcPr>
            <w:tcW w:w="1979" w:type="dxa"/>
            <w:vAlign w:val="center"/>
          </w:tcPr>
          <w:p w14:paraId="25878B82">
            <w:pPr>
              <w:pStyle w:val="18"/>
              <w:spacing w:before="161" w:line="240" w:lineRule="auto"/>
              <w:jc w:val="center"/>
              <w:rPr>
                <w:rFonts w:hint="eastAsia"/>
                <w:color w:val="auto"/>
                <w:highlight w:val="none"/>
                <w:lang w:val="en-US" w:eastAsia="zh-CN"/>
              </w:rPr>
            </w:pPr>
            <w:r>
              <w:rPr>
                <w:rFonts w:hint="eastAsia"/>
                <w:color w:val="auto"/>
                <w:highlight w:val="none"/>
                <w:lang w:val="en-US" w:eastAsia="zh-CN"/>
              </w:rPr>
              <w:t>2026年 7 月 9 日</w:t>
            </w:r>
          </w:p>
          <w:p w14:paraId="3C21CF0C">
            <w:pPr>
              <w:pStyle w:val="18"/>
              <w:spacing w:before="161" w:line="240" w:lineRule="auto"/>
              <w:jc w:val="center"/>
              <w:rPr>
                <w:color w:val="auto"/>
                <w:highlight w:val="none"/>
              </w:rPr>
            </w:pPr>
            <w:r>
              <w:rPr>
                <w:rFonts w:hint="eastAsia"/>
                <w:color w:val="auto"/>
                <w:highlight w:val="none"/>
                <w:lang w:val="en-US" w:eastAsia="zh-CN"/>
              </w:rPr>
              <w:t xml:space="preserve"> 20 时 00 分</w:t>
            </w:r>
          </w:p>
        </w:tc>
        <w:tc>
          <w:tcPr>
            <w:tcW w:w="1663" w:type="dxa"/>
            <w:vAlign w:val="center"/>
          </w:tcPr>
          <w:p w14:paraId="2D53CDF4">
            <w:pPr>
              <w:pStyle w:val="18"/>
              <w:spacing w:before="36" w:line="240" w:lineRule="auto"/>
              <w:ind w:left="413" w:right="200" w:hanging="207"/>
              <w:jc w:val="both"/>
              <w:rPr>
                <w:color w:val="auto"/>
                <w:highlight w:val="none"/>
              </w:rPr>
            </w:pPr>
            <w:r>
              <w:rPr>
                <w:b/>
                <w:bCs/>
                <w:color w:val="auto"/>
                <w:spacing w:val="6"/>
                <w:highlight w:val="none"/>
              </w:rPr>
              <w:t>获取招标文件截止时间</w:t>
            </w:r>
          </w:p>
        </w:tc>
        <w:tc>
          <w:tcPr>
            <w:tcW w:w="4151" w:type="dxa"/>
            <w:gridSpan w:val="2"/>
            <w:vAlign w:val="center"/>
          </w:tcPr>
          <w:p w14:paraId="5D2AE7B3">
            <w:pPr>
              <w:pStyle w:val="18"/>
              <w:spacing w:before="35" w:line="240" w:lineRule="auto"/>
              <w:jc w:val="center"/>
              <w:rPr>
                <w:color w:val="auto"/>
                <w:highlight w:val="none"/>
              </w:rPr>
            </w:pPr>
            <w:r>
              <w:rPr>
                <w:rFonts w:hint="eastAsia"/>
                <w:color w:val="auto"/>
                <w:highlight w:val="none"/>
              </w:rPr>
              <w:t>2026年</w:t>
            </w:r>
            <w:r>
              <w:rPr>
                <w:rFonts w:hint="eastAsia"/>
                <w:color w:val="auto"/>
                <w:highlight w:val="none"/>
                <w:lang w:val="en-US" w:eastAsia="zh-CN"/>
              </w:rPr>
              <w:t xml:space="preserve"> 7 </w:t>
            </w:r>
            <w:r>
              <w:rPr>
                <w:rFonts w:hint="eastAsia"/>
                <w:color w:val="auto"/>
                <w:highlight w:val="none"/>
              </w:rPr>
              <w:t>月</w:t>
            </w:r>
            <w:r>
              <w:rPr>
                <w:rFonts w:hint="eastAsia"/>
                <w:color w:val="auto"/>
                <w:highlight w:val="none"/>
                <w:lang w:val="en-US" w:eastAsia="zh-CN"/>
              </w:rPr>
              <w:t xml:space="preserve"> 30 </w:t>
            </w:r>
            <w:r>
              <w:rPr>
                <w:rFonts w:hint="eastAsia"/>
                <w:color w:val="auto"/>
                <w:highlight w:val="none"/>
              </w:rPr>
              <w:t>日</w:t>
            </w:r>
            <w:r>
              <w:rPr>
                <w:rFonts w:hint="eastAsia"/>
                <w:color w:val="auto"/>
                <w:highlight w:val="none"/>
                <w:lang w:val="en-US" w:eastAsia="zh-CN"/>
              </w:rPr>
              <w:t xml:space="preserve"> 10 </w:t>
            </w:r>
            <w:r>
              <w:rPr>
                <w:rFonts w:hint="eastAsia"/>
                <w:color w:val="auto"/>
                <w:highlight w:val="none"/>
              </w:rPr>
              <w:t>时</w:t>
            </w:r>
            <w:r>
              <w:rPr>
                <w:rFonts w:hint="eastAsia"/>
                <w:color w:val="auto"/>
                <w:highlight w:val="none"/>
                <w:lang w:val="en-US" w:eastAsia="zh-CN"/>
              </w:rPr>
              <w:t xml:space="preserve"> 00 </w:t>
            </w:r>
            <w:r>
              <w:rPr>
                <w:rFonts w:hint="eastAsia"/>
                <w:color w:val="auto"/>
                <w:highlight w:val="none"/>
              </w:rPr>
              <w:t>分</w:t>
            </w:r>
          </w:p>
        </w:tc>
      </w:tr>
      <w:tr w14:paraId="0B7363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91" w:hRule="atLeast"/>
        </w:trPr>
        <w:tc>
          <w:tcPr>
            <w:tcW w:w="1903" w:type="dxa"/>
            <w:vAlign w:val="center"/>
          </w:tcPr>
          <w:p w14:paraId="142AF070">
            <w:pPr>
              <w:pStyle w:val="18"/>
              <w:spacing w:before="36" w:line="240" w:lineRule="auto"/>
              <w:ind w:left="641" w:right="213" w:hanging="422"/>
              <w:jc w:val="both"/>
              <w:rPr>
                <w:color w:val="auto"/>
                <w:highlight w:val="none"/>
              </w:rPr>
            </w:pPr>
            <w:r>
              <w:rPr>
                <w:b/>
                <w:bCs/>
                <w:color w:val="auto"/>
                <w:spacing w:val="7"/>
                <w:highlight w:val="none"/>
              </w:rPr>
              <w:t>递交投标文件截</w:t>
            </w:r>
            <w:bookmarkStart w:id="12" w:name="bookmark28"/>
            <w:bookmarkEnd w:id="12"/>
            <w:bookmarkStart w:id="13" w:name="bookmark29"/>
            <w:bookmarkEnd w:id="13"/>
            <w:r>
              <w:rPr>
                <w:b/>
                <w:bCs/>
                <w:color w:val="auto"/>
                <w:spacing w:val="5"/>
                <w:highlight w:val="none"/>
              </w:rPr>
              <w:t>止时间</w:t>
            </w:r>
          </w:p>
        </w:tc>
        <w:tc>
          <w:tcPr>
            <w:tcW w:w="1979" w:type="dxa"/>
            <w:vAlign w:val="center"/>
          </w:tcPr>
          <w:p w14:paraId="0EDDB9CB">
            <w:pPr>
              <w:pStyle w:val="18"/>
              <w:spacing w:before="161" w:line="240" w:lineRule="auto"/>
              <w:jc w:val="center"/>
              <w:rPr>
                <w:color w:val="auto"/>
                <w:highlight w:val="none"/>
              </w:rPr>
            </w:pPr>
            <w:r>
              <w:rPr>
                <w:rFonts w:hint="eastAsia"/>
                <w:color w:val="auto"/>
                <w:highlight w:val="none"/>
              </w:rPr>
              <w:t>2026年</w:t>
            </w:r>
            <w:r>
              <w:rPr>
                <w:rFonts w:hint="eastAsia"/>
                <w:color w:val="auto"/>
                <w:highlight w:val="none"/>
                <w:lang w:val="en-US" w:eastAsia="zh-CN"/>
              </w:rPr>
              <w:t xml:space="preserve"> 7 </w:t>
            </w:r>
            <w:r>
              <w:rPr>
                <w:rFonts w:hint="eastAsia"/>
                <w:color w:val="auto"/>
                <w:highlight w:val="none"/>
              </w:rPr>
              <w:t>月</w:t>
            </w:r>
            <w:r>
              <w:rPr>
                <w:rFonts w:hint="eastAsia"/>
                <w:color w:val="auto"/>
                <w:highlight w:val="none"/>
                <w:lang w:val="en-US" w:eastAsia="zh-CN"/>
              </w:rPr>
              <w:t xml:space="preserve"> 30 </w:t>
            </w:r>
            <w:r>
              <w:rPr>
                <w:rFonts w:hint="eastAsia"/>
                <w:color w:val="auto"/>
                <w:highlight w:val="none"/>
              </w:rPr>
              <w:t>日</w:t>
            </w:r>
            <w:r>
              <w:rPr>
                <w:rFonts w:hint="eastAsia"/>
                <w:color w:val="auto"/>
                <w:highlight w:val="none"/>
                <w:lang w:val="en-US" w:eastAsia="zh-CN"/>
              </w:rPr>
              <w:t xml:space="preserve"> 10 </w:t>
            </w:r>
            <w:r>
              <w:rPr>
                <w:rFonts w:hint="eastAsia"/>
                <w:color w:val="auto"/>
                <w:highlight w:val="none"/>
              </w:rPr>
              <w:t>时</w:t>
            </w:r>
            <w:r>
              <w:rPr>
                <w:rFonts w:hint="eastAsia"/>
                <w:color w:val="auto"/>
                <w:highlight w:val="none"/>
                <w:lang w:val="en-US" w:eastAsia="zh-CN"/>
              </w:rPr>
              <w:t xml:space="preserve"> 00 </w:t>
            </w:r>
            <w:r>
              <w:rPr>
                <w:rFonts w:hint="eastAsia"/>
                <w:color w:val="auto"/>
                <w:highlight w:val="none"/>
              </w:rPr>
              <w:t>分</w:t>
            </w:r>
          </w:p>
        </w:tc>
        <w:tc>
          <w:tcPr>
            <w:tcW w:w="1663" w:type="dxa"/>
            <w:vAlign w:val="center"/>
          </w:tcPr>
          <w:p w14:paraId="3A2F9CEE">
            <w:pPr>
              <w:pStyle w:val="18"/>
              <w:spacing w:before="36" w:line="240" w:lineRule="auto"/>
              <w:ind w:left="625" w:right="200" w:hanging="420"/>
              <w:jc w:val="both"/>
              <w:rPr>
                <w:color w:val="auto"/>
                <w:highlight w:val="none"/>
              </w:rPr>
            </w:pPr>
            <w:r>
              <w:rPr>
                <w:b/>
                <w:bCs/>
                <w:color w:val="auto"/>
                <w:spacing w:val="6"/>
                <w:highlight w:val="none"/>
              </w:rPr>
              <w:t>投标文件递交</w:t>
            </w:r>
            <w:r>
              <w:rPr>
                <w:b/>
                <w:bCs/>
                <w:color w:val="auto"/>
                <w:spacing w:val="3"/>
                <w:highlight w:val="none"/>
              </w:rPr>
              <w:t>方式</w:t>
            </w:r>
          </w:p>
        </w:tc>
        <w:tc>
          <w:tcPr>
            <w:tcW w:w="4151" w:type="dxa"/>
            <w:gridSpan w:val="2"/>
            <w:vAlign w:val="center"/>
          </w:tcPr>
          <w:p w14:paraId="0D1D613D">
            <w:pPr>
              <w:pStyle w:val="18"/>
              <w:spacing w:before="36" w:line="240" w:lineRule="auto"/>
              <w:ind w:left="119" w:right="113" w:firstLine="1"/>
              <w:jc w:val="both"/>
              <w:rPr>
                <w:color w:val="auto"/>
                <w:highlight w:val="none"/>
              </w:rPr>
            </w:pPr>
            <w:r>
              <w:rPr>
                <w:color w:val="auto"/>
                <w:spacing w:val="17"/>
                <w:highlight w:val="none"/>
              </w:rPr>
              <w:t>投标人应在递交投标文件截止时间前，通</w:t>
            </w:r>
            <w:r>
              <w:rPr>
                <w:color w:val="auto"/>
                <w:spacing w:val="12"/>
                <w:highlight w:val="none"/>
              </w:rPr>
              <w:t>过互联网使用</w:t>
            </w:r>
            <w:r>
              <w:rPr>
                <w:color w:val="auto"/>
                <w:highlight w:val="none"/>
              </w:rPr>
              <w:t>CA</w:t>
            </w:r>
            <w:r>
              <w:rPr>
                <w:color w:val="auto"/>
                <w:spacing w:val="-30"/>
                <w:highlight w:val="none"/>
              </w:rPr>
              <w:t xml:space="preserve"> </w:t>
            </w:r>
            <w:r>
              <w:rPr>
                <w:color w:val="auto"/>
                <w:spacing w:val="12"/>
                <w:highlight w:val="none"/>
              </w:rPr>
              <w:t>数字证书登录“</w:t>
            </w:r>
            <w:r>
              <w:rPr>
                <w:color w:val="auto"/>
                <w:spacing w:val="-63"/>
                <w:highlight w:val="none"/>
              </w:rPr>
              <w:t xml:space="preserve"> </w:t>
            </w:r>
            <w:r>
              <w:rPr>
                <w:color w:val="auto"/>
                <w:spacing w:val="12"/>
                <w:highlight w:val="none"/>
              </w:rPr>
              <w:t>电子交易</w:t>
            </w:r>
            <w:r>
              <w:rPr>
                <w:color w:val="auto"/>
                <w:spacing w:val="15"/>
                <w:highlight w:val="none"/>
              </w:rPr>
              <w:t>平台</w:t>
            </w:r>
            <w:r>
              <w:rPr>
                <w:color w:val="auto"/>
                <w:spacing w:val="-57"/>
                <w:highlight w:val="none"/>
              </w:rPr>
              <w:t xml:space="preserve"> </w:t>
            </w:r>
            <w:r>
              <w:rPr>
                <w:color w:val="auto"/>
                <w:spacing w:val="15"/>
                <w:highlight w:val="none"/>
              </w:rPr>
              <w:t>”，将加密的投标文件上传，并保存</w:t>
            </w:r>
            <w:r>
              <w:rPr>
                <w:color w:val="auto"/>
                <w:spacing w:val="30"/>
                <w:highlight w:val="none"/>
              </w:rPr>
              <w:t>上传成功后系统自动生成的电子签收凭</w:t>
            </w:r>
            <w:r>
              <w:rPr>
                <w:color w:val="auto"/>
                <w:spacing w:val="17"/>
                <w:highlight w:val="none"/>
              </w:rPr>
              <w:t>证，递交时间即为电子签收凭证时间。逾</w:t>
            </w:r>
            <w:r>
              <w:rPr>
                <w:color w:val="auto"/>
                <w:spacing w:val="30"/>
                <w:highlight w:val="none"/>
              </w:rPr>
              <w:t>期未完成上传或未按规定加密的投标文</w:t>
            </w:r>
            <w:r>
              <w:rPr>
                <w:color w:val="auto"/>
                <w:spacing w:val="17"/>
                <w:highlight w:val="none"/>
              </w:rPr>
              <w:t>件，招标人予以拒收。</w:t>
            </w:r>
          </w:p>
        </w:tc>
      </w:tr>
    </w:tbl>
    <w:p w14:paraId="1ED6006A">
      <w:pPr>
        <w:spacing w:line="240" w:lineRule="auto"/>
        <w:rPr>
          <w:rFonts w:ascii="宋体" w:hAnsi="宋体" w:eastAsia="宋体" w:cs="宋体"/>
          <w:color w:val="auto"/>
          <w:sz w:val="18"/>
          <w:szCs w:val="18"/>
          <w:highlight w:val="none"/>
        </w:rPr>
        <w:sectPr>
          <w:footerReference r:id="rId8" w:type="default"/>
          <w:pgSz w:w="11906" w:h="16839"/>
          <w:pgMar w:top="1416" w:right="1102" w:bottom="1297" w:left="1102" w:header="0" w:footer="1065" w:gutter="0"/>
          <w:pgNumType w:fmt="decimal"/>
          <w:cols w:space="720" w:num="1"/>
        </w:sectPr>
      </w:pPr>
    </w:p>
    <w:tbl>
      <w:tblPr>
        <w:tblStyle w:val="17"/>
        <w:tblW w:w="969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03"/>
        <w:gridCol w:w="1979"/>
        <w:gridCol w:w="1663"/>
        <w:gridCol w:w="4151"/>
      </w:tblGrid>
      <w:tr w14:paraId="646581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2" w:hRule="atLeast"/>
        </w:trPr>
        <w:tc>
          <w:tcPr>
            <w:tcW w:w="1903" w:type="dxa"/>
            <w:tcBorders>
              <w:bottom w:val="single" w:color="auto" w:sz="4" w:space="0"/>
            </w:tcBorders>
            <w:vAlign w:val="center"/>
          </w:tcPr>
          <w:p w14:paraId="771E39AE">
            <w:pPr>
              <w:spacing w:line="240" w:lineRule="auto"/>
              <w:jc w:val="both"/>
              <w:rPr>
                <w:rFonts w:ascii="Arial"/>
                <w:color w:val="auto"/>
                <w:sz w:val="21"/>
                <w:highlight w:val="none"/>
              </w:rPr>
            </w:pPr>
          </w:p>
          <w:p w14:paraId="67FC5E83">
            <w:pPr>
              <w:spacing w:line="240" w:lineRule="auto"/>
              <w:jc w:val="both"/>
              <w:rPr>
                <w:rFonts w:ascii="Arial"/>
                <w:color w:val="auto"/>
                <w:sz w:val="21"/>
                <w:highlight w:val="none"/>
              </w:rPr>
            </w:pPr>
          </w:p>
          <w:p w14:paraId="7EDA9103">
            <w:pPr>
              <w:pStyle w:val="18"/>
              <w:spacing w:before="65" w:line="240" w:lineRule="auto"/>
              <w:ind w:left="536"/>
              <w:jc w:val="both"/>
              <w:rPr>
                <w:color w:val="auto"/>
                <w:highlight w:val="none"/>
              </w:rPr>
            </w:pPr>
            <w:r>
              <w:rPr>
                <w:b/>
                <w:bCs/>
                <w:color w:val="auto"/>
                <w:spacing w:val="6"/>
                <w:highlight w:val="none"/>
              </w:rPr>
              <w:t>开标时间</w:t>
            </w:r>
          </w:p>
        </w:tc>
        <w:tc>
          <w:tcPr>
            <w:tcW w:w="1979" w:type="dxa"/>
            <w:tcBorders>
              <w:bottom w:val="single" w:color="auto" w:sz="4" w:space="0"/>
            </w:tcBorders>
            <w:vAlign w:val="center"/>
          </w:tcPr>
          <w:p w14:paraId="4EF0EEF6">
            <w:pPr>
              <w:pStyle w:val="18"/>
              <w:spacing w:before="161" w:line="240" w:lineRule="auto"/>
              <w:jc w:val="center"/>
              <w:rPr>
                <w:color w:val="auto"/>
                <w:highlight w:val="none"/>
              </w:rPr>
            </w:pPr>
            <w:r>
              <w:rPr>
                <w:rFonts w:hint="eastAsia"/>
                <w:color w:val="auto"/>
                <w:highlight w:val="none"/>
              </w:rPr>
              <w:t>2026年</w:t>
            </w:r>
            <w:r>
              <w:rPr>
                <w:rFonts w:hint="eastAsia"/>
                <w:color w:val="auto"/>
                <w:highlight w:val="none"/>
                <w:lang w:val="en-US" w:eastAsia="zh-CN"/>
              </w:rPr>
              <w:t xml:space="preserve"> 7 </w:t>
            </w:r>
            <w:r>
              <w:rPr>
                <w:rFonts w:hint="eastAsia"/>
                <w:color w:val="auto"/>
                <w:highlight w:val="none"/>
              </w:rPr>
              <w:t>月</w:t>
            </w:r>
            <w:r>
              <w:rPr>
                <w:rFonts w:hint="eastAsia"/>
                <w:color w:val="auto"/>
                <w:highlight w:val="none"/>
                <w:lang w:val="en-US" w:eastAsia="zh-CN"/>
              </w:rPr>
              <w:t xml:space="preserve"> 30 </w:t>
            </w:r>
            <w:r>
              <w:rPr>
                <w:rFonts w:hint="eastAsia"/>
                <w:color w:val="auto"/>
                <w:highlight w:val="none"/>
              </w:rPr>
              <w:t>日</w:t>
            </w:r>
            <w:r>
              <w:rPr>
                <w:rFonts w:hint="eastAsia"/>
                <w:color w:val="auto"/>
                <w:highlight w:val="none"/>
                <w:lang w:val="en-US" w:eastAsia="zh-CN"/>
              </w:rPr>
              <w:t xml:space="preserve"> 10 </w:t>
            </w:r>
            <w:r>
              <w:rPr>
                <w:rFonts w:hint="eastAsia"/>
                <w:color w:val="auto"/>
                <w:highlight w:val="none"/>
              </w:rPr>
              <w:t>时</w:t>
            </w:r>
            <w:r>
              <w:rPr>
                <w:rFonts w:hint="eastAsia"/>
                <w:color w:val="auto"/>
                <w:highlight w:val="none"/>
                <w:lang w:val="en-US" w:eastAsia="zh-CN"/>
              </w:rPr>
              <w:t xml:space="preserve"> 00 </w:t>
            </w:r>
            <w:r>
              <w:rPr>
                <w:rFonts w:hint="eastAsia"/>
                <w:color w:val="auto"/>
                <w:highlight w:val="none"/>
              </w:rPr>
              <w:t>分</w:t>
            </w:r>
            <w:r>
              <w:rPr>
                <w:color w:val="auto"/>
                <w:spacing w:val="17"/>
                <w:highlight w:val="none"/>
              </w:rPr>
              <w:t>（与投标截止时间</w:t>
            </w:r>
            <w:r>
              <w:rPr>
                <w:color w:val="auto"/>
                <w:spacing w:val="6"/>
                <w:highlight w:val="none"/>
              </w:rPr>
              <w:t>为同一时间）</w:t>
            </w:r>
          </w:p>
        </w:tc>
        <w:tc>
          <w:tcPr>
            <w:tcW w:w="1663" w:type="dxa"/>
            <w:tcBorders>
              <w:bottom w:val="single" w:color="auto" w:sz="4" w:space="0"/>
            </w:tcBorders>
            <w:vAlign w:val="center"/>
          </w:tcPr>
          <w:p w14:paraId="19520E8F">
            <w:pPr>
              <w:spacing w:line="240" w:lineRule="auto"/>
              <w:jc w:val="both"/>
              <w:rPr>
                <w:rFonts w:ascii="Arial"/>
                <w:color w:val="auto"/>
                <w:sz w:val="21"/>
                <w:highlight w:val="none"/>
              </w:rPr>
            </w:pPr>
          </w:p>
          <w:p w14:paraId="31609FDE">
            <w:pPr>
              <w:spacing w:line="240" w:lineRule="auto"/>
              <w:jc w:val="both"/>
              <w:rPr>
                <w:rFonts w:ascii="Arial"/>
                <w:color w:val="auto"/>
                <w:sz w:val="21"/>
                <w:highlight w:val="none"/>
              </w:rPr>
            </w:pPr>
          </w:p>
          <w:p w14:paraId="6A28C49F">
            <w:pPr>
              <w:pStyle w:val="18"/>
              <w:spacing w:before="65" w:line="240" w:lineRule="auto"/>
              <w:ind w:left="414"/>
              <w:jc w:val="both"/>
              <w:rPr>
                <w:color w:val="auto"/>
                <w:highlight w:val="none"/>
              </w:rPr>
            </w:pPr>
            <w:r>
              <w:rPr>
                <w:b/>
                <w:bCs/>
                <w:color w:val="auto"/>
                <w:spacing w:val="6"/>
                <w:highlight w:val="none"/>
              </w:rPr>
              <w:t>开标地点</w:t>
            </w:r>
          </w:p>
        </w:tc>
        <w:tc>
          <w:tcPr>
            <w:tcW w:w="4151" w:type="dxa"/>
            <w:tcBorders>
              <w:bottom w:val="single" w:color="auto" w:sz="4" w:space="0"/>
            </w:tcBorders>
            <w:vAlign w:val="center"/>
          </w:tcPr>
          <w:p w14:paraId="6C7A577A">
            <w:pPr>
              <w:pStyle w:val="18"/>
              <w:spacing w:before="37" w:line="240" w:lineRule="auto"/>
              <w:ind w:right="113"/>
              <w:jc w:val="left"/>
              <w:rPr>
                <w:rFonts w:hint="eastAsia" w:ascii="宋体" w:hAnsi="宋体" w:eastAsia="宋体" w:cs="宋体"/>
                <w:color w:val="auto"/>
                <w:spacing w:val="15"/>
                <w:highlight w:val="none"/>
                <w:lang w:eastAsia="zh-CN"/>
              </w:rPr>
            </w:pPr>
            <w:r>
              <w:rPr>
                <w:rFonts w:hint="eastAsia" w:ascii="宋体" w:hAnsi="宋体" w:eastAsia="宋体" w:cs="宋体"/>
                <w:color w:val="auto"/>
                <w:spacing w:val="15"/>
                <w:highlight w:val="none"/>
              </w:rPr>
              <w:t>地址：韶关市公共资源交易中心乐昌分中心（地址：乐昌市昌山北路23号），具体开标室以当日现场通知为准。</w:t>
            </w:r>
          </w:p>
        </w:tc>
      </w:tr>
      <w:tr w14:paraId="325B1A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1903" w:type="dxa"/>
            <w:tcBorders>
              <w:top w:val="single" w:color="auto" w:sz="4" w:space="0"/>
              <w:left w:val="single" w:color="auto" w:sz="4" w:space="0"/>
              <w:bottom w:val="single" w:color="auto" w:sz="4" w:space="0"/>
            </w:tcBorders>
            <w:vAlign w:val="top"/>
          </w:tcPr>
          <w:p w14:paraId="75F74B00">
            <w:pPr>
              <w:pStyle w:val="18"/>
              <w:spacing w:before="236" w:line="226" w:lineRule="auto"/>
              <w:ind w:left="327"/>
              <w:rPr>
                <w:color w:val="auto"/>
                <w:highlight w:val="none"/>
              </w:rPr>
            </w:pPr>
            <w:r>
              <w:rPr>
                <w:b/>
                <w:bCs/>
                <w:color w:val="auto"/>
                <w:spacing w:val="6"/>
                <w:highlight w:val="none"/>
              </w:rPr>
              <w:t>发布公告媒介</w:t>
            </w:r>
          </w:p>
        </w:tc>
        <w:tc>
          <w:tcPr>
            <w:tcW w:w="7793" w:type="dxa"/>
            <w:gridSpan w:val="3"/>
            <w:tcBorders>
              <w:top w:val="single" w:color="auto" w:sz="4" w:space="0"/>
              <w:bottom w:val="single" w:color="auto" w:sz="4" w:space="0"/>
              <w:right w:val="single" w:color="auto" w:sz="4" w:space="0"/>
            </w:tcBorders>
            <w:vAlign w:val="top"/>
          </w:tcPr>
          <w:p w14:paraId="679C8B67">
            <w:pPr>
              <w:pStyle w:val="18"/>
              <w:spacing w:before="33" w:line="359" w:lineRule="auto"/>
              <w:ind w:left="140" w:right="164" w:hanging="23"/>
              <w:rPr>
                <w:color w:val="auto"/>
                <w:highlight w:val="none"/>
              </w:rPr>
            </w:pPr>
            <w:r>
              <w:rPr>
                <w:color w:val="auto"/>
                <w:spacing w:val="8"/>
                <w:highlight w:val="none"/>
              </w:rPr>
              <w:t>广东省招标投标监管网、</w:t>
            </w:r>
            <w:r>
              <w:rPr>
                <w:rFonts w:hint="eastAsia"/>
                <w:color w:val="auto"/>
                <w:highlight w:val="none"/>
              </w:rPr>
              <w:t>全国公共资源交易平台（广东省·韶关市）</w:t>
            </w:r>
            <w:r>
              <w:rPr>
                <w:color w:val="auto"/>
                <w:spacing w:val="7"/>
                <w:highlight w:val="none"/>
              </w:rPr>
              <w:t>网站，如公告详细内容不一致者，以广东省招标投标监管网公告为准。</w:t>
            </w:r>
          </w:p>
        </w:tc>
      </w:tr>
      <w:tr w14:paraId="454A3B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1903" w:type="dxa"/>
            <w:tcBorders>
              <w:top w:val="single" w:color="auto" w:sz="4" w:space="0"/>
            </w:tcBorders>
            <w:vAlign w:val="center"/>
          </w:tcPr>
          <w:p w14:paraId="5949C174">
            <w:pPr>
              <w:pStyle w:val="18"/>
              <w:spacing w:before="113" w:line="228" w:lineRule="auto"/>
              <w:ind w:left="641"/>
              <w:jc w:val="both"/>
              <w:rPr>
                <w:color w:val="auto"/>
                <w:highlight w:val="none"/>
              </w:rPr>
            </w:pPr>
            <w:r>
              <w:rPr>
                <w:b/>
                <w:bCs/>
                <w:color w:val="auto"/>
                <w:spacing w:val="5"/>
                <w:highlight w:val="none"/>
              </w:rPr>
              <w:t>招标人</w:t>
            </w:r>
          </w:p>
        </w:tc>
        <w:tc>
          <w:tcPr>
            <w:tcW w:w="1979" w:type="dxa"/>
            <w:tcBorders>
              <w:top w:val="single" w:color="auto" w:sz="4" w:space="0"/>
            </w:tcBorders>
            <w:vAlign w:val="center"/>
          </w:tcPr>
          <w:p w14:paraId="2315CD3C">
            <w:pPr>
              <w:keepNext w:val="0"/>
              <w:keepLines w:val="0"/>
              <w:pageBreakBefore w:val="0"/>
              <w:widowControl w:val="0"/>
              <w:kinsoku/>
              <w:wordWrap w:val="0"/>
              <w:overflowPunct/>
              <w:topLinePunct w:val="0"/>
              <w:autoSpaceDE/>
              <w:autoSpaceDN/>
              <w:bidi w:val="0"/>
              <w:adjustRightInd w:val="0"/>
              <w:snapToGrid w:val="0"/>
              <w:spacing w:line="360" w:lineRule="exact"/>
              <w:jc w:val="both"/>
              <w:textAlignment w:val="auto"/>
              <w:rPr>
                <w:rFonts w:hint="default" w:ascii="宋体" w:hAnsi="宋体" w:eastAsia="宋体" w:cs="宋体"/>
                <w:snapToGrid w:val="0"/>
                <w:color w:val="auto"/>
                <w:kern w:val="0"/>
                <w:sz w:val="20"/>
                <w:szCs w:val="20"/>
                <w:highlight w:val="none"/>
                <w:lang w:val="en-US" w:eastAsia="zh-CN"/>
              </w:rPr>
            </w:pPr>
            <w:r>
              <w:rPr>
                <w:rFonts w:hint="eastAsia" w:ascii="宋体" w:hAnsi="宋体" w:eastAsia="宋体" w:cs="宋体"/>
                <w:snapToGrid w:val="0"/>
                <w:color w:val="auto"/>
                <w:kern w:val="0"/>
                <w:sz w:val="20"/>
                <w:szCs w:val="20"/>
                <w:highlight w:val="none"/>
                <w:lang w:val="en-US" w:eastAsia="zh-CN"/>
              </w:rPr>
              <w:t>乐昌市地方公路站</w:t>
            </w:r>
          </w:p>
        </w:tc>
        <w:tc>
          <w:tcPr>
            <w:tcW w:w="1663" w:type="dxa"/>
            <w:tcBorders>
              <w:top w:val="single" w:color="auto" w:sz="4" w:space="0"/>
            </w:tcBorders>
            <w:vAlign w:val="center"/>
          </w:tcPr>
          <w:p w14:paraId="1E6F6EF5">
            <w:pPr>
              <w:pStyle w:val="18"/>
              <w:spacing w:before="113" w:line="230" w:lineRule="auto"/>
              <w:ind w:left="414"/>
              <w:jc w:val="both"/>
              <w:rPr>
                <w:color w:val="auto"/>
                <w:highlight w:val="none"/>
              </w:rPr>
            </w:pPr>
            <w:r>
              <w:rPr>
                <w:b/>
                <w:bCs/>
                <w:color w:val="auto"/>
                <w:spacing w:val="6"/>
                <w:highlight w:val="none"/>
              </w:rPr>
              <w:t>联系地址</w:t>
            </w:r>
          </w:p>
        </w:tc>
        <w:tc>
          <w:tcPr>
            <w:tcW w:w="4151" w:type="dxa"/>
            <w:tcBorders>
              <w:top w:val="single" w:color="auto" w:sz="4" w:space="0"/>
            </w:tcBorders>
            <w:vAlign w:val="center"/>
          </w:tcPr>
          <w:p w14:paraId="7B4DF716">
            <w:pPr>
              <w:keepNext w:val="0"/>
              <w:keepLines w:val="0"/>
              <w:pageBreakBefore w:val="0"/>
              <w:widowControl w:val="0"/>
              <w:kinsoku/>
              <w:wordWrap w:val="0"/>
              <w:overflowPunct/>
              <w:topLinePunct w:val="0"/>
              <w:autoSpaceDE/>
              <w:autoSpaceDN/>
              <w:bidi w:val="0"/>
              <w:adjustRightInd w:val="0"/>
              <w:snapToGrid w:val="0"/>
              <w:spacing w:line="360" w:lineRule="exact"/>
              <w:jc w:val="both"/>
              <w:textAlignment w:val="auto"/>
              <w:rPr>
                <w:rFonts w:hint="default" w:ascii="宋体" w:hAnsi="宋体" w:eastAsia="宋体" w:cs="宋体"/>
                <w:snapToGrid w:val="0"/>
                <w:color w:val="auto"/>
                <w:kern w:val="0"/>
                <w:sz w:val="20"/>
                <w:szCs w:val="20"/>
                <w:highlight w:val="none"/>
                <w:lang w:val="en-US" w:eastAsia="zh-CN"/>
              </w:rPr>
            </w:pPr>
            <w:r>
              <w:rPr>
                <w:rFonts w:hint="eastAsia" w:ascii="宋体" w:hAnsi="宋体" w:eastAsia="宋体" w:cs="宋体"/>
                <w:snapToGrid w:val="0"/>
                <w:color w:val="auto"/>
                <w:kern w:val="0"/>
                <w:sz w:val="20"/>
                <w:szCs w:val="20"/>
                <w:highlight w:val="none"/>
                <w:lang w:val="en-US" w:eastAsia="zh-CN"/>
              </w:rPr>
              <w:t>韶关市乐昌市公主下路62号</w:t>
            </w:r>
          </w:p>
        </w:tc>
      </w:tr>
      <w:tr w14:paraId="11414E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2" w:hRule="atLeast"/>
        </w:trPr>
        <w:tc>
          <w:tcPr>
            <w:tcW w:w="1903" w:type="dxa"/>
            <w:vAlign w:val="center"/>
          </w:tcPr>
          <w:p w14:paraId="5B123A9C">
            <w:pPr>
              <w:pStyle w:val="18"/>
              <w:spacing w:before="48" w:line="228" w:lineRule="auto"/>
              <w:ind w:left="324"/>
              <w:jc w:val="both"/>
              <w:rPr>
                <w:color w:val="auto"/>
                <w:highlight w:val="none"/>
              </w:rPr>
            </w:pPr>
            <w:r>
              <w:rPr>
                <w:b/>
                <w:bCs/>
                <w:color w:val="auto"/>
                <w:spacing w:val="6"/>
                <w:highlight w:val="none"/>
              </w:rPr>
              <w:t>招标人联系人</w:t>
            </w:r>
          </w:p>
        </w:tc>
        <w:tc>
          <w:tcPr>
            <w:tcW w:w="1979" w:type="dxa"/>
            <w:vAlign w:val="center"/>
          </w:tcPr>
          <w:p w14:paraId="6FEAEA48">
            <w:pPr>
              <w:keepNext w:val="0"/>
              <w:keepLines w:val="0"/>
              <w:pageBreakBefore w:val="0"/>
              <w:widowControl w:val="0"/>
              <w:kinsoku/>
              <w:wordWrap w:val="0"/>
              <w:overflowPunct/>
              <w:topLinePunct w:val="0"/>
              <w:autoSpaceDE/>
              <w:autoSpaceDN/>
              <w:bidi w:val="0"/>
              <w:adjustRightInd w:val="0"/>
              <w:snapToGrid w:val="0"/>
              <w:spacing w:line="360" w:lineRule="exact"/>
              <w:jc w:val="center"/>
              <w:textAlignment w:val="auto"/>
              <w:rPr>
                <w:rFonts w:hint="default" w:ascii="宋体" w:hAnsi="宋体" w:eastAsia="宋体" w:cs="宋体"/>
                <w:snapToGrid w:val="0"/>
                <w:color w:val="auto"/>
                <w:kern w:val="0"/>
                <w:sz w:val="20"/>
                <w:szCs w:val="20"/>
                <w:highlight w:val="none"/>
                <w:lang w:val="en-US" w:eastAsia="zh-CN"/>
              </w:rPr>
            </w:pPr>
            <w:r>
              <w:rPr>
                <w:rFonts w:hint="eastAsia" w:ascii="宋体" w:hAnsi="宋体" w:eastAsia="宋体" w:cs="宋体"/>
                <w:snapToGrid w:val="0"/>
                <w:color w:val="auto"/>
                <w:kern w:val="0"/>
                <w:sz w:val="20"/>
                <w:szCs w:val="20"/>
                <w:highlight w:val="none"/>
                <w:lang w:val="en-US" w:eastAsia="zh-CN"/>
              </w:rPr>
              <w:t>扶工</w:t>
            </w:r>
          </w:p>
        </w:tc>
        <w:tc>
          <w:tcPr>
            <w:tcW w:w="1663" w:type="dxa"/>
            <w:vAlign w:val="center"/>
          </w:tcPr>
          <w:p w14:paraId="238AC10A">
            <w:pPr>
              <w:pStyle w:val="18"/>
              <w:spacing w:before="47" w:line="230" w:lineRule="auto"/>
              <w:ind w:left="414"/>
              <w:jc w:val="both"/>
              <w:rPr>
                <w:color w:val="auto"/>
                <w:highlight w:val="none"/>
              </w:rPr>
            </w:pPr>
            <w:r>
              <w:rPr>
                <w:b/>
                <w:bCs/>
                <w:color w:val="auto"/>
                <w:spacing w:val="6"/>
                <w:highlight w:val="none"/>
              </w:rPr>
              <w:t>联系电话</w:t>
            </w:r>
          </w:p>
        </w:tc>
        <w:tc>
          <w:tcPr>
            <w:tcW w:w="4151" w:type="dxa"/>
            <w:vAlign w:val="center"/>
          </w:tcPr>
          <w:p w14:paraId="2FCF5033">
            <w:pPr>
              <w:keepNext w:val="0"/>
              <w:keepLines w:val="0"/>
              <w:pageBreakBefore w:val="0"/>
              <w:widowControl w:val="0"/>
              <w:kinsoku/>
              <w:wordWrap w:val="0"/>
              <w:overflowPunct/>
              <w:topLinePunct w:val="0"/>
              <w:autoSpaceDE/>
              <w:autoSpaceDN/>
              <w:bidi w:val="0"/>
              <w:adjustRightInd w:val="0"/>
              <w:snapToGrid w:val="0"/>
              <w:spacing w:line="360" w:lineRule="exact"/>
              <w:jc w:val="both"/>
              <w:textAlignment w:val="auto"/>
              <w:rPr>
                <w:rFonts w:hint="default" w:ascii="宋体" w:hAnsi="宋体" w:eastAsia="宋体" w:cs="宋体"/>
                <w:snapToGrid w:val="0"/>
                <w:color w:val="auto"/>
                <w:kern w:val="0"/>
                <w:sz w:val="20"/>
                <w:szCs w:val="20"/>
                <w:highlight w:val="none"/>
                <w:lang w:val="en-US" w:eastAsia="zh-CN"/>
              </w:rPr>
            </w:pPr>
            <w:r>
              <w:rPr>
                <w:rFonts w:hint="eastAsia" w:ascii="宋体" w:hAnsi="宋体" w:eastAsia="宋体" w:cs="宋体"/>
                <w:snapToGrid w:val="0"/>
                <w:color w:val="auto"/>
                <w:kern w:val="0"/>
                <w:sz w:val="20"/>
                <w:szCs w:val="20"/>
                <w:highlight w:val="none"/>
                <w:lang w:val="en-US" w:eastAsia="zh-CN"/>
              </w:rPr>
              <w:t>0751-5552728</w:t>
            </w:r>
          </w:p>
        </w:tc>
      </w:tr>
      <w:tr w14:paraId="3970D5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8" w:hRule="atLeast"/>
        </w:trPr>
        <w:tc>
          <w:tcPr>
            <w:tcW w:w="1903" w:type="dxa"/>
            <w:vAlign w:val="center"/>
          </w:tcPr>
          <w:p w14:paraId="425A3AC1">
            <w:pPr>
              <w:pStyle w:val="18"/>
              <w:spacing w:before="37" w:line="227" w:lineRule="auto"/>
              <w:ind w:left="324"/>
              <w:jc w:val="both"/>
              <w:rPr>
                <w:color w:val="auto"/>
                <w:highlight w:val="none"/>
              </w:rPr>
            </w:pPr>
            <w:r>
              <w:rPr>
                <w:b/>
                <w:bCs/>
                <w:color w:val="auto"/>
                <w:spacing w:val="6"/>
                <w:highlight w:val="none"/>
              </w:rPr>
              <w:t>招标代理机构</w:t>
            </w:r>
          </w:p>
        </w:tc>
        <w:tc>
          <w:tcPr>
            <w:tcW w:w="1979" w:type="dxa"/>
            <w:vAlign w:val="center"/>
          </w:tcPr>
          <w:p w14:paraId="0CBE6422">
            <w:pPr>
              <w:keepNext w:val="0"/>
              <w:keepLines w:val="0"/>
              <w:pageBreakBefore w:val="0"/>
              <w:widowControl w:val="0"/>
              <w:kinsoku/>
              <w:wordWrap w:val="0"/>
              <w:overflowPunct/>
              <w:topLinePunct w:val="0"/>
              <w:autoSpaceDE/>
              <w:autoSpaceDN/>
              <w:bidi w:val="0"/>
              <w:adjustRightInd w:val="0"/>
              <w:snapToGrid w:val="0"/>
              <w:spacing w:line="360" w:lineRule="exact"/>
              <w:jc w:val="both"/>
              <w:textAlignment w:val="auto"/>
              <w:rPr>
                <w:rFonts w:hint="default" w:ascii="宋体" w:hAnsi="宋体" w:eastAsia="宋体" w:cs="宋体"/>
                <w:snapToGrid w:val="0"/>
                <w:color w:val="auto"/>
                <w:kern w:val="0"/>
                <w:sz w:val="20"/>
                <w:szCs w:val="20"/>
                <w:highlight w:val="none"/>
                <w:lang w:val="en-US" w:eastAsia="zh-CN"/>
              </w:rPr>
            </w:pPr>
            <w:r>
              <w:rPr>
                <w:rFonts w:hint="eastAsia" w:ascii="宋体" w:hAnsi="宋体" w:eastAsia="宋体" w:cs="宋体"/>
                <w:snapToGrid w:val="0"/>
                <w:color w:val="auto"/>
                <w:kern w:val="0"/>
                <w:sz w:val="20"/>
                <w:szCs w:val="20"/>
                <w:highlight w:val="none"/>
                <w:lang w:val="en-US" w:eastAsia="zh-CN"/>
              </w:rPr>
              <w:t>韶关市统乔招标代理有限公司</w:t>
            </w:r>
          </w:p>
        </w:tc>
        <w:tc>
          <w:tcPr>
            <w:tcW w:w="1663" w:type="dxa"/>
            <w:vAlign w:val="center"/>
          </w:tcPr>
          <w:p w14:paraId="263334FD">
            <w:pPr>
              <w:pStyle w:val="18"/>
              <w:spacing w:before="37" w:line="230" w:lineRule="auto"/>
              <w:ind w:left="414"/>
              <w:jc w:val="both"/>
              <w:rPr>
                <w:color w:val="auto"/>
                <w:highlight w:val="none"/>
              </w:rPr>
            </w:pPr>
            <w:r>
              <w:rPr>
                <w:b/>
                <w:bCs/>
                <w:color w:val="auto"/>
                <w:spacing w:val="6"/>
                <w:highlight w:val="none"/>
              </w:rPr>
              <w:t>联系地址</w:t>
            </w:r>
          </w:p>
        </w:tc>
        <w:tc>
          <w:tcPr>
            <w:tcW w:w="4151" w:type="dxa"/>
            <w:vAlign w:val="center"/>
          </w:tcPr>
          <w:p w14:paraId="6E129753">
            <w:pPr>
              <w:keepNext w:val="0"/>
              <w:keepLines w:val="0"/>
              <w:pageBreakBefore w:val="0"/>
              <w:widowControl w:val="0"/>
              <w:kinsoku/>
              <w:wordWrap w:val="0"/>
              <w:overflowPunct/>
              <w:topLinePunct w:val="0"/>
              <w:autoSpaceDE/>
              <w:autoSpaceDN/>
              <w:bidi w:val="0"/>
              <w:adjustRightInd w:val="0"/>
              <w:snapToGrid w:val="0"/>
              <w:spacing w:line="360" w:lineRule="exact"/>
              <w:jc w:val="both"/>
              <w:textAlignment w:val="auto"/>
              <w:rPr>
                <w:rFonts w:hint="default" w:ascii="宋体" w:hAnsi="宋体" w:eastAsia="宋体" w:cs="宋体"/>
                <w:snapToGrid w:val="0"/>
                <w:color w:val="auto"/>
                <w:kern w:val="0"/>
                <w:sz w:val="20"/>
                <w:szCs w:val="20"/>
                <w:highlight w:val="none"/>
                <w:lang w:val="en-US" w:eastAsia="zh-CN"/>
              </w:rPr>
            </w:pPr>
            <w:r>
              <w:rPr>
                <w:rFonts w:hint="eastAsia" w:ascii="宋体" w:hAnsi="宋体" w:eastAsia="宋体" w:cs="宋体"/>
                <w:snapToGrid w:val="0"/>
                <w:color w:val="auto"/>
                <w:kern w:val="0"/>
                <w:sz w:val="20"/>
                <w:szCs w:val="20"/>
                <w:highlight w:val="none"/>
                <w:lang w:val="en-US" w:eastAsia="zh-CN"/>
              </w:rPr>
              <w:t>乐昌市人民北路95号二层</w:t>
            </w:r>
          </w:p>
        </w:tc>
      </w:tr>
      <w:tr w14:paraId="2A84F1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1903" w:type="dxa"/>
            <w:vAlign w:val="center"/>
          </w:tcPr>
          <w:p w14:paraId="731F8421">
            <w:pPr>
              <w:pStyle w:val="18"/>
              <w:spacing w:before="34" w:line="228" w:lineRule="auto"/>
              <w:ind w:left="219"/>
              <w:jc w:val="both"/>
              <w:rPr>
                <w:color w:val="auto"/>
                <w:highlight w:val="none"/>
              </w:rPr>
            </w:pPr>
            <w:r>
              <w:rPr>
                <w:b/>
                <w:bCs/>
                <w:color w:val="auto"/>
                <w:spacing w:val="7"/>
                <w:highlight w:val="none"/>
              </w:rPr>
              <w:t>招标代理联系人</w:t>
            </w:r>
          </w:p>
        </w:tc>
        <w:tc>
          <w:tcPr>
            <w:tcW w:w="1979" w:type="dxa"/>
            <w:vAlign w:val="center"/>
          </w:tcPr>
          <w:p w14:paraId="7B3DD06C">
            <w:pPr>
              <w:keepNext w:val="0"/>
              <w:keepLines w:val="0"/>
              <w:pageBreakBefore w:val="0"/>
              <w:widowControl w:val="0"/>
              <w:kinsoku/>
              <w:wordWrap w:val="0"/>
              <w:overflowPunct/>
              <w:topLinePunct w:val="0"/>
              <w:autoSpaceDE/>
              <w:autoSpaceDN/>
              <w:bidi w:val="0"/>
              <w:adjustRightInd w:val="0"/>
              <w:snapToGrid w:val="0"/>
              <w:spacing w:line="360" w:lineRule="exact"/>
              <w:jc w:val="center"/>
              <w:textAlignment w:val="auto"/>
              <w:rPr>
                <w:rFonts w:hint="default" w:ascii="宋体" w:hAnsi="宋体" w:eastAsia="宋体" w:cs="宋体"/>
                <w:snapToGrid w:val="0"/>
                <w:color w:val="auto"/>
                <w:kern w:val="0"/>
                <w:sz w:val="20"/>
                <w:szCs w:val="20"/>
                <w:highlight w:val="none"/>
                <w:lang w:val="en-US" w:eastAsia="zh-CN"/>
              </w:rPr>
            </w:pPr>
            <w:r>
              <w:rPr>
                <w:rFonts w:hint="eastAsia" w:ascii="宋体" w:hAnsi="宋体" w:eastAsia="宋体" w:cs="宋体"/>
                <w:snapToGrid w:val="0"/>
                <w:color w:val="auto"/>
                <w:kern w:val="0"/>
                <w:sz w:val="20"/>
                <w:szCs w:val="20"/>
                <w:highlight w:val="none"/>
                <w:lang w:val="en-US" w:eastAsia="zh-CN"/>
              </w:rPr>
              <w:t>李广</w:t>
            </w:r>
          </w:p>
        </w:tc>
        <w:tc>
          <w:tcPr>
            <w:tcW w:w="1663" w:type="dxa"/>
            <w:vAlign w:val="center"/>
          </w:tcPr>
          <w:p w14:paraId="64EBE922">
            <w:pPr>
              <w:pStyle w:val="18"/>
              <w:spacing w:before="34" w:line="230" w:lineRule="auto"/>
              <w:ind w:left="414"/>
              <w:jc w:val="both"/>
              <w:rPr>
                <w:color w:val="auto"/>
                <w:highlight w:val="none"/>
              </w:rPr>
            </w:pPr>
            <w:r>
              <w:rPr>
                <w:b/>
                <w:bCs/>
                <w:color w:val="auto"/>
                <w:spacing w:val="6"/>
                <w:highlight w:val="none"/>
              </w:rPr>
              <w:t>联系电话</w:t>
            </w:r>
          </w:p>
        </w:tc>
        <w:tc>
          <w:tcPr>
            <w:tcW w:w="4151" w:type="dxa"/>
            <w:vAlign w:val="center"/>
          </w:tcPr>
          <w:p w14:paraId="428EEE5F">
            <w:pPr>
              <w:keepNext w:val="0"/>
              <w:keepLines w:val="0"/>
              <w:pageBreakBefore w:val="0"/>
              <w:widowControl w:val="0"/>
              <w:kinsoku/>
              <w:wordWrap w:val="0"/>
              <w:overflowPunct/>
              <w:topLinePunct w:val="0"/>
              <w:autoSpaceDE/>
              <w:autoSpaceDN/>
              <w:bidi w:val="0"/>
              <w:adjustRightInd w:val="0"/>
              <w:snapToGrid w:val="0"/>
              <w:spacing w:line="360" w:lineRule="exact"/>
              <w:jc w:val="both"/>
              <w:textAlignment w:val="auto"/>
              <w:rPr>
                <w:rFonts w:hint="default" w:ascii="宋体" w:hAnsi="宋体" w:eastAsia="宋体" w:cs="宋体"/>
                <w:snapToGrid w:val="0"/>
                <w:color w:val="auto"/>
                <w:kern w:val="0"/>
                <w:sz w:val="20"/>
                <w:szCs w:val="20"/>
                <w:highlight w:val="none"/>
                <w:lang w:val="en-US" w:eastAsia="zh-CN"/>
              </w:rPr>
            </w:pPr>
            <w:r>
              <w:rPr>
                <w:rFonts w:hint="eastAsia" w:ascii="宋体" w:hAnsi="宋体" w:eastAsia="宋体" w:cs="宋体"/>
                <w:snapToGrid w:val="0"/>
                <w:color w:val="auto"/>
                <w:kern w:val="0"/>
                <w:sz w:val="20"/>
                <w:szCs w:val="20"/>
                <w:highlight w:val="none"/>
                <w:lang w:val="en-US" w:eastAsia="zh-CN"/>
              </w:rPr>
              <w:t>0751-6926181</w:t>
            </w:r>
          </w:p>
        </w:tc>
      </w:tr>
      <w:tr w14:paraId="68B71D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6" w:hRule="atLeast"/>
        </w:trPr>
        <w:tc>
          <w:tcPr>
            <w:tcW w:w="1903" w:type="dxa"/>
            <w:vAlign w:val="center"/>
          </w:tcPr>
          <w:p w14:paraId="0D90D60B">
            <w:pPr>
              <w:pStyle w:val="18"/>
              <w:spacing w:before="96" w:line="227" w:lineRule="auto"/>
              <w:ind w:left="324"/>
              <w:jc w:val="both"/>
              <w:rPr>
                <w:color w:val="auto"/>
                <w:highlight w:val="none"/>
              </w:rPr>
            </w:pPr>
            <w:r>
              <w:rPr>
                <w:b/>
                <w:bCs/>
                <w:color w:val="auto"/>
                <w:spacing w:val="6"/>
                <w:highlight w:val="none"/>
              </w:rPr>
              <w:t>招标监督机构</w:t>
            </w:r>
          </w:p>
        </w:tc>
        <w:tc>
          <w:tcPr>
            <w:tcW w:w="1979" w:type="dxa"/>
            <w:vAlign w:val="center"/>
          </w:tcPr>
          <w:p w14:paraId="2F59214D">
            <w:pPr>
              <w:keepNext w:val="0"/>
              <w:keepLines w:val="0"/>
              <w:pageBreakBefore w:val="0"/>
              <w:widowControl w:val="0"/>
              <w:kinsoku/>
              <w:wordWrap w:val="0"/>
              <w:overflowPunct/>
              <w:topLinePunct w:val="0"/>
              <w:autoSpaceDE/>
              <w:autoSpaceDN/>
              <w:bidi w:val="0"/>
              <w:adjustRightInd w:val="0"/>
              <w:snapToGrid w:val="0"/>
              <w:spacing w:line="360" w:lineRule="exact"/>
              <w:jc w:val="both"/>
              <w:textAlignment w:val="auto"/>
              <w:rPr>
                <w:rFonts w:hint="default" w:ascii="宋体" w:hAnsi="宋体" w:eastAsia="宋体" w:cs="宋体"/>
                <w:snapToGrid w:val="0"/>
                <w:color w:val="auto"/>
                <w:kern w:val="0"/>
                <w:sz w:val="20"/>
                <w:szCs w:val="20"/>
                <w:highlight w:val="none"/>
                <w:lang w:val="en-US" w:eastAsia="zh-CN"/>
              </w:rPr>
            </w:pPr>
            <w:r>
              <w:rPr>
                <w:rFonts w:hint="eastAsia" w:ascii="宋体" w:hAnsi="宋体" w:eastAsia="宋体" w:cs="宋体"/>
                <w:snapToGrid w:val="0"/>
                <w:color w:val="auto"/>
                <w:kern w:val="0"/>
                <w:sz w:val="20"/>
                <w:szCs w:val="20"/>
                <w:highlight w:val="none"/>
                <w:lang w:val="en-US" w:eastAsia="zh-CN"/>
              </w:rPr>
              <w:t>韶关市交通运输局</w:t>
            </w:r>
          </w:p>
        </w:tc>
        <w:tc>
          <w:tcPr>
            <w:tcW w:w="1663" w:type="dxa"/>
            <w:vAlign w:val="center"/>
          </w:tcPr>
          <w:p w14:paraId="33249D41">
            <w:pPr>
              <w:pStyle w:val="18"/>
              <w:spacing w:before="96" w:line="230" w:lineRule="auto"/>
              <w:ind w:left="414"/>
              <w:jc w:val="both"/>
              <w:rPr>
                <w:color w:val="auto"/>
                <w:highlight w:val="none"/>
              </w:rPr>
            </w:pPr>
            <w:r>
              <w:rPr>
                <w:b/>
                <w:bCs/>
                <w:color w:val="auto"/>
                <w:spacing w:val="6"/>
                <w:highlight w:val="none"/>
              </w:rPr>
              <w:t>联系电话</w:t>
            </w:r>
          </w:p>
        </w:tc>
        <w:tc>
          <w:tcPr>
            <w:tcW w:w="4151" w:type="dxa"/>
            <w:vAlign w:val="center"/>
          </w:tcPr>
          <w:p w14:paraId="1C8EE6DB">
            <w:pPr>
              <w:keepNext w:val="0"/>
              <w:keepLines w:val="0"/>
              <w:pageBreakBefore w:val="0"/>
              <w:widowControl w:val="0"/>
              <w:kinsoku/>
              <w:wordWrap w:val="0"/>
              <w:overflowPunct/>
              <w:topLinePunct w:val="0"/>
              <w:autoSpaceDE/>
              <w:autoSpaceDN/>
              <w:bidi w:val="0"/>
              <w:adjustRightInd w:val="0"/>
              <w:snapToGrid w:val="0"/>
              <w:spacing w:line="360" w:lineRule="exact"/>
              <w:jc w:val="both"/>
              <w:textAlignment w:val="auto"/>
              <w:rPr>
                <w:rFonts w:hint="default" w:ascii="宋体" w:hAnsi="宋体" w:eastAsia="宋体" w:cs="宋体"/>
                <w:snapToGrid w:val="0"/>
                <w:color w:val="auto"/>
                <w:kern w:val="0"/>
                <w:sz w:val="20"/>
                <w:szCs w:val="20"/>
                <w:highlight w:val="none"/>
                <w:lang w:val="en-US" w:eastAsia="zh-CN"/>
              </w:rPr>
            </w:pPr>
            <w:r>
              <w:rPr>
                <w:rFonts w:hint="eastAsia" w:ascii="宋体" w:hAnsi="宋体" w:eastAsia="宋体" w:cs="宋体"/>
                <w:snapToGrid w:val="0"/>
                <w:color w:val="auto"/>
                <w:kern w:val="0"/>
                <w:sz w:val="20"/>
                <w:szCs w:val="20"/>
                <w:highlight w:val="none"/>
                <w:lang w:val="en-US" w:eastAsia="zh-CN"/>
              </w:rPr>
              <w:t>0751-8877330</w:t>
            </w:r>
          </w:p>
        </w:tc>
      </w:tr>
      <w:tr w14:paraId="5FF6EE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1903" w:type="dxa"/>
            <w:vAlign w:val="top"/>
          </w:tcPr>
          <w:p w14:paraId="36946598">
            <w:pPr>
              <w:spacing w:line="258" w:lineRule="auto"/>
              <w:rPr>
                <w:rFonts w:ascii="Arial"/>
                <w:color w:val="auto"/>
                <w:sz w:val="21"/>
                <w:highlight w:val="none"/>
              </w:rPr>
            </w:pPr>
          </w:p>
          <w:p w14:paraId="761C265C">
            <w:pPr>
              <w:spacing w:line="258" w:lineRule="auto"/>
              <w:rPr>
                <w:rFonts w:ascii="Arial"/>
                <w:color w:val="auto"/>
                <w:sz w:val="21"/>
                <w:highlight w:val="none"/>
              </w:rPr>
            </w:pPr>
          </w:p>
          <w:p w14:paraId="44A3586F">
            <w:pPr>
              <w:spacing w:line="258" w:lineRule="auto"/>
              <w:rPr>
                <w:rFonts w:ascii="Arial"/>
                <w:color w:val="auto"/>
                <w:sz w:val="21"/>
                <w:highlight w:val="none"/>
              </w:rPr>
            </w:pPr>
          </w:p>
          <w:p w14:paraId="503A14BC">
            <w:pPr>
              <w:spacing w:line="258" w:lineRule="auto"/>
              <w:rPr>
                <w:rFonts w:ascii="Arial"/>
                <w:color w:val="auto"/>
                <w:sz w:val="21"/>
                <w:highlight w:val="none"/>
              </w:rPr>
            </w:pPr>
          </w:p>
          <w:p w14:paraId="78C31DA0">
            <w:pPr>
              <w:spacing w:line="258" w:lineRule="auto"/>
              <w:rPr>
                <w:rFonts w:ascii="Arial"/>
                <w:color w:val="auto"/>
                <w:sz w:val="21"/>
                <w:highlight w:val="none"/>
              </w:rPr>
            </w:pPr>
          </w:p>
          <w:p w14:paraId="2EE0DDCD">
            <w:pPr>
              <w:spacing w:line="258" w:lineRule="auto"/>
              <w:rPr>
                <w:rFonts w:ascii="Arial"/>
                <w:color w:val="auto"/>
                <w:sz w:val="21"/>
                <w:highlight w:val="none"/>
              </w:rPr>
            </w:pPr>
          </w:p>
          <w:p w14:paraId="28E4EC71">
            <w:pPr>
              <w:spacing w:line="259" w:lineRule="auto"/>
              <w:rPr>
                <w:rFonts w:ascii="Arial"/>
                <w:color w:val="auto"/>
                <w:sz w:val="21"/>
                <w:highlight w:val="none"/>
              </w:rPr>
            </w:pPr>
          </w:p>
          <w:p w14:paraId="299227D9">
            <w:pPr>
              <w:pStyle w:val="18"/>
              <w:spacing w:before="65" w:line="378" w:lineRule="auto"/>
              <w:ind w:left="554" w:right="213" w:hanging="335"/>
              <w:rPr>
                <w:color w:val="auto"/>
                <w:highlight w:val="none"/>
              </w:rPr>
            </w:pPr>
            <w:r>
              <w:rPr>
                <w:b/>
                <w:bCs/>
                <w:color w:val="auto"/>
                <w:spacing w:val="7"/>
                <w:highlight w:val="none"/>
              </w:rPr>
              <w:t>其他依法应当载</w:t>
            </w:r>
            <w:r>
              <w:rPr>
                <w:b/>
                <w:bCs/>
                <w:color w:val="auto"/>
                <w:spacing w:val="1"/>
                <w:highlight w:val="none"/>
              </w:rPr>
              <w:t>明的内容</w:t>
            </w:r>
          </w:p>
        </w:tc>
        <w:tc>
          <w:tcPr>
            <w:tcW w:w="7793" w:type="dxa"/>
            <w:gridSpan w:val="3"/>
            <w:vAlign w:val="top"/>
          </w:tcPr>
          <w:p w14:paraId="3922107E">
            <w:pPr>
              <w:pStyle w:val="18"/>
              <w:spacing w:before="46" w:line="360" w:lineRule="auto"/>
              <w:ind w:left="120" w:right="113" w:firstLine="12"/>
              <w:rPr>
                <w:rFonts w:hint="eastAsia"/>
                <w:color w:val="auto"/>
                <w:highlight w:val="none"/>
                <w:u w:val="single" w:color="auto"/>
              </w:rPr>
            </w:pPr>
            <w:r>
              <w:rPr>
                <w:color w:val="auto"/>
                <w:spacing w:val="9"/>
                <w:highlight w:val="none"/>
              </w:rPr>
              <w:t>1.本招标项目</w:t>
            </w:r>
            <w:r>
              <w:rPr>
                <w:color w:val="auto"/>
                <w:spacing w:val="9"/>
                <w:highlight w:val="none"/>
                <w:u w:val="single" w:color="auto"/>
              </w:rPr>
              <w:t xml:space="preserve"> </w:t>
            </w:r>
            <w:r>
              <w:rPr>
                <w:rFonts w:hint="eastAsia"/>
                <w:color w:val="auto"/>
                <w:spacing w:val="9"/>
                <w:highlight w:val="none"/>
                <w:u w:val="single" w:color="auto"/>
                <w:lang w:val="en-US" w:eastAsia="zh-CN"/>
              </w:rPr>
              <w:t>省道S247线乐昌金水湾至龙山温泉段改建工程</w:t>
            </w:r>
            <w:r>
              <w:rPr>
                <w:color w:val="auto"/>
                <w:spacing w:val="-53"/>
                <w:highlight w:val="none"/>
                <w:u w:val="single" w:color="auto"/>
              </w:rPr>
              <w:t xml:space="preserve"> </w:t>
            </w:r>
            <w:r>
              <w:rPr>
                <w:color w:val="auto"/>
                <w:spacing w:val="9"/>
                <w:highlight w:val="none"/>
              </w:rPr>
              <w:t>已由</w:t>
            </w:r>
            <w:r>
              <w:rPr>
                <w:color w:val="auto"/>
                <w:spacing w:val="8"/>
                <w:highlight w:val="none"/>
                <w:u w:val="single" w:color="auto"/>
              </w:rPr>
              <w:t xml:space="preserve"> </w:t>
            </w:r>
            <w:r>
              <w:rPr>
                <w:rFonts w:hint="eastAsia"/>
                <w:color w:val="auto"/>
                <w:spacing w:val="8"/>
                <w:highlight w:val="none"/>
                <w:u w:val="single" w:color="auto"/>
                <w:lang w:val="en-US" w:eastAsia="zh-CN"/>
              </w:rPr>
              <w:t>韶关市</w:t>
            </w:r>
            <w:r>
              <w:rPr>
                <w:color w:val="auto"/>
                <w:spacing w:val="8"/>
                <w:highlight w:val="none"/>
                <w:u w:val="single" w:color="auto"/>
                <w:lang w:val="en-US" w:eastAsia="zh-CN"/>
              </w:rPr>
              <w:t>发展和改革局</w:t>
            </w:r>
            <w:r>
              <w:rPr>
                <w:color w:val="auto"/>
                <w:spacing w:val="-48"/>
                <w:highlight w:val="none"/>
                <w:u w:val="single" w:color="auto"/>
              </w:rPr>
              <w:t xml:space="preserve"> </w:t>
            </w:r>
            <w:r>
              <w:rPr>
                <w:color w:val="auto"/>
                <w:spacing w:val="7"/>
                <w:highlight w:val="none"/>
              </w:rPr>
              <w:t>以</w:t>
            </w:r>
            <w:r>
              <w:rPr>
                <w:color w:val="auto"/>
                <w:spacing w:val="7"/>
                <w:highlight w:val="none"/>
                <w:u w:val="single" w:color="auto"/>
              </w:rPr>
              <w:t xml:space="preserve"> </w:t>
            </w:r>
            <w:r>
              <w:rPr>
                <w:rFonts w:hint="eastAsia"/>
                <w:color w:val="auto"/>
                <w:spacing w:val="7"/>
                <w:highlight w:val="none"/>
                <w:u w:val="single" w:color="auto"/>
                <w:lang w:eastAsia="zh-CN"/>
              </w:rPr>
              <w:t>《</w:t>
            </w:r>
            <w:r>
              <w:rPr>
                <w:rFonts w:hint="eastAsia"/>
                <w:color w:val="auto"/>
                <w:spacing w:val="7"/>
                <w:highlight w:val="none"/>
                <w:u w:val="single" w:color="auto"/>
                <w:lang w:val="en-US" w:eastAsia="zh-CN"/>
              </w:rPr>
              <w:t>韶关市发展和改革局关于省道S247线乐昌金水湾 至龙山温泉段改建工程项目可行性研究报告的批复</w:t>
            </w:r>
            <w:r>
              <w:rPr>
                <w:rFonts w:hint="eastAsia"/>
                <w:color w:val="auto"/>
                <w:spacing w:val="7"/>
                <w:highlight w:val="none"/>
                <w:u w:val="single" w:color="auto"/>
                <w:lang w:eastAsia="zh-CN"/>
              </w:rPr>
              <w:t>》（</w:t>
            </w:r>
            <w:r>
              <w:rPr>
                <w:rFonts w:hint="eastAsia"/>
                <w:color w:val="auto"/>
                <w:spacing w:val="7"/>
                <w:highlight w:val="none"/>
                <w:u w:val="single" w:color="auto"/>
                <w:lang w:val="en-US" w:eastAsia="zh-CN"/>
              </w:rPr>
              <w:t>韶发改投审〔2024〕51号</w:t>
            </w:r>
            <w:r>
              <w:rPr>
                <w:rFonts w:hint="eastAsia"/>
                <w:color w:val="auto"/>
                <w:spacing w:val="7"/>
                <w:highlight w:val="none"/>
                <w:u w:val="single" w:color="auto"/>
                <w:lang w:eastAsia="zh-CN"/>
              </w:rPr>
              <w:t>）</w:t>
            </w:r>
            <w:r>
              <w:rPr>
                <w:rFonts w:hint="eastAsia" w:ascii="宋体" w:hAnsi="宋体" w:cs="宋体"/>
                <w:color w:val="auto"/>
                <w:spacing w:val="4"/>
                <w:sz w:val="20"/>
                <w:szCs w:val="20"/>
                <w:highlight w:val="none"/>
                <w:u w:val="none"/>
                <w:lang w:val="en-US" w:eastAsia="zh-CN"/>
              </w:rPr>
              <w:t>、</w:t>
            </w:r>
            <w:r>
              <w:rPr>
                <w:rFonts w:hint="eastAsia" w:cs="宋体"/>
                <w:color w:val="auto"/>
                <w:spacing w:val="4"/>
                <w:sz w:val="20"/>
                <w:szCs w:val="20"/>
                <w:highlight w:val="none"/>
                <w:u w:val="single"/>
                <w:lang w:val="en-US" w:eastAsia="zh-CN"/>
              </w:rPr>
              <w:t>韶关</w:t>
            </w:r>
            <w:r>
              <w:rPr>
                <w:rFonts w:hint="eastAsia" w:cs="宋体"/>
                <w:color w:val="auto"/>
                <w:spacing w:val="4"/>
                <w:sz w:val="20"/>
                <w:szCs w:val="20"/>
                <w:highlight w:val="none"/>
                <w:u w:val="single"/>
                <w:lang w:eastAsia="zh-CN"/>
              </w:rPr>
              <w:t>市交通运输局</w:t>
            </w:r>
            <w:r>
              <w:rPr>
                <w:rFonts w:hint="eastAsia" w:ascii="宋体" w:hAnsi="宋体" w:cs="宋体"/>
                <w:color w:val="auto"/>
                <w:spacing w:val="4"/>
                <w:sz w:val="20"/>
                <w:szCs w:val="20"/>
                <w:highlight w:val="none"/>
              </w:rPr>
              <w:t>以</w:t>
            </w:r>
            <w:r>
              <w:rPr>
                <w:rFonts w:hint="eastAsia" w:cs="宋体"/>
                <w:color w:val="auto"/>
                <w:spacing w:val="4"/>
                <w:sz w:val="20"/>
                <w:szCs w:val="20"/>
                <w:highlight w:val="none"/>
                <w:u w:val="single"/>
                <w:lang w:eastAsia="zh-CN"/>
              </w:rPr>
              <w:t>《韶关市交通运输局关于省道S247 线乐昌金水湾至龙山温泉段改建工程初步设计的批复》</w:t>
            </w:r>
            <w:r>
              <w:rPr>
                <w:rFonts w:hint="eastAsia" w:ascii="宋体" w:hAnsi="宋体" w:cs="宋体"/>
                <w:color w:val="auto"/>
                <w:spacing w:val="4"/>
                <w:sz w:val="20"/>
                <w:szCs w:val="20"/>
                <w:highlight w:val="none"/>
                <w:u w:val="single"/>
              </w:rPr>
              <w:t>（</w:t>
            </w:r>
            <w:r>
              <w:rPr>
                <w:rFonts w:hint="eastAsia" w:cs="宋体"/>
                <w:color w:val="auto"/>
                <w:spacing w:val="4"/>
                <w:sz w:val="20"/>
                <w:szCs w:val="20"/>
                <w:highlight w:val="none"/>
                <w:u w:val="single"/>
                <w:lang w:val="en-US" w:eastAsia="zh-CN"/>
              </w:rPr>
              <w:t>韶交基函〔2025〕357 号</w:t>
            </w:r>
            <w:r>
              <w:rPr>
                <w:rFonts w:hint="eastAsia" w:ascii="宋体" w:hAnsi="宋体" w:cs="宋体"/>
                <w:color w:val="auto"/>
                <w:spacing w:val="4"/>
                <w:sz w:val="20"/>
                <w:szCs w:val="20"/>
                <w:highlight w:val="none"/>
                <w:u w:val="single"/>
              </w:rPr>
              <w:t>）</w:t>
            </w:r>
            <w:r>
              <w:rPr>
                <w:rFonts w:hint="eastAsia" w:ascii="宋体" w:hAnsi="宋体" w:cs="宋体"/>
                <w:color w:val="auto"/>
                <w:spacing w:val="4"/>
                <w:sz w:val="20"/>
                <w:szCs w:val="20"/>
                <w:highlight w:val="none"/>
              </w:rPr>
              <w:t>批准建设</w:t>
            </w:r>
            <w:r>
              <w:rPr>
                <w:color w:val="auto"/>
                <w:spacing w:val="7"/>
                <w:highlight w:val="none"/>
              </w:rPr>
              <w:t>批准建设，</w:t>
            </w:r>
            <w:r>
              <w:rPr>
                <w:rFonts w:hint="eastAsia"/>
                <w:color w:val="auto"/>
                <w:spacing w:val="7"/>
                <w:highlight w:val="none"/>
                <w:lang w:val="en-US" w:eastAsia="zh-CN"/>
              </w:rPr>
              <w:t>施工图</w:t>
            </w:r>
            <w:r>
              <w:rPr>
                <w:color w:val="auto"/>
                <w:spacing w:val="7"/>
                <w:highlight w:val="none"/>
              </w:rPr>
              <w:t>设计已由</w:t>
            </w:r>
            <w:r>
              <w:rPr>
                <w:color w:val="auto"/>
                <w:spacing w:val="7"/>
                <w:highlight w:val="none"/>
                <w:u w:val="single" w:color="auto"/>
              </w:rPr>
              <w:t xml:space="preserve"> </w:t>
            </w:r>
            <w:r>
              <w:rPr>
                <w:rFonts w:hint="eastAsia"/>
                <w:color w:val="auto"/>
                <w:spacing w:val="7"/>
                <w:highlight w:val="none"/>
                <w:u w:val="single" w:color="auto"/>
                <w:lang w:val="en-US" w:eastAsia="zh-CN"/>
              </w:rPr>
              <w:t>韶关</w:t>
            </w:r>
            <w:r>
              <w:rPr>
                <w:rFonts w:hint="eastAsia"/>
                <w:color w:val="auto"/>
                <w:spacing w:val="7"/>
                <w:highlight w:val="none"/>
                <w:u w:val="single" w:color="auto"/>
                <w:lang w:eastAsia="zh-CN"/>
              </w:rPr>
              <w:t>市交通运输局</w:t>
            </w:r>
            <w:r>
              <w:rPr>
                <w:color w:val="auto"/>
                <w:spacing w:val="12"/>
                <w:highlight w:val="none"/>
              </w:rPr>
              <w:t>以</w:t>
            </w:r>
            <w:r>
              <w:rPr>
                <w:color w:val="auto"/>
                <w:spacing w:val="-92"/>
                <w:highlight w:val="none"/>
              </w:rPr>
              <w:t xml:space="preserve"> </w:t>
            </w:r>
            <w:r>
              <w:rPr>
                <w:color w:val="auto"/>
                <w:highlight w:val="none"/>
                <w:u w:val="single" w:color="auto"/>
              </w:rPr>
              <w:t xml:space="preserve"> </w:t>
            </w:r>
            <w:r>
              <w:rPr>
                <w:rFonts w:hint="eastAsia"/>
                <w:color w:val="auto"/>
                <w:highlight w:val="none"/>
                <w:u w:val="single" w:color="auto"/>
                <w:lang w:eastAsia="zh-CN"/>
              </w:rPr>
              <w:t>《</w:t>
            </w:r>
            <w:r>
              <w:rPr>
                <w:rFonts w:hint="eastAsia"/>
                <w:color w:val="auto"/>
                <w:highlight w:val="none"/>
                <w:u w:val="single" w:color="auto"/>
              </w:rPr>
              <w:t>韶关市交通运输局关于省道 S247 线乐昌金水湾至龙山温泉段改建</w:t>
            </w:r>
          </w:p>
          <w:p w14:paraId="0AAD8A65">
            <w:pPr>
              <w:pStyle w:val="18"/>
              <w:spacing w:before="46" w:line="360" w:lineRule="auto"/>
              <w:ind w:left="120" w:right="113" w:firstLine="12"/>
              <w:rPr>
                <w:color w:val="auto"/>
                <w:highlight w:val="none"/>
              </w:rPr>
            </w:pPr>
            <w:r>
              <w:rPr>
                <w:rFonts w:hint="eastAsia"/>
                <w:color w:val="auto"/>
                <w:highlight w:val="none"/>
                <w:u w:val="single" w:color="auto"/>
              </w:rPr>
              <w:t>工程施工图设计的批复</w:t>
            </w:r>
            <w:r>
              <w:rPr>
                <w:rFonts w:hint="eastAsia"/>
                <w:color w:val="auto"/>
                <w:highlight w:val="none"/>
                <w:u w:val="single" w:color="auto"/>
                <w:lang w:eastAsia="zh-CN"/>
              </w:rPr>
              <w:t>》（</w:t>
            </w:r>
            <w:r>
              <w:rPr>
                <w:rFonts w:hint="eastAsia"/>
                <w:color w:val="auto"/>
                <w:highlight w:val="none"/>
                <w:u w:val="single" w:color="auto"/>
                <w:lang w:val="en-US" w:eastAsia="zh-CN"/>
              </w:rPr>
              <w:t>韶交基函〔2026〕73 号</w:t>
            </w:r>
            <w:r>
              <w:rPr>
                <w:color w:val="auto"/>
                <w:spacing w:val="12"/>
                <w:highlight w:val="none"/>
                <w:u w:val="single" w:color="auto"/>
              </w:rPr>
              <w:t>）</w:t>
            </w:r>
            <w:r>
              <w:rPr>
                <w:color w:val="auto"/>
                <w:spacing w:val="12"/>
                <w:highlight w:val="none"/>
              </w:rPr>
              <w:t>批准，建设单位为</w:t>
            </w:r>
            <w:r>
              <w:rPr>
                <w:color w:val="auto"/>
                <w:spacing w:val="-88"/>
                <w:highlight w:val="none"/>
              </w:rPr>
              <w:t xml:space="preserve"> </w:t>
            </w:r>
            <w:r>
              <w:rPr>
                <w:color w:val="auto"/>
                <w:spacing w:val="5"/>
                <w:highlight w:val="none"/>
                <w:u w:val="single" w:color="auto"/>
              </w:rPr>
              <w:t xml:space="preserve"> </w:t>
            </w:r>
            <w:r>
              <w:rPr>
                <w:rFonts w:hint="eastAsia"/>
                <w:color w:val="auto"/>
                <w:spacing w:val="5"/>
                <w:highlight w:val="none"/>
                <w:u w:val="single" w:color="auto"/>
                <w:lang w:val="en-US" w:eastAsia="zh-CN"/>
              </w:rPr>
              <w:t>乐昌市地方公路站</w:t>
            </w:r>
            <w:r>
              <w:rPr>
                <w:color w:val="auto"/>
                <w:spacing w:val="12"/>
                <w:highlight w:val="none"/>
                <w:u w:val="single" w:color="auto"/>
              </w:rPr>
              <w:t>，</w:t>
            </w:r>
            <w:r>
              <w:rPr>
                <w:color w:val="auto"/>
                <w:spacing w:val="12"/>
                <w:highlight w:val="none"/>
              </w:rPr>
              <w:t>招标人</w:t>
            </w:r>
            <w:r>
              <w:rPr>
                <w:color w:val="auto"/>
                <w:spacing w:val="-1"/>
                <w:highlight w:val="none"/>
              </w:rPr>
              <w:t>为</w:t>
            </w:r>
            <w:r>
              <w:rPr>
                <w:rFonts w:hint="eastAsia"/>
                <w:color w:val="auto"/>
                <w:spacing w:val="5"/>
                <w:highlight w:val="none"/>
                <w:u w:val="single" w:color="auto"/>
                <w:lang w:val="en-US" w:eastAsia="zh-CN"/>
              </w:rPr>
              <w:t>乐昌市地方公路站</w:t>
            </w:r>
            <w:r>
              <w:rPr>
                <w:color w:val="auto"/>
                <w:spacing w:val="4"/>
                <w:highlight w:val="none"/>
                <w:u w:val="single" w:color="auto"/>
              </w:rPr>
              <w:t xml:space="preserve"> </w:t>
            </w:r>
            <w:r>
              <w:rPr>
                <w:color w:val="auto"/>
                <w:spacing w:val="-1"/>
                <w:highlight w:val="none"/>
              </w:rPr>
              <w:t>。</w:t>
            </w:r>
          </w:p>
          <w:p w14:paraId="46DFEC8C">
            <w:pPr>
              <w:pStyle w:val="18"/>
              <w:spacing w:before="160" w:line="360" w:lineRule="auto"/>
              <w:ind w:left="117" w:right="113" w:firstLine="3"/>
              <w:rPr>
                <w:color w:val="auto"/>
                <w:highlight w:val="none"/>
              </w:rPr>
            </w:pPr>
            <w:r>
              <w:rPr>
                <w:color w:val="auto"/>
                <w:spacing w:val="11"/>
                <w:highlight w:val="none"/>
              </w:rPr>
              <w:t>2.被广东省交通运输厅评为</w:t>
            </w:r>
            <w:r>
              <w:rPr>
                <w:color w:val="auto"/>
                <w:spacing w:val="-94"/>
                <w:highlight w:val="none"/>
              </w:rPr>
              <w:t xml:space="preserve"> </w:t>
            </w:r>
            <w:r>
              <w:rPr>
                <w:color w:val="auto"/>
                <w:spacing w:val="7"/>
                <w:highlight w:val="none"/>
                <w:u w:val="single" w:color="auto"/>
              </w:rPr>
              <w:t xml:space="preserve">  </w:t>
            </w:r>
            <w:r>
              <w:rPr>
                <w:rFonts w:hint="eastAsia"/>
                <w:color w:val="auto"/>
                <w:spacing w:val="7"/>
                <w:highlight w:val="none"/>
                <w:u w:val="single" w:color="auto"/>
                <w:lang w:val="en-US" w:eastAsia="zh-CN"/>
              </w:rPr>
              <w:t>/</w:t>
            </w:r>
            <w:r>
              <w:rPr>
                <w:color w:val="auto"/>
                <w:spacing w:val="7"/>
                <w:highlight w:val="none"/>
                <w:u w:val="single" w:color="auto"/>
              </w:rPr>
              <w:t xml:space="preserve">  </w:t>
            </w:r>
            <w:r>
              <w:rPr>
                <w:color w:val="auto"/>
                <w:spacing w:val="-86"/>
                <w:highlight w:val="none"/>
              </w:rPr>
              <w:t xml:space="preserve"> </w:t>
            </w:r>
            <w:r>
              <w:rPr>
                <w:color w:val="auto"/>
                <w:spacing w:val="11"/>
                <w:highlight w:val="none"/>
              </w:rPr>
              <w:t>级信用等级的投标人，最多可对其中的</w:t>
            </w:r>
            <w:r>
              <w:rPr>
                <w:color w:val="auto"/>
                <w:spacing w:val="-96"/>
                <w:highlight w:val="none"/>
              </w:rPr>
              <w:t xml:space="preserve"> </w:t>
            </w:r>
            <w:r>
              <w:rPr>
                <w:color w:val="auto"/>
                <w:spacing w:val="8"/>
                <w:highlight w:val="none"/>
                <w:u w:val="single" w:color="auto"/>
              </w:rPr>
              <w:t xml:space="preserve">   </w:t>
            </w:r>
            <w:r>
              <w:rPr>
                <w:rFonts w:hint="eastAsia"/>
                <w:color w:val="auto"/>
                <w:spacing w:val="8"/>
                <w:highlight w:val="none"/>
                <w:u w:val="single" w:color="auto"/>
                <w:lang w:val="en-US" w:eastAsia="zh-CN"/>
              </w:rPr>
              <w:t>/</w:t>
            </w:r>
            <w:r>
              <w:rPr>
                <w:color w:val="auto"/>
                <w:spacing w:val="8"/>
                <w:highlight w:val="none"/>
                <w:u w:val="single" w:color="auto"/>
              </w:rPr>
              <w:t xml:space="preserve">  </w:t>
            </w:r>
            <w:r>
              <w:rPr>
                <w:color w:val="auto"/>
                <w:spacing w:val="-91"/>
                <w:highlight w:val="none"/>
              </w:rPr>
              <w:t xml:space="preserve"> </w:t>
            </w:r>
            <w:r>
              <w:rPr>
                <w:color w:val="auto"/>
                <w:spacing w:val="11"/>
                <w:highlight w:val="none"/>
              </w:rPr>
              <w:t>个</w:t>
            </w:r>
            <w:r>
              <w:rPr>
                <w:color w:val="auto"/>
                <w:spacing w:val="11"/>
                <w:highlight w:val="none"/>
                <w:u w:val="single" w:color="auto"/>
              </w:rPr>
              <w:t>标</w:t>
            </w:r>
            <w:r>
              <w:rPr>
                <w:color w:val="auto"/>
                <w:spacing w:val="12"/>
                <w:highlight w:val="none"/>
                <w:u w:val="single" w:color="auto"/>
              </w:rPr>
              <w:t>类或标段</w:t>
            </w:r>
            <w:r>
              <w:rPr>
                <w:color w:val="auto"/>
                <w:spacing w:val="12"/>
                <w:highlight w:val="none"/>
              </w:rPr>
              <w:t>进行投标，其余投标人最多可对其中的</w:t>
            </w:r>
            <w:r>
              <w:rPr>
                <w:color w:val="auto"/>
                <w:spacing w:val="-85"/>
                <w:highlight w:val="none"/>
              </w:rPr>
              <w:t xml:space="preserve"> </w:t>
            </w:r>
            <w:r>
              <w:rPr>
                <w:color w:val="auto"/>
                <w:spacing w:val="8"/>
                <w:highlight w:val="none"/>
                <w:u w:val="single" w:color="auto"/>
              </w:rPr>
              <w:t xml:space="preserve">  </w:t>
            </w:r>
            <w:r>
              <w:rPr>
                <w:rFonts w:hint="eastAsia"/>
                <w:color w:val="auto"/>
                <w:spacing w:val="8"/>
                <w:highlight w:val="none"/>
                <w:u w:val="single" w:color="auto"/>
                <w:lang w:val="en-US" w:eastAsia="zh-CN"/>
              </w:rPr>
              <w:t>/</w:t>
            </w:r>
            <w:r>
              <w:rPr>
                <w:color w:val="auto"/>
                <w:spacing w:val="-91"/>
                <w:highlight w:val="none"/>
              </w:rPr>
              <w:t xml:space="preserve"> </w:t>
            </w:r>
            <w:r>
              <w:rPr>
                <w:color w:val="auto"/>
                <w:spacing w:val="12"/>
                <w:highlight w:val="none"/>
              </w:rPr>
              <w:t>个</w:t>
            </w:r>
            <w:r>
              <w:rPr>
                <w:color w:val="auto"/>
                <w:spacing w:val="12"/>
                <w:highlight w:val="none"/>
                <w:u w:val="single" w:color="auto"/>
              </w:rPr>
              <w:t>标类或</w:t>
            </w:r>
            <w:r>
              <w:rPr>
                <w:color w:val="auto"/>
                <w:spacing w:val="12"/>
                <w:highlight w:val="none"/>
              </w:rPr>
              <w:t>标段进行投标，每个</w:t>
            </w:r>
            <w:r>
              <w:rPr>
                <w:color w:val="auto"/>
                <w:spacing w:val="9"/>
                <w:highlight w:val="none"/>
              </w:rPr>
              <w:t>投标人只允许中</w:t>
            </w:r>
            <w:r>
              <w:rPr>
                <w:color w:val="auto"/>
                <w:spacing w:val="9"/>
                <w:highlight w:val="none"/>
                <w:u w:val="single" w:color="auto"/>
              </w:rPr>
              <w:t xml:space="preserve"> </w:t>
            </w:r>
            <w:r>
              <w:rPr>
                <w:rFonts w:hint="eastAsia"/>
                <w:color w:val="auto"/>
                <w:spacing w:val="9"/>
                <w:highlight w:val="none"/>
                <w:u w:val="single" w:color="auto"/>
                <w:lang w:val="en-US" w:eastAsia="zh-CN"/>
              </w:rPr>
              <w:t>/</w:t>
            </w:r>
            <w:r>
              <w:rPr>
                <w:color w:val="auto"/>
                <w:spacing w:val="9"/>
                <w:highlight w:val="none"/>
                <w:u w:val="single" w:color="auto"/>
              </w:rPr>
              <w:t xml:space="preserve"> </w:t>
            </w:r>
            <w:r>
              <w:rPr>
                <w:color w:val="auto"/>
                <w:spacing w:val="-77"/>
                <w:highlight w:val="none"/>
              </w:rPr>
              <w:t xml:space="preserve"> </w:t>
            </w:r>
            <w:r>
              <w:rPr>
                <w:color w:val="auto"/>
                <w:spacing w:val="9"/>
                <w:highlight w:val="none"/>
              </w:rPr>
              <w:t>个标段。（本款所指的信用等级为广东省交通运输厅最新年度发布的广东省公路工程从业单位信用等级（监理单位</w:t>
            </w:r>
            <w:r>
              <w:rPr>
                <w:color w:val="auto"/>
                <w:spacing w:val="24"/>
                <w:highlight w:val="none"/>
              </w:rPr>
              <w:t>），</w:t>
            </w:r>
            <w:r>
              <w:rPr>
                <w:color w:val="auto"/>
                <w:spacing w:val="9"/>
                <w:highlight w:val="none"/>
              </w:rPr>
              <w:t>投标登记阶段无需承诺是否</w:t>
            </w:r>
            <w:r>
              <w:rPr>
                <w:color w:val="auto"/>
                <w:spacing w:val="8"/>
                <w:highlight w:val="none"/>
              </w:rPr>
              <w:t>在此次投标过程中使用）</w:t>
            </w:r>
            <w:r>
              <w:rPr>
                <w:color w:val="auto"/>
                <w:highlight w:val="none"/>
              </w:rPr>
              <w:fldChar w:fldCharType="begin"/>
            </w:r>
            <w:r>
              <w:rPr>
                <w:color w:val="auto"/>
                <w:highlight w:val="none"/>
              </w:rPr>
              <w:instrText xml:space="preserve"> HYPERLINK \l "bookmark31" </w:instrText>
            </w:r>
            <w:r>
              <w:rPr>
                <w:color w:val="auto"/>
                <w:highlight w:val="none"/>
              </w:rPr>
              <w:fldChar w:fldCharType="separate"/>
            </w:r>
            <w:r>
              <w:rPr>
                <w:color w:val="auto"/>
                <w:spacing w:val="8"/>
                <w:position w:val="10"/>
                <w:sz w:val="10"/>
                <w:szCs w:val="10"/>
                <w:highlight w:val="none"/>
              </w:rPr>
              <w:t>①</w:t>
            </w:r>
            <w:r>
              <w:rPr>
                <w:color w:val="auto"/>
                <w:spacing w:val="8"/>
                <w:position w:val="10"/>
                <w:sz w:val="10"/>
                <w:szCs w:val="10"/>
                <w:highlight w:val="none"/>
              </w:rPr>
              <w:fldChar w:fldCharType="end"/>
            </w:r>
            <w:r>
              <w:rPr>
                <w:color w:val="auto"/>
                <w:spacing w:val="8"/>
                <w:highlight w:val="none"/>
              </w:rPr>
              <w:t>。</w:t>
            </w:r>
          </w:p>
          <w:p w14:paraId="1B86C087">
            <w:pPr>
              <w:pStyle w:val="18"/>
              <w:spacing w:before="1" w:line="360" w:lineRule="auto"/>
              <w:ind w:left="119" w:right="113" w:firstLine="2"/>
              <w:rPr>
                <w:color w:val="auto"/>
                <w:highlight w:val="none"/>
              </w:rPr>
            </w:pPr>
            <w:r>
              <w:rPr>
                <w:color w:val="auto"/>
                <w:spacing w:val="9"/>
                <w:highlight w:val="none"/>
              </w:rPr>
              <w:t>3.与招标人存在利害关系可能影响招标公正性的法人，不得参加投标；若单位负责</w:t>
            </w:r>
            <w:r>
              <w:rPr>
                <w:color w:val="auto"/>
                <w:spacing w:val="12"/>
                <w:highlight w:val="none"/>
              </w:rPr>
              <w:t>人</w:t>
            </w:r>
            <w:r>
              <w:rPr>
                <w:color w:val="auto"/>
                <w:highlight w:val="none"/>
              </w:rPr>
              <w:fldChar w:fldCharType="begin"/>
            </w:r>
            <w:r>
              <w:rPr>
                <w:color w:val="auto"/>
                <w:highlight w:val="none"/>
              </w:rPr>
              <w:instrText xml:space="preserve"> HYPERLINK \l "bookmark32" </w:instrText>
            </w:r>
            <w:r>
              <w:rPr>
                <w:color w:val="auto"/>
                <w:highlight w:val="none"/>
              </w:rPr>
              <w:fldChar w:fldCharType="separate"/>
            </w:r>
            <w:r>
              <w:rPr>
                <w:color w:val="auto"/>
                <w:spacing w:val="12"/>
                <w:position w:val="10"/>
                <w:sz w:val="10"/>
                <w:szCs w:val="10"/>
                <w:highlight w:val="none"/>
              </w:rPr>
              <w:t>②</w:t>
            </w:r>
            <w:r>
              <w:rPr>
                <w:color w:val="auto"/>
                <w:spacing w:val="12"/>
                <w:position w:val="10"/>
                <w:sz w:val="10"/>
                <w:szCs w:val="10"/>
                <w:highlight w:val="none"/>
              </w:rPr>
              <w:fldChar w:fldCharType="end"/>
            </w:r>
            <w:r>
              <w:rPr>
                <w:color w:val="auto"/>
                <w:spacing w:val="12"/>
                <w:highlight w:val="none"/>
              </w:rPr>
              <w:t>为同一人、或者存在控股</w:t>
            </w:r>
            <w:r>
              <w:rPr>
                <w:color w:val="auto"/>
                <w:highlight w:val="none"/>
              </w:rPr>
              <w:fldChar w:fldCharType="begin"/>
            </w:r>
            <w:r>
              <w:rPr>
                <w:color w:val="auto"/>
                <w:highlight w:val="none"/>
              </w:rPr>
              <w:instrText xml:space="preserve"> HYPERLINK \l "bookmark33" </w:instrText>
            </w:r>
            <w:r>
              <w:rPr>
                <w:color w:val="auto"/>
                <w:highlight w:val="none"/>
              </w:rPr>
              <w:fldChar w:fldCharType="separate"/>
            </w:r>
            <w:r>
              <w:rPr>
                <w:color w:val="auto"/>
                <w:spacing w:val="12"/>
                <w:position w:val="10"/>
                <w:sz w:val="10"/>
                <w:szCs w:val="10"/>
                <w:highlight w:val="none"/>
              </w:rPr>
              <w:t>③</w:t>
            </w:r>
            <w:r>
              <w:rPr>
                <w:color w:val="auto"/>
                <w:spacing w:val="12"/>
                <w:position w:val="10"/>
                <w:sz w:val="10"/>
                <w:szCs w:val="10"/>
                <w:highlight w:val="none"/>
              </w:rPr>
              <w:fldChar w:fldCharType="end"/>
            </w:r>
            <w:r>
              <w:rPr>
                <w:color w:val="auto"/>
                <w:spacing w:val="-25"/>
                <w:position w:val="10"/>
                <w:sz w:val="10"/>
                <w:szCs w:val="10"/>
                <w:highlight w:val="none"/>
              </w:rPr>
              <w:t xml:space="preserve"> </w:t>
            </w:r>
            <w:r>
              <w:rPr>
                <w:color w:val="auto"/>
                <w:spacing w:val="12"/>
                <w:highlight w:val="none"/>
              </w:rPr>
              <w:t>、管理关系</w:t>
            </w:r>
            <w:r>
              <w:rPr>
                <w:color w:val="auto"/>
                <w:highlight w:val="none"/>
              </w:rPr>
              <w:fldChar w:fldCharType="begin"/>
            </w:r>
            <w:r>
              <w:rPr>
                <w:color w:val="auto"/>
                <w:highlight w:val="none"/>
              </w:rPr>
              <w:instrText xml:space="preserve"> HYPERLINK \l "bookmark34" </w:instrText>
            </w:r>
            <w:r>
              <w:rPr>
                <w:color w:val="auto"/>
                <w:highlight w:val="none"/>
              </w:rPr>
              <w:fldChar w:fldCharType="separate"/>
            </w:r>
            <w:r>
              <w:rPr>
                <w:color w:val="auto"/>
                <w:spacing w:val="12"/>
                <w:position w:val="10"/>
                <w:sz w:val="10"/>
                <w:szCs w:val="10"/>
                <w:highlight w:val="none"/>
              </w:rPr>
              <w:t>④</w:t>
            </w:r>
            <w:r>
              <w:rPr>
                <w:color w:val="auto"/>
                <w:spacing w:val="12"/>
                <w:position w:val="10"/>
                <w:sz w:val="10"/>
                <w:szCs w:val="10"/>
                <w:highlight w:val="none"/>
              </w:rPr>
              <w:fldChar w:fldCharType="end"/>
            </w:r>
            <w:r>
              <w:rPr>
                <w:color w:val="auto"/>
                <w:spacing w:val="12"/>
                <w:highlight w:val="none"/>
              </w:rPr>
              <w:t>的不</w:t>
            </w:r>
            <w:r>
              <w:rPr>
                <w:color w:val="auto"/>
                <w:spacing w:val="11"/>
                <w:highlight w:val="none"/>
              </w:rPr>
              <w:t>同单位，不得参加同一标段投标或</w:t>
            </w:r>
          </w:p>
        </w:tc>
      </w:tr>
    </w:tbl>
    <w:p w14:paraId="50720798">
      <w:pPr>
        <w:spacing w:line="290" w:lineRule="auto"/>
        <w:rPr>
          <w:rFonts w:ascii="Arial"/>
          <w:color w:val="auto"/>
          <w:sz w:val="21"/>
          <w:highlight w:val="none"/>
        </w:rPr>
      </w:pPr>
    </w:p>
    <w:p w14:paraId="5BDCB994">
      <w:pPr>
        <w:spacing w:before="59" w:line="220" w:lineRule="auto"/>
        <w:ind w:left="320"/>
        <w:rPr>
          <w:rFonts w:ascii="宋体" w:hAnsi="宋体" w:eastAsia="宋体" w:cs="宋体"/>
          <w:color w:val="auto"/>
          <w:sz w:val="18"/>
          <w:szCs w:val="18"/>
          <w:highlight w:val="none"/>
        </w:rPr>
      </w:pPr>
      <w:bookmarkStart w:id="14" w:name="bookmark31"/>
      <w:bookmarkEnd w:id="14"/>
      <w:bookmarkStart w:id="15" w:name="bookmark32"/>
      <w:bookmarkEnd w:id="15"/>
      <w:bookmarkStart w:id="16" w:name="bookmark33"/>
      <w:bookmarkEnd w:id="16"/>
      <w:r>
        <w:rPr>
          <w:rFonts w:ascii="宋体" w:hAnsi="宋体" w:eastAsia="宋体" w:cs="宋体"/>
          <w:color w:val="auto"/>
          <w:spacing w:val="-1"/>
          <w:sz w:val="18"/>
          <w:szCs w:val="18"/>
          <w:highlight w:val="none"/>
        </w:rPr>
        <w:t>① 适用于多个标段同时进行招标的情形。</w:t>
      </w:r>
    </w:p>
    <w:p w14:paraId="32B5BDF9">
      <w:pPr>
        <w:spacing w:before="21" w:line="217" w:lineRule="auto"/>
        <w:ind w:left="319"/>
        <w:rPr>
          <w:rFonts w:ascii="宋体" w:hAnsi="宋体" w:eastAsia="宋体" w:cs="宋体"/>
          <w:color w:val="auto"/>
          <w:sz w:val="18"/>
          <w:szCs w:val="18"/>
          <w:highlight w:val="none"/>
        </w:rPr>
      </w:pPr>
      <w:r>
        <w:rPr>
          <w:rFonts w:ascii="宋体" w:hAnsi="宋体" w:eastAsia="宋体" w:cs="宋体"/>
          <w:color w:val="auto"/>
          <w:sz w:val="18"/>
          <w:szCs w:val="18"/>
          <w:highlight w:val="none"/>
        </w:rPr>
        <w:t>② 单位负责人是指单位的法定代表人或者法律、行政法规规定代表单位行使职权的</w:t>
      </w:r>
      <w:r>
        <w:rPr>
          <w:rFonts w:ascii="宋体" w:hAnsi="宋体" w:eastAsia="宋体" w:cs="宋体"/>
          <w:color w:val="auto"/>
          <w:spacing w:val="-1"/>
          <w:sz w:val="18"/>
          <w:szCs w:val="18"/>
          <w:highlight w:val="none"/>
        </w:rPr>
        <w:t>主要负责人。</w:t>
      </w:r>
    </w:p>
    <w:p w14:paraId="44BF32FE">
      <w:pPr>
        <w:spacing w:before="21" w:line="232" w:lineRule="auto"/>
        <w:ind w:left="319" w:right="387"/>
        <w:rPr>
          <w:rFonts w:ascii="宋体" w:hAnsi="宋体" w:eastAsia="宋体" w:cs="宋体"/>
          <w:color w:val="auto"/>
          <w:sz w:val="18"/>
          <w:szCs w:val="18"/>
          <w:highlight w:val="none"/>
        </w:rPr>
      </w:pPr>
      <w:r>
        <w:rPr>
          <w:rFonts w:ascii="宋体" w:hAnsi="宋体" w:eastAsia="宋体" w:cs="宋体"/>
          <w:color w:val="auto"/>
          <w:sz w:val="18"/>
          <w:szCs w:val="18"/>
          <w:highlight w:val="none"/>
        </w:rPr>
        <w:t>③ 控股是指出资额占有限责任公司资本总额</w:t>
      </w:r>
      <w:r>
        <w:rPr>
          <w:rFonts w:ascii="宋体" w:hAnsi="宋体" w:eastAsia="宋体" w:cs="宋体"/>
          <w:color w:val="auto"/>
          <w:spacing w:val="-33"/>
          <w:sz w:val="18"/>
          <w:szCs w:val="18"/>
          <w:highlight w:val="none"/>
        </w:rPr>
        <w:t xml:space="preserve"> </w:t>
      </w:r>
      <w:r>
        <w:rPr>
          <w:rFonts w:ascii="宋体" w:hAnsi="宋体" w:eastAsia="宋体" w:cs="宋体"/>
          <w:color w:val="auto"/>
          <w:sz w:val="18"/>
          <w:szCs w:val="18"/>
          <w:highlight w:val="none"/>
        </w:rPr>
        <w:t>50%</w:t>
      </w:r>
      <w:r>
        <w:rPr>
          <w:rFonts w:ascii="宋体" w:hAnsi="宋体" w:eastAsia="宋体" w:cs="宋体"/>
          <w:color w:val="auto"/>
          <w:spacing w:val="-1"/>
          <w:sz w:val="18"/>
          <w:szCs w:val="18"/>
          <w:highlight w:val="none"/>
        </w:rPr>
        <w:t>以上或者其持有的股份占股份有限公司股本总额</w:t>
      </w:r>
      <w:r>
        <w:rPr>
          <w:rFonts w:ascii="宋体" w:hAnsi="宋体" w:eastAsia="宋体" w:cs="宋体"/>
          <w:color w:val="auto"/>
          <w:spacing w:val="-34"/>
          <w:sz w:val="18"/>
          <w:szCs w:val="18"/>
          <w:highlight w:val="none"/>
        </w:rPr>
        <w:t xml:space="preserve"> </w:t>
      </w:r>
      <w:r>
        <w:rPr>
          <w:rFonts w:ascii="宋体" w:hAnsi="宋体" w:eastAsia="宋体" w:cs="宋体"/>
          <w:color w:val="auto"/>
          <w:spacing w:val="-1"/>
          <w:sz w:val="18"/>
          <w:szCs w:val="18"/>
          <w:highlight w:val="none"/>
        </w:rPr>
        <w:t>50%以上的，以及</w:t>
      </w:r>
      <w:r>
        <w:rPr>
          <w:rFonts w:ascii="宋体" w:hAnsi="宋体" w:eastAsia="宋体" w:cs="宋体"/>
          <w:color w:val="auto"/>
          <w:sz w:val="18"/>
          <w:szCs w:val="18"/>
          <w:highlight w:val="none"/>
        </w:rPr>
        <w:t>出资额或者持有股份的比例虽然不足</w:t>
      </w:r>
      <w:r>
        <w:rPr>
          <w:rFonts w:ascii="宋体" w:hAnsi="宋体" w:eastAsia="宋体" w:cs="宋体"/>
          <w:color w:val="auto"/>
          <w:spacing w:val="-34"/>
          <w:sz w:val="18"/>
          <w:szCs w:val="18"/>
          <w:highlight w:val="none"/>
        </w:rPr>
        <w:t xml:space="preserve"> </w:t>
      </w:r>
      <w:r>
        <w:rPr>
          <w:rFonts w:ascii="宋体" w:hAnsi="宋体" w:eastAsia="宋体" w:cs="宋体"/>
          <w:color w:val="auto"/>
          <w:sz w:val="18"/>
          <w:szCs w:val="18"/>
          <w:highlight w:val="none"/>
        </w:rPr>
        <w:t>50%，但依其出资额或者持有的股份所</w:t>
      </w:r>
      <w:r>
        <w:rPr>
          <w:rFonts w:ascii="宋体" w:hAnsi="宋体" w:eastAsia="宋体" w:cs="宋体"/>
          <w:color w:val="auto"/>
          <w:spacing w:val="-1"/>
          <w:sz w:val="18"/>
          <w:szCs w:val="18"/>
          <w:highlight w:val="none"/>
        </w:rPr>
        <w:t>享有的表决权已足以对股东会、股东大</w:t>
      </w:r>
      <w:bookmarkStart w:id="17" w:name="bookmark34"/>
      <w:bookmarkEnd w:id="17"/>
      <w:r>
        <w:rPr>
          <w:rFonts w:ascii="宋体" w:hAnsi="宋体" w:eastAsia="宋体" w:cs="宋体"/>
          <w:color w:val="auto"/>
          <w:spacing w:val="-1"/>
          <w:sz w:val="18"/>
          <w:szCs w:val="18"/>
          <w:highlight w:val="none"/>
        </w:rPr>
        <w:t>会的决议产生重大影响的。</w:t>
      </w:r>
    </w:p>
    <w:p w14:paraId="68A6385E">
      <w:pPr>
        <w:spacing w:before="19" w:line="220" w:lineRule="auto"/>
        <w:ind w:left="319"/>
        <w:rPr>
          <w:rFonts w:ascii="宋体" w:hAnsi="宋体" w:eastAsia="宋体" w:cs="宋体"/>
          <w:color w:val="auto"/>
          <w:sz w:val="18"/>
          <w:szCs w:val="18"/>
          <w:highlight w:val="none"/>
        </w:rPr>
      </w:pPr>
      <w:r>
        <w:rPr>
          <w:rFonts w:ascii="宋体" w:hAnsi="宋体" w:eastAsia="宋体" w:cs="宋体"/>
          <w:color w:val="auto"/>
          <w:sz w:val="18"/>
          <w:szCs w:val="18"/>
          <w:highlight w:val="none"/>
        </w:rPr>
        <w:t>④ 管理关系是指不具有出资持股关系的其他单位之间存在的管理与</w:t>
      </w:r>
      <w:r>
        <w:rPr>
          <w:rFonts w:ascii="宋体" w:hAnsi="宋体" w:eastAsia="宋体" w:cs="宋体"/>
          <w:color w:val="auto"/>
          <w:spacing w:val="-1"/>
          <w:sz w:val="18"/>
          <w:szCs w:val="18"/>
          <w:highlight w:val="none"/>
        </w:rPr>
        <w:t>被管理关系。</w:t>
      </w:r>
    </w:p>
    <w:p w14:paraId="415EA34D">
      <w:pPr>
        <w:spacing w:line="220" w:lineRule="auto"/>
        <w:rPr>
          <w:rFonts w:ascii="宋体" w:hAnsi="宋体" w:eastAsia="宋体" w:cs="宋体"/>
          <w:color w:val="auto"/>
          <w:sz w:val="18"/>
          <w:szCs w:val="18"/>
          <w:highlight w:val="none"/>
        </w:rPr>
        <w:sectPr>
          <w:footerReference r:id="rId9" w:type="default"/>
          <w:pgSz w:w="11906" w:h="16839"/>
          <w:pgMar w:top="1416" w:right="1102" w:bottom="1297" w:left="1102" w:header="0" w:footer="1067" w:gutter="0"/>
          <w:pgNumType w:fmt="decimal"/>
          <w:cols w:space="720" w:num="1"/>
        </w:sectPr>
      </w:pPr>
    </w:p>
    <w:tbl>
      <w:tblPr>
        <w:tblStyle w:val="17"/>
        <w:tblW w:w="969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03"/>
        <w:gridCol w:w="7793"/>
      </w:tblGrid>
      <w:tr w14:paraId="0A02D9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1052" w:hRule="atLeast"/>
        </w:trPr>
        <w:tc>
          <w:tcPr>
            <w:tcW w:w="1903" w:type="dxa"/>
            <w:vAlign w:val="top"/>
          </w:tcPr>
          <w:p w14:paraId="0BAAE3B6">
            <w:pPr>
              <w:rPr>
                <w:rFonts w:ascii="Arial"/>
                <w:color w:val="auto"/>
                <w:sz w:val="21"/>
                <w:highlight w:val="none"/>
              </w:rPr>
            </w:pPr>
          </w:p>
        </w:tc>
        <w:tc>
          <w:tcPr>
            <w:tcW w:w="7793" w:type="dxa"/>
            <w:vAlign w:val="top"/>
          </w:tcPr>
          <w:p w14:paraId="0F722BD6">
            <w:pPr>
              <w:pStyle w:val="18"/>
              <w:spacing w:before="35" w:line="228" w:lineRule="auto"/>
              <w:ind w:left="119"/>
              <w:rPr>
                <w:color w:val="auto"/>
                <w:highlight w:val="none"/>
              </w:rPr>
            </w:pPr>
            <w:r>
              <w:rPr>
                <w:color w:val="auto"/>
                <w:spacing w:val="9"/>
                <w:highlight w:val="none"/>
              </w:rPr>
              <w:t>者未划分标段的同一招标项目投标，否则按否决其投标处理。</w:t>
            </w:r>
          </w:p>
          <w:p w14:paraId="5903D09F">
            <w:pPr>
              <w:pStyle w:val="18"/>
              <w:spacing w:before="160" w:line="370" w:lineRule="auto"/>
              <w:ind w:left="118" w:right="113" w:hanging="1"/>
              <w:rPr>
                <w:color w:val="auto"/>
                <w:highlight w:val="none"/>
              </w:rPr>
            </w:pPr>
            <w:r>
              <w:rPr>
                <w:color w:val="auto"/>
                <w:spacing w:val="10"/>
                <w:highlight w:val="none"/>
              </w:rPr>
              <w:t>4.投标人及与投标人有隶属关系或其他利害关系的</w:t>
            </w:r>
            <w:r>
              <w:rPr>
                <w:color w:val="auto"/>
                <w:spacing w:val="9"/>
                <w:highlight w:val="none"/>
              </w:rPr>
              <w:t>单位同时参加本工程项目施工监</w:t>
            </w:r>
            <w:r>
              <w:rPr>
                <w:color w:val="auto"/>
                <w:spacing w:val="10"/>
                <w:highlight w:val="none"/>
              </w:rPr>
              <w:t>理和中心试验室试验检测服务的投标时，对于工作范围有重合的施工</w:t>
            </w:r>
            <w:r>
              <w:rPr>
                <w:color w:val="auto"/>
                <w:spacing w:val="9"/>
                <w:highlight w:val="none"/>
              </w:rPr>
              <w:t>监理标段和中</w:t>
            </w:r>
            <w:r>
              <w:rPr>
                <w:color w:val="auto"/>
                <w:spacing w:val="12"/>
                <w:highlight w:val="none"/>
              </w:rPr>
              <w:t>心试验室试验检测服务标段不允许兼中，即施工监理</w:t>
            </w:r>
            <w:r>
              <w:rPr>
                <w:color w:val="auto"/>
                <w:spacing w:val="-87"/>
                <w:highlight w:val="none"/>
              </w:rPr>
              <w:t xml:space="preserve"> </w:t>
            </w:r>
            <w:r>
              <w:rPr>
                <w:color w:val="auto"/>
                <w:spacing w:val="8"/>
                <w:highlight w:val="none"/>
                <w:u w:val="single" w:color="auto"/>
              </w:rPr>
              <w:t xml:space="preserve"> </w:t>
            </w:r>
            <w:r>
              <w:rPr>
                <w:rFonts w:hint="eastAsia"/>
                <w:color w:val="auto"/>
                <w:spacing w:val="8"/>
                <w:highlight w:val="none"/>
                <w:u w:val="single" w:color="auto"/>
                <w:lang w:val="en-US" w:eastAsia="zh-CN"/>
              </w:rPr>
              <w:t>/</w:t>
            </w:r>
            <w:r>
              <w:rPr>
                <w:color w:val="auto"/>
                <w:spacing w:val="8"/>
                <w:highlight w:val="none"/>
                <w:u w:val="single" w:color="auto"/>
              </w:rPr>
              <w:t xml:space="preserve">  </w:t>
            </w:r>
            <w:r>
              <w:rPr>
                <w:color w:val="auto"/>
                <w:spacing w:val="-91"/>
                <w:highlight w:val="none"/>
              </w:rPr>
              <w:t xml:space="preserve"> </w:t>
            </w:r>
            <w:r>
              <w:rPr>
                <w:color w:val="auto"/>
                <w:spacing w:val="12"/>
                <w:highlight w:val="none"/>
              </w:rPr>
              <w:t>标段与中心试验室试验检</w:t>
            </w:r>
            <w:r>
              <w:rPr>
                <w:color w:val="auto"/>
                <w:spacing w:val="6"/>
                <w:highlight w:val="none"/>
              </w:rPr>
              <w:t>测服务</w:t>
            </w:r>
            <w:r>
              <w:rPr>
                <w:color w:val="auto"/>
                <w:spacing w:val="6"/>
                <w:highlight w:val="none"/>
                <w:u w:val="single" w:color="auto"/>
              </w:rPr>
              <w:t xml:space="preserve">  </w:t>
            </w:r>
            <w:r>
              <w:rPr>
                <w:rFonts w:hint="eastAsia"/>
                <w:color w:val="auto"/>
                <w:spacing w:val="6"/>
                <w:highlight w:val="none"/>
                <w:u w:val="single" w:color="auto"/>
                <w:lang w:val="en-US" w:eastAsia="zh-CN"/>
              </w:rPr>
              <w:t>/</w:t>
            </w:r>
            <w:r>
              <w:rPr>
                <w:color w:val="auto"/>
                <w:spacing w:val="6"/>
                <w:highlight w:val="none"/>
                <w:u w:val="single" w:color="auto"/>
              </w:rPr>
              <w:t xml:space="preserve"> </w:t>
            </w:r>
            <w:r>
              <w:rPr>
                <w:color w:val="auto"/>
                <w:spacing w:val="-77"/>
                <w:highlight w:val="none"/>
              </w:rPr>
              <w:t xml:space="preserve"> </w:t>
            </w:r>
            <w:r>
              <w:rPr>
                <w:color w:val="auto"/>
                <w:spacing w:val="6"/>
                <w:highlight w:val="none"/>
              </w:rPr>
              <w:t>标段工作范围重合</w:t>
            </w:r>
            <w:r>
              <w:rPr>
                <w:color w:val="auto"/>
                <w:highlight w:val="none"/>
              </w:rPr>
              <w:fldChar w:fldCharType="begin"/>
            </w:r>
            <w:r>
              <w:rPr>
                <w:color w:val="auto"/>
                <w:highlight w:val="none"/>
              </w:rPr>
              <w:instrText xml:space="preserve"> HYPERLINK \l "bookmark35" </w:instrText>
            </w:r>
            <w:r>
              <w:rPr>
                <w:color w:val="auto"/>
                <w:highlight w:val="none"/>
              </w:rPr>
              <w:fldChar w:fldCharType="separate"/>
            </w:r>
            <w:r>
              <w:rPr>
                <w:color w:val="auto"/>
                <w:spacing w:val="6"/>
                <w:position w:val="10"/>
                <w:sz w:val="10"/>
                <w:szCs w:val="10"/>
                <w:highlight w:val="none"/>
              </w:rPr>
              <w:t>①</w:t>
            </w:r>
            <w:r>
              <w:rPr>
                <w:color w:val="auto"/>
                <w:spacing w:val="6"/>
                <w:position w:val="10"/>
                <w:sz w:val="10"/>
                <w:szCs w:val="10"/>
                <w:highlight w:val="none"/>
              </w:rPr>
              <w:fldChar w:fldCharType="end"/>
            </w:r>
            <w:r>
              <w:rPr>
                <w:color w:val="auto"/>
                <w:spacing w:val="6"/>
                <w:highlight w:val="none"/>
              </w:rPr>
              <w:t>。</w:t>
            </w:r>
          </w:p>
          <w:p w14:paraId="4082CF78">
            <w:pPr>
              <w:pStyle w:val="18"/>
              <w:spacing w:before="14" w:line="310" w:lineRule="auto"/>
              <w:ind w:left="126" w:right="113" w:hanging="4"/>
              <w:rPr>
                <w:color w:val="auto"/>
                <w:highlight w:val="none"/>
              </w:rPr>
            </w:pPr>
            <w:r>
              <w:rPr>
                <w:color w:val="auto"/>
                <w:spacing w:val="11"/>
                <w:highlight w:val="none"/>
              </w:rPr>
              <w:t>5.在“信用中国</w:t>
            </w:r>
            <w:r>
              <w:rPr>
                <w:color w:val="auto"/>
                <w:spacing w:val="-56"/>
                <w:highlight w:val="none"/>
              </w:rPr>
              <w:t xml:space="preserve"> </w:t>
            </w:r>
            <w:r>
              <w:rPr>
                <w:color w:val="auto"/>
                <w:spacing w:val="11"/>
                <w:highlight w:val="none"/>
              </w:rPr>
              <w:t>”网站</w:t>
            </w:r>
            <w:r>
              <w:rPr>
                <w:color w:val="auto"/>
                <w:highlight w:val="none"/>
              </w:rPr>
              <w:fldChar w:fldCharType="begin"/>
            </w:r>
            <w:r>
              <w:rPr>
                <w:color w:val="auto"/>
                <w:highlight w:val="none"/>
              </w:rPr>
              <w:instrText xml:space="preserve"> HYPERLINK \l "bookmark36" </w:instrText>
            </w:r>
            <w:r>
              <w:rPr>
                <w:color w:val="auto"/>
                <w:highlight w:val="none"/>
              </w:rPr>
              <w:fldChar w:fldCharType="separate"/>
            </w:r>
            <w:r>
              <w:rPr>
                <w:color w:val="auto"/>
                <w:spacing w:val="11"/>
                <w:position w:val="10"/>
                <w:sz w:val="10"/>
                <w:szCs w:val="10"/>
                <w:highlight w:val="none"/>
              </w:rPr>
              <w:t>②</w:t>
            </w:r>
            <w:r>
              <w:rPr>
                <w:color w:val="auto"/>
                <w:spacing w:val="11"/>
                <w:position w:val="10"/>
                <w:sz w:val="10"/>
                <w:szCs w:val="10"/>
                <w:highlight w:val="none"/>
              </w:rPr>
              <w:fldChar w:fldCharType="end"/>
            </w:r>
            <w:r>
              <w:rPr>
                <w:color w:val="auto"/>
                <w:spacing w:val="11"/>
                <w:highlight w:val="none"/>
              </w:rPr>
              <w:t>中被列入失信被执行人名单的投标人，在国家企业信用信</w:t>
            </w:r>
            <w:r>
              <w:rPr>
                <w:color w:val="auto"/>
                <w:spacing w:val="9"/>
                <w:highlight w:val="none"/>
              </w:rPr>
              <w:t>息公示系统中被列入严重违法失信名单的投标人，均按否决投标处理。</w:t>
            </w:r>
          </w:p>
          <w:p w14:paraId="50272FD6">
            <w:pPr>
              <w:pStyle w:val="18"/>
              <w:spacing w:before="1" w:line="226" w:lineRule="auto"/>
              <w:ind w:left="118"/>
              <w:rPr>
                <w:color w:val="auto"/>
                <w:highlight w:val="none"/>
              </w:rPr>
            </w:pPr>
            <w:r>
              <w:rPr>
                <w:color w:val="auto"/>
                <w:spacing w:val="6"/>
                <w:highlight w:val="none"/>
              </w:rPr>
              <w:t>6.</w:t>
            </w:r>
            <w:r>
              <w:rPr>
                <w:color w:val="auto"/>
                <w:spacing w:val="8"/>
                <w:highlight w:val="none"/>
              </w:rPr>
              <w:t>招标人将</w:t>
            </w:r>
            <w:r>
              <w:rPr>
                <w:color w:val="auto"/>
                <w:spacing w:val="8"/>
                <w:highlight w:val="none"/>
                <w:u w:val="single" w:color="auto"/>
              </w:rPr>
              <w:t xml:space="preserve"> 不组织</w:t>
            </w:r>
            <w:r>
              <w:rPr>
                <w:rFonts w:hint="eastAsia"/>
                <w:color w:val="auto"/>
                <w:spacing w:val="8"/>
                <w:highlight w:val="none"/>
                <w:u w:val="single" w:color="auto"/>
                <w:lang w:val="en-US" w:eastAsia="zh-CN"/>
              </w:rPr>
              <w:t xml:space="preserve"> </w:t>
            </w:r>
            <w:r>
              <w:rPr>
                <w:color w:val="auto"/>
                <w:spacing w:val="8"/>
                <w:highlight w:val="none"/>
              </w:rPr>
              <w:t>踏勘现场和投标预备会。</w:t>
            </w:r>
          </w:p>
          <w:p w14:paraId="7C88FF89">
            <w:pPr>
              <w:pStyle w:val="18"/>
              <w:spacing w:before="163" w:line="356" w:lineRule="auto"/>
              <w:ind w:left="117" w:right="113" w:firstLine="2"/>
              <w:rPr>
                <w:color w:val="auto"/>
                <w:highlight w:val="none"/>
              </w:rPr>
            </w:pPr>
            <w:r>
              <w:rPr>
                <w:rFonts w:hint="eastAsia" w:ascii="MingLiU-ExtB" w:hAnsi="MingLiU-ExtB" w:cs="MingLiU-ExtB"/>
                <w:color w:val="auto"/>
                <w:spacing w:val="9"/>
                <w:highlight w:val="none"/>
                <w:lang w:val="en-US" w:eastAsia="zh-CN"/>
              </w:rPr>
              <w:t>7</w:t>
            </w:r>
            <w:r>
              <w:rPr>
                <w:color w:val="auto"/>
                <w:spacing w:val="9"/>
                <w:highlight w:val="none"/>
              </w:rPr>
              <w:t>.在规定的投标登记期间，如某个标段投标登记并获取招标</w:t>
            </w:r>
            <w:r>
              <w:rPr>
                <w:color w:val="auto"/>
                <w:spacing w:val="8"/>
                <w:highlight w:val="none"/>
              </w:rPr>
              <w:t>文件的投标人不足</w:t>
            </w:r>
            <w:r>
              <w:rPr>
                <w:color w:val="auto"/>
                <w:spacing w:val="-33"/>
                <w:highlight w:val="none"/>
              </w:rPr>
              <w:t xml:space="preserve"> </w:t>
            </w:r>
            <w:r>
              <w:rPr>
                <w:color w:val="auto"/>
                <w:spacing w:val="8"/>
                <w:highlight w:val="none"/>
              </w:rPr>
              <w:t>3</w:t>
            </w:r>
            <w:r>
              <w:rPr>
                <w:color w:val="auto"/>
                <w:spacing w:val="-36"/>
                <w:highlight w:val="none"/>
              </w:rPr>
              <w:t xml:space="preserve"> </w:t>
            </w:r>
            <w:r>
              <w:rPr>
                <w:color w:val="auto"/>
                <w:spacing w:val="8"/>
                <w:highlight w:val="none"/>
              </w:rPr>
              <w:t>家</w:t>
            </w:r>
            <w:r>
              <w:rPr>
                <w:color w:val="auto"/>
                <w:spacing w:val="10"/>
                <w:highlight w:val="none"/>
              </w:rPr>
              <w:t>时，招标人有权选择以下任一方式</w:t>
            </w:r>
            <w:r>
              <w:rPr>
                <w:color w:val="auto"/>
                <w:spacing w:val="-5"/>
                <w:highlight w:val="none"/>
              </w:rPr>
              <w:t>：（</w:t>
            </w:r>
            <w:r>
              <w:rPr>
                <w:color w:val="auto"/>
                <w:spacing w:val="10"/>
                <w:highlight w:val="none"/>
              </w:rPr>
              <w:t>1）在</w:t>
            </w:r>
            <w:r>
              <w:rPr>
                <w:color w:val="auto"/>
                <w:spacing w:val="10"/>
                <w:highlight w:val="none"/>
                <w:u w:val="single" w:color="auto"/>
              </w:rPr>
              <w:t>广东省招标投标监管网及</w:t>
            </w:r>
            <w:r>
              <w:rPr>
                <w:rFonts w:hint="eastAsia"/>
                <w:color w:val="auto"/>
                <w:spacing w:val="10"/>
                <w:highlight w:val="none"/>
                <w:u w:val="single" w:color="auto"/>
              </w:rPr>
              <w:t>全国公共资源交易平台（广东省·韶关市）</w:t>
            </w:r>
            <w:r>
              <w:rPr>
                <w:color w:val="auto"/>
                <w:spacing w:val="10"/>
                <w:highlight w:val="none"/>
                <w:u w:val="single" w:color="auto"/>
              </w:rPr>
              <w:t>网站</w:t>
            </w:r>
            <w:r>
              <w:rPr>
                <w:color w:val="auto"/>
                <w:spacing w:val="10"/>
                <w:highlight w:val="none"/>
              </w:rPr>
              <w:t>发布公告延长上述投标人家数不足的标段投标登记和获取</w:t>
            </w:r>
            <w:r>
              <w:rPr>
                <w:color w:val="auto"/>
                <w:spacing w:val="9"/>
                <w:highlight w:val="none"/>
              </w:rPr>
              <w:t>招标文件</w:t>
            </w:r>
            <w:r>
              <w:rPr>
                <w:color w:val="auto"/>
                <w:spacing w:val="10"/>
                <w:highlight w:val="none"/>
              </w:rPr>
              <w:t>时间，在延期投标登记和获取招标文件时间内，已投标登记投标人的资料</w:t>
            </w:r>
            <w:r>
              <w:rPr>
                <w:color w:val="auto"/>
                <w:spacing w:val="9"/>
                <w:highlight w:val="none"/>
              </w:rPr>
              <w:t>仍有效并</w:t>
            </w:r>
            <w:r>
              <w:rPr>
                <w:color w:val="auto"/>
                <w:spacing w:val="10"/>
                <w:highlight w:val="none"/>
              </w:rPr>
              <w:t>可自行补充资料，未投标登记的投标人可根据公告的约定进行投标登记并</w:t>
            </w:r>
            <w:r>
              <w:rPr>
                <w:color w:val="auto"/>
                <w:spacing w:val="9"/>
                <w:highlight w:val="none"/>
              </w:rPr>
              <w:t>获取招标</w:t>
            </w:r>
            <w:r>
              <w:rPr>
                <w:color w:val="auto"/>
                <w:spacing w:val="20"/>
                <w:highlight w:val="none"/>
              </w:rPr>
              <w:t>文件</w:t>
            </w:r>
            <w:r>
              <w:rPr>
                <w:color w:val="auto"/>
                <w:spacing w:val="-13"/>
                <w:highlight w:val="none"/>
              </w:rPr>
              <w:t>；</w:t>
            </w:r>
            <w:r>
              <w:rPr>
                <w:color w:val="auto"/>
                <w:spacing w:val="-65"/>
                <w:highlight w:val="none"/>
              </w:rPr>
              <w:t xml:space="preserve"> </w:t>
            </w:r>
            <w:r>
              <w:rPr>
                <w:color w:val="auto"/>
                <w:spacing w:val="-13"/>
                <w:highlight w:val="none"/>
              </w:rPr>
              <w:t>（</w:t>
            </w:r>
            <w:r>
              <w:rPr>
                <w:color w:val="auto"/>
                <w:spacing w:val="20"/>
                <w:highlight w:val="none"/>
              </w:rPr>
              <w:t>2）对上述投标人家数不足的标段依法重</w:t>
            </w:r>
            <w:r>
              <w:rPr>
                <w:color w:val="auto"/>
                <w:spacing w:val="19"/>
                <w:highlight w:val="none"/>
              </w:rPr>
              <w:t>新组织招标或依法开展后续工</w:t>
            </w:r>
            <w:r>
              <w:rPr>
                <w:color w:val="auto"/>
                <w:highlight w:val="none"/>
              </w:rPr>
              <w:t>作。</w:t>
            </w:r>
          </w:p>
          <w:p w14:paraId="725045B5">
            <w:pPr>
              <w:pStyle w:val="18"/>
              <w:spacing w:before="160" w:line="228" w:lineRule="auto"/>
              <w:ind w:left="133"/>
              <w:rPr>
                <w:color w:val="auto"/>
                <w:highlight w:val="none"/>
              </w:rPr>
            </w:pPr>
            <w:r>
              <w:rPr>
                <w:rFonts w:hint="eastAsia"/>
                <w:color w:val="auto"/>
                <w:spacing w:val="7"/>
                <w:highlight w:val="none"/>
                <w:lang w:val="en-US" w:eastAsia="zh-CN"/>
              </w:rPr>
              <w:t>8</w:t>
            </w:r>
            <w:r>
              <w:rPr>
                <w:color w:val="auto"/>
                <w:spacing w:val="7"/>
                <w:highlight w:val="none"/>
              </w:rPr>
              <w:t>.受理异议的联系人和联系方式：</w:t>
            </w:r>
          </w:p>
          <w:p w14:paraId="7C453E43">
            <w:pPr>
              <w:pStyle w:val="18"/>
              <w:spacing w:before="164" w:line="228" w:lineRule="auto"/>
              <w:ind w:left="540"/>
              <w:rPr>
                <w:color w:val="auto"/>
                <w:highlight w:val="none"/>
              </w:rPr>
            </w:pPr>
            <w:r>
              <w:rPr>
                <w:color w:val="auto"/>
                <w:spacing w:val="8"/>
                <w:highlight w:val="none"/>
              </w:rPr>
              <w:t>异议受理部门：</w:t>
            </w:r>
            <w:r>
              <w:rPr>
                <w:color w:val="auto"/>
                <w:highlight w:val="none"/>
                <w:u w:val="single" w:color="auto"/>
              </w:rPr>
              <w:t xml:space="preserve"> </w:t>
            </w:r>
            <w:r>
              <w:rPr>
                <w:rFonts w:hint="eastAsia"/>
                <w:color w:val="auto"/>
                <w:highlight w:val="none"/>
                <w:u w:val="single" w:color="auto"/>
                <w:lang w:eastAsia="zh-CN"/>
              </w:rPr>
              <w:t>乐昌市地方公路站</w:t>
            </w:r>
          </w:p>
          <w:p w14:paraId="2A8256D1">
            <w:pPr>
              <w:pStyle w:val="18"/>
              <w:spacing w:before="161" w:line="229" w:lineRule="auto"/>
              <w:ind w:left="538"/>
              <w:rPr>
                <w:color w:val="auto"/>
                <w:highlight w:val="none"/>
              </w:rPr>
            </w:pPr>
            <w:r>
              <w:rPr>
                <w:color w:val="auto"/>
                <w:spacing w:val="7"/>
                <w:highlight w:val="none"/>
              </w:rPr>
              <w:t>联系方式：</w:t>
            </w:r>
            <w:r>
              <w:rPr>
                <w:color w:val="auto"/>
                <w:highlight w:val="none"/>
                <w:u w:val="single" w:color="auto"/>
              </w:rPr>
              <w:t xml:space="preserve"> </w:t>
            </w:r>
            <w:r>
              <w:rPr>
                <w:rFonts w:hint="eastAsia"/>
                <w:color w:val="auto"/>
                <w:highlight w:val="none"/>
                <w:u w:val="single" w:color="auto"/>
                <w:lang w:val="en-US" w:eastAsia="zh-CN"/>
              </w:rPr>
              <w:t>0751-5552728</w:t>
            </w:r>
            <w:r>
              <w:rPr>
                <w:color w:val="auto"/>
                <w:highlight w:val="none"/>
                <w:u w:val="single" w:color="auto"/>
              </w:rPr>
              <w:t xml:space="preserve"> </w:t>
            </w:r>
          </w:p>
        </w:tc>
      </w:tr>
    </w:tbl>
    <w:p w14:paraId="551AE726">
      <w:pPr>
        <w:spacing w:line="249" w:lineRule="auto"/>
        <w:rPr>
          <w:rFonts w:ascii="Arial"/>
          <w:color w:val="auto"/>
          <w:sz w:val="21"/>
          <w:highlight w:val="none"/>
        </w:rPr>
      </w:pPr>
    </w:p>
    <w:p w14:paraId="09AC3012">
      <w:pPr>
        <w:spacing w:line="250" w:lineRule="auto"/>
        <w:rPr>
          <w:rFonts w:ascii="Arial"/>
          <w:color w:val="auto"/>
          <w:sz w:val="21"/>
          <w:highlight w:val="none"/>
        </w:rPr>
      </w:pPr>
    </w:p>
    <w:p w14:paraId="299BD994">
      <w:pPr>
        <w:spacing w:line="250" w:lineRule="auto"/>
        <w:rPr>
          <w:rFonts w:ascii="Arial"/>
          <w:color w:val="auto"/>
          <w:sz w:val="21"/>
          <w:highlight w:val="none"/>
        </w:rPr>
      </w:pPr>
    </w:p>
    <w:p w14:paraId="63CD4B9D">
      <w:pPr>
        <w:spacing w:line="250" w:lineRule="auto"/>
        <w:rPr>
          <w:rFonts w:ascii="Arial"/>
          <w:color w:val="auto"/>
          <w:sz w:val="21"/>
          <w:highlight w:val="none"/>
        </w:rPr>
      </w:pPr>
    </w:p>
    <w:p w14:paraId="35EBFDA9">
      <w:pPr>
        <w:spacing w:line="250" w:lineRule="auto"/>
        <w:rPr>
          <w:rFonts w:ascii="Arial"/>
          <w:color w:val="auto"/>
          <w:sz w:val="21"/>
          <w:highlight w:val="none"/>
        </w:rPr>
      </w:pPr>
    </w:p>
    <w:p w14:paraId="654C0AE0">
      <w:pPr>
        <w:spacing w:line="250" w:lineRule="auto"/>
        <w:rPr>
          <w:rFonts w:ascii="Arial"/>
          <w:color w:val="auto"/>
          <w:sz w:val="21"/>
          <w:highlight w:val="none"/>
        </w:rPr>
      </w:pPr>
    </w:p>
    <w:p w14:paraId="02D353D2">
      <w:pPr>
        <w:spacing w:before="58" w:line="220" w:lineRule="auto"/>
        <w:ind w:left="320"/>
        <w:rPr>
          <w:rFonts w:ascii="宋体" w:hAnsi="宋体" w:eastAsia="宋体" w:cs="宋体"/>
          <w:color w:val="auto"/>
          <w:sz w:val="18"/>
          <w:szCs w:val="18"/>
          <w:highlight w:val="none"/>
        </w:rPr>
      </w:pPr>
      <w:bookmarkStart w:id="18" w:name="bookmark35"/>
      <w:bookmarkEnd w:id="18"/>
      <w:r>
        <w:rPr>
          <w:rFonts w:ascii="宋体" w:hAnsi="宋体" w:eastAsia="宋体" w:cs="宋体"/>
          <w:color w:val="auto"/>
          <w:sz w:val="18"/>
          <w:szCs w:val="18"/>
          <w:highlight w:val="none"/>
        </w:rPr>
        <w:t>① 本条不适用于中心试验室试验检测服务与监理合</w:t>
      </w:r>
      <w:r>
        <w:rPr>
          <w:rFonts w:ascii="宋体" w:hAnsi="宋体" w:eastAsia="宋体" w:cs="宋体"/>
          <w:color w:val="auto"/>
          <w:spacing w:val="-1"/>
          <w:sz w:val="18"/>
          <w:szCs w:val="18"/>
          <w:highlight w:val="none"/>
        </w:rPr>
        <w:t>并招标的情况。</w:t>
      </w:r>
    </w:p>
    <w:p w14:paraId="50B1184D">
      <w:pPr>
        <w:spacing w:before="21" w:line="216" w:lineRule="auto"/>
        <w:ind w:left="319"/>
        <w:rPr>
          <w:rFonts w:ascii="宋体" w:hAnsi="宋体" w:eastAsia="宋体" w:cs="宋体"/>
          <w:color w:val="auto"/>
          <w:sz w:val="18"/>
          <w:szCs w:val="18"/>
          <w:highlight w:val="none"/>
        </w:rPr>
      </w:pPr>
      <w:bookmarkStart w:id="19" w:name="bookmark36"/>
      <w:bookmarkEnd w:id="19"/>
      <w:bookmarkStart w:id="20" w:name="bookmark37"/>
      <w:bookmarkEnd w:id="20"/>
      <w:r>
        <w:rPr>
          <w:rFonts w:ascii="宋体" w:hAnsi="宋体" w:eastAsia="宋体" w:cs="宋体"/>
          <w:color w:val="auto"/>
          <w:spacing w:val="-2"/>
          <w:sz w:val="18"/>
          <w:szCs w:val="18"/>
          <w:highlight w:val="none"/>
        </w:rPr>
        <w:t>② “</w:t>
      </w:r>
      <w:r>
        <w:rPr>
          <w:rFonts w:ascii="宋体" w:hAnsi="宋体" w:eastAsia="宋体" w:cs="宋体"/>
          <w:color w:val="auto"/>
          <w:spacing w:val="-66"/>
          <w:sz w:val="18"/>
          <w:szCs w:val="18"/>
          <w:highlight w:val="none"/>
        </w:rPr>
        <w:t xml:space="preserve"> </w:t>
      </w:r>
      <w:r>
        <w:rPr>
          <w:rFonts w:ascii="宋体" w:hAnsi="宋体" w:eastAsia="宋体" w:cs="宋体"/>
          <w:color w:val="auto"/>
          <w:spacing w:val="-2"/>
          <w:sz w:val="18"/>
          <w:szCs w:val="18"/>
          <w:highlight w:val="none"/>
        </w:rPr>
        <w:t>中国执行信息公开网</w:t>
      </w:r>
      <w:r>
        <w:rPr>
          <w:rFonts w:ascii="宋体" w:hAnsi="宋体" w:eastAsia="宋体" w:cs="宋体"/>
          <w:color w:val="auto"/>
          <w:spacing w:val="-66"/>
          <w:sz w:val="18"/>
          <w:szCs w:val="18"/>
          <w:highlight w:val="none"/>
        </w:rPr>
        <w:t xml:space="preserve"> </w:t>
      </w:r>
      <w:r>
        <w:rPr>
          <w:rFonts w:ascii="宋体" w:hAnsi="宋体" w:eastAsia="宋体" w:cs="宋体"/>
          <w:color w:val="auto"/>
          <w:spacing w:val="-2"/>
          <w:sz w:val="18"/>
          <w:szCs w:val="18"/>
          <w:highlight w:val="none"/>
        </w:rPr>
        <w:t>”查询信息也予以认可,</w:t>
      </w:r>
      <w:r>
        <w:rPr>
          <w:rFonts w:ascii="宋体" w:hAnsi="宋体" w:eastAsia="宋体" w:cs="宋体"/>
          <w:color w:val="auto"/>
          <w:spacing w:val="-3"/>
          <w:sz w:val="18"/>
          <w:szCs w:val="18"/>
          <w:highlight w:val="none"/>
        </w:rPr>
        <w:t>下同。</w:t>
      </w:r>
    </w:p>
    <w:p w14:paraId="0AC9C56A">
      <w:pPr>
        <w:spacing w:before="18" w:line="220" w:lineRule="auto"/>
        <w:ind w:left="319"/>
        <w:rPr>
          <w:rFonts w:ascii="宋体" w:hAnsi="宋体" w:eastAsia="宋体" w:cs="宋体"/>
          <w:color w:val="auto"/>
          <w:sz w:val="18"/>
          <w:szCs w:val="18"/>
          <w:highlight w:val="none"/>
        </w:rPr>
      </w:pPr>
    </w:p>
    <w:p w14:paraId="4D7ED25D">
      <w:pPr>
        <w:spacing w:line="220" w:lineRule="auto"/>
        <w:rPr>
          <w:rFonts w:ascii="宋体" w:hAnsi="宋体" w:eastAsia="宋体" w:cs="宋体"/>
          <w:color w:val="auto"/>
          <w:sz w:val="18"/>
          <w:szCs w:val="18"/>
          <w:highlight w:val="none"/>
        </w:rPr>
        <w:sectPr>
          <w:footerReference r:id="rId10" w:type="default"/>
          <w:pgSz w:w="11906" w:h="16839"/>
          <w:pgMar w:top="1416" w:right="1102" w:bottom="1297" w:left="1102" w:header="0" w:footer="1067" w:gutter="0"/>
          <w:pgNumType w:fmt="decimal"/>
          <w:cols w:space="720" w:num="1"/>
        </w:sectPr>
      </w:pPr>
    </w:p>
    <w:p w14:paraId="57AC9219">
      <w:pPr>
        <w:spacing w:before="47" w:line="218" w:lineRule="auto"/>
        <w:ind w:left="9"/>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招标公告附件</w:t>
      </w:r>
    </w:p>
    <w:p w14:paraId="15E7F081">
      <w:pPr>
        <w:spacing w:before="181" w:line="219" w:lineRule="auto"/>
        <w:ind w:left="27"/>
        <w:rPr>
          <w:rFonts w:ascii="宋体" w:hAnsi="宋体" w:eastAsia="宋体" w:cs="宋体"/>
          <w:color w:val="auto"/>
          <w:spacing w:val="-4"/>
          <w:sz w:val="24"/>
          <w:szCs w:val="24"/>
          <w:highlight w:val="none"/>
        </w:rPr>
      </w:pPr>
      <w:r>
        <w:rPr>
          <w:rFonts w:ascii="宋体" w:hAnsi="宋体" w:eastAsia="宋体" w:cs="宋体"/>
          <w:color w:val="auto"/>
          <w:spacing w:val="-4"/>
          <w:sz w:val="24"/>
          <w:szCs w:val="24"/>
          <w:highlight w:val="none"/>
        </w:rPr>
        <w:t>附件 1：标段的划分及主要工程项目情况</w:t>
      </w:r>
    </w:p>
    <w:p w14:paraId="25828EE9">
      <w:pPr>
        <w:spacing w:before="181" w:line="219" w:lineRule="auto"/>
        <w:ind w:left="27"/>
        <w:rPr>
          <w:rFonts w:ascii="宋体" w:hAnsi="宋体" w:eastAsia="宋体" w:cs="宋体"/>
          <w:color w:val="auto"/>
          <w:spacing w:val="-4"/>
          <w:sz w:val="24"/>
          <w:szCs w:val="24"/>
          <w:highlight w:val="none"/>
        </w:rPr>
      </w:pPr>
      <w:r>
        <w:rPr>
          <w:rFonts w:ascii="宋体" w:hAnsi="宋体" w:eastAsia="宋体" w:cs="宋体"/>
          <w:color w:val="auto"/>
          <w:spacing w:val="-4"/>
          <w:sz w:val="24"/>
          <w:szCs w:val="24"/>
          <w:highlight w:val="none"/>
        </w:rPr>
        <w:t>附件 2：</w:t>
      </w:r>
      <w:bookmarkStart w:id="21" w:name="bookmark39"/>
      <w:bookmarkEnd w:id="21"/>
      <w:r>
        <w:rPr>
          <w:rFonts w:hint="eastAsia" w:ascii="宋体" w:hAnsi="宋体" w:eastAsia="宋体" w:cs="宋体"/>
          <w:color w:val="auto"/>
          <w:spacing w:val="-4"/>
          <w:sz w:val="24"/>
          <w:szCs w:val="24"/>
          <w:highlight w:val="none"/>
        </w:rPr>
        <w:t>重要事项时间地点一览表</w:t>
      </w:r>
    </w:p>
    <w:p w14:paraId="4936E5DA">
      <w:pPr>
        <w:spacing w:before="181" w:line="219" w:lineRule="auto"/>
        <w:ind w:left="27"/>
        <w:rPr>
          <w:rFonts w:ascii="宋体" w:hAnsi="宋体" w:eastAsia="宋体" w:cs="宋体"/>
          <w:color w:val="auto"/>
          <w:spacing w:val="-4"/>
          <w:sz w:val="24"/>
          <w:szCs w:val="24"/>
          <w:highlight w:val="none"/>
        </w:rPr>
      </w:pPr>
      <w:r>
        <w:rPr>
          <w:rFonts w:ascii="宋体" w:hAnsi="宋体" w:eastAsia="宋体" w:cs="宋体"/>
          <w:color w:val="auto"/>
          <w:spacing w:val="-4"/>
          <w:sz w:val="24"/>
          <w:szCs w:val="24"/>
          <w:highlight w:val="none"/>
        </w:rPr>
        <w:t xml:space="preserve">附件 </w:t>
      </w:r>
      <w:r>
        <w:rPr>
          <w:rFonts w:hint="eastAsia" w:ascii="宋体" w:hAnsi="宋体" w:eastAsia="宋体" w:cs="宋体"/>
          <w:color w:val="auto"/>
          <w:spacing w:val="-4"/>
          <w:sz w:val="24"/>
          <w:szCs w:val="24"/>
          <w:highlight w:val="none"/>
          <w:lang w:val="en-US" w:eastAsia="zh-CN"/>
        </w:rPr>
        <w:t>3</w:t>
      </w:r>
      <w:r>
        <w:rPr>
          <w:rFonts w:ascii="宋体" w:hAnsi="宋体" w:eastAsia="宋体" w:cs="宋体"/>
          <w:color w:val="auto"/>
          <w:spacing w:val="-4"/>
          <w:sz w:val="24"/>
          <w:szCs w:val="24"/>
          <w:highlight w:val="none"/>
        </w:rPr>
        <w:t>：招标文件（含资格审查条件、评标办法</w:t>
      </w:r>
      <w:r>
        <w:rPr>
          <w:rFonts w:hint="eastAsia" w:ascii="宋体" w:hAnsi="宋体" w:eastAsia="宋体" w:cs="宋体"/>
          <w:color w:val="auto"/>
          <w:spacing w:val="-4"/>
          <w:sz w:val="24"/>
          <w:szCs w:val="24"/>
          <w:highlight w:val="none"/>
          <w:lang w:eastAsia="zh-CN"/>
        </w:rPr>
        <w:t>、</w:t>
      </w:r>
      <w:r>
        <w:rPr>
          <w:rFonts w:hint="eastAsia" w:ascii="宋体" w:hAnsi="宋体" w:eastAsia="宋体" w:cs="宋体"/>
          <w:color w:val="auto"/>
          <w:spacing w:val="-4"/>
          <w:sz w:val="24"/>
          <w:szCs w:val="24"/>
          <w:highlight w:val="none"/>
          <w:lang w:val="en-US" w:eastAsia="zh-CN"/>
        </w:rPr>
        <w:t>定标办法</w:t>
      </w:r>
      <w:r>
        <w:rPr>
          <w:rFonts w:ascii="宋体" w:hAnsi="宋体" w:eastAsia="宋体" w:cs="宋体"/>
          <w:color w:val="auto"/>
          <w:spacing w:val="-4"/>
          <w:sz w:val="24"/>
          <w:szCs w:val="24"/>
          <w:highlight w:val="none"/>
        </w:rPr>
        <w:t>）</w:t>
      </w:r>
    </w:p>
    <w:p w14:paraId="43EF9E1C">
      <w:pPr>
        <w:spacing w:before="181" w:line="219" w:lineRule="auto"/>
        <w:ind w:left="27"/>
        <w:rPr>
          <w:rFonts w:ascii="宋体" w:hAnsi="宋体" w:eastAsia="宋体" w:cs="宋体"/>
          <w:color w:val="auto"/>
          <w:spacing w:val="-4"/>
          <w:sz w:val="24"/>
          <w:szCs w:val="24"/>
          <w:highlight w:val="none"/>
        </w:rPr>
      </w:pPr>
      <w:r>
        <w:rPr>
          <w:rFonts w:ascii="宋体" w:hAnsi="宋体" w:eastAsia="宋体" w:cs="宋体"/>
          <w:color w:val="auto"/>
          <w:spacing w:val="-4"/>
          <w:sz w:val="24"/>
          <w:szCs w:val="24"/>
          <w:highlight w:val="none"/>
        </w:rPr>
        <w:t>以上附件可从发布公告的网站媒介上下载。</w:t>
      </w:r>
    </w:p>
    <w:p w14:paraId="7C9A4CA4">
      <w:pPr>
        <w:spacing w:line="243" w:lineRule="auto"/>
        <w:rPr>
          <w:rFonts w:ascii="Arial"/>
          <w:color w:val="auto"/>
          <w:sz w:val="21"/>
          <w:highlight w:val="none"/>
        </w:rPr>
      </w:pPr>
    </w:p>
    <w:p w14:paraId="2542B4CE">
      <w:pPr>
        <w:spacing w:line="243" w:lineRule="auto"/>
        <w:rPr>
          <w:rFonts w:ascii="Arial"/>
          <w:color w:val="auto"/>
          <w:sz w:val="21"/>
          <w:highlight w:val="none"/>
        </w:rPr>
      </w:pPr>
    </w:p>
    <w:p w14:paraId="250A5ADC">
      <w:pPr>
        <w:spacing w:line="243" w:lineRule="auto"/>
        <w:rPr>
          <w:rFonts w:ascii="Arial"/>
          <w:color w:val="auto"/>
          <w:sz w:val="21"/>
          <w:highlight w:val="none"/>
        </w:rPr>
      </w:pPr>
    </w:p>
    <w:p w14:paraId="78F4FCC0">
      <w:pPr>
        <w:spacing w:line="243" w:lineRule="auto"/>
        <w:rPr>
          <w:rFonts w:ascii="Arial"/>
          <w:color w:val="auto"/>
          <w:sz w:val="21"/>
          <w:highlight w:val="none"/>
        </w:rPr>
      </w:pPr>
    </w:p>
    <w:p w14:paraId="0677B7C2">
      <w:pPr>
        <w:spacing w:line="243" w:lineRule="auto"/>
        <w:rPr>
          <w:rFonts w:ascii="Arial"/>
          <w:color w:val="auto"/>
          <w:sz w:val="21"/>
          <w:highlight w:val="none"/>
        </w:rPr>
      </w:pPr>
    </w:p>
    <w:p w14:paraId="33A7B302">
      <w:pPr>
        <w:spacing w:line="243" w:lineRule="auto"/>
        <w:rPr>
          <w:rFonts w:ascii="Arial"/>
          <w:color w:val="auto"/>
          <w:sz w:val="21"/>
          <w:highlight w:val="none"/>
        </w:rPr>
      </w:pPr>
    </w:p>
    <w:p w14:paraId="1430D955">
      <w:pPr>
        <w:spacing w:line="243" w:lineRule="auto"/>
        <w:rPr>
          <w:rFonts w:ascii="Arial"/>
          <w:color w:val="auto"/>
          <w:sz w:val="21"/>
          <w:highlight w:val="none"/>
        </w:rPr>
      </w:pPr>
    </w:p>
    <w:p w14:paraId="7E92D65D">
      <w:pPr>
        <w:spacing w:line="243" w:lineRule="auto"/>
        <w:rPr>
          <w:rFonts w:ascii="Arial"/>
          <w:color w:val="auto"/>
          <w:sz w:val="21"/>
          <w:highlight w:val="none"/>
        </w:rPr>
      </w:pPr>
    </w:p>
    <w:p w14:paraId="24F47171">
      <w:pPr>
        <w:spacing w:line="243" w:lineRule="auto"/>
        <w:rPr>
          <w:rFonts w:ascii="Arial"/>
          <w:color w:val="auto"/>
          <w:sz w:val="21"/>
          <w:highlight w:val="none"/>
        </w:rPr>
      </w:pPr>
    </w:p>
    <w:p w14:paraId="04F894A5">
      <w:pPr>
        <w:spacing w:line="243" w:lineRule="auto"/>
        <w:rPr>
          <w:rFonts w:ascii="Arial"/>
          <w:color w:val="auto"/>
          <w:sz w:val="21"/>
          <w:highlight w:val="none"/>
        </w:rPr>
      </w:pPr>
    </w:p>
    <w:p w14:paraId="331D890B">
      <w:pPr>
        <w:spacing w:line="243" w:lineRule="auto"/>
        <w:rPr>
          <w:rFonts w:ascii="Arial"/>
          <w:color w:val="auto"/>
          <w:sz w:val="21"/>
          <w:highlight w:val="none"/>
        </w:rPr>
      </w:pPr>
    </w:p>
    <w:p w14:paraId="42BB9B5A">
      <w:pPr>
        <w:spacing w:line="243" w:lineRule="auto"/>
        <w:rPr>
          <w:rFonts w:ascii="Arial"/>
          <w:color w:val="auto"/>
          <w:sz w:val="21"/>
          <w:highlight w:val="none"/>
        </w:rPr>
      </w:pPr>
    </w:p>
    <w:p w14:paraId="69ADD556">
      <w:pPr>
        <w:spacing w:line="243" w:lineRule="auto"/>
        <w:rPr>
          <w:rFonts w:ascii="Arial"/>
          <w:color w:val="auto"/>
          <w:sz w:val="21"/>
          <w:highlight w:val="none"/>
        </w:rPr>
      </w:pPr>
    </w:p>
    <w:p w14:paraId="1DD1B1FB">
      <w:pPr>
        <w:spacing w:line="243" w:lineRule="auto"/>
        <w:rPr>
          <w:rFonts w:ascii="Arial"/>
          <w:color w:val="auto"/>
          <w:sz w:val="21"/>
          <w:highlight w:val="none"/>
        </w:rPr>
      </w:pPr>
    </w:p>
    <w:p w14:paraId="02881F3D">
      <w:pPr>
        <w:spacing w:line="243" w:lineRule="auto"/>
        <w:rPr>
          <w:rFonts w:ascii="Arial"/>
          <w:color w:val="auto"/>
          <w:sz w:val="21"/>
          <w:highlight w:val="none"/>
        </w:rPr>
      </w:pPr>
    </w:p>
    <w:p w14:paraId="5B0DC953">
      <w:pPr>
        <w:spacing w:line="243" w:lineRule="auto"/>
        <w:rPr>
          <w:rFonts w:ascii="Arial"/>
          <w:color w:val="auto"/>
          <w:sz w:val="21"/>
          <w:highlight w:val="none"/>
        </w:rPr>
      </w:pPr>
    </w:p>
    <w:p w14:paraId="3E3B7E70">
      <w:pPr>
        <w:spacing w:line="243" w:lineRule="auto"/>
        <w:rPr>
          <w:rFonts w:ascii="Arial"/>
          <w:color w:val="auto"/>
          <w:sz w:val="21"/>
          <w:highlight w:val="none"/>
        </w:rPr>
      </w:pPr>
    </w:p>
    <w:p w14:paraId="4D1CB6FE">
      <w:pPr>
        <w:spacing w:line="243" w:lineRule="auto"/>
        <w:rPr>
          <w:rFonts w:ascii="Arial"/>
          <w:color w:val="auto"/>
          <w:sz w:val="21"/>
          <w:highlight w:val="none"/>
        </w:rPr>
      </w:pPr>
    </w:p>
    <w:p w14:paraId="2DE3B3D8">
      <w:pPr>
        <w:spacing w:line="243" w:lineRule="auto"/>
        <w:rPr>
          <w:rFonts w:ascii="Arial"/>
          <w:color w:val="auto"/>
          <w:sz w:val="21"/>
          <w:highlight w:val="none"/>
        </w:rPr>
      </w:pPr>
    </w:p>
    <w:p w14:paraId="06DDE56B">
      <w:pPr>
        <w:spacing w:line="243" w:lineRule="auto"/>
        <w:rPr>
          <w:rFonts w:ascii="Arial"/>
          <w:color w:val="auto"/>
          <w:sz w:val="21"/>
          <w:highlight w:val="none"/>
        </w:rPr>
      </w:pPr>
    </w:p>
    <w:p w14:paraId="0C27229D">
      <w:pPr>
        <w:spacing w:line="243" w:lineRule="auto"/>
        <w:rPr>
          <w:rFonts w:ascii="Arial"/>
          <w:color w:val="auto"/>
          <w:sz w:val="21"/>
          <w:highlight w:val="none"/>
        </w:rPr>
      </w:pPr>
    </w:p>
    <w:p w14:paraId="67652E84">
      <w:pPr>
        <w:spacing w:line="243" w:lineRule="auto"/>
        <w:rPr>
          <w:rFonts w:ascii="Arial"/>
          <w:color w:val="auto"/>
          <w:sz w:val="21"/>
          <w:highlight w:val="none"/>
        </w:rPr>
      </w:pPr>
    </w:p>
    <w:p w14:paraId="61A5B99A">
      <w:pPr>
        <w:spacing w:line="243" w:lineRule="auto"/>
        <w:rPr>
          <w:rFonts w:ascii="Arial"/>
          <w:color w:val="auto"/>
          <w:sz w:val="21"/>
          <w:highlight w:val="none"/>
        </w:rPr>
      </w:pPr>
    </w:p>
    <w:p w14:paraId="207B090F">
      <w:pPr>
        <w:spacing w:line="243" w:lineRule="auto"/>
        <w:rPr>
          <w:rFonts w:ascii="Arial"/>
          <w:color w:val="auto"/>
          <w:sz w:val="21"/>
          <w:highlight w:val="none"/>
        </w:rPr>
      </w:pPr>
    </w:p>
    <w:p w14:paraId="7375A51E">
      <w:pPr>
        <w:spacing w:line="243" w:lineRule="auto"/>
        <w:rPr>
          <w:rFonts w:ascii="Arial"/>
          <w:color w:val="auto"/>
          <w:sz w:val="21"/>
          <w:highlight w:val="none"/>
        </w:rPr>
      </w:pPr>
    </w:p>
    <w:p w14:paraId="3D750986">
      <w:pPr>
        <w:spacing w:line="243" w:lineRule="auto"/>
        <w:rPr>
          <w:rFonts w:ascii="Arial"/>
          <w:color w:val="auto"/>
          <w:sz w:val="21"/>
          <w:highlight w:val="none"/>
        </w:rPr>
      </w:pPr>
    </w:p>
    <w:p w14:paraId="1F47E0B7">
      <w:pPr>
        <w:spacing w:line="243" w:lineRule="auto"/>
        <w:rPr>
          <w:rFonts w:ascii="Arial"/>
          <w:color w:val="auto"/>
          <w:sz w:val="21"/>
          <w:highlight w:val="none"/>
        </w:rPr>
      </w:pPr>
    </w:p>
    <w:p w14:paraId="635619A6">
      <w:pPr>
        <w:spacing w:line="243" w:lineRule="auto"/>
        <w:rPr>
          <w:rFonts w:ascii="Arial"/>
          <w:color w:val="auto"/>
          <w:sz w:val="21"/>
          <w:highlight w:val="none"/>
        </w:rPr>
      </w:pPr>
    </w:p>
    <w:p w14:paraId="24E48511">
      <w:pPr>
        <w:spacing w:line="243" w:lineRule="auto"/>
        <w:rPr>
          <w:rFonts w:ascii="Arial"/>
          <w:color w:val="auto"/>
          <w:sz w:val="21"/>
          <w:highlight w:val="none"/>
        </w:rPr>
      </w:pPr>
    </w:p>
    <w:p w14:paraId="7661C9B5">
      <w:pPr>
        <w:spacing w:line="243" w:lineRule="auto"/>
        <w:rPr>
          <w:rFonts w:ascii="Arial"/>
          <w:color w:val="auto"/>
          <w:sz w:val="21"/>
          <w:highlight w:val="none"/>
        </w:rPr>
      </w:pPr>
    </w:p>
    <w:p w14:paraId="43AC19BA">
      <w:pPr>
        <w:spacing w:line="243" w:lineRule="auto"/>
        <w:rPr>
          <w:rFonts w:ascii="Arial"/>
          <w:color w:val="auto"/>
          <w:sz w:val="21"/>
          <w:highlight w:val="none"/>
        </w:rPr>
      </w:pPr>
    </w:p>
    <w:p w14:paraId="2C837CA4">
      <w:pPr>
        <w:spacing w:line="243" w:lineRule="auto"/>
        <w:rPr>
          <w:rFonts w:ascii="Arial"/>
          <w:color w:val="auto"/>
          <w:sz w:val="21"/>
          <w:highlight w:val="none"/>
        </w:rPr>
      </w:pPr>
    </w:p>
    <w:p w14:paraId="30DF49E4">
      <w:pPr>
        <w:spacing w:line="243" w:lineRule="auto"/>
        <w:rPr>
          <w:rFonts w:ascii="Arial"/>
          <w:color w:val="auto"/>
          <w:sz w:val="21"/>
          <w:highlight w:val="none"/>
        </w:rPr>
      </w:pPr>
    </w:p>
    <w:p w14:paraId="79E90C01">
      <w:pPr>
        <w:spacing w:line="243" w:lineRule="auto"/>
        <w:rPr>
          <w:rFonts w:ascii="Arial"/>
          <w:color w:val="auto"/>
          <w:sz w:val="21"/>
          <w:highlight w:val="none"/>
        </w:rPr>
      </w:pPr>
    </w:p>
    <w:p w14:paraId="0051AA36">
      <w:pPr>
        <w:spacing w:line="243" w:lineRule="auto"/>
        <w:rPr>
          <w:rFonts w:ascii="Arial"/>
          <w:color w:val="auto"/>
          <w:sz w:val="21"/>
          <w:highlight w:val="none"/>
        </w:rPr>
      </w:pPr>
    </w:p>
    <w:p w14:paraId="3B082548">
      <w:pPr>
        <w:spacing w:line="243" w:lineRule="auto"/>
        <w:rPr>
          <w:rFonts w:ascii="Arial"/>
          <w:color w:val="auto"/>
          <w:sz w:val="21"/>
          <w:highlight w:val="none"/>
        </w:rPr>
      </w:pPr>
    </w:p>
    <w:p w14:paraId="361D486E">
      <w:pPr>
        <w:spacing w:line="243" w:lineRule="auto"/>
        <w:rPr>
          <w:rFonts w:ascii="Arial"/>
          <w:color w:val="auto"/>
          <w:sz w:val="21"/>
          <w:highlight w:val="none"/>
        </w:rPr>
      </w:pPr>
    </w:p>
    <w:p w14:paraId="45F8BDB2">
      <w:pPr>
        <w:spacing w:line="243" w:lineRule="auto"/>
        <w:rPr>
          <w:rFonts w:ascii="Arial"/>
          <w:color w:val="auto"/>
          <w:sz w:val="21"/>
          <w:highlight w:val="none"/>
        </w:rPr>
      </w:pPr>
    </w:p>
    <w:p w14:paraId="0D3D5CC1">
      <w:pPr>
        <w:spacing w:line="243" w:lineRule="auto"/>
        <w:rPr>
          <w:rFonts w:ascii="Arial"/>
          <w:color w:val="auto"/>
          <w:sz w:val="21"/>
          <w:highlight w:val="none"/>
        </w:rPr>
      </w:pPr>
    </w:p>
    <w:p w14:paraId="1A92576B">
      <w:pPr>
        <w:spacing w:line="243" w:lineRule="auto"/>
        <w:rPr>
          <w:rFonts w:ascii="Arial"/>
          <w:color w:val="auto"/>
          <w:sz w:val="21"/>
          <w:highlight w:val="none"/>
        </w:rPr>
      </w:pPr>
    </w:p>
    <w:p w14:paraId="0D004511">
      <w:pPr>
        <w:spacing w:line="243" w:lineRule="auto"/>
        <w:rPr>
          <w:rFonts w:ascii="Arial"/>
          <w:color w:val="auto"/>
          <w:sz w:val="21"/>
          <w:highlight w:val="none"/>
        </w:rPr>
      </w:pPr>
    </w:p>
    <w:p w14:paraId="440E2232">
      <w:pPr>
        <w:spacing w:line="243" w:lineRule="auto"/>
        <w:rPr>
          <w:rFonts w:ascii="Arial"/>
          <w:color w:val="auto"/>
          <w:sz w:val="21"/>
          <w:highlight w:val="none"/>
        </w:rPr>
      </w:pPr>
    </w:p>
    <w:p w14:paraId="63157F1B">
      <w:pPr>
        <w:spacing w:line="243" w:lineRule="auto"/>
        <w:rPr>
          <w:rFonts w:ascii="Arial"/>
          <w:color w:val="auto"/>
          <w:sz w:val="21"/>
          <w:highlight w:val="none"/>
        </w:rPr>
      </w:pPr>
    </w:p>
    <w:p w14:paraId="2C95884F">
      <w:pPr>
        <w:spacing w:line="243" w:lineRule="auto"/>
        <w:rPr>
          <w:rFonts w:ascii="Arial"/>
          <w:color w:val="auto"/>
          <w:sz w:val="21"/>
          <w:highlight w:val="none"/>
        </w:rPr>
      </w:pPr>
    </w:p>
    <w:p w14:paraId="42A4AB40">
      <w:pPr>
        <w:spacing w:line="243" w:lineRule="auto"/>
        <w:rPr>
          <w:rFonts w:ascii="Arial"/>
          <w:color w:val="auto"/>
          <w:sz w:val="21"/>
          <w:highlight w:val="none"/>
        </w:rPr>
      </w:pPr>
    </w:p>
    <w:p w14:paraId="4AD25843">
      <w:pPr>
        <w:spacing w:line="244" w:lineRule="auto"/>
        <w:rPr>
          <w:rFonts w:ascii="Arial"/>
          <w:color w:val="auto"/>
          <w:sz w:val="21"/>
          <w:highlight w:val="none"/>
        </w:rPr>
      </w:pPr>
    </w:p>
    <w:p w14:paraId="7EA85DCC">
      <w:pPr>
        <w:spacing w:line="244" w:lineRule="auto"/>
        <w:rPr>
          <w:rFonts w:ascii="Arial"/>
          <w:color w:val="auto"/>
          <w:sz w:val="21"/>
          <w:highlight w:val="none"/>
        </w:rPr>
      </w:pPr>
    </w:p>
    <w:p w14:paraId="324FA119">
      <w:pPr>
        <w:rPr>
          <w:rFonts w:ascii="宋体" w:hAnsi="宋体" w:eastAsia="宋体" w:cs="宋体"/>
          <w:b/>
          <w:bCs/>
          <w:color w:val="auto"/>
          <w:spacing w:val="5"/>
          <w:sz w:val="20"/>
          <w:szCs w:val="20"/>
          <w:highlight w:val="none"/>
        </w:rPr>
      </w:pPr>
      <w:r>
        <w:rPr>
          <w:rFonts w:ascii="宋体" w:hAnsi="宋体" w:eastAsia="宋体" w:cs="宋体"/>
          <w:b/>
          <w:bCs/>
          <w:color w:val="auto"/>
          <w:spacing w:val="5"/>
          <w:sz w:val="20"/>
          <w:szCs w:val="20"/>
          <w:highlight w:val="none"/>
        </w:rPr>
        <w:br w:type="page"/>
      </w:r>
    </w:p>
    <w:p w14:paraId="062511FD">
      <w:pPr>
        <w:spacing w:before="44" w:line="223" w:lineRule="auto"/>
        <w:ind w:left="120"/>
        <w:rPr>
          <w:rFonts w:ascii="MingLiU-ExtB" w:hAnsi="MingLiU-ExtB" w:eastAsia="MingLiU-ExtB" w:cs="MingLiU-ExtB"/>
          <w:color w:val="auto"/>
          <w:sz w:val="20"/>
          <w:szCs w:val="20"/>
          <w:highlight w:val="none"/>
        </w:rPr>
      </w:pPr>
      <w:r>
        <w:rPr>
          <w:rFonts w:ascii="宋体" w:hAnsi="宋体" w:eastAsia="宋体" w:cs="宋体"/>
          <w:b/>
          <w:bCs/>
          <w:color w:val="auto"/>
          <w:spacing w:val="5"/>
          <w:sz w:val="20"/>
          <w:szCs w:val="20"/>
          <w:highlight w:val="none"/>
        </w:rPr>
        <w:t>招标公告附件</w:t>
      </w:r>
      <w:r>
        <w:rPr>
          <w:rFonts w:ascii="宋体" w:hAnsi="宋体" w:eastAsia="宋体" w:cs="宋体"/>
          <w:color w:val="auto"/>
          <w:spacing w:val="-19"/>
          <w:sz w:val="20"/>
          <w:szCs w:val="20"/>
          <w:highlight w:val="none"/>
        </w:rPr>
        <w:t xml:space="preserve"> </w:t>
      </w:r>
      <w:r>
        <w:rPr>
          <w:rFonts w:ascii="MingLiU-ExtB" w:hAnsi="MingLiU-ExtB" w:eastAsia="MingLiU-ExtB" w:cs="MingLiU-ExtB"/>
          <w:b/>
          <w:bCs/>
          <w:color w:val="auto"/>
          <w:spacing w:val="5"/>
          <w:sz w:val="20"/>
          <w:szCs w:val="20"/>
          <w:highlight w:val="none"/>
        </w:rPr>
        <w:t>1</w:t>
      </w:r>
    </w:p>
    <w:tbl>
      <w:tblPr>
        <w:tblStyle w:val="17"/>
        <w:tblW w:w="900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1"/>
        <w:gridCol w:w="709"/>
        <w:gridCol w:w="948"/>
        <w:gridCol w:w="896"/>
        <w:gridCol w:w="2969"/>
        <w:gridCol w:w="1435"/>
        <w:gridCol w:w="1230"/>
      </w:tblGrid>
      <w:tr w14:paraId="5C3C4D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821" w:type="dxa"/>
            <w:vAlign w:val="top"/>
          </w:tcPr>
          <w:p w14:paraId="4C6D98F8">
            <w:pPr>
              <w:pStyle w:val="18"/>
              <w:spacing w:before="192" w:line="228" w:lineRule="auto"/>
              <w:ind w:left="259"/>
              <w:rPr>
                <w:color w:val="auto"/>
                <w:highlight w:val="none"/>
              </w:rPr>
            </w:pPr>
            <w:r>
              <w:rPr>
                <w:color w:val="auto"/>
                <w:spacing w:val="4"/>
                <w:highlight w:val="none"/>
              </w:rPr>
              <w:t>标类</w:t>
            </w:r>
          </w:p>
        </w:tc>
        <w:tc>
          <w:tcPr>
            <w:tcW w:w="709" w:type="dxa"/>
            <w:vAlign w:val="top"/>
          </w:tcPr>
          <w:p w14:paraId="18886AF2">
            <w:pPr>
              <w:pStyle w:val="18"/>
              <w:spacing w:before="37" w:line="271" w:lineRule="auto"/>
              <w:ind w:left="258" w:right="146" w:hanging="109"/>
              <w:rPr>
                <w:color w:val="auto"/>
                <w:highlight w:val="none"/>
              </w:rPr>
            </w:pPr>
            <w:r>
              <w:rPr>
                <w:color w:val="auto"/>
                <w:spacing w:val="4"/>
                <w:highlight w:val="none"/>
              </w:rPr>
              <w:t>标段</w:t>
            </w:r>
            <w:r>
              <w:rPr>
                <w:color w:val="auto"/>
                <w:highlight w:val="none"/>
              </w:rPr>
              <w:t>号</w:t>
            </w:r>
          </w:p>
        </w:tc>
        <w:tc>
          <w:tcPr>
            <w:tcW w:w="948" w:type="dxa"/>
            <w:vAlign w:val="top"/>
          </w:tcPr>
          <w:p w14:paraId="568FCED2">
            <w:pPr>
              <w:pStyle w:val="18"/>
              <w:spacing w:before="37" w:line="228" w:lineRule="auto"/>
              <w:ind w:left="162"/>
              <w:rPr>
                <w:color w:val="auto"/>
                <w:highlight w:val="none"/>
              </w:rPr>
            </w:pPr>
            <w:r>
              <w:rPr>
                <w:color w:val="auto"/>
                <w:spacing w:val="6"/>
                <w:highlight w:val="none"/>
              </w:rPr>
              <w:t>合同起</w:t>
            </w:r>
          </w:p>
          <w:p w14:paraId="4B6DDD9A">
            <w:pPr>
              <w:pStyle w:val="18"/>
              <w:spacing w:before="64" w:line="228" w:lineRule="auto"/>
              <w:ind w:left="162"/>
              <w:rPr>
                <w:color w:val="auto"/>
                <w:highlight w:val="none"/>
              </w:rPr>
            </w:pPr>
            <w:r>
              <w:rPr>
                <w:color w:val="auto"/>
                <w:spacing w:val="6"/>
                <w:highlight w:val="none"/>
              </w:rPr>
              <w:t>讫桩号</w:t>
            </w:r>
          </w:p>
        </w:tc>
        <w:tc>
          <w:tcPr>
            <w:tcW w:w="896" w:type="dxa"/>
            <w:vAlign w:val="top"/>
          </w:tcPr>
          <w:p w14:paraId="33AFA6A8">
            <w:pPr>
              <w:pStyle w:val="18"/>
              <w:spacing w:before="37" w:line="228" w:lineRule="auto"/>
              <w:ind w:left="245"/>
              <w:rPr>
                <w:color w:val="auto"/>
                <w:highlight w:val="none"/>
              </w:rPr>
            </w:pPr>
            <w:r>
              <w:rPr>
                <w:color w:val="auto"/>
                <w:spacing w:val="3"/>
                <w:highlight w:val="none"/>
              </w:rPr>
              <w:t>里程</w:t>
            </w:r>
          </w:p>
          <w:p w14:paraId="32B3F7F5">
            <w:pPr>
              <w:pStyle w:val="18"/>
              <w:spacing w:before="65" w:line="228" w:lineRule="auto"/>
              <w:ind w:left="244"/>
              <w:rPr>
                <w:color w:val="auto"/>
                <w:highlight w:val="none"/>
              </w:rPr>
            </w:pPr>
            <w:r>
              <w:rPr>
                <w:color w:val="auto"/>
                <w:spacing w:val="4"/>
                <w:highlight w:val="none"/>
              </w:rPr>
              <w:t>长度</w:t>
            </w:r>
          </w:p>
        </w:tc>
        <w:tc>
          <w:tcPr>
            <w:tcW w:w="2969" w:type="dxa"/>
            <w:vAlign w:val="top"/>
          </w:tcPr>
          <w:p w14:paraId="2892F235">
            <w:pPr>
              <w:pStyle w:val="18"/>
              <w:spacing w:before="175" w:line="264" w:lineRule="exact"/>
              <w:ind w:left="1016"/>
              <w:rPr>
                <w:color w:val="auto"/>
                <w:sz w:val="10"/>
                <w:szCs w:val="10"/>
                <w:highlight w:val="none"/>
              </w:rPr>
            </w:pPr>
            <w:r>
              <w:rPr>
                <w:b/>
                <w:bCs/>
                <w:color w:val="auto"/>
                <w:spacing w:val="6"/>
                <w:highlight w:val="none"/>
              </w:rPr>
              <w:t>招标内容</w:t>
            </w:r>
          </w:p>
        </w:tc>
        <w:tc>
          <w:tcPr>
            <w:tcW w:w="1435" w:type="dxa"/>
            <w:vAlign w:val="top"/>
          </w:tcPr>
          <w:p w14:paraId="48D02B77">
            <w:pPr>
              <w:pStyle w:val="18"/>
              <w:spacing w:before="192" w:line="228" w:lineRule="auto"/>
              <w:ind w:left="199"/>
              <w:rPr>
                <w:color w:val="auto"/>
                <w:highlight w:val="none"/>
              </w:rPr>
            </w:pPr>
            <w:r>
              <w:rPr>
                <w:color w:val="auto"/>
                <w:spacing w:val="7"/>
                <w:highlight w:val="none"/>
              </w:rPr>
              <w:t>监理服务期</w:t>
            </w:r>
          </w:p>
        </w:tc>
        <w:tc>
          <w:tcPr>
            <w:tcW w:w="1230" w:type="dxa"/>
            <w:vAlign w:val="top"/>
          </w:tcPr>
          <w:p w14:paraId="3DD75BCC">
            <w:pPr>
              <w:pStyle w:val="18"/>
              <w:spacing w:before="175" w:line="264" w:lineRule="exact"/>
              <w:ind w:left="157"/>
              <w:rPr>
                <w:color w:val="auto"/>
                <w:sz w:val="10"/>
                <w:szCs w:val="10"/>
                <w:highlight w:val="none"/>
              </w:rPr>
            </w:pPr>
            <w:r>
              <w:rPr>
                <w:color w:val="auto"/>
                <w:spacing w:val="5"/>
                <w:highlight w:val="none"/>
              </w:rPr>
              <w:t>资质等级</w:t>
            </w:r>
          </w:p>
        </w:tc>
      </w:tr>
      <w:tr w14:paraId="0A10D8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28" w:hRule="atLeast"/>
        </w:trPr>
        <w:tc>
          <w:tcPr>
            <w:tcW w:w="821" w:type="dxa"/>
            <w:vAlign w:val="top"/>
          </w:tcPr>
          <w:p w14:paraId="097AE3EB">
            <w:pPr>
              <w:spacing w:line="249" w:lineRule="auto"/>
              <w:rPr>
                <w:rFonts w:ascii="Arial"/>
                <w:color w:val="auto"/>
                <w:sz w:val="21"/>
                <w:highlight w:val="none"/>
              </w:rPr>
            </w:pPr>
          </w:p>
          <w:p w14:paraId="719AAF55">
            <w:pPr>
              <w:spacing w:line="249" w:lineRule="auto"/>
              <w:rPr>
                <w:rFonts w:ascii="Arial"/>
                <w:color w:val="auto"/>
                <w:sz w:val="21"/>
                <w:highlight w:val="none"/>
              </w:rPr>
            </w:pPr>
          </w:p>
          <w:p w14:paraId="7BD69518">
            <w:pPr>
              <w:spacing w:line="249" w:lineRule="auto"/>
              <w:rPr>
                <w:rFonts w:ascii="Arial"/>
                <w:color w:val="auto"/>
                <w:sz w:val="21"/>
                <w:highlight w:val="none"/>
              </w:rPr>
            </w:pPr>
          </w:p>
          <w:p w14:paraId="19BF418E">
            <w:pPr>
              <w:spacing w:line="249" w:lineRule="auto"/>
              <w:rPr>
                <w:rFonts w:ascii="Arial"/>
                <w:color w:val="auto"/>
                <w:sz w:val="21"/>
                <w:highlight w:val="none"/>
              </w:rPr>
            </w:pPr>
          </w:p>
          <w:p w14:paraId="0AEE5A12">
            <w:pPr>
              <w:spacing w:line="249" w:lineRule="auto"/>
              <w:rPr>
                <w:rFonts w:ascii="Arial"/>
                <w:color w:val="auto"/>
                <w:sz w:val="21"/>
                <w:highlight w:val="none"/>
              </w:rPr>
            </w:pPr>
          </w:p>
          <w:p w14:paraId="1499F4BD">
            <w:pPr>
              <w:spacing w:line="249" w:lineRule="auto"/>
              <w:rPr>
                <w:rFonts w:ascii="Arial"/>
                <w:color w:val="auto"/>
                <w:sz w:val="21"/>
                <w:highlight w:val="none"/>
              </w:rPr>
            </w:pPr>
          </w:p>
          <w:p w14:paraId="7A0EB04A">
            <w:pPr>
              <w:pStyle w:val="18"/>
              <w:spacing w:before="65" w:line="289" w:lineRule="auto"/>
              <w:ind w:left="153" w:right="146" w:firstLine="51"/>
              <w:jc w:val="both"/>
              <w:rPr>
                <w:b/>
                <w:bCs/>
                <w:color w:val="auto"/>
                <w:spacing w:val="3"/>
                <w:highlight w:val="none"/>
              </w:rPr>
            </w:pPr>
            <w:r>
              <w:rPr>
                <w:rFonts w:hint="eastAsia"/>
                <w:b/>
                <w:bCs/>
                <w:color w:val="auto"/>
                <w:spacing w:val="3"/>
                <w:highlight w:val="none"/>
                <w:lang w:val="en-US" w:eastAsia="zh-CN"/>
              </w:rPr>
              <w:t xml:space="preserve">土建 </w:t>
            </w:r>
          </w:p>
          <w:p w14:paraId="7A40E1AB">
            <w:pPr>
              <w:pStyle w:val="18"/>
              <w:spacing w:before="65" w:line="289" w:lineRule="auto"/>
              <w:ind w:left="153" w:right="146" w:firstLine="51"/>
              <w:jc w:val="both"/>
              <w:rPr>
                <w:b/>
                <w:bCs/>
                <w:color w:val="auto"/>
                <w:spacing w:val="3"/>
                <w:highlight w:val="none"/>
              </w:rPr>
            </w:pPr>
            <w:r>
              <w:rPr>
                <w:rFonts w:hint="eastAsia"/>
                <w:b/>
                <w:bCs/>
                <w:color w:val="auto"/>
                <w:spacing w:val="3"/>
                <w:highlight w:val="none"/>
                <w:lang w:val="en-US" w:eastAsia="zh-CN"/>
              </w:rPr>
              <w:t xml:space="preserve">监理 </w:t>
            </w:r>
          </w:p>
          <w:p w14:paraId="5645784C">
            <w:pPr>
              <w:pStyle w:val="18"/>
              <w:spacing w:before="65" w:line="289" w:lineRule="auto"/>
              <w:ind w:left="153" w:right="146" w:firstLine="51"/>
              <w:jc w:val="both"/>
              <w:rPr>
                <w:b/>
                <w:bCs/>
                <w:color w:val="auto"/>
                <w:spacing w:val="3"/>
                <w:highlight w:val="none"/>
              </w:rPr>
            </w:pPr>
            <w:r>
              <w:rPr>
                <w:rFonts w:hint="eastAsia"/>
                <w:b/>
                <w:bCs/>
                <w:color w:val="auto"/>
                <w:spacing w:val="3"/>
                <w:highlight w:val="none"/>
                <w:lang w:val="en-US" w:eastAsia="zh-CN"/>
              </w:rPr>
              <w:t xml:space="preserve">含中 </w:t>
            </w:r>
          </w:p>
          <w:p w14:paraId="7F12757F">
            <w:pPr>
              <w:pStyle w:val="18"/>
              <w:spacing w:before="65" w:line="289" w:lineRule="auto"/>
              <w:ind w:left="153" w:right="146" w:firstLine="51"/>
              <w:jc w:val="both"/>
              <w:rPr>
                <w:b/>
                <w:bCs/>
                <w:color w:val="auto"/>
                <w:spacing w:val="3"/>
                <w:highlight w:val="none"/>
              </w:rPr>
            </w:pPr>
            <w:r>
              <w:rPr>
                <w:rFonts w:hint="eastAsia"/>
                <w:b/>
                <w:bCs/>
                <w:color w:val="auto"/>
                <w:spacing w:val="3"/>
                <w:highlight w:val="none"/>
                <w:lang w:val="en-US" w:eastAsia="zh-CN"/>
              </w:rPr>
              <w:t xml:space="preserve">心试 </w:t>
            </w:r>
          </w:p>
          <w:p w14:paraId="1DBB38CF">
            <w:pPr>
              <w:pStyle w:val="18"/>
              <w:spacing w:before="65" w:line="289" w:lineRule="auto"/>
              <w:ind w:left="153" w:right="146" w:firstLine="51"/>
              <w:jc w:val="both"/>
              <w:rPr>
                <w:b/>
                <w:bCs/>
                <w:color w:val="auto"/>
                <w:spacing w:val="3"/>
                <w:highlight w:val="none"/>
              </w:rPr>
            </w:pPr>
            <w:r>
              <w:rPr>
                <w:rFonts w:hint="eastAsia"/>
                <w:b/>
                <w:bCs/>
                <w:color w:val="auto"/>
                <w:spacing w:val="3"/>
                <w:highlight w:val="none"/>
                <w:lang w:val="en-US" w:eastAsia="zh-CN"/>
              </w:rPr>
              <w:t>验室</w:t>
            </w:r>
          </w:p>
          <w:p w14:paraId="0F9F9437">
            <w:pPr>
              <w:pStyle w:val="18"/>
              <w:spacing w:before="65" w:line="289" w:lineRule="auto"/>
              <w:ind w:left="153" w:right="146" w:firstLine="51"/>
              <w:jc w:val="both"/>
              <w:rPr>
                <w:color w:val="auto"/>
                <w:highlight w:val="none"/>
              </w:rPr>
            </w:pPr>
            <w:r>
              <w:rPr>
                <w:b/>
                <w:bCs/>
                <w:color w:val="auto"/>
                <w:spacing w:val="3"/>
                <w:highlight w:val="none"/>
              </w:rPr>
              <w:t>（</w:t>
            </w:r>
            <w:r>
              <w:rPr>
                <w:rFonts w:hint="eastAsia"/>
                <w:b/>
                <w:bCs/>
                <w:color w:val="auto"/>
                <w:spacing w:val="3"/>
                <w:highlight w:val="none"/>
                <w:lang w:val="en-US" w:eastAsia="zh-CN"/>
              </w:rPr>
              <w:t>D</w:t>
            </w:r>
            <w:r>
              <w:rPr>
                <w:b/>
                <w:bCs/>
                <w:color w:val="auto"/>
                <w:spacing w:val="23"/>
                <w:highlight w:val="none"/>
              </w:rPr>
              <w:t>类）</w:t>
            </w:r>
          </w:p>
        </w:tc>
        <w:tc>
          <w:tcPr>
            <w:tcW w:w="709" w:type="dxa"/>
            <w:vAlign w:val="center"/>
          </w:tcPr>
          <w:p w14:paraId="37C66867">
            <w:pPr>
              <w:pStyle w:val="18"/>
              <w:spacing w:before="65" w:line="284" w:lineRule="auto"/>
              <w:ind w:left="112" w:right="106" w:firstLine="10"/>
              <w:jc w:val="center"/>
              <w:rPr>
                <w:rFonts w:hint="eastAsia" w:ascii="宋体" w:hAnsi="宋体" w:eastAsia="宋体" w:cs="宋体"/>
                <w:color w:val="auto"/>
                <w:spacing w:val="7"/>
                <w:highlight w:val="none"/>
                <w:lang w:val="en-US" w:eastAsia="zh-CN"/>
              </w:rPr>
            </w:pPr>
            <w:r>
              <w:rPr>
                <w:rFonts w:hint="eastAsia" w:ascii="宋体" w:hAnsi="宋体" w:eastAsia="宋体" w:cs="宋体"/>
                <w:color w:val="auto"/>
                <w:spacing w:val="7"/>
                <w:highlight w:val="none"/>
                <w:lang w:val="en-US" w:eastAsia="zh-CN"/>
              </w:rPr>
              <w:t>/</w:t>
            </w:r>
          </w:p>
        </w:tc>
        <w:tc>
          <w:tcPr>
            <w:tcW w:w="948" w:type="dxa"/>
            <w:vAlign w:val="center"/>
          </w:tcPr>
          <w:p w14:paraId="7012D88A">
            <w:pPr>
              <w:pStyle w:val="18"/>
              <w:spacing w:before="65" w:line="284" w:lineRule="auto"/>
              <w:ind w:left="112" w:right="106" w:firstLine="10"/>
              <w:jc w:val="center"/>
              <w:rPr>
                <w:rFonts w:ascii="宋体" w:hAnsi="宋体" w:eastAsia="宋体" w:cs="宋体"/>
                <w:color w:val="auto"/>
                <w:spacing w:val="7"/>
                <w:highlight w:val="none"/>
              </w:rPr>
            </w:pPr>
            <w:r>
              <w:rPr>
                <w:rFonts w:hint="eastAsia" w:ascii="宋体" w:hAnsi="宋体" w:eastAsia="宋体" w:cs="宋体"/>
                <w:color w:val="auto"/>
                <w:spacing w:val="7"/>
                <w:highlight w:val="none"/>
              </w:rPr>
              <w:t>K0+000~</w:t>
            </w:r>
            <w:r>
              <w:rPr>
                <w:rFonts w:hint="eastAsia" w:ascii="宋体" w:hAnsi="宋体" w:eastAsia="宋体" w:cs="宋体"/>
                <w:color w:val="auto"/>
                <w:spacing w:val="7"/>
                <w:highlight w:val="none"/>
                <w:lang w:val="en-US" w:eastAsia="zh-CN"/>
              </w:rPr>
              <w:t>K31+626.432</w:t>
            </w:r>
          </w:p>
        </w:tc>
        <w:tc>
          <w:tcPr>
            <w:tcW w:w="896" w:type="dxa"/>
            <w:vAlign w:val="center"/>
          </w:tcPr>
          <w:p w14:paraId="36F05F53">
            <w:pPr>
              <w:pStyle w:val="18"/>
              <w:spacing w:before="65" w:line="284" w:lineRule="auto"/>
              <w:ind w:left="112" w:right="106" w:firstLine="10"/>
              <w:jc w:val="center"/>
              <w:rPr>
                <w:rFonts w:hint="default" w:ascii="宋体" w:hAnsi="宋体" w:eastAsia="宋体" w:cs="宋体"/>
                <w:color w:val="auto"/>
                <w:spacing w:val="7"/>
                <w:highlight w:val="none"/>
                <w:lang w:val="en-US" w:eastAsia="zh-CN"/>
              </w:rPr>
            </w:pPr>
            <w:r>
              <w:rPr>
                <w:rFonts w:hint="eastAsia" w:ascii="宋体" w:hAnsi="宋体" w:eastAsia="宋体" w:cs="宋体"/>
                <w:color w:val="auto"/>
                <w:spacing w:val="7"/>
                <w:highlight w:val="none"/>
                <w:lang w:val="en-US" w:eastAsia="zh-CN"/>
              </w:rPr>
              <w:t>31.626公里</w:t>
            </w:r>
          </w:p>
        </w:tc>
        <w:tc>
          <w:tcPr>
            <w:tcW w:w="2969" w:type="dxa"/>
            <w:vAlign w:val="top"/>
          </w:tcPr>
          <w:p w14:paraId="1EDBB328">
            <w:pPr>
              <w:pStyle w:val="18"/>
              <w:spacing w:before="32" w:line="289" w:lineRule="auto"/>
              <w:ind w:left="114" w:right="103"/>
              <w:rPr>
                <w:rFonts w:hint="eastAsia"/>
                <w:color w:val="auto"/>
                <w:spacing w:val="16"/>
                <w:highlight w:val="none"/>
              </w:rPr>
            </w:pPr>
          </w:p>
          <w:p w14:paraId="23C67C67">
            <w:pPr>
              <w:pStyle w:val="18"/>
              <w:spacing w:before="32" w:line="289" w:lineRule="auto"/>
              <w:ind w:left="114" w:right="103"/>
              <w:rPr>
                <w:rFonts w:hint="eastAsia"/>
                <w:color w:val="auto"/>
                <w:spacing w:val="16"/>
                <w:highlight w:val="none"/>
              </w:rPr>
            </w:pPr>
          </w:p>
          <w:p w14:paraId="513A2187">
            <w:pPr>
              <w:pStyle w:val="18"/>
              <w:spacing w:before="32" w:line="289" w:lineRule="auto"/>
              <w:ind w:left="114" w:right="103"/>
              <w:rPr>
                <w:color w:val="auto"/>
                <w:highlight w:val="none"/>
              </w:rPr>
            </w:pPr>
            <w:r>
              <w:rPr>
                <w:rFonts w:hint="eastAsia"/>
                <w:color w:val="auto"/>
                <w:spacing w:val="16"/>
                <w:highlight w:val="none"/>
              </w:rPr>
              <w:t>里程范围内路基、桥涵、路面、绿化、交通安全设施、</w:t>
            </w:r>
            <w:r>
              <w:rPr>
                <w:rFonts w:hint="eastAsia"/>
                <w:color w:val="auto"/>
                <w:spacing w:val="16"/>
                <w:highlight w:val="none"/>
                <w:lang w:val="en-US" w:eastAsia="zh-CN"/>
              </w:rPr>
              <w:t>以及</w:t>
            </w:r>
            <w:r>
              <w:rPr>
                <w:rFonts w:hint="eastAsia"/>
                <w:color w:val="auto"/>
                <w:spacing w:val="16"/>
                <w:highlight w:val="none"/>
              </w:rPr>
              <w:t>沿线附属设施等的施工准备阶段、施工阶段、交(竣)工验收及缺陷责任期阶段的施工监理、施工安全的监理，项目的环境保护、水土保持的监理，参建各方竣工档案编制工作的监理，以及配合业主交、竣工验收和配合业主竣工验收前的结算与决算的有关工作。并负责监理中心试验室的筹建工作。</w:t>
            </w:r>
          </w:p>
        </w:tc>
        <w:tc>
          <w:tcPr>
            <w:tcW w:w="1435" w:type="dxa"/>
            <w:vAlign w:val="top"/>
          </w:tcPr>
          <w:p w14:paraId="1AA334CD">
            <w:pPr>
              <w:pStyle w:val="18"/>
              <w:spacing w:before="32" w:line="289" w:lineRule="auto"/>
              <w:ind w:left="114" w:right="103"/>
              <w:rPr>
                <w:color w:val="auto"/>
                <w:highlight w:val="none"/>
              </w:rPr>
            </w:pPr>
            <w:r>
              <w:rPr>
                <w:color w:val="auto"/>
                <w:spacing w:val="42"/>
                <w:highlight w:val="none"/>
              </w:rPr>
              <w:t>施工监理服</w:t>
            </w:r>
            <w:r>
              <w:rPr>
                <w:color w:val="auto"/>
                <w:spacing w:val="28"/>
                <w:highlight w:val="none"/>
              </w:rPr>
              <w:t>务期限为</w:t>
            </w:r>
            <w:r>
              <w:rPr>
                <w:color w:val="auto"/>
                <w:spacing w:val="-30"/>
                <w:highlight w:val="none"/>
              </w:rPr>
              <w:t xml:space="preserve"> </w:t>
            </w:r>
            <w:r>
              <w:rPr>
                <w:color w:val="auto"/>
                <w:spacing w:val="28"/>
                <w:highlight w:val="none"/>
              </w:rPr>
              <w:t>：</w:t>
            </w:r>
            <w:r>
              <w:rPr>
                <w:rFonts w:hint="eastAsia"/>
                <w:color w:val="auto"/>
                <w:spacing w:val="28"/>
                <w:highlight w:val="none"/>
                <w:u w:val="single"/>
                <w:lang w:val="en-US" w:eastAsia="zh-CN"/>
              </w:rPr>
              <w:t>61</w:t>
            </w:r>
            <w:r>
              <w:rPr>
                <w:color w:val="auto"/>
                <w:spacing w:val="16"/>
                <w:highlight w:val="none"/>
              </w:rPr>
              <w:t>个月</w:t>
            </w:r>
            <w:r>
              <w:rPr>
                <w:color w:val="auto"/>
                <w:spacing w:val="-30"/>
                <w:highlight w:val="none"/>
              </w:rPr>
              <w:t xml:space="preserve"> </w:t>
            </w:r>
            <w:r>
              <w:rPr>
                <w:color w:val="auto"/>
                <w:spacing w:val="16"/>
                <w:highlight w:val="none"/>
              </w:rPr>
              <w:t>，包括</w:t>
            </w:r>
            <w:r>
              <w:rPr>
                <w:color w:val="auto"/>
                <w:spacing w:val="42"/>
                <w:highlight w:val="none"/>
              </w:rPr>
              <w:t>施工准备阶</w:t>
            </w:r>
            <w:r>
              <w:rPr>
                <w:color w:val="auto"/>
                <w:spacing w:val="-1"/>
                <w:highlight w:val="none"/>
              </w:rPr>
              <w:t>段</w:t>
            </w:r>
            <w:r>
              <w:rPr>
                <w:color w:val="auto"/>
                <w:spacing w:val="-53"/>
                <w:highlight w:val="none"/>
              </w:rPr>
              <w:t xml:space="preserve"> </w:t>
            </w:r>
            <w:r>
              <w:rPr>
                <w:color w:val="auto"/>
                <w:spacing w:val="-1"/>
                <w:highlight w:val="none"/>
              </w:rPr>
              <w:t>监</w:t>
            </w:r>
            <w:r>
              <w:rPr>
                <w:color w:val="auto"/>
                <w:spacing w:val="-56"/>
                <w:highlight w:val="none"/>
              </w:rPr>
              <w:t xml:space="preserve"> </w:t>
            </w:r>
            <w:r>
              <w:rPr>
                <w:color w:val="auto"/>
                <w:spacing w:val="-1"/>
                <w:highlight w:val="none"/>
              </w:rPr>
              <w:t>理</w:t>
            </w:r>
            <w:r>
              <w:rPr>
                <w:color w:val="auto"/>
                <w:spacing w:val="-65"/>
                <w:highlight w:val="none"/>
              </w:rPr>
              <w:t xml:space="preserve"> </w:t>
            </w:r>
            <w:r>
              <w:rPr>
                <w:rFonts w:hint="eastAsia"/>
                <w:color w:val="auto"/>
                <w:spacing w:val="39"/>
                <w:highlight w:val="none"/>
                <w:u w:val="single" w:color="auto"/>
                <w:lang w:val="en-US" w:eastAsia="zh-CN"/>
              </w:rPr>
              <w:t>1</w:t>
            </w:r>
            <w:r>
              <w:rPr>
                <w:color w:val="auto"/>
                <w:spacing w:val="-91"/>
                <w:highlight w:val="none"/>
              </w:rPr>
              <w:t xml:space="preserve"> </w:t>
            </w:r>
            <w:r>
              <w:rPr>
                <w:color w:val="auto"/>
                <w:spacing w:val="-1"/>
                <w:highlight w:val="none"/>
              </w:rPr>
              <w:t>个</w:t>
            </w:r>
            <w:r>
              <w:rPr>
                <w:color w:val="auto"/>
                <w:spacing w:val="17"/>
                <w:highlight w:val="none"/>
              </w:rPr>
              <w:t>月</w:t>
            </w:r>
            <w:r>
              <w:rPr>
                <w:color w:val="auto"/>
                <w:spacing w:val="-32"/>
                <w:highlight w:val="none"/>
              </w:rPr>
              <w:t xml:space="preserve"> </w:t>
            </w:r>
            <w:r>
              <w:rPr>
                <w:color w:val="auto"/>
                <w:spacing w:val="17"/>
                <w:highlight w:val="none"/>
              </w:rPr>
              <w:t>，</w:t>
            </w:r>
            <w:r>
              <w:rPr>
                <w:color w:val="auto"/>
                <w:spacing w:val="-44"/>
                <w:highlight w:val="none"/>
              </w:rPr>
              <w:t xml:space="preserve"> </w:t>
            </w:r>
            <w:r>
              <w:rPr>
                <w:color w:val="auto"/>
                <w:spacing w:val="17"/>
                <w:highlight w:val="none"/>
              </w:rPr>
              <w:t>施工</w:t>
            </w:r>
            <w:r>
              <w:rPr>
                <w:rFonts w:ascii="宋体" w:hAnsi="宋体" w:eastAsia="宋体" w:cs="宋体"/>
                <w:color w:val="auto"/>
                <w:spacing w:val="-1"/>
                <w:highlight w:val="none"/>
              </w:rPr>
              <w:t>阶段 监 理</w:t>
            </w:r>
            <w:r>
              <w:rPr>
                <w:rFonts w:hint="eastAsia"/>
                <w:color w:val="auto"/>
                <w:spacing w:val="28"/>
                <w:highlight w:val="none"/>
                <w:u w:val="single"/>
                <w:lang w:val="en-US" w:eastAsia="zh-CN"/>
              </w:rPr>
              <w:t>36</w:t>
            </w:r>
            <w:r>
              <w:rPr>
                <w:rFonts w:ascii="宋体" w:hAnsi="宋体" w:eastAsia="宋体" w:cs="宋体"/>
                <w:color w:val="auto"/>
                <w:spacing w:val="-1"/>
                <w:highlight w:val="none"/>
              </w:rPr>
              <w:t>个月 ，交 ( 竣 )工</w:t>
            </w:r>
            <w:r>
              <w:rPr>
                <w:color w:val="auto"/>
                <w:spacing w:val="42"/>
                <w:highlight w:val="none"/>
              </w:rPr>
              <w:t>验收及缺</w:t>
            </w:r>
            <w:r>
              <w:rPr>
                <w:color w:val="auto"/>
                <w:spacing w:val="39"/>
                <w:highlight w:val="none"/>
              </w:rPr>
              <w:t>陷责任期监</w:t>
            </w:r>
            <w:r>
              <w:rPr>
                <w:color w:val="auto"/>
                <w:spacing w:val="-1"/>
                <w:highlight w:val="none"/>
              </w:rPr>
              <w:t>理</w:t>
            </w:r>
            <w:r>
              <w:rPr>
                <w:color w:val="auto"/>
                <w:spacing w:val="28"/>
                <w:highlight w:val="none"/>
              </w:rPr>
              <w:t xml:space="preserve"> </w:t>
            </w:r>
            <w:r>
              <w:rPr>
                <w:rFonts w:hint="eastAsia"/>
                <w:color w:val="auto"/>
                <w:spacing w:val="-1"/>
                <w:highlight w:val="none"/>
                <w:u w:val="single" w:color="auto"/>
                <w:lang w:val="en-US" w:eastAsia="zh-CN"/>
              </w:rPr>
              <w:t>24</w:t>
            </w:r>
            <w:r>
              <w:rPr>
                <w:color w:val="auto"/>
                <w:spacing w:val="-91"/>
                <w:highlight w:val="none"/>
              </w:rPr>
              <w:t xml:space="preserve"> </w:t>
            </w:r>
            <w:r>
              <w:rPr>
                <w:color w:val="auto"/>
                <w:spacing w:val="-1"/>
                <w:highlight w:val="none"/>
              </w:rPr>
              <w:t>个</w:t>
            </w:r>
            <w:r>
              <w:rPr>
                <w:color w:val="auto"/>
                <w:spacing w:val="5"/>
                <w:highlight w:val="none"/>
              </w:rPr>
              <w:t>月</w:t>
            </w:r>
            <w:r>
              <w:rPr>
                <w:color w:val="auto"/>
                <w:spacing w:val="-32"/>
                <w:highlight w:val="none"/>
              </w:rPr>
              <w:t xml:space="preserve"> </w:t>
            </w:r>
            <w:r>
              <w:rPr>
                <w:color w:val="auto"/>
                <w:spacing w:val="5"/>
                <w:highlight w:val="none"/>
              </w:rPr>
              <w:t>，</w:t>
            </w:r>
            <w:r>
              <w:rPr>
                <w:color w:val="auto"/>
                <w:spacing w:val="-38"/>
                <w:highlight w:val="none"/>
              </w:rPr>
              <w:t xml:space="preserve"> </w:t>
            </w:r>
            <w:r>
              <w:rPr>
                <w:color w:val="auto"/>
                <w:spacing w:val="5"/>
                <w:highlight w:val="none"/>
              </w:rPr>
              <w:t>如</w:t>
            </w:r>
            <w:r>
              <w:rPr>
                <w:color w:val="auto"/>
                <w:spacing w:val="-48"/>
                <w:highlight w:val="none"/>
              </w:rPr>
              <w:t xml:space="preserve"> </w:t>
            </w:r>
            <w:r>
              <w:rPr>
                <w:color w:val="auto"/>
                <w:spacing w:val="5"/>
                <w:highlight w:val="none"/>
              </w:rPr>
              <w:t>施工</w:t>
            </w:r>
            <w:r>
              <w:rPr>
                <w:color w:val="auto"/>
                <w:spacing w:val="41"/>
                <w:highlight w:val="none"/>
              </w:rPr>
              <w:t>工期进行调</w:t>
            </w:r>
            <w:r>
              <w:rPr>
                <w:color w:val="auto"/>
                <w:spacing w:val="16"/>
                <w:highlight w:val="none"/>
              </w:rPr>
              <w:t>整</w:t>
            </w:r>
            <w:r>
              <w:rPr>
                <w:color w:val="auto"/>
                <w:spacing w:val="-30"/>
                <w:highlight w:val="none"/>
              </w:rPr>
              <w:t xml:space="preserve"> </w:t>
            </w:r>
            <w:r>
              <w:rPr>
                <w:color w:val="auto"/>
                <w:spacing w:val="16"/>
                <w:highlight w:val="none"/>
              </w:rPr>
              <w:t>，监理服</w:t>
            </w:r>
            <w:r>
              <w:rPr>
                <w:color w:val="auto"/>
                <w:spacing w:val="41"/>
                <w:highlight w:val="none"/>
              </w:rPr>
              <w:t>务期也相应</w:t>
            </w:r>
            <w:r>
              <w:rPr>
                <w:color w:val="auto"/>
                <w:spacing w:val="6"/>
                <w:highlight w:val="none"/>
              </w:rPr>
              <w:t>进行调整。</w:t>
            </w:r>
          </w:p>
        </w:tc>
        <w:tc>
          <w:tcPr>
            <w:tcW w:w="1230" w:type="dxa"/>
            <w:vAlign w:val="top"/>
          </w:tcPr>
          <w:p w14:paraId="42F4FD85">
            <w:pPr>
              <w:spacing w:line="274" w:lineRule="auto"/>
              <w:rPr>
                <w:rFonts w:ascii="Arial"/>
                <w:color w:val="auto"/>
                <w:sz w:val="21"/>
                <w:highlight w:val="none"/>
              </w:rPr>
            </w:pPr>
          </w:p>
          <w:p w14:paraId="5FBE95DA">
            <w:pPr>
              <w:spacing w:line="274" w:lineRule="auto"/>
              <w:rPr>
                <w:rFonts w:ascii="Arial"/>
                <w:color w:val="auto"/>
                <w:sz w:val="21"/>
                <w:highlight w:val="none"/>
              </w:rPr>
            </w:pPr>
          </w:p>
          <w:p w14:paraId="0B835E85">
            <w:pPr>
              <w:spacing w:line="274" w:lineRule="auto"/>
              <w:rPr>
                <w:rFonts w:ascii="Arial"/>
                <w:color w:val="auto"/>
                <w:sz w:val="21"/>
                <w:highlight w:val="none"/>
              </w:rPr>
            </w:pPr>
          </w:p>
          <w:p w14:paraId="45D2A2AE">
            <w:pPr>
              <w:spacing w:line="274" w:lineRule="auto"/>
              <w:rPr>
                <w:rFonts w:ascii="Arial"/>
                <w:color w:val="auto"/>
                <w:sz w:val="21"/>
                <w:highlight w:val="none"/>
              </w:rPr>
            </w:pPr>
          </w:p>
          <w:p w14:paraId="07CE2DEB">
            <w:pPr>
              <w:spacing w:line="275" w:lineRule="auto"/>
              <w:rPr>
                <w:rFonts w:ascii="Arial"/>
                <w:color w:val="auto"/>
                <w:sz w:val="21"/>
                <w:highlight w:val="none"/>
              </w:rPr>
            </w:pPr>
          </w:p>
          <w:p w14:paraId="5D740F75">
            <w:pPr>
              <w:pStyle w:val="18"/>
              <w:spacing w:before="65" w:line="289" w:lineRule="auto"/>
              <w:ind w:left="115" w:right="107" w:firstLine="4"/>
              <w:jc w:val="left"/>
              <w:rPr>
                <w:color w:val="auto"/>
                <w:highlight w:val="none"/>
              </w:rPr>
            </w:pPr>
            <w:r>
              <w:rPr>
                <w:color w:val="auto"/>
                <w:spacing w:val="-2"/>
                <w:highlight w:val="none"/>
              </w:rPr>
              <w:t>具</w:t>
            </w:r>
            <w:r>
              <w:rPr>
                <w:color w:val="auto"/>
                <w:spacing w:val="-33"/>
                <w:highlight w:val="none"/>
              </w:rPr>
              <w:t xml:space="preserve"> </w:t>
            </w:r>
            <w:r>
              <w:rPr>
                <w:color w:val="auto"/>
                <w:spacing w:val="-2"/>
                <w:highlight w:val="none"/>
              </w:rPr>
              <w:t>有</w:t>
            </w:r>
            <w:r>
              <w:rPr>
                <w:color w:val="auto"/>
                <w:spacing w:val="-30"/>
                <w:highlight w:val="none"/>
              </w:rPr>
              <w:t xml:space="preserve"> </w:t>
            </w:r>
            <w:r>
              <w:rPr>
                <w:color w:val="auto"/>
                <w:spacing w:val="-2"/>
                <w:highlight w:val="none"/>
              </w:rPr>
              <w:t>交</w:t>
            </w:r>
            <w:r>
              <w:rPr>
                <w:color w:val="auto"/>
                <w:spacing w:val="-35"/>
                <w:highlight w:val="none"/>
              </w:rPr>
              <w:t xml:space="preserve"> </w:t>
            </w:r>
            <w:r>
              <w:rPr>
                <w:color w:val="auto"/>
                <w:spacing w:val="-2"/>
                <w:highlight w:val="none"/>
              </w:rPr>
              <w:t>通</w:t>
            </w:r>
            <w:r>
              <w:rPr>
                <w:color w:val="auto"/>
                <w:spacing w:val="-1"/>
                <w:highlight w:val="none"/>
              </w:rPr>
              <w:t>运</w:t>
            </w:r>
            <w:r>
              <w:rPr>
                <w:color w:val="auto"/>
                <w:spacing w:val="-35"/>
                <w:highlight w:val="none"/>
              </w:rPr>
              <w:t xml:space="preserve"> </w:t>
            </w:r>
            <w:r>
              <w:rPr>
                <w:color w:val="auto"/>
                <w:spacing w:val="-1"/>
                <w:highlight w:val="none"/>
              </w:rPr>
              <w:t>输</w:t>
            </w:r>
            <w:r>
              <w:rPr>
                <w:color w:val="auto"/>
                <w:spacing w:val="-33"/>
                <w:highlight w:val="none"/>
              </w:rPr>
              <w:t xml:space="preserve"> </w:t>
            </w:r>
            <w:r>
              <w:rPr>
                <w:color w:val="auto"/>
                <w:spacing w:val="-1"/>
                <w:highlight w:val="none"/>
              </w:rPr>
              <w:t>主</w:t>
            </w:r>
            <w:r>
              <w:rPr>
                <w:color w:val="auto"/>
                <w:spacing w:val="-29"/>
                <w:highlight w:val="none"/>
              </w:rPr>
              <w:t xml:space="preserve"> </w:t>
            </w:r>
            <w:r>
              <w:rPr>
                <w:color w:val="auto"/>
                <w:spacing w:val="-1"/>
                <w:highlight w:val="none"/>
              </w:rPr>
              <w:t>管</w:t>
            </w:r>
            <w:r>
              <w:rPr>
                <w:color w:val="auto"/>
                <w:spacing w:val="-7"/>
                <w:highlight w:val="none"/>
              </w:rPr>
              <w:t>部</w:t>
            </w:r>
            <w:r>
              <w:rPr>
                <w:color w:val="auto"/>
                <w:spacing w:val="-10"/>
                <w:highlight w:val="none"/>
              </w:rPr>
              <w:t xml:space="preserve"> </w:t>
            </w:r>
            <w:r>
              <w:rPr>
                <w:color w:val="auto"/>
                <w:spacing w:val="-7"/>
                <w:highlight w:val="none"/>
              </w:rPr>
              <w:t>门</w:t>
            </w:r>
            <w:r>
              <w:rPr>
                <w:color w:val="auto"/>
                <w:spacing w:val="-32"/>
                <w:highlight w:val="none"/>
              </w:rPr>
              <w:t xml:space="preserve"> </w:t>
            </w:r>
            <w:r>
              <w:rPr>
                <w:color w:val="auto"/>
                <w:spacing w:val="-7"/>
                <w:highlight w:val="none"/>
              </w:rPr>
              <w:t>核</w:t>
            </w:r>
            <w:r>
              <w:rPr>
                <w:color w:val="auto"/>
                <w:spacing w:val="-31"/>
                <w:highlight w:val="none"/>
              </w:rPr>
              <w:t xml:space="preserve"> </w:t>
            </w:r>
            <w:r>
              <w:rPr>
                <w:color w:val="auto"/>
                <w:spacing w:val="-7"/>
                <w:highlight w:val="none"/>
              </w:rPr>
              <w:t>发</w:t>
            </w:r>
            <w:r>
              <w:rPr>
                <w:color w:val="auto"/>
                <w:spacing w:val="-1"/>
                <w:highlight w:val="none"/>
              </w:rPr>
              <w:t>的</w:t>
            </w:r>
            <w:r>
              <w:rPr>
                <w:color w:val="auto"/>
                <w:spacing w:val="-34"/>
                <w:highlight w:val="none"/>
              </w:rPr>
              <w:t xml:space="preserve"> </w:t>
            </w:r>
            <w:r>
              <w:rPr>
                <w:color w:val="auto"/>
                <w:spacing w:val="-1"/>
                <w:highlight w:val="none"/>
              </w:rPr>
              <w:t>在</w:t>
            </w:r>
            <w:r>
              <w:rPr>
                <w:color w:val="auto"/>
                <w:spacing w:val="-34"/>
                <w:highlight w:val="none"/>
              </w:rPr>
              <w:t xml:space="preserve"> </w:t>
            </w:r>
            <w:r>
              <w:rPr>
                <w:color w:val="auto"/>
                <w:spacing w:val="-1"/>
                <w:highlight w:val="none"/>
              </w:rPr>
              <w:t>有</w:t>
            </w:r>
            <w:r>
              <w:rPr>
                <w:color w:val="auto"/>
                <w:spacing w:val="-29"/>
                <w:highlight w:val="none"/>
              </w:rPr>
              <w:t xml:space="preserve"> </w:t>
            </w:r>
            <w:r>
              <w:rPr>
                <w:color w:val="auto"/>
                <w:spacing w:val="-1"/>
                <w:highlight w:val="none"/>
              </w:rPr>
              <w:t>效</w:t>
            </w:r>
            <w:r>
              <w:rPr>
                <w:color w:val="auto"/>
                <w:spacing w:val="-11"/>
                <w:highlight w:val="none"/>
              </w:rPr>
              <w:t>期 内</w:t>
            </w:r>
            <w:r>
              <w:rPr>
                <w:color w:val="auto"/>
                <w:spacing w:val="-18"/>
                <w:highlight w:val="none"/>
              </w:rPr>
              <w:t xml:space="preserve"> </w:t>
            </w:r>
            <w:r>
              <w:rPr>
                <w:color w:val="auto"/>
                <w:spacing w:val="-11"/>
                <w:highlight w:val="none"/>
              </w:rPr>
              <w:t>的</w:t>
            </w:r>
            <w:r>
              <w:rPr>
                <w:color w:val="auto"/>
                <w:spacing w:val="-28"/>
                <w:highlight w:val="none"/>
              </w:rPr>
              <w:t xml:space="preserve"> </w:t>
            </w:r>
            <w:r>
              <w:rPr>
                <w:color w:val="auto"/>
                <w:spacing w:val="-11"/>
                <w:highlight w:val="none"/>
              </w:rPr>
              <w:t>公</w:t>
            </w:r>
            <w:r>
              <w:rPr>
                <w:color w:val="auto"/>
                <w:spacing w:val="12"/>
                <w:highlight w:val="none"/>
              </w:rPr>
              <w:t>路工程</w:t>
            </w:r>
            <w:r>
              <w:rPr>
                <w:rFonts w:hint="eastAsia"/>
                <w:color w:val="auto"/>
                <w:spacing w:val="53"/>
                <w:highlight w:val="none"/>
                <w:u w:val="single" w:color="auto"/>
                <w:lang w:val="en-US" w:eastAsia="zh-CN"/>
              </w:rPr>
              <w:t>乙</w:t>
            </w:r>
            <w:r>
              <w:rPr>
                <w:color w:val="auto"/>
                <w:spacing w:val="12"/>
                <w:highlight w:val="none"/>
                <w:u w:val="single" w:color="auto"/>
              </w:rPr>
              <w:t>级</w:t>
            </w:r>
            <w:r>
              <w:rPr>
                <w:rFonts w:hint="eastAsia"/>
                <w:color w:val="auto"/>
                <w:spacing w:val="12"/>
                <w:highlight w:val="none"/>
                <w:u w:val="single" w:color="auto"/>
                <w:lang w:val="en-US" w:eastAsia="zh-CN"/>
              </w:rPr>
              <w:t>以上（含乙级）</w:t>
            </w:r>
            <w:r>
              <w:rPr>
                <w:color w:val="auto"/>
                <w:spacing w:val="-1"/>
                <w:highlight w:val="none"/>
              </w:rPr>
              <w:t>监</w:t>
            </w:r>
            <w:r>
              <w:rPr>
                <w:color w:val="auto"/>
                <w:spacing w:val="-31"/>
                <w:highlight w:val="none"/>
              </w:rPr>
              <w:t xml:space="preserve"> </w:t>
            </w:r>
            <w:r>
              <w:rPr>
                <w:color w:val="auto"/>
                <w:spacing w:val="-1"/>
                <w:highlight w:val="none"/>
              </w:rPr>
              <w:t>理</w:t>
            </w:r>
            <w:r>
              <w:rPr>
                <w:color w:val="auto"/>
                <w:spacing w:val="-31"/>
                <w:highlight w:val="none"/>
              </w:rPr>
              <w:t xml:space="preserve"> </w:t>
            </w:r>
            <w:r>
              <w:rPr>
                <w:color w:val="auto"/>
                <w:spacing w:val="-1"/>
                <w:highlight w:val="none"/>
              </w:rPr>
              <w:t>企</w:t>
            </w:r>
            <w:r>
              <w:rPr>
                <w:color w:val="auto"/>
                <w:spacing w:val="-35"/>
                <w:highlight w:val="none"/>
              </w:rPr>
              <w:t xml:space="preserve"> </w:t>
            </w:r>
            <w:r>
              <w:rPr>
                <w:color w:val="auto"/>
                <w:spacing w:val="-1"/>
                <w:highlight w:val="none"/>
              </w:rPr>
              <w:t>业</w:t>
            </w:r>
            <w:r>
              <w:rPr>
                <w:color w:val="auto"/>
                <w:spacing w:val="3"/>
                <w:highlight w:val="none"/>
              </w:rPr>
              <w:t>资质。</w:t>
            </w:r>
          </w:p>
        </w:tc>
      </w:tr>
    </w:tbl>
    <w:p w14:paraId="0D36608B">
      <w:pPr>
        <w:spacing w:line="242" w:lineRule="auto"/>
        <w:rPr>
          <w:rFonts w:ascii="Arial"/>
          <w:color w:val="auto"/>
          <w:sz w:val="21"/>
          <w:highlight w:val="none"/>
        </w:rPr>
      </w:pPr>
    </w:p>
    <w:p w14:paraId="63B9E464">
      <w:pPr>
        <w:spacing w:line="242" w:lineRule="auto"/>
        <w:rPr>
          <w:rFonts w:ascii="Arial"/>
          <w:color w:val="auto"/>
          <w:sz w:val="21"/>
          <w:highlight w:val="none"/>
        </w:rPr>
      </w:pPr>
    </w:p>
    <w:p w14:paraId="33D01B19">
      <w:pPr>
        <w:spacing w:line="242" w:lineRule="auto"/>
        <w:rPr>
          <w:rFonts w:ascii="Arial"/>
          <w:color w:val="auto"/>
          <w:sz w:val="21"/>
          <w:highlight w:val="none"/>
        </w:rPr>
      </w:pPr>
    </w:p>
    <w:p w14:paraId="6D43BF54">
      <w:pPr>
        <w:rPr>
          <w:rFonts w:hint="eastAsia" w:ascii="宋体" w:hAnsi="宋体" w:cs="宋体"/>
          <w:color w:val="auto"/>
          <w:highlight w:val="none"/>
        </w:rPr>
      </w:pPr>
      <w:bookmarkStart w:id="22" w:name="_Toc20966"/>
      <w:r>
        <w:rPr>
          <w:rFonts w:hint="eastAsia" w:ascii="宋体" w:hAnsi="宋体" w:cs="宋体"/>
          <w:color w:val="auto"/>
          <w:highlight w:val="none"/>
        </w:rPr>
        <w:br w:type="page"/>
      </w:r>
    </w:p>
    <w:p w14:paraId="3CD36121">
      <w:pPr>
        <w:pStyle w:val="3"/>
        <w:rPr>
          <w:rFonts w:hint="eastAsia" w:ascii="宋体" w:hAnsi="宋体" w:cs="宋体"/>
          <w:color w:val="auto"/>
          <w:highlight w:val="none"/>
        </w:rPr>
      </w:pPr>
      <w:bookmarkStart w:id="23" w:name="_Toc5637"/>
      <w:bookmarkStart w:id="24" w:name="_Toc22423"/>
      <w:bookmarkStart w:id="25" w:name="_Toc16267"/>
      <w:bookmarkStart w:id="26" w:name="_Toc2004"/>
      <w:bookmarkStart w:id="27" w:name="_Toc16593"/>
      <w:r>
        <w:rPr>
          <w:rFonts w:hint="eastAsia" w:ascii="宋体" w:hAnsi="宋体" w:cs="宋体"/>
          <w:color w:val="auto"/>
          <w:highlight w:val="none"/>
        </w:rPr>
        <w:t>附件 2：重要事项时间地点一览表</w:t>
      </w:r>
      <w:bookmarkEnd w:id="22"/>
      <w:bookmarkEnd w:id="23"/>
      <w:bookmarkEnd w:id="24"/>
      <w:bookmarkEnd w:id="25"/>
      <w:bookmarkEnd w:id="26"/>
      <w:bookmarkEnd w:id="27"/>
    </w:p>
    <w:tbl>
      <w:tblPr>
        <w:tblStyle w:val="13"/>
        <w:tblW w:w="9458"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458"/>
        <w:gridCol w:w="1667"/>
        <w:gridCol w:w="7333"/>
      </w:tblGrid>
      <w:tr w14:paraId="4FF5ED8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758" w:hRule="atLeast"/>
          <w:jc w:val="center"/>
        </w:trPr>
        <w:tc>
          <w:tcPr>
            <w:tcW w:w="458" w:type="dxa"/>
            <w:tcBorders>
              <w:top w:val="single" w:color="080000" w:sz="4" w:space="0"/>
              <w:left w:val="single" w:color="080000" w:sz="4" w:space="0"/>
              <w:bottom w:val="single" w:color="080000" w:sz="4" w:space="0"/>
              <w:right w:val="single" w:color="080000" w:sz="4" w:space="0"/>
            </w:tcBorders>
            <w:noWrap/>
            <w:vAlign w:val="center"/>
          </w:tcPr>
          <w:p w14:paraId="4595D6ED">
            <w:pPr>
              <w:wordWrap w:val="0"/>
              <w:adjustRightInd w:val="0"/>
              <w:snapToGrid w:val="0"/>
              <w:spacing w:line="400" w:lineRule="exact"/>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1</w:t>
            </w:r>
          </w:p>
        </w:tc>
        <w:tc>
          <w:tcPr>
            <w:tcW w:w="1667" w:type="dxa"/>
            <w:tcBorders>
              <w:top w:val="single" w:color="080000" w:sz="4" w:space="0"/>
              <w:left w:val="single" w:color="080000" w:sz="4" w:space="0"/>
              <w:bottom w:val="single" w:color="080000" w:sz="4" w:space="0"/>
              <w:right w:val="single" w:color="080000" w:sz="4" w:space="0"/>
            </w:tcBorders>
            <w:noWrap/>
            <w:vAlign w:val="center"/>
          </w:tcPr>
          <w:p w14:paraId="50ADF295">
            <w:pPr>
              <w:wordWrap w:val="0"/>
              <w:adjustRightInd w:val="0"/>
              <w:snapToGrid w:val="0"/>
              <w:spacing w:line="360" w:lineRule="exact"/>
              <w:jc w:val="center"/>
              <w:rPr>
                <w:rFonts w:ascii="宋体"/>
                <w:snapToGrid w:val="0"/>
                <w:color w:val="auto"/>
                <w:kern w:val="0"/>
                <w:sz w:val="22"/>
                <w:szCs w:val="22"/>
                <w:highlight w:val="none"/>
              </w:rPr>
            </w:pPr>
            <w:r>
              <w:rPr>
                <w:rFonts w:hint="eastAsia" w:ascii="宋体"/>
                <w:snapToGrid w:val="0"/>
                <w:color w:val="auto"/>
                <w:kern w:val="0"/>
                <w:sz w:val="22"/>
                <w:szCs w:val="22"/>
                <w:highlight w:val="none"/>
              </w:rPr>
              <w:t>招标公告</w:t>
            </w:r>
          </w:p>
          <w:p w14:paraId="0128344B">
            <w:pPr>
              <w:wordWrap w:val="0"/>
              <w:adjustRightInd w:val="0"/>
              <w:snapToGrid w:val="0"/>
              <w:spacing w:line="360" w:lineRule="exact"/>
              <w:jc w:val="center"/>
              <w:rPr>
                <w:rFonts w:hint="eastAsia" w:ascii="宋体" w:hAnsi="宋体" w:cs="Tahoma"/>
                <w:color w:val="auto"/>
                <w:sz w:val="22"/>
                <w:szCs w:val="22"/>
                <w:highlight w:val="none"/>
              </w:rPr>
            </w:pPr>
            <w:r>
              <w:rPr>
                <w:rFonts w:hint="eastAsia" w:ascii="宋体"/>
                <w:snapToGrid w:val="0"/>
                <w:color w:val="auto"/>
                <w:kern w:val="0"/>
                <w:sz w:val="22"/>
                <w:szCs w:val="22"/>
                <w:highlight w:val="none"/>
              </w:rPr>
              <w:t xml:space="preserve">发布时间 </w:t>
            </w:r>
          </w:p>
        </w:tc>
        <w:tc>
          <w:tcPr>
            <w:tcW w:w="7333" w:type="dxa"/>
            <w:tcBorders>
              <w:top w:val="single" w:color="080000" w:sz="4" w:space="0"/>
              <w:left w:val="single" w:color="080000" w:sz="4" w:space="0"/>
              <w:bottom w:val="single" w:color="080000" w:sz="4" w:space="0"/>
              <w:right w:val="single" w:color="080000" w:sz="4" w:space="0"/>
            </w:tcBorders>
            <w:noWrap/>
            <w:vAlign w:val="center"/>
          </w:tcPr>
          <w:p w14:paraId="69F2D926">
            <w:pPr>
              <w:widowControl/>
              <w:snapToGrid w:val="0"/>
              <w:ind w:left="105" w:leftChars="50"/>
              <w:jc w:val="left"/>
              <w:rPr>
                <w:rFonts w:hint="eastAsia" w:ascii="宋体" w:hAnsi="宋体" w:cs="Tahoma"/>
                <w:color w:val="auto"/>
                <w:sz w:val="22"/>
                <w:szCs w:val="22"/>
                <w:highlight w:val="none"/>
              </w:rPr>
            </w:pPr>
            <w:r>
              <w:rPr>
                <w:rFonts w:hint="eastAsia" w:ascii="宋体" w:hAnsi="宋体" w:cs="宋体"/>
                <w:color w:val="auto"/>
                <w:kern w:val="0"/>
                <w:sz w:val="22"/>
                <w:szCs w:val="22"/>
                <w:highlight w:val="none"/>
                <w:u w:val="single"/>
              </w:rPr>
              <w:t>2026</w:t>
            </w:r>
            <w:r>
              <w:rPr>
                <w:rFonts w:hint="eastAsia" w:ascii="宋体" w:hAnsi="宋体" w:cs="宋体"/>
                <w:color w:val="auto"/>
                <w:kern w:val="0"/>
                <w:sz w:val="22"/>
                <w:szCs w:val="22"/>
                <w:highlight w:val="none"/>
              </w:rPr>
              <w:t>年</w:t>
            </w:r>
            <w:r>
              <w:rPr>
                <w:rFonts w:hint="eastAsia" w:ascii="宋体" w:hAnsi="宋体" w:eastAsia="宋体" w:cs="宋体"/>
                <w:color w:val="auto"/>
                <w:kern w:val="0"/>
                <w:sz w:val="22"/>
                <w:szCs w:val="22"/>
                <w:highlight w:val="none"/>
                <w:u w:val="single"/>
                <w:lang w:val="en-US" w:eastAsia="zh-CN"/>
              </w:rPr>
              <w:t xml:space="preserve"> 7 </w:t>
            </w:r>
            <w:r>
              <w:rPr>
                <w:rFonts w:hint="eastAsia" w:ascii="宋体" w:hAnsi="宋体" w:cs="宋体"/>
                <w:color w:val="auto"/>
                <w:kern w:val="0"/>
                <w:sz w:val="22"/>
                <w:szCs w:val="22"/>
                <w:highlight w:val="none"/>
              </w:rPr>
              <w:t>月</w:t>
            </w:r>
            <w:r>
              <w:rPr>
                <w:rFonts w:hint="eastAsia" w:ascii="宋体" w:hAnsi="宋体" w:eastAsia="宋体" w:cs="宋体"/>
                <w:color w:val="auto"/>
                <w:kern w:val="0"/>
                <w:sz w:val="22"/>
                <w:szCs w:val="22"/>
                <w:highlight w:val="none"/>
                <w:u w:val="single"/>
                <w:lang w:val="en-US" w:eastAsia="zh-CN"/>
              </w:rPr>
              <w:t xml:space="preserve"> 9 </w:t>
            </w:r>
            <w:r>
              <w:rPr>
                <w:rFonts w:hint="eastAsia" w:ascii="宋体" w:hAnsi="宋体" w:cs="宋体"/>
                <w:color w:val="auto"/>
                <w:kern w:val="0"/>
                <w:sz w:val="22"/>
                <w:szCs w:val="22"/>
                <w:highlight w:val="none"/>
              </w:rPr>
              <w:t>日</w:t>
            </w:r>
            <w:r>
              <w:rPr>
                <w:rFonts w:hint="eastAsia" w:ascii="宋体" w:hAnsi="宋体" w:eastAsia="宋体" w:cs="宋体"/>
                <w:color w:val="auto"/>
                <w:kern w:val="0"/>
                <w:sz w:val="22"/>
                <w:szCs w:val="22"/>
                <w:highlight w:val="none"/>
                <w:u w:val="single"/>
                <w:lang w:val="en-US" w:eastAsia="zh-CN"/>
              </w:rPr>
              <w:t xml:space="preserve"> 20 </w:t>
            </w:r>
            <w:r>
              <w:rPr>
                <w:rFonts w:hint="eastAsia" w:ascii="宋体" w:hAnsi="宋体" w:cs="宋体"/>
                <w:color w:val="auto"/>
                <w:kern w:val="0"/>
                <w:sz w:val="22"/>
                <w:szCs w:val="22"/>
                <w:highlight w:val="none"/>
              </w:rPr>
              <w:t>时</w:t>
            </w:r>
            <w:r>
              <w:rPr>
                <w:rFonts w:hint="eastAsia" w:ascii="宋体" w:hAnsi="宋体" w:eastAsia="宋体" w:cs="宋体"/>
                <w:color w:val="auto"/>
                <w:kern w:val="0"/>
                <w:sz w:val="22"/>
                <w:szCs w:val="22"/>
                <w:highlight w:val="none"/>
                <w:u w:val="single"/>
                <w:lang w:val="en-US" w:eastAsia="zh-CN"/>
              </w:rPr>
              <w:t xml:space="preserve"> 00 </w:t>
            </w:r>
            <w:r>
              <w:rPr>
                <w:rFonts w:hint="eastAsia" w:ascii="宋体" w:hAnsi="宋体" w:cs="宋体"/>
                <w:color w:val="auto"/>
                <w:kern w:val="0"/>
                <w:sz w:val="22"/>
                <w:szCs w:val="22"/>
                <w:highlight w:val="none"/>
              </w:rPr>
              <w:t>分</w:t>
            </w:r>
          </w:p>
        </w:tc>
      </w:tr>
      <w:tr w14:paraId="6979E33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758" w:hRule="atLeast"/>
          <w:jc w:val="center"/>
        </w:trPr>
        <w:tc>
          <w:tcPr>
            <w:tcW w:w="458" w:type="dxa"/>
            <w:tcBorders>
              <w:top w:val="single" w:color="080000" w:sz="4" w:space="0"/>
              <w:left w:val="single" w:color="080000" w:sz="4" w:space="0"/>
              <w:bottom w:val="single" w:color="080000" w:sz="4" w:space="0"/>
              <w:right w:val="single" w:color="080000" w:sz="4" w:space="0"/>
            </w:tcBorders>
            <w:noWrap/>
            <w:vAlign w:val="center"/>
          </w:tcPr>
          <w:p w14:paraId="0CC21FB2">
            <w:pPr>
              <w:wordWrap w:val="0"/>
              <w:adjustRightInd w:val="0"/>
              <w:snapToGrid w:val="0"/>
              <w:spacing w:line="400" w:lineRule="exact"/>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2</w:t>
            </w:r>
          </w:p>
        </w:tc>
        <w:tc>
          <w:tcPr>
            <w:tcW w:w="1667" w:type="dxa"/>
            <w:tcBorders>
              <w:top w:val="single" w:color="080000" w:sz="4" w:space="0"/>
              <w:left w:val="single" w:color="080000" w:sz="4" w:space="0"/>
              <w:bottom w:val="single" w:color="080000" w:sz="4" w:space="0"/>
              <w:right w:val="single" w:color="080000" w:sz="4" w:space="0"/>
            </w:tcBorders>
            <w:noWrap/>
            <w:vAlign w:val="center"/>
          </w:tcPr>
          <w:p w14:paraId="43CE9A8D">
            <w:pPr>
              <w:wordWrap w:val="0"/>
              <w:adjustRightInd w:val="0"/>
              <w:snapToGrid w:val="0"/>
              <w:spacing w:line="360" w:lineRule="exact"/>
              <w:jc w:val="center"/>
              <w:rPr>
                <w:rFonts w:hint="eastAsia" w:ascii="宋体" w:hAnsi="宋体" w:cs="Tahoma"/>
                <w:color w:val="auto"/>
                <w:sz w:val="22"/>
                <w:szCs w:val="22"/>
                <w:highlight w:val="none"/>
              </w:rPr>
            </w:pPr>
            <w:r>
              <w:rPr>
                <w:rFonts w:hint="eastAsia" w:ascii="宋体"/>
                <w:snapToGrid w:val="0"/>
                <w:color w:val="auto"/>
                <w:kern w:val="0"/>
                <w:sz w:val="22"/>
                <w:szCs w:val="22"/>
                <w:highlight w:val="none"/>
              </w:rPr>
              <w:t xml:space="preserve">获取招标文件截止时间 </w:t>
            </w:r>
          </w:p>
        </w:tc>
        <w:tc>
          <w:tcPr>
            <w:tcW w:w="7333" w:type="dxa"/>
            <w:tcBorders>
              <w:top w:val="single" w:color="080000" w:sz="4" w:space="0"/>
              <w:left w:val="single" w:color="080000" w:sz="4" w:space="0"/>
              <w:bottom w:val="single" w:color="080000" w:sz="4" w:space="0"/>
              <w:right w:val="single" w:color="080000" w:sz="4" w:space="0"/>
            </w:tcBorders>
            <w:noWrap/>
            <w:vAlign w:val="center"/>
          </w:tcPr>
          <w:p w14:paraId="07DDBC1C">
            <w:pPr>
              <w:widowControl/>
              <w:snapToGrid w:val="0"/>
              <w:ind w:left="105" w:leftChars="50"/>
              <w:jc w:val="left"/>
              <w:rPr>
                <w:rFonts w:hint="eastAsia" w:ascii="宋体" w:hAnsi="宋体" w:cs="Tahoma"/>
                <w:color w:val="auto"/>
                <w:sz w:val="22"/>
                <w:szCs w:val="22"/>
                <w:highlight w:val="none"/>
              </w:rPr>
            </w:pPr>
            <w:r>
              <w:rPr>
                <w:rFonts w:hint="eastAsia" w:ascii="宋体" w:hAnsi="宋体" w:cs="宋体"/>
                <w:color w:val="auto"/>
                <w:kern w:val="0"/>
                <w:sz w:val="22"/>
                <w:szCs w:val="22"/>
                <w:highlight w:val="none"/>
                <w:u w:val="single"/>
              </w:rPr>
              <w:t>2026</w:t>
            </w:r>
            <w:r>
              <w:rPr>
                <w:rFonts w:hint="eastAsia" w:ascii="宋体" w:hAnsi="宋体" w:cs="宋体"/>
                <w:color w:val="auto"/>
                <w:kern w:val="0"/>
                <w:sz w:val="22"/>
                <w:szCs w:val="22"/>
                <w:highlight w:val="none"/>
              </w:rPr>
              <w:t>年</w:t>
            </w:r>
            <w:r>
              <w:rPr>
                <w:rFonts w:hint="eastAsia" w:ascii="宋体" w:hAnsi="宋体" w:eastAsia="宋体" w:cs="宋体"/>
                <w:color w:val="auto"/>
                <w:kern w:val="0"/>
                <w:sz w:val="22"/>
                <w:szCs w:val="22"/>
                <w:highlight w:val="none"/>
                <w:u w:val="single"/>
                <w:lang w:val="en-US" w:eastAsia="zh-CN"/>
              </w:rPr>
              <w:t xml:space="preserve"> 7 </w:t>
            </w:r>
            <w:r>
              <w:rPr>
                <w:rFonts w:hint="eastAsia" w:ascii="宋体" w:hAnsi="宋体" w:cs="宋体"/>
                <w:color w:val="auto"/>
                <w:kern w:val="0"/>
                <w:sz w:val="22"/>
                <w:szCs w:val="22"/>
                <w:highlight w:val="none"/>
              </w:rPr>
              <w:t>月</w:t>
            </w:r>
            <w:r>
              <w:rPr>
                <w:rFonts w:hint="eastAsia" w:ascii="宋体" w:hAnsi="宋体" w:eastAsia="宋体" w:cs="宋体"/>
                <w:color w:val="auto"/>
                <w:kern w:val="0"/>
                <w:sz w:val="22"/>
                <w:szCs w:val="22"/>
                <w:highlight w:val="none"/>
                <w:u w:val="single"/>
                <w:lang w:val="en-US" w:eastAsia="zh-CN"/>
              </w:rPr>
              <w:t xml:space="preserve"> 30 </w:t>
            </w:r>
            <w:r>
              <w:rPr>
                <w:rFonts w:hint="eastAsia" w:ascii="宋体" w:hAnsi="宋体" w:cs="宋体"/>
                <w:color w:val="auto"/>
                <w:kern w:val="0"/>
                <w:sz w:val="22"/>
                <w:szCs w:val="22"/>
                <w:highlight w:val="none"/>
              </w:rPr>
              <w:t>日</w:t>
            </w:r>
            <w:r>
              <w:rPr>
                <w:rFonts w:hint="eastAsia" w:ascii="宋体" w:hAnsi="宋体" w:eastAsia="宋体" w:cs="宋体"/>
                <w:color w:val="auto"/>
                <w:kern w:val="0"/>
                <w:sz w:val="22"/>
                <w:szCs w:val="22"/>
                <w:highlight w:val="none"/>
                <w:u w:val="single"/>
                <w:lang w:val="en-US" w:eastAsia="zh-CN"/>
              </w:rPr>
              <w:t xml:space="preserve"> 10 </w:t>
            </w:r>
            <w:r>
              <w:rPr>
                <w:rFonts w:hint="eastAsia" w:ascii="宋体" w:hAnsi="宋体" w:cs="宋体"/>
                <w:color w:val="auto"/>
                <w:kern w:val="0"/>
                <w:sz w:val="22"/>
                <w:szCs w:val="22"/>
                <w:highlight w:val="none"/>
              </w:rPr>
              <w:t>时</w:t>
            </w:r>
            <w:r>
              <w:rPr>
                <w:rFonts w:hint="eastAsia" w:ascii="宋体" w:hAnsi="宋体" w:eastAsia="宋体" w:cs="宋体"/>
                <w:color w:val="auto"/>
                <w:kern w:val="0"/>
                <w:sz w:val="22"/>
                <w:szCs w:val="22"/>
                <w:highlight w:val="none"/>
                <w:u w:val="single"/>
                <w:lang w:val="en-US" w:eastAsia="zh-CN"/>
              </w:rPr>
              <w:t xml:space="preserve"> 00 </w:t>
            </w:r>
            <w:r>
              <w:rPr>
                <w:rFonts w:hint="eastAsia" w:ascii="宋体" w:hAnsi="宋体" w:cs="宋体"/>
                <w:color w:val="auto"/>
                <w:kern w:val="0"/>
                <w:sz w:val="22"/>
                <w:szCs w:val="22"/>
                <w:highlight w:val="none"/>
              </w:rPr>
              <w:t>分</w:t>
            </w:r>
          </w:p>
        </w:tc>
      </w:tr>
      <w:tr w14:paraId="6700138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845" w:hRule="atLeast"/>
          <w:jc w:val="center"/>
        </w:trPr>
        <w:tc>
          <w:tcPr>
            <w:tcW w:w="458" w:type="dxa"/>
            <w:tcBorders>
              <w:top w:val="single" w:color="080000" w:sz="4" w:space="0"/>
              <w:left w:val="single" w:color="080000" w:sz="4" w:space="0"/>
              <w:bottom w:val="single" w:color="080000" w:sz="4" w:space="0"/>
              <w:right w:val="single" w:color="080000" w:sz="4" w:space="0"/>
            </w:tcBorders>
            <w:noWrap/>
            <w:vAlign w:val="center"/>
          </w:tcPr>
          <w:p w14:paraId="2E817725">
            <w:pPr>
              <w:wordWrap w:val="0"/>
              <w:adjustRightInd w:val="0"/>
              <w:snapToGrid w:val="0"/>
              <w:spacing w:line="400" w:lineRule="exact"/>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3</w:t>
            </w:r>
          </w:p>
        </w:tc>
        <w:tc>
          <w:tcPr>
            <w:tcW w:w="1667" w:type="dxa"/>
            <w:tcBorders>
              <w:top w:val="single" w:color="080000" w:sz="4" w:space="0"/>
              <w:left w:val="single" w:color="080000" w:sz="4" w:space="0"/>
              <w:bottom w:val="single" w:color="080000" w:sz="4" w:space="0"/>
              <w:right w:val="single" w:color="080000" w:sz="4" w:space="0"/>
            </w:tcBorders>
            <w:noWrap/>
            <w:vAlign w:val="center"/>
          </w:tcPr>
          <w:p w14:paraId="3B69F865">
            <w:pPr>
              <w:wordWrap w:val="0"/>
              <w:adjustRightInd w:val="0"/>
              <w:snapToGrid w:val="0"/>
              <w:spacing w:line="360" w:lineRule="exact"/>
              <w:jc w:val="center"/>
              <w:rPr>
                <w:rFonts w:ascii="宋体"/>
                <w:snapToGrid w:val="0"/>
                <w:color w:val="auto"/>
                <w:kern w:val="0"/>
                <w:sz w:val="22"/>
                <w:szCs w:val="22"/>
                <w:highlight w:val="none"/>
              </w:rPr>
            </w:pPr>
            <w:r>
              <w:rPr>
                <w:rFonts w:hint="eastAsia" w:ascii="宋体"/>
                <w:snapToGrid w:val="0"/>
                <w:color w:val="auto"/>
                <w:kern w:val="0"/>
                <w:sz w:val="22"/>
                <w:szCs w:val="22"/>
                <w:highlight w:val="none"/>
              </w:rPr>
              <w:t>网上提问</w:t>
            </w:r>
          </w:p>
          <w:p w14:paraId="0E5A49F8">
            <w:pPr>
              <w:wordWrap w:val="0"/>
              <w:adjustRightInd w:val="0"/>
              <w:snapToGrid w:val="0"/>
              <w:spacing w:line="360" w:lineRule="exact"/>
              <w:jc w:val="center"/>
              <w:rPr>
                <w:rFonts w:hint="eastAsia" w:ascii="宋体" w:hAnsi="宋体" w:cs="Tahoma"/>
                <w:color w:val="auto"/>
                <w:sz w:val="22"/>
                <w:szCs w:val="22"/>
                <w:highlight w:val="none"/>
              </w:rPr>
            </w:pPr>
            <w:r>
              <w:rPr>
                <w:rFonts w:hint="eastAsia" w:ascii="宋体"/>
                <w:snapToGrid w:val="0"/>
                <w:color w:val="auto"/>
                <w:kern w:val="0"/>
                <w:sz w:val="22"/>
                <w:szCs w:val="22"/>
                <w:highlight w:val="none"/>
              </w:rPr>
              <w:t>截止时间</w:t>
            </w:r>
          </w:p>
        </w:tc>
        <w:tc>
          <w:tcPr>
            <w:tcW w:w="7333" w:type="dxa"/>
            <w:tcBorders>
              <w:top w:val="single" w:color="080000" w:sz="4" w:space="0"/>
              <w:left w:val="single" w:color="080000" w:sz="4" w:space="0"/>
              <w:bottom w:val="single" w:color="080000" w:sz="4" w:space="0"/>
              <w:right w:val="single" w:color="080000" w:sz="4" w:space="0"/>
            </w:tcBorders>
            <w:noWrap/>
            <w:vAlign w:val="center"/>
          </w:tcPr>
          <w:p w14:paraId="44A8435F">
            <w:pPr>
              <w:wordWrap w:val="0"/>
              <w:adjustRightInd w:val="0"/>
              <w:snapToGrid w:val="0"/>
              <w:ind w:left="105" w:leftChars="50"/>
              <w:jc w:val="left"/>
              <w:rPr>
                <w:rFonts w:hint="eastAsia" w:ascii="宋体" w:hAnsi="宋体" w:cs="Tahoma"/>
                <w:color w:val="auto"/>
                <w:sz w:val="22"/>
                <w:szCs w:val="22"/>
                <w:highlight w:val="none"/>
              </w:rPr>
            </w:pPr>
            <w:r>
              <w:rPr>
                <w:rFonts w:hint="eastAsia" w:ascii="宋体" w:hAnsi="宋体" w:cs="宋体"/>
                <w:color w:val="auto"/>
                <w:kern w:val="0"/>
                <w:sz w:val="22"/>
                <w:szCs w:val="22"/>
                <w:highlight w:val="none"/>
                <w:u w:val="single"/>
              </w:rPr>
              <w:t>2026</w:t>
            </w:r>
            <w:r>
              <w:rPr>
                <w:rFonts w:hint="eastAsia" w:ascii="宋体" w:hAnsi="宋体" w:cs="宋体"/>
                <w:color w:val="auto"/>
                <w:kern w:val="0"/>
                <w:sz w:val="22"/>
                <w:szCs w:val="22"/>
                <w:highlight w:val="none"/>
              </w:rPr>
              <w:t>年</w:t>
            </w:r>
            <w:r>
              <w:rPr>
                <w:rFonts w:hint="eastAsia" w:ascii="宋体" w:hAnsi="宋体" w:eastAsia="宋体" w:cs="宋体"/>
                <w:color w:val="auto"/>
                <w:kern w:val="0"/>
                <w:sz w:val="22"/>
                <w:szCs w:val="22"/>
                <w:highlight w:val="none"/>
                <w:u w:val="single"/>
                <w:lang w:val="en-US" w:eastAsia="zh-CN"/>
              </w:rPr>
              <w:t xml:space="preserve"> 7 </w:t>
            </w:r>
            <w:r>
              <w:rPr>
                <w:rFonts w:hint="eastAsia" w:ascii="宋体" w:hAnsi="宋体" w:cs="宋体"/>
                <w:color w:val="auto"/>
                <w:kern w:val="0"/>
                <w:sz w:val="22"/>
                <w:szCs w:val="22"/>
                <w:highlight w:val="none"/>
              </w:rPr>
              <w:t>月</w:t>
            </w:r>
            <w:r>
              <w:rPr>
                <w:rFonts w:hint="eastAsia" w:ascii="宋体" w:hAnsi="宋体" w:eastAsia="宋体" w:cs="宋体"/>
                <w:color w:val="auto"/>
                <w:kern w:val="0"/>
                <w:sz w:val="22"/>
                <w:szCs w:val="22"/>
                <w:highlight w:val="none"/>
                <w:u w:val="single"/>
                <w:lang w:val="en-US" w:eastAsia="zh-CN"/>
              </w:rPr>
              <w:t xml:space="preserve"> 20 </w:t>
            </w:r>
            <w:r>
              <w:rPr>
                <w:rFonts w:hint="eastAsia" w:ascii="宋体" w:hAnsi="宋体" w:cs="宋体"/>
                <w:color w:val="auto"/>
                <w:kern w:val="0"/>
                <w:sz w:val="22"/>
                <w:szCs w:val="22"/>
                <w:highlight w:val="none"/>
              </w:rPr>
              <w:t>日</w:t>
            </w:r>
            <w:r>
              <w:rPr>
                <w:rFonts w:hint="eastAsia" w:ascii="宋体" w:hAnsi="宋体" w:cs="宋体"/>
                <w:color w:val="auto"/>
                <w:kern w:val="0"/>
                <w:sz w:val="22"/>
                <w:szCs w:val="22"/>
                <w:highlight w:val="none"/>
                <w:u w:val="single"/>
              </w:rPr>
              <w:t xml:space="preserve">16 </w:t>
            </w:r>
            <w:r>
              <w:rPr>
                <w:rFonts w:hint="eastAsia" w:ascii="宋体" w:hAnsi="宋体" w:cs="宋体"/>
                <w:color w:val="auto"/>
                <w:kern w:val="0"/>
                <w:sz w:val="22"/>
                <w:szCs w:val="22"/>
                <w:highlight w:val="none"/>
              </w:rPr>
              <w:t>时</w:t>
            </w:r>
            <w:r>
              <w:rPr>
                <w:rFonts w:hint="eastAsia" w:ascii="宋体" w:hAnsi="宋体" w:cs="宋体"/>
                <w:color w:val="auto"/>
                <w:kern w:val="0"/>
                <w:sz w:val="22"/>
                <w:szCs w:val="22"/>
                <w:highlight w:val="none"/>
                <w:u w:val="single"/>
              </w:rPr>
              <w:t xml:space="preserve"> 00 </w:t>
            </w:r>
            <w:r>
              <w:rPr>
                <w:rFonts w:hint="eastAsia" w:ascii="宋体" w:hAnsi="宋体" w:cs="宋体"/>
                <w:color w:val="auto"/>
                <w:kern w:val="0"/>
                <w:sz w:val="22"/>
                <w:szCs w:val="22"/>
                <w:highlight w:val="none"/>
              </w:rPr>
              <w:t>分</w:t>
            </w:r>
          </w:p>
        </w:tc>
      </w:tr>
      <w:tr w14:paraId="099BB3F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47" w:hRule="atLeast"/>
          <w:jc w:val="center"/>
        </w:trPr>
        <w:tc>
          <w:tcPr>
            <w:tcW w:w="458" w:type="dxa"/>
            <w:tcBorders>
              <w:top w:val="single" w:color="080000" w:sz="4" w:space="0"/>
              <w:left w:val="single" w:color="080000" w:sz="4" w:space="0"/>
              <w:bottom w:val="single" w:color="080000" w:sz="4" w:space="0"/>
              <w:right w:val="single" w:color="080000" w:sz="4" w:space="0"/>
            </w:tcBorders>
            <w:noWrap/>
            <w:vAlign w:val="center"/>
          </w:tcPr>
          <w:p w14:paraId="3AA4F370">
            <w:pPr>
              <w:wordWrap w:val="0"/>
              <w:adjustRightInd w:val="0"/>
              <w:snapToGrid w:val="0"/>
              <w:spacing w:line="400" w:lineRule="exact"/>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4</w:t>
            </w:r>
          </w:p>
        </w:tc>
        <w:tc>
          <w:tcPr>
            <w:tcW w:w="1667" w:type="dxa"/>
            <w:tcBorders>
              <w:top w:val="single" w:color="080000" w:sz="4" w:space="0"/>
              <w:left w:val="single" w:color="080000" w:sz="4" w:space="0"/>
              <w:bottom w:val="single" w:color="080000" w:sz="4" w:space="0"/>
              <w:right w:val="single" w:color="080000" w:sz="4" w:space="0"/>
            </w:tcBorders>
            <w:noWrap/>
            <w:vAlign w:val="center"/>
          </w:tcPr>
          <w:p w14:paraId="61300B80">
            <w:pPr>
              <w:wordWrap w:val="0"/>
              <w:adjustRightInd w:val="0"/>
              <w:snapToGrid w:val="0"/>
              <w:spacing w:line="360" w:lineRule="exact"/>
              <w:jc w:val="center"/>
              <w:rPr>
                <w:rFonts w:ascii="宋体"/>
                <w:snapToGrid w:val="0"/>
                <w:color w:val="auto"/>
                <w:kern w:val="0"/>
                <w:sz w:val="22"/>
                <w:szCs w:val="22"/>
                <w:highlight w:val="none"/>
              </w:rPr>
            </w:pPr>
            <w:r>
              <w:rPr>
                <w:rFonts w:hint="eastAsia" w:ascii="宋体"/>
                <w:snapToGrid w:val="0"/>
                <w:color w:val="auto"/>
                <w:kern w:val="0"/>
                <w:sz w:val="22"/>
                <w:szCs w:val="22"/>
                <w:highlight w:val="none"/>
              </w:rPr>
              <w:t>网上答疑</w:t>
            </w:r>
          </w:p>
          <w:p w14:paraId="00198775">
            <w:pPr>
              <w:wordWrap w:val="0"/>
              <w:adjustRightInd w:val="0"/>
              <w:snapToGrid w:val="0"/>
              <w:spacing w:line="360" w:lineRule="exact"/>
              <w:jc w:val="center"/>
              <w:rPr>
                <w:rFonts w:hint="eastAsia" w:ascii="宋体" w:hAnsi="宋体" w:cs="Tahoma"/>
                <w:color w:val="auto"/>
                <w:sz w:val="22"/>
                <w:szCs w:val="22"/>
                <w:highlight w:val="none"/>
              </w:rPr>
            </w:pPr>
            <w:r>
              <w:rPr>
                <w:rFonts w:hint="eastAsia" w:ascii="宋体"/>
                <w:snapToGrid w:val="0"/>
                <w:color w:val="auto"/>
                <w:kern w:val="0"/>
                <w:sz w:val="22"/>
                <w:szCs w:val="22"/>
                <w:highlight w:val="none"/>
              </w:rPr>
              <w:t>时间</w:t>
            </w:r>
          </w:p>
        </w:tc>
        <w:tc>
          <w:tcPr>
            <w:tcW w:w="7333" w:type="dxa"/>
            <w:tcBorders>
              <w:top w:val="single" w:color="080000" w:sz="4" w:space="0"/>
              <w:left w:val="single" w:color="080000" w:sz="4" w:space="0"/>
              <w:bottom w:val="single" w:color="080000" w:sz="4" w:space="0"/>
              <w:right w:val="single" w:color="080000" w:sz="4" w:space="0"/>
            </w:tcBorders>
            <w:noWrap/>
            <w:vAlign w:val="center"/>
          </w:tcPr>
          <w:p w14:paraId="241B007E">
            <w:pPr>
              <w:snapToGrid w:val="0"/>
              <w:ind w:left="105" w:leftChars="50"/>
              <w:jc w:val="left"/>
              <w:rPr>
                <w:rFonts w:hint="eastAsia" w:ascii="宋体" w:hAnsi="宋体" w:cs="Tahoma"/>
                <w:color w:val="auto"/>
                <w:sz w:val="22"/>
                <w:szCs w:val="22"/>
                <w:highlight w:val="none"/>
              </w:rPr>
            </w:pPr>
            <w:r>
              <w:rPr>
                <w:rFonts w:hint="eastAsia" w:ascii="宋体" w:hAnsi="宋体" w:cs="宋体"/>
                <w:color w:val="auto"/>
                <w:kern w:val="0"/>
                <w:sz w:val="22"/>
                <w:szCs w:val="22"/>
                <w:highlight w:val="none"/>
                <w:u w:val="single"/>
              </w:rPr>
              <w:t>2026</w:t>
            </w:r>
            <w:r>
              <w:rPr>
                <w:rFonts w:hint="eastAsia" w:ascii="宋体" w:hAnsi="宋体" w:cs="宋体"/>
                <w:color w:val="auto"/>
                <w:kern w:val="0"/>
                <w:sz w:val="22"/>
                <w:szCs w:val="22"/>
                <w:highlight w:val="none"/>
              </w:rPr>
              <w:t>年</w:t>
            </w:r>
            <w:r>
              <w:rPr>
                <w:rFonts w:hint="eastAsia" w:ascii="宋体" w:hAnsi="宋体" w:eastAsia="宋体" w:cs="宋体"/>
                <w:color w:val="auto"/>
                <w:kern w:val="0"/>
                <w:sz w:val="22"/>
                <w:szCs w:val="22"/>
                <w:highlight w:val="none"/>
                <w:u w:val="single"/>
                <w:lang w:val="en-US" w:eastAsia="zh-CN"/>
              </w:rPr>
              <w:t xml:space="preserve"> 7 </w:t>
            </w:r>
            <w:r>
              <w:rPr>
                <w:rFonts w:hint="eastAsia" w:ascii="宋体" w:hAnsi="宋体" w:cs="宋体"/>
                <w:color w:val="auto"/>
                <w:kern w:val="0"/>
                <w:sz w:val="22"/>
                <w:szCs w:val="22"/>
                <w:highlight w:val="none"/>
              </w:rPr>
              <w:t>月</w:t>
            </w:r>
            <w:r>
              <w:rPr>
                <w:rFonts w:hint="eastAsia" w:ascii="宋体" w:hAnsi="宋体" w:eastAsia="宋体" w:cs="宋体"/>
                <w:color w:val="auto"/>
                <w:kern w:val="0"/>
                <w:sz w:val="22"/>
                <w:szCs w:val="22"/>
                <w:highlight w:val="none"/>
                <w:u w:val="single"/>
                <w:lang w:val="en-US" w:eastAsia="zh-CN"/>
              </w:rPr>
              <w:t xml:space="preserve"> 20 </w:t>
            </w:r>
            <w:r>
              <w:rPr>
                <w:rFonts w:hint="eastAsia" w:ascii="宋体" w:hAnsi="宋体" w:cs="宋体"/>
                <w:color w:val="auto"/>
                <w:kern w:val="0"/>
                <w:sz w:val="22"/>
                <w:szCs w:val="22"/>
                <w:highlight w:val="none"/>
              </w:rPr>
              <w:t>日</w:t>
            </w:r>
            <w:r>
              <w:rPr>
                <w:rFonts w:hint="eastAsia" w:ascii="宋体" w:hAnsi="宋体" w:cs="宋体"/>
                <w:color w:val="auto"/>
                <w:kern w:val="0"/>
                <w:sz w:val="22"/>
                <w:szCs w:val="22"/>
                <w:highlight w:val="none"/>
                <w:u w:val="single"/>
              </w:rPr>
              <w:t xml:space="preserve">16 </w:t>
            </w:r>
            <w:r>
              <w:rPr>
                <w:rFonts w:hint="eastAsia" w:ascii="宋体" w:hAnsi="宋体" w:cs="宋体"/>
                <w:color w:val="auto"/>
                <w:kern w:val="0"/>
                <w:sz w:val="22"/>
                <w:szCs w:val="22"/>
                <w:highlight w:val="none"/>
              </w:rPr>
              <w:t>时</w:t>
            </w:r>
            <w:r>
              <w:rPr>
                <w:rFonts w:hint="eastAsia" w:ascii="宋体" w:hAnsi="宋体" w:cs="宋体"/>
                <w:color w:val="auto"/>
                <w:kern w:val="0"/>
                <w:sz w:val="22"/>
                <w:szCs w:val="22"/>
                <w:highlight w:val="none"/>
                <w:u w:val="single"/>
              </w:rPr>
              <w:t xml:space="preserve"> 30 </w:t>
            </w:r>
            <w:r>
              <w:rPr>
                <w:rFonts w:hint="eastAsia" w:ascii="宋体" w:hAnsi="宋体" w:cs="宋体"/>
                <w:color w:val="auto"/>
                <w:kern w:val="0"/>
                <w:sz w:val="22"/>
                <w:szCs w:val="22"/>
                <w:highlight w:val="none"/>
              </w:rPr>
              <w:t>分至</w:t>
            </w:r>
            <w:r>
              <w:rPr>
                <w:rFonts w:hint="eastAsia" w:ascii="宋体" w:hAnsi="宋体" w:eastAsia="宋体" w:cs="宋体"/>
                <w:color w:val="auto"/>
                <w:kern w:val="0"/>
                <w:sz w:val="22"/>
                <w:szCs w:val="22"/>
                <w:highlight w:val="none"/>
                <w:lang w:val="en-US" w:eastAsia="zh-CN"/>
              </w:rPr>
              <w:t xml:space="preserve"> </w:t>
            </w:r>
            <w:r>
              <w:rPr>
                <w:rFonts w:hint="eastAsia" w:ascii="宋体" w:hAnsi="宋体" w:cs="宋体"/>
                <w:color w:val="auto"/>
                <w:kern w:val="0"/>
                <w:sz w:val="22"/>
                <w:szCs w:val="22"/>
                <w:highlight w:val="none"/>
                <w:u w:val="single"/>
              </w:rPr>
              <w:t>2026</w:t>
            </w:r>
            <w:r>
              <w:rPr>
                <w:rFonts w:hint="eastAsia" w:ascii="宋体" w:hAnsi="宋体" w:cs="宋体"/>
                <w:color w:val="auto"/>
                <w:kern w:val="0"/>
                <w:sz w:val="22"/>
                <w:szCs w:val="22"/>
                <w:highlight w:val="none"/>
              </w:rPr>
              <w:t>年</w:t>
            </w:r>
            <w:r>
              <w:rPr>
                <w:rFonts w:hint="eastAsia" w:ascii="宋体" w:hAnsi="宋体" w:eastAsia="宋体" w:cs="宋体"/>
                <w:color w:val="auto"/>
                <w:kern w:val="0"/>
                <w:sz w:val="22"/>
                <w:szCs w:val="22"/>
                <w:highlight w:val="none"/>
                <w:u w:val="single"/>
                <w:lang w:val="en-US" w:eastAsia="zh-CN"/>
              </w:rPr>
              <w:t xml:space="preserve"> 7 </w:t>
            </w:r>
            <w:r>
              <w:rPr>
                <w:rFonts w:hint="eastAsia" w:ascii="宋体" w:hAnsi="宋体" w:cs="宋体"/>
                <w:color w:val="auto"/>
                <w:kern w:val="0"/>
                <w:sz w:val="22"/>
                <w:szCs w:val="22"/>
                <w:highlight w:val="none"/>
              </w:rPr>
              <w:t>月</w:t>
            </w:r>
            <w:r>
              <w:rPr>
                <w:rFonts w:hint="eastAsia" w:ascii="宋体" w:hAnsi="宋体" w:eastAsia="宋体" w:cs="宋体"/>
                <w:color w:val="auto"/>
                <w:kern w:val="0"/>
                <w:sz w:val="22"/>
                <w:szCs w:val="22"/>
                <w:highlight w:val="none"/>
                <w:u w:val="single"/>
                <w:lang w:val="en-US" w:eastAsia="zh-CN"/>
              </w:rPr>
              <w:t xml:space="preserve"> 23 </w:t>
            </w:r>
            <w:r>
              <w:rPr>
                <w:rFonts w:hint="eastAsia" w:ascii="宋体" w:hAnsi="宋体" w:cs="宋体"/>
                <w:color w:val="auto"/>
                <w:kern w:val="0"/>
                <w:sz w:val="22"/>
                <w:szCs w:val="22"/>
                <w:highlight w:val="none"/>
              </w:rPr>
              <w:t>日</w:t>
            </w:r>
            <w:r>
              <w:rPr>
                <w:rFonts w:hint="eastAsia" w:ascii="宋体" w:hAnsi="宋体" w:cs="宋体"/>
                <w:color w:val="auto"/>
                <w:kern w:val="0"/>
                <w:sz w:val="22"/>
                <w:szCs w:val="22"/>
                <w:highlight w:val="none"/>
                <w:u w:val="single"/>
              </w:rPr>
              <w:t xml:space="preserve"> 16 </w:t>
            </w:r>
            <w:r>
              <w:rPr>
                <w:rFonts w:hint="eastAsia" w:ascii="宋体" w:hAnsi="宋体" w:cs="宋体"/>
                <w:color w:val="auto"/>
                <w:kern w:val="0"/>
                <w:sz w:val="22"/>
                <w:szCs w:val="22"/>
                <w:highlight w:val="none"/>
              </w:rPr>
              <w:t>时</w:t>
            </w:r>
            <w:r>
              <w:rPr>
                <w:rFonts w:hint="eastAsia" w:ascii="宋体" w:hAnsi="宋体" w:cs="宋体"/>
                <w:color w:val="auto"/>
                <w:kern w:val="0"/>
                <w:sz w:val="22"/>
                <w:szCs w:val="22"/>
                <w:highlight w:val="none"/>
                <w:u w:val="single"/>
              </w:rPr>
              <w:t>00</w:t>
            </w:r>
            <w:r>
              <w:rPr>
                <w:rFonts w:hint="eastAsia" w:ascii="宋体" w:hAnsi="宋体" w:cs="宋体"/>
                <w:color w:val="auto"/>
                <w:kern w:val="0"/>
                <w:sz w:val="22"/>
                <w:szCs w:val="22"/>
                <w:highlight w:val="none"/>
              </w:rPr>
              <w:t>分</w:t>
            </w:r>
          </w:p>
        </w:tc>
      </w:tr>
      <w:tr w14:paraId="04D90A6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04" w:hRule="atLeast"/>
          <w:jc w:val="center"/>
        </w:trPr>
        <w:tc>
          <w:tcPr>
            <w:tcW w:w="458" w:type="dxa"/>
            <w:tcBorders>
              <w:top w:val="single" w:color="080000" w:sz="4" w:space="0"/>
              <w:left w:val="single" w:color="080000" w:sz="4" w:space="0"/>
              <w:bottom w:val="single" w:color="080000" w:sz="4" w:space="0"/>
              <w:right w:val="single" w:color="080000" w:sz="4" w:space="0"/>
            </w:tcBorders>
            <w:noWrap/>
            <w:vAlign w:val="center"/>
          </w:tcPr>
          <w:p w14:paraId="3FB12C11">
            <w:pPr>
              <w:wordWrap w:val="0"/>
              <w:adjustRightInd w:val="0"/>
              <w:snapToGrid w:val="0"/>
              <w:spacing w:line="400" w:lineRule="exact"/>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5</w:t>
            </w:r>
          </w:p>
        </w:tc>
        <w:tc>
          <w:tcPr>
            <w:tcW w:w="1667" w:type="dxa"/>
            <w:tcBorders>
              <w:top w:val="single" w:color="080000" w:sz="4" w:space="0"/>
              <w:left w:val="single" w:color="080000" w:sz="4" w:space="0"/>
              <w:bottom w:val="single" w:color="080000" w:sz="4" w:space="0"/>
              <w:right w:val="single" w:color="080000" w:sz="4" w:space="0"/>
            </w:tcBorders>
            <w:noWrap/>
            <w:vAlign w:val="center"/>
          </w:tcPr>
          <w:p w14:paraId="4BF602D4">
            <w:pPr>
              <w:wordWrap w:val="0"/>
              <w:adjustRightInd w:val="0"/>
              <w:snapToGrid w:val="0"/>
              <w:spacing w:line="360" w:lineRule="exact"/>
              <w:jc w:val="center"/>
              <w:rPr>
                <w:rFonts w:ascii="宋体"/>
                <w:snapToGrid w:val="0"/>
                <w:color w:val="auto"/>
                <w:kern w:val="0"/>
                <w:sz w:val="22"/>
                <w:szCs w:val="22"/>
                <w:highlight w:val="none"/>
              </w:rPr>
            </w:pPr>
            <w:r>
              <w:rPr>
                <w:rFonts w:hint="eastAsia" w:ascii="宋体"/>
                <w:snapToGrid w:val="0"/>
                <w:color w:val="auto"/>
                <w:kern w:val="0"/>
                <w:sz w:val="22"/>
                <w:szCs w:val="22"/>
                <w:highlight w:val="none"/>
              </w:rPr>
              <w:t>投标保证缴</w:t>
            </w:r>
          </w:p>
          <w:p w14:paraId="44D2817B">
            <w:pPr>
              <w:wordWrap w:val="0"/>
              <w:adjustRightInd w:val="0"/>
              <w:snapToGrid w:val="0"/>
              <w:spacing w:line="360" w:lineRule="exact"/>
              <w:jc w:val="center"/>
              <w:rPr>
                <w:rFonts w:hint="eastAsia" w:ascii="宋体" w:hAnsi="宋体" w:cs="Tahoma"/>
                <w:color w:val="auto"/>
                <w:sz w:val="22"/>
                <w:szCs w:val="22"/>
                <w:highlight w:val="none"/>
              </w:rPr>
            </w:pPr>
            <w:r>
              <w:rPr>
                <w:rFonts w:hint="eastAsia" w:ascii="宋体"/>
                <w:snapToGrid w:val="0"/>
                <w:color w:val="auto"/>
                <w:kern w:val="0"/>
                <w:sz w:val="22"/>
                <w:szCs w:val="22"/>
                <w:highlight w:val="none"/>
              </w:rPr>
              <w:t>纳截止时间</w:t>
            </w:r>
          </w:p>
        </w:tc>
        <w:tc>
          <w:tcPr>
            <w:tcW w:w="7333" w:type="dxa"/>
            <w:tcBorders>
              <w:top w:val="single" w:color="080000" w:sz="4" w:space="0"/>
              <w:left w:val="single" w:color="080000" w:sz="4" w:space="0"/>
              <w:bottom w:val="single" w:color="080000" w:sz="4" w:space="0"/>
              <w:right w:val="single" w:color="080000" w:sz="4" w:space="0"/>
            </w:tcBorders>
            <w:noWrap/>
            <w:vAlign w:val="center"/>
          </w:tcPr>
          <w:p w14:paraId="76E45CEE">
            <w:pPr>
              <w:widowControl/>
              <w:snapToGrid w:val="0"/>
              <w:spacing w:before="156" w:beforeLines="50" w:line="360" w:lineRule="auto"/>
              <w:ind w:left="105" w:leftChars="50"/>
              <w:jc w:val="left"/>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投标保证金到账截止时间：</w:t>
            </w:r>
            <w:r>
              <w:rPr>
                <w:rFonts w:hint="eastAsia" w:ascii="宋体" w:hAnsi="宋体" w:cs="宋体"/>
                <w:color w:val="auto"/>
                <w:kern w:val="0"/>
                <w:sz w:val="22"/>
                <w:szCs w:val="22"/>
                <w:highlight w:val="none"/>
                <w:u w:val="single"/>
              </w:rPr>
              <w:t>2026</w:t>
            </w:r>
            <w:r>
              <w:rPr>
                <w:rFonts w:hint="eastAsia" w:ascii="宋体" w:hAnsi="宋体" w:cs="宋体"/>
                <w:color w:val="auto"/>
                <w:kern w:val="0"/>
                <w:sz w:val="22"/>
                <w:szCs w:val="22"/>
                <w:highlight w:val="none"/>
              </w:rPr>
              <w:t>年</w:t>
            </w:r>
            <w:r>
              <w:rPr>
                <w:rFonts w:hint="eastAsia" w:ascii="宋体" w:hAnsi="宋体" w:eastAsia="宋体" w:cs="宋体"/>
                <w:color w:val="auto"/>
                <w:kern w:val="0"/>
                <w:sz w:val="22"/>
                <w:szCs w:val="22"/>
                <w:highlight w:val="none"/>
                <w:u w:val="single"/>
                <w:lang w:val="en-US" w:eastAsia="zh-CN"/>
              </w:rPr>
              <w:t xml:space="preserve"> 7 </w:t>
            </w:r>
            <w:r>
              <w:rPr>
                <w:rFonts w:hint="eastAsia" w:ascii="宋体" w:hAnsi="宋体" w:cs="宋体"/>
                <w:color w:val="auto"/>
                <w:kern w:val="0"/>
                <w:sz w:val="22"/>
                <w:szCs w:val="22"/>
                <w:highlight w:val="none"/>
              </w:rPr>
              <w:t>月</w:t>
            </w:r>
            <w:r>
              <w:rPr>
                <w:rFonts w:hint="eastAsia" w:ascii="宋体" w:hAnsi="宋体" w:eastAsia="宋体" w:cs="宋体"/>
                <w:color w:val="auto"/>
                <w:kern w:val="0"/>
                <w:sz w:val="22"/>
                <w:szCs w:val="22"/>
                <w:highlight w:val="none"/>
                <w:u w:val="single"/>
                <w:lang w:val="en-US" w:eastAsia="zh-CN"/>
              </w:rPr>
              <w:t xml:space="preserve"> 29 </w:t>
            </w:r>
            <w:r>
              <w:rPr>
                <w:rFonts w:hint="eastAsia" w:ascii="宋体" w:hAnsi="宋体" w:cs="宋体"/>
                <w:color w:val="auto"/>
                <w:kern w:val="0"/>
                <w:sz w:val="22"/>
                <w:szCs w:val="22"/>
                <w:highlight w:val="none"/>
              </w:rPr>
              <w:t>日</w:t>
            </w:r>
            <w:r>
              <w:rPr>
                <w:rFonts w:hint="eastAsia" w:ascii="宋体" w:hAnsi="宋体" w:eastAsia="宋体" w:cs="宋体"/>
                <w:color w:val="auto"/>
                <w:kern w:val="0"/>
                <w:sz w:val="22"/>
                <w:szCs w:val="22"/>
                <w:highlight w:val="none"/>
                <w:u w:val="single"/>
                <w:lang w:val="en-US" w:eastAsia="zh-CN"/>
              </w:rPr>
              <w:t xml:space="preserve"> 10 </w:t>
            </w:r>
            <w:r>
              <w:rPr>
                <w:rFonts w:hint="eastAsia" w:ascii="宋体" w:hAnsi="宋体" w:cs="宋体"/>
                <w:color w:val="auto"/>
                <w:kern w:val="0"/>
                <w:sz w:val="22"/>
                <w:szCs w:val="22"/>
                <w:highlight w:val="none"/>
              </w:rPr>
              <w:t>时</w:t>
            </w:r>
            <w:r>
              <w:rPr>
                <w:rFonts w:hint="eastAsia" w:ascii="宋体" w:hAnsi="宋体" w:eastAsia="宋体" w:cs="宋体"/>
                <w:color w:val="auto"/>
                <w:kern w:val="0"/>
                <w:sz w:val="22"/>
                <w:szCs w:val="22"/>
                <w:highlight w:val="none"/>
                <w:u w:val="single"/>
                <w:lang w:val="en-US" w:eastAsia="zh-CN"/>
              </w:rPr>
              <w:t xml:space="preserve"> 00 </w:t>
            </w:r>
            <w:r>
              <w:rPr>
                <w:rFonts w:hint="eastAsia" w:ascii="宋体" w:hAnsi="宋体" w:cs="宋体"/>
                <w:color w:val="auto"/>
                <w:kern w:val="0"/>
                <w:sz w:val="22"/>
                <w:szCs w:val="22"/>
                <w:highlight w:val="none"/>
              </w:rPr>
              <w:t>分；</w:t>
            </w:r>
          </w:p>
          <w:p w14:paraId="0395BD51">
            <w:pPr>
              <w:widowControl/>
              <w:snapToGrid w:val="0"/>
              <w:spacing w:line="360" w:lineRule="auto"/>
              <w:ind w:left="105" w:leftChars="50"/>
              <w:jc w:val="left"/>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投标保证担保上传截止时间：</w:t>
            </w:r>
            <w:r>
              <w:rPr>
                <w:rFonts w:hint="eastAsia" w:ascii="宋体" w:hAnsi="宋体" w:cs="宋体"/>
                <w:color w:val="auto"/>
                <w:kern w:val="0"/>
                <w:sz w:val="22"/>
                <w:szCs w:val="22"/>
                <w:highlight w:val="none"/>
                <w:u w:val="single"/>
              </w:rPr>
              <w:t>2026</w:t>
            </w:r>
            <w:r>
              <w:rPr>
                <w:rFonts w:hint="eastAsia" w:ascii="宋体" w:hAnsi="宋体" w:cs="宋体"/>
                <w:color w:val="auto"/>
                <w:kern w:val="0"/>
                <w:sz w:val="22"/>
                <w:szCs w:val="22"/>
                <w:highlight w:val="none"/>
              </w:rPr>
              <w:t>年</w:t>
            </w:r>
            <w:r>
              <w:rPr>
                <w:rFonts w:hint="eastAsia" w:ascii="宋体" w:hAnsi="宋体" w:eastAsia="宋体" w:cs="宋体"/>
                <w:color w:val="auto"/>
                <w:kern w:val="0"/>
                <w:sz w:val="22"/>
                <w:szCs w:val="22"/>
                <w:highlight w:val="none"/>
                <w:u w:val="single"/>
                <w:lang w:val="en-US" w:eastAsia="zh-CN"/>
              </w:rPr>
              <w:t xml:space="preserve"> 7 </w:t>
            </w:r>
            <w:r>
              <w:rPr>
                <w:rFonts w:hint="eastAsia" w:ascii="宋体" w:hAnsi="宋体" w:cs="宋体"/>
                <w:color w:val="auto"/>
                <w:kern w:val="0"/>
                <w:sz w:val="22"/>
                <w:szCs w:val="22"/>
                <w:highlight w:val="none"/>
              </w:rPr>
              <w:t>月</w:t>
            </w:r>
            <w:r>
              <w:rPr>
                <w:rFonts w:hint="eastAsia" w:ascii="宋体" w:hAnsi="宋体" w:eastAsia="宋体" w:cs="宋体"/>
                <w:color w:val="auto"/>
                <w:kern w:val="0"/>
                <w:sz w:val="22"/>
                <w:szCs w:val="22"/>
                <w:highlight w:val="none"/>
                <w:u w:val="single"/>
                <w:lang w:val="en-US" w:eastAsia="zh-CN"/>
              </w:rPr>
              <w:t xml:space="preserve"> 29 </w:t>
            </w:r>
            <w:r>
              <w:rPr>
                <w:rFonts w:hint="eastAsia" w:ascii="宋体" w:hAnsi="宋体" w:cs="宋体"/>
                <w:color w:val="auto"/>
                <w:kern w:val="0"/>
                <w:sz w:val="22"/>
                <w:szCs w:val="22"/>
                <w:highlight w:val="none"/>
              </w:rPr>
              <w:t>日</w:t>
            </w:r>
            <w:r>
              <w:rPr>
                <w:rFonts w:hint="eastAsia" w:ascii="宋体" w:hAnsi="宋体" w:eastAsia="宋体" w:cs="宋体"/>
                <w:color w:val="auto"/>
                <w:kern w:val="0"/>
                <w:sz w:val="22"/>
                <w:szCs w:val="22"/>
                <w:highlight w:val="none"/>
                <w:u w:val="single"/>
                <w:lang w:val="en-US" w:eastAsia="zh-CN"/>
              </w:rPr>
              <w:t xml:space="preserve"> 10 </w:t>
            </w:r>
            <w:r>
              <w:rPr>
                <w:rFonts w:hint="eastAsia" w:ascii="宋体" w:hAnsi="宋体" w:cs="宋体"/>
                <w:color w:val="auto"/>
                <w:kern w:val="0"/>
                <w:sz w:val="22"/>
                <w:szCs w:val="22"/>
                <w:highlight w:val="none"/>
              </w:rPr>
              <w:t>时</w:t>
            </w:r>
            <w:r>
              <w:rPr>
                <w:rFonts w:hint="eastAsia" w:ascii="宋体" w:hAnsi="宋体" w:eastAsia="宋体" w:cs="宋体"/>
                <w:color w:val="auto"/>
                <w:kern w:val="0"/>
                <w:sz w:val="22"/>
                <w:szCs w:val="22"/>
                <w:highlight w:val="none"/>
                <w:u w:val="single"/>
                <w:lang w:val="en-US" w:eastAsia="zh-CN"/>
              </w:rPr>
              <w:t xml:space="preserve"> 00 </w:t>
            </w:r>
            <w:r>
              <w:rPr>
                <w:rFonts w:hint="eastAsia" w:ascii="宋体" w:hAnsi="宋体" w:cs="宋体"/>
                <w:color w:val="auto"/>
                <w:kern w:val="0"/>
                <w:sz w:val="22"/>
                <w:szCs w:val="22"/>
                <w:highlight w:val="none"/>
              </w:rPr>
              <w:t>分；</w:t>
            </w:r>
          </w:p>
          <w:p w14:paraId="6317E438">
            <w:pPr>
              <w:widowControl/>
              <w:snapToGrid w:val="0"/>
              <w:spacing w:line="360" w:lineRule="auto"/>
              <w:ind w:left="105" w:leftChars="50"/>
              <w:jc w:val="left"/>
              <w:rPr>
                <w:rFonts w:hint="eastAsia" w:ascii="宋体" w:hAnsi="宋体" w:cs="Tahoma"/>
                <w:color w:val="auto"/>
                <w:sz w:val="22"/>
                <w:szCs w:val="22"/>
                <w:highlight w:val="none"/>
              </w:rPr>
            </w:pPr>
            <w:r>
              <w:rPr>
                <w:rFonts w:hint="eastAsia" w:ascii="宋体" w:hAnsi="宋体" w:cs="宋体"/>
                <w:color w:val="auto"/>
                <w:kern w:val="0"/>
                <w:sz w:val="22"/>
                <w:szCs w:val="22"/>
                <w:highlight w:val="none"/>
              </w:rPr>
              <w:t>投标保证保险投保截止时间：</w:t>
            </w:r>
            <w:r>
              <w:rPr>
                <w:rFonts w:hint="eastAsia" w:ascii="宋体" w:hAnsi="宋体" w:cs="宋体"/>
                <w:color w:val="auto"/>
                <w:kern w:val="0"/>
                <w:sz w:val="22"/>
                <w:szCs w:val="22"/>
                <w:highlight w:val="none"/>
                <w:u w:val="single"/>
              </w:rPr>
              <w:t>2026</w:t>
            </w:r>
            <w:r>
              <w:rPr>
                <w:rFonts w:hint="eastAsia" w:ascii="宋体" w:hAnsi="宋体" w:cs="宋体"/>
                <w:color w:val="auto"/>
                <w:kern w:val="0"/>
                <w:sz w:val="22"/>
                <w:szCs w:val="22"/>
                <w:highlight w:val="none"/>
              </w:rPr>
              <w:t>年</w:t>
            </w:r>
            <w:r>
              <w:rPr>
                <w:rFonts w:hint="eastAsia" w:ascii="宋体" w:hAnsi="宋体" w:eastAsia="宋体" w:cs="宋体"/>
                <w:color w:val="auto"/>
                <w:kern w:val="0"/>
                <w:sz w:val="22"/>
                <w:szCs w:val="22"/>
                <w:highlight w:val="none"/>
                <w:u w:val="single"/>
                <w:lang w:val="en-US" w:eastAsia="zh-CN"/>
              </w:rPr>
              <w:t xml:space="preserve"> 7 </w:t>
            </w:r>
            <w:r>
              <w:rPr>
                <w:rFonts w:hint="eastAsia" w:ascii="宋体" w:hAnsi="宋体" w:cs="宋体"/>
                <w:color w:val="auto"/>
                <w:kern w:val="0"/>
                <w:sz w:val="22"/>
                <w:szCs w:val="22"/>
                <w:highlight w:val="none"/>
              </w:rPr>
              <w:t>月</w:t>
            </w:r>
            <w:r>
              <w:rPr>
                <w:rFonts w:hint="eastAsia" w:ascii="宋体" w:hAnsi="宋体" w:eastAsia="宋体" w:cs="宋体"/>
                <w:color w:val="auto"/>
                <w:kern w:val="0"/>
                <w:sz w:val="22"/>
                <w:szCs w:val="22"/>
                <w:highlight w:val="none"/>
                <w:u w:val="single"/>
                <w:lang w:val="en-US" w:eastAsia="zh-CN"/>
              </w:rPr>
              <w:t xml:space="preserve"> 29 </w:t>
            </w:r>
            <w:r>
              <w:rPr>
                <w:rFonts w:hint="eastAsia" w:ascii="宋体" w:hAnsi="宋体" w:cs="宋体"/>
                <w:color w:val="auto"/>
                <w:kern w:val="0"/>
                <w:sz w:val="22"/>
                <w:szCs w:val="22"/>
                <w:highlight w:val="none"/>
              </w:rPr>
              <w:t>日</w:t>
            </w:r>
            <w:r>
              <w:rPr>
                <w:rFonts w:hint="eastAsia" w:ascii="宋体" w:hAnsi="宋体" w:eastAsia="宋体" w:cs="宋体"/>
                <w:color w:val="auto"/>
                <w:kern w:val="0"/>
                <w:sz w:val="22"/>
                <w:szCs w:val="22"/>
                <w:highlight w:val="none"/>
                <w:u w:val="single"/>
                <w:lang w:val="en-US" w:eastAsia="zh-CN"/>
              </w:rPr>
              <w:t xml:space="preserve"> 10 </w:t>
            </w:r>
            <w:r>
              <w:rPr>
                <w:rFonts w:hint="eastAsia" w:ascii="宋体" w:hAnsi="宋体" w:cs="宋体"/>
                <w:color w:val="auto"/>
                <w:kern w:val="0"/>
                <w:sz w:val="22"/>
                <w:szCs w:val="22"/>
                <w:highlight w:val="none"/>
              </w:rPr>
              <w:t>时</w:t>
            </w:r>
            <w:r>
              <w:rPr>
                <w:rFonts w:hint="eastAsia" w:ascii="宋体" w:hAnsi="宋体" w:eastAsia="宋体" w:cs="宋体"/>
                <w:color w:val="auto"/>
                <w:kern w:val="0"/>
                <w:sz w:val="22"/>
                <w:szCs w:val="22"/>
                <w:highlight w:val="none"/>
                <w:u w:val="single"/>
                <w:lang w:val="en-US" w:eastAsia="zh-CN"/>
              </w:rPr>
              <w:t xml:space="preserve"> 00 </w:t>
            </w:r>
            <w:r>
              <w:rPr>
                <w:rFonts w:hint="eastAsia" w:ascii="宋体" w:hAnsi="宋体" w:cs="宋体"/>
                <w:color w:val="auto"/>
                <w:kern w:val="0"/>
                <w:sz w:val="22"/>
                <w:szCs w:val="22"/>
                <w:highlight w:val="none"/>
              </w:rPr>
              <w:t>分。</w:t>
            </w:r>
          </w:p>
        </w:tc>
      </w:tr>
      <w:tr w14:paraId="7529E74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709" w:hRule="atLeast"/>
          <w:jc w:val="center"/>
        </w:trPr>
        <w:tc>
          <w:tcPr>
            <w:tcW w:w="458" w:type="dxa"/>
            <w:tcBorders>
              <w:top w:val="single" w:color="080000" w:sz="4" w:space="0"/>
              <w:left w:val="single" w:color="080000" w:sz="4" w:space="0"/>
              <w:bottom w:val="single" w:color="080000" w:sz="4" w:space="0"/>
              <w:right w:val="single" w:color="080000" w:sz="4" w:space="0"/>
            </w:tcBorders>
            <w:noWrap/>
            <w:vAlign w:val="center"/>
          </w:tcPr>
          <w:p w14:paraId="72A2F4E8">
            <w:pPr>
              <w:wordWrap w:val="0"/>
              <w:adjustRightInd w:val="0"/>
              <w:snapToGrid w:val="0"/>
              <w:spacing w:line="400" w:lineRule="exact"/>
              <w:jc w:val="center"/>
              <w:rPr>
                <w:rFonts w:hint="eastAsia" w:ascii="宋体" w:hAnsi="宋体" w:cs="宋体"/>
                <w:color w:val="auto"/>
                <w:sz w:val="22"/>
                <w:szCs w:val="22"/>
                <w:highlight w:val="none"/>
              </w:rPr>
            </w:pPr>
            <w:r>
              <w:rPr>
                <w:rFonts w:hint="eastAsia" w:ascii="宋体" w:hAnsi="宋体" w:cs="宋体"/>
                <w:color w:val="auto"/>
                <w:sz w:val="22"/>
                <w:szCs w:val="22"/>
                <w:highlight w:val="none"/>
              </w:rPr>
              <w:t>6</w:t>
            </w:r>
          </w:p>
        </w:tc>
        <w:tc>
          <w:tcPr>
            <w:tcW w:w="1667" w:type="dxa"/>
            <w:tcBorders>
              <w:top w:val="single" w:color="080000" w:sz="4" w:space="0"/>
              <w:left w:val="single" w:color="080000" w:sz="4" w:space="0"/>
              <w:bottom w:val="single" w:color="080000" w:sz="4" w:space="0"/>
              <w:right w:val="single" w:color="080000" w:sz="4" w:space="0"/>
            </w:tcBorders>
            <w:noWrap/>
            <w:vAlign w:val="center"/>
          </w:tcPr>
          <w:p w14:paraId="7F42E1A8">
            <w:pPr>
              <w:wordWrap w:val="0"/>
              <w:adjustRightInd w:val="0"/>
              <w:snapToGrid w:val="0"/>
              <w:spacing w:line="360" w:lineRule="exact"/>
              <w:jc w:val="center"/>
              <w:rPr>
                <w:rFonts w:ascii="宋体"/>
                <w:snapToGrid w:val="0"/>
                <w:color w:val="auto"/>
                <w:kern w:val="0"/>
                <w:sz w:val="22"/>
                <w:szCs w:val="22"/>
                <w:highlight w:val="none"/>
              </w:rPr>
            </w:pPr>
            <w:r>
              <w:rPr>
                <w:rFonts w:hint="eastAsia" w:ascii="宋体"/>
                <w:snapToGrid w:val="0"/>
                <w:color w:val="auto"/>
                <w:kern w:val="0"/>
                <w:sz w:val="22"/>
                <w:szCs w:val="22"/>
                <w:highlight w:val="none"/>
              </w:rPr>
              <w:t>电子投标</w:t>
            </w:r>
          </w:p>
          <w:p w14:paraId="62B3306E">
            <w:pPr>
              <w:wordWrap w:val="0"/>
              <w:adjustRightInd w:val="0"/>
              <w:snapToGrid w:val="0"/>
              <w:spacing w:line="360" w:lineRule="exact"/>
              <w:jc w:val="center"/>
              <w:rPr>
                <w:rFonts w:hint="eastAsia" w:ascii="宋体" w:hAnsi="宋体" w:cs="Tahoma"/>
                <w:color w:val="auto"/>
                <w:sz w:val="22"/>
                <w:szCs w:val="22"/>
                <w:highlight w:val="none"/>
              </w:rPr>
            </w:pPr>
            <w:r>
              <w:rPr>
                <w:rFonts w:hint="eastAsia" w:ascii="宋体"/>
                <w:snapToGrid w:val="0"/>
                <w:color w:val="auto"/>
                <w:kern w:val="0"/>
                <w:sz w:val="22"/>
                <w:szCs w:val="22"/>
                <w:highlight w:val="none"/>
              </w:rPr>
              <w:t>截止时间</w:t>
            </w:r>
          </w:p>
        </w:tc>
        <w:tc>
          <w:tcPr>
            <w:tcW w:w="7333" w:type="dxa"/>
            <w:tcBorders>
              <w:top w:val="single" w:color="080000" w:sz="4" w:space="0"/>
              <w:left w:val="single" w:color="080000" w:sz="4" w:space="0"/>
              <w:bottom w:val="single" w:color="080000" w:sz="4" w:space="0"/>
              <w:right w:val="single" w:color="080000" w:sz="4" w:space="0"/>
            </w:tcBorders>
            <w:noWrap/>
            <w:vAlign w:val="center"/>
          </w:tcPr>
          <w:p w14:paraId="02D1D8BD">
            <w:pPr>
              <w:snapToGrid w:val="0"/>
              <w:ind w:left="105" w:leftChars="50"/>
              <w:jc w:val="left"/>
              <w:rPr>
                <w:rFonts w:hint="eastAsia" w:ascii="宋体" w:hAnsi="宋体" w:cs="Tahoma"/>
                <w:color w:val="auto"/>
                <w:sz w:val="22"/>
                <w:szCs w:val="22"/>
                <w:highlight w:val="none"/>
              </w:rPr>
            </w:pPr>
            <w:r>
              <w:rPr>
                <w:rFonts w:hint="eastAsia" w:ascii="宋体" w:hAnsi="宋体" w:cs="宋体"/>
                <w:color w:val="auto"/>
                <w:kern w:val="0"/>
                <w:sz w:val="22"/>
                <w:szCs w:val="22"/>
                <w:highlight w:val="none"/>
                <w:u w:val="single"/>
              </w:rPr>
              <w:t>2026</w:t>
            </w:r>
            <w:r>
              <w:rPr>
                <w:rFonts w:hint="eastAsia" w:ascii="宋体" w:hAnsi="宋体" w:cs="宋体"/>
                <w:color w:val="auto"/>
                <w:kern w:val="0"/>
                <w:sz w:val="22"/>
                <w:szCs w:val="22"/>
                <w:highlight w:val="none"/>
              </w:rPr>
              <w:t>年</w:t>
            </w:r>
            <w:r>
              <w:rPr>
                <w:rFonts w:hint="eastAsia" w:ascii="宋体" w:hAnsi="宋体" w:eastAsia="宋体" w:cs="宋体"/>
                <w:color w:val="auto"/>
                <w:kern w:val="0"/>
                <w:sz w:val="22"/>
                <w:szCs w:val="22"/>
                <w:highlight w:val="none"/>
                <w:u w:val="single"/>
                <w:lang w:val="en-US" w:eastAsia="zh-CN"/>
              </w:rPr>
              <w:t xml:space="preserve"> 7 </w:t>
            </w:r>
            <w:r>
              <w:rPr>
                <w:rFonts w:hint="eastAsia" w:ascii="宋体" w:hAnsi="宋体" w:cs="宋体"/>
                <w:color w:val="auto"/>
                <w:kern w:val="0"/>
                <w:sz w:val="22"/>
                <w:szCs w:val="22"/>
                <w:highlight w:val="none"/>
              </w:rPr>
              <w:t>月</w:t>
            </w:r>
            <w:r>
              <w:rPr>
                <w:rFonts w:hint="eastAsia" w:ascii="宋体" w:hAnsi="宋体" w:eastAsia="宋体" w:cs="宋体"/>
                <w:color w:val="auto"/>
                <w:kern w:val="0"/>
                <w:sz w:val="22"/>
                <w:szCs w:val="22"/>
                <w:highlight w:val="none"/>
                <w:u w:val="single"/>
                <w:lang w:val="en-US" w:eastAsia="zh-CN"/>
              </w:rPr>
              <w:t xml:space="preserve"> 30 </w:t>
            </w:r>
            <w:r>
              <w:rPr>
                <w:rFonts w:hint="eastAsia" w:ascii="宋体" w:hAnsi="宋体" w:cs="宋体"/>
                <w:color w:val="auto"/>
                <w:kern w:val="0"/>
                <w:sz w:val="22"/>
                <w:szCs w:val="22"/>
                <w:highlight w:val="none"/>
              </w:rPr>
              <w:t>日</w:t>
            </w:r>
            <w:r>
              <w:rPr>
                <w:rFonts w:hint="eastAsia" w:ascii="宋体" w:hAnsi="宋体" w:eastAsia="宋体" w:cs="宋体"/>
                <w:color w:val="auto"/>
                <w:kern w:val="0"/>
                <w:sz w:val="22"/>
                <w:szCs w:val="22"/>
                <w:highlight w:val="none"/>
                <w:u w:val="single"/>
                <w:lang w:val="en-US" w:eastAsia="zh-CN"/>
              </w:rPr>
              <w:t xml:space="preserve"> 10 </w:t>
            </w:r>
            <w:r>
              <w:rPr>
                <w:rFonts w:hint="eastAsia" w:ascii="宋体" w:hAnsi="宋体" w:cs="宋体"/>
                <w:color w:val="auto"/>
                <w:kern w:val="0"/>
                <w:sz w:val="22"/>
                <w:szCs w:val="22"/>
                <w:highlight w:val="none"/>
              </w:rPr>
              <w:t>时</w:t>
            </w:r>
            <w:r>
              <w:rPr>
                <w:rFonts w:hint="eastAsia" w:ascii="宋体" w:hAnsi="宋体" w:eastAsia="宋体" w:cs="宋体"/>
                <w:color w:val="auto"/>
                <w:kern w:val="0"/>
                <w:sz w:val="22"/>
                <w:szCs w:val="22"/>
                <w:highlight w:val="none"/>
                <w:u w:val="single"/>
                <w:lang w:val="en-US" w:eastAsia="zh-CN"/>
              </w:rPr>
              <w:t xml:space="preserve"> 00 </w:t>
            </w:r>
            <w:r>
              <w:rPr>
                <w:rFonts w:hint="eastAsia" w:ascii="宋体" w:hAnsi="宋体" w:cs="宋体"/>
                <w:color w:val="auto"/>
                <w:kern w:val="0"/>
                <w:sz w:val="22"/>
                <w:szCs w:val="22"/>
                <w:highlight w:val="none"/>
              </w:rPr>
              <w:t>分</w:t>
            </w:r>
          </w:p>
        </w:tc>
      </w:tr>
      <w:tr w14:paraId="3783941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608" w:hRule="atLeast"/>
          <w:jc w:val="center"/>
        </w:trPr>
        <w:tc>
          <w:tcPr>
            <w:tcW w:w="458" w:type="dxa"/>
            <w:tcBorders>
              <w:top w:val="single" w:color="080000" w:sz="4" w:space="0"/>
              <w:left w:val="single" w:color="080000" w:sz="4" w:space="0"/>
              <w:bottom w:val="single" w:color="080000" w:sz="4" w:space="0"/>
              <w:right w:val="single" w:color="080000" w:sz="4" w:space="0"/>
            </w:tcBorders>
            <w:noWrap/>
            <w:vAlign w:val="center"/>
          </w:tcPr>
          <w:p w14:paraId="2463296A">
            <w:pPr>
              <w:wordWrap w:val="0"/>
              <w:adjustRightInd w:val="0"/>
              <w:snapToGrid w:val="0"/>
              <w:spacing w:line="400" w:lineRule="exact"/>
              <w:jc w:val="center"/>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val="en-US" w:eastAsia="zh-CN"/>
              </w:rPr>
              <w:t>7</w:t>
            </w:r>
          </w:p>
        </w:tc>
        <w:tc>
          <w:tcPr>
            <w:tcW w:w="1667" w:type="dxa"/>
            <w:tcBorders>
              <w:top w:val="single" w:color="080000" w:sz="4" w:space="0"/>
              <w:left w:val="single" w:color="080000" w:sz="4" w:space="0"/>
              <w:bottom w:val="single" w:color="080000" w:sz="4" w:space="0"/>
              <w:right w:val="single" w:color="080000" w:sz="4" w:space="0"/>
            </w:tcBorders>
            <w:noWrap/>
            <w:vAlign w:val="center"/>
          </w:tcPr>
          <w:p w14:paraId="2F14912A">
            <w:pPr>
              <w:wordWrap w:val="0"/>
              <w:adjustRightInd w:val="0"/>
              <w:snapToGrid w:val="0"/>
              <w:spacing w:line="400" w:lineRule="exact"/>
              <w:jc w:val="center"/>
              <w:rPr>
                <w:rFonts w:hint="eastAsia" w:ascii="宋体" w:hAnsi="宋体" w:cs="Tahoma"/>
                <w:color w:val="auto"/>
                <w:sz w:val="20"/>
                <w:szCs w:val="22"/>
                <w:highlight w:val="none"/>
              </w:rPr>
            </w:pPr>
            <w:r>
              <w:rPr>
                <w:rFonts w:hint="eastAsia" w:ascii="宋体"/>
                <w:snapToGrid w:val="0"/>
                <w:color w:val="auto"/>
                <w:kern w:val="0"/>
                <w:sz w:val="22"/>
                <w:szCs w:val="22"/>
                <w:highlight w:val="none"/>
              </w:rPr>
              <w:t>开标时间</w:t>
            </w:r>
          </w:p>
        </w:tc>
        <w:tc>
          <w:tcPr>
            <w:tcW w:w="7333" w:type="dxa"/>
            <w:tcBorders>
              <w:top w:val="single" w:color="080000" w:sz="4" w:space="0"/>
              <w:left w:val="single" w:color="080000" w:sz="4" w:space="0"/>
              <w:bottom w:val="single" w:color="080000" w:sz="4" w:space="0"/>
              <w:right w:val="single" w:color="080000" w:sz="4" w:space="0"/>
            </w:tcBorders>
            <w:noWrap/>
            <w:vAlign w:val="center"/>
          </w:tcPr>
          <w:p w14:paraId="5584DD70">
            <w:pPr>
              <w:wordWrap w:val="0"/>
              <w:adjustRightInd w:val="0"/>
              <w:snapToGrid w:val="0"/>
              <w:ind w:left="105" w:leftChars="50"/>
              <w:rPr>
                <w:rFonts w:hint="eastAsia" w:ascii="宋体" w:hAnsi="宋体" w:cs="Tahoma"/>
                <w:color w:val="auto"/>
                <w:sz w:val="20"/>
                <w:szCs w:val="22"/>
                <w:highlight w:val="none"/>
              </w:rPr>
            </w:pPr>
            <w:r>
              <w:rPr>
                <w:rFonts w:hint="eastAsia" w:ascii="宋体" w:hAnsi="宋体" w:cs="宋体"/>
                <w:color w:val="auto"/>
                <w:kern w:val="0"/>
                <w:sz w:val="22"/>
                <w:szCs w:val="22"/>
                <w:highlight w:val="none"/>
                <w:u w:val="single"/>
              </w:rPr>
              <w:t>2026</w:t>
            </w:r>
            <w:r>
              <w:rPr>
                <w:rFonts w:hint="eastAsia" w:ascii="宋体" w:hAnsi="宋体" w:cs="宋体"/>
                <w:color w:val="auto"/>
                <w:kern w:val="0"/>
                <w:sz w:val="22"/>
                <w:szCs w:val="22"/>
                <w:highlight w:val="none"/>
              </w:rPr>
              <w:t>年</w:t>
            </w:r>
            <w:r>
              <w:rPr>
                <w:rFonts w:hint="eastAsia" w:ascii="宋体" w:hAnsi="宋体" w:eastAsia="宋体" w:cs="宋体"/>
                <w:color w:val="auto"/>
                <w:kern w:val="0"/>
                <w:sz w:val="22"/>
                <w:szCs w:val="22"/>
                <w:highlight w:val="none"/>
                <w:u w:val="single"/>
                <w:lang w:val="en-US" w:eastAsia="zh-CN"/>
              </w:rPr>
              <w:t xml:space="preserve"> 7 </w:t>
            </w:r>
            <w:r>
              <w:rPr>
                <w:rFonts w:hint="eastAsia" w:ascii="宋体" w:hAnsi="宋体" w:cs="宋体"/>
                <w:color w:val="auto"/>
                <w:kern w:val="0"/>
                <w:sz w:val="22"/>
                <w:szCs w:val="22"/>
                <w:highlight w:val="none"/>
              </w:rPr>
              <w:t>月</w:t>
            </w:r>
            <w:r>
              <w:rPr>
                <w:rFonts w:hint="eastAsia" w:ascii="宋体" w:hAnsi="宋体" w:eastAsia="宋体" w:cs="宋体"/>
                <w:color w:val="auto"/>
                <w:kern w:val="0"/>
                <w:sz w:val="22"/>
                <w:szCs w:val="22"/>
                <w:highlight w:val="none"/>
                <w:u w:val="single"/>
                <w:lang w:val="en-US" w:eastAsia="zh-CN"/>
              </w:rPr>
              <w:t xml:space="preserve"> 30 </w:t>
            </w:r>
            <w:r>
              <w:rPr>
                <w:rFonts w:hint="eastAsia" w:ascii="宋体" w:hAnsi="宋体" w:cs="宋体"/>
                <w:color w:val="auto"/>
                <w:kern w:val="0"/>
                <w:sz w:val="22"/>
                <w:szCs w:val="22"/>
                <w:highlight w:val="none"/>
              </w:rPr>
              <w:t>日</w:t>
            </w:r>
            <w:r>
              <w:rPr>
                <w:rFonts w:hint="eastAsia" w:ascii="宋体" w:hAnsi="宋体" w:eastAsia="宋体" w:cs="宋体"/>
                <w:color w:val="auto"/>
                <w:kern w:val="0"/>
                <w:sz w:val="22"/>
                <w:szCs w:val="22"/>
                <w:highlight w:val="none"/>
                <w:u w:val="single"/>
                <w:lang w:val="en-US" w:eastAsia="zh-CN"/>
              </w:rPr>
              <w:t xml:space="preserve"> 10 </w:t>
            </w:r>
            <w:r>
              <w:rPr>
                <w:rFonts w:hint="eastAsia" w:ascii="宋体" w:hAnsi="宋体" w:cs="宋体"/>
                <w:color w:val="auto"/>
                <w:kern w:val="0"/>
                <w:sz w:val="22"/>
                <w:szCs w:val="22"/>
                <w:highlight w:val="none"/>
              </w:rPr>
              <w:t>时</w:t>
            </w:r>
            <w:r>
              <w:rPr>
                <w:rFonts w:hint="eastAsia" w:ascii="宋体" w:hAnsi="宋体" w:eastAsia="宋体" w:cs="宋体"/>
                <w:color w:val="auto"/>
                <w:kern w:val="0"/>
                <w:sz w:val="22"/>
                <w:szCs w:val="22"/>
                <w:highlight w:val="none"/>
                <w:u w:val="single"/>
                <w:lang w:val="en-US" w:eastAsia="zh-CN"/>
              </w:rPr>
              <w:t xml:space="preserve"> 00 </w:t>
            </w:r>
            <w:r>
              <w:rPr>
                <w:rFonts w:hint="eastAsia" w:ascii="宋体" w:hAnsi="宋体" w:cs="宋体"/>
                <w:color w:val="auto"/>
                <w:kern w:val="0"/>
                <w:sz w:val="22"/>
                <w:szCs w:val="22"/>
                <w:highlight w:val="none"/>
              </w:rPr>
              <w:t>分</w:t>
            </w:r>
          </w:p>
        </w:tc>
      </w:tr>
      <w:tr w14:paraId="76CA9D4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378" w:hRule="atLeast"/>
          <w:jc w:val="center"/>
        </w:trPr>
        <w:tc>
          <w:tcPr>
            <w:tcW w:w="458" w:type="dxa"/>
            <w:tcBorders>
              <w:top w:val="single" w:color="080000" w:sz="4" w:space="0"/>
              <w:left w:val="single" w:color="080000" w:sz="4" w:space="0"/>
              <w:bottom w:val="single" w:color="080000" w:sz="4" w:space="0"/>
              <w:right w:val="single" w:color="080000" w:sz="4" w:space="0"/>
            </w:tcBorders>
            <w:noWrap/>
            <w:vAlign w:val="center"/>
          </w:tcPr>
          <w:p w14:paraId="41F1F47E">
            <w:pPr>
              <w:wordWrap w:val="0"/>
              <w:adjustRightInd w:val="0"/>
              <w:snapToGrid w:val="0"/>
              <w:spacing w:line="360" w:lineRule="exact"/>
              <w:jc w:val="center"/>
              <w:rPr>
                <w:rFonts w:hint="eastAsia" w:ascii="宋体" w:hAnsi="宋体" w:eastAsia="宋体" w:cs="宋体"/>
                <w:color w:val="auto"/>
                <w:sz w:val="22"/>
                <w:szCs w:val="22"/>
                <w:highlight w:val="none"/>
                <w:lang w:eastAsia="zh-CN"/>
              </w:rPr>
            </w:pPr>
            <w:r>
              <w:rPr>
                <w:rFonts w:hint="eastAsia" w:ascii="宋体" w:hAnsi="宋体" w:eastAsia="宋体" w:cs="宋体"/>
                <w:snapToGrid w:val="0"/>
                <w:color w:val="auto"/>
                <w:kern w:val="0"/>
                <w:sz w:val="22"/>
                <w:szCs w:val="22"/>
                <w:highlight w:val="none"/>
                <w:lang w:val="en-US" w:eastAsia="zh-CN"/>
              </w:rPr>
              <w:t>8</w:t>
            </w:r>
          </w:p>
        </w:tc>
        <w:tc>
          <w:tcPr>
            <w:tcW w:w="1667" w:type="dxa"/>
            <w:tcBorders>
              <w:top w:val="single" w:color="080000" w:sz="4" w:space="0"/>
              <w:left w:val="single" w:color="080000" w:sz="4" w:space="0"/>
              <w:bottom w:val="single" w:color="080000" w:sz="4" w:space="0"/>
              <w:right w:val="single" w:color="080000" w:sz="4" w:space="0"/>
            </w:tcBorders>
            <w:noWrap/>
            <w:vAlign w:val="center"/>
          </w:tcPr>
          <w:p w14:paraId="49165656">
            <w:pPr>
              <w:wordWrap w:val="0"/>
              <w:adjustRightInd w:val="0"/>
              <w:snapToGrid w:val="0"/>
              <w:spacing w:line="360" w:lineRule="exact"/>
              <w:jc w:val="center"/>
              <w:rPr>
                <w:rFonts w:hint="eastAsia" w:ascii="宋体" w:hAnsi="宋体" w:cs="Tahoma"/>
                <w:color w:val="auto"/>
                <w:sz w:val="22"/>
                <w:szCs w:val="22"/>
                <w:highlight w:val="none"/>
              </w:rPr>
            </w:pPr>
            <w:r>
              <w:rPr>
                <w:rFonts w:hint="eastAsia" w:ascii="宋体" w:hAnsi="宋体" w:cs="宋体"/>
                <w:snapToGrid w:val="0"/>
                <w:color w:val="auto"/>
                <w:kern w:val="0"/>
                <w:sz w:val="22"/>
                <w:szCs w:val="22"/>
                <w:highlight w:val="none"/>
              </w:rPr>
              <w:t xml:space="preserve">开标地点 </w:t>
            </w:r>
          </w:p>
        </w:tc>
        <w:tc>
          <w:tcPr>
            <w:tcW w:w="7333" w:type="dxa"/>
            <w:tcBorders>
              <w:top w:val="single" w:color="080000" w:sz="4" w:space="0"/>
              <w:left w:val="single" w:color="080000" w:sz="4" w:space="0"/>
              <w:bottom w:val="single" w:color="080000" w:sz="4" w:space="0"/>
              <w:right w:val="single" w:color="080000" w:sz="4" w:space="0"/>
            </w:tcBorders>
            <w:noWrap/>
            <w:vAlign w:val="center"/>
          </w:tcPr>
          <w:p w14:paraId="3418DFCF">
            <w:pPr>
              <w:widowControl/>
              <w:snapToGrid w:val="0"/>
              <w:spacing w:line="360" w:lineRule="auto"/>
              <w:ind w:left="105" w:leftChars="50"/>
              <w:jc w:val="left"/>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开标场所：韶关市公共资源交易中心</w:t>
            </w:r>
          </w:p>
          <w:p w14:paraId="037729CF">
            <w:pPr>
              <w:widowControl/>
              <w:snapToGrid w:val="0"/>
              <w:spacing w:line="360" w:lineRule="auto"/>
              <w:ind w:left="105" w:leftChars="50"/>
              <w:jc w:val="left"/>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地址：韶关市公共资源交易中心乐昌分中心（地址：乐昌市昌山北路23号），具体开标室以当日现场通知为准。</w:t>
            </w:r>
          </w:p>
        </w:tc>
      </w:tr>
      <w:tr w14:paraId="0199A92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844" w:hRule="exact"/>
          <w:jc w:val="center"/>
        </w:trPr>
        <w:tc>
          <w:tcPr>
            <w:tcW w:w="458" w:type="dxa"/>
            <w:tcBorders>
              <w:top w:val="single" w:color="080000" w:sz="4" w:space="0"/>
              <w:left w:val="single" w:color="080000" w:sz="4" w:space="0"/>
              <w:bottom w:val="single" w:color="080000" w:sz="4" w:space="0"/>
              <w:right w:val="single" w:color="080000" w:sz="4" w:space="0"/>
            </w:tcBorders>
            <w:noWrap/>
            <w:vAlign w:val="center"/>
          </w:tcPr>
          <w:p w14:paraId="6C616D6F">
            <w:pPr>
              <w:widowControl/>
              <w:snapToGrid w:val="0"/>
              <w:spacing w:line="400" w:lineRule="exact"/>
              <w:jc w:val="center"/>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val="en-US" w:eastAsia="zh-CN"/>
              </w:rPr>
              <w:t>9</w:t>
            </w:r>
          </w:p>
        </w:tc>
        <w:tc>
          <w:tcPr>
            <w:tcW w:w="1667" w:type="dxa"/>
            <w:tcBorders>
              <w:top w:val="single" w:color="080000" w:sz="4" w:space="0"/>
              <w:left w:val="single" w:color="080000" w:sz="4" w:space="0"/>
              <w:bottom w:val="single" w:color="080000" w:sz="4" w:space="0"/>
              <w:right w:val="single" w:color="080000" w:sz="4" w:space="0"/>
            </w:tcBorders>
            <w:noWrap/>
            <w:vAlign w:val="center"/>
          </w:tcPr>
          <w:p w14:paraId="09A00D1D">
            <w:pPr>
              <w:widowControl/>
              <w:snapToGrid w:val="0"/>
              <w:spacing w:line="360" w:lineRule="exact"/>
              <w:jc w:val="center"/>
              <w:rPr>
                <w:rFonts w:hint="eastAsia" w:hAnsi="宋体" w:cs="宋体"/>
                <w:color w:val="auto"/>
                <w:sz w:val="22"/>
                <w:szCs w:val="22"/>
                <w:highlight w:val="none"/>
              </w:rPr>
            </w:pPr>
            <w:r>
              <w:rPr>
                <w:rFonts w:hAnsi="宋体" w:cs="宋体"/>
                <w:color w:val="auto"/>
                <w:sz w:val="22"/>
                <w:szCs w:val="22"/>
                <w:highlight w:val="none"/>
              </w:rPr>
              <w:t>交易场所</w:t>
            </w:r>
          </w:p>
          <w:p w14:paraId="781F8546">
            <w:pPr>
              <w:widowControl/>
              <w:snapToGrid w:val="0"/>
              <w:spacing w:line="360" w:lineRule="exact"/>
              <w:jc w:val="center"/>
              <w:rPr>
                <w:rFonts w:hint="eastAsia" w:hAnsi="宋体" w:cs="Tahoma"/>
                <w:color w:val="auto"/>
                <w:sz w:val="22"/>
                <w:szCs w:val="22"/>
                <w:highlight w:val="none"/>
              </w:rPr>
            </w:pPr>
            <w:r>
              <w:rPr>
                <w:rFonts w:hAnsi="宋体" w:cs="宋体"/>
                <w:color w:val="auto"/>
                <w:sz w:val="22"/>
                <w:szCs w:val="22"/>
                <w:highlight w:val="none"/>
              </w:rPr>
              <w:t xml:space="preserve">联系方式 </w:t>
            </w:r>
          </w:p>
        </w:tc>
        <w:tc>
          <w:tcPr>
            <w:tcW w:w="7333" w:type="dxa"/>
            <w:tcBorders>
              <w:top w:val="single" w:color="080000" w:sz="4" w:space="0"/>
              <w:left w:val="single" w:color="080000" w:sz="4" w:space="0"/>
              <w:bottom w:val="single" w:color="080000" w:sz="4" w:space="0"/>
              <w:right w:val="single" w:color="080000" w:sz="4" w:space="0"/>
            </w:tcBorders>
            <w:noWrap/>
            <w:vAlign w:val="center"/>
          </w:tcPr>
          <w:p w14:paraId="43EDC1D2">
            <w:pPr>
              <w:widowControl/>
              <w:snapToGrid w:val="0"/>
              <w:spacing w:line="360" w:lineRule="auto"/>
              <w:ind w:left="105" w:leftChars="50"/>
              <w:jc w:val="left"/>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单位名称：韶关市公共资源交易中心</w:t>
            </w:r>
          </w:p>
          <w:p w14:paraId="0CAD9E67">
            <w:pPr>
              <w:widowControl/>
              <w:snapToGrid w:val="0"/>
              <w:spacing w:line="360" w:lineRule="auto"/>
              <w:ind w:left="105" w:leftChars="50"/>
              <w:jc w:val="left"/>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办公地址：乐昌市昌山北路23号韶关市公共资源交易中心乐昌分中心</w:t>
            </w:r>
          </w:p>
          <w:p w14:paraId="7BED7A09">
            <w:pPr>
              <w:widowControl/>
              <w:snapToGrid w:val="0"/>
              <w:spacing w:line="360" w:lineRule="auto"/>
              <w:ind w:left="105" w:leftChars="50"/>
              <w:jc w:val="left"/>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联系人（部门）：工程交易部</w:t>
            </w:r>
          </w:p>
          <w:p w14:paraId="053A7BAD">
            <w:pPr>
              <w:widowControl/>
              <w:snapToGrid w:val="0"/>
              <w:spacing w:line="360" w:lineRule="auto"/>
              <w:ind w:left="105" w:leftChars="50"/>
              <w:jc w:val="left"/>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联系电话：0751-5570106</w:t>
            </w:r>
          </w:p>
        </w:tc>
      </w:tr>
      <w:tr w14:paraId="20ECCDA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251" w:hRule="exact"/>
          <w:jc w:val="center"/>
        </w:trPr>
        <w:tc>
          <w:tcPr>
            <w:tcW w:w="9458" w:type="dxa"/>
            <w:gridSpan w:val="3"/>
            <w:tcBorders>
              <w:top w:val="single" w:color="080000" w:sz="4" w:space="0"/>
              <w:left w:val="single" w:color="080000" w:sz="4" w:space="0"/>
              <w:bottom w:val="single" w:color="080000" w:sz="4" w:space="0"/>
              <w:right w:val="single" w:color="080000" w:sz="4" w:space="0"/>
            </w:tcBorders>
            <w:noWrap/>
            <w:vAlign w:val="center"/>
          </w:tcPr>
          <w:p w14:paraId="0D597BD7">
            <w:pPr>
              <w:wordWrap w:val="0"/>
              <w:adjustRightInd w:val="0"/>
              <w:snapToGrid w:val="0"/>
              <w:spacing w:line="400" w:lineRule="exact"/>
              <w:ind w:left="105" w:leftChars="50"/>
              <w:jc w:val="left"/>
              <w:rPr>
                <w:rFonts w:hint="eastAsia" w:ascii="宋体" w:hAnsi="宋体" w:cs="Tahoma"/>
                <w:color w:val="auto"/>
                <w:sz w:val="20"/>
                <w:szCs w:val="22"/>
                <w:highlight w:val="none"/>
              </w:rPr>
            </w:pPr>
            <w:r>
              <w:rPr>
                <w:rFonts w:hint="eastAsia" w:ascii="宋体" w:hAnsi="宋体" w:cs="宋体"/>
                <w:color w:val="auto"/>
                <w:sz w:val="22"/>
                <w:szCs w:val="22"/>
                <w:highlight w:val="none"/>
              </w:rPr>
              <w:t>备注：投标人应按有关计划时间安排办理企业CA认证、企业入库等，获取招标文件后自行下载招标文件、资料文件及招标答疑书等。若由于投标人自身原因未能及时取得上述资料的，由此发生的任何责任由投标人自负。</w:t>
            </w:r>
          </w:p>
        </w:tc>
      </w:tr>
    </w:tbl>
    <w:p w14:paraId="42B48825">
      <w:pPr>
        <w:spacing w:line="228" w:lineRule="auto"/>
        <w:rPr>
          <w:rFonts w:ascii="宋体" w:hAnsi="宋体" w:eastAsia="宋体" w:cs="宋体"/>
          <w:color w:val="auto"/>
          <w:sz w:val="18"/>
          <w:szCs w:val="18"/>
          <w:highlight w:val="none"/>
        </w:rPr>
        <w:sectPr>
          <w:footerReference r:id="rId11" w:type="default"/>
          <w:pgSz w:w="11906" w:h="16839"/>
          <w:pgMar w:top="1416" w:right="1490" w:bottom="1297" w:left="1304" w:header="0" w:footer="1069" w:gutter="0"/>
          <w:pgNumType w:fmt="decimal"/>
          <w:cols w:space="720" w:num="1"/>
        </w:sectPr>
      </w:pPr>
    </w:p>
    <w:p w14:paraId="22DE4BA8">
      <w:pPr>
        <w:spacing w:line="241" w:lineRule="auto"/>
        <w:rPr>
          <w:rFonts w:ascii="Arial"/>
          <w:color w:val="auto"/>
          <w:sz w:val="21"/>
          <w:highlight w:val="none"/>
        </w:rPr>
      </w:pPr>
    </w:p>
    <w:p w14:paraId="1DA33A13">
      <w:pPr>
        <w:spacing w:line="241" w:lineRule="auto"/>
        <w:rPr>
          <w:rFonts w:ascii="Arial"/>
          <w:color w:val="auto"/>
          <w:sz w:val="21"/>
          <w:highlight w:val="none"/>
        </w:rPr>
      </w:pPr>
    </w:p>
    <w:p w14:paraId="0EEDD7EB">
      <w:pPr>
        <w:spacing w:line="242" w:lineRule="auto"/>
        <w:rPr>
          <w:rFonts w:ascii="Arial"/>
          <w:color w:val="auto"/>
          <w:sz w:val="21"/>
          <w:highlight w:val="none"/>
        </w:rPr>
      </w:pPr>
    </w:p>
    <w:p w14:paraId="13BE4C45">
      <w:pPr>
        <w:spacing w:line="242" w:lineRule="auto"/>
        <w:rPr>
          <w:rFonts w:ascii="Arial"/>
          <w:color w:val="auto"/>
          <w:sz w:val="21"/>
          <w:highlight w:val="none"/>
        </w:rPr>
      </w:pPr>
    </w:p>
    <w:p w14:paraId="06F260DF">
      <w:pPr>
        <w:spacing w:line="242" w:lineRule="auto"/>
        <w:rPr>
          <w:rFonts w:ascii="Arial"/>
          <w:color w:val="auto"/>
          <w:sz w:val="21"/>
          <w:highlight w:val="none"/>
        </w:rPr>
      </w:pPr>
    </w:p>
    <w:p w14:paraId="6B399E29">
      <w:pPr>
        <w:spacing w:line="242" w:lineRule="auto"/>
        <w:rPr>
          <w:rFonts w:ascii="Arial"/>
          <w:color w:val="auto"/>
          <w:sz w:val="21"/>
          <w:highlight w:val="none"/>
        </w:rPr>
      </w:pPr>
    </w:p>
    <w:p w14:paraId="431BA1AF">
      <w:pPr>
        <w:spacing w:line="242" w:lineRule="auto"/>
        <w:rPr>
          <w:rFonts w:ascii="Arial"/>
          <w:color w:val="auto"/>
          <w:sz w:val="21"/>
          <w:highlight w:val="none"/>
        </w:rPr>
      </w:pPr>
    </w:p>
    <w:p w14:paraId="575C3BAF">
      <w:pPr>
        <w:spacing w:line="242" w:lineRule="auto"/>
        <w:rPr>
          <w:rFonts w:ascii="Arial"/>
          <w:color w:val="auto"/>
          <w:sz w:val="21"/>
          <w:highlight w:val="none"/>
        </w:rPr>
      </w:pPr>
    </w:p>
    <w:p w14:paraId="34927B86">
      <w:pPr>
        <w:spacing w:line="242" w:lineRule="auto"/>
        <w:rPr>
          <w:rFonts w:ascii="Arial"/>
          <w:color w:val="auto"/>
          <w:sz w:val="21"/>
          <w:highlight w:val="none"/>
        </w:rPr>
      </w:pPr>
    </w:p>
    <w:p w14:paraId="783BD87C">
      <w:pPr>
        <w:spacing w:line="242" w:lineRule="auto"/>
        <w:rPr>
          <w:rFonts w:ascii="Arial"/>
          <w:color w:val="auto"/>
          <w:sz w:val="21"/>
          <w:highlight w:val="none"/>
        </w:rPr>
      </w:pPr>
    </w:p>
    <w:p w14:paraId="49CF7ED3">
      <w:pPr>
        <w:spacing w:line="242" w:lineRule="auto"/>
        <w:rPr>
          <w:rFonts w:ascii="Arial"/>
          <w:color w:val="auto"/>
          <w:sz w:val="21"/>
          <w:highlight w:val="none"/>
        </w:rPr>
      </w:pPr>
    </w:p>
    <w:p w14:paraId="1FCD1075">
      <w:pPr>
        <w:spacing w:line="242" w:lineRule="auto"/>
        <w:rPr>
          <w:rFonts w:ascii="Arial"/>
          <w:color w:val="auto"/>
          <w:sz w:val="21"/>
          <w:highlight w:val="none"/>
        </w:rPr>
      </w:pPr>
    </w:p>
    <w:p w14:paraId="5C3EF03C">
      <w:pPr>
        <w:spacing w:line="242" w:lineRule="auto"/>
        <w:rPr>
          <w:rFonts w:ascii="Arial"/>
          <w:color w:val="auto"/>
          <w:sz w:val="21"/>
          <w:highlight w:val="none"/>
        </w:rPr>
      </w:pPr>
    </w:p>
    <w:p w14:paraId="0BE1CDE5">
      <w:pPr>
        <w:spacing w:line="242" w:lineRule="auto"/>
        <w:rPr>
          <w:rFonts w:ascii="Arial"/>
          <w:color w:val="auto"/>
          <w:sz w:val="21"/>
          <w:highlight w:val="none"/>
        </w:rPr>
      </w:pPr>
    </w:p>
    <w:p w14:paraId="32E4FE27">
      <w:pPr>
        <w:spacing w:line="242" w:lineRule="auto"/>
        <w:rPr>
          <w:rFonts w:ascii="Arial"/>
          <w:color w:val="auto"/>
          <w:sz w:val="21"/>
          <w:highlight w:val="none"/>
        </w:rPr>
      </w:pPr>
    </w:p>
    <w:p w14:paraId="6C5AEA8F">
      <w:pPr>
        <w:spacing w:line="242" w:lineRule="auto"/>
        <w:rPr>
          <w:rFonts w:ascii="Arial"/>
          <w:color w:val="auto"/>
          <w:sz w:val="21"/>
          <w:highlight w:val="none"/>
        </w:rPr>
      </w:pPr>
    </w:p>
    <w:p w14:paraId="21E7A135">
      <w:pPr>
        <w:spacing w:line="242" w:lineRule="auto"/>
        <w:rPr>
          <w:rFonts w:ascii="Arial"/>
          <w:color w:val="auto"/>
          <w:sz w:val="21"/>
          <w:highlight w:val="none"/>
        </w:rPr>
      </w:pPr>
    </w:p>
    <w:p w14:paraId="1F8EA134">
      <w:pPr>
        <w:spacing w:before="169" w:line="219" w:lineRule="auto"/>
        <w:ind w:left="1839"/>
        <w:outlineLvl w:val="0"/>
        <w:rPr>
          <w:rFonts w:ascii="宋体" w:hAnsi="宋体" w:eastAsia="宋体" w:cs="宋体"/>
          <w:color w:val="auto"/>
          <w:sz w:val="52"/>
          <w:szCs w:val="52"/>
          <w:highlight w:val="none"/>
        </w:rPr>
      </w:pPr>
      <w:bookmarkStart w:id="28" w:name="_Toc5849"/>
      <w:r>
        <w:rPr>
          <w:rFonts w:ascii="宋体" w:hAnsi="宋体" w:eastAsia="宋体" w:cs="宋体"/>
          <w:b/>
          <w:bCs/>
          <w:color w:val="auto"/>
          <w:spacing w:val="-5"/>
          <w:sz w:val="52"/>
          <w:szCs w:val="52"/>
          <w:highlight w:val="none"/>
        </w:rPr>
        <w:t>第二章</w:t>
      </w:r>
      <w:r>
        <w:rPr>
          <w:rFonts w:ascii="宋体" w:hAnsi="宋体" w:eastAsia="宋体" w:cs="宋体"/>
          <w:color w:val="auto"/>
          <w:spacing w:val="-5"/>
          <w:sz w:val="52"/>
          <w:szCs w:val="52"/>
          <w:highlight w:val="none"/>
        </w:rPr>
        <w:t xml:space="preserve">  </w:t>
      </w:r>
      <w:r>
        <w:rPr>
          <w:rFonts w:ascii="宋体" w:hAnsi="宋体" w:eastAsia="宋体" w:cs="宋体"/>
          <w:b/>
          <w:bCs/>
          <w:color w:val="auto"/>
          <w:spacing w:val="-5"/>
          <w:sz w:val="52"/>
          <w:szCs w:val="52"/>
          <w:highlight w:val="none"/>
        </w:rPr>
        <w:t>投标人须知</w:t>
      </w:r>
      <w:bookmarkEnd w:id="28"/>
    </w:p>
    <w:p w14:paraId="669FE931">
      <w:pPr>
        <w:spacing w:line="219" w:lineRule="auto"/>
        <w:rPr>
          <w:rFonts w:ascii="宋体" w:hAnsi="宋体" w:eastAsia="宋体" w:cs="宋体"/>
          <w:color w:val="auto"/>
          <w:sz w:val="52"/>
          <w:szCs w:val="52"/>
          <w:highlight w:val="none"/>
        </w:rPr>
        <w:sectPr>
          <w:footerReference r:id="rId12" w:type="default"/>
          <w:pgSz w:w="11906" w:h="16839"/>
          <w:pgMar w:top="1431" w:right="1785" w:bottom="1297" w:left="1785" w:header="0" w:footer="1067" w:gutter="0"/>
          <w:pgNumType w:fmt="decimal"/>
          <w:cols w:space="720" w:num="1"/>
        </w:sectPr>
      </w:pPr>
    </w:p>
    <w:p w14:paraId="4FAA0E6C">
      <w:pPr>
        <w:spacing w:before="84" w:line="223" w:lineRule="auto"/>
        <w:ind w:left="2768"/>
        <w:outlineLvl w:val="0"/>
        <w:rPr>
          <w:rFonts w:ascii="宋体" w:hAnsi="宋体" w:eastAsia="宋体" w:cs="宋体"/>
          <w:color w:val="auto"/>
          <w:sz w:val="41"/>
          <w:szCs w:val="41"/>
          <w:highlight w:val="none"/>
        </w:rPr>
      </w:pPr>
      <w:bookmarkStart w:id="29" w:name="_Toc3600"/>
      <w:bookmarkStart w:id="30" w:name="_Toc2082"/>
      <w:r>
        <w:rPr>
          <w:rFonts w:ascii="宋体" w:hAnsi="宋体" w:eastAsia="宋体" w:cs="宋体"/>
          <w:b/>
          <w:bCs/>
          <w:color w:val="auto"/>
          <w:spacing w:val="5"/>
          <w:sz w:val="41"/>
          <w:szCs w:val="41"/>
          <w:highlight w:val="none"/>
        </w:rPr>
        <w:t>第二章</w:t>
      </w:r>
      <w:r>
        <w:rPr>
          <w:rFonts w:ascii="宋体" w:hAnsi="宋体" w:eastAsia="宋体" w:cs="宋体"/>
          <w:color w:val="auto"/>
          <w:spacing w:val="5"/>
          <w:sz w:val="41"/>
          <w:szCs w:val="41"/>
          <w:highlight w:val="none"/>
        </w:rPr>
        <w:t xml:space="preserve">  </w:t>
      </w:r>
      <w:r>
        <w:rPr>
          <w:rFonts w:ascii="宋体" w:hAnsi="宋体" w:eastAsia="宋体" w:cs="宋体"/>
          <w:b/>
          <w:bCs/>
          <w:color w:val="auto"/>
          <w:spacing w:val="5"/>
          <w:sz w:val="41"/>
          <w:szCs w:val="41"/>
          <w:highlight w:val="none"/>
        </w:rPr>
        <w:t>投标人须知</w:t>
      </w:r>
      <w:bookmarkEnd w:id="29"/>
      <w:bookmarkEnd w:id="30"/>
    </w:p>
    <w:p w14:paraId="66121D2F">
      <w:pPr>
        <w:spacing w:line="284" w:lineRule="auto"/>
        <w:rPr>
          <w:rFonts w:ascii="Arial"/>
          <w:color w:val="auto"/>
          <w:sz w:val="21"/>
          <w:highlight w:val="none"/>
        </w:rPr>
      </w:pPr>
    </w:p>
    <w:p w14:paraId="3C51D6CC">
      <w:pPr>
        <w:spacing w:line="284" w:lineRule="auto"/>
        <w:rPr>
          <w:rFonts w:ascii="Arial"/>
          <w:color w:val="auto"/>
          <w:sz w:val="21"/>
          <w:highlight w:val="none"/>
        </w:rPr>
      </w:pPr>
    </w:p>
    <w:p w14:paraId="4B92A0B9">
      <w:pPr>
        <w:spacing w:before="78" w:line="226" w:lineRule="auto"/>
        <w:ind w:left="124"/>
        <w:outlineLvl w:val="0"/>
        <w:rPr>
          <w:rFonts w:ascii="宋体" w:hAnsi="宋体" w:eastAsia="宋体" w:cs="宋体"/>
          <w:color w:val="auto"/>
          <w:sz w:val="12"/>
          <w:szCs w:val="12"/>
          <w:highlight w:val="none"/>
        </w:rPr>
      </w:pPr>
      <w:bookmarkStart w:id="31" w:name="_Toc16541"/>
      <w:r>
        <w:rPr>
          <w:rFonts w:ascii="宋体" w:hAnsi="宋体" w:eastAsia="宋体" w:cs="宋体"/>
          <w:b/>
          <w:bCs/>
          <w:color w:val="auto"/>
          <w:spacing w:val="-3"/>
          <w:sz w:val="24"/>
          <w:szCs w:val="24"/>
          <w:highlight w:val="none"/>
        </w:rPr>
        <w:t>投标人须知前附表</w:t>
      </w:r>
      <w:bookmarkEnd w:id="31"/>
    </w:p>
    <w:tbl>
      <w:tblPr>
        <w:tblStyle w:val="17"/>
        <w:tblW w:w="878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91"/>
        <w:gridCol w:w="2999"/>
        <w:gridCol w:w="4891"/>
      </w:tblGrid>
      <w:tr w14:paraId="3B5E97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891" w:type="dxa"/>
            <w:vAlign w:val="top"/>
          </w:tcPr>
          <w:p w14:paraId="68873E7E">
            <w:pPr>
              <w:pStyle w:val="18"/>
              <w:spacing w:before="145" w:line="228" w:lineRule="auto"/>
              <w:ind w:left="198"/>
              <w:rPr>
                <w:color w:val="auto"/>
                <w:highlight w:val="none"/>
              </w:rPr>
            </w:pPr>
            <w:r>
              <w:rPr>
                <w:b/>
                <w:bCs/>
                <w:color w:val="auto"/>
                <w:spacing w:val="5"/>
                <w:highlight w:val="none"/>
              </w:rPr>
              <w:t>条款号</w:t>
            </w:r>
          </w:p>
        </w:tc>
        <w:tc>
          <w:tcPr>
            <w:tcW w:w="2999" w:type="dxa"/>
            <w:vAlign w:val="top"/>
          </w:tcPr>
          <w:p w14:paraId="3E02812E">
            <w:pPr>
              <w:pStyle w:val="18"/>
              <w:spacing w:before="145" w:line="228" w:lineRule="auto"/>
              <w:ind w:left="706"/>
              <w:rPr>
                <w:color w:val="auto"/>
                <w:highlight w:val="none"/>
              </w:rPr>
            </w:pPr>
            <w:r>
              <w:rPr>
                <w:b/>
                <w:bCs/>
                <w:color w:val="auto"/>
                <w:spacing w:val="-3"/>
                <w:highlight w:val="none"/>
              </w:rPr>
              <w:t>条</w:t>
            </w:r>
            <w:r>
              <w:rPr>
                <w:color w:val="auto"/>
                <w:spacing w:val="10"/>
                <w:highlight w:val="none"/>
              </w:rPr>
              <w:t xml:space="preserve">  </w:t>
            </w:r>
            <w:r>
              <w:rPr>
                <w:b/>
                <w:bCs/>
                <w:color w:val="auto"/>
                <w:spacing w:val="-3"/>
                <w:highlight w:val="none"/>
              </w:rPr>
              <w:t>款</w:t>
            </w:r>
            <w:r>
              <w:rPr>
                <w:color w:val="auto"/>
                <w:spacing w:val="12"/>
                <w:highlight w:val="none"/>
              </w:rPr>
              <w:t xml:space="preserve">  </w:t>
            </w:r>
            <w:r>
              <w:rPr>
                <w:b/>
                <w:bCs/>
                <w:color w:val="auto"/>
                <w:spacing w:val="-3"/>
                <w:highlight w:val="none"/>
              </w:rPr>
              <w:t>名</w:t>
            </w:r>
            <w:r>
              <w:rPr>
                <w:color w:val="auto"/>
                <w:spacing w:val="11"/>
                <w:highlight w:val="none"/>
              </w:rPr>
              <w:t xml:space="preserve">  </w:t>
            </w:r>
            <w:r>
              <w:rPr>
                <w:b/>
                <w:bCs/>
                <w:color w:val="auto"/>
                <w:spacing w:val="-3"/>
                <w:highlight w:val="none"/>
              </w:rPr>
              <w:t>称</w:t>
            </w:r>
          </w:p>
        </w:tc>
        <w:tc>
          <w:tcPr>
            <w:tcW w:w="4891" w:type="dxa"/>
            <w:vAlign w:val="top"/>
          </w:tcPr>
          <w:p w14:paraId="18F6389C">
            <w:pPr>
              <w:pStyle w:val="18"/>
              <w:spacing w:before="145" w:line="228" w:lineRule="auto"/>
              <w:ind w:left="1713"/>
              <w:rPr>
                <w:color w:val="auto"/>
                <w:highlight w:val="none"/>
              </w:rPr>
            </w:pPr>
            <w:r>
              <w:rPr>
                <w:b/>
                <w:bCs/>
                <w:color w:val="auto"/>
                <w:spacing w:val="-10"/>
                <w:highlight w:val="none"/>
              </w:rPr>
              <w:t>编</w:t>
            </w:r>
            <w:r>
              <w:rPr>
                <w:color w:val="auto"/>
                <w:spacing w:val="13"/>
                <w:highlight w:val="none"/>
              </w:rPr>
              <w:t xml:space="preserve">  </w:t>
            </w:r>
            <w:r>
              <w:rPr>
                <w:b/>
                <w:bCs/>
                <w:color w:val="auto"/>
                <w:spacing w:val="-10"/>
                <w:highlight w:val="none"/>
              </w:rPr>
              <w:t>列</w:t>
            </w:r>
            <w:r>
              <w:rPr>
                <w:color w:val="auto"/>
                <w:spacing w:val="23"/>
                <w:highlight w:val="none"/>
              </w:rPr>
              <w:t xml:space="preserve">  </w:t>
            </w:r>
            <w:r>
              <w:rPr>
                <w:b/>
                <w:bCs/>
                <w:color w:val="auto"/>
                <w:spacing w:val="-10"/>
                <w:highlight w:val="none"/>
              </w:rPr>
              <w:t>内</w:t>
            </w:r>
            <w:r>
              <w:rPr>
                <w:color w:val="auto"/>
                <w:spacing w:val="12"/>
                <w:highlight w:val="none"/>
              </w:rPr>
              <w:t xml:space="preserve">  </w:t>
            </w:r>
            <w:r>
              <w:rPr>
                <w:b/>
                <w:bCs/>
                <w:color w:val="auto"/>
                <w:spacing w:val="-10"/>
                <w:highlight w:val="none"/>
              </w:rPr>
              <w:t>容</w:t>
            </w:r>
          </w:p>
        </w:tc>
      </w:tr>
      <w:tr w14:paraId="3E41B0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4" w:hRule="atLeast"/>
        </w:trPr>
        <w:tc>
          <w:tcPr>
            <w:tcW w:w="891" w:type="dxa"/>
            <w:vAlign w:val="top"/>
          </w:tcPr>
          <w:p w14:paraId="3DEC60E4">
            <w:pPr>
              <w:spacing w:line="336" w:lineRule="auto"/>
              <w:rPr>
                <w:rFonts w:ascii="Arial"/>
                <w:color w:val="auto"/>
                <w:sz w:val="21"/>
                <w:highlight w:val="none"/>
              </w:rPr>
            </w:pPr>
          </w:p>
          <w:p w14:paraId="2AFC1DD0">
            <w:pPr>
              <w:spacing w:line="337" w:lineRule="auto"/>
              <w:rPr>
                <w:rFonts w:ascii="Arial"/>
                <w:color w:val="auto"/>
                <w:sz w:val="21"/>
                <w:highlight w:val="none"/>
              </w:rPr>
            </w:pPr>
          </w:p>
          <w:p w14:paraId="6BC6AF1B">
            <w:pPr>
              <w:pStyle w:val="18"/>
              <w:spacing w:before="65" w:line="268" w:lineRule="exact"/>
              <w:ind w:left="264"/>
              <w:rPr>
                <w:color w:val="auto"/>
                <w:highlight w:val="none"/>
              </w:rPr>
            </w:pPr>
            <w:r>
              <w:rPr>
                <w:color w:val="auto"/>
                <w:position w:val="1"/>
                <w:highlight w:val="none"/>
              </w:rPr>
              <w:t>1.1.2</w:t>
            </w:r>
          </w:p>
        </w:tc>
        <w:tc>
          <w:tcPr>
            <w:tcW w:w="2999" w:type="dxa"/>
            <w:vAlign w:val="top"/>
          </w:tcPr>
          <w:p w14:paraId="253F1394">
            <w:pPr>
              <w:spacing w:line="336" w:lineRule="auto"/>
              <w:rPr>
                <w:rFonts w:ascii="Arial"/>
                <w:color w:val="auto"/>
                <w:sz w:val="21"/>
                <w:highlight w:val="none"/>
              </w:rPr>
            </w:pPr>
          </w:p>
          <w:p w14:paraId="4813AEA8">
            <w:pPr>
              <w:spacing w:line="337" w:lineRule="auto"/>
              <w:rPr>
                <w:rFonts w:ascii="Arial"/>
                <w:color w:val="auto"/>
                <w:sz w:val="21"/>
                <w:highlight w:val="none"/>
              </w:rPr>
            </w:pPr>
          </w:p>
          <w:p w14:paraId="0B35FFB0">
            <w:pPr>
              <w:pStyle w:val="18"/>
              <w:spacing w:before="65" w:line="228" w:lineRule="auto"/>
              <w:ind w:left="1128"/>
              <w:rPr>
                <w:color w:val="auto"/>
                <w:highlight w:val="none"/>
              </w:rPr>
            </w:pPr>
            <w:r>
              <w:rPr>
                <w:color w:val="auto"/>
                <w:spacing w:val="6"/>
                <w:highlight w:val="none"/>
              </w:rPr>
              <w:t>招标人</w:t>
            </w:r>
          </w:p>
        </w:tc>
        <w:tc>
          <w:tcPr>
            <w:tcW w:w="4891" w:type="dxa"/>
            <w:vAlign w:val="top"/>
          </w:tcPr>
          <w:p w14:paraId="5C3218A1">
            <w:pPr>
              <w:pStyle w:val="18"/>
              <w:spacing w:before="149" w:line="230" w:lineRule="auto"/>
              <w:ind w:left="137"/>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名称：乐昌市地方公路站</w:t>
            </w:r>
          </w:p>
          <w:p w14:paraId="42832FC2">
            <w:pPr>
              <w:pStyle w:val="18"/>
              <w:spacing w:before="149" w:line="230" w:lineRule="auto"/>
              <w:ind w:left="137"/>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地址：韶关市乐昌市公主下路62号</w:t>
            </w:r>
          </w:p>
          <w:p w14:paraId="44118878">
            <w:pPr>
              <w:pStyle w:val="18"/>
              <w:spacing w:before="149" w:line="230" w:lineRule="auto"/>
              <w:ind w:left="137"/>
              <w:rPr>
                <w:rFonts w:hint="default"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联系人：扶工</w:t>
            </w:r>
          </w:p>
          <w:p w14:paraId="6887DB2A">
            <w:pPr>
              <w:pStyle w:val="18"/>
              <w:spacing w:before="149" w:line="230" w:lineRule="auto"/>
              <w:ind w:left="137"/>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联系电话：0751-5552728</w:t>
            </w:r>
          </w:p>
        </w:tc>
      </w:tr>
      <w:tr w14:paraId="425A11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4" w:hRule="atLeast"/>
        </w:trPr>
        <w:tc>
          <w:tcPr>
            <w:tcW w:w="891" w:type="dxa"/>
            <w:vAlign w:val="top"/>
          </w:tcPr>
          <w:p w14:paraId="65A4D0BF">
            <w:pPr>
              <w:spacing w:line="336" w:lineRule="auto"/>
              <w:rPr>
                <w:rFonts w:ascii="Arial"/>
                <w:color w:val="auto"/>
                <w:sz w:val="21"/>
                <w:highlight w:val="none"/>
              </w:rPr>
            </w:pPr>
          </w:p>
          <w:p w14:paraId="1D44A48B">
            <w:pPr>
              <w:spacing w:line="336" w:lineRule="auto"/>
              <w:rPr>
                <w:rFonts w:ascii="Arial"/>
                <w:color w:val="auto"/>
                <w:sz w:val="21"/>
                <w:highlight w:val="none"/>
              </w:rPr>
            </w:pPr>
          </w:p>
          <w:p w14:paraId="039441C9">
            <w:pPr>
              <w:pStyle w:val="18"/>
              <w:spacing w:before="65" w:line="268" w:lineRule="exact"/>
              <w:ind w:left="264"/>
              <w:rPr>
                <w:color w:val="auto"/>
                <w:highlight w:val="none"/>
              </w:rPr>
            </w:pPr>
            <w:r>
              <w:rPr>
                <w:color w:val="auto"/>
                <w:position w:val="1"/>
                <w:highlight w:val="none"/>
              </w:rPr>
              <w:t>1.1.3</w:t>
            </w:r>
          </w:p>
        </w:tc>
        <w:tc>
          <w:tcPr>
            <w:tcW w:w="2999" w:type="dxa"/>
            <w:vAlign w:val="top"/>
          </w:tcPr>
          <w:p w14:paraId="3786568E">
            <w:pPr>
              <w:spacing w:line="336" w:lineRule="auto"/>
              <w:rPr>
                <w:rFonts w:ascii="Arial"/>
                <w:color w:val="auto"/>
                <w:sz w:val="21"/>
                <w:highlight w:val="none"/>
              </w:rPr>
            </w:pPr>
          </w:p>
          <w:p w14:paraId="224172CE">
            <w:pPr>
              <w:spacing w:line="336" w:lineRule="auto"/>
              <w:rPr>
                <w:rFonts w:ascii="Arial"/>
                <w:color w:val="auto"/>
                <w:sz w:val="21"/>
                <w:highlight w:val="none"/>
              </w:rPr>
            </w:pPr>
          </w:p>
          <w:p w14:paraId="0CE80765">
            <w:pPr>
              <w:pStyle w:val="18"/>
              <w:spacing w:before="65" w:line="227" w:lineRule="auto"/>
              <w:ind w:left="813"/>
              <w:rPr>
                <w:color w:val="auto"/>
                <w:highlight w:val="none"/>
              </w:rPr>
            </w:pPr>
            <w:r>
              <w:rPr>
                <w:color w:val="auto"/>
                <w:spacing w:val="8"/>
                <w:highlight w:val="none"/>
              </w:rPr>
              <w:t>招标代理机构</w:t>
            </w:r>
          </w:p>
        </w:tc>
        <w:tc>
          <w:tcPr>
            <w:tcW w:w="4891" w:type="dxa"/>
            <w:vAlign w:val="top"/>
          </w:tcPr>
          <w:p w14:paraId="300AB4DA">
            <w:pPr>
              <w:pStyle w:val="18"/>
              <w:spacing w:before="149" w:line="230" w:lineRule="auto"/>
              <w:ind w:left="137"/>
              <w:rPr>
                <w:rFonts w:hint="default"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招标</w:t>
            </w:r>
            <w:r>
              <w:rPr>
                <w:rFonts w:hint="default" w:ascii="宋体" w:hAnsi="宋体" w:eastAsia="宋体" w:cs="宋体"/>
                <w:color w:val="auto"/>
                <w:highlight w:val="none"/>
                <w:lang w:val="en-US" w:eastAsia="zh-CN"/>
              </w:rPr>
              <w:t>代理机构：</w:t>
            </w:r>
            <w:r>
              <w:rPr>
                <w:rFonts w:hint="eastAsia" w:ascii="宋体" w:hAnsi="宋体" w:eastAsia="宋体" w:cs="宋体"/>
                <w:color w:val="auto"/>
                <w:highlight w:val="none"/>
                <w:lang w:val="en-US" w:eastAsia="zh-CN"/>
              </w:rPr>
              <w:t>韶关市统乔招标代理有限公司</w:t>
            </w:r>
          </w:p>
          <w:p w14:paraId="1663D12A">
            <w:pPr>
              <w:pStyle w:val="18"/>
              <w:spacing w:before="149" w:line="230" w:lineRule="auto"/>
              <w:ind w:left="137"/>
              <w:rPr>
                <w:rFonts w:hint="default" w:ascii="宋体" w:hAnsi="宋体" w:eastAsia="宋体" w:cs="宋体"/>
                <w:color w:val="auto"/>
                <w:highlight w:val="none"/>
                <w:lang w:val="en-US" w:eastAsia="zh-CN"/>
              </w:rPr>
            </w:pPr>
            <w:r>
              <w:rPr>
                <w:rFonts w:hint="default" w:ascii="宋体" w:hAnsi="宋体" w:eastAsia="宋体" w:cs="宋体"/>
                <w:color w:val="auto"/>
                <w:highlight w:val="none"/>
                <w:lang w:val="en-US" w:eastAsia="zh-CN"/>
              </w:rPr>
              <w:t>地址：</w:t>
            </w:r>
            <w:r>
              <w:rPr>
                <w:rFonts w:hint="eastAsia" w:ascii="宋体" w:hAnsi="宋体" w:eastAsia="宋体" w:cs="宋体"/>
                <w:color w:val="auto"/>
                <w:highlight w:val="none"/>
                <w:lang w:val="en-US" w:eastAsia="zh-CN"/>
              </w:rPr>
              <w:t>乐昌市人民北路95号二层</w:t>
            </w:r>
          </w:p>
          <w:p w14:paraId="023E674A">
            <w:pPr>
              <w:pStyle w:val="18"/>
              <w:spacing w:before="149" w:line="230" w:lineRule="auto"/>
              <w:ind w:left="137"/>
              <w:rPr>
                <w:rFonts w:hint="default" w:ascii="宋体" w:hAnsi="宋体" w:eastAsia="宋体" w:cs="宋体"/>
                <w:color w:val="auto"/>
                <w:highlight w:val="none"/>
                <w:lang w:val="en-US" w:eastAsia="zh-CN"/>
              </w:rPr>
            </w:pPr>
            <w:r>
              <w:rPr>
                <w:rFonts w:hint="default" w:ascii="宋体" w:hAnsi="宋体" w:eastAsia="宋体" w:cs="宋体"/>
                <w:color w:val="auto"/>
                <w:highlight w:val="none"/>
                <w:lang w:val="en-US" w:eastAsia="zh-CN"/>
              </w:rPr>
              <w:t>联系人：</w:t>
            </w:r>
            <w:r>
              <w:rPr>
                <w:rFonts w:hint="eastAsia" w:ascii="宋体" w:hAnsi="宋体" w:eastAsia="宋体" w:cs="宋体"/>
                <w:color w:val="auto"/>
                <w:highlight w:val="none"/>
                <w:lang w:val="en-US" w:eastAsia="zh-CN"/>
              </w:rPr>
              <w:t>李广</w:t>
            </w:r>
          </w:p>
          <w:p w14:paraId="64D6BDA8">
            <w:pPr>
              <w:pStyle w:val="18"/>
              <w:spacing w:before="149" w:line="230" w:lineRule="auto"/>
              <w:ind w:left="137"/>
              <w:rPr>
                <w:rFonts w:hint="eastAsia" w:ascii="宋体" w:hAnsi="宋体" w:eastAsia="宋体" w:cs="宋体"/>
                <w:color w:val="auto"/>
                <w:highlight w:val="none"/>
                <w:lang w:val="en-US" w:eastAsia="zh-CN"/>
              </w:rPr>
            </w:pPr>
            <w:r>
              <w:rPr>
                <w:rFonts w:hint="default" w:ascii="宋体" w:hAnsi="宋体" w:eastAsia="宋体" w:cs="宋体"/>
                <w:color w:val="auto"/>
                <w:highlight w:val="none"/>
                <w:lang w:val="en-US" w:eastAsia="zh-CN"/>
              </w:rPr>
              <w:t>联系电话：</w:t>
            </w:r>
            <w:r>
              <w:rPr>
                <w:rFonts w:hint="eastAsia" w:ascii="宋体" w:hAnsi="宋体" w:eastAsia="宋体" w:cs="宋体"/>
                <w:color w:val="auto"/>
                <w:highlight w:val="none"/>
                <w:lang w:val="en-US" w:eastAsia="zh-CN"/>
              </w:rPr>
              <w:t>0751-6926181</w:t>
            </w:r>
          </w:p>
        </w:tc>
      </w:tr>
      <w:tr w14:paraId="3849AB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891" w:type="dxa"/>
            <w:vAlign w:val="top"/>
          </w:tcPr>
          <w:p w14:paraId="4B8C2CA5">
            <w:pPr>
              <w:pStyle w:val="18"/>
              <w:spacing w:before="142" w:line="233" w:lineRule="auto"/>
              <w:ind w:left="264"/>
              <w:rPr>
                <w:color w:val="auto"/>
                <w:highlight w:val="none"/>
              </w:rPr>
            </w:pPr>
            <w:r>
              <w:rPr>
                <w:color w:val="auto"/>
                <w:highlight w:val="none"/>
              </w:rPr>
              <w:t>1.1.4</w:t>
            </w:r>
          </w:p>
        </w:tc>
        <w:tc>
          <w:tcPr>
            <w:tcW w:w="2999" w:type="dxa"/>
            <w:vAlign w:val="top"/>
          </w:tcPr>
          <w:p w14:paraId="4091DA10">
            <w:pPr>
              <w:pStyle w:val="18"/>
              <w:spacing w:before="143" w:line="228" w:lineRule="auto"/>
              <w:ind w:left="813"/>
              <w:rPr>
                <w:color w:val="auto"/>
                <w:highlight w:val="none"/>
              </w:rPr>
            </w:pPr>
            <w:r>
              <w:rPr>
                <w:color w:val="auto"/>
                <w:spacing w:val="8"/>
                <w:highlight w:val="none"/>
              </w:rPr>
              <w:t>招标项目名称</w:t>
            </w:r>
          </w:p>
        </w:tc>
        <w:tc>
          <w:tcPr>
            <w:tcW w:w="4891" w:type="dxa"/>
            <w:vAlign w:val="top"/>
          </w:tcPr>
          <w:p w14:paraId="1A7E6298">
            <w:pPr>
              <w:pStyle w:val="18"/>
              <w:spacing w:before="142" w:line="228" w:lineRule="auto"/>
              <w:ind w:left="134"/>
              <w:rPr>
                <w:rFonts w:hint="eastAsia" w:ascii="宋体" w:hAnsi="宋体" w:eastAsia="宋体" w:cs="宋体"/>
                <w:color w:val="auto"/>
                <w:spacing w:val="8"/>
                <w:highlight w:val="none"/>
                <w:lang w:val="en-US" w:eastAsia="zh-CN"/>
              </w:rPr>
            </w:pPr>
            <w:r>
              <w:rPr>
                <w:rFonts w:hint="eastAsia" w:cs="宋体"/>
                <w:color w:val="auto"/>
                <w:spacing w:val="8"/>
                <w:highlight w:val="none"/>
                <w:lang w:val="en-US" w:eastAsia="zh-CN"/>
              </w:rPr>
              <w:t>省道S247线乐昌金水湾至龙山温泉段改建工程</w:t>
            </w:r>
            <w:r>
              <w:rPr>
                <w:rFonts w:hint="eastAsia" w:ascii="宋体" w:hAnsi="宋体" w:eastAsia="宋体" w:cs="宋体"/>
                <w:color w:val="auto"/>
                <w:spacing w:val="8"/>
                <w:highlight w:val="none"/>
                <w:lang w:val="en-US" w:eastAsia="zh-CN"/>
              </w:rPr>
              <w:t>施工监理</w:t>
            </w:r>
          </w:p>
        </w:tc>
      </w:tr>
      <w:tr w14:paraId="73ED19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891" w:type="dxa"/>
            <w:vAlign w:val="top"/>
          </w:tcPr>
          <w:p w14:paraId="13E83E98">
            <w:pPr>
              <w:pStyle w:val="18"/>
              <w:spacing w:before="143" w:line="232" w:lineRule="auto"/>
              <w:ind w:left="264"/>
              <w:rPr>
                <w:color w:val="auto"/>
                <w:highlight w:val="none"/>
              </w:rPr>
            </w:pPr>
            <w:r>
              <w:rPr>
                <w:color w:val="auto"/>
                <w:highlight w:val="none"/>
              </w:rPr>
              <w:t>1.1.5</w:t>
            </w:r>
          </w:p>
        </w:tc>
        <w:tc>
          <w:tcPr>
            <w:tcW w:w="2999" w:type="dxa"/>
            <w:vAlign w:val="top"/>
          </w:tcPr>
          <w:p w14:paraId="04771C72">
            <w:pPr>
              <w:pStyle w:val="18"/>
              <w:spacing w:before="126" w:line="264" w:lineRule="exact"/>
              <w:ind w:left="761"/>
              <w:rPr>
                <w:color w:val="auto"/>
                <w:sz w:val="10"/>
                <w:szCs w:val="10"/>
                <w:highlight w:val="none"/>
              </w:rPr>
            </w:pPr>
            <w:r>
              <w:rPr>
                <w:color w:val="auto"/>
                <w:spacing w:val="8"/>
                <w:highlight w:val="none"/>
              </w:rPr>
              <w:t>标段建设地点</w:t>
            </w:r>
          </w:p>
        </w:tc>
        <w:tc>
          <w:tcPr>
            <w:tcW w:w="4891" w:type="dxa"/>
            <w:vAlign w:val="top"/>
          </w:tcPr>
          <w:p w14:paraId="204F71F2">
            <w:pPr>
              <w:pStyle w:val="18"/>
              <w:spacing w:before="142" w:line="228" w:lineRule="auto"/>
              <w:ind w:left="134"/>
              <w:rPr>
                <w:rFonts w:hint="eastAsia" w:ascii="宋体" w:hAnsi="宋体" w:eastAsia="宋体" w:cs="宋体"/>
                <w:color w:val="auto"/>
                <w:spacing w:val="8"/>
                <w:highlight w:val="none"/>
                <w:lang w:val="en-US" w:eastAsia="zh-CN"/>
              </w:rPr>
            </w:pPr>
            <w:r>
              <w:rPr>
                <w:rFonts w:hint="eastAsia" w:cs="宋体"/>
                <w:color w:val="auto"/>
                <w:spacing w:val="8"/>
                <w:highlight w:val="none"/>
                <w:lang w:val="en-US" w:eastAsia="zh-CN"/>
              </w:rPr>
              <w:t>项目建设地点位于广东省乐昌市</w:t>
            </w:r>
          </w:p>
        </w:tc>
      </w:tr>
      <w:tr w14:paraId="2C7CB9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891" w:type="dxa"/>
            <w:vAlign w:val="center"/>
          </w:tcPr>
          <w:p w14:paraId="3E930E97">
            <w:pPr>
              <w:pStyle w:val="18"/>
              <w:spacing w:before="143" w:line="232" w:lineRule="auto"/>
              <w:ind w:left="264"/>
              <w:jc w:val="center"/>
              <w:rPr>
                <w:color w:val="auto"/>
                <w:highlight w:val="none"/>
              </w:rPr>
            </w:pPr>
            <w:r>
              <w:rPr>
                <w:color w:val="auto"/>
                <w:highlight w:val="none"/>
              </w:rPr>
              <w:t>1.1.6</w:t>
            </w:r>
          </w:p>
        </w:tc>
        <w:tc>
          <w:tcPr>
            <w:tcW w:w="2999" w:type="dxa"/>
            <w:vAlign w:val="center"/>
          </w:tcPr>
          <w:p w14:paraId="7EEA6A39">
            <w:pPr>
              <w:pStyle w:val="18"/>
              <w:spacing w:before="143" w:line="228" w:lineRule="auto"/>
              <w:ind w:left="813"/>
              <w:jc w:val="both"/>
              <w:rPr>
                <w:color w:val="auto"/>
                <w:highlight w:val="none"/>
              </w:rPr>
            </w:pPr>
            <w:r>
              <w:rPr>
                <w:color w:val="auto"/>
                <w:spacing w:val="8"/>
                <w:highlight w:val="none"/>
              </w:rPr>
              <w:t>标段建设规模</w:t>
            </w:r>
          </w:p>
        </w:tc>
        <w:tc>
          <w:tcPr>
            <w:tcW w:w="4891" w:type="dxa"/>
            <w:vAlign w:val="top"/>
          </w:tcPr>
          <w:p w14:paraId="35F43E92">
            <w:pPr>
              <w:pStyle w:val="18"/>
              <w:spacing w:before="149" w:line="360" w:lineRule="auto"/>
              <w:ind w:left="137"/>
              <w:rPr>
                <w:rFonts w:hint="default"/>
                <w:color w:val="auto"/>
                <w:highlight w:val="none"/>
                <w:lang w:val="en-US" w:eastAsia="zh-CN"/>
              </w:rPr>
            </w:pPr>
            <w:r>
              <w:rPr>
                <w:rFonts w:hint="eastAsia"/>
                <w:color w:val="auto"/>
                <w:highlight w:val="none"/>
                <w:lang w:val="en-US" w:eastAsia="zh-CN"/>
              </w:rPr>
              <w:t>1.建设地点：本项目位于乐昌市，起于湖南省与乐昌市交界金水湾附近，起点桩号为K0+000，途经金水湾后沿现状道路S247往南布线，经石下、山溪、五山镇、龙山水库、龙山林场，终点止于龙山温泉附近与现状省道S247线相接，终点桩号K31+626.432，路线全长31.626km。</w:t>
            </w:r>
          </w:p>
          <w:p w14:paraId="185D5811">
            <w:pPr>
              <w:pStyle w:val="18"/>
              <w:spacing w:before="149" w:line="360" w:lineRule="auto"/>
              <w:ind w:left="137"/>
              <w:rPr>
                <w:rFonts w:ascii="Arial"/>
                <w:color w:val="auto"/>
                <w:sz w:val="21"/>
                <w:highlight w:val="none"/>
              </w:rPr>
            </w:pPr>
            <w:r>
              <w:rPr>
                <w:rFonts w:hint="eastAsia"/>
                <w:color w:val="auto"/>
                <w:highlight w:val="none"/>
                <w:lang w:val="en-US" w:eastAsia="zh-CN"/>
              </w:rPr>
              <w:t>2.建设内容及规模：本次改建路线全长31.626km，按三级路标准，拟建路段范围内拆除重建桥梁47.94m/2 座，利用旧桥 55.9m/3 座，桥改涵 12.0m/2 座，设涵洞 158 道，平面交叉 107 处，路基土石方开挖约23.7665万立方米，水泥混凝土路面约124.66千平方米。设计速度30Km/h设计(局部路段降低标准按照20Km/h设计）</w:t>
            </w:r>
            <w:r>
              <w:rPr>
                <w:rFonts w:hint="eastAsia"/>
                <w:color w:val="auto"/>
                <w:highlight w:val="none"/>
                <w:lang w:eastAsia="zh-CN"/>
              </w:rPr>
              <w:t>。本次招标工程造价约</w:t>
            </w:r>
            <w:r>
              <w:rPr>
                <w:rFonts w:hint="eastAsia"/>
                <w:color w:val="auto"/>
                <w:highlight w:val="none"/>
                <w:lang w:val="en-US" w:eastAsia="zh-CN"/>
              </w:rPr>
              <w:t>24450.68</w:t>
            </w:r>
            <w:r>
              <w:rPr>
                <w:rFonts w:hint="eastAsia"/>
                <w:color w:val="auto"/>
                <w:highlight w:val="none"/>
                <w:lang w:eastAsia="zh-CN"/>
              </w:rPr>
              <w:t>万元，</w:t>
            </w:r>
            <w:r>
              <w:rPr>
                <w:rFonts w:hint="eastAsia"/>
                <w:color w:val="auto"/>
                <w:highlight w:val="none"/>
                <w:lang w:val="en-US" w:eastAsia="zh-CN"/>
              </w:rPr>
              <w:t>监理费预估发包价约315.14万元</w:t>
            </w:r>
            <w:r>
              <w:rPr>
                <w:rFonts w:hint="eastAsia"/>
                <w:color w:val="auto"/>
                <w:highlight w:val="none"/>
                <w:lang w:eastAsia="zh-CN"/>
              </w:rPr>
              <w:t>。</w:t>
            </w:r>
          </w:p>
        </w:tc>
      </w:tr>
      <w:tr w14:paraId="629C9B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91" w:type="dxa"/>
            <w:vAlign w:val="top"/>
          </w:tcPr>
          <w:p w14:paraId="6B2BDF0C">
            <w:pPr>
              <w:spacing w:line="276" w:lineRule="auto"/>
              <w:rPr>
                <w:rFonts w:ascii="Arial"/>
                <w:color w:val="auto"/>
                <w:sz w:val="21"/>
                <w:highlight w:val="none"/>
              </w:rPr>
            </w:pPr>
          </w:p>
          <w:p w14:paraId="7F31F7AD">
            <w:pPr>
              <w:pStyle w:val="18"/>
              <w:spacing w:before="65" w:line="268" w:lineRule="exact"/>
              <w:ind w:left="264"/>
              <w:rPr>
                <w:color w:val="auto"/>
                <w:highlight w:val="none"/>
              </w:rPr>
            </w:pPr>
            <w:r>
              <w:rPr>
                <w:color w:val="auto"/>
                <w:position w:val="1"/>
                <w:highlight w:val="none"/>
              </w:rPr>
              <w:t>1.1.7</w:t>
            </w:r>
          </w:p>
        </w:tc>
        <w:tc>
          <w:tcPr>
            <w:tcW w:w="2999" w:type="dxa"/>
            <w:vAlign w:val="top"/>
          </w:tcPr>
          <w:p w14:paraId="46630604">
            <w:pPr>
              <w:pStyle w:val="18"/>
              <w:spacing w:before="144" w:line="228" w:lineRule="auto"/>
              <w:ind w:left="182"/>
              <w:rPr>
                <w:color w:val="auto"/>
                <w:highlight w:val="none"/>
              </w:rPr>
            </w:pPr>
            <w:r>
              <w:rPr>
                <w:color w:val="auto"/>
                <w:spacing w:val="9"/>
                <w:highlight w:val="none"/>
              </w:rPr>
              <w:t>招标项目施工预计开工日期</w:t>
            </w:r>
          </w:p>
          <w:p w14:paraId="0F4D2311">
            <w:pPr>
              <w:pStyle w:val="18"/>
              <w:spacing w:before="151" w:line="228" w:lineRule="auto"/>
              <w:ind w:left="919"/>
              <w:rPr>
                <w:color w:val="auto"/>
                <w:highlight w:val="none"/>
              </w:rPr>
            </w:pPr>
            <w:r>
              <w:rPr>
                <w:color w:val="auto"/>
                <w:spacing w:val="7"/>
                <w:highlight w:val="none"/>
              </w:rPr>
              <w:t>和建设周期</w:t>
            </w:r>
          </w:p>
        </w:tc>
        <w:tc>
          <w:tcPr>
            <w:tcW w:w="4891" w:type="dxa"/>
            <w:vAlign w:val="top"/>
          </w:tcPr>
          <w:p w14:paraId="38568501">
            <w:pPr>
              <w:keepNext w:val="0"/>
              <w:keepLines w:val="0"/>
              <w:pageBreakBefore w:val="0"/>
              <w:widowControl w:val="0"/>
              <w:topLinePunct w:val="0"/>
              <w:bidi w:val="0"/>
              <w:spacing w:line="360" w:lineRule="auto"/>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计划开工日期：</w:t>
            </w:r>
            <w:r>
              <w:rPr>
                <w:rFonts w:hint="eastAsia" w:ascii="宋体" w:hAnsi="宋体" w:eastAsia="宋体" w:cs="宋体"/>
                <w:color w:val="auto"/>
                <w:sz w:val="20"/>
                <w:szCs w:val="20"/>
                <w:highlight w:val="none"/>
                <w:u w:val="single"/>
              </w:rPr>
              <w:t xml:space="preserve"> / </w:t>
            </w:r>
            <w:r>
              <w:rPr>
                <w:rFonts w:hint="eastAsia" w:ascii="宋体" w:hAnsi="宋体" w:eastAsia="宋体" w:cs="宋体"/>
                <w:color w:val="auto"/>
                <w:sz w:val="20"/>
                <w:szCs w:val="20"/>
                <w:highlight w:val="none"/>
              </w:rPr>
              <w:t>年</w:t>
            </w:r>
            <w:r>
              <w:rPr>
                <w:rFonts w:hint="eastAsia" w:ascii="宋体" w:hAnsi="宋体" w:eastAsia="宋体" w:cs="宋体"/>
                <w:color w:val="auto"/>
                <w:sz w:val="20"/>
                <w:szCs w:val="20"/>
                <w:highlight w:val="none"/>
                <w:u w:val="single"/>
              </w:rPr>
              <w:t xml:space="preserve"> / </w:t>
            </w:r>
            <w:r>
              <w:rPr>
                <w:rFonts w:hint="eastAsia" w:ascii="宋体" w:hAnsi="宋体" w:eastAsia="宋体" w:cs="宋体"/>
                <w:color w:val="auto"/>
                <w:sz w:val="20"/>
                <w:szCs w:val="20"/>
                <w:highlight w:val="none"/>
              </w:rPr>
              <w:t>月</w:t>
            </w:r>
            <w:r>
              <w:rPr>
                <w:rFonts w:hint="eastAsia" w:ascii="宋体" w:hAnsi="宋体" w:eastAsia="宋体" w:cs="宋体"/>
                <w:color w:val="auto"/>
                <w:sz w:val="20"/>
                <w:szCs w:val="20"/>
                <w:highlight w:val="none"/>
                <w:u w:val="single"/>
              </w:rPr>
              <w:t xml:space="preserve"> / </w:t>
            </w:r>
            <w:r>
              <w:rPr>
                <w:rFonts w:hint="eastAsia" w:ascii="宋体" w:hAnsi="宋体" w:eastAsia="宋体" w:cs="宋体"/>
                <w:color w:val="auto"/>
                <w:sz w:val="20"/>
                <w:szCs w:val="20"/>
                <w:highlight w:val="none"/>
              </w:rPr>
              <w:t>日</w:t>
            </w:r>
          </w:p>
          <w:p w14:paraId="26AF8A71">
            <w:pPr>
              <w:keepNext w:val="0"/>
              <w:keepLines w:val="0"/>
              <w:pageBreakBefore w:val="0"/>
              <w:widowControl w:val="0"/>
              <w:topLinePunct w:val="0"/>
              <w:autoSpaceDE w:val="0"/>
              <w:autoSpaceDN w:val="0"/>
              <w:bidi w:val="0"/>
              <w:adjustRightInd w:val="0"/>
              <w:spacing w:line="360" w:lineRule="auto"/>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计划竣工日期：</w:t>
            </w:r>
            <w:r>
              <w:rPr>
                <w:rFonts w:hint="eastAsia" w:ascii="宋体" w:hAnsi="宋体" w:eastAsia="宋体" w:cs="宋体"/>
                <w:color w:val="auto"/>
                <w:sz w:val="20"/>
                <w:szCs w:val="20"/>
                <w:highlight w:val="none"/>
                <w:u w:val="single"/>
              </w:rPr>
              <w:t xml:space="preserve"> / </w:t>
            </w:r>
            <w:r>
              <w:rPr>
                <w:rFonts w:hint="eastAsia" w:ascii="宋体" w:hAnsi="宋体" w:eastAsia="宋体" w:cs="宋体"/>
                <w:color w:val="auto"/>
                <w:sz w:val="20"/>
                <w:szCs w:val="20"/>
                <w:highlight w:val="none"/>
              </w:rPr>
              <w:t>年</w:t>
            </w:r>
            <w:r>
              <w:rPr>
                <w:rFonts w:hint="eastAsia" w:ascii="宋体" w:hAnsi="宋体" w:eastAsia="宋体" w:cs="宋体"/>
                <w:color w:val="auto"/>
                <w:sz w:val="20"/>
                <w:szCs w:val="20"/>
                <w:highlight w:val="none"/>
                <w:u w:val="single"/>
              </w:rPr>
              <w:t xml:space="preserve"> / </w:t>
            </w:r>
            <w:r>
              <w:rPr>
                <w:rFonts w:hint="eastAsia" w:ascii="宋体" w:hAnsi="宋体" w:eastAsia="宋体" w:cs="宋体"/>
                <w:color w:val="auto"/>
                <w:sz w:val="20"/>
                <w:szCs w:val="20"/>
                <w:highlight w:val="none"/>
              </w:rPr>
              <w:t>月</w:t>
            </w:r>
            <w:r>
              <w:rPr>
                <w:rFonts w:hint="eastAsia" w:ascii="宋体" w:hAnsi="宋体" w:eastAsia="宋体" w:cs="宋体"/>
                <w:color w:val="auto"/>
                <w:sz w:val="20"/>
                <w:szCs w:val="20"/>
                <w:highlight w:val="none"/>
                <w:u w:val="single"/>
              </w:rPr>
              <w:t xml:space="preserve"> / </w:t>
            </w:r>
            <w:r>
              <w:rPr>
                <w:rFonts w:hint="eastAsia" w:ascii="宋体" w:hAnsi="宋体" w:eastAsia="宋体" w:cs="宋体"/>
                <w:color w:val="auto"/>
                <w:sz w:val="20"/>
                <w:szCs w:val="20"/>
                <w:highlight w:val="none"/>
              </w:rPr>
              <w:t>日</w:t>
            </w:r>
          </w:p>
          <w:p w14:paraId="260FD83F">
            <w:pPr>
              <w:rPr>
                <w:rFonts w:ascii="Arial"/>
                <w:color w:val="auto"/>
                <w:sz w:val="21"/>
                <w:highlight w:val="none"/>
              </w:rPr>
            </w:pPr>
            <w:r>
              <w:rPr>
                <w:rFonts w:hint="eastAsia" w:ascii="宋体" w:hAnsi="宋体" w:eastAsia="宋体" w:cs="宋体"/>
                <w:color w:val="auto"/>
                <w:sz w:val="20"/>
                <w:szCs w:val="20"/>
                <w:highlight w:val="none"/>
              </w:rPr>
              <w:t>建设周期：建设周期</w:t>
            </w:r>
            <w:r>
              <w:rPr>
                <w:rFonts w:hint="eastAsia" w:ascii="宋体" w:hAnsi="宋体" w:eastAsia="宋体" w:cs="宋体"/>
                <w:color w:val="auto"/>
                <w:sz w:val="20"/>
                <w:szCs w:val="20"/>
                <w:highlight w:val="none"/>
                <w:u w:val="single"/>
                <w:lang w:val="en-US" w:eastAsia="zh-CN"/>
              </w:rPr>
              <w:t xml:space="preserve"> 36 </w:t>
            </w:r>
            <w:r>
              <w:rPr>
                <w:rFonts w:hint="eastAsia" w:ascii="宋体" w:hAnsi="宋体" w:eastAsia="宋体" w:cs="宋体"/>
                <w:color w:val="auto"/>
                <w:sz w:val="20"/>
                <w:szCs w:val="20"/>
                <w:highlight w:val="none"/>
              </w:rPr>
              <w:t>个月</w:t>
            </w:r>
          </w:p>
        </w:tc>
      </w:tr>
      <w:tr w14:paraId="59D24C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891" w:type="dxa"/>
            <w:vAlign w:val="top"/>
          </w:tcPr>
          <w:p w14:paraId="7C8C58E5">
            <w:pPr>
              <w:spacing w:line="277" w:lineRule="auto"/>
              <w:rPr>
                <w:rFonts w:ascii="Arial"/>
                <w:color w:val="auto"/>
                <w:sz w:val="21"/>
                <w:highlight w:val="none"/>
              </w:rPr>
            </w:pPr>
          </w:p>
          <w:p w14:paraId="667ED04E">
            <w:pPr>
              <w:pStyle w:val="18"/>
              <w:spacing w:before="65" w:line="268" w:lineRule="exact"/>
              <w:ind w:left="264"/>
              <w:rPr>
                <w:color w:val="auto"/>
                <w:highlight w:val="none"/>
              </w:rPr>
            </w:pPr>
            <w:r>
              <w:rPr>
                <w:color w:val="auto"/>
                <w:position w:val="1"/>
                <w:highlight w:val="none"/>
              </w:rPr>
              <w:t>1.1.8</w:t>
            </w:r>
          </w:p>
        </w:tc>
        <w:tc>
          <w:tcPr>
            <w:tcW w:w="2999" w:type="dxa"/>
            <w:vAlign w:val="top"/>
          </w:tcPr>
          <w:p w14:paraId="0C36AF59">
            <w:pPr>
              <w:pStyle w:val="18"/>
              <w:spacing w:before="142" w:line="228" w:lineRule="auto"/>
              <w:ind w:left="134"/>
              <w:rPr>
                <w:color w:val="auto"/>
                <w:highlight w:val="none"/>
              </w:rPr>
            </w:pPr>
            <w:r>
              <w:rPr>
                <w:color w:val="auto"/>
                <w:spacing w:val="8"/>
                <w:highlight w:val="none"/>
              </w:rPr>
              <w:t>建筑安装工程费/工程概算投</w:t>
            </w:r>
          </w:p>
          <w:p w14:paraId="3D6D95A2">
            <w:pPr>
              <w:pStyle w:val="18"/>
              <w:spacing w:before="153" w:line="228" w:lineRule="auto"/>
              <w:ind w:left="1242"/>
              <w:rPr>
                <w:color w:val="auto"/>
                <w:highlight w:val="none"/>
              </w:rPr>
            </w:pPr>
            <w:r>
              <w:rPr>
                <w:color w:val="auto"/>
                <w:highlight w:val="none"/>
              </w:rPr>
              <w:t>资额</w:t>
            </w:r>
          </w:p>
        </w:tc>
        <w:tc>
          <w:tcPr>
            <w:tcW w:w="4891" w:type="dxa"/>
            <w:vAlign w:val="center"/>
          </w:tcPr>
          <w:p w14:paraId="7155CF71">
            <w:pPr>
              <w:pStyle w:val="18"/>
              <w:spacing w:before="142" w:line="228" w:lineRule="auto"/>
              <w:ind w:left="134"/>
              <w:jc w:val="left"/>
              <w:rPr>
                <w:rFonts w:ascii="Arial"/>
                <w:color w:val="auto"/>
                <w:sz w:val="21"/>
                <w:highlight w:val="none"/>
              </w:rPr>
            </w:pPr>
            <w:r>
              <w:rPr>
                <w:rFonts w:hint="eastAsia" w:ascii="宋体" w:hAnsi="宋体" w:eastAsia="宋体" w:cs="宋体"/>
                <w:color w:val="auto"/>
                <w:spacing w:val="8"/>
                <w:highlight w:val="none"/>
                <w:lang w:eastAsia="zh-CN"/>
              </w:rPr>
              <w:t>本次招标工程造价约</w:t>
            </w:r>
            <w:r>
              <w:rPr>
                <w:rFonts w:hint="eastAsia" w:cs="宋体"/>
                <w:color w:val="auto"/>
                <w:spacing w:val="8"/>
                <w:highlight w:val="none"/>
                <w:lang w:val="en-US" w:eastAsia="zh-CN"/>
              </w:rPr>
              <w:t>24450.68</w:t>
            </w:r>
            <w:r>
              <w:rPr>
                <w:rFonts w:hint="eastAsia" w:ascii="宋体" w:hAnsi="宋体" w:eastAsia="宋体" w:cs="宋体"/>
                <w:color w:val="auto"/>
                <w:spacing w:val="8"/>
                <w:highlight w:val="none"/>
                <w:lang w:eastAsia="zh-CN"/>
              </w:rPr>
              <w:t>万元</w:t>
            </w:r>
          </w:p>
        </w:tc>
      </w:tr>
      <w:tr w14:paraId="6B8111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891" w:type="dxa"/>
            <w:vAlign w:val="top"/>
          </w:tcPr>
          <w:p w14:paraId="38416258">
            <w:pPr>
              <w:pStyle w:val="18"/>
              <w:spacing w:before="143" w:line="232" w:lineRule="auto"/>
              <w:ind w:left="264"/>
              <w:rPr>
                <w:color w:val="auto"/>
                <w:highlight w:val="none"/>
              </w:rPr>
            </w:pPr>
            <w:r>
              <w:rPr>
                <w:color w:val="auto"/>
                <w:highlight w:val="none"/>
              </w:rPr>
              <w:t>1.2.1</w:t>
            </w:r>
          </w:p>
        </w:tc>
        <w:tc>
          <w:tcPr>
            <w:tcW w:w="2999" w:type="dxa"/>
            <w:vAlign w:val="top"/>
          </w:tcPr>
          <w:p w14:paraId="278C6B34">
            <w:pPr>
              <w:pStyle w:val="18"/>
              <w:spacing w:before="143" w:line="228" w:lineRule="auto"/>
              <w:ind w:left="716"/>
              <w:rPr>
                <w:color w:val="auto"/>
                <w:highlight w:val="none"/>
              </w:rPr>
            </w:pPr>
            <w:r>
              <w:rPr>
                <w:color w:val="auto"/>
                <w:spacing w:val="7"/>
                <w:highlight w:val="none"/>
              </w:rPr>
              <w:t>资金来源及比例</w:t>
            </w:r>
          </w:p>
        </w:tc>
        <w:tc>
          <w:tcPr>
            <w:tcW w:w="4891" w:type="dxa"/>
            <w:vAlign w:val="top"/>
          </w:tcPr>
          <w:p w14:paraId="521DD7CC">
            <w:pPr>
              <w:pStyle w:val="18"/>
              <w:spacing w:before="144" w:line="226" w:lineRule="auto"/>
              <w:ind w:left="115"/>
              <w:rPr>
                <w:color w:val="auto"/>
                <w:highlight w:val="none"/>
              </w:rPr>
            </w:pPr>
            <w:r>
              <w:rPr>
                <w:color w:val="auto"/>
                <w:spacing w:val="7"/>
                <w:highlight w:val="none"/>
              </w:rPr>
              <w:t>详见招标公告</w:t>
            </w:r>
          </w:p>
        </w:tc>
      </w:tr>
      <w:tr w14:paraId="1707A0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891" w:type="dxa"/>
            <w:vAlign w:val="top"/>
          </w:tcPr>
          <w:p w14:paraId="71A42BDE">
            <w:pPr>
              <w:pStyle w:val="18"/>
              <w:spacing w:before="144" w:line="231" w:lineRule="auto"/>
              <w:ind w:left="264"/>
              <w:rPr>
                <w:color w:val="auto"/>
                <w:highlight w:val="none"/>
              </w:rPr>
            </w:pPr>
            <w:r>
              <w:rPr>
                <w:color w:val="auto"/>
                <w:highlight w:val="none"/>
              </w:rPr>
              <w:t>1.2.2</w:t>
            </w:r>
          </w:p>
        </w:tc>
        <w:tc>
          <w:tcPr>
            <w:tcW w:w="2999" w:type="dxa"/>
            <w:vAlign w:val="top"/>
          </w:tcPr>
          <w:p w14:paraId="3D189BD1">
            <w:pPr>
              <w:pStyle w:val="18"/>
              <w:spacing w:before="144" w:line="228" w:lineRule="auto"/>
              <w:ind w:left="822"/>
              <w:rPr>
                <w:color w:val="auto"/>
                <w:highlight w:val="none"/>
              </w:rPr>
            </w:pPr>
            <w:r>
              <w:rPr>
                <w:color w:val="auto"/>
                <w:spacing w:val="6"/>
                <w:highlight w:val="none"/>
              </w:rPr>
              <w:t>资金落实情况</w:t>
            </w:r>
          </w:p>
        </w:tc>
        <w:tc>
          <w:tcPr>
            <w:tcW w:w="4891" w:type="dxa"/>
            <w:vAlign w:val="top"/>
          </w:tcPr>
          <w:p w14:paraId="7A5101DE">
            <w:pPr>
              <w:pStyle w:val="18"/>
              <w:spacing w:before="144" w:line="226" w:lineRule="auto"/>
              <w:ind w:left="115"/>
              <w:rPr>
                <w:rFonts w:ascii="Arial"/>
                <w:color w:val="auto"/>
                <w:sz w:val="21"/>
                <w:highlight w:val="none"/>
              </w:rPr>
            </w:pPr>
            <w:r>
              <w:rPr>
                <w:rFonts w:hint="eastAsia" w:ascii="宋体" w:hAnsi="宋体" w:eastAsia="宋体" w:cs="宋体"/>
                <w:color w:val="auto"/>
                <w:spacing w:val="7"/>
                <w:highlight w:val="none"/>
              </w:rPr>
              <w:t>资金已落实</w:t>
            </w:r>
          </w:p>
        </w:tc>
      </w:tr>
      <w:tr w14:paraId="64CAE3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6" w:hRule="atLeast"/>
        </w:trPr>
        <w:tc>
          <w:tcPr>
            <w:tcW w:w="891" w:type="dxa"/>
            <w:vAlign w:val="top"/>
          </w:tcPr>
          <w:p w14:paraId="117DFFC5">
            <w:pPr>
              <w:spacing w:line="475" w:lineRule="auto"/>
              <w:rPr>
                <w:rFonts w:ascii="Arial"/>
                <w:color w:val="auto"/>
                <w:sz w:val="21"/>
                <w:highlight w:val="none"/>
              </w:rPr>
            </w:pPr>
          </w:p>
          <w:p w14:paraId="4C5991F3">
            <w:pPr>
              <w:pStyle w:val="18"/>
              <w:spacing w:before="65" w:line="268" w:lineRule="exact"/>
              <w:ind w:left="264"/>
              <w:rPr>
                <w:color w:val="auto"/>
                <w:highlight w:val="none"/>
              </w:rPr>
            </w:pPr>
            <w:r>
              <w:rPr>
                <w:color w:val="auto"/>
                <w:position w:val="1"/>
                <w:highlight w:val="none"/>
              </w:rPr>
              <w:t>1.3.1</w:t>
            </w:r>
          </w:p>
        </w:tc>
        <w:tc>
          <w:tcPr>
            <w:tcW w:w="2999" w:type="dxa"/>
            <w:vAlign w:val="top"/>
          </w:tcPr>
          <w:p w14:paraId="51B245BD">
            <w:pPr>
              <w:spacing w:line="458" w:lineRule="auto"/>
              <w:rPr>
                <w:rFonts w:ascii="Arial"/>
                <w:color w:val="auto"/>
                <w:sz w:val="21"/>
                <w:highlight w:val="none"/>
              </w:rPr>
            </w:pPr>
          </w:p>
          <w:p w14:paraId="622EBDFB">
            <w:pPr>
              <w:pStyle w:val="18"/>
              <w:spacing w:before="65" w:line="265" w:lineRule="exact"/>
              <w:ind w:left="972"/>
              <w:rPr>
                <w:color w:val="auto"/>
                <w:sz w:val="10"/>
                <w:szCs w:val="10"/>
                <w:highlight w:val="none"/>
              </w:rPr>
            </w:pPr>
            <w:r>
              <w:rPr>
                <w:color w:val="auto"/>
                <w:spacing w:val="7"/>
                <w:highlight w:val="none"/>
              </w:rPr>
              <w:t>招标范围</w:t>
            </w:r>
          </w:p>
        </w:tc>
        <w:tc>
          <w:tcPr>
            <w:tcW w:w="4891" w:type="dxa"/>
            <w:vAlign w:val="top"/>
          </w:tcPr>
          <w:p w14:paraId="62F2D342">
            <w:pPr>
              <w:pStyle w:val="18"/>
              <w:spacing w:before="145" w:line="228" w:lineRule="auto"/>
              <w:ind w:left="134"/>
              <w:rPr>
                <w:color w:val="auto"/>
                <w:highlight w:val="none"/>
              </w:rPr>
            </w:pPr>
            <w:r>
              <w:rPr>
                <w:rFonts w:hint="eastAsia"/>
                <w:color w:val="auto"/>
                <w:spacing w:val="7"/>
                <w:highlight w:val="none"/>
                <w:lang w:eastAsia="zh-CN"/>
              </w:rPr>
              <w:t>☑</w:t>
            </w:r>
            <w:r>
              <w:rPr>
                <w:color w:val="auto"/>
                <w:spacing w:val="7"/>
                <w:highlight w:val="none"/>
              </w:rPr>
              <w:t>总监理工程师办公室（含中心试验室）</w:t>
            </w:r>
          </w:p>
          <w:p w14:paraId="3666E834">
            <w:pPr>
              <w:pStyle w:val="18"/>
              <w:spacing w:before="151" w:line="228" w:lineRule="auto"/>
              <w:ind w:left="134"/>
              <w:rPr>
                <w:color w:val="auto"/>
                <w:highlight w:val="none"/>
              </w:rPr>
            </w:pPr>
            <w:r>
              <w:rPr>
                <w:color w:val="auto"/>
                <w:spacing w:val="7"/>
                <w:highlight w:val="none"/>
              </w:rPr>
              <w:t>□驻地监理工程师办公室（含监理试验室）</w:t>
            </w:r>
          </w:p>
          <w:p w14:paraId="33FF940B">
            <w:pPr>
              <w:pStyle w:val="18"/>
              <w:spacing w:before="154" w:line="228" w:lineRule="auto"/>
              <w:ind w:left="134"/>
              <w:rPr>
                <w:rFonts w:hint="default" w:eastAsia="宋体"/>
                <w:color w:val="auto"/>
                <w:spacing w:val="2"/>
                <w:highlight w:val="none"/>
                <w:u w:val="single"/>
                <w:lang w:val="en-US" w:eastAsia="zh-CN"/>
              </w:rPr>
            </w:pPr>
            <w:r>
              <w:rPr>
                <w:rFonts w:hint="eastAsia"/>
                <w:color w:val="auto"/>
                <w:spacing w:val="2"/>
                <w:highlight w:val="none"/>
                <w:lang w:eastAsia="zh-CN"/>
              </w:rPr>
              <w:t>□</w:t>
            </w:r>
            <w:r>
              <w:rPr>
                <w:color w:val="auto"/>
                <w:spacing w:val="2"/>
                <w:highlight w:val="none"/>
              </w:rPr>
              <w:t>其他：</w:t>
            </w:r>
            <w:r>
              <w:rPr>
                <w:rFonts w:hint="eastAsia"/>
                <w:color w:val="auto"/>
                <w:spacing w:val="2"/>
                <w:highlight w:val="none"/>
                <w:u w:val="single"/>
                <w:lang w:val="en-US" w:eastAsia="zh-CN"/>
              </w:rPr>
              <w:t xml:space="preserve">           </w:t>
            </w:r>
          </w:p>
          <w:p w14:paraId="11CB2254">
            <w:pPr>
              <w:pStyle w:val="18"/>
              <w:spacing w:before="154" w:line="228" w:lineRule="auto"/>
              <w:ind w:left="134"/>
              <w:rPr>
                <w:rFonts w:hint="default"/>
                <w:color w:val="auto"/>
                <w:highlight w:val="none"/>
                <w:lang w:val="en-US"/>
              </w:rPr>
            </w:pPr>
          </w:p>
        </w:tc>
      </w:tr>
      <w:tr w14:paraId="5ED42A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7" w:hRule="atLeast"/>
        </w:trPr>
        <w:tc>
          <w:tcPr>
            <w:tcW w:w="891" w:type="dxa"/>
            <w:vAlign w:val="top"/>
          </w:tcPr>
          <w:p w14:paraId="36DE6C7D">
            <w:pPr>
              <w:spacing w:line="476" w:lineRule="auto"/>
              <w:rPr>
                <w:rFonts w:ascii="Arial"/>
                <w:color w:val="auto"/>
                <w:sz w:val="21"/>
                <w:highlight w:val="none"/>
              </w:rPr>
            </w:pPr>
          </w:p>
          <w:p w14:paraId="49468899">
            <w:pPr>
              <w:pStyle w:val="18"/>
              <w:spacing w:before="65" w:line="268" w:lineRule="exact"/>
              <w:ind w:left="264"/>
              <w:rPr>
                <w:color w:val="auto"/>
                <w:highlight w:val="none"/>
              </w:rPr>
            </w:pPr>
            <w:r>
              <w:rPr>
                <w:color w:val="auto"/>
                <w:position w:val="1"/>
                <w:highlight w:val="none"/>
              </w:rPr>
              <w:t>1.3.2</w:t>
            </w:r>
          </w:p>
        </w:tc>
        <w:tc>
          <w:tcPr>
            <w:tcW w:w="2999" w:type="dxa"/>
            <w:vAlign w:val="top"/>
          </w:tcPr>
          <w:p w14:paraId="4E259CB2">
            <w:pPr>
              <w:spacing w:line="476" w:lineRule="auto"/>
              <w:rPr>
                <w:rFonts w:ascii="Arial"/>
                <w:color w:val="auto"/>
                <w:sz w:val="21"/>
                <w:highlight w:val="none"/>
              </w:rPr>
            </w:pPr>
          </w:p>
          <w:p w14:paraId="35CEE6E1">
            <w:pPr>
              <w:pStyle w:val="18"/>
              <w:spacing w:before="65" w:line="228" w:lineRule="auto"/>
              <w:ind w:left="813"/>
              <w:rPr>
                <w:color w:val="auto"/>
                <w:highlight w:val="none"/>
              </w:rPr>
            </w:pPr>
            <w:r>
              <w:rPr>
                <w:color w:val="auto"/>
                <w:spacing w:val="8"/>
                <w:highlight w:val="none"/>
              </w:rPr>
              <w:t>监理服务期限</w:t>
            </w:r>
          </w:p>
        </w:tc>
        <w:tc>
          <w:tcPr>
            <w:tcW w:w="4891" w:type="dxa"/>
            <w:vAlign w:val="top"/>
          </w:tcPr>
          <w:p w14:paraId="4E9CBB02">
            <w:pPr>
              <w:pStyle w:val="18"/>
              <w:spacing w:before="145" w:line="360" w:lineRule="auto"/>
              <w:ind w:left="113" w:right="1212"/>
              <w:rPr>
                <w:color w:val="auto"/>
                <w:highlight w:val="none"/>
              </w:rPr>
            </w:pPr>
            <w:r>
              <w:rPr>
                <w:color w:val="auto"/>
                <w:spacing w:val="7"/>
                <w:highlight w:val="none"/>
              </w:rPr>
              <w:t>监理服务期：</w:t>
            </w:r>
            <w:r>
              <w:rPr>
                <w:color w:val="auto"/>
                <w:highlight w:val="none"/>
                <w:u w:val="single" w:color="auto"/>
              </w:rPr>
              <w:t xml:space="preserve"> </w:t>
            </w:r>
            <w:r>
              <w:rPr>
                <w:rFonts w:hint="eastAsia"/>
                <w:color w:val="auto"/>
                <w:highlight w:val="none"/>
                <w:u w:val="single" w:color="auto"/>
                <w:lang w:val="en-US" w:eastAsia="zh-CN"/>
              </w:rPr>
              <w:t>61</w:t>
            </w:r>
            <w:r>
              <w:rPr>
                <w:color w:val="auto"/>
                <w:spacing w:val="7"/>
                <w:highlight w:val="none"/>
                <w:u w:val="single" w:color="auto"/>
              </w:rPr>
              <w:t>个</w:t>
            </w:r>
            <w:r>
              <w:rPr>
                <w:color w:val="auto"/>
                <w:spacing w:val="7"/>
                <w:highlight w:val="none"/>
              </w:rPr>
              <w:t>月</w:t>
            </w:r>
            <w:r>
              <w:rPr>
                <w:rFonts w:hint="eastAsia"/>
                <w:color w:val="auto"/>
                <w:spacing w:val="7"/>
                <w:highlight w:val="none"/>
                <w:lang w:val="en-US" w:eastAsia="zh-CN"/>
              </w:rPr>
              <w:t xml:space="preserve">  </w:t>
            </w:r>
            <w:r>
              <w:rPr>
                <w:color w:val="auto"/>
                <w:spacing w:val="2"/>
                <w:highlight w:val="none"/>
              </w:rPr>
              <w:t>其中：</w:t>
            </w:r>
          </w:p>
          <w:p w14:paraId="36E64813">
            <w:pPr>
              <w:pStyle w:val="18"/>
              <w:spacing w:line="360" w:lineRule="auto"/>
              <w:ind w:left="112"/>
              <w:rPr>
                <w:color w:val="auto"/>
                <w:spacing w:val="6"/>
                <w:highlight w:val="none"/>
              </w:rPr>
            </w:pPr>
            <w:r>
              <w:rPr>
                <w:color w:val="auto"/>
                <w:spacing w:val="6"/>
                <w:highlight w:val="none"/>
              </w:rPr>
              <w:t>施工准备阶段：</w:t>
            </w:r>
            <w:r>
              <w:rPr>
                <w:color w:val="auto"/>
                <w:spacing w:val="6"/>
                <w:highlight w:val="none"/>
                <w:u w:val="single" w:color="auto"/>
              </w:rPr>
              <w:t xml:space="preserve"> </w:t>
            </w:r>
            <w:r>
              <w:rPr>
                <w:rFonts w:hint="eastAsia"/>
                <w:color w:val="auto"/>
                <w:spacing w:val="6"/>
                <w:highlight w:val="none"/>
                <w:u w:val="single" w:color="auto"/>
                <w:lang w:val="en-US" w:eastAsia="zh-CN"/>
              </w:rPr>
              <w:t>1</w:t>
            </w:r>
            <w:r>
              <w:rPr>
                <w:color w:val="auto"/>
                <w:spacing w:val="6"/>
                <w:highlight w:val="none"/>
                <w:u w:val="single" w:color="auto"/>
              </w:rPr>
              <w:t xml:space="preserve"> 个</w:t>
            </w:r>
            <w:r>
              <w:rPr>
                <w:color w:val="auto"/>
                <w:spacing w:val="6"/>
                <w:highlight w:val="none"/>
              </w:rPr>
              <w:t>月</w:t>
            </w:r>
          </w:p>
          <w:p w14:paraId="6013E501">
            <w:pPr>
              <w:pStyle w:val="18"/>
              <w:spacing w:before="140" w:line="360" w:lineRule="auto"/>
              <w:ind w:left="112"/>
              <w:rPr>
                <w:color w:val="auto"/>
                <w:highlight w:val="none"/>
              </w:rPr>
            </w:pPr>
            <w:r>
              <w:rPr>
                <w:color w:val="auto"/>
                <w:spacing w:val="7"/>
                <w:highlight w:val="none"/>
              </w:rPr>
              <w:t>施工阶段：</w:t>
            </w:r>
            <w:r>
              <w:rPr>
                <w:color w:val="auto"/>
                <w:highlight w:val="none"/>
                <w:u w:val="single" w:color="auto"/>
              </w:rPr>
              <w:t xml:space="preserve"> </w:t>
            </w:r>
            <w:r>
              <w:rPr>
                <w:rFonts w:hint="eastAsia"/>
                <w:color w:val="auto"/>
                <w:highlight w:val="none"/>
                <w:u w:val="single" w:color="auto"/>
                <w:lang w:val="en-US" w:eastAsia="zh-CN"/>
              </w:rPr>
              <w:t>36</w:t>
            </w:r>
            <w:r>
              <w:rPr>
                <w:color w:val="auto"/>
                <w:spacing w:val="7"/>
                <w:highlight w:val="none"/>
                <w:u w:val="single" w:color="auto"/>
              </w:rPr>
              <w:t>个</w:t>
            </w:r>
            <w:r>
              <w:rPr>
                <w:color w:val="auto"/>
                <w:spacing w:val="7"/>
                <w:highlight w:val="none"/>
              </w:rPr>
              <w:t>月</w:t>
            </w:r>
          </w:p>
          <w:p w14:paraId="05E946F3">
            <w:pPr>
              <w:pStyle w:val="18"/>
              <w:spacing w:line="360" w:lineRule="auto"/>
              <w:ind w:left="112"/>
              <w:rPr>
                <w:color w:val="auto"/>
                <w:spacing w:val="6"/>
                <w:highlight w:val="none"/>
              </w:rPr>
            </w:pPr>
            <w:r>
              <w:rPr>
                <w:color w:val="auto"/>
                <w:spacing w:val="7"/>
                <w:highlight w:val="none"/>
              </w:rPr>
              <w:t>交(竣)工验收及缺陷责任期：</w:t>
            </w:r>
            <w:r>
              <w:rPr>
                <w:color w:val="auto"/>
                <w:spacing w:val="7"/>
                <w:highlight w:val="none"/>
                <w:u w:val="single" w:color="auto"/>
              </w:rPr>
              <w:t xml:space="preserve"> </w:t>
            </w:r>
            <w:r>
              <w:rPr>
                <w:rFonts w:hint="eastAsia"/>
                <w:color w:val="auto"/>
                <w:spacing w:val="7"/>
                <w:highlight w:val="none"/>
                <w:u w:val="single" w:color="auto"/>
                <w:lang w:val="en-US" w:eastAsia="zh-CN"/>
              </w:rPr>
              <w:t>24</w:t>
            </w:r>
            <w:r>
              <w:rPr>
                <w:color w:val="auto"/>
                <w:spacing w:val="7"/>
                <w:highlight w:val="none"/>
                <w:u w:val="single" w:color="auto"/>
              </w:rPr>
              <w:t>个</w:t>
            </w:r>
            <w:r>
              <w:rPr>
                <w:color w:val="auto"/>
                <w:spacing w:val="7"/>
                <w:highlight w:val="none"/>
              </w:rPr>
              <w:t>月</w:t>
            </w:r>
          </w:p>
        </w:tc>
      </w:tr>
    </w:tbl>
    <w:p w14:paraId="482E7BB0">
      <w:pPr>
        <w:spacing w:line="220" w:lineRule="auto"/>
        <w:rPr>
          <w:rFonts w:ascii="宋体" w:hAnsi="宋体" w:eastAsia="宋体" w:cs="宋体"/>
          <w:color w:val="auto"/>
          <w:sz w:val="18"/>
          <w:szCs w:val="18"/>
          <w:highlight w:val="none"/>
        </w:rPr>
        <w:sectPr>
          <w:footerReference r:id="rId13" w:type="default"/>
          <w:pgSz w:w="11906" w:h="16839"/>
          <w:pgMar w:top="1325" w:right="1578" w:bottom="1297" w:left="1304" w:header="0" w:footer="1066" w:gutter="0"/>
          <w:pgNumType w:fmt="decimal"/>
          <w:cols w:space="720" w:num="1"/>
        </w:sectPr>
      </w:pPr>
      <w:bookmarkStart w:id="32" w:name="bookmark47"/>
      <w:bookmarkEnd w:id="32"/>
    </w:p>
    <w:tbl>
      <w:tblPr>
        <w:tblStyle w:val="17"/>
        <w:tblW w:w="878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13"/>
        <w:gridCol w:w="2877"/>
        <w:gridCol w:w="4891"/>
      </w:tblGrid>
      <w:tr w14:paraId="37DC5E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1013" w:type="dxa"/>
            <w:vAlign w:val="top"/>
          </w:tcPr>
          <w:p w14:paraId="5F003A6F">
            <w:pPr>
              <w:pStyle w:val="18"/>
              <w:spacing w:before="143" w:line="228" w:lineRule="auto"/>
              <w:ind w:left="198"/>
              <w:rPr>
                <w:color w:val="auto"/>
                <w:highlight w:val="none"/>
              </w:rPr>
            </w:pPr>
            <w:r>
              <w:rPr>
                <w:b/>
                <w:bCs/>
                <w:color w:val="auto"/>
                <w:spacing w:val="5"/>
                <w:highlight w:val="none"/>
              </w:rPr>
              <w:t>条款号</w:t>
            </w:r>
          </w:p>
        </w:tc>
        <w:tc>
          <w:tcPr>
            <w:tcW w:w="2877" w:type="dxa"/>
            <w:vAlign w:val="top"/>
          </w:tcPr>
          <w:p w14:paraId="21F41A56">
            <w:pPr>
              <w:pStyle w:val="18"/>
              <w:spacing w:before="143" w:line="228" w:lineRule="auto"/>
              <w:ind w:left="706"/>
              <w:rPr>
                <w:color w:val="auto"/>
                <w:highlight w:val="none"/>
              </w:rPr>
            </w:pPr>
            <w:r>
              <w:rPr>
                <w:b/>
                <w:bCs/>
                <w:color w:val="auto"/>
                <w:spacing w:val="-3"/>
                <w:highlight w:val="none"/>
              </w:rPr>
              <w:t>条</w:t>
            </w:r>
            <w:r>
              <w:rPr>
                <w:color w:val="auto"/>
                <w:spacing w:val="10"/>
                <w:highlight w:val="none"/>
              </w:rPr>
              <w:t xml:space="preserve">  </w:t>
            </w:r>
            <w:r>
              <w:rPr>
                <w:b/>
                <w:bCs/>
                <w:color w:val="auto"/>
                <w:spacing w:val="-3"/>
                <w:highlight w:val="none"/>
              </w:rPr>
              <w:t>款</w:t>
            </w:r>
            <w:r>
              <w:rPr>
                <w:color w:val="auto"/>
                <w:spacing w:val="12"/>
                <w:highlight w:val="none"/>
              </w:rPr>
              <w:t xml:space="preserve">  </w:t>
            </w:r>
            <w:r>
              <w:rPr>
                <w:b/>
                <w:bCs/>
                <w:color w:val="auto"/>
                <w:spacing w:val="-3"/>
                <w:highlight w:val="none"/>
              </w:rPr>
              <w:t>名</w:t>
            </w:r>
            <w:r>
              <w:rPr>
                <w:color w:val="auto"/>
                <w:spacing w:val="11"/>
                <w:highlight w:val="none"/>
              </w:rPr>
              <w:t xml:space="preserve">  </w:t>
            </w:r>
            <w:r>
              <w:rPr>
                <w:b/>
                <w:bCs/>
                <w:color w:val="auto"/>
                <w:spacing w:val="-3"/>
                <w:highlight w:val="none"/>
              </w:rPr>
              <w:t>称</w:t>
            </w:r>
          </w:p>
        </w:tc>
        <w:tc>
          <w:tcPr>
            <w:tcW w:w="4891" w:type="dxa"/>
            <w:vAlign w:val="top"/>
          </w:tcPr>
          <w:p w14:paraId="458C0C17">
            <w:pPr>
              <w:pStyle w:val="18"/>
              <w:spacing w:before="143" w:line="228" w:lineRule="auto"/>
              <w:ind w:left="1713"/>
              <w:rPr>
                <w:color w:val="auto"/>
                <w:highlight w:val="none"/>
              </w:rPr>
            </w:pPr>
            <w:r>
              <w:rPr>
                <w:b/>
                <w:bCs/>
                <w:color w:val="auto"/>
                <w:spacing w:val="-10"/>
                <w:highlight w:val="none"/>
              </w:rPr>
              <w:t>编</w:t>
            </w:r>
            <w:r>
              <w:rPr>
                <w:color w:val="auto"/>
                <w:spacing w:val="13"/>
                <w:highlight w:val="none"/>
              </w:rPr>
              <w:t xml:space="preserve">  </w:t>
            </w:r>
            <w:r>
              <w:rPr>
                <w:b/>
                <w:bCs/>
                <w:color w:val="auto"/>
                <w:spacing w:val="-10"/>
                <w:highlight w:val="none"/>
              </w:rPr>
              <w:t>列</w:t>
            </w:r>
            <w:r>
              <w:rPr>
                <w:color w:val="auto"/>
                <w:spacing w:val="23"/>
                <w:highlight w:val="none"/>
              </w:rPr>
              <w:t xml:space="preserve">  </w:t>
            </w:r>
            <w:r>
              <w:rPr>
                <w:b/>
                <w:bCs/>
                <w:color w:val="auto"/>
                <w:spacing w:val="-10"/>
                <w:highlight w:val="none"/>
              </w:rPr>
              <w:t>内</w:t>
            </w:r>
            <w:r>
              <w:rPr>
                <w:color w:val="auto"/>
                <w:spacing w:val="12"/>
                <w:highlight w:val="none"/>
              </w:rPr>
              <w:t xml:space="preserve">  </w:t>
            </w:r>
            <w:r>
              <w:rPr>
                <w:b/>
                <w:bCs/>
                <w:color w:val="auto"/>
                <w:spacing w:val="-10"/>
                <w:highlight w:val="none"/>
              </w:rPr>
              <w:t>容</w:t>
            </w:r>
          </w:p>
        </w:tc>
      </w:tr>
      <w:tr w14:paraId="473115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013" w:type="dxa"/>
            <w:vAlign w:val="top"/>
          </w:tcPr>
          <w:p w14:paraId="5850F4A5">
            <w:pPr>
              <w:pStyle w:val="18"/>
              <w:spacing w:before="141" w:line="234" w:lineRule="auto"/>
              <w:ind w:left="264"/>
              <w:rPr>
                <w:color w:val="auto"/>
                <w:highlight w:val="none"/>
              </w:rPr>
            </w:pPr>
            <w:r>
              <w:rPr>
                <w:color w:val="auto"/>
                <w:highlight w:val="none"/>
              </w:rPr>
              <w:t>1.3.3</w:t>
            </w:r>
          </w:p>
        </w:tc>
        <w:tc>
          <w:tcPr>
            <w:tcW w:w="2877" w:type="dxa"/>
            <w:vAlign w:val="top"/>
          </w:tcPr>
          <w:p w14:paraId="71E1A707">
            <w:pPr>
              <w:pStyle w:val="18"/>
              <w:spacing w:before="124" w:line="265" w:lineRule="exact"/>
              <w:ind w:left="972"/>
              <w:rPr>
                <w:color w:val="auto"/>
                <w:sz w:val="10"/>
                <w:szCs w:val="10"/>
                <w:highlight w:val="none"/>
              </w:rPr>
            </w:pPr>
            <w:r>
              <w:rPr>
                <w:color w:val="auto"/>
                <w:spacing w:val="7"/>
                <w:highlight w:val="none"/>
              </w:rPr>
              <w:t>质量要求</w:t>
            </w:r>
          </w:p>
        </w:tc>
        <w:tc>
          <w:tcPr>
            <w:tcW w:w="4891" w:type="dxa"/>
            <w:vAlign w:val="top"/>
          </w:tcPr>
          <w:p w14:paraId="709F995E">
            <w:pPr>
              <w:pStyle w:val="18"/>
              <w:spacing w:before="154" w:line="227" w:lineRule="auto"/>
              <w:ind w:left="112"/>
              <w:rPr>
                <w:rFonts w:ascii="宋体" w:hAnsi="宋体" w:eastAsia="宋体" w:cs="宋体"/>
                <w:color w:val="auto"/>
                <w:spacing w:val="7"/>
                <w:highlight w:val="none"/>
              </w:rPr>
            </w:pPr>
            <w:r>
              <w:rPr>
                <w:rFonts w:ascii="宋体" w:hAnsi="宋体" w:eastAsia="宋体" w:cs="宋体"/>
                <w:color w:val="auto"/>
                <w:spacing w:val="7"/>
                <w:highlight w:val="none"/>
              </w:rPr>
              <w:t>严格按照施工监理规范开展工作。</w:t>
            </w:r>
          </w:p>
          <w:p w14:paraId="3D48C0F9">
            <w:pPr>
              <w:pStyle w:val="18"/>
              <w:spacing w:before="154" w:line="227" w:lineRule="auto"/>
              <w:ind w:left="112"/>
              <w:rPr>
                <w:rFonts w:hint="eastAsia" w:ascii="宋体" w:hAnsi="宋体" w:eastAsia="宋体" w:cs="宋体"/>
                <w:color w:val="auto"/>
                <w:spacing w:val="7"/>
                <w:highlight w:val="none"/>
              </w:rPr>
            </w:pPr>
            <w:r>
              <w:rPr>
                <w:rFonts w:hint="eastAsia" w:ascii="宋体" w:hAnsi="宋体" w:eastAsia="宋体" w:cs="宋体"/>
                <w:color w:val="auto"/>
                <w:spacing w:val="7"/>
                <w:highlight w:val="none"/>
              </w:rPr>
              <w:t>工程交工验收的质量评定：质量评分≥75分；质量等级：合格；</w:t>
            </w:r>
          </w:p>
          <w:p w14:paraId="52931373">
            <w:pPr>
              <w:pStyle w:val="18"/>
              <w:spacing w:before="154" w:line="227" w:lineRule="auto"/>
              <w:ind w:left="112"/>
              <w:rPr>
                <w:color w:val="auto"/>
                <w:highlight w:val="none"/>
              </w:rPr>
            </w:pPr>
            <w:r>
              <w:rPr>
                <w:rFonts w:hint="eastAsia" w:ascii="宋体" w:hAnsi="宋体" w:eastAsia="宋体" w:cs="宋体"/>
                <w:color w:val="auto"/>
                <w:spacing w:val="7"/>
                <w:highlight w:val="none"/>
              </w:rPr>
              <w:t>竣工验收的质量评定：质量评分≥75分；质量等级：合格。</w:t>
            </w:r>
          </w:p>
        </w:tc>
      </w:tr>
      <w:tr w14:paraId="794736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013" w:type="dxa"/>
            <w:vAlign w:val="top"/>
          </w:tcPr>
          <w:p w14:paraId="3FBD1822">
            <w:pPr>
              <w:pStyle w:val="18"/>
              <w:spacing w:before="142" w:line="233" w:lineRule="auto"/>
              <w:ind w:left="264"/>
              <w:rPr>
                <w:color w:val="auto"/>
                <w:highlight w:val="none"/>
              </w:rPr>
            </w:pPr>
            <w:r>
              <w:rPr>
                <w:color w:val="auto"/>
                <w:highlight w:val="none"/>
              </w:rPr>
              <w:t>1.3.4</w:t>
            </w:r>
          </w:p>
        </w:tc>
        <w:tc>
          <w:tcPr>
            <w:tcW w:w="2877" w:type="dxa"/>
            <w:vAlign w:val="top"/>
          </w:tcPr>
          <w:p w14:paraId="43B60F43">
            <w:pPr>
              <w:pStyle w:val="18"/>
              <w:spacing w:before="122" w:line="267" w:lineRule="exact"/>
              <w:ind w:left="975"/>
              <w:rPr>
                <w:color w:val="auto"/>
                <w:sz w:val="10"/>
                <w:szCs w:val="10"/>
                <w:highlight w:val="none"/>
              </w:rPr>
            </w:pPr>
            <w:r>
              <w:rPr>
                <w:color w:val="auto"/>
                <w:spacing w:val="6"/>
                <w:highlight w:val="none"/>
              </w:rPr>
              <w:t>安全目标</w:t>
            </w:r>
          </w:p>
        </w:tc>
        <w:tc>
          <w:tcPr>
            <w:tcW w:w="4891" w:type="dxa"/>
            <w:vAlign w:val="top"/>
          </w:tcPr>
          <w:p w14:paraId="3CCDEABA">
            <w:pPr>
              <w:pStyle w:val="18"/>
              <w:spacing w:before="142" w:line="227" w:lineRule="auto"/>
              <w:ind w:left="113"/>
              <w:rPr>
                <w:color w:val="auto"/>
                <w:highlight w:val="none"/>
              </w:rPr>
            </w:pPr>
            <w:r>
              <w:rPr>
                <w:color w:val="auto"/>
                <w:spacing w:val="9"/>
                <w:highlight w:val="none"/>
                <w:u w:val="single" w:color="auto"/>
              </w:rPr>
              <w:t>严格执行有关安全生产的法律法规和规章制</w:t>
            </w:r>
            <w:r>
              <w:rPr>
                <w:color w:val="auto"/>
                <w:spacing w:val="8"/>
                <w:highlight w:val="none"/>
                <w:u w:val="single" w:color="auto"/>
              </w:rPr>
              <w:t>度</w:t>
            </w:r>
            <w:r>
              <w:rPr>
                <w:color w:val="auto"/>
                <w:spacing w:val="8"/>
                <w:highlight w:val="none"/>
              </w:rPr>
              <w:t>。</w:t>
            </w:r>
          </w:p>
        </w:tc>
      </w:tr>
      <w:tr w14:paraId="121E26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4" w:hRule="atLeast"/>
        </w:trPr>
        <w:tc>
          <w:tcPr>
            <w:tcW w:w="1013" w:type="dxa"/>
            <w:vAlign w:val="top"/>
          </w:tcPr>
          <w:p w14:paraId="4DCBEA41">
            <w:pPr>
              <w:spacing w:line="290" w:lineRule="auto"/>
              <w:rPr>
                <w:rFonts w:ascii="Arial"/>
                <w:color w:val="auto"/>
                <w:sz w:val="21"/>
                <w:highlight w:val="none"/>
              </w:rPr>
            </w:pPr>
          </w:p>
          <w:p w14:paraId="68230756">
            <w:pPr>
              <w:spacing w:line="290" w:lineRule="auto"/>
              <w:rPr>
                <w:rFonts w:ascii="Arial"/>
                <w:color w:val="auto"/>
                <w:sz w:val="21"/>
                <w:highlight w:val="none"/>
              </w:rPr>
            </w:pPr>
          </w:p>
          <w:p w14:paraId="16D5CE59">
            <w:pPr>
              <w:spacing w:line="291" w:lineRule="auto"/>
              <w:rPr>
                <w:rFonts w:ascii="Arial"/>
                <w:color w:val="auto"/>
                <w:sz w:val="21"/>
                <w:highlight w:val="none"/>
              </w:rPr>
            </w:pPr>
          </w:p>
          <w:p w14:paraId="3D443BA1">
            <w:pPr>
              <w:pStyle w:val="18"/>
              <w:spacing w:before="65" w:line="268" w:lineRule="exact"/>
              <w:ind w:left="264"/>
              <w:rPr>
                <w:color w:val="auto"/>
                <w:highlight w:val="none"/>
              </w:rPr>
            </w:pPr>
            <w:r>
              <w:rPr>
                <w:color w:val="auto"/>
                <w:position w:val="1"/>
                <w:highlight w:val="none"/>
              </w:rPr>
              <w:t>1.4.1</w:t>
            </w:r>
          </w:p>
        </w:tc>
        <w:tc>
          <w:tcPr>
            <w:tcW w:w="2877" w:type="dxa"/>
            <w:vAlign w:val="top"/>
          </w:tcPr>
          <w:p w14:paraId="75B61DD2">
            <w:pPr>
              <w:spacing w:line="335" w:lineRule="auto"/>
              <w:rPr>
                <w:rFonts w:ascii="Arial"/>
                <w:color w:val="auto"/>
                <w:sz w:val="21"/>
                <w:highlight w:val="none"/>
              </w:rPr>
            </w:pPr>
          </w:p>
          <w:p w14:paraId="1457E767">
            <w:pPr>
              <w:spacing w:line="335" w:lineRule="auto"/>
              <w:rPr>
                <w:rFonts w:ascii="Arial"/>
                <w:color w:val="auto"/>
                <w:sz w:val="21"/>
                <w:highlight w:val="none"/>
              </w:rPr>
            </w:pPr>
          </w:p>
          <w:p w14:paraId="01CDCC1C">
            <w:pPr>
              <w:pStyle w:val="18"/>
              <w:spacing w:before="65" w:line="228" w:lineRule="auto"/>
              <w:ind w:left="184"/>
              <w:rPr>
                <w:color w:val="auto"/>
                <w:highlight w:val="none"/>
              </w:rPr>
            </w:pPr>
            <w:r>
              <w:rPr>
                <w:color w:val="auto"/>
                <w:spacing w:val="8"/>
                <w:highlight w:val="none"/>
              </w:rPr>
              <w:t>投标人资质条件、能力和信</w:t>
            </w:r>
          </w:p>
          <w:p w14:paraId="2EFA0254">
            <w:pPr>
              <w:pStyle w:val="18"/>
              <w:spacing w:before="154" w:line="227" w:lineRule="auto"/>
              <w:ind w:left="1337"/>
              <w:rPr>
                <w:color w:val="auto"/>
                <w:highlight w:val="none"/>
              </w:rPr>
            </w:pPr>
            <w:r>
              <w:rPr>
                <w:color w:val="auto"/>
                <w:spacing w:val="1"/>
                <w:highlight w:val="none"/>
              </w:rPr>
              <w:t>誉</w:t>
            </w:r>
          </w:p>
        </w:tc>
        <w:tc>
          <w:tcPr>
            <w:tcW w:w="4891" w:type="dxa"/>
            <w:vAlign w:val="top"/>
          </w:tcPr>
          <w:p w14:paraId="06076C79">
            <w:pPr>
              <w:pStyle w:val="18"/>
              <w:spacing w:before="140" w:line="227" w:lineRule="auto"/>
              <w:ind w:left="121"/>
              <w:rPr>
                <w:color w:val="auto"/>
                <w:highlight w:val="none"/>
              </w:rPr>
            </w:pPr>
            <w:r>
              <w:rPr>
                <w:color w:val="auto"/>
                <w:spacing w:val="6"/>
                <w:highlight w:val="none"/>
              </w:rPr>
              <w:t>资质要求：见附录</w:t>
            </w:r>
            <w:r>
              <w:rPr>
                <w:color w:val="auto"/>
                <w:spacing w:val="-16"/>
                <w:highlight w:val="none"/>
              </w:rPr>
              <w:t xml:space="preserve"> </w:t>
            </w:r>
            <w:r>
              <w:rPr>
                <w:color w:val="auto"/>
                <w:spacing w:val="6"/>
                <w:highlight w:val="none"/>
              </w:rPr>
              <w:t>1</w:t>
            </w:r>
          </w:p>
          <w:p w14:paraId="020A955F">
            <w:pPr>
              <w:pStyle w:val="18"/>
              <w:spacing w:before="154" w:line="227" w:lineRule="auto"/>
              <w:ind w:left="112"/>
              <w:rPr>
                <w:color w:val="auto"/>
                <w:highlight w:val="none"/>
              </w:rPr>
            </w:pPr>
            <w:r>
              <w:rPr>
                <w:color w:val="auto"/>
                <w:spacing w:val="7"/>
                <w:highlight w:val="none"/>
              </w:rPr>
              <w:t>业绩要求：见附录</w:t>
            </w:r>
            <w:r>
              <w:rPr>
                <w:color w:val="auto"/>
                <w:spacing w:val="-28"/>
                <w:highlight w:val="none"/>
              </w:rPr>
              <w:t xml:space="preserve"> </w:t>
            </w:r>
            <w:r>
              <w:rPr>
                <w:color w:val="auto"/>
                <w:spacing w:val="7"/>
                <w:highlight w:val="none"/>
              </w:rPr>
              <w:t>2</w:t>
            </w:r>
          </w:p>
          <w:p w14:paraId="1EEA5A8C">
            <w:pPr>
              <w:pStyle w:val="18"/>
              <w:spacing w:before="154" w:line="227" w:lineRule="auto"/>
              <w:ind w:left="112"/>
              <w:rPr>
                <w:color w:val="auto"/>
                <w:highlight w:val="none"/>
              </w:rPr>
            </w:pPr>
            <w:r>
              <w:rPr>
                <w:color w:val="auto"/>
                <w:spacing w:val="7"/>
                <w:highlight w:val="none"/>
              </w:rPr>
              <w:t>信誉要求：见附录</w:t>
            </w:r>
            <w:r>
              <w:rPr>
                <w:color w:val="auto"/>
                <w:spacing w:val="-28"/>
                <w:highlight w:val="none"/>
              </w:rPr>
              <w:t xml:space="preserve"> </w:t>
            </w:r>
            <w:r>
              <w:rPr>
                <w:color w:val="auto"/>
                <w:spacing w:val="7"/>
                <w:highlight w:val="none"/>
              </w:rPr>
              <w:t>3</w:t>
            </w:r>
          </w:p>
          <w:p w14:paraId="2AFF32C2">
            <w:pPr>
              <w:pStyle w:val="18"/>
              <w:spacing w:before="151" w:line="302" w:lineRule="auto"/>
              <w:ind w:left="113" w:right="423" w:firstLine="4"/>
              <w:rPr>
                <w:color w:val="auto"/>
                <w:highlight w:val="none"/>
              </w:rPr>
            </w:pPr>
            <w:r>
              <w:rPr>
                <w:color w:val="auto"/>
                <w:spacing w:val="11"/>
                <w:highlight w:val="none"/>
              </w:rPr>
              <w:t>总监理工程师或驻地监理工程师资格：见附录4</w:t>
            </w:r>
            <w:r>
              <w:rPr>
                <w:color w:val="auto"/>
                <w:spacing w:val="-2"/>
                <w:highlight w:val="none"/>
              </w:rPr>
              <w:t>其他要求:</w:t>
            </w:r>
            <w:r>
              <w:rPr>
                <w:color w:val="auto"/>
                <w:spacing w:val="58"/>
                <w:highlight w:val="none"/>
              </w:rPr>
              <w:t xml:space="preserve"> </w:t>
            </w:r>
            <w:r>
              <w:rPr>
                <w:color w:val="auto"/>
                <w:highlight w:val="none"/>
                <w:u w:val="single" w:color="auto"/>
              </w:rPr>
              <w:t xml:space="preserve">  </w:t>
            </w:r>
            <w:r>
              <w:rPr>
                <w:rFonts w:hint="eastAsia"/>
                <w:color w:val="auto"/>
                <w:highlight w:val="none"/>
                <w:u w:val="single" w:color="auto"/>
                <w:lang w:val="en-US" w:eastAsia="zh-CN"/>
              </w:rPr>
              <w:t>/</w:t>
            </w:r>
            <w:r>
              <w:rPr>
                <w:color w:val="auto"/>
                <w:highlight w:val="none"/>
                <w:u w:val="single" w:color="auto"/>
              </w:rPr>
              <w:t xml:space="preserve">  </w:t>
            </w:r>
          </w:p>
        </w:tc>
      </w:tr>
      <w:tr w14:paraId="26431F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4" w:hRule="atLeast"/>
        </w:trPr>
        <w:tc>
          <w:tcPr>
            <w:tcW w:w="1013" w:type="dxa"/>
            <w:vAlign w:val="top"/>
          </w:tcPr>
          <w:p w14:paraId="700E5C23">
            <w:pPr>
              <w:spacing w:line="336" w:lineRule="auto"/>
              <w:rPr>
                <w:rFonts w:ascii="Arial"/>
                <w:color w:val="auto"/>
                <w:sz w:val="21"/>
                <w:highlight w:val="none"/>
              </w:rPr>
            </w:pPr>
          </w:p>
          <w:p w14:paraId="554F45BF">
            <w:pPr>
              <w:spacing w:line="337" w:lineRule="auto"/>
              <w:rPr>
                <w:rFonts w:ascii="Arial"/>
                <w:color w:val="auto"/>
                <w:sz w:val="21"/>
                <w:highlight w:val="none"/>
              </w:rPr>
            </w:pPr>
          </w:p>
          <w:p w14:paraId="21512CCA">
            <w:pPr>
              <w:pStyle w:val="18"/>
              <w:spacing w:before="65" w:line="268" w:lineRule="exact"/>
              <w:ind w:left="264"/>
              <w:rPr>
                <w:color w:val="auto"/>
                <w:highlight w:val="none"/>
              </w:rPr>
            </w:pPr>
            <w:r>
              <w:rPr>
                <w:color w:val="auto"/>
                <w:position w:val="1"/>
                <w:highlight w:val="none"/>
              </w:rPr>
              <w:t>1.4.2</w:t>
            </w:r>
          </w:p>
        </w:tc>
        <w:tc>
          <w:tcPr>
            <w:tcW w:w="2877" w:type="dxa"/>
            <w:vAlign w:val="top"/>
          </w:tcPr>
          <w:p w14:paraId="3FC0B73B">
            <w:pPr>
              <w:spacing w:line="336" w:lineRule="auto"/>
              <w:rPr>
                <w:rFonts w:ascii="Arial"/>
                <w:color w:val="auto"/>
                <w:sz w:val="21"/>
                <w:highlight w:val="none"/>
              </w:rPr>
            </w:pPr>
          </w:p>
          <w:p w14:paraId="06F2E381">
            <w:pPr>
              <w:spacing w:line="337" w:lineRule="auto"/>
              <w:rPr>
                <w:rFonts w:ascii="Arial"/>
                <w:color w:val="auto"/>
                <w:sz w:val="21"/>
                <w:highlight w:val="none"/>
              </w:rPr>
            </w:pPr>
          </w:p>
          <w:p w14:paraId="51A9E18D">
            <w:pPr>
              <w:pStyle w:val="18"/>
              <w:spacing w:before="65" w:line="228" w:lineRule="auto"/>
              <w:ind w:left="502"/>
              <w:rPr>
                <w:color w:val="auto"/>
                <w:highlight w:val="none"/>
              </w:rPr>
            </w:pPr>
            <w:r>
              <w:rPr>
                <w:color w:val="auto"/>
                <w:spacing w:val="8"/>
                <w:highlight w:val="none"/>
              </w:rPr>
              <w:t>是否接受联合体投标</w:t>
            </w:r>
          </w:p>
        </w:tc>
        <w:tc>
          <w:tcPr>
            <w:tcW w:w="4891" w:type="dxa"/>
            <w:vAlign w:val="top"/>
          </w:tcPr>
          <w:p w14:paraId="7A3A823A">
            <w:pPr>
              <w:pStyle w:val="18"/>
              <w:spacing w:before="142" w:line="229" w:lineRule="auto"/>
              <w:ind w:left="134"/>
              <w:rPr>
                <w:color w:val="auto"/>
                <w:highlight w:val="none"/>
              </w:rPr>
            </w:pPr>
            <w:r>
              <w:rPr>
                <w:rFonts w:hint="eastAsia"/>
                <w:color w:val="auto"/>
                <w:spacing w:val="2"/>
                <w:highlight w:val="none"/>
                <w:lang w:eastAsia="zh-CN"/>
              </w:rPr>
              <w:t>☑</w:t>
            </w:r>
            <w:r>
              <w:rPr>
                <w:color w:val="auto"/>
                <w:spacing w:val="2"/>
                <w:highlight w:val="none"/>
              </w:rPr>
              <w:t>不接受</w:t>
            </w:r>
          </w:p>
          <w:p w14:paraId="4E371BE2">
            <w:pPr>
              <w:pStyle w:val="18"/>
              <w:spacing w:before="152" w:line="228" w:lineRule="auto"/>
              <w:ind w:left="134"/>
              <w:rPr>
                <w:color w:val="auto"/>
                <w:highlight w:val="none"/>
              </w:rPr>
            </w:pPr>
            <w:r>
              <w:rPr>
                <w:color w:val="auto"/>
                <w:spacing w:val="6"/>
                <w:highlight w:val="none"/>
              </w:rPr>
              <w:t>□接受，应满足下列要求：</w:t>
            </w:r>
          </w:p>
          <w:p w14:paraId="565DA9AA">
            <w:pPr>
              <w:pStyle w:val="18"/>
              <w:spacing w:before="151" w:line="228" w:lineRule="auto"/>
              <w:ind w:left="123"/>
              <w:rPr>
                <w:color w:val="auto"/>
                <w:highlight w:val="none"/>
              </w:rPr>
            </w:pPr>
            <w:r>
              <w:rPr>
                <w:color w:val="auto"/>
                <w:spacing w:val="7"/>
                <w:highlight w:val="none"/>
              </w:rPr>
              <w:t>（1）联合体所有成员数量不得超过</w:t>
            </w:r>
            <w:r>
              <w:rPr>
                <w:color w:val="auto"/>
                <w:spacing w:val="-91"/>
                <w:highlight w:val="none"/>
              </w:rPr>
              <w:t xml:space="preserve"> </w:t>
            </w:r>
            <w:r>
              <w:rPr>
                <w:color w:val="auto"/>
                <w:spacing w:val="5"/>
                <w:highlight w:val="none"/>
                <w:u w:val="single" w:color="auto"/>
              </w:rPr>
              <w:t xml:space="preserve">  </w:t>
            </w:r>
            <w:r>
              <w:rPr>
                <w:rFonts w:hint="eastAsia"/>
                <w:color w:val="auto"/>
                <w:spacing w:val="5"/>
                <w:highlight w:val="none"/>
                <w:u w:val="single" w:color="auto"/>
                <w:lang w:val="en-US" w:eastAsia="zh-CN"/>
              </w:rPr>
              <w:t>/</w:t>
            </w:r>
            <w:r>
              <w:rPr>
                <w:color w:val="auto"/>
                <w:spacing w:val="5"/>
                <w:highlight w:val="none"/>
                <w:u w:val="single" w:color="auto"/>
              </w:rPr>
              <w:t xml:space="preserve">  </w:t>
            </w:r>
            <w:r>
              <w:rPr>
                <w:color w:val="auto"/>
                <w:spacing w:val="-89"/>
                <w:highlight w:val="none"/>
              </w:rPr>
              <w:t xml:space="preserve"> </w:t>
            </w:r>
            <w:r>
              <w:rPr>
                <w:color w:val="auto"/>
                <w:spacing w:val="7"/>
                <w:highlight w:val="none"/>
              </w:rPr>
              <w:t>家；</w:t>
            </w:r>
          </w:p>
          <w:p w14:paraId="2E1B75C1">
            <w:pPr>
              <w:pStyle w:val="18"/>
              <w:spacing w:before="154" w:line="227" w:lineRule="auto"/>
              <w:ind w:left="123"/>
              <w:rPr>
                <w:color w:val="auto"/>
                <w:highlight w:val="none"/>
              </w:rPr>
            </w:pPr>
            <w:r>
              <w:rPr>
                <w:color w:val="auto"/>
                <w:spacing w:val="5"/>
                <w:highlight w:val="none"/>
              </w:rPr>
              <w:t>（2）联合体牵头人应具有</w:t>
            </w:r>
            <w:r>
              <w:rPr>
                <w:color w:val="auto"/>
                <w:spacing w:val="-92"/>
                <w:highlight w:val="none"/>
              </w:rPr>
              <w:t xml:space="preserve"> </w:t>
            </w:r>
            <w:r>
              <w:rPr>
                <w:color w:val="auto"/>
                <w:spacing w:val="5"/>
                <w:highlight w:val="none"/>
                <w:u w:val="single" w:color="auto"/>
              </w:rPr>
              <w:t xml:space="preserve">   </w:t>
            </w:r>
            <w:r>
              <w:rPr>
                <w:rFonts w:hint="eastAsia"/>
                <w:color w:val="auto"/>
                <w:spacing w:val="5"/>
                <w:highlight w:val="none"/>
                <w:u w:val="single" w:color="auto"/>
                <w:lang w:val="en-US" w:eastAsia="zh-CN"/>
              </w:rPr>
              <w:t>/</w:t>
            </w:r>
            <w:r>
              <w:rPr>
                <w:color w:val="auto"/>
                <w:spacing w:val="5"/>
                <w:highlight w:val="none"/>
                <w:u w:val="single" w:color="auto"/>
              </w:rPr>
              <w:t xml:space="preserve">     </w:t>
            </w:r>
            <w:r>
              <w:rPr>
                <w:color w:val="auto"/>
                <w:spacing w:val="-82"/>
                <w:highlight w:val="none"/>
              </w:rPr>
              <w:t xml:space="preserve"> </w:t>
            </w:r>
            <w:r>
              <w:rPr>
                <w:color w:val="auto"/>
                <w:spacing w:val="5"/>
                <w:highlight w:val="none"/>
              </w:rPr>
              <w:t>资质；</w:t>
            </w:r>
            <w:r>
              <w:rPr>
                <w:color w:val="auto"/>
                <w:spacing w:val="-67"/>
                <w:highlight w:val="none"/>
              </w:rPr>
              <w:t xml:space="preserve"> </w:t>
            </w:r>
            <w:r>
              <w:rPr>
                <w:color w:val="auto"/>
                <w:spacing w:val="5"/>
                <w:highlight w:val="none"/>
              </w:rPr>
              <w:t>……</w:t>
            </w:r>
          </w:p>
        </w:tc>
      </w:tr>
      <w:tr w14:paraId="163DCF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5" w:hRule="atLeast"/>
        </w:trPr>
        <w:tc>
          <w:tcPr>
            <w:tcW w:w="1013" w:type="dxa"/>
            <w:vAlign w:val="top"/>
          </w:tcPr>
          <w:p w14:paraId="4C3363E0">
            <w:pPr>
              <w:pStyle w:val="18"/>
              <w:spacing w:before="65" w:line="268" w:lineRule="exact"/>
              <w:ind w:left="264"/>
              <w:rPr>
                <w:color w:val="auto"/>
                <w:highlight w:val="none"/>
              </w:rPr>
            </w:pPr>
            <w:r>
              <w:rPr>
                <w:color w:val="auto"/>
                <w:position w:val="1"/>
                <w:highlight w:val="none"/>
              </w:rPr>
              <w:t>1.4.3</w:t>
            </w:r>
          </w:p>
        </w:tc>
        <w:tc>
          <w:tcPr>
            <w:tcW w:w="2877" w:type="dxa"/>
            <w:vAlign w:val="top"/>
          </w:tcPr>
          <w:p w14:paraId="709463AF">
            <w:pPr>
              <w:pStyle w:val="18"/>
              <w:spacing w:before="65" w:line="228" w:lineRule="auto"/>
              <w:ind w:left="184"/>
              <w:rPr>
                <w:color w:val="auto"/>
                <w:highlight w:val="none"/>
              </w:rPr>
            </w:pPr>
            <w:r>
              <w:rPr>
                <w:color w:val="auto"/>
                <w:spacing w:val="8"/>
                <w:highlight w:val="none"/>
              </w:rPr>
              <w:t>投标人不得存在的其他关联</w:t>
            </w:r>
          </w:p>
          <w:p w14:paraId="137066AA">
            <w:pPr>
              <w:pStyle w:val="18"/>
              <w:spacing w:before="154" w:line="228" w:lineRule="auto"/>
              <w:ind w:left="1233"/>
              <w:rPr>
                <w:color w:val="auto"/>
                <w:highlight w:val="none"/>
              </w:rPr>
            </w:pPr>
            <w:r>
              <w:rPr>
                <w:color w:val="auto"/>
                <w:spacing w:val="4"/>
                <w:highlight w:val="none"/>
              </w:rPr>
              <w:t>情形</w:t>
            </w:r>
          </w:p>
        </w:tc>
        <w:tc>
          <w:tcPr>
            <w:tcW w:w="4891" w:type="dxa"/>
            <w:vAlign w:val="center"/>
          </w:tcPr>
          <w:p w14:paraId="5AA3FF63">
            <w:pPr>
              <w:pStyle w:val="18"/>
              <w:spacing w:before="144" w:line="323" w:lineRule="auto"/>
              <w:ind w:left="112" w:right="108" w:firstLine="10"/>
              <w:jc w:val="center"/>
              <w:rPr>
                <w:rFonts w:hint="eastAsia" w:eastAsia="宋体"/>
                <w:color w:val="auto"/>
                <w:highlight w:val="none"/>
                <w:lang w:eastAsia="zh-CN"/>
              </w:rPr>
            </w:pPr>
            <w:r>
              <w:rPr>
                <w:rFonts w:hint="eastAsia"/>
                <w:color w:val="auto"/>
                <w:spacing w:val="11"/>
                <w:highlight w:val="none"/>
                <w:lang w:val="en-US" w:eastAsia="zh-CN"/>
              </w:rPr>
              <w:t>/</w:t>
            </w:r>
          </w:p>
        </w:tc>
      </w:tr>
      <w:tr w14:paraId="0906CF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1013" w:type="dxa"/>
            <w:vAlign w:val="top"/>
          </w:tcPr>
          <w:p w14:paraId="1B11B62D">
            <w:pPr>
              <w:spacing w:line="276" w:lineRule="auto"/>
              <w:rPr>
                <w:rFonts w:ascii="Arial"/>
                <w:color w:val="auto"/>
                <w:sz w:val="21"/>
                <w:highlight w:val="none"/>
              </w:rPr>
            </w:pPr>
          </w:p>
          <w:p w14:paraId="7A0CCCE2">
            <w:pPr>
              <w:pStyle w:val="18"/>
              <w:spacing w:before="65" w:line="268" w:lineRule="exact"/>
              <w:ind w:left="264"/>
              <w:rPr>
                <w:color w:val="auto"/>
                <w:highlight w:val="none"/>
              </w:rPr>
            </w:pPr>
            <w:r>
              <w:rPr>
                <w:color w:val="auto"/>
                <w:position w:val="1"/>
                <w:highlight w:val="none"/>
              </w:rPr>
              <w:t>1.4.4</w:t>
            </w:r>
          </w:p>
        </w:tc>
        <w:tc>
          <w:tcPr>
            <w:tcW w:w="2877" w:type="dxa"/>
            <w:vAlign w:val="center"/>
          </w:tcPr>
          <w:p w14:paraId="134910ED">
            <w:pPr>
              <w:pStyle w:val="18"/>
              <w:spacing w:before="145" w:line="300" w:lineRule="auto"/>
              <w:ind w:left="498" w:right="180" w:hanging="314"/>
              <w:jc w:val="center"/>
              <w:rPr>
                <w:color w:val="auto"/>
                <w:highlight w:val="none"/>
              </w:rPr>
            </w:pPr>
            <w:r>
              <w:rPr>
                <w:color w:val="auto"/>
                <w:spacing w:val="8"/>
                <w:highlight w:val="none"/>
              </w:rPr>
              <w:t>投标人不得存在的其他不良状况或不良信用记录</w:t>
            </w:r>
          </w:p>
        </w:tc>
        <w:tc>
          <w:tcPr>
            <w:tcW w:w="4891" w:type="dxa"/>
            <w:vAlign w:val="center"/>
          </w:tcPr>
          <w:p w14:paraId="0DDBBF11">
            <w:pPr>
              <w:jc w:val="center"/>
              <w:rPr>
                <w:rFonts w:hint="eastAsia" w:ascii="Arial" w:eastAsia="宋体"/>
                <w:color w:val="auto"/>
                <w:sz w:val="21"/>
                <w:highlight w:val="none"/>
                <w:lang w:val="en-US" w:eastAsia="zh-CN"/>
              </w:rPr>
            </w:pPr>
            <w:r>
              <w:rPr>
                <w:rFonts w:hint="eastAsia" w:eastAsia="宋体"/>
                <w:color w:val="auto"/>
                <w:sz w:val="21"/>
                <w:highlight w:val="none"/>
                <w:lang w:val="en-US" w:eastAsia="zh-CN"/>
              </w:rPr>
              <w:t>/</w:t>
            </w:r>
          </w:p>
        </w:tc>
      </w:tr>
      <w:tr w14:paraId="696A16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4" w:hRule="atLeast"/>
        </w:trPr>
        <w:tc>
          <w:tcPr>
            <w:tcW w:w="1013" w:type="dxa"/>
            <w:vAlign w:val="top"/>
          </w:tcPr>
          <w:p w14:paraId="3ACAFA85">
            <w:pPr>
              <w:spacing w:line="265" w:lineRule="auto"/>
              <w:rPr>
                <w:rFonts w:ascii="Arial"/>
                <w:color w:val="auto"/>
                <w:sz w:val="21"/>
                <w:highlight w:val="none"/>
              </w:rPr>
            </w:pPr>
          </w:p>
          <w:p w14:paraId="78C2647B">
            <w:pPr>
              <w:pStyle w:val="18"/>
              <w:spacing w:before="65" w:line="285" w:lineRule="exact"/>
              <w:ind w:left="159"/>
              <w:rPr>
                <w:color w:val="auto"/>
                <w:sz w:val="10"/>
                <w:szCs w:val="10"/>
                <w:highlight w:val="none"/>
              </w:rPr>
            </w:pPr>
            <w:r>
              <w:rPr>
                <w:color w:val="auto"/>
                <w:spacing w:val="1"/>
                <w:highlight w:val="none"/>
              </w:rPr>
              <w:t>1.10.2</w:t>
            </w:r>
          </w:p>
        </w:tc>
        <w:tc>
          <w:tcPr>
            <w:tcW w:w="2877" w:type="dxa"/>
            <w:vAlign w:val="top"/>
          </w:tcPr>
          <w:p w14:paraId="0020A63B">
            <w:pPr>
              <w:pStyle w:val="18"/>
              <w:spacing w:before="150" w:line="227" w:lineRule="auto"/>
              <w:ind w:left="184"/>
              <w:rPr>
                <w:color w:val="auto"/>
                <w:highlight w:val="none"/>
              </w:rPr>
            </w:pPr>
            <w:r>
              <w:rPr>
                <w:color w:val="auto"/>
                <w:spacing w:val="8"/>
                <w:highlight w:val="none"/>
              </w:rPr>
              <w:t>投标人在投标预备会前提出</w:t>
            </w:r>
          </w:p>
          <w:p w14:paraId="6AC91929">
            <w:pPr>
              <w:pStyle w:val="18"/>
              <w:spacing w:before="152" w:line="230" w:lineRule="auto"/>
              <w:ind w:left="1256"/>
              <w:rPr>
                <w:color w:val="auto"/>
                <w:highlight w:val="none"/>
              </w:rPr>
            </w:pPr>
            <w:r>
              <w:rPr>
                <w:color w:val="auto"/>
                <w:spacing w:val="-7"/>
                <w:highlight w:val="none"/>
              </w:rPr>
              <w:t>问题</w:t>
            </w:r>
          </w:p>
        </w:tc>
        <w:tc>
          <w:tcPr>
            <w:tcW w:w="4891" w:type="dxa"/>
            <w:vAlign w:val="top"/>
          </w:tcPr>
          <w:p w14:paraId="6FB5CEAB">
            <w:pPr>
              <w:pStyle w:val="18"/>
              <w:spacing w:before="150" w:line="227" w:lineRule="auto"/>
              <w:ind w:left="122"/>
              <w:rPr>
                <w:color w:val="auto"/>
                <w:highlight w:val="none"/>
              </w:rPr>
            </w:pPr>
            <w:r>
              <w:rPr>
                <w:color w:val="auto"/>
                <w:spacing w:val="6"/>
                <w:highlight w:val="none"/>
              </w:rPr>
              <w:t>时间：投标预备会召开之日</w:t>
            </w:r>
            <w:r>
              <w:rPr>
                <w:color w:val="auto"/>
                <w:spacing w:val="-27"/>
                <w:highlight w:val="none"/>
              </w:rPr>
              <w:t xml:space="preserve"> </w:t>
            </w:r>
            <w:r>
              <w:rPr>
                <w:rFonts w:hint="eastAsia"/>
                <w:color w:val="auto"/>
                <w:spacing w:val="6"/>
                <w:highlight w:val="none"/>
                <w:u w:val="single" w:color="auto"/>
                <w:lang w:val="en-US" w:eastAsia="zh-CN"/>
              </w:rPr>
              <w:t xml:space="preserve"> /</w:t>
            </w:r>
            <w:r>
              <w:rPr>
                <w:color w:val="auto"/>
                <w:spacing w:val="-33"/>
                <w:highlight w:val="none"/>
                <w:u w:val="single" w:color="auto"/>
              </w:rPr>
              <w:t xml:space="preserve"> </w:t>
            </w:r>
            <w:r>
              <w:rPr>
                <w:color w:val="auto"/>
                <w:spacing w:val="6"/>
                <w:highlight w:val="none"/>
              </w:rPr>
              <w:t>天前</w:t>
            </w:r>
          </w:p>
          <w:p w14:paraId="4FED5C13">
            <w:pPr>
              <w:pStyle w:val="18"/>
              <w:spacing w:before="152" w:line="228" w:lineRule="auto"/>
              <w:ind w:left="115"/>
              <w:rPr>
                <w:color w:val="auto"/>
                <w:highlight w:val="none"/>
              </w:rPr>
            </w:pPr>
            <w:r>
              <w:rPr>
                <w:color w:val="auto"/>
                <w:spacing w:val="5"/>
                <w:highlight w:val="none"/>
              </w:rPr>
              <w:t>形式：</w:t>
            </w:r>
            <w:r>
              <w:rPr>
                <w:color w:val="auto"/>
                <w:spacing w:val="5"/>
                <w:highlight w:val="none"/>
                <w:u w:val="single" w:color="auto"/>
              </w:rPr>
              <w:t>通过“</w:t>
            </w:r>
            <w:r>
              <w:rPr>
                <w:color w:val="auto"/>
                <w:spacing w:val="-68"/>
                <w:highlight w:val="none"/>
                <w:u w:val="single" w:color="auto"/>
              </w:rPr>
              <w:t xml:space="preserve"> </w:t>
            </w:r>
            <w:r>
              <w:rPr>
                <w:color w:val="auto"/>
                <w:spacing w:val="5"/>
                <w:highlight w:val="none"/>
                <w:u w:val="single" w:color="auto"/>
              </w:rPr>
              <w:t>电子交易平台</w:t>
            </w:r>
            <w:r>
              <w:rPr>
                <w:color w:val="auto"/>
                <w:spacing w:val="-70"/>
                <w:highlight w:val="none"/>
                <w:u w:val="single" w:color="auto"/>
              </w:rPr>
              <w:t xml:space="preserve"> </w:t>
            </w:r>
            <w:r>
              <w:rPr>
                <w:color w:val="auto"/>
                <w:spacing w:val="5"/>
                <w:highlight w:val="none"/>
                <w:u w:val="single" w:color="auto"/>
              </w:rPr>
              <w:t>”提出</w:t>
            </w:r>
          </w:p>
        </w:tc>
      </w:tr>
      <w:tr w14:paraId="2251E6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4" w:hRule="atLeast"/>
        </w:trPr>
        <w:tc>
          <w:tcPr>
            <w:tcW w:w="1013" w:type="dxa"/>
            <w:vAlign w:val="top"/>
          </w:tcPr>
          <w:p w14:paraId="3DA6DB88">
            <w:pPr>
              <w:pStyle w:val="18"/>
              <w:spacing w:before="159" w:line="265" w:lineRule="exact"/>
              <w:ind w:left="357"/>
              <w:rPr>
                <w:color w:val="auto"/>
                <w:highlight w:val="none"/>
              </w:rPr>
            </w:pPr>
            <w:r>
              <w:rPr>
                <w:color w:val="auto"/>
                <w:spacing w:val="1"/>
                <w:position w:val="1"/>
                <w:highlight w:val="none"/>
              </w:rPr>
              <w:t>2.1</w:t>
            </w:r>
          </w:p>
        </w:tc>
        <w:tc>
          <w:tcPr>
            <w:tcW w:w="2877" w:type="dxa"/>
            <w:vAlign w:val="top"/>
          </w:tcPr>
          <w:p w14:paraId="0F5C104A">
            <w:pPr>
              <w:pStyle w:val="18"/>
              <w:spacing w:before="159" w:line="228" w:lineRule="auto"/>
              <w:ind w:left="290"/>
              <w:rPr>
                <w:color w:val="auto"/>
                <w:highlight w:val="none"/>
              </w:rPr>
            </w:pPr>
            <w:r>
              <w:rPr>
                <w:color w:val="auto"/>
                <w:spacing w:val="8"/>
                <w:highlight w:val="none"/>
              </w:rPr>
              <w:t>构成招标文件的其他资料</w:t>
            </w:r>
          </w:p>
        </w:tc>
        <w:tc>
          <w:tcPr>
            <w:tcW w:w="4891" w:type="dxa"/>
            <w:vAlign w:val="center"/>
          </w:tcPr>
          <w:p w14:paraId="6C0D3D70">
            <w:pPr>
              <w:jc w:val="both"/>
              <w:rPr>
                <w:rFonts w:ascii="Arial"/>
                <w:color w:val="auto"/>
                <w:sz w:val="21"/>
                <w:highlight w:val="none"/>
              </w:rPr>
            </w:pPr>
            <w:r>
              <w:rPr>
                <w:rFonts w:hint="eastAsia" w:ascii="Arial"/>
                <w:color w:val="auto"/>
                <w:sz w:val="21"/>
                <w:highlight w:val="none"/>
              </w:rPr>
              <w:t>招标文件所附的其他资料</w:t>
            </w:r>
          </w:p>
        </w:tc>
      </w:tr>
      <w:tr w14:paraId="265720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013" w:type="dxa"/>
            <w:vMerge w:val="restart"/>
            <w:tcBorders>
              <w:bottom w:val="nil"/>
            </w:tcBorders>
            <w:vAlign w:val="top"/>
          </w:tcPr>
          <w:p w14:paraId="6A8C7A2C">
            <w:pPr>
              <w:spacing w:line="282" w:lineRule="auto"/>
              <w:rPr>
                <w:rFonts w:ascii="Arial"/>
                <w:color w:val="auto"/>
                <w:sz w:val="21"/>
                <w:highlight w:val="none"/>
              </w:rPr>
            </w:pPr>
          </w:p>
          <w:p w14:paraId="05C9B9CF">
            <w:pPr>
              <w:pStyle w:val="18"/>
              <w:spacing w:before="65" w:line="268" w:lineRule="exact"/>
              <w:ind w:left="251"/>
              <w:rPr>
                <w:color w:val="auto"/>
                <w:highlight w:val="none"/>
              </w:rPr>
            </w:pPr>
            <w:r>
              <w:rPr>
                <w:color w:val="auto"/>
                <w:spacing w:val="2"/>
                <w:position w:val="1"/>
                <w:highlight w:val="none"/>
              </w:rPr>
              <w:t>2.2.1</w:t>
            </w:r>
          </w:p>
        </w:tc>
        <w:tc>
          <w:tcPr>
            <w:tcW w:w="2877" w:type="dxa"/>
            <w:vMerge w:val="restart"/>
            <w:tcBorders>
              <w:bottom w:val="nil"/>
            </w:tcBorders>
            <w:vAlign w:val="top"/>
          </w:tcPr>
          <w:p w14:paraId="78E3C6A1">
            <w:pPr>
              <w:spacing w:line="282" w:lineRule="auto"/>
              <w:rPr>
                <w:rFonts w:ascii="Arial"/>
                <w:color w:val="auto"/>
                <w:sz w:val="21"/>
                <w:highlight w:val="none"/>
              </w:rPr>
            </w:pPr>
          </w:p>
          <w:p w14:paraId="4BD8D106">
            <w:pPr>
              <w:pStyle w:val="18"/>
              <w:spacing w:before="65" w:line="228" w:lineRule="auto"/>
              <w:ind w:left="290"/>
              <w:rPr>
                <w:color w:val="auto"/>
                <w:highlight w:val="none"/>
              </w:rPr>
            </w:pPr>
            <w:r>
              <w:rPr>
                <w:color w:val="auto"/>
                <w:spacing w:val="8"/>
                <w:highlight w:val="none"/>
              </w:rPr>
              <w:t>投标人要求澄清招标文件</w:t>
            </w:r>
          </w:p>
        </w:tc>
        <w:tc>
          <w:tcPr>
            <w:tcW w:w="4891" w:type="dxa"/>
            <w:vAlign w:val="top"/>
          </w:tcPr>
          <w:p w14:paraId="66C170DB">
            <w:pPr>
              <w:pStyle w:val="18"/>
              <w:spacing w:before="144" w:line="228" w:lineRule="auto"/>
              <w:ind w:left="122"/>
              <w:rPr>
                <w:rFonts w:hint="default" w:eastAsia="宋体"/>
                <w:color w:val="auto"/>
                <w:highlight w:val="none"/>
                <w:lang w:val="en-US" w:eastAsia="zh-CN"/>
              </w:rPr>
            </w:pPr>
            <w:r>
              <w:rPr>
                <w:color w:val="auto"/>
                <w:spacing w:val="7"/>
                <w:highlight w:val="none"/>
              </w:rPr>
              <w:t>时间：投标文件递交截止之日</w:t>
            </w:r>
            <w:r>
              <w:rPr>
                <w:color w:val="auto"/>
                <w:spacing w:val="-88"/>
                <w:highlight w:val="none"/>
              </w:rPr>
              <w:t xml:space="preserve"> </w:t>
            </w:r>
            <w:r>
              <w:rPr>
                <w:color w:val="auto"/>
                <w:spacing w:val="4"/>
                <w:highlight w:val="none"/>
                <w:u w:val="single" w:color="auto"/>
              </w:rPr>
              <w:t xml:space="preserve"> </w:t>
            </w:r>
            <w:r>
              <w:rPr>
                <w:rFonts w:hint="eastAsia"/>
                <w:color w:val="auto"/>
                <w:spacing w:val="4"/>
                <w:highlight w:val="none"/>
                <w:u w:val="single" w:color="auto"/>
                <w:lang w:val="en-US" w:eastAsia="zh-CN"/>
              </w:rPr>
              <w:t>10</w:t>
            </w:r>
            <w:r>
              <w:rPr>
                <w:color w:val="auto"/>
                <w:spacing w:val="4"/>
                <w:highlight w:val="none"/>
                <w:u w:val="single" w:color="auto"/>
              </w:rPr>
              <w:t xml:space="preserve"> </w:t>
            </w:r>
            <w:r>
              <w:rPr>
                <w:color w:val="auto"/>
                <w:spacing w:val="-87"/>
                <w:highlight w:val="none"/>
              </w:rPr>
              <w:t xml:space="preserve"> </w:t>
            </w:r>
            <w:r>
              <w:rPr>
                <w:color w:val="auto"/>
                <w:spacing w:val="7"/>
                <w:highlight w:val="none"/>
              </w:rPr>
              <w:t>天前</w:t>
            </w:r>
            <w:r>
              <w:rPr>
                <w:rFonts w:hint="eastAsia"/>
                <w:color w:val="auto"/>
                <w:spacing w:val="7"/>
                <w:highlight w:val="none"/>
                <w:lang w:eastAsia="zh-CN"/>
              </w:rPr>
              <w:t>，</w:t>
            </w:r>
            <w:r>
              <w:rPr>
                <w:rFonts w:hint="eastAsia"/>
                <w:color w:val="auto"/>
                <w:spacing w:val="7"/>
                <w:highlight w:val="none"/>
                <w:lang w:val="en-US" w:eastAsia="zh-CN"/>
              </w:rPr>
              <w:t>具体详见“重要事项时间地点一览表”。</w:t>
            </w:r>
          </w:p>
        </w:tc>
      </w:tr>
      <w:tr w14:paraId="6AF6C7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013" w:type="dxa"/>
            <w:vMerge w:val="continue"/>
            <w:tcBorders>
              <w:top w:val="nil"/>
            </w:tcBorders>
            <w:vAlign w:val="top"/>
          </w:tcPr>
          <w:p w14:paraId="00C47E32">
            <w:pPr>
              <w:rPr>
                <w:rFonts w:ascii="Arial"/>
                <w:color w:val="auto"/>
                <w:sz w:val="21"/>
                <w:highlight w:val="none"/>
              </w:rPr>
            </w:pPr>
          </w:p>
        </w:tc>
        <w:tc>
          <w:tcPr>
            <w:tcW w:w="2877" w:type="dxa"/>
            <w:vMerge w:val="continue"/>
            <w:tcBorders>
              <w:top w:val="nil"/>
            </w:tcBorders>
            <w:vAlign w:val="top"/>
          </w:tcPr>
          <w:p w14:paraId="5F87FC9E">
            <w:pPr>
              <w:rPr>
                <w:rFonts w:ascii="Arial"/>
                <w:color w:val="auto"/>
                <w:sz w:val="21"/>
                <w:highlight w:val="none"/>
              </w:rPr>
            </w:pPr>
          </w:p>
        </w:tc>
        <w:tc>
          <w:tcPr>
            <w:tcW w:w="4891" w:type="dxa"/>
            <w:vAlign w:val="top"/>
          </w:tcPr>
          <w:p w14:paraId="5C4FE074">
            <w:pPr>
              <w:pStyle w:val="18"/>
              <w:spacing w:before="146" w:line="228" w:lineRule="auto"/>
              <w:ind w:left="115"/>
              <w:rPr>
                <w:color w:val="auto"/>
                <w:highlight w:val="none"/>
              </w:rPr>
            </w:pPr>
            <w:r>
              <w:rPr>
                <w:color w:val="auto"/>
                <w:spacing w:val="5"/>
                <w:highlight w:val="none"/>
              </w:rPr>
              <w:t>形式：</w:t>
            </w:r>
            <w:r>
              <w:rPr>
                <w:color w:val="auto"/>
                <w:spacing w:val="5"/>
                <w:highlight w:val="none"/>
                <w:u w:val="single" w:color="auto"/>
              </w:rPr>
              <w:t>通过“</w:t>
            </w:r>
            <w:r>
              <w:rPr>
                <w:color w:val="auto"/>
                <w:spacing w:val="-68"/>
                <w:highlight w:val="none"/>
                <w:u w:val="single" w:color="auto"/>
              </w:rPr>
              <w:t xml:space="preserve"> </w:t>
            </w:r>
            <w:r>
              <w:rPr>
                <w:color w:val="auto"/>
                <w:spacing w:val="5"/>
                <w:highlight w:val="none"/>
                <w:u w:val="single" w:color="auto"/>
              </w:rPr>
              <w:t>电子交易平台</w:t>
            </w:r>
            <w:r>
              <w:rPr>
                <w:color w:val="auto"/>
                <w:spacing w:val="-70"/>
                <w:highlight w:val="none"/>
                <w:u w:val="single" w:color="auto"/>
              </w:rPr>
              <w:t xml:space="preserve"> </w:t>
            </w:r>
            <w:r>
              <w:rPr>
                <w:color w:val="auto"/>
                <w:spacing w:val="5"/>
                <w:highlight w:val="none"/>
                <w:u w:val="single" w:color="auto"/>
              </w:rPr>
              <w:t>”提出</w:t>
            </w:r>
          </w:p>
        </w:tc>
      </w:tr>
      <w:tr w14:paraId="2592A1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1013" w:type="dxa"/>
            <w:vAlign w:val="top"/>
          </w:tcPr>
          <w:p w14:paraId="0F0176B6">
            <w:pPr>
              <w:pStyle w:val="18"/>
              <w:spacing w:before="172" w:line="268" w:lineRule="exact"/>
              <w:ind w:left="251"/>
              <w:rPr>
                <w:color w:val="auto"/>
                <w:highlight w:val="none"/>
              </w:rPr>
            </w:pPr>
            <w:r>
              <w:rPr>
                <w:color w:val="auto"/>
                <w:spacing w:val="2"/>
                <w:position w:val="1"/>
                <w:highlight w:val="none"/>
              </w:rPr>
              <w:t>2.2.2</w:t>
            </w:r>
          </w:p>
        </w:tc>
        <w:tc>
          <w:tcPr>
            <w:tcW w:w="2877" w:type="dxa"/>
            <w:vAlign w:val="top"/>
          </w:tcPr>
          <w:p w14:paraId="3729E43A">
            <w:pPr>
              <w:pStyle w:val="18"/>
              <w:spacing w:before="172" w:line="228" w:lineRule="auto"/>
              <w:ind w:left="288"/>
              <w:rPr>
                <w:color w:val="auto"/>
                <w:highlight w:val="none"/>
              </w:rPr>
            </w:pPr>
            <w:r>
              <w:rPr>
                <w:color w:val="auto"/>
                <w:spacing w:val="9"/>
                <w:highlight w:val="none"/>
              </w:rPr>
              <w:t>招标文件澄清发出的形式</w:t>
            </w:r>
          </w:p>
        </w:tc>
        <w:tc>
          <w:tcPr>
            <w:tcW w:w="4891" w:type="dxa"/>
            <w:vAlign w:val="top"/>
          </w:tcPr>
          <w:p w14:paraId="3ECF6825">
            <w:pPr>
              <w:pStyle w:val="18"/>
              <w:spacing w:before="172" w:line="228" w:lineRule="auto"/>
              <w:ind w:left="112"/>
              <w:rPr>
                <w:color w:val="auto"/>
                <w:highlight w:val="none"/>
              </w:rPr>
            </w:pPr>
            <w:r>
              <w:rPr>
                <w:color w:val="auto"/>
                <w:spacing w:val="5"/>
                <w:highlight w:val="none"/>
                <w:u w:val="single" w:color="auto"/>
              </w:rPr>
              <w:t>通过“</w:t>
            </w:r>
            <w:r>
              <w:rPr>
                <w:color w:val="auto"/>
                <w:spacing w:val="-57"/>
                <w:highlight w:val="none"/>
                <w:u w:val="single" w:color="auto"/>
              </w:rPr>
              <w:t xml:space="preserve"> </w:t>
            </w:r>
            <w:r>
              <w:rPr>
                <w:color w:val="auto"/>
                <w:spacing w:val="5"/>
                <w:highlight w:val="none"/>
                <w:u w:val="single" w:color="auto"/>
              </w:rPr>
              <w:t>电子交易平台</w:t>
            </w:r>
            <w:r>
              <w:rPr>
                <w:color w:val="auto"/>
                <w:spacing w:val="-70"/>
                <w:highlight w:val="none"/>
                <w:u w:val="single" w:color="auto"/>
              </w:rPr>
              <w:t xml:space="preserve"> </w:t>
            </w:r>
            <w:r>
              <w:rPr>
                <w:color w:val="auto"/>
                <w:spacing w:val="5"/>
                <w:highlight w:val="none"/>
                <w:u w:val="single" w:color="auto"/>
              </w:rPr>
              <w:t>”发出招标文件澄清</w:t>
            </w:r>
            <w:r>
              <w:rPr>
                <w:color w:val="auto"/>
                <w:spacing w:val="5"/>
                <w:highlight w:val="none"/>
              </w:rPr>
              <w:t>。</w:t>
            </w:r>
          </w:p>
        </w:tc>
      </w:tr>
      <w:tr w14:paraId="427703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013" w:type="dxa"/>
            <w:vAlign w:val="top"/>
          </w:tcPr>
          <w:p w14:paraId="428CF932">
            <w:pPr>
              <w:pStyle w:val="18"/>
              <w:spacing w:before="144" w:line="231" w:lineRule="auto"/>
              <w:ind w:left="251"/>
              <w:rPr>
                <w:color w:val="auto"/>
                <w:highlight w:val="none"/>
              </w:rPr>
            </w:pPr>
            <w:r>
              <w:rPr>
                <w:color w:val="auto"/>
                <w:spacing w:val="2"/>
                <w:highlight w:val="none"/>
              </w:rPr>
              <w:t>2.3.1</w:t>
            </w:r>
          </w:p>
        </w:tc>
        <w:tc>
          <w:tcPr>
            <w:tcW w:w="2877" w:type="dxa"/>
            <w:vAlign w:val="top"/>
          </w:tcPr>
          <w:p w14:paraId="1AA7E409">
            <w:pPr>
              <w:pStyle w:val="18"/>
              <w:spacing w:before="144" w:line="228" w:lineRule="auto"/>
              <w:ind w:left="288"/>
              <w:rPr>
                <w:color w:val="auto"/>
                <w:highlight w:val="none"/>
              </w:rPr>
            </w:pPr>
            <w:r>
              <w:rPr>
                <w:color w:val="auto"/>
                <w:spacing w:val="9"/>
                <w:highlight w:val="none"/>
              </w:rPr>
              <w:t>招标文件修改发出的形式</w:t>
            </w:r>
          </w:p>
        </w:tc>
        <w:tc>
          <w:tcPr>
            <w:tcW w:w="4891" w:type="dxa"/>
            <w:vAlign w:val="top"/>
          </w:tcPr>
          <w:p w14:paraId="3B24A132">
            <w:pPr>
              <w:pStyle w:val="18"/>
              <w:spacing w:before="144" w:line="228" w:lineRule="auto"/>
              <w:ind w:left="112"/>
              <w:rPr>
                <w:color w:val="auto"/>
                <w:highlight w:val="none"/>
              </w:rPr>
            </w:pPr>
            <w:r>
              <w:rPr>
                <w:color w:val="auto"/>
                <w:spacing w:val="7"/>
                <w:highlight w:val="none"/>
                <w:u w:val="single" w:color="auto"/>
              </w:rPr>
              <w:t>通过“</w:t>
            </w:r>
            <w:r>
              <w:rPr>
                <w:color w:val="auto"/>
                <w:spacing w:val="-64"/>
                <w:highlight w:val="none"/>
                <w:u w:val="single" w:color="auto"/>
              </w:rPr>
              <w:t xml:space="preserve"> </w:t>
            </w:r>
            <w:r>
              <w:rPr>
                <w:color w:val="auto"/>
                <w:spacing w:val="7"/>
                <w:highlight w:val="none"/>
                <w:u w:val="single" w:color="auto"/>
              </w:rPr>
              <w:t>电子交易平台</w:t>
            </w:r>
            <w:r>
              <w:rPr>
                <w:color w:val="auto"/>
                <w:spacing w:val="-70"/>
                <w:highlight w:val="none"/>
                <w:u w:val="single" w:color="auto"/>
              </w:rPr>
              <w:t xml:space="preserve"> </w:t>
            </w:r>
            <w:r>
              <w:rPr>
                <w:color w:val="auto"/>
                <w:spacing w:val="7"/>
                <w:highlight w:val="none"/>
                <w:u w:val="single" w:color="auto"/>
              </w:rPr>
              <w:t>”发出招标文件修改。</w:t>
            </w:r>
          </w:p>
        </w:tc>
      </w:tr>
      <w:tr w14:paraId="37CF6E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7" w:hRule="atLeast"/>
        </w:trPr>
        <w:tc>
          <w:tcPr>
            <w:tcW w:w="1013" w:type="dxa"/>
            <w:vAlign w:val="top"/>
          </w:tcPr>
          <w:p w14:paraId="2AF58F0F">
            <w:pPr>
              <w:pStyle w:val="18"/>
              <w:spacing w:before="166" w:line="268" w:lineRule="exact"/>
              <w:ind w:left="253"/>
              <w:rPr>
                <w:color w:val="auto"/>
                <w:highlight w:val="none"/>
              </w:rPr>
            </w:pPr>
            <w:r>
              <w:rPr>
                <w:color w:val="auto"/>
                <w:spacing w:val="2"/>
                <w:position w:val="1"/>
                <w:highlight w:val="none"/>
              </w:rPr>
              <w:t>3.1.1</w:t>
            </w:r>
          </w:p>
        </w:tc>
        <w:tc>
          <w:tcPr>
            <w:tcW w:w="2877" w:type="dxa"/>
            <w:vAlign w:val="top"/>
          </w:tcPr>
          <w:p w14:paraId="2A78A3D7">
            <w:pPr>
              <w:pStyle w:val="18"/>
              <w:spacing w:before="166" w:line="228" w:lineRule="auto"/>
              <w:ind w:left="290"/>
              <w:rPr>
                <w:color w:val="auto"/>
                <w:highlight w:val="none"/>
              </w:rPr>
            </w:pPr>
            <w:r>
              <w:rPr>
                <w:color w:val="auto"/>
                <w:spacing w:val="8"/>
                <w:highlight w:val="none"/>
              </w:rPr>
              <w:t>构成投标文件的其他资料</w:t>
            </w:r>
          </w:p>
        </w:tc>
        <w:tc>
          <w:tcPr>
            <w:tcW w:w="4891" w:type="dxa"/>
            <w:vAlign w:val="center"/>
          </w:tcPr>
          <w:p w14:paraId="1435D4A1">
            <w:pPr>
              <w:jc w:val="center"/>
              <w:rPr>
                <w:rFonts w:ascii="Arial"/>
                <w:color w:val="auto"/>
                <w:sz w:val="21"/>
                <w:highlight w:val="none"/>
              </w:rPr>
            </w:pPr>
            <w:r>
              <w:rPr>
                <w:rFonts w:hint="eastAsia" w:eastAsia="宋体"/>
                <w:color w:val="auto"/>
                <w:sz w:val="21"/>
                <w:highlight w:val="none"/>
                <w:lang w:val="en-US" w:eastAsia="zh-CN"/>
              </w:rPr>
              <w:t>/</w:t>
            </w:r>
          </w:p>
        </w:tc>
      </w:tr>
      <w:tr w14:paraId="67FCE8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1013" w:type="dxa"/>
            <w:vAlign w:val="top"/>
          </w:tcPr>
          <w:p w14:paraId="2163B146">
            <w:pPr>
              <w:pStyle w:val="18"/>
              <w:spacing w:before="180" w:line="267" w:lineRule="exact"/>
              <w:ind w:left="253"/>
              <w:rPr>
                <w:color w:val="auto"/>
                <w:highlight w:val="none"/>
              </w:rPr>
            </w:pPr>
            <w:r>
              <w:rPr>
                <w:color w:val="auto"/>
                <w:spacing w:val="2"/>
                <w:position w:val="1"/>
                <w:highlight w:val="none"/>
              </w:rPr>
              <w:t>3.2.1</w:t>
            </w:r>
          </w:p>
        </w:tc>
        <w:tc>
          <w:tcPr>
            <w:tcW w:w="2877" w:type="dxa"/>
            <w:vAlign w:val="top"/>
          </w:tcPr>
          <w:p w14:paraId="681BCD45">
            <w:pPr>
              <w:pStyle w:val="18"/>
              <w:spacing w:before="179" w:line="228" w:lineRule="auto"/>
              <w:ind w:left="393"/>
              <w:rPr>
                <w:color w:val="auto"/>
                <w:highlight w:val="none"/>
              </w:rPr>
            </w:pPr>
            <w:r>
              <w:rPr>
                <w:color w:val="auto"/>
                <w:spacing w:val="8"/>
                <w:highlight w:val="none"/>
              </w:rPr>
              <w:t>增值税税金的计算方法</w:t>
            </w:r>
          </w:p>
        </w:tc>
        <w:tc>
          <w:tcPr>
            <w:tcW w:w="4891" w:type="dxa"/>
            <w:vAlign w:val="center"/>
          </w:tcPr>
          <w:p w14:paraId="27D672B6">
            <w:pPr>
              <w:pStyle w:val="18"/>
              <w:spacing w:before="144" w:line="228" w:lineRule="auto"/>
              <w:ind w:left="122"/>
              <w:rPr>
                <w:rFonts w:ascii="Arial"/>
                <w:color w:val="auto"/>
                <w:sz w:val="21"/>
                <w:highlight w:val="none"/>
              </w:rPr>
            </w:pPr>
            <w:r>
              <w:rPr>
                <w:rFonts w:hint="eastAsia" w:ascii="宋体" w:hAnsi="宋体" w:eastAsia="宋体" w:cs="宋体"/>
                <w:color w:val="auto"/>
                <w:spacing w:val="7"/>
                <w:highlight w:val="none"/>
              </w:rPr>
              <w:t>按国家、省、市规定执行</w:t>
            </w:r>
            <w:r>
              <w:rPr>
                <w:rFonts w:hint="eastAsia" w:ascii="宋体" w:hAnsi="宋体" w:eastAsia="宋体" w:cs="宋体"/>
                <w:color w:val="auto"/>
                <w:spacing w:val="7"/>
                <w:highlight w:val="none"/>
                <w:lang w:eastAsia="zh-CN"/>
              </w:rPr>
              <w:t>。</w:t>
            </w:r>
          </w:p>
        </w:tc>
      </w:tr>
      <w:tr w14:paraId="69F055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1013" w:type="dxa"/>
            <w:vAlign w:val="top"/>
          </w:tcPr>
          <w:p w14:paraId="5401D6EC">
            <w:pPr>
              <w:pStyle w:val="18"/>
              <w:spacing w:before="145" w:line="232" w:lineRule="auto"/>
              <w:ind w:left="253"/>
              <w:rPr>
                <w:color w:val="auto"/>
                <w:highlight w:val="none"/>
              </w:rPr>
            </w:pPr>
            <w:bookmarkStart w:id="33" w:name="bookmark51"/>
            <w:bookmarkEnd w:id="33"/>
            <w:r>
              <w:rPr>
                <w:color w:val="auto"/>
                <w:spacing w:val="2"/>
                <w:highlight w:val="none"/>
              </w:rPr>
              <w:t>3.2.3</w:t>
            </w:r>
          </w:p>
        </w:tc>
        <w:tc>
          <w:tcPr>
            <w:tcW w:w="2877" w:type="dxa"/>
            <w:vAlign w:val="top"/>
          </w:tcPr>
          <w:p w14:paraId="14D03D2E">
            <w:pPr>
              <w:pStyle w:val="18"/>
              <w:spacing w:before="145" w:line="226" w:lineRule="auto"/>
              <w:ind w:left="1020"/>
              <w:rPr>
                <w:color w:val="auto"/>
                <w:highlight w:val="none"/>
              </w:rPr>
            </w:pPr>
            <w:r>
              <w:rPr>
                <w:color w:val="auto"/>
                <w:spacing w:val="7"/>
                <w:highlight w:val="none"/>
              </w:rPr>
              <w:t>报价方式</w:t>
            </w:r>
          </w:p>
        </w:tc>
        <w:tc>
          <w:tcPr>
            <w:tcW w:w="4891" w:type="dxa"/>
            <w:vAlign w:val="top"/>
          </w:tcPr>
          <w:p w14:paraId="624CC1AD">
            <w:pPr>
              <w:pStyle w:val="18"/>
              <w:spacing w:before="145" w:line="226" w:lineRule="auto"/>
              <w:ind w:left="134"/>
              <w:rPr>
                <w:color w:val="auto"/>
                <w:highlight w:val="none"/>
              </w:rPr>
            </w:pPr>
            <w:r>
              <w:rPr>
                <w:rFonts w:hint="eastAsia"/>
                <w:color w:val="auto"/>
                <w:spacing w:val="-1"/>
                <w:highlight w:val="none"/>
                <w:lang w:eastAsia="zh-CN"/>
              </w:rPr>
              <w:t>☑</w:t>
            </w:r>
            <w:r>
              <w:rPr>
                <w:color w:val="auto"/>
                <w:spacing w:val="-1"/>
                <w:highlight w:val="none"/>
              </w:rPr>
              <w:t>总价</w:t>
            </w:r>
          </w:p>
        </w:tc>
      </w:tr>
    </w:tbl>
    <w:p w14:paraId="16368A9D">
      <w:pPr>
        <w:spacing w:line="290" w:lineRule="auto"/>
        <w:rPr>
          <w:rFonts w:ascii="Arial"/>
          <w:color w:val="auto"/>
          <w:sz w:val="21"/>
          <w:highlight w:val="none"/>
        </w:rPr>
      </w:pPr>
    </w:p>
    <w:p w14:paraId="0F8F3BE3">
      <w:pPr>
        <w:spacing w:line="220" w:lineRule="auto"/>
        <w:rPr>
          <w:rFonts w:ascii="宋体" w:hAnsi="宋体" w:eastAsia="宋体" w:cs="宋体"/>
          <w:color w:val="auto"/>
          <w:sz w:val="18"/>
          <w:szCs w:val="18"/>
          <w:highlight w:val="none"/>
        </w:rPr>
        <w:sectPr>
          <w:footerReference r:id="rId14" w:type="default"/>
          <w:pgSz w:w="11906" w:h="16839"/>
          <w:pgMar w:top="1416" w:right="1588" w:bottom="1297" w:left="1304" w:header="0" w:footer="1067" w:gutter="0"/>
          <w:pgNumType w:fmt="decimal"/>
          <w:cols w:space="720" w:num="1"/>
        </w:sectPr>
      </w:pPr>
    </w:p>
    <w:tbl>
      <w:tblPr>
        <w:tblStyle w:val="17"/>
        <w:tblW w:w="878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13"/>
        <w:gridCol w:w="2877"/>
        <w:gridCol w:w="4891"/>
      </w:tblGrid>
      <w:tr w14:paraId="4C9C31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1013" w:type="dxa"/>
            <w:vAlign w:val="top"/>
          </w:tcPr>
          <w:p w14:paraId="246B6B6A">
            <w:pPr>
              <w:pStyle w:val="18"/>
              <w:spacing w:before="143" w:line="228" w:lineRule="auto"/>
              <w:ind w:left="198"/>
              <w:rPr>
                <w:color w:val="auto"/>
                <w:highlight w:val="none"/>
              </w:rPr>
            </w:pPr>
            <w:r>
              <w:rPr>
                <w:b/>
                <w:bCs/>
                <w:color w:val="auto"/>
                <w:spacing w:val="5"/>
                <w:highlight w:val="none"/>
              </w:rPr>
              <w:t>条款号</w:t>
            </w:r>
          </w:p>
        </w:tc>
        <w:tc>
          <w:tcPr>
            <w:tcW w:w="2877" w:type="dxa"/>
            <w:vAlign w:val="top"/>
          </w:tcPr>
          <w:p w14:paraId="00417706">
            <w:pPr>
              <w:pStyle w:val="18"/>
              <w:spacing w:before="143" w:line="228" w:lineRule="auto"/>
              <w:ind w:left="706"/>
              <w:rPr>
                <w:color w:val="auto"/>
                <w:highlight w:val="none"/>
              </w:rPr>
            </w:pPr>
            <w:r>
              <w:rPr>
                <w:b/>
                <w:bCs/>
                <w:color w:val="auto"/>
                <w:spacing w:val="-3"/>
                <w:highlight w:val="none"/>
              </w:rPr>
              <w:t>条</w:t>
            </w:r>
            <w:r>
              <w:rPr>
                <w:color w:val="auto"/>
                <w:spacing w:val="10"/>
                <w:highlight w:val="none"/>
              </w:rPr>
              <w:t xml:space="preserve">  </w:t>
            </w:r>
            <w:r>
              <w:rPr>
                <w:b/>
                <w:bCs/>
                <w:color w:val="auto"/>
                <w:spacing w:val="-3"/>
                <w:highlight w:val="none"/>
              </w:rPr>
              <w:t>款</w:t>
            </w:r>
            <w:r>
              <w:rPr>
                <w:color w:val="auto"/>
                <w:spacing w:val="12"/>
                <w:highlight w:val="none"/>
              </w:rPr>
              <w:t xml:space="preserve">  </w:t>
            </w:r>
            <w:r>
              <w:rPr>
                <w:b/>
                <w:bCs/>
                <w:color w:val="auto"/>
                <w:spacing w:val="-3"/>
                <w:highlight w:val="none"/>
              </w:rPr>
              <w:t>名</w:t>
            </w:r>
            <w:r>
              <w:rPr>
                <w:color w:val="auto"/>
                <w:spacing w:val="11"/>
                <w:highlight w:val="none"/>
              </w:rPr>
              <w:t xml:space="preserve">  </w:t>
            </w:r>
            <w:r>
              <w:rPr>
                <w:b/>
                <w:bCs/>
                <w:color w:val="auto"/>
                <w:spacing w:val="-3"/>
                <w:highlight w:val="none"/>
              </w:rPr>
              <w:t>称</w:t>
            </w:r>
          </w:p>
        </w:tc>
        <w:tc>
          <w:tcPr>
            <w:tcW w:w="4891" w:type="dxa"/>
            <w:vAlign w:val="top"/>
          </w:tcPr>
          <w:p w14:paraId="47A641B2">
            <w:pPr>
              <w:pStyle w:val="18"/>
              <w:spacing w:before="143" w:line="228" w:lineRule="auto"/>
              <w:ind w:left="1713"/>
              <w:rPr>
                <w:color w:val="auto"/>
                <w:highlight w:val="none"/>
              </w:rPr>
            </w:pPr>
            <w:r>
              <w:rPr>
                <w:b/>
                <w:bCs/>
                <w:color w:val="auto"/>
                <w:spacing w:val="-10"/>
                <w:highlight w:val="none"/>
              </w:rPr>
              <w:t>编</w:t>
            </w:r>
            <w:r>
              <w:rPr>
                <w:color w:val="auto"/>
                <w:spacing w:val="13"/>
                <w:highlight w:val="none"/>
              </w:rPr>
              <w:t xml:space="preserve">  </w:t>
            </w:r>
            <w:r>
              <w:rPr>
                <w:b/>
                <w:bCs/>
                <w:color w:val="auto"/>
                <w:spacing w:val="-10"/>
                <w:highlight w:val="none"/>
              </w:rPr>
              <w:t>列</w:t>
            </w:r>
            <w:r>
              <w:rPr>
                <w:color w:val="auto"/>
                <w:spacing w:val="23"/>
                <w:highlight w:val="none"/>
              </w:rPr>
              <w:t xml:space="preserve">  </w:t>
            </w:r>
            <w:r>
              <w:rPr>
                <w:b/>
                <w:bCs/>
                <w:color w:val="auto"/>
                <w:spacing w:val="-10"/>
                <w:highlight w:val="none"/>
              </w:rPr>
              <w:t>内</w:t>
            </w:r>
            <w:r>
              <w:rPr>
                <w:color w:val="auto"/>
                <w:spacing w:val="12"/>
                <w:highlight w:val="none"/>
              </w:rPr>
              <w:t xml:space="preserve">  </w:t>
            </w:r>
            <w:r>
              <w:rPr>
                <w:b/>
                <w:bCs/>
                <w:color w:val="auto"/>
                <w:spacing w:val="-10"/>
                <w:highlight w:val="none"/>
              </w:rPr>
              <w:t>容</w:t>
            </w:r>
          </w:p>
        </w:tc>
      </w:tr>
      <w:tr w14:paraId="6EC696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013" w:type="dxa"/>
            <w:vAlign w:val="top"/>
          </w:tcPr>
          <w:p w14:paraId="770D1B80">
            <w:pPr>
              <w:rPr>
                <w:rFonts w:ascii="Arial"/>
                <w:color w:val="auto"/>
                <w:sz w:val="21"/>
                <w:highlight w:val="none"/>
              </w:rPr>
            </w:pPr>
          </w:p>
        </w:tc>
        <w:tc>
          <w:tcPr>
            <w:tcW w:w="2877" w:type="dxa"/>
            <w:vAlign w:val="top"/>
          </w:tcPr>
          <w:p w14:paraId="707A4F8F">
            <w:pPr>
              <w:rPr>
                <w:rFonts w:ascii="Arial"/>
                <w:color w:val="auto"/>
                <w:sz w:val="21"/>
                <w:highlight w:val="none"/>
              </w:rPr>
            </w:pPr>
          </w:p>
        </w:tc>
        <w:tc>
          <w:tcPr>
            <w:tcW w:w="4891" w:type="dxa"/>
            <w:vAlign w:val="top"/>
          </w:tcPr>
          <w:p w14:paraId="2F0F0F2E">
            <w:pPr>
              <w:pStyle w:val="18"/>
              <w:spacing w:before="140" w:line="226" w:lineRule="auto"/>
              <w:ind w:left="134"/>
              <w:rPr>
                <w:color w:val="auto"/>
                <w:highlight w:val="none"/>
              </w:rPr>
            </w:pPr>
            <w:r>
              <w:rPr>
                <w:color w:val="auto"/>
                <w:spacing w:val="-1"/>
                <w:highlight w:val="none"/>
              </w:rPr>
              <w:t>□单价</w:t>
            </w:r>
          </w:p>
        </w:tc>
      </w:tr>
      <w:tr w14:paraId="2CDE6B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013" w:type="dxa"/>
            <w:vAlign w:val="top"/>
          </w:tcPr>
          <w:p w14:paraId="65298C84">
            <w:pPr>
              <w:pStyle w:val="18"/>
              <w:spacing w:before="141" w:line="234" w:lineRule="auto"/>
              <w:ind w:left="253"/>
              <w:rPr>
                <w:color w:val="auto"/>
                <w:highlight w:val="none"/>
              </w:rPr>
            </w:pPr>
            <w:r>
              <w:rPr>
                <w:color w:val="auto"/>
                <w:spacing w:val="2"/>
                <w:highlight w:val="none"/>
              </w:rPr>
              <w:t>3.2.4</w:t>
            </w:r>
          </w:p>
        </w:tc>
        <w:tc>
          <w:tcPr>
            <w:tcW w:w="2877" w:type="dxa"/>
            <w:vAlign w:val="top"/>
          </w:tcPr>
          <w:p w14:paraId="481DD4D3">
            <w:pPr>
              <w:pStyle w:val="18"/>
              <w:spacing w:before="141" w:line="226" w:lineRule="auto"/>
              <w:ind w:left="815"/>
              <w:rPr>
                <w:color w:val="auto"/>
                <w:highlight w:val="none"/>
              </w:rPr>
            </w:pPr>
            <w:r>
              <w:rPr>
                <w:color w:val="auto"/>
                <w:spacing w:val="7"/>
                <w:highlight w:val="none"/>
              </w:rPr>
              <w:t>最高投标限价</w:t>
            </w:r>
          </w:p>
        </w:tc>
        <w:tc>
          <w:tcPr>
            <w:tcW w:w="4891" w:type="dxa"/>
            <w:vAlign w:val="top"/>
          </w:tcPr>
          <w:p w14:paraId="6AD0DB8C">
            <w:pPr>
              <w:pStyle w:val="18"/>
              <w:spacing w:before="141" w:line="360" w:lineRule="auto"/>
              <w:ind w:left="115"/>
              <w:rPr>
                <w:color w:val="auto"/>
                <w:highlight w:val="none"/>
              </w:rPr>
            </w:pPr>
            <w:r>
              <w:rPr>
                <w:color w:val="auto"/>
                <w:spacing w:val="8"/>
                <w:highlight w:val="none"/>
              </w:rPr>
              <w:t>最高投标限价</w:t>
            </w:r>
            <w:r>
              <w:rPr>
                <w:rFonts w:hint="eastAsia"/>
                <w:color w:val="auto"/>
                <w:spacing w:val="8"/>
                <w:highlight w:val="none"/>
                <w:u w:val="single"/>
                <w:lang w:eastAsia="zh-CN"/>
              </w:rPr>
              <w:t>￥</w:t>
            </w:r>
            <w:r>
              <w:rPr>
                <w:rFonts w:hint="eastAsia"/>
                <w:color w:val="auto"/>
                <w:spacing w:val="8"/>
                <w:highlight w:val="none"/>
                <w:u w:val="single"/>
                <w:lang w:val="en-US" w:eastAsia="zh-CN"/>
              </w:rPr>
              <w:t>3151400.00元</w:t>
            </w:r>
            <w:r>
              <w:rPr>
                <w:color w:val="auto"/>
                <w:spacing w:val="8"/>
                <w:highlight w:val="none"/>
                <w:u w:val="single" w:color="auto"/>
              </w:rPr>
              <w:t>（其中含暂列金额</w:t>
            </w:r>
            <w:r>
              <w:rPr>
                <w:rFonts w:hint="eastAsia"/>
                <w:color w:val="auto"/>
                <w:spacing w:val="8"/>
                <w:highlight w:val="none"/>
                <w:u w:val="single" w:color="auto"/>
                <w:lang w:val="en-US" w:eastAsia="zh-CN"/>
              </w:rPr>
              <w:t>/</w:t>
            </w:r>
            <w:r>
              <w:rPr>
                <w:color w:val="auto"/>
                <w:spacing w:val="8"/>
                <w:highlight w:val="none"/>
                <w:u w:val="single" w:color="auto"/>
              </w:rPr>
              <w:t>元）</w:t>
            </w:r>
          </w:p>
        </w:tc>
      </w:tr>
      <w:tr w14:paraId="6A7152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013" w:type="dxa"/>
            <w:vAlign w:val="top"/>
          </w:tcPr>
          <w:p w14:paraId="5A9E91A7">
            <w:pPr>
              <w:pStyle w:val="18"/>
              <w:spacing w:before="141" w:line="234" w:lineRule="auto"/>
              <w:ind w:left="253"/>
              <w:rPr>
                <w:color w:val="auto"/>
                <w:highlight w:val="none"/>
              </w:rPr>
            </w:pPr>
            <w:r>
              <w:rPr>
                <w:color w:val="auto"/>
                <w:spacing w:val="2"/>
                <w:highlight w:val="none"/>
              </w:rPr>
              <w:t>3.2.5</w:t>
            </w:r>
          </w:p>
        </w:tc>
        <w:tc>
          <w:tcPr>
            <w:tcW w:w="2877" w:type="dxa"/>
            <w:vAlign w:val="top"/>
          </w:tcPr>
          <w:p w14:paraId="1CE0F9D3">
            <w:pPr>
              <w:pStyle w:val="18"/>
              <w:spacing w:before="141" w:line="226" w:lineRule="auto"/>
              <w:ind w:left="501"/>
              <w:rPr>
                <w:color w:val="auto"/>
                <w:highlight w:val="none"/>
              </w:rPr>
            </w:pPr>
            <w:r>
              <w:rPr>
                <w:color w:val="auto"/>
                <w:spacing w:val="8"/>
                <w:highlight w:val="none"/>
              </w:rPr>
              <w:t>投标报价的其他要求</w:t>
            </w:r>
          </w:p>
        </w:tc>
        <w:tc>
          <w:tcPr>
            <w:tcW w:w="4891" w:type="dxa"/>
            <w:vAlign w:val="center"/>
          </w:tcPr>
          <w:p w14:paraId="5C9CB16B">
            <w:pPr>
              <w:jc w:val="center"/>
              <w:rPr>
                <w:rFonts w:hint="eastAsia" w:ascii="Arial" w:eastAsia="宋体"/>
                <w:color w:val="auto"/>
                <w:sz w:val="21"/>
                <w:highlight w:val="none"/>
                <w:lang w:val="en-US" w:eastAsia="zh-CN"/>
              </w:rPr>
            </w:pPr>
            <w:r>
              <w:rPr>
                <w:rFonts w:hint="eastAsia" w:eastAsia="宋体"/>
                <w:color w:val="auto"/>
                <w:sz w:val="21"/>
                <w:highlight w:val="none"/>
                <w:lang w:val="en-US" w:eastAsia="zh-CN"/>
              </w:rPr>
              <w:t>/</w:t>
            </w:r>
          </w:p>
        </w:tc>
      </w:tr>
      <w:tr w14:paraId="0AA413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013" w:type="dxa"/>
            <w:vAlign w:val="top"/>
          </w:tcPr>
          <w:p w14:paraId="5A4ED140">
            <w:pPr>
              <w:pStyle w:val="18"/>
              <w:spacing w:before="141" w:line="234" w:lineRule="auto"/>
              <w:ind w:left="253"/>
              <w:rPr>
                <w:color w:val="auto"/>
                <w:highlight w:val="none"/>
              </w:rPr>
            </w:pPr>
            <w:r>
              <w:rPr>
                <w:color w:val="auto"/>
                <w:spacing w:val="2"/>
                <w:highlight w:val="none"/>
              </w:rPr>
              <w:t>3.3.1</w:t>
            </w:r>
          </w:p>
        </w:tc>
        <w:tc>
          <w:tcPr>
            <w:tcW w:w="2877" w:type="dxa"/>
            <w:vAlign w:val="top"/>
          </w:tcPr>
          <w:p w14:paraId="5605F194">
            <w:pPr>
              <w:pStyle w:val="18"/>
              <w:spacing w:before="142" w:line="228" w:lineRule="auto"/>
              <w:ind w:left="921"/>
              <w:rPr>
                <w:color w:val="auto"/>
                <w:highlight w:val="none"/>
              </w:rPr>
            </w:pPr>
            <w:r>
              <w:rPr>
                <w:color w:val="auto"/>
                <w:spacing w:val="7"/>
                <w:highlight w:val="none"/>
              </w:rPr>
              <w:t>投标有效期</w:t>
            </w:r>
          </w:p>
        </w:tc>
        <w:tc>
          <w:tcPr>
            <w:tcW w:w="4891" w:type="dxa"/>
            <w:vAlign w:val="top"/>
          </w:tcPr>
          <w:p w14:paraId="5A3D26C1">
            <w:pPr>
              <w:pStyle w:val="18"/>
              <w:spacing w:before="141" w:line="228" w:lineRule="auto"/>
              <w:ind w:left="147"/>
              <w:rPr>
                <w:color w:val="auto"/>
                <w:highlight w:val="none"/>
              </w:rPr>
            </w:pPr>
            <w:r>
              <w:rPr>
                <w:color w:val="auto"/>
                <w:spacing w:val="7"/>
                <w:highlight w:val="none"/>
              </w:rPr>
              <w:t>自投标人提交投标文件截止之日起计算</w:t>
            </w:r>
            <w:r>
              <w:rPr>
                <w:color w:val="auto"/>
                <w:spacing w:val="-98"/>
                <w:highlight w:val="none"/>
              </w:rPr>
              <w:t xml:space="preserve"> </w:t>
            </w:r>
            <w:r>
              <w:rPr>
                <w:color w:val="auto"/>
                <w:spacing w:val="4"/>
                <w:highlight w:val="none"/>
                <w:u w:val="single" w:color="auto"/>
              </w:rPr>
              <w:t xml:space="preserve"> </w:t>
            </w:r>
            <w:r>
              <w:rPr>
                <w:rFonts w:hint="eastAsia"/>
                <w:color w:val="auto"/>
                <w:spacing w:val="4"/>
                <w:highlight w:val="none"/>
                <w:u w:val="single" w:color="auto"/>
                <w:lang w:val="en-US" w:eastAsia="zh-CN"/>
              </w:rPr>
              <w:t>90</w:t>
            </w:r>
            <w:r>
              <w:rPr>
                <w:color w:val="auto"/>
                <w:spacing w:val="4"/>
                <w:highlight w:val="none"/>
                <w:u w:val="single" w:color="auto"/>
              </w:rPr>
              <w:t xml:space="preserve"> </w:t>
            </w:r>
            <w:r>
              <w:rPr>
                <w:color w:val="auto"/>
                <w:spacing w:val="-54"/>
                <w:highlight w:val="none"/>
              </w:rPr>
              <w:t xml:space="preserve"> </w:t>
            </w:r>
            <w:r>
              <w:rPr>
                <w:color w:val="auto"/>
                <w:spacing w:val="7"/>
                <w:highlight w:val="none"/>
              </w:rPr>
              <w:t>日</w:t>
            </w:r>
          </w:p>
        </w:tc>
      </w:tr>
      <w:tr w14:paraId="529580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3" w:hRule="atLeast"/>
        </w:trPr>
        <w:tc>
          <w:tcPr>
            <w:tcW w:w="1013" w:type="dxa"/>
            <w:vAlign w:val="top"/>
          </w:tcPr>
          <w:p w14:paraId="4B4F6CE3">
            <w:pPr>
              <w:spacing w:line="245" w:lineRule="auto"/>
              <w:rPr>
                <w:rFonts w:ascii="Arial"/>
                <w:color w:val="auto"/>
                <w:sz w:val="21"/>
                <w:highlight w:val="none"/>
              </w:rPr>
            </w:pPr>
          </w:p>
          <w:p w14:paraId="37A4BA77">
            <w:pPr>
              <w:spacing w:line="245" w:lineRule="auto"/>
              <w:rPr>
                <w:rFonts w:ascii="Arial"/>
                <w:color w:val="auto"/>
                <w:sz w:val="21"/>
                <w:highlight w:val="none"/>
              </w:rPr>
            </w:pPr>
          </w:p>
          <w:p w14:paraId="1D60886D">
            <w:pPr>
              <w:spacing w:line="245" w:lineRule="auto"/>
              <w:rPr>
                <w:rFonts w:ascii="Arial"/>
                <w:color w:val="auto"/>
                <w:sz w:val="21"/>
                <w:highlight w:val="none"/>
              </w:rPr>
            </w:pPr>
          </w:p>
          <w:p w14:paraId="7C38D492">
            <w:pPr>
              <w:spacing w:line="245" w:lineRule="auto"/>
              <w:rPr>
                <w:rFonts w:ascii="Arial"/>
                <w:color w:val="auto"/>
                <w:sz w:val="21"/>
                <w:highlight w:val="none"/>
              </w:rPr>
            </w:pPr>
          </w:p>
          <w:p w14:paraId="5A6584E9">
            <w:pPr>
              <w:spacing w:line="245" w:lineRule="auto"/>
              <w:rPr>
                <w:rFonts w:ascii="Arial"/>
                <w:color w:val="auto"/>
                <w:sz w:val="21"/>
                <w:highlight w:val="none"/>
              </w:rPr>
            </w:pPr>
          </w:p>
          <w:p w14:paraId="05C031A2">
            <w:pPr>
              <w:spacing w:line="245" w:lineRule="auto"/>
              <w:rPr>
                <w:rFonts w:ascii="Arial"/>
                <w:color w:val="auto"/>
                <w:sz w:val="21"/>
                <w:highlight w:val="none"/>
              </w:rPr>
            </w:pPr>
          </w:p>
          <w:p w14:paraId="4836E10E">
            <w:pPr>
              <w:spacing w:line="246" w:lineRule="auto"/>
              <w:rPr>
                <w:rFonts w:ascii="Arial"/>
                <w:color w:val="auto"/>
                <w:sz w:val="21"/>
                <w:highlight w:val="none"/>
              </w:rPr>
            </w:pPr>
          </w:p>
          <w:p w14:paraId="24A76AF1">
            <w:pPr>
              <w:spacing w:line="246" w:lineRule="auto"/>
              <w:rPr>
                <w:rFonts w:ascii="Arial"/>
                <w:color w:val="auto"/>
                <w:sz w:val="21"/>
                <w:highlight w:val="none"/>
              </w:rPr>
            </w:pPr>
          </w:p>
          <w:p w14:paraId="62E61D2B">
            <w:pPr>
              <w:spacing w:line="246" w:lineRule="auto"/>
              <w:rPr>
                <w:rFonts w:ascii="Arial"/>
                <w:color w:val="auto"/>
                <w:sz w:val="21"/>
                <w:highlight w:val="none"/>
              </w:rPr>
            </w:pPr>
          </w:p>
          <w:p w14:paraId="4D67E652">
            <w:pPr>
              <w:spacing w:line="246" w:lineRule="auto"/>
              <w:rPr>
                <w:rFonts w:ascii="Arial"/>
                <w:color w:val="auto"/>
                <w:sz w:val="21"/>
                <w:highlight w:val="none"/>
              </w:rPr>
            </w:pPr>
          </w:p>
          <w:p w14:paraId="1B12CC5C">
            <w:pPr>
              <w:spacing w:line="246" w:lineRule="auto"/>
              <w:rPr>
                <w:rFonts w:ascii="Arial"/>
                <w:color w:val="auto"/>
                <w:sz w:val="21"/>
                <w:highlight w:val="none"/>
              </w:rPr>
            </w:pPr>
          </w:p>
          <w:p w14:paraId="1BA7D27E">
            <w:pPr>
              <w:spacing w:line="246" w:lineRule="auto"/>
              <w:rPr>
                <w:rFonts w:ascii="Arial"/>
                <w:color w:val="auto"/>
                <w:sz w:val="21"/>
                <w:highlight w:val="none"/>
              </w:rPr>
            </w:pPr>
          </w:p>
          <w:p w14:paraId="5EF4188F">
            <w:pPr>
              <w:spacing w:line="246" w:lineRule="auto"/>
              <w:rPr>
                <w:rFonts w:ascii="Arial"/>
                <w:color w:val="auto"/>
                <w:sz w:val="21"/>
                <w:highlight w:val="none"/>
              </w:rPr>
            </w:pPr>
          </w:p>
          <w:p w14:paraId="74CFA8B2">
            <w:pPr>
              <w:spacing w:line="246" w:lineRule="auto"/>
              <w:rPr>
                <w:rFonts w:ascii="Arial"/>
                <w:color w:val="auto"/>
                <w:sz w:val="21"/>
                <w:highlight w:val="none"/>
              </w:rPr>
            </w:pPr>
          </w:p>
          <w:p w14:paraId="31AD0BB3">
            <w:pPr>
              <w:spacing w:line="246" w:lineRule="auto"/>
              <w:rPr>
                <w:rFonts w:ascii="Arial"/>
                <w:color w:val="auto"/>
                <w:sz w:val="21"/>
                <w:highlight w:val="none"/>
              </w:rPr>
            </w:pPr>
          </w:p>
          <w:p w14:paraId="4D695EE5">
            <w:pPr>
              <w:spacing w:line="246" w:lineRule="auto"/>
              <w:rPr>
                <w:rFonts w:ascii="Arial"/>
                <w:color w:val="auto"/>
                <w:sz w:val="21"/>
                <w:highlight w:val="none"/>
              </w:rPr>
            </w:pPr>
          </w:p>
          <w:p w14:paraId="6A09379B">
            <w:pPr>
              <w:spacing w:line="246" w:lineRule="auto"/>
              <w:rPr>
                <w:rFonts w:ascii="Arial"/>
                <w:color w:val="auto"/>
                <w:sz w:val="21"/>
                <w:highlight w:val="none"/>
              </w:rPr>
            </w:pPr>
          </w:p>
          <w:p w14:paraId="55DCFF06">
            <w:pPr>
              <w:spacing w:line="246" w:lineRule="auto"/>
              <w:rPr>
                <w:rFonts w:ascii="Arial"/>
                <w:color w:val="auto"/>
                <w:sz w:val="21"/>
                <w:highlight w:val="none"/>
              </w:rPr>
            </w:pPr>
          </w:p>
          <w:p w14:paraId="3B2E9182">
            <w:pPr>
              <w:spacing w:line="246" w:lineRule="auto"/>
              <w:rPr>
                <w:rFonts w:ascii="Arial"/>
                <w:color w:val="auto"/>
                <w:sz w:val="21"/>
                <w:highlight w:val="none"/>
              </w:rPr>
            </w:pPr>
          </w:p>
          <w:p w14:paraId="60053BE0">
            <w:pPr>
              <w:pStyle w:val="18"/>
              <w:spacing w:before="65" w:line="268" w:lineRule="exact"/>
              <w:ind w:left="253"/>
              <w:rPr>
                <w:color w:val="auto"/>
                <w:highlight w:val="none"/>
              </w:rPr>
            </w:pPr>
            <w:r>
              <w:rPr>
                <w:color w:val="auto"/>
                <w:spacing w:val="2"/>
                <w:position w:val="1"/>
                <w:highlight w:val="none"/>
              </w:rPr>
              <w:t>3.4.1</w:t>
            </w:r>
          </w:p>
        </w:tc>
        <w:tc>
          <w:tcPr>
            <w:tcW w:w="2877" w:type="dxa"/>
            <w:vAlign w:val="top"/>
          </w:tcPr>
          <w:p w14:paraId="0966F41C">
            <w:pPr>
              <w:spacing w:line="244" w:lineRule="auto"/>
              <w:rPr>
                <w:rFonts w:ascii="Arial"/>
                <w:color w:val="auto"/>
                <w:sz w:val="21"/>
                <w:highlight w:val="none"/>
              </w:rPr>
            </w:pPr>
          </w:p>
          <w:p w14:paraId="3D9F361D">
            <w:pPr>
              <w:spacing w:line="244" w:lineRule="auto"/>
              <w:rPr>
                <w:rFonts w:ascii="Arial"/>
                <w:color w:val="auto"/>
                <w:sz w:val="21"/>
                <w:highlight w:val="none"/>
              </w:rPr>
            </w:pPr>
          </w:p>
          <w:p w14:paraId="1D51E693">
            <w:pPr>
              <w:spacing w:line="244" w:lineRule="auto"/>
              <w:rPr>
                <w:rFonts w:ascii="Arial"/>
                <w:color w:val="auto"/>
                <w:sz w:val="21"/>
                <w:highlight w:val="none"/>
              </w:rPr>
            </w:pPr>
          </w:p>
          <w:p w14:paraId="415C2400">
            <w:pPr>
              <w:spacing w:line="244" w:lineRule="auto"/>
              <w:rPr>
                <w:rFonts w:ascii="Arial"/>
                <w:color w:val="auto"/>
                <w:sz w:val="21"/>
                <w:highlight w:val="none"/>
              </w:rPr>
            </w:pPr>
          </w:p>
          <w:p w14:paraId="3F531419">
            <w:pPr>
              <w:spacing w:line="244" w:lineRule="auto"/>
              <w:rPr>
                <w:rFonts w:ascii="Arial"/>
                <w:color w:val="auto"/>
                <w:sz w:val="21"/>
                <w:highlight w:val="none"/>
              </w:rPr>
            </w:pPr>
          </w:p>
          <w:p w14:paraId="4198EEE5">
            <w:pPr>
              <w:spacing w:line="244" w:lineRule="auto"/>
              <w:rPr>
                <w:rFonts w:ascii="Arial"/>
                <w:color w:val="auto"/>
                <w:sz w:val="21"/>
                <w:highlight w:val="none"/>
              </w:rPr>
            </w:pPr>
          </w:p>
          <w:p w14:paraId="3DD3E057">
            <w:pPr>
              <w:spacing w:line="245" w:lineRule="auto"/>
              <w:rPr>
                <w:rFonts w:ascii="Arial"/>
                <w:color w:val="auto"/>
                <w:sz w:val="21"/>
                <w:highlight w:val="none"/>
              </w:rPr>
            </w:pPr>
          </w:p>
          <w:p w14:paraId="3A70619E">
            <w:pPr>
              <w:spacing w:line="245" w:lineRule="auto"/>
              <w:rPr>
                <w:rFonts w:ascii="Arial"/>
                <w:color w:val="auto"/>
                <w:sz w:val="21"/>
                <w:highlight w:val="none"/>
              </w:rPr>
            </w:pPr>
          </w:p>
          <w:p w14:paraId="4D533CAD">
            <w:pPr>
              <w:spacing w:line="245" w:lineRule="auto"/>
              <w:rPr>
                <w:rFonts w:ascii="Arial"/>
                <w:color w:val="auto"/>
                <w:sz w:val="21"/>
                <w:highlight w:val="none"/>
              </w:rPr>
            </w:pPr>
          </w:p>
          <w:p w14:paraId="495A0B2B">
            <w:pPr>
              <w:spacing w:line="245" w:lineRule="auto"/>
              <w:rPr>
                <w:rFonts w:ascii="Arial"/>
                <w:color w:val="auto"/>
                <w:sz w:val="21"/>
                <w:highlight w:val="none"/>
              </w:rPr>
            </w:pPr>
          </w:p>
          <w:p w14:paraId="46B9A680">
            <w:pPr>
              <w:spacing w:line="245" w:lineRule="auto"/>
              <w:rPr>
                <w:rFonts w:ascii="Arial"/>
                <w:color w:val="auto"/>
                <w:sz w:val="21"/>
                <w:highlight w:val="none"/>
              </w:rPr>
            </w:pPr>
          </w:p>
          <w:p w14:paraId="10AED7D9">
            <w:pPr>
              <w:spacing w:line="245" w:lineRule="auto"/>
              <w:rPr>
                <w:rFonts w:ascii="Arial"/>
                <w:color w:val="auto"/>
                <w:sz w:val="21"/>
                <w:highlight w:val="none"/>
              </w:rPr>
            </w:pPr>
          </w:p>
          <w:p w14:paraId="02106F02">
            <w:pPr>
              <w:spacing w:line="245" w:lineRule="auto"/>
              <w:rPr>
                <w:rFonts w:ascii="Arial"/>
                <w:color w:val="auto"/>
                <w:sz w:val="21"/>
                <w:highlight w:val="none"/>
              </w:rPr>
            </w:pPr>
          </w:p>
          <w:p w14:paraId="65E1EC52">
            <w:pPr>
              <w:spacing w:line="245" w:lineRule="auto"/>
              <w:rPr>
                <w:rFonts w:ascii="Arial"/>
                <w:color w:val="auto"/>
                <w:sz w:val="21"/>
                <w:highlight w:val="none"/>
              </w:rPr>
            </w:pPr>
          </w:p>
          <w:p w14:paraId="38FCCB9E">
            <w:pPr>
              <w:spacing w:line="245" w:lineRule="auto"/>
              <w:rPr>
                <w:rFonts w:ascii="Arial"/>
                <w:color w:val="auto"/>
                <w:sz w:val="21"/>
                <w:highlight w:val="none"/>
              </w:rPr>
            </w:pPr>
          </w:p>
          <w:p w14:paraId="4A43B6B4">
            <w:pPr>
              <w:spacing w:line="245" w:lineRule="auto"/>
              <w:rPr>
                <w:rFonts w:ascii="Arial"/>
                <w:color w:val="auto"/>
                <w:sz w:val="21"/>
                <w:highlight w:val="none"/>
              </w:rPr>
            </w:pPr>
          </w:p>
          <w:p w14:paraId="3CEB39EE">
            <w:pPr>
              <w:spacing w:line="245" w:lineRule="auto"/>
              <w:rPr>
                <w:rFonts w:ascii="Arial"/>
                <w:color w:val="auto"/>
                <w:sz w:val="21"/>
                <w:highlight w:val="none"/>
              </w:rPr>
            </w:pPr>
          </w:p>
          <w:p w14:paraId="17659ACC">
            <w:pPr>
              <w:spacing w:line="245" w:lineRule="auto"/>
              <w:rPr>
                <w:rFonts w:ascii="Arial"/>
                <w:color w:val="auto"/>
                <w:sz w:val="21"/>
                <w:highlight w:val="none"/>
              </w:rPr>
            </w:pPr>
          </w:p>
          <w:p w14:paraId="191C7D9D">
            <w:pPr>
              <w:spacing w:line="245" w:lineRule="auto"/>
              <w:rPr>
                <w:rFonts w:ascii="Arial"/>
                <w:color w:val="auto"/>
                <w:sz w:val="21"/>
                <w:highlight w:val="none"/>
              </w:rPr>
            </w:pPr>
          </w:p>
          <w:p w14:paraId="702FFC94">
            <w:pPr>
              <w:pStyle w:val="18"/>
              <w:spacing w:before="65" w:line="266" w:lineRule="exact"/>
              <w:ind w:left="868"/>
              <w:rPr>
                <w:color w:val="auto"/>
                <w:sz w:val="10"/>
                <w:szCs w:val="10"/>
                <w:highlight w:val="none"/>
              </w:rPr>
            </w:pPr>
            <w:r>
              <w:rPr>
                <w:color w:val="auto"/>
                <w:spacing w:val="7"/>
                <w:highlight w:val="none"/>
              </w:rPr>
              <w:t>投标保证金</w:t>
            </w:r>
          </w:p>
        </w:tc>
        <w:tc>
          <w:tcPr>
            <w:tcW w:w="4891" w:type="dxa"/>
            <w:vAlign w:val="top"/>
          </w:tcPr>
          <w:p w14:paraId="14E4D79D">
            <w:pPr>
              <w:pStyle w:val="18"/>
              <w:spacing w:before="142" w:line="228" w:lineRule="auto"/>
              <w:ind w:left="116"/>
              <w:rPr>
                <w:color w:val="auto"/>
                <w:highlight w:val="none"/>
              </w:rPr>
            </w:pPr>
            <w:r>
              <w:rPr>
                <w:color w:val="auto"/>
                <w:spacing w:val="8"/>
                <w:highlight w:val="none"/>
              </w:rPr>
              <w:t>是否要求投标人递交投标保证金：</w:t>
            </w:r>
          </w:p>
          <w:p w14:paraId="5C6A169D">
            <w:pPr>
              <w:pStyle w:val="18"/>
              <w:spacing w:before="11" w:line="404" w:lineRule="auto"/>
              <w:ind w:left="134"/>
              <w:rPr>
                <w:color w:val="auto"/>
                <w:spacing w:val="6"/>
                <w:position w:val="10"/>
                <w:sz w:val="10"/>
                <w:szCs w:val="10"/>
                <w:highlight w:val="none"/>
              </w:rPr>
            </w:pPr>
            <w:r>
              <w:rPr>
                <w:rFonts w:hint="eastAsia"/>
                <w:color w:val="auto"/>
                <w:spacing w:val="6"/>
                <w:highlight w:val="none"/>
                <w:lang w:eastAsia="zh-CN"/>
              </w:rPr>
              <w:t>☑</w:t>
            </w:r>
            <w:r>
              <w:rPr>
                <w:color w:val="auto"/>
                <w:spacing w:val="6"/>
                <w:highlight w:val="none"/>
              </w:rPr>
              <w:t>要求，投标保证金的金额：</w:t>
            </w:r>
            <w:r>
              <w:rPr>
                <w:b/>
                <w:bCs/>
                <w:color w:val="auto"/>
                <w:spacing w:val="6"/>
                <w:highlight w:val="none"/>
                <w:u w:val="single" w:color="auto"/>
              </w:rPr>
              <w:t xml:space="preserve"> </w:t>
            </w:r>
            <w:r>
              <w:rPr>
                <w:rFonts w:hint="eastAsia"/>
                <w:b/>
                <w:bCs/>
                <w:color w:val="auto"/>
                <w:spacing w:val="6"/>
                <w:highlight w:val="none"/>
                <w:u w:val="single" w:color="auto"/>
                <w:lang w:val="en-US" w:eastAsia="zh-CN"/>
              </w:rPr>
              <w:t>陆万元整</w:t>
            </w:r>
            <w:r>
              <w:rPr>
                <w:color w:val="auto"/>
                <w:spacing w:val="6"/>
                <w:highlight w:val="none"/>
                <w:u w:val="single" w:color="auto"/>
              </w:rPr>
              <w:t xml:space="preserve"> </w:t>
            </w:r>
          </w:p>
          <w:p w14:paraId="67D922F2">
            <w:pPr>
              <w:pStyle w:val="18"/>
              <w:spacing w:before="11" w:line="404" w:lineRule="auto"/>
              <w:ind w:left="134"/>
              <w:rPr>
                <w:rFonts w:hint="eastAsia"/>
                <w:color w:val="auto"/>
                <w:spacing w:val="6"/>
                <w:position w:val="10"/>
                <w:sz w:val="20"/>
                <w:szCs w:val="20"/>
                <w:highlight w:val="none"/>
              </w:rPr>
            </w:pPr>
            <w:r>
              <w:rPr>
                <w:rFonts w:hint="eastAsia"/>
                <w:color w:val="auto"/>
                <w:spacing w:val="6"/>
                <w:position w:val="10"/>
                <w:sz w:val="20"/>
                <w:szCs w:val="20"/>
                <w:highlight w:val="none"/>
              </w:rPr>
              <w:t>缴纳项目投标保证金截止时间(以资金到账时间或成功上传保函或成功上传保单时间为准)为投标截止时间前24小时，见“重要事项时间地点一览表”。</w:t>
            </w:r>
          </w:p>
          <w:p w14:paraId="14E67EF4">
            <w:pPr>
              <w:pStyle w:val="18"/>
              <w:spacing w:before="11" w:line="404" w:lineRule="auto"/>
              <w:ind w:left="134"/>
              <w:rPr>
                <w:rFonts w:hint="eastAsia"/>
                <w:color w:val="auto"/>
                <w:spacing w:val="6"/>
                <w:position w:val="10"/>
                <w:sz w:val="20"/>
                <w:szCs w:val="20"/>
                <w:highlight w:val="none"/>
              </w:rPr>
            </w:pPr>
            <w:r>
              <w:rPr>
                <w:rFonts w:hint="eastAsia"/>
                <w:color w:val="auto"/>
                <w:spacing w:val="6"/>
                <w:position w:val="10"/>
                <w:sz w:val="20"/>
                <w:szCs w:val="20"/>
                <w:highlight w:val="none"/>
              </w:rPr>
              <w:t>投标保证的形式包括投标保证金、投标保证担保、投标保证保险三种，由投标人自主选择。</w:t>
            </w:r>
          </w:p>
          <w:p w14:paraId="1EF6D378">
            <w:pPr>
              <w:pStyle w:val="18"/>
              <w:spacing w:before="11" w:line="404" w:lineRule="auto"/>
              <w:ind w:left="134"/>
              <w:rPr>
                <w:rFonts w:hint="eastAsia"/>
                <w:color w:val="auto"/>
                <w:spacing w:val="6"/>
                <w:position w:val="10"/>
                <w:sz w:val="20"/>
                <w:szCs w:val="20"/>
                <w:highlight w:val="none"/>
              </w:rPr>
            </w:pPr>
            <w:r>
              <w:rPr>
                <w:rFonts w:hint="eastAsia"/>
                <w:color w:val="auto"/>
                <w:spacing w:val="6"/>
                <w:position w:val="10"/>
                <w:sz w:val="20"/>
                <w:szCs w:val="20"/>
                <w:highlight w:val="none"/>
              </w:rPr>
              <w:t xml:space="preserve">(1)采用投标保证金的，投标人在建设工程交易系统获取招标文件后，即可在系统申请缴纳投标保证金，获取本次招标投标保证金缴纳账号。投标人须于投标保证金到账截止时间(详见“重要事项时间地点一览表”)前，从其基本账户将投标保证金转账到指定的缴纳账号。逾期到账的、从非投标人基本账户转出的，其投标无效。 </w:t>
            </w:r>
          </w:p>
          <w:p w14:paraId="3209DF5B">
            <w:pPr>
              <w:pStyle w:val="18"/>
              <w:spacing w:before="11" w:line="404" w:lineRule="auto"/>
              <w:ind w:left="134"/>
              <w:rPr>
                <w:rFonts w:hint="eastAsia"/>
                <w:color w:val="auto"/>
                <w:spacing w:val="6"/>
                <w:position w:val="10"/>
                <w:sz w:val="20"/>
                <w:szCs w:val="20"/>
                <w:highlight w:val="none"/>
              </w:rPr>
            </w:pPr>
            <w:r>
              <w:rPr>
                <w:rFonts w:hint="eastAsia"/>
                <w:color w:val="auto"/>
                <w:spacing w:val="6"/>
                <w:position w:val="10"/>
                <w:sz w:val="20"/>
                <w:szCs w:val="20"/>
                <w:highlight w:val="none"/>
              </w:rPr>
              <w:t>(2)采用投标保证担保的，投标人应提交有效的银行保函，银行保函的有效期不得短于投标有效期。投标人必须在投标保证担保截止时间（详见“重要事项时间地点一览表”）前，使用工程建设交易系统完成网上办理电子保函。</w:t>
            </w:r>
          </w:p>
          <w:p w14:paraId="34304A29">
            <w:pPr>
              <w:pStyle w:val="18"/>
              <w:spacing w:before="11" w:line="404" w:lineRule="auto"/>
              <w:ind w:left="134"/>
              <w:rPr>
                <w:rFonts w:hint="eastAsia"/>
                <w:color w:val="auto"/>
                <w:spacing w:val="6"/>
                <w:position w:val="10"/>
                <w:sz w:val="20"/>
                <w:szCs w:val="20"/>
                <w:highlight w:val="none"/>
              </w:rPr>
            </w:pPr>
            <w:r>
              <w:rPr>
                <w:rFonts w:hint="eastAsia"/>
                <w:color w:val="auto"/>
                <w:spacing w:val="6"/>
                <w:position w:val="10"/>
                <w:sz w:val="20"/>
                <w:szCs w:val="20"/>
                <w:highlight w:val="none"/>
              </w:rPr>
              <w:t>(3)采用投标保证保险的，投标人须在投标保证保险投保截止时间（详见“重要事项时间地点一览表”）前，使用建设工程交易系统完成网上投保。投标人可在系统选择保险机构、录入投保信息、支付保费、打印电子保单，电子保单的有效期不得短于投标有效期。投标人可登录全国公共资源交易平台 （广东省 · 韶关市）（https://ygp.gdzwfw.gov.cn/ggzy-portal/#/440200/index），在【服务指南】栏目中下载《韶关市公共资源建设工程交易系统-投标人操作指南》，了解网上投保具体操作流程。逾期投保的，其投标无效。</w:t>
            </w:r>
          </w:p>
          <w:p w14:paraId="7D5404B1">
            <w:pPr>
              <w:pStyle w:val="18"/>
              <w:spacing w:before="11" w:line="404" w:lineRule="auto"/>
              <w:ind w:left="134"/>
              <w:rPr>
                <w:color w:val="auto"/>
                <w:spacing w:val="6"/>
                <w:position w:val="10"/>
                <w:sz w:val="10"/>
                <w:szCs w:val="10"/>
                <w:highlight w:val="none"/>
              </w:rPr>
            </w:pPr>
            <w:r>
              <w:rPr>
                <w:rFonts w:hint="eastAsia"/>
                <w:color w:val="auto"/>
                <w:spacing w:val="6"/>
                <w:position w:val="10"/>
                <w:sz w:val="20"/>
                <w:szCs w:val="20"/>
                <w:highlight w:val="none"/>
              </w:rPr>
              <w:t>温馨提醒：投标人采用投标保证担保或投标保证保险的，为避免在评标过程中因有效期发生争议，建议投标人将银行保函或电子保单有效期设置为较招标文件规定的投标有效期延长不少于20个日历天。</w:t>
            </w:r>
          </w:p>
          <w:p w14:paraId="6A7D99F4">
            <w:pPr>
              <w:pStyle w:val="18"/>
              <w:spacing w:before="103" w:line="321" w:lineRule="auto"/>
              <w:ind w:left="115" w:right="161" w:firstLine="18"/>
              <w:rPr>
                <w:color w:val="auto"/>
                <w:highlight w:val="none"/>
              </w:rPr>
            </w:pPr>
            <w:r>
              <w:rPr>
                <w:color w:val="auto"/>
                <w:spacing w:val="8"/>
                <w:highlight w:val="none"/>
              </w:rPr>
              <w:t>□按投标人在广东省交通运输厅最新年度发布的广</w:t>
            </w:r>
            <w:r>
              <w:rPr>
                <w:color w:val="auto"/>
                <w:spacing w:val="9"/>
                <w:highlight w:val="none"/>
              </w:rPr>
              <w:t>东省公路工程从业单位信用等级（监理单位）减免</w:t>
            </w:r>
            <w:r>
              <w:rPr>
                <w:color w:val="auto"/>
                <w:spacing w:val="8"/>
                <w:highlight w:val="none"/>
              </w:rPr>
              <w:t>投标保证金，减免幅度如下</w:t>
            </w:r>
            <w:r>
              <w:rPr>
                <w:color w:val="auto"/>
                <w:highlight w:val="none"/>
              </w:rPr>
              <w:fldChar w:fldCharType="begin"/>
            </w:r>
            <w:r>
              <w:rPr>
                <w:color w:val="auto"/>
                <w:highlight w:val="none"/>
              </w:rPr>
              <w:instrText xml:space="preserve"> HYPERLINK \l "bookmark58" </w:instrText>
            </w:r>
            <w:r>
              <w:rPr>
                <w:color w:val="auto"/>
                <w:highlight w:val="none"/>
              </w:rPr>
              <w:fldChar w:fldCharType="separate"/>
            </w:r>
            <w:r>
              <w:rPr>
                <w:color w:val="auto"/>
                <w:spacing w:val="8"/>
                <w:position w:val="10"/>
                <w:sz w:val="10"/>
                <w:szCs w:val="10"/>
                <w:highlight w:val="none"/>
              </w:rPr>
              <w:t>③</w:t>
            </w:r>
            <w:r>
              <w:rPr>
                <w:color w:val="auto"/>
                <w:spacing w:val="8"/>
                <w:position w:val="10"/>
                <w:sz w:val="10"/>
                <w:szCs w:val="10"/>
                <w:highlight w:val="none"/>
              </w:rPr>
              <w:fldChar w:fldCharType="end"/>
            </w:r>
            <w:r>
              <w:rPr>
                <w:color w:val="auto"/>
                <w:spacing w:val="8"/>
                <w:highlight w:val="none"/>
              </w:rPr>
              <w:t>:</w:t>
            </w:r>
          </w:p>
          <w:p w14:paraId="3497F788">
            <w:pPr>
              <w:spacing w:line="15" w:lineRule="exact"/>
              <w:rPr>
                <w:color w:val="auto"/>
                <w:highlight w:val="none"/>
              </w:rPr>
            </w:pPr>
          </w:p>
          <w:tbl>
            <w:tblPr>
              <w:tblStyle w:val="17"/>
              <w:tblW w:w="4625"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92"/>
              <w:gridCol w:w="1004"/>
              <w:gridCol w:w="931"/>
              <w:gridCol w:w="610"/>
              <w:gridCol w:w="488"/>
            </w:tblGrid>
            <w:tr w14:paraId="21E4C6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1592" w:type="dxa"/>
                  <w:vAlign w:val="top"/>
                </w:tcPr>
                <w:p w14:paraId="1ACE9885">
                  <w:pPr>
                    <w:pStyle w:val="18"/>
                    <w:spacing w:before="172" w:line="218" w:lineRule="auto"/>
                    <w:ind w:left="260"/>
                    <w:rPr>
                      <w:color w:val="auto"/>
                      <w:sz w:val="18"/>
                      <w:szCs w:val="18"/>
                      <w:highlight w:val="none"/>
                    </w:rPr>
                  </w:pPr>
                  <w:r>
                    <w:rPr>
                      <w:color w:val="auto"/>
                      <w:spacing w:val="-2"/>
                      <w:sz w:val="18"/>
                      <w:szCs w:val="18"/>
                      <w:highlight w:val="none"/>
                    </w:rPr>
                    <w:t>信用评价等级</w:t>
                  </w:r>
                </w:p>
              </w:tc>
              <w:tc>
                <w:tcPr>
                  <w:tcW w:w="1004" w:type="dxa"/>
                  <w:vAlign w:val="top"/>
                </w:tcPr>
                <w:p w14:paraId="7533E2D3">
                  <w:pPr>
                    <w:pStyle w:val="18"/>
                    <w:spacing w:before="199" w:line="184" w:lineRule="auto"/>
                    <w:ind w:left="409"/>
                    <w:rPr>
                      <w:color w:val="auto"/>
                      <w:sz w:val="18"/>
                      <w:szCs w:val="18"/>
                      <w:highlight w:val="none"/>
                    </w:rPr>
                  </w:pPr>
                  <w:r>
                    <w:rPr>
                      <w:color w:val="auto"/>
                      <w:spacing w:val="-1"/>
                      <w:sz w:val="18"/>
                      <w:szCs w:val="18"/>
                      <w:highlight w:val="none"/>
                    </w:rPr>
                    <w:t>AA</w:t>
                  </w:r>
                </w:p>
              </w:tc>
              <w:tc>
                <w:tcPr>
                  <w:tcW w:w="931" w:type="dxa"/>
                  <w:vAlign w:val="top"/>
                </w:tcPr>
                <w:p w14:paraId="0B7BFC3F">
                  <w:pPr>
                    <w:pStyle w:val="18"/>
                    <w:spacing w:before="199" w:line="184" w:lineRule="auto"/>
                    <w:ind w:left="420"/>
                    <w:rPr>
                      <w:color w:val="auto"/>
                      <w:sz w:val="18"/>
                      <w:szCs w:val="18"/>
                      <w:highlight w:val="none"/>
                    </w:rPr>
                  </w:pPr>
                  <w:r>
                    <w:rPr>
                      <w:color w:val="auto"/>
                      <w:sz w:val="18"/>
                      <w:szCs w:val="18"/>
                      <w:highlight w:val="none"/>
                    </w:rPr>
                    <w:t>A</w:t>
                  </w:r>
                </w:p>
              </w:tc>
              <w:tc>
                <w:tcPr>
                  <w:tcW w:w="610" w:type="dxa"/>
                  <w:vAlign w:val="top"/>
                </w:tcPr>
                <w:p w14:paraId="0906F2A8">
                  <w:pPr>
                    <w:pStyle w:val="18"/>
                    <w:spacing w:before="201" w:line="182" w:lineRule="auto"/>
                    <w:ind w:left="261"/>
                    <w:rPr>
                      <w:color w:val="auto"/>
                      <w:sz w:val="18"/>
                      <w:szCs w:val="18"/>
                      <w:highlight w:val="none"/>
                    </w:rPr>
                  </w:pPr>
                  <w:r>
                    <w:rPr>
                      <w:color w:val="auto"/>
                      <w:sz w:val="18"/>
                      <w:szCs w:val="18"/>
                      <w:highlight w:val="none"/>
                    </w:rPr>
                    <w:t>B</w:t>
                  </w:r>
                </w:p>
              </w:tc>
              <w:tc>
                <w:tcPr>
                  <w:tcW w:w="488" w:type="dxa"/>
                  <w:vAlign w:val="top"/>
                </w:tcPr>
                <w:p w14:paraId="5FCC31E8">
                  <w:pPr>
                    <w:pStyle w:val="18"/>
                    <w:spacing w:before="200" w:line="183" w:lineRule="auto"/>
                    <w:ind w:left="201"/>
                    <w:rPr>
                      <w:color w:val="auto"/>
                      <w:sz w:val="18"/>
                      <w:szCs w:val="18"/>
                      <w:highlight w:val="none"/>
                    </w:rPr>
                  </w:pPr>
                  <w:r>
                    <w:rPr>
                      <w:color w:val="auto"/>
                      <w:sz w:val="18"/>
                      <w:szCs w:val="18"/>
                      <w:highlight w:val="none"/>
                    </w:rPr>
                    <w:t>C</w:t>
                  </w:r>
                </w:p>
              </w:tc>
            </w:tr>
            <w:tr w14:paraId="078C68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3" w:hRule="atLeast"/>
              </w:trPr>
              <w:tc>
                <w:tcPr>
                  <w:tcW w:w="1592" w:type="dxa"/>
                  <w:vAlign w:val="top"/>
                </w:tcPr>
                <w:p w14:paraId="10071A54">
                  <w:pPr>
                    <w:pStyle w:val="18"/>
                    <w:spacing w:before="167" w:line="321" w:lineRule="auto"/>
                    <w:ind w:left="626" w:right="162" w:hanging="453"/>
                    <w:rPr>
                      <w:color w:val="auto"/>
                      <w:sz w:val="18"/>
                      <w:szCs w:val="18"/>
                      <w:highlight w:val="none"/>
                    </w:rPr>
                  </w:pPr>
                  <w:r>
                    <w:rPr>
                      <w:color w:val="auto"/>
                      <w:spacing w:val="-2"/>
                      <w:sz w:val="18"/>
                      <w:szCs w:val="18"/>
                      <w:highlight w:val="none"/>
                    </w:rPr>
                    <w:t>投标保证金减免</w:t>
                  </w:r>
                  <w:r>
                    <w:rPr>
                      <w:color w:val="auto"/>
                      <w:spacing w:val="-8"/>
                      <w:sz w:val="18"/>
                      <w:szCs w:val="18"/>
                      <w:highlight w:val="none"/>
                    </w:rPr>
                    <w:t>幅度</w:t>
                  </w:r>
                </w:p>
              </w:tc>
              <w:tc>
                <w:tcPr>
                  <w:tcW w:w="1004" w:type="dxa"/>
                  <w:vAlign w:val="top"/>
                </w:tcPr>
                <w:p w14:paraId="28695C44">
                  <w:pPr>
                    <w:pStyle w:val="18"/>
                    <w:spacing w:before="166"/>
                    <w:ind w:left="116"/>
                    <w:rPr>
                      <w:color w:val="auto"/>
                      <w:sz w:val="18"/>
                      <w:szCs w:val="18"/>
                      <w:highlight w:val="none"/>
                    </w:rPr>
                  </w:pPr>
                  <w:r>
                    <w:rPr>
                      <w:color w:val="auto"/>
                      <w:spacing w:val="13"/>
                      <w:sz w:val="18"/>
                      <w:szCs w:val="18"/>
                      <w:highlight w:val="none"/>
                      <w:u w:val="single" w:color="auto"/>
                    </w:rPr>
                    <w:t>50%</w:t>
                  </w:r>
                  <w:r>
                    <w:rPr>
                      <w:color w:val="auto"/>
                      <w:spacing w:val="26"/>
                      <w:sz w:val="18"/>
                      <w:szCs w:val="18"/>
                      <w:highlight w:val="none"/>
                      <w:u w:val="single" w:color="auto"/>
                    </w:rPr>
                    <w:t xml:space="preserve">   </w:t>
                  </w:r>
                  <w:r>
                    <w:rPr>
                      <w:color w:val="auto"/>
                      <w:spacing w:val="13"/>
                      <w:sz w:val="18"/>
                      <w:szCs w:val="18"/>
                      <w:highlight w:val="none"/>
                      <w:u w:val="single" w:color="auto"/>
                    </w:rPr>
                    <w:t>~</w:t>
                  </w:r>
                </w:p>
                <w:p w14:paraId="66C56ABC">
                  <w:pPr>
                    <w:pStyle w:val="18"/>
                    <w:spacing w:before="166" w:line="231" w:lineRule="auto"/>
                    <w:ind w:left="126"/>
                    <w:rPr>
                      <w:color w:val="auto"/>
                      <w:sz w:val="18"/>
                      <w:szCs w:val="18"/>
                      <w:highlight w:val="none"/>
                    </w:rPr>
                  </w:pPr>
                  <w:r>
                    <w:rPr>
                      <w:color w:val="auto"/>
                      <w:spacing w:val="-5"/>
                      <w:sz w:val="18"/>
                      <w:szCs w:val="18"/>
                      <w:highlight w:val="none"/>
                      <w:u w:val="single" w:color="auto"/>
                    </w:rPr>
                    <w:t>100%</w:t>
                  </w:r>
                </w:p>
              </w:tc>
              <w:tc>
                <w:tcPr>
                  <w:tcW w:w="931" w:type="dxa"/>
                  <w:vAlign w:val="top"/>
                </w:tcPr>
                <w:p w14:paraId="1E2AD135">
                  <w:pPr>
                    <w:pStyle w:val="18"/>
                    <w:spacing w:before="166"/>
                    <w:ind w:left="125"/>
                    <w:rPr>
                      <w:color w:val="auto"/>
                      <w:sz w:val="18"/>
                      <w:szCs w:val="18"/>
                      <w:highlight w:val="none"/>
                    </w:rPr>
                  </w:pPr>
                  <w:r>
                    <w:rPr>
                      <w:color w:val="auto"/>
                      <w:spacing w:val="10"/>
                      <w:sz w:val="18"/>
                      <w:szCs w:val="18"/>
                      <w:highlight w:val="none"/>
                      <w:u w:val="single" w:color="auto"/>
                    </w:rPr>
                    <w:t>10%</w:t>
                  </w:r>
                  <w:r>
                    <w:rPr>
                      <w:color w:val="auto"/>
                      <w:spacing w:val="3"/>
                      <w:sz w:val="18"/>
                      <w:szCs w:val="18"/>
                      <w:highlight w:val="none"/>
                      <w:u w:val="single" w:color="auto"/>
                    </w:rPr>
                    <w:t xml:space="preserve">   </w:t>
                  </w:r>
                  <w:r>
                    <w:rPr>
                      <w:color w:val="auto"/>
                      <w:spacing w:val="10"/>
                      <w:sz w:val="18"/>
                      <w:szCs w:val="18"/>
                      <w:highlight w:val="none"/>
                      <w:u w:val="single" w:color="auto"/>
                    </w:rPr>
                    <w:t>~</w:t>
                  </w:r>
                </w:p>
                <w:p w14:paraId="6BDADAEF">
                  <w:pPr>
                    <w:pStyle w:val="18"/>
                    <w:spacing w:before="166" w:line="231" w:lineRule="auto"/>
                    <w:ind w:left="115"/>
                    <w:rPr>
                      <w:color w:val="auto"/>
                      <w:sz w:val="18"/>
                      <w:szCs w:val="18"/>
                      <w:highlight w:val="none"/>
                    </w:rPr>
                  </w:pPr>
                  <w:r>
                    <w:rPr>
                      <w:color w:val="auto"/>
                      <w:spacing w:val="-4"/>
                      <w:sz w:val="18"/>
                      <w:szCs w:val="18"/>
                      <w:highlight w:val="none"/>
                      <w:u w:val="single" w:color="auto"/>
                    </w:rPr>
                    <w:t>50%</w:t>
                  </w:r>
                </w:p>
              </w:tc>
              <w:tc>
                <w:tcPr>
                  <w:tcW w:w="610" w:type="dxa"/>
                  <w:vAlign w:val="top"/>
                </w:tcPr>
                <w:p w14:paraId="69FC31D4">
                  <w:pPr>
                    <w:spacing w:line="308" w:lineRule="auto"/>
                    <w:rPr>
                      <w:rFonts w:ascii="Arial"/>
                      <w:color w:val="auto"/>
                      <w:sz w:val="21"/>
                      <w:highlight w:val="none"/>
                    </w:rPr>
                  </w:pPr>
                </w:p>
                <w:p w14:paraId="13D79EAC">
                  <w:pPr>
                    <w:pStyle w:val="18"/>
                    <w:spacing w:before="58"/>
                    <w:ind w:left="116"/>
                    <w:rPr>
                      <w:color w:val="auto"/>
                      <w:sz w:val="18"/>
                      <w:szCs w:val="18"/>
                      <w:highlight w:val="none"/>
                    </w:rPr>
                  </w:pPr>
                  <w:r>
                    <w:rPr>
                      <w:color w:val="auto"/>
                      <w:spacing w:val="-4"/>
                      <w:sz w:val="18"/>
                      <w:szCs w:val="18"/>
                      <w:highlight w:val="none"/>
                    </w:rPr>
                    <w:t>0%</w:t>
                  </w:r>
                </w:p>
              </w:tc>
              <w:tc>
                <w:tcPr>
                  <w:tcW w:w="488" w:type="dxa"/>
                  <w:vAlign w:val="top"/>
                </w:tcPr>
                <w:p w14:paraId="0A892503">
                  <w:pPr>
                    <w:spacing w:line="308" w:lineRule="auto"/>
                    <w:rPr>
                      <w:rFonts w:ascii="Arial"/>
                      <w:color w:val="auto"/>
                      <w:sz w:val="21"/>
                      <w:highlight w:val="none"/>
                    </w:rPr>
                  </w:pPr>
                </w:p>
                <w:p w14:paraId="575181EE">
                  <w:pPr>
                    <w:pStyle w:val="18"/>
                    <w:spacing w:before="58"/>
                    <w:ind w:left="115"/>
                    <w:rPr>
                      <w:color w:val="auto"/>
                      <w:sz w:val="18"/>
                      <w:szCs w:val="18"/>
                      <w:highlight w:val="none"/>
                    </w:rPr>
                  </w:pPr>
                  <w:r>
                    <w:rPr>
                      <w:color w:val="auto"/>
                      <w:spacing w:val="-4"/>
                      <w:sz w:val="18"/>
                      <w:szCs w:val="18"/>
                      <w:highlight w:val="none"/>
                    </w:rPr>
                    <w:t>0%</w:t>
                  </w:r>
                </w:p>
              </w:tc>
            </w:tr>
            <w:tr w14:paraId="463C28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8" w:hRule="atLeast"/>
              </w:trPr>
              <w:tc>
                <w:tcPr>
                  <w:tcW w:w="1592" w:type="dxa"/>
                  <w:vAlign w:val="top"/>
                </w:tcPr>
                <w:p w14:paraId="687ED9CF">
                  <w:pPr>
                    <w:pStyle w:val="18"/>
                    <w:spacing w:before="170" w:line="322" w:lineRule="auto"/>
                    <w:ind w:left="439" w:right="162" w:hanging="268"/>
                    <w:rPr>
                      <w:color w:val="auto"/>
                      <w:sz w:val="18"/>
                      <w:szCs w:val="18"/>
                      <w:highlight w:val="none"/>
                    </w:rPr>
                  </w:pPr>
                  <w:r>
                    <w:rPr>
                      <w:color w:val="auto"/>
                      <w:spacing w:val="-2"/>
                      <w:sz w:val="18"/>
                      <w:szCs w:val="18"/>
                      <w:highlight w:val="none"/>
                    </w:rPr>
                    <w:t>减免后的投标保证金金额</w:t>
                  </w:r>
                </w:p>
              </w:tc>
              <w:tc>
                <w:tcPr>
                  <w:tcW w:w="1004" w:type="dxa"/>
                  <w:vAlign w:val="top"/>
                </w:tcPr>
                <w:p w14:paraId="623C1A38">
                  <w:pPr>
                    <w:rPr>
                      <w:rFonts w:ascii="Arial"/>
                      <w:color w:val="auto"/>
                      <w:sz w:val="21"/>
                      <w:highlight w:val="none"/>
                    </w:rPr>
                  </w:pPr>
                </w:p>
              </w:tc>
              <w:tc>
                <w:tcPr>
                  <w:tcW w:w="931" w:type="dxa"/>
                  <w:vAlign w:val="top"/>
                </w:tcPr>
                <w:p w14:paraId="6B33F2DA">
                  <w:pPr>
                    <w:rPr>
                      <w:rFonts w:ascii="Arial"/>
                      <w:color w:val="auto"/>
                      <w:sz w:val="21"/>
                      <w:highlight w:val="none"/>
                    </w:rPr>
                  </w:pPr>
                </w:p>
              </w:tc>
              <w:tc>
                <w:tcPr>
                  <w:tcW w:w="610" w:type="dxa"/>
                  <w:vAlign w:val="top"/>
                </w:tcPr>
                <w:p w14:paraId="63FE598E">
                  <w:pPr>
                    <w:rPr>
                      <w:rFonts w:ascii="Arial"/>
                      <w:color w:val="auto"/>
                      <w:sz w:val="21"/>
                      <w:highlight w:val="none"/>
                    </w:rPr>
                  </w:pPr>
                </w:p>
              </w:tc>
              <w:tc>
                <w:tcPr>
                  <w:tcW w:w="488" w:type="dxa"/>
                  <w:vAlign w:val="top"/>
                </w:tcPr>
                <w:p w14:paraId="43E0354F">
                  <w:pPr>
                    <w:rPr>
                      <w:rFonts w:ascii="Arial"/>
                      <w:color w:val="auto"/>
                      <w:sz w:val="21"/>
                      <w:highlight w:val="none"/>
                    </w:rPr>
                  </w:pPr>
                </w:p>
              </w:tc>
            </w:tr>
          </w:tbl>
          <w:p w14:paraId="26804C88">
            <w:pPr>
              <w:pStyle w:val="18"/>
              <w:spacing w:line="399" w:lineRule="auto"/>
              <w:ind w:left="114" w:right="108" w:firstLine="19"/>
              <w:rPr>
                <w:color w:val="auto"/>
                <w:highlight w:val="none"/>
              </w:rPr>
            </w:pPr>
            <w:r>
              <w:rPr>
                <w:rFonts w:hint="eastAsia"/>
                <w:color w:val="auto"/>
                <w:spacing w:val="11"/>
                <w:highlight w:val="none"/>
                <w:lang w:eastAsia="zh-CN"/>
              </w:rPr>
              <w:t>□</w:t>
            </w:r>
            <w:r>
              <w:rPr>
                <w:color w:val="auto"/>
                <w:spacing w:val="11"/>
                <w:highlight w:val="none"/>
              </w:rPr>
              <w:t>无失信记录的中小微企业</w:t>
            </w:r>
            <w:r>
              <w:rPr>
                <w:color w:val="auto"/>
                <w:spacing w:val="-17"/>
                <w:position w:val="10"/>
                <w:sz w:val="10"/>
                <w:szCs w:val="10"/>
                <w:highlight w:val="none"/>
              </w:rPr>
              <w:t xml:space="preserve"> </w:t>
            </w:r>
            <w:r>
              <w:rPr>
                <w:color w:val="auto"/>
                <w:spacing w:val="11"/>
                <w:highlight w:val="none"/>
              </w:rPr>
              <w:t>,</w:t>
            </w:r>
            <w:r>
              <w:rPr>
                <w:color w:val="auto"/>
                <w:spacing w:val="69"/>
                <w:highlight w:val="none"/>
              </w:rPr>
              <w:t xml:space="preserve"> </w:t>
            </w:r>
            <w:r>
              <w:rPr>
                <w:color w:val="auto"/>
                <w:spacing w:val="11"/>
                <w:highlight w:val="none"/>
              </w:rPr>
              <w:t>给予减免投标</w:t>
            </w:r>
            <w:r>
              <w:rPr>
                <w:color w:val="auto"/>
                <w:spacing w:val="10"/>
                <w:highlight w:val="none"/>
              </w:rPr>
              <w:t>保证金，减免</w:t>
            </w:r>
            <w:r>
              <w:rPr>
                <w:color w:val="auto"/>
                <w:spacing w:val="-83"/>
                <w:highlight w:val="none"/>
              </w:rPr>
              <w:t xml:space="preserve"> </w:t>
            </w:r>
            <w:r>
              <w:rPr>
                <w:color w:val="auto"/>
                <w:spacing w:val="7"/>
                <w:highlight w:val="none"/>
                <w:u w:val="single" w:color="auto"/>
              </w:rPr>
              <w:t xml:space="preserve"> </w:t>
            </w:r>
            <w:r>
              <w:rPr>
                <w:rFonts w:hint="eastAsia"/>
                <w:color w:val="auto"/>
                <w:spacing w:val="7"/>
                <w:highlight w:val="none"/>
                <w:u w:val="single" w:color="auto"/>
                <w:lang w:val="en-US" w:eastAsia="zh-CN"/>
              </w:rPr>
              <w:t xml:space="preserve">/ </w:t>
            </w:r>
            <w:r>
              <w:rPr>
                <w:color w:val="auto"/>
                <w:spacing w:val="7"/>
                <w:highlight w:val="none"/>
                <w:u w:val="single" w:color="auto"/>
              </w:rPr>
              <w:t xml:space="preserve"> </w:t>
            </w:r>
            <w:r>
              <w:rPr>
                <w:color w:val="auto"/>
                <w:spacing w:val="-96"/>
                <w:highlight w:val="none"/>
              </w:rPr>
              <w:t xml:space="preserve"> </w:t>
            </w:r>
            <w:r>
              <w:rPr>
                <w:color w:val="auto"/>
                <w:spacing w:val="10"/>
                <w:highlight w:val="none"/>
              </w:rPr>
              <w:t>%缴纳投标保证金，减免后投标保证</w:t>
            </w:r>
          </w:p>
          <w:p w14:paraId="377DE1A2">
            <w:pPr>
              <w:pStyle w:val="18"/>
              <w:spacing w:before="77" w:line="369" w:lineRule="auto"/>
              <w:ind w:left="114" w:right="108"/>
              <w:jc w:val="both"/>
              <w:rPr>
                <w:color w:val="auto"/>
                <w:highlight w:val="none"/>
              </w:rPr>
            </w:pPr>
            <w:r>
              <w:rPr>
                <w:color w:val="auto"/>
                <w:spacing w:val="9"/>
                <w:highlight w:val="none"/>
              </w:rPr>
              <w:t>金金额：</w:t>
            </w:r>
            <w:r>
              <w:rPr>
                <w:color w:val="auto"/>
                <w:spacing w:val="9"/>
                <w:highlight w:val="none"/>
                <w:u w:val="single" w:color="auto"/>
              </w:rPr>
              <w:t xml:space="preserve">  </w:t>
            </w:r>
            <w:r>
              <w:rPr>
                <w:rFonts w:hint="eastAsia"/>
                <w:color w:val="auto"/>
                <w:spacing w:val="9"/>
                <w:highlight w:val="none"/>
                <w:u w:val="single" w:color="auto"/>
                <w:lang w:val="en-US" w:eastAsia="zh-CN"/>
              </w:rPr>
              <w:t>/</w:t>
            </w:r>
            <w:r>
              <w:rPr>
                <w:color w:val="auto"/>
                <w:spacing w:val="9"/>
                <w:highlight w:val="none"/>
                <w:u w:val="single" w:color="auto"/>
              </w:rPr>
              <w:t xml:space="preserve">  </w:t>
            </w:r>
            <w:r>
              <w:rPr>
                <w:color w:val="auto"/>
                <w:spacing w:val="-54"/>
                <w:highlight w:val="none"/>
              </w:rPr>
              <w:t xml:space="preserve"> </w:t>
            </w:r>
            <w:r>
              <w:rPr>
                <w:color w:val="auto"/>
                <w:spacing w:val="9"/>
                <w:highlight w:val="none"/>
              </w:rPr>
              <w:t>。如同时满足以上信用等级和中小微</w:t>
            </w:r>
            <w:r>
              <w:rPr>
                <w:color w:val="auto"/>
                <w:spacing w:val="12"/>
                <w:highlight w:val="none"/>
              </w:rPr>
              <w:t>企业减免投标保证金的情形，则以减免后投</w:t>
            </w:r>
            <w:r>
              <w:rPr>
                <w:color w:val="auto"/>
                <w:spacing w:val="11"/>
                <w:highlight w:val="none"/>
              </w:rPr>
              <w:t>标保证</w:t>
            </w:r>
            <w:r>
              <w:rPr>
                <w:color w:val="auto"/>
                <w:spacing w:val="8"/>
                <w:highlight w:val="none"/>
              </w:rPr>
              <w:t>金金额较少的为准。</w:t>
            </w:r>
            <w:r>
              <w:rPr>
                <w:color w:val="auto"/>
                <w:spacing w:val="-57"/>
                <w:highlight w:val="none"/>
              </w:rPr>
              <w:t xml:space="preserve"> </w:t>
            </w:r>
            <w:r>
              <w:rPr>
                <w:color w:val="auto"/>
                <w:spacing w:val="8"/>
                <w:highlight w:val="none"/>
              </w:rPr>
              <w:t>以联合体形式参加投标的，</w:t>
            </w:r>
            <w:r>
              <w:rPr>
                <w:color w:val="auto"/>
                <w:spacing w:val="-57"/>
                <w:highlight w:val="none"/>
              </w:rPr>
              <w:t xml:space="preserve"> </w:t>
            </w:r>
            <w:r>
              <w:rPr>
                <w:color w:val="auto"/>
                <w:spacing w:val="8"/>
                <w:highlight w:val="none"/>
              </w:rPr>
              <w:t>以上情形以联合体牵头人的企业性质为准。</w:t>
            </w:r>
          </w:p>
          <w:p w14:paraId="3F810D6C">
            <w:pPr>
              <w:pStyle w:val="18"/>
              <w:tabs>
                <w:tab w:val="left" w:pos="4776"/>
              </w:tabs>
              <w:spacing w:before="1" w:line="369" w:lineRule="auto"/>
              <w:ind w:left="113" w:right="108" w:firstLine="220"/>
              <w:jc w:val="both"/>
              <w:rPr>
                <w:rFonts w:hint="default" w:eastAsia="宋体"/>
                <w:color w:val="auto"/>
                <w:highlight w:val="none"/>
                <w:lang w:val="en-US" w:eastAsia="zh-CN"/>
              </w:rPr>
            </w:pPr>
            <w:r>
              <w:rPr>
                <w:color w:val="auto"/>
                <w:spacing w:val="5"/>
                <w:highlight w:val="none"/>
              </w:rPr>
              <w:t>投标保证金可采用的其他形式：</w:t>
            </w:r>
            <w:r>
              <w:rPr>
                <w:rFonts w:hint="eastAsia"/>
                <w:color w:val="auto"/>
                <w:spacing w:val="8"/>
                <w:highlight w:val="none"/>
                <w:u w:val="single"/>
                <w:lang w:val="en-US" w:eastAsia="zh-CN"/>
              </w:rPr>
              <w:t>以韶关市公共资源交易中心</w:t>
            </w:r>
            <w:r>
              <w:rPr>
                <w:rFonts w:hint="eastAsia"/>
                <w:color w:val="auto"/>
                <w:spacing w:val="8"/>
                <w:highlight w:val="none"/>
                <w:u w:val="single"/>
                <w:lang w:eastAsia="zh-CN"/>
              </w:rPr>
              <w:t>建设工程交易系统</w:t>
            </w:r>
            <w:r>
              <w:rPr>
                <w:rFonts w:hint="eastAsia"/>
                <w:color w:val="auto"/>
                <w:spacing w:val="8"/>
                <w:highlight w:val="none"/>
                <w:u w:val="single"/>
                <w:lang w:val="en-US" w:eastAsia="zh-CN"/>
              </w:rPr>
              <w:t>的</w:t>
            </w:r>
            <w:r>
              <w:rPr>
                <w:color w:val="auto"/>
                <w:spacing w:val="8"/>
                <w:highlight w:val="none"/>
                <w:u w:val="single" w:color="auto"/>
              </w:rPr>
              <w:t>形式</w:t>
            </w:r>
            <w:r>
              <w:rPr>
                <w:rFonts w:hint="eastAsia"/>
                <w:color w:val="auto"/>
                <w:spacing w:val="8"/>
                <w:highlight w:val="none"/>
                <w:u w:val="single" w:color="auto"/>
                <w:lang w:val="en-US" w:eastAsia="zh-CN"/>
              </w:rPr>
              <w:t>为准。</w:t>
            </w:r>
          </w:p>
          <w:p w14:paraId="14E2B01D">
            <w:pPr>
              <w:pStyle w:val="18"/>
              <w:spacing w:before="152" w:line="360" w:lineRule="auto"/>
              <w:ind w:firstLine="432" w:firstLineChars="200"/>
              <w:rPr>
                <w:color w:val="auto"/>
                <w:highlight w:val="none"/>
              </w:rPr>
            </w:pPr>
            <w:r>
              <w:rPr>
                <w:color w:val="auto"/>
                <w:spacing w:val="8"/>
                <w:highlight w:val="none"/>
              </w:rPr>
              <w:t>招标人指定的开户银行及账号如下：</w:t>
            </w:r>
            <w:r>
              <w:rPr>
                <w:rFonts w:hint="eastAsia"/>
                <w:color w:val="auto"/>
                <w:spacing w:val="8"/>
                <w:highlight w:val="none"/>
                <w:u w:val="single"/>
                <w:lang w:eastAsia="zh-CN"/>
              </w:rPr>
              <w:t>在建设工程交易系统获取本次招标投标保证金缴纳账号。</w:t>
            </w:r>
          </w:p>
        </w:tc>
      </w:tr>
    </w:tbl>
    <w:p w14:paraId="3B44147D">
      <w:pPr>
        <w:spacing w:line="303" w:lineRule="auto"/>
        <w:rPr>
          <w:rFonts w:ascii="Arial"/>
          <w:color w:val="auto"/>
          <w:sz w:val="21"/>
          <w:highlight w:val="none"/>
        </w:rPr>
      </w:pPr>
    </w:p>
    <w:p w14:paraId="6B68CFCD">
      <w:pPr>
        <w:spacing w:line="303" w:lineRule="auto"/>
        <w:rPr>
          <w:rFonts w:ascii="Arial"/>
          <w:color w:val="auto"/>
          <w:sz w:val="21"/>
          <w:highlight w:val="none"/>
        </w:rPr>
      </w:pPr>
    </w:p>
    <w:p w14:paraId="72ECCEDD">
      <w:pPr>
        <w:spacing w:line="220" w:lineRule="auto"/>
        <w:rPr>
          <w:rFonts w:ascii="宋体" w:hAnsi="宋体" w:eastAsia="宋体" w:cs="宋体"/>
          <w:color w:val="auto"/>
          <w:sz w:val="18"/>
          <w:szCs w:val="18"/>
          <w:highlight w:val="none"/>
        </w:rPr>
        <w:sectPr>
          <w:footerReference r:id="rId15" w:type="default"/>
          <w:pgSz w:w="11906" w:h="16839"/>
          <w:pgMar w:top="1416" w:right="1444" w:bottom="1297" w:left="1304" w:header="0" w:footer="1069" w:gutter="0"/>
          <w:pgNumType w:fmt="decimal"/>
          <w:cols w:space="720" w:num="1"/>
        </w:sectPr>
      </w:pPr>
      <w:bookmarkStart w:id="34" w:name="bookmark56"/>
      <w:bookmarkEnd w:id="34"/>
    </w:p>
    <w:tbl>
      <w:tblPr>
        <w:tblStyle w:val="17"/>
        <w:tblW w:w="878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13"/>
        <w:gridCol w:w="2877"/>
        <w:gridCol w:w="4891"/>
      </w:tblGrid>
      <w:tr w14:paraId="4ABC27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1013" w:type="dxa"/>
            <w:vAlign w:val="top"/>
          </w:tcPr>
          <w:p w14:paraId="1F48D832">
            <w:pPr>
              <w:pStyle w:val="18"/>
              <w:spacing w:before="143" w:line="228" w:lineRule="auto"/>
              <w:ind w:left="198"/>
              <w:rPr>
                <w:color w:val="auto"/>
                <w:highlight w:val="none"/>
              </w:rPr>
            </w:pPr>
            <w:r>
              <w:rPr>
                <w:b/>
                <w:bCs/>
                <w:color w:val="auto"/>
                <w:spacing w:val="5"/>
                <w:highlight w:val="none"/>
              </w:rPr>
              <w:t>条款号</w:t>
            </w:r>
          </w:p>
        </w:tc>
        <w:tc>
          <w:tcPr>
            <w:tcW w:w="2877" w:type="dxa"/>
            <w:vAlign w:val="top"/>
          </w:tcPr>
          <w:p w14:paraId="0E062BFE">
            <w:pPr>
              <w:pStyle w:val="18"/>
              <w:spacing w:before="143" w:line="228" w:lineRule="auto"/>
              <w:ind w:left="706"/>
              <w:rPr>
                <w:color w:val="auto"/>
                <w:highlight w:val="none"/>
              </w:rPr>
            </w:pPr>
            <w:r>
              <w:rPr>
                <w:b/>
                <w:bCs/>
                <w:color w:val="auto"/>
                <w:spacing w:val="-3"/>
                <w:highlight w:val="none"/>
              </w:rPr>
              <w:t>条</w:t>
            </w:r>
            <w:r>
              <w:rPr>
                <w:color w:val="auto"/>
                <w:spacing w:val="10"/>
                <w:highlight w:val="none"/>
              </w:rPr>
              <w:t xml:space="preserve">  </w:t>
            </w:r>
            <w:r>
              <w:rPr>
                <w:b/>
                <w:bCs/>
                <w:color w:val="auto"/>
                <w:spacing w:val="-3"/>
                <w:highlight w:val="none"/>
              </w:rPr>
              <w:t>款</w:t>
            </w:r>
            <w:r>
              <w:rPr>
                <w:color w:val="auto"/>
                <w:spacing w:val="12"/>
                <w:highlight w:val="none"/>
              </w:rPr>
              <w:t xml:space="preserve">  </w:t>
            </w:r>
            <w:r>
              <w:rPr>
                <w:b/>
                <w:bCs/>
                <w:color w:val="auto"/>
                <w:spacing w:val="-3"/>
                <w:highlight w:val="none"/>
              </w:rPr>
              <w:t>名</w:t>
            </w:r>
            <w:r>
              <w:rPr>
                <w:color w:val="auto"/>
                <w:spacing w:val="11"/>
                <w:highlight w:val="none"/>
              </w:rPr>
              <w:t xml:space="preserve">  </w:t>
            </w:r>
            <w:r>
              <w:rPr>
                <w:b/>
                <w:bCs/>
                <w:color w:val="auto"/>
                <w:spacing w:val="-3"/>
                <w:highlight w:val="none"/>
              </w:rPr>
              <w:t>称</w:t>
            </w:r>
          </w:p>
        </w:tc>
        <w:tc>
          <w:tcPr>
            <w:tcW w:w="4891" w:type="dxa"/>
            <w:vAlign w:val="top"/>
          </w:tcPr>
          <w:p w14:paraId="2450A1C4">
            <w:pPr>
              <w:pStyle w:val="18"/>
              <w:spacing w:before="143" w:line="228" w:lineRule="auto"/>
              <w:ind w:left="1713"/>
              <w:rPr>
                <w:color w:val="auto"/>
                <w:highlight w:val="none"/>
              </w:rPr>
            </w:pPr>
            <w:r>
              <w:rPr>
                <w:b/>
                <w:bCs/>
                <w:color w:val="auto"/>
                <w:spacing w:val="-10"/>
                <w:highlight w:val="none"/>
              </w:rPr>
              <w:t>编</w:t>
            </w:r>
            <w:r>
              <w:rPr>
                <w:color w:val="auto"/>
                <w:spacing w:val="13"/>
                <w:highlight w:val="none"/>
              </w:rPr>
              <w:t xml:space="preserve">  </w:t>
            </w:r>
            <w:r>
              <w:rPr>
                <w:b/>
                <w:bCs/>
                <w:color w:val="auto"/>
                <w:spacing w:val="-10"/>
                <w:highlight w:val="none"/>
              </w:rPr>
              <w:t>列</w:t>
            </w:r>
            <w:r>
              <w:rPr>
                <w:color w:val="auto"/>
                <w:spacing w:val="23"/>
                <w:highlight w:val="none"/>
              </w:rPr>
              <w:t xml:space="preserve">  </w:t>
            </w:r>
            <w:r>
              <w:rPr>
                <w:b/>
                <w:bCs/>
                <w:color w:val="auto"/>
                <w:spacing w:val="-10"/>
                <w:highlight w:val="none"/>
              </w:rPr>
              <w:t>内</w:t>
            </w:r>
            <w:r>
              <w:rPr>
                <w:color w:val="auto"/>
                <w:spacing w:val="12"/>
                <w:highlight w:val="none"/>
              </w:rPr>
              <w:t xml:space="preserve">  </w:t>
            </w:r>
            <w:r>
              <w:rPr>
                <w:b/>
                <w:bCs/>
                <w:color w:val="auto"/>
                <w:spacing w:val="-10"/>
                <w:highlight w:val="none"/>
              </w:rPr>
              <w:t>容</w:t>
            </w:r>
          </w:p>
        </w:tc>
      </w:tr>
      <w:tr w14:paraId="67D6F3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2" w:hRule="atLeast"/>
        </w:trPr>
        <w:tc>
          <w:tcPr>
            <w:tcW w:w="1013" w:type="dxa"/>
            <w:vAlign w:val="top"/>
          </w:tcPr>
          <w:p w14:paraId="7551C45C">
            <w:pPr>
              <w:rPr>
                <w:rFonts w:ascii="Arial"/>
                <w:color w:val="auto"/>
                <w:sz w:val="21"/>
                <w:highlight w:val="none"/>
              </w:rPr>
            </w:pPr>
          </w:p>
        </w:tc>
        <w:tc>
          <w:tcPr>
            <w:tcW w:w="2877" w:type="dxa"/>
            <w:vAlign w:val="top"/>
          </w:tcPr>
          <w:p w14:paraId="166D2D99">
            <w:pPr>
              <w:rPr>
                <w:rFonts w:ascii="Arial"/>
                <w:color w:val="auto"/>
                <w:sz w:val="21"/>
                <w:highlight w:val="none"/>
              </w:rPr>
            </w:pPr>
          </w:p>
        </w:tc>
        <w:tc>
          <w:tcPr>
            <w:tcW w:w="4891" w:type="dxa"/>
            <w:vAlign w:val="top"/>
          </w:tcPr>
          <w:p w14:paraId="0312FEAE">
            <w:pPr>
              <w:pStyle w:val="18"/>
              <w:spacing w:before="65" w:line="227" w:lineRule="auto"/>
              <w:ind w:left="330"/>
              <w:rPr>
                <w:color w:val="auto"/>
                <w:highlight w:val="none"/>
              </w:rPr>
            </w:pPr>
            <w:r>
              <w:rPr>
                <w:color w:val="auto"/>
                <w:spacing w:val="9"/>
                <w:highlight w:val="none"/>
              </w:rPr>
              <w:t>采用其他形式时：</w:t>
            </w:r>
            <w:r>
              <w:rPr>
                <w:color w:val="auto"/>
                <w:highlight w:val="none"/>
                <w:u w:val="single" w:color="auto"/>
              </w:rPr>
              <w:t xml:space="preserve">       </w:t>
            </w:r>
            <w:r>
              <w:rPr>
                <w:rFonts w:hint="eastAsia"/>
                <w:color w:val="auto"/>
                <w:highlight w:val="none"/>
                <w:u w:val="single" w:color="auto"/>
                <w:lang w:val="en-US" w:eastAsia="zh-CN"/>
              </w:rPr>
              <w:t>/</w:t>
            </w:r>
            <w:r>
              <w:rPr>
                <w:color w:val="auto"/>
                <w:highlight w:val="none"/>
                <w:u w:val="single" w:color="auto"/>
              </w:rPr>
              <w:t xml:space="preserve">             </w:t>
            </w:r>
          </w:p>
          <w:p w14:paraId="18298794">
            <w:pPr>
              <w:pStyle w:val="18"/>
              <w:spacing w:before="155" w:line="229" w:lineRule="auto"/>
              <w:ind w:left="134"/>
              <w:rPr>
                <w:color w:val="auto"/>
                <w:highlight w:val="none"/>
              </w:rPr>
            </w:pPr>
            <w:r>
              <w:rPr>
                <w:color w:val="auto"/>
                <w:spacing w:val="2"/>
                <w:highlight w:val="none"/>
              </w:rPr>
              <w:t>□不要求</w:t>
            </w:r>
          </w:p>
        </w:tc>
      </w:tr>
      <w:tr w14:paraId="0A7DB6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9" w:hRule="atLeast"/>
        </w:trPr>
        <w:tc>
          <w:tcPr>
            <w:tcW w:w="1013" w:type="dxa"/>
            <w:vAlign w:val="top"/>
          </w:tcPr>
          <w:p w14:paraId="22C8F8A9">
            <w:pPr>
              <w:spacing w:line="260" w:lineRule="auto"/>
              <w:rPr>
                <w:rFonts w:ascii="Arial"/>
                <w:color w:val="auto"/>
                <w:sz w:val="21"/>
                <w:highlight w:val="none"/>
              </w:rPr>
            </w:pPr>
          </w:p>
          <w:p w14:paraId="16D257E2">
            <w:pPr>
              <w:pStyle w:val="18"/>
              <w:spacing w:before="65" w:line="268" w:lineRule="exact"/>
              <w:ind w:left="253"/>
              <w:rPr>
                <w:color w:val="auto"/>
                <w:highlight w:val="none"/>
              </w:rPr>
            </w:pPr>
            <w:r>
              <w:rPr>
                <w:color w:val="auto"/>
                <w:spacing w:val="2"/>
                <w:position w:val="1"/>
                <w:highlight w:val="none"/>
              </w:rPr>
              <w:t>3.4.3</w:t>
            </w:r>
          </w:p>
        </w:tc>
        <w:tc>
          <w:tcPr>
            <w:tcW w:w="2877" w:type="dxa"/>
            <w:vAlign w:val="top"/>
          </w:tcPr>
          <w:p w14:paraId="7D5C7F00">
            <w:pPr>
              <w:spacing w:line="260" w:lineRule="auto"/>
              <w:rPr>
                <w:rFonts w:ascii="Arial"/>
                <w:color w:val="auto"/>
                <w:sz w:val="21"/>
                <w:highlight w:val="none"/>
              </w:rPr>
            </w:pPr>
          </w:p>
          <w:p w14:paraId="5238F396">
            <w:pPr>
              <w:pStyle w:val="18"/>
              <w:spacing w:before="65" w:line="228" w:lineRule="auto"/>
              <w:ind w:left="184"/>
              <w:rPr>
                <w:color w:val="auto"/>
                <w:highlight w:val="none"/>
              </w:rPr>
            </w:pPr>
            <w:r>
              <w:rPr>
                <w:color w:val="auto"/>
                <w:spacing w:val="8"/>
                <w:highlight w:val="none"/>
              </w:rPr>
              <w:t>投标保证金的利息计算原则</w:t>
            </w:r>
          </w:p>
        </w:tc>
        <w:tc>
          <w:tcPr>
            <w:tcW w:w="4891" w:type="dxa"/>
            <w:vAlign w:val="top"/>
          </w:tcPr>
          <w:p w14:paraId="262F3FA8">
            <w:pPr>
              <w:pStyle w:val="18"/>
              <w:spacing w:before="139" w:line="301" w:lineRule="auto"/>
              <w:ind w:left="114" w:right="108" w:hanging="1"/>
              <w:rPr>
                <w:color w:val="auto"/>
                <w:highlight w:val="none"/>
              </w:rPr>
            </w:pPr>
            <w:r>
              <w:rPr>
                <w:color w:val="auto"/>
                <w:spacing w:val="18"/>
                <w:highlight w:val="none"/>
              </w:rPr>
              <w:t>利息退还方式按</w:t>
            </w:r>
            <w:r>
              <w:rPr>
                <w:color w:val="auto"/>
                <w:spacing w:val="-75"/>
                <w:highlight w:val="none"/>
              </w:rPr>
              <w:t xml:space="preserve"> </w:t>
            </w:r>
            <w:r>
              <w:rPr>
                <w:color w:val="auto"/>
                <w:spacing w:val="16"/>
                <w:highlight w:val="none"/>
                <w:u w:val="single" w:color="auto"/>
              </w:rPr>
              <w:t xml:space="preserve"> </w:t>
            </w:r>
            <w:r>
              <w:rPr>
                <w:rFonts w:hint="eastAsia"/>
                <w:color w:val="auto"/>
                <w:spacing w:val="16"/>
                <w:highlight w:val="none"/>
                <w:u w:val="single" w:color="auto"/>
                <w:lang w:val="en-US" w:eastAsia="zh-CN"/>
              </w:rPr>
              <w:t>韶关市</w:t>
            </w:r>
            <w:r>
              <w:rPr>
                <w:color w:val="auto"/>
                <w:spacing w:val="16"/>
                <w:highlight w:val="none"/>
                <w:u w:val="single" w:color="auto"/>
              </w:rPr>
              <w:t xml:space="preserve"> </w:t>
            </w:r>
            <w:r>
              <w:rPr>
                <w:color w:val="auto"/>
                <w:spacing w:val="-83"/>
                <w:highlight w:val="none"/>
              </w:rPr>
              <w:t xml:space="preserve"> </w:t>
            </w:r>
            <w:r>
              <w:rPr>
                <w:color w:val="auto"/>
                <w:spacing w:val="18"/>
                <w:highlight w:val="none"/>
              </w:rPr>
              <w:t>公共资源交易中心规定办</w:t>
            </w:r>
            <w:r>
              <w:rPr>
                <w:color w:val="auto"/>
                <w:spacing w:val="-1"/>
                <w:highlight w:val="none"/>
              </w:rPr>
              <w:t>理。</w:t>
            </w:r>
          </w:p>
        </w:tc>
      </w:tr>
      <w:tr w14:paraId="73BB74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4" w:hRule="atLeast"/>
        </w:trPr>
        <w:tc>
          <w:tcPr>
            <w:tcW w:w="1013" w:type="dxa"/>
            <w:vAlign w:val="top"/>
          </w:tcPr>
          <w:p w14:paraId="1872E949">
            <w:pPr>
              <w:spacing w:line="272" w:lineRule="auto"/>
              <w:rPr>
                <w:rFonts w:ascii="Arial"/>
                <w:color w:val="auto"/>
                <w:sz w:val="21"/>
                <w:highlight w:val="none"/>
              </w:rPr>
            </w:pPr>
          </w:p>
          <w:p w14:paraId="2EDF1ECD">
            <w:pPr>
              <w:spacing w:line="272" w:lineRule="auto"/>
              <w:rPr>
                <w:rFonts w:ascii="Arial"/>
                <w:color w:val="auto"/>
                <w:sz w:val="21"/>
                <w:highlight w:val="none"/>
              </w:rPr>
            </w:pPr>
          </w:p>
          <w:p w14:paraId="45B9A884">
            <w:pPr>
              <w:spacing w:line="273" w:lineRule="auto"/>
              <w:rPr>
                <w:rFonts w:ascii="Arial"/>
                <w:color w:val="auto"/>
                <w:sz w:val="21"/>
                <w:highlight w:val="none"/>
              </w:rPr>
            </w:pPr>
          </w:p>
          <w:p w14:paraId="26239331">
            <w:pPr>
              <w:spacing w:line="273" w:lineRule="auto"/>
              <w:rPr>
                <w:rFonts w:ascii="Arial"/>
                <w:color w:val="auto"/>
                <w:sz w:val="21"/>
                <w:highlight w:val="none"/>
              </w:rPr>
            </w:pPr>
          </w:p>
          <w:p w14:paraId="77B6737B">
            <w:pPr>
              <w:spacing w:line="273" w:lineRule="auto"/>
              <w:rPr>
                <w:rFonts w:ascii="Arial"/>
                <w:color w:val="auto"/>
                <w:sz w:val="21"/>
                <w:highlight w:val="none"/>
              </w:rPr>
            </w:pPr>
          </w:p>
          <w:p w14:paraId="14091E64">
            <w:pPr>
              <w:pStyle w:val="18"/>
              <w:spacing w:before="65" w:line="267" w:lineRule="exact"/>
              <w:ind w:left="253"/>
              <w:rPr>
                <w:color w:val="auto"/>
                <w:highlight w:val="none"/>
              </w:rPr>
            </w:pPr>
            <w:r>
              <w:rPr>
                <w:color w:val="auto"/>
                <w:spacing w:val="2"/>
                <w:position w:val="1"/>
                <w:highlight w:val="none"/>
              </w:rPr>
              <w:t>3.4.4</w:t>
            </w:r>
          </w:p>
        </w:tc>
        <w:tc>
          <w:tcPr>
            <w:tcW w:w="2877" w:type="dxa"/>
            <w:vAlign w:val="top"/>
          </w:tcPr>
          <w:p w14:paraId="6CB0A4E9">
            <w:pPr>
              <w:spacing w:line="291" w:lineRule="auto"/>
              <w:rPr>
                <w:rFonts w:ascii="Arial"/>
                <w:color w:val="auto"/>
                <w:sz w:val="21"/>
                <w:highlight w:val="none"/>
              </w:rPr>
            </w:pPr>
          </w:p>
          <w:p w14:paraId="422FAD97">
            <w:pPr>
              <w:spacing w:line="291" w:lineRule="auto"/>
              <w:rPr>
                <w:rFonts w:ascii="Arial"/>
                <w:color w:val="auto"/>
                <w:sz w:val="21"/>
                <w:highlight w:val="none"/>
              </w:rPr>
            </w:pPr>
          </w:p>
          <w:p w14:paraId="27E73C27">
            <w:pPr>
              <w:spacing w:line="291" w:lineRule="auto"/>
              <w:rPr>
                <w:rFonts w:ascii="Arial"/>
                <w:color w:val="auto"/>
                <w:sz w:val="21"/>
                <w:highlight w:val="none"/>
              </w:rPr>
            </w:pPr>
          </w:p>
          <w:p w14:paraId="67595A16">
            <w:pPr>
              <w:spacing w:line="292" w:lineRule="auto"/>
              <w:rPr>
                <w:rFonts w:ascii="Arial"/>
                <w:color w:val="auto"/>
                <w:sz w:val="21"/>
                <w:highlight w:val="none"/>
              </w:rPr>
            </w:pPr>
          </w:p>
          <w:p w14:paraId="396AF5B3">
            <w:pPr>
              <w:pStyle w:val="18"/>
              <w:spacing w:before="65" w:line="228" w:lineRule="auto"/>
              <w:ind w:left="182"/>
              <w:rPr>
                <w:color w:val="auto"/>
                <w:highlight w:val="none"/>
              </w:rPr>
            </w:pPr>
            <w:r>
              <w:rPr>
                <w:color w:val="auto"/>
                <w:spacing w:val="9"/>
                <w:highlight w:val="none"/>
              </w:rPr>
              <w:t>其他可以不予退还投标保证</w:t>
            </w:r>
          </w:p>
          <w:p w14:paraId="7183ADB3">
            <w:pPr>
              <w:pStyle w:val="18"/>
              <w:spacing w:before="151" w:line="228" w:lineRule="auto"/>
              <w:ind w:left="1023"/>
              <w:rPr>
                <w:color w:val="auto"/>
                <w:highlight w:val="none"/>
              </w:rPr>
            </w:pPr>
            <w:r>
              <w:rPr>
                <w:color w:val="auto"/>
                <w:spacing w:val="6"/>
                <w:highlight w:val="none"/>
              </w:rPr>
              <w:t>金的情形</w:t>
            </w:r>
          </w:p>
        </w:tc>
        <w:tc>
          <w:tcPr>
            <w:tcW w:w="4891" w:type="dxa"/>
            <w:vAlign w:val="top"/>
          </w:tcPr>
          <w:p w14:paraId="6CB1F267">
            <w:pPr>
              <w:pStyle w:val="18"/>
              <w:spacing w:before="237" w:line="228" w:lineRule="auto"/>
              <w:ind w:left="123"/>
              <w:rPr>
                <w:color w:val="auto"/>
                <w:highlight w:val="none"/>
              </w:rPr>
            </w:pPr>
            <w:r>
              <w:rPr>
                <w:color w:val="auto"/>
                <w:spacing w:val="7"/>
                <w:highlight w:val="none"/>
              </w:rPr>
              <w:t>（4）串通投标；或</w:t>
            </w:r>
          </w:p>
          <w:p w14:paraId="3E96DC0D">
            <w:pPr>
              <w:pStyle w:val="18"/>
              <w:spacing w:before="154" w:line="297" w:lineRule="auto"/>
              <w:ind w:left="129" w:right="110" w:hanging="6"/>
              <w:rPr>
                <w:color w:val="auto"/>
                <w:highlight w:val="none"/>
              </w:rPr>
            </w:pPr>
            <w:r>
              <w:rPr>
                <w:color w:val="auto"/>
                <w:spacing w:val="14"/>
                <w:highlight w:val="none"/>
              </w:rPr>
              <w:t>（5）评标、</w:t>
            </w:r>
            <w:r>
              <w:rPr>
                <w:color w:val="auto"/>
                <w:spacing w:val="-57"/>
                <w:highlight w:val="none"/>
              </w:rPr>
              <w:t xml:space="preserve"> </w:t>
            </w:r>
            <w:r>
              <w:rPr>
                <w:color w:val="auto"/>
                <w:spacing w:val="14"/>
                <w:highlight w:val="none"/>
              </w:rPr>
              <w:t>中标候选人公示、签订合同前等环节</w:t>
            </w:r>
            <w:r>
              <w:rPr>
                <w:color w:val="auto"/>
                <w:spacing w:val="8"/>
                <w:highlight w:val="none"/>
              </w:rPr>
              <w:t>因作假而被取消中标资格；或</w:t>
            </w:r>
          </w:p>
          <w:p w14:paraId="51DF65DF">
            <w:pPr>
              <w:pStyle w:val="18"/>
              <w:spacing w:before="154" w:line="228" w:lineRule="auto"/>
              <w:ind w:left="123"/>
              <w:rPr>
                <w:color w:val="auto"/>
                <w:highlight w:val="none"/>
              </w:rPr>
            </w:pPr>
            <w:r>
              <w:rPr>
                <w:color w:val="auto"/>
                <w:spacing w:val="8"/>
                <w:highlight w:val="none"/>
              </w:rPr>
              <w:t>（6）因投诉属实取消投标资格的；或</w:t>
            </w:r>
          </w:p>
          <w:p w14:paraId="631C6AD3">
            <w:pPr>
              <w:pStyle w:val="18"/>
              <w:spacing w:before="155" w:line="299" w:lineRule="auto"/>
              <w:ind w:left="115" w:right="161" w:firstLine="7"/>
              <w:rPr>
                <w:color w:val="auto"/>
                <w:highlight w:val="none"/>
              </w:rPr>
            </w:pPr>
            <w:r>
              <w:rPr>
                <w:color w:val="auto"/>
                <w:spacing w:val="13"/>
                <w:highlight w:val="none"/>
              </w:rPr>
              <w:t>（7）其他违反规定、妨碍公平竞争准则的行为；</w:t>
            </w:r>
            <w:r>
              <w:rPr>
                <w:color w:val="auto"/>
                <w:highlight w:val="none"/>
              </w:rPr>
              <w:t>或</w:t>
            </w:r>
          </w:p>
          <w:p w14:paraId="5051EF7C">
            <w:pPr>
              <w:pStyle w:val="18"/>
              <w:spacing w:before="150"/>
              <w:ind w:left="123"/>
              <w:rPr>
                <w:color w:val="auto"/>
                <w:highlight w:val="none"/>
              </w:rPr>
            </w:pPr>
            <w:r>
              <w:rPr>
                <w:color w:val="auto"/>
                <w:spacing w:val="2"/>
                <w:highlight w:val="none"/>
              </w:rPr>
              <w:t>（8）</w:t>
            </w:r>
            <w:r>
              <w:rPr>
                <w:color w:val="auto"/>
                <w:highlight w:val="none"/>
                <w:u w:val="single" w:color="auto"/>
              </w:rPr>
              <w:t xml:space="preserve">    </w:t>
            </w:r>
            <w:r>
              <w:rPr>
                <w:rFonts w:hint="eastAsia"/>
                <w:color w:val="auto"/>
                <w:highlight w:val="none"/>
                <w:u w:val="single" w:color="auto"/>
                <w:lang w:val="en-US" w:eastAsia="zh-CN"/>
              </w:rPr>
              <w:t>/</w:t>
            </w:r>
            <w:r>
              <w:rPr>
                <w:color w:val="auto"/>
                <w:highlight w:val="none"/>
                <w:u w:val="single" w:color="auto"/>
              </w:rPr>
              <w:t xml:space="preserve">      </w:t>
            </w:r>
          </w:p>
        </w:tc>
      </w:tr>
      <w:tr w14:paraId="61B4B9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1013" w:type="dxa"/>
            <w:vAlign w:val="top"/>
          </w:tcPr>
          <w:p w14:paraId="21BFFE12">
            <w:pPr>
              <w:spacing w:line="276" w:lineRule="auto"/>
              <w:rPr>
                <w:rFonts w:ascii="Arial"/>
                <w:color w:val="auto"/>
                <w:sz w:val="21"/>
                <w:highlight w:val="none"/>
              </w:rPr>
            </w:pPr>
          </w:p>
          <w:p w14:paraId="49303985">
            <w:pPr>
              <w:pStyle w:val="18"/>
              <w:spacing w:before="65" w:line="268" w:lineRule="exact"/>
              <w:ind w:left="359"/>
              <w:rPr>
                <w:color w:val="auto"/>
                <w:highlight w:val="none"/>
              </w:rPr>
            </w:pPr>
            <w:r>
              <w:rPr>
                <w:color w:val="auto"/>
                <w:spacing w:val="1"/>
                <w:position w:val="1"/>
                <w:highlight w:val="none"/>
              </w:rPr>
              <w:t>3.5</w:t>
            </w:r>
          </w:p>
        </w:tc>
        <w:tc>
          <w:tcPr>
            <w:tcW w:w="2877" w:type="dxa"/>
            <w:vAlign w:val="top"/>
          </w:tcPr>
          <w:p w14:paraId="0B8DE3C2">
            <w:pPr>
              <w:spacing w:line="276" w:lineRule="auto"/>
              <w:rPr>
                <w:rFonts w:ascii="Arial"/>
                <w:color w:val="auto"/>
                <w:sz w:val="21"/>
                <w:highlight w:val="none"/>
              </w:rPr>
            </w:pPr>
          </w:p>
          <w:p w14:paraId="5851F285">
            <w:pPr>
              <w:pStyle w:val="18"/>
              <w:spacing w:before="65" w:line="228" w:lineRule="auto"/>
              <w:ind w:left="296"/>
              <w:rPr>
                <w:color w:val="auto"/>
                <w:highlight w:val="none"/>
              </w:rPr>
            </w:pPr>
            <w:r>
              <w:rPr>
                <w:color w:val="auto"/>
                <w:spacing w:val="8"/>
                <w:highlight w:val="none"/>
              </w:rPr>
              <w:t>资格审查资料的特殊要求</w:t>
            </w:r>
          </w:p>
        </w:tc>
        <w:tc>
          <w:tcPr>
            <w:tcW w:w="4891" w:type="dxa"/>
            <w:vAlign w:val="top"/>
          </w:tcPr>
          <w:p w14:paraId="16303193">
            <w:pPr>
              <w:pStyle w:val="18"/>
              <w:spacing w:before="142" w:line="228" w:lineRule="auto"/>
              <w:ind w:left="134"/>
              <w:rPr>
                <w:color w:val="auto"/>
                <w:highlight w:val="none"/>
              </w:rPr>
            </w:pPr>
            <w:r>
              <w:rPr>
                <w:rFonts w:hint="eastAsia"/>
                <w:color w:val="auto"/>
                <w:spacing w:val="-5"/>
                <w:highlight w:val="none"/>
                <w:lang w:eastAsia="zh-CN"/>
              </w:rPr>
              <w:t>☑</w:t>
            </w:r>
            <w:r>
              <w:rPr>
                <w:color w:val="auto"/>
                <w:spacing w:val="-5"/>
                <w:highlight w:val="none"/>
              </w:rPr>
              <w:t>无</w:t>
            </w:r>
          </w:p>
          <w:p w14:paraId="50236DD7">
            <w:pPr>
              <w:pStyle w:val="18"/>
              <w:spacing w:before="153" w:line="228" w:lineRule="auto"/>
              <w:ind w:left="134"/>
              <w:rPr>
                <w:color w:val="auto"/>
                <w:highlight w:val="none"/>
              </w:rPr>
            </w:pPr>
            <w:r>
              <w:rPr>
                <w:color w:val="auto"/>
                <w:spacing w:val="6"/>
                <w:highlight w:val="none"/>
              </w:rPr>
              <w:t>□有，具体要求：</w:t>
            </w:r>
            <w:r>
              <w:rPr>
                <w:color w:val="auto"/>
                <w:highlight w:val="none"/>
                <w:u w:val="single" w:color="auto"/>
              </w:rPr>
              <w:t xml:space="preserve">     </w:t>
            </w:r>
            <w:r>
              <w:rPr>
                <w:rFonts w:hint="eastAsia"/>
                <w:color w:val="auto"/>
                <w:highlight w:val="none"/>
                <w:u w:val="single" w:color="auto"/>
                <w:lang w:val="en-US" w:eastAsia="zh-CN"/>
              </w:rPr>
              <w:t>/</w:t>
            </w:r>
            <w:r>
              <w:rPr>
                <w:color w:val="auto"/>
                <w:highlight w:val="none"/>
                <w:u w:val="single" w:color="auto"/>
              </w:rPr>
              <w:t xml:space="preserve">    </w:t>
            </w:r>
          </w:p>
        </w:tc>
      </w:tr>
      <w:tr w14:paraId="4E4389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3" w:hRule="atLeast"/>
        </w:trPr>
        <w:tc>
          <w:tcPr>
            <w:tcW w:w="1013" w:type="dxa"/>
            <w:vAlign w:val="top"/>
          </w:tcPr>
          <w:p w14:paraId="6C854F6E">
            <w:pPr>
              <w:spacing w:line="277" w:lineRule="auto"/>
              <w:rPr>
                <w:rFonts w:ascii="Arial"/>
                <w:color w:val="auto"/>
                <w:sz w:val="21"/>
                <w:highlight w:val="none"/>
              </w:rPr>
            </w:pPr>
          </w:p>
          <w:p w14:paraId="56240684">
            <w:pPr>
              <w:spacing w:line="277" w:lineRule="auto"/>
              <w:rPr>
                <w:rFonts w:ascii="Arial"/>
                <w:color w:val="auto"/>
                <w:sz w:val="21"/>
                <w:highlight w:val="none"/>
              </w:rPr>
            </w:pPr>
          </w:p>
          <w:p w14:paraId="0B3422D8">
            <w:pPr>
              <w:spacing w:line="277" w:lineRule="auto"/>
              <w:rPr>
                <w:rFonts w:ascii="Arial"/>
                <w:color w:val="auto"/>
                <w:sz w:val="21"/>
                <w:highlight w:val="none"/>
              </w:rPr>
            </w:pPr>
          </w:p>
          <w:p w14:paraId="6404FBA9">
            <w:pPr>
              <w:spacing w:line="278" w:lineRule="auto"/>
              <w:rPr>
                <w:rFonts w:ascii="Arial"/>
                <w:color w:val="auto"/>
                <w:sz w:val="21"/>
                <w:highlight w:val="none"/>
              </w:rPr>
            </w:pPr>
          </w:p>
          <w:p w14:paraId="34A129F4">
            <w:pPr>
              <w:spacing w:line="278" w:lineRule="auto"/>
              <w:rPr>
                <w:rFonts w:ascii="Arial"/>
                <w:color w:val="auto"/>
                <w:sz w:val="21"/>
                <w:highlight w:val="none"/>
              </w:rPr>
            </w:pPr>
          </w:p>
          <w:p w14:paraId="7744E49E">
            <w:pPr>
              <w:spacing w:line="278" w:lineRule="auto"/>
              <w:rPr>
                <w:rFonts w:ascii="Arial"/>
                <w:color w:val="auto"/>
                <w:sz w:val="21"/>
                <w:highlight w:val="none"/>
              </w:rPr>
            </w:pPr>
          </w:p>
          <w:p w14:paraId="51FE4062">
            <w:pPr>
              <w:pStyle w:val="18"/>
              <w:spacing w:before="66" w:line="267" w:lineRule="exact"/>
              <w:ind w:left="253"/>
              <w:rPr>
                <w:color w:val="auto"/>
                <w:highlight w:val="none"/>
              </w:rPr>
            </w:pPr>
            <w:r>
              <w:rPr>
                <w:color w:val="auto"/>
                <w:spacing w:val="2"/>
                <w:position w:val="1"/>
                <w:highlight w:val="none"/>
              </w:rPr>
              <w:t>3.5.2</w:t>
            </w:r>
          </w:p>
        </w:tc>
        <w:tc>
          <w:tcPr>
            <w:tcW w:w="2877" w:type="dxa"/>
            <w:vAlign w:val="top"/>
          </w:tcPr>
          <w:p w14:paraId="5A9CB084">
            <w:pPr>
              <w:spacing w:line="244" w:lineRule="auto"/>
              <w:rPr>
                <w:rFonts w:ascii="Arial"/>
                <w:color w:val="auto"/>
                <w:sz w:val="21"/>
                <w:highlight w:val="none"/>
              </w:rPr>
            </w:pPr>
          </w:p>
          <w:p w14:paraId="244244E5">
            <w:pPr>
              <w:spacing w:line="244" w:lineRule="auto"/>
              <w:rPr>
                <w:rFonts w:ascii="Arial"/>
                <w:color w:val="auto"/>
                <w:sz w:val="21"/>
                <w:highlight w:val="none"/>
              </w:rPr>
            </w:pPr>
          </w:p>
          <w:p w14:paraId="2CB21F08">
            <w:pPr>
              <w:spacing w:line="244" w:lineRule="auto"/>
              <w:rPr>
                <w:rFonts w:ascii="Arial"/>
                <w:color w:val="auto"/>
                <w:sz w:val="21"/>
                <w:highlight w:val="none"/>
              </w:rPr>
            </w:pPr>
          </w:p>
          <w:p w14:paraId="3CCA1107">
            <w:pPr>
              <w:spacing w:line="245" w:lineRule="auto"/>
              <w:rPr>
                <w:rFonts w:ascii="Arial"/>
                <w:color w:val="auto"/>
                <w:sz w:val="21"/>
                <w:highlight w:val="none"/>
              </w:rPr>
            </w:pPr>
          </w:p>
          <w:p w14:paraId="167F8513">
            <w:pPr>
              <w:spacing w:line="245" w:lineRule="auto"/>
              <w:rPr>
                <w:rFonts w:ascii="Arial"/>
                <w:color w:val="auto"/>
                <w:sz w:val="21"/>
                <w:highlight w:val="none"/>
              </w:rPr>
            </w:pPr>
          </w:p>
          <w:p w14:paraId="71FC7995">
            <w:pPr>
              <w:spacing w:line="245" w:lineRule="auto"/>
              <w:rPr>
                <w:rFonts w:ascii="Arial"/>
                <w:color w:val="auto"/>
                <w:sz w:val="21"/>
                <w:highlight w:val="none"/>
              </w:rPr>
            </w:pPr>
          </w:p>
          <w:p w14:paraId="323C4011">
            <w:pPr>
              <w:pStyle w:val="18"/>
              <w:spacing w:before="65" w:line="228" w:lineRule="auto"/>
              <w:ind w:left="181"/>
              <w:rPr>
                <w:color w:val="auto"/>
                <w:highlight w:val="none"/>
              </w:rPr>
            </w:pPr>
            <w:r>
              <w:rPr>
                <w:color w:val="auto"/>
                <w:spacing w:val="9"/>
                <w:highlight w:val="none"/>
              </w:rPr>
              <w:t>近年完成的类似项目情况的</w:t>
            </w:r>
          </w:p>
          <w:p w14:paraId="6605572E">
            <w:pPr>
              <w:pStyle w:val="18"/>
              <w:spacing w:before="154" w:line="229" w:lineRule="auto"/>
              <w:ind w:left="1031"/>
              <w:rPr>
                <w:color w:val="auto"/>
                <w:highlight w:val="none"/>
              </w:rPr>
            </w:pPr>
            <w:r>
              <w:rPr>
                <w:color w:val="auto"/>
                <w:spacing w:val="4"/>
                <w:highlight w:val="none"/>
              </w:rPr>
              <w:t>时间要求</w:t>
            </w:r>
          </w:p>
        </w:tc>
        <w:tc>
          <w:tcPr>
            <w:tcW w:w="4891" w:type="dxa"/>
            <w:vAlign w:val="top"/>
          </w:tcPr>
          <w:p w14:paraId="326F1394">
            <w:pPr>
              <w:pStyle w:val="18"/>
              <w:tabs>
                <w:tab w:val="left" w:pos="840"/>
              </w:tabs>
              <w:spacing w:before="142" w:line="369" w:lineRule="auto"/>
              <w:ind w:left="113" w:right="109" w:firstLine="411"/>
              <w:rPr>
                <w:color w:val="auto"/>
                <w:highlight w:val="none"/>
              </w:rPr>
            </w:pPr>
            <w:r>
              <w:rPr>
                <w:rFonts w:hint="eastAsia"/>
                <w:color w:val="auto"/>
                <w:highlight w:val="none"/>
                <w:u w:val="single" w:color="auto"/>
                <w:lang w:val="en-US" w:eastAsia="zh-CN"/>
              </w:rPr>
              <w:t>2021 年 6 月 1 日</w:t>
            </w:r>
            <w:r>
              <w:rPr>
                <w:color w:val="auto"/>
                <w:spacing w:val="4"/>
                <w:highlight w:val="none"/>
              </w:rPr>
              <w:t>至投标文件递交截止日（近</w:t>
            </w:r>
            <w:r>
              <w:rPr>
                <w:color w:val="auto"/>
                <w:spacing w:val="-35"/>
                <w:highlight w:val="none"/>
              </w:rPr>
              <w:t xml:space="preserve"> </w:t>
            </w:r>
            <w:r>
              <w:rPr>
                <w:color w:val="auto"/>
                <w:spacing w:val="4"/>
                <w:highlight w:val="none"/>
              </w:rPr>
              <w:t>5</w:t>
            </w:r>
            <w:r>
              <w:rPr>
                <w:color w:val="auto"/>
                <w:highlight w:val="none"/>
              </w:rPr>
              <w:t>年</w:t>
            </w:r>
            <w:r>
              <w:rPr>
                <w:color w:val="auto"/>
                <w:spacing w:val="6"/>
                <w:highlight w:val="none"/>
              </w:rPr>
              <w:t>），</w:t>
            </w:r>
            <w:r>
              <w:rPr>
                <w:color w:val="auto"/>
                <w:spacing w:val="-60"/>
                <w:highlight w:val="none"/>
              </w:rPr>
              <w:t xml:space="preserve"> </w:t>
            </w:r>
            <w:r>
              <w:rPr>
                <w:color w:val="auto"/>
                <w:highlight w:val="none"/>
              </w:rPr>
              <w:t>以</w:t>
            </w:r>
          </w:p>
          <w:p w14:paraId="74CF59B6">
            <w:pPr>
              <w:pStyle w:val="18"/>
              <w:spacing w:before="1" w:line="298" w:lineRule="auto"/>
              <w:ind w:left="115" w:right="161" w:firstLine="438"/>
              <w:rPr>
                <w:color w:val="auto"/>
                <w:highlight w:val="none"/>
              </w:rPr>
            </w:pPr>
            <w:r>
              <w:rPr>
                <w:rFonts w:hint="eastAsia"/>
                <w:color w:val="auto"/>
                <w:spacing w:val="7"/>
                <w:highlight w:val="none"/>
                <w:lang w:eastAsia="zh-CN"/>
              </w:rPr>
              <w:t>□</w:t>
            </w:r>
            <w:r>
              <w:rPr>
                <w:color w:val="auto"/>
                <w:spacing w:val="7"/>
                <w:highlight w:val="none"/>
                <w:u w:val="single" w:color="auto"/>
              </w:rPr>
              <w:t>“全国公路建设市场监督管理系统</w:t>
            </w:r>
            <w:r>
              <w:rPr>
                <w:color w:val="auto"/>
                <w:spacing w:val="-70"/>
                <w:highlight w:val="none"/>
                <w:u w:val="single" w:color="auto"/>
              </w:rPr>
              <w:t xml:space="preserve"> </w:t>
            </w:r>
            <w:r>
              <w:rPr>
                <w:color w:val="auto"/>
                <w:spacing w:val="7"/>
                <w:highlight w:val="none"/>
                <w:u w:val="single" w:color="auto"/>
              </w:rPr>
              <w:t>”上的交</w:t>
            </w:r>
            <w:r>
              <w:rPr>
                <w:color w:val="auto"/>
                <w:spacing w:val="9"/>
                <w:highlight w:val="none"/>
                <w:u w:val="single" w:color="auto"/>
              </w:rPr>
              <w:t>工验收或未交工验收一次性竣工验收的时间为准。</w:t>
            </w:r>
          </w:p>
          <w:p w14:paraId="7B7D556F">
            <w:pPr>
              <w:pStyle w:val="18"/>
              <w:spacing w:before="152" w:line="334" w:lineRule="auto"/>
              <w:ind w:left="114" w:right="8" w:firstLine="439"/>
              <w:rPr>
                <w:color w:val="auto"/>
                <w:highlight w:val="none"/>
              </w:rPr>
            </w:pPr>
            <w:r>
              <w:rPr>
                <w:rFonts w:hint="eastAsia"/>
                <w:color w:val="auto"/>
                <w:spacing w:val="9"/>
                <w:highlight w:val="none"/>
                <w:lang w:eastAsia="zh-CN"/>
              </w:rPr>
              <w:t>☑</w:t>
            </w:r>
            <w:r>
              <w:rPr>
                <w:color w:val="auto"/>
                <w:spacing w:val="9"/>
                <w:highlight w:val="none"/>
                <w:u w:val="single" w:color="auto"/>
              </w:rPr>
              <w:t>“全国公路建设市场监督管理系统</w:t>
            </w:r>
            <w:r>
              <w:rPr>
                <w:color w:val="auto"/>
                <w:spacing w:val="-58"/>
                <w:highlight w:val="none"/>
                <w:u w:val="single" w:color="auto"/>
              </w:rPr>
              <w:t xml:space="preserve"> </w:t>
            </w:r>
            <w:r>
              <w:rPr>
                <w:color w:val="auto"/>
                <w:spacing w:val="9"/>
                <w:highlight w:val="none"/>
                <w:u w:val="single" w:color="auto"/>
              </w:rPr>
              <w:t>”或省级</w:t>
            </w:r>
            <w:r>
              <w:rPr>
                <w:color w:val="auto"/>
                <w:spacing w:val="15"/>
                <w:highlight w:val="none"/>
                <w:u w:val="single" w:color="auto"/>
              </w:rPr>
              <w:t>交通运输主管部门“公路建设市场监督管理系统</w:t>
            </w:r>
            <w:r>
              <w:rPr>
                <w:color w:val="auto"/>
                <w:spacing w:val="-68"/>
                <w:highlight w:val="none"/>
                <w:u w:val="single" w:color="auto"/>
              </w:rPr>
              <w:t xml:space="preserve"> </w:t>
            </w:r>
            <w:r>
              <w:rPr>
                <w:color w:val="auto"/>
                <w:spacing w:val="15"/>
                <w:highlight w:val="none"/>
                <w:u w:val="single" w:color="auto"/>
              </w:rPr>
              <w:t>”</w:t>
            </w:r>
            <w:r>
              <w:rPr>
                <w:color w:val="auto"/>
                <w:spacing w:val="12"/>
                <w:highlight w:val="none"/>
                <w:u w:val="single" w:color="auto"/>
              </w:rPr>
              <w:t>上的交工验收或未交工验收一次性竣工验收</w:t>
            </w:r>
            <w:r>
              <w:rPr>
                <w:color w:val="auto"/>
                <w:spacing w:val="11"/>
                <w:highlight w:val="none"/>
                <w:u w:val="single" w:color="auto"/>
              </w:rPr>
              <w:t>的时间</w:t>
            </w:r>
            <w:r>
              <w:rPr>
                <w:color w:val="auto"/>
                <w:spacing w:val="2"/>
                <w:highlight w:val="none"/>
                <w:u w:val="single" w:color="auto"/>
              </w:rPr>
              <w:t>为准</w:t>
            </w:r>
            <w:r>
              <w:rPr>
                <w:color w:val="auto"/>
                <w:spacing w:val="2"/>
                <w:highlight w:val="none"/>
              </w:rPr>
              <w:t>。</w:t>
            </w:r>
          </w:p>
          <w:p w14:paraId="6EE53A4D">
            <w:pPr>
              <w:pStyle w:val="18"/>
              <w:spacing w:before="152" w:line="221" w:lineRule="auto"/>
              <w:ind w:left="554"/>
              <w:rPr>
                <w:color w:val="auto"/>
                <w:highlight w:val="none"/>
              </w:rPr>
            </w:pPr>
            <w:r>
              <w:rPr>
                <w:color w:val="auto"/>
                <w:spacing w:val="6"/>
                <w:highlight w:val="none"/>
              </w:rPr>
              <w:t>□</w:t>
            </w:r>
            <w:r>
              <w:rPr>
                <w:rFonts w:ascii="MingLiU-ExtB" w:hAnsi="MingLiU-ExtB" w:eastAsia="MingLiU-ExtB" w:cs="MingLiU-ExtB"/>
                <w:color w:val="auto"/>
                <w:highlight w:val="none"/>
                <w:u w:val="single" w:color="auto"/>
              </w:rPr>
              <w:t>XX</w:t>
            </w:r>
            <w:r>
              <w:rPr>
                <w:rFonts w:ascii="MingLiU-ExtB" w:hAnsi="MingLiU-ExtB" w:eastAsia="MingLiU-ExtB" w:cs="MingLiU-ExtB"/>
                <w:color w:val="auto"/>
                <w:spacing w:val="-32"/>
                <w:highlight w:val="none"/>
                <w:u w:val="single" w:color="auto"/>
              </w:rPr>
              <w:t xml:space="preserve"> </w:t>
            </w:r>
            <w:r>
              <w:rPr>
                <w:color w:val="auto"/>
                <w:spacing w:val="6"/>
                <w:highlight w:val="none"/>
                <w:u w:val="single" w:color="auto"/>
              </w:rPr>
              <w:t>证明材料签发时间为准</w:t>
            </w:r>
            <w:r>
              <w:rPr>
                <w:color w:val="auto"/>
                <w:spacing w:val="6"/>
                <w:highlight w:val="none"/>
              </w:rPr>
              <w:t>。</w:t>
            </w:r>
          </w:p>
        </w:tc>
      </w:tr>
      <w:tr w14:paraId="7EA13F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5" w:hRule="atLeast"/>
        </w:trPr>
        <w:tc>
          <w:tcPr>
            <w:tcW w:w="1013" w:type="dxa"/>
            <w:vAlign w:val="top"/>
          </w:tcPr>
          <w:p w14:paraId="431ADEFB">
            <w:pPr>
              <w:spacing w:line="276" w:lineRule="auto"/>
              <w:rPr>
                <w:rFonts w:ascii="Arial"/>
                <w:color w:val="auto"/>
                <w:sz w:val="21"/>
                <w:highlight w:val="none"/>
              </w:rPr>
            </w:pPr>
          </w:p>
          <w:p w14:paraId="46D778AE">
            <w:pPr>
              <w:pStyle w:val="18"/>
              <w:spacing w:before="65" w:line="268" w:lineRule="exact"/>
              <w:ind w:left="253"/>
              <w:rPr>
                <w:color w:val="auto"/>
                <w:highlight w:val="none"/>
              </w:rPr>
            </w:pPr>
            <w:r>
              <w:rPr>
                <w:color w:val="auto"/>
                <w:spacing w:val="2"/>
                <w:position w:val="1"/>
                <w:highlight w:val="none"/>
              </w:rPr>
              <w:t>3.6.1</w:t>
            </w:r>
          </w:p>
        </w:tc>
        <w:tc>
          <w:tcPr>
            <w:tcW w:w="2877" w:type="dxa"/>
            <w:vAlign w:val="top"/>
          </w:tcPr>
          <w:p w14:paraId="2A1E4B2C">
            <w:pPr>
              <w:spacing w:line="276" w:lineRule="auto"/>
              <w:rPr>
                <w:rFonts w:ascii="Arial"/>
                <w:color w:val="auto"/>
                <w:sz w:val="21"/>
                <w:highlight w:val="none"/>
              </w:rPr>
            </w:pPr>
          </w:p>
          <w:p w14:paraId="03DC47D8">
            <w:pPr>
              <w:pStyle w:val="18"/>
              <w:spacing w:before="65" w:line="228" w:lineRule="auto"/>
              <w:ind w:left="185"/>
              <w:rPr>
                <w:color w:val="auto"/>
                <w:highlight w:val="none"/>
              </w:rPr>
            </w:pPr>
            <w:r>
              <w:rPr>
                <w:color w:val="auto"/>
                <w:spacing w:val="8"/>
                <w:highlight w:val="none"/>
              </w:rPr>
              <w:t>是否允许递交备选投标方案</w:t>
            </w:r>
          </w:p>
        </w:tc>
        <w:tc>
          <w:tcPr>
            <w:tcW w:w="4891" w:type="dxa"/>
            <w:vAlign w:val="top"/>
          </w:tcPr>
          <w:p w14:paraId="4867E1D5">
            <w:pPr>
              <w:pStyle w:val="18"/>
              <w:spacing w:before="145" w:line="300" w:lineRule="auto"/>
              <w:ind w:left="134" w:right="3941"/>
              <w:rPr>
                <w:color w:val="auto"/>
                <w:highlight w:val="none"/>
              </w:rPr>
            </w:pPr>
            <w:r>
              <w:rPr>
                <w:rFonts w:hint="eastAsia"/>
                <w:color w:val="auto"/>
                <w:spacing w:val="2"/>
                <w:highlight w:val="none"/>
                <w:lang w:eastAsia="zh-CN"/>
              </w:rPr>
              <w:t>☑</w:t>
            </w:r>
            <w:r>
              <w:rPr>
                <w:color w:val="auto"/>
                <w:spacing w:val="2"/>
                <w:highlight w:val="none"/>
              </w:rPr>
              <w:t>不允许</w:t>
            </w:r>
            <w:r>
              <w:rPr>
                <w:color w:val="auto"/>
                <w:spacing w:val="-1"/>
                <w:highlight w:val="none"/>
              </w:rPr>
              <w:t>□允许</w:t>
            </w:r>
          </w:p>
        </w:tc>
      </w:tr>
      <w:tr w14:paraId="556738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3" w:hRule="atLeast"/>
        </w:trPr>
        <w:tc>
          <w:tcPr>
            <w:tcW w:w="1013" w:type="dxa"/>
            <w:vAlign w:val="top"/>
          </w:tcPr>
          <w:p w14:paraId="02668C29">
            <w:pPr>
              <w:spacing w:line="247" w:lineRule="auto"/>
              <w:rPr>
                <w:rFonts w:ascii="Arial"/>
                <w:color w:val="auto"/>
                <w:sz w:val="21"/>
                <w:highlight w:val="none"/>
              </w:rPr>
            </w:pPr>
          </w:p>
          <w:p w14:paraId="4A4A86A2">
            <w:pPr>
              <w:pStyle w:val="18"/>
              <w:spacing w:before="65" w:line="267" w:lineRule="exact"/>
              <w:ind w:left="253"/>
              <w:rPr>
                <w:color w:val="auto"/>
                <w:highlight w:val="none"/>
              </w:rPr>
            </w:pPr>
            <w:r>
              <w:rPr>
                <w:color w:val="auto"/>
                <w:spacing w:val="2"/>
                <w:position w:val="1"/>
                <w:highlight w:val="none"/>
              </w:rPr>
              <w:t>3.7.4</w:t>
            </w:r>
          </w:p>
        </w:tc>
        <w:tc>
          <w:tcPr>
            <w:tcW w:w="2877" w:type="dxa"/>
            <w:vAlign w:val="top"/>
          </w:tcPr>
          <w:p w14:paraId="5663038C">
            <w:pPr>
              <w:spacing w:line="247" w:lineRule="auto"/>
              <w:rPr>
                <w:rFonts w:ascii="Arial"/>
                <w:color w:val="auto"/>
                <w:sz w:val="21"/>
                <w:highlight w:val="none"/>
              </w:rPr>
            </w:pPr>
          </w:p>
          <w:p w14:paraId="5FEDDD87">
            <w:pPr>
              <w:pStyle w:val="18"/>
              <w:spacing w:before="65" w:line="228" w:lineRule="auto"/>
              <w:ind w:left="604"/>
              <w:rPr>
                <w:color w:val="auto"/>
                <w:highlight w:val="none"/>
              </w:rPr>
            </w:pPr>
            <w:r>
              <w:rPr>
                <w:color w:val="auto"/>
                <w:spacing w:val="8"/>
                <w:highlight w:val="none"/>
              </w:rPr>
              <w:t>投标文件其他要求</w:t>
            </w:r>
          </w:p>
        </w:tc>
        <w:tc>
          <w:tcPr>
            <w:tcW w:w="4891" w:type="dxa"/>
            <w:vAlign w:val="center"/>
          </w:tcPr>
          <w:p w14:paraId="0023CB37">
            <w:pPr>
              <w:pStyle w:val="18"/>
              <w:tabs>
                <w:tab w:val="left" w:pos="4840"/>
              </w:tabs>
              <w:spacing w:before="1" w:line="300" w:lineRule="auto"/>
              <w:ind w:left="132" w:right="47" w:rightChars="0" w:hanging="17"/>
              <w:rPr>
                <w:rFonts w:hint="eastAsia" w:ascii="宋体" w:hAnsi="宋体" w:eastAsia="宋体" w:cs="宋体"/>
                <w:color w:val="auto"/>
                <w:highlight w:val="none"/>
              </w:rPr>
            </w:pPr>
            <w:r>
              <w:rPr>
                <w:rFonts w:hint="eastAsia" w:ascii="宋体" w:hAnsi="宋体" w:eastAsia="宋体" w:cs="宋体"/>
                <w:color w:val="auto"/>
                <w:highlight w:val="none"/>
              </w:rPr>
              <w:t>投标文件包括盖有电子公章的加密电子投标文件。</w:t>
            </w:r>
          </w:p>
          <w:p w14:paraId="469D214D">
            <w:pPr>
              <w:pStyle w:val="18"/>
              <w:tabs>
                <w:tab w:val="left" w:pos="4840"/>
              </w:tabs>
              <w:spacing w:before="1" w:line="300" w:lineRule="auto"/>
              <w:ind w:left="132" w:right="47" w:rightChars="0" w:hanging="17"/>
              <w:rPr>
                <w:rFonts w:hint="eastAsia" w:ascii="宋体" w:hAnsi="宋体" w:eastAsia="宋体" w:cs="宋体"/>
                <w:color w:val="auto"/>
                <w:highlight w:val="none"/>
              </w:rPr>
            </w:pPr>
            <w:r>
              <w:rPr>
                <w:rFonts w:hint="eastAsia" w:ascii="宋体" w:hAnsi="宋体" w:eastAsia="宋体" w:cs="宋体"/>
                <w:color w:val="auto"/>
                <w:highlight w:val="none"/>
              </w:rPr>
              <w:t>（1）投标文件的页码起始从封面开始。</w:t>
            </w:r>
          </w:p>
          <w:p w14:paraId="00C8ACD6">
            <w:pPr>
              <w:pStyle w:val="18"/>
              <w:tabs>
                <w:tab w:val="left" w:pos="4840"/>
              </w:tabs>
              <w:spacing w:before="1" w:line="300" w:lineRule="auto"/>
              <w:ind w:left="132" w:right="47" w:rightChars="0" w:hanging="17"/>
              <w:rPr>
                <w:rFonts w:hint="eastAsia" w:ascii="宋体" w:hAnsi="宋体" w:eastAsia="宋体" w:cs="宋体"/>
                <w:color w:val="auto"/>
                <w:highlight w:val="none"/>
              </w:rPr>
            </w:pPr>
            <w:r>
              <w:rPr>
                <w:rFonts w:hint="eastAsia" w:ascii="宋体" w:hAnsi="宋体" w:eastAsia="宋体" w:cs="宋体"/>
                <w:color w:val="auto"/>
                <w:highlight w:val="none"/>
              </w:rPr>
              <w:t>（2）电子投标解密失败及突发情况的补救</w:t>
            </w:r>
          </w:p>
          <w:p w14:paraId="70EF49BC">
            <w:pPr>
              <w:pStyle w:val="18"/>
              <w:tabs>
                <w:tab w:val="left" w:pos="4840"/>
              </w:tabs>
              <w:spacing w:before="1" w:line="300" w:lineRule="auto"/>
              <w:ind w:left="132" w:right="47" w:rightChars="0" w:hanging="17"/>
              <w:rPr>
                <w:rFonts w:hint="eastAsia" w:ascii="宋体" w:hAnsi="宋体" w:eastAsia="宋体" w:cs="宋体"/>
                <w:color w:val="auto"/>
                <w:highlight w:val="none"/>
              </w:rPr>
            </w:pPr>
            <w:r>
              <w:rPr>
                <w:rFonts w:hint="eastAsia" w:ascii="宋体" w:hAnsi="宋体" w:eastAsia="宋体" w:cs="宋体"/>
                <w:color w:val="auto"/>
                <w:highlight w:val="none"/>
              </w:rPr>
              <w:t xml:space="preserve">按照交易平台关于全流程电子化项目的相关指引进行操作。详见：全国公共资源交易平台（广东省·韶关市）（https://ygp.gdzwfw.gov.cn/ggzy-portal/#/440200/index）交易指引栏目发布的最新版操作指引。  </w:t>
            </w:r>
          </w:p>
          <w:p w14:paraId="33BA1D18">
            <w:pPr>
              <w:pStyle w:val="18"/>
              <w:tabs>
                <w:tab w:val="left" w:pos="4840"/>
              </w:tabs>
              <w:spacing w:before="1" w:line="300" w:lineRule="auto"/>
              <w:ind w:left="132" w:right="47" w:rightChars="0" w:hanging="17"/>
              <w:rPr>
                <w:rFonts w:hint="eastAsia" w:ascii="宋体" w:hAnsi="宋体" w:eastAsia="宋体" w:cs="宋体"/>
                <w:color w:val="auto"/>
                <w:highlight w:val="none"/>
              </w:rPr>
            </w:pPr>
            <w:r>
              <w:rPr>
                <w:rFonts w:hint="eastAsia" w:ascii="宋体" w:hAnsi="宋体" w:eastAsia="宋体" w:cs="宋体"/>
                <w:color w:val="auto"/>
                <w:highlight w:val="none"/>
              </w:rPr>
              <w:t>在规定时间内，因投标人之外原因(指网络瘫痪、服务器损坏、交易系统故障短期无法恢复)等导致的电子投标文件解密失败，在开标现场解密环节由代理授权后，解密失败投标人可在交易平台在规定时间（代理机构授权后30分钟内）内重新提交投标文件继续开标程序。</w:t>
            </w:r>
          </w:p>
          <w:p w14:paraId="66339E17">
            <w:pPr>
              <w:pStyle w:val="18"/>
              <w:tabs>
                <w:tab w:val="left" w:pos="4840"/>
              </w:tabs>
              <w:spacing w:before="1" w:line="300" w:lineRule="auto"/>
              <w:ind w:left="132" w:right="47" w:rightChars="0" w:hanging="17"/>
              <w:rPr>
                <w:rFonts w:hint="eastAsia" w:ascii="宋体" w:hAnsi="宋体" w:eastAsia="宋体" w:cs="宋体"/>
                <w:color w:val="auto"/>
                <w:highlight w:val="none"/>
              </w:rPr>
            </w:pPr>
            <w:r>
              <w:rPr>
                <w:rFonts w:hint="eastAsia" w:ascii="宋体" w:hAnsi="宋体" w:eastAsia="宋体" w:cs="宋体"/>
                <w:color w:val="auto"/>
                <w:highlight w:val="none"/>
              </w:rPr>
              <w:t>在评标过程中，因主场或副场网络故障、电子设备或者评标系统故障，以及其他原因导致无法继续进行评标时，在4小时以内解除故障的可继续评标，超过4小时无法解除故障的，由招标人确定是否进行评标。如延期评标，招标人及参与评标活动的各方主体及其有关工作人员应当配合主场、副场做好招投标资料的封存和保密工作，另行组建评标委员会重新评标。原评标委员会成员应当对评标情况保密，不得对外透露与评标有关的任何信息与情况。</w:t>
            </w:r>
          </w:p>
          <w:p w14:paraId="0DC6D996">
            <w:pPr>
              <w:pStyle w:val="18"/>
              <w:tabs>
                <w:tab w:val="left" w:pos="4840"/>
              </w:tabs>
              <w:spacing w:before="1" w:line="300" w:lineRule="auto"/>
              <w:ind w:left="132" w:right="47" w:rightChars="0" w:hanging="17"/>
              <w:rPr>
                <w:color w:val="auto"/>
                <w:spacing w:val="11"/>
                <w:highlight w:val="none"/>
              </w:rPr>
            </w:pPr>
            <w:r>
              <w:rPr>
                <w:rFonts w:hint="eastAsia" w:ascii="宋体" w:hAnsi="宋体" w:eastAsia="宋体" w:cs="宋体"/>
                <w:color w:val="auto"/>
                <w:highlight w:val="none"/>
              </w:rPr>
              <w:t>（3）除发生上述情况外，开标评标均以投标人通过交易平台网上递交的电子投标文件为准。</w:t>
            </w:r>
          </w:p>
        </w:tc>
      </w:tr>
      <w:tr w14:paraId="139E55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84" w:hRule="atLeast"/>
        </w:trPr>
        <w:tc>
          <w:tcPr>
            <w:tcW w:w="1013" w:type="dxa"/>
            <w:vAlign w:val="center"/>
          </w:tcPr>
          <w:p w14:paraId="4E67D3FD">
            <w:pPr>
              <w:pStyle w:val="18"/>
              <w:spacing w:before="65" w:line="268" w:lineRule="exact"/>
              <w:ind w:left="359"/>
              <w:jc w:val="center"/>
              <w:rPr>
                <w:color w:val="auto"/>
                <w:highlight w:val="none"/>
              </w:rPr>
            </w:pPr>
            <w:r>
              <w:rPr>
                <w:color w:val="auto"/>
                <w:spacing w:val="1"/>
                <w:position w:val="1"/>
                <w:highlight w:val="none"/>
              </w:rPr>
              <w:t>5.1</w:t>
            </w:r>
          </w:p>
        </w:tc>
        <w:tc>
          <w:tcPr>
            <w:tcW w:w="2877" w:type="dxa"/>
            <w:vAlign w:val="center"/>
          </w:tcPr>
          <w:p w14:paraId="20CA9943">
            <w:pPr>
              <w:pStyle w:val="18"/>
              <w:spacing w:before="65" w:line="228" w:lineRule="auto"/>
              <w:ind w:left="708"/>
              <w:jc w:val="both"/>
              <w:rPr>
                <w:color w:val="auto"/>
                <w:highlight w:val="none"/>
              </w:rPr>
            </w:pPr>
            <w:r>
              <w:rPr>
                <w:color w:val="auto"/>
                <w:spacing w:val="8"/>
                <w:highlight w:val="none"/>
              </w:rPr>
              <w:t>开标时间和地点</w:t>
            </w:r>
          </w:p>
        </w:tc>
        <w:tc>
          <w:tcPr>
            <w:tcW w:w="4891" w:type="dxa"/>
            <w:vAlign w:val="top"/>
          </w:tcPr>
          <w:p w14:paraId="041600FF">
            <w:pPr>
              <w:pStyle w:val="18"/>
              <w:spacing w:before="1" w:line="300" w:lineRule="auto"/>
              <w:ind w:left="132" w:right="636" w:hanging="17"/>
              <w:rPr>
                <w:rFonts w:hint="eastAsia"/>
                <w:color w:val="auto"/>
                <w:highlight w:val="none"/>
              </w:rPr>
            </w:pPr>
            <w:r>
              <w:rPr>
                <w:rFonts w:hint="eastAsia"/>
                <w:color w:val="auto"/>
                <w:highlight w:val="none"/>
              </w:rPr>
              <w:t>投标人须知正文 5.1 项修改如下：</w:t>
            </w:r>
          </w:p>
          <w:p w14:paraId="7134FDE9">
            <w:pPr>
              <w:pStyle w:val="18"/>
              <w:tabs>
                <w:tab w:val="left" w:pos="4840"/>
              </w:tabs>
              <w:spacing w:before="1" w:line="300" w:lineRule="auto"/>
              <w:ind w:left="132" w:right="47" w:rightChars="0" w:hanging="17"/>
              <w:rPr>
                <w:rFonts w:hint="eastAsia"/>
                <w:color w:val="auto"/>
                <w:highlight w:val="none"/>
              </w:rPr>
            </w:pPr>
            <w:r>
              <w:rPr>
                <w:rFonts w:hint="eastAsia"/>
                <w:color w:val="auto"/>
                <w:highlight w:val="none"/>
              </w:rPr>
              <w:t>投标人无须进行现场签到，可登录交易平台及时观看开标实况、提出异议或进行澄清、确认等操作，对开标事项的异议未在开标期间提出的，招标人不予受理。具体详见招标文件和系统操作手册为准。</w:t>
            </w:r>
          </w:p>
          <w:p w14:paraId="2E9E5EAF">
            <w:pPr>
              <w:pStyle w:val="18"/>
              <w:tabs>
                <w:tab w:val="left" w:pos="4840"/>
              </w:tabs>
              <w:spacing w:before="1" w:line="300" w:lineRule="auto"/>
              <w:ind w:left="132" w:right="47" w:rightChars="0" w:hanging="17"/>
              <w:rPr>
                <w:rFonts w:hint="eastAsia"/>
                <w:color w:val="auto"/>
                <w:highlight w:val="none"/>
              </w:rPr>
            </w:pPr>
            <w:r>
              <w:rPr>
                <w:rFonts w:hint="eastAsia"/>
                <w:color w:val="auto"/>
                <w:highlight w:val="none"/>
              </w:rPr>
              <w:t>投标文件第一个信封（商务及技术文件）开标时间：</w:t>
            </w:r>
          </w:p>
          <w:p w14:paraId="5C9F525C">
            <w:pPr>
              <w:pStyle w:val="18"/>
              <w:tabs>
                <w:tab w:val="left" w:pos="4840"/>
              </w:tabs>
              <w:spacing w:before="1" w:line="300" w:lineRule="auto"/>
              <w:ind w:left="132" w:right="47" w:rightChars="0" w:hanging="17"/>
              <w:rPr>
                <w:rFonts w:hint="eastAsia"/>
                <w:color w:val="auto"/>
                <w:highlight w:val="none"/>
              </w:rPr>
            </w:pPr>
            <w:r>
              <w:rPr>
                <w:rFonts w:hint="eastAsia"/>
                <w:color w:val="auto"/>
                <w:highlight w:val="none"/>
              </w:rPr>
              <w:t>详见“重要事项时间地点一览表”。</w:t>
            </w:r>
          </w:p>
          <w:p w14:paraId="03D18996">
            <w:pPr>
              <w:pStyle w:val="18"/>
              <w:tabs>
                <w:tab w:val="left" w:pos="4840"/>
              </w:tabs>
              <w:spacing w:before="1" w:line="300" w:lineRule="auto"/>
              <w:ind w:left="132" w:right="47" w:rightChars="0" w:hanging="17"/>
              <w:rPr>
                <w:rFonts w:hint="eastAsia"/>
                <w:color w:val="auto"/>
                <w:highlight w:val="none"/>
              </w:rPr>
            </w:pPr>
            <w:r>
              <w:rPr>
                <w:rFonts w:hint="eastAsia"/>
                <w:color w:val="auto"/>
                <w:highlight w:val="none"/>
              </w:rPr>
              <w:t>投标文件第一个信封（商务及技术文件）开标地点：</w:t>
            </w:r>
          </w:p>
          <w:p w14:paraId="4C6C32A2">
            <w:pPr>
              <w:pStyle w:val="18"/>
              <w:tabs>
                <w:tab w:val="left" w:pos="4840"/>
              </w:tabs>
              <w:spacing w:before="1" w:line="300" w:lineRule="auto"/>
              <w:ind w:left="132" w:right="47" w:rightChars="0" w:hanging="17"/>
              <w:rPr>
                <w:rFonts w:hint="eastAsia"/>
                <w:color w:val="auto"/>
                <w:highlight w:val="none"/>
              </w:rPr>
            </w:pPr>
            <w:r>
              <w:rPr>
                <w:rFonts w:hint="eastAsia"/>
                <w:color w:val="auto"/>
                <w:highlight w:val="none"/>
              </w:rPr>
              <w:t>详见“重要事项时间地点一览表”。</w:t>
            </w:r>
          </w:p>
          <w:p w14:paraId="3994B889">
            <w:pPr>
              <w:pStyle w:val="18"/>
              <w:tabs>
                <w:tab w:val="left" w:pos="4840"/>
              </w:tabs>
              <w:spacing w:before="1" w:line="300" w:lineRule="auto"/>
              <w:ind w:left="132" w:right="47" w:rightChars="0" w:hanging="17"/>
              <w:rPr>
                <w:rFonts w:hint="eastAsia"/>
                <w:color w:val="auto"/>
                <w:highlight w:val="none"/>
              </w:rPr>
            </w:pPr>
            <w:r>
              <w:rPr>
                <w:rFonts w:hint="eastAsia"/>
                <w:color w:val="auto"/>
                <w:highlight w:val="none"/>
              </w:rPr>
              <w:t>投标文件第二个信封（报价文件）开标时间：</w:t>
            </w:r>
          </w:p>
          <w:p w14:paraId="58185070">
            <w:pPr>
              <w:pStyle w:val="18"/>
              <w:tabs>
                <w:tab w:val="left" w:pos="4840"/>
              </w:tabs>
              <w:spacing w:before="1" w:line="300" w:lineRule="auto"/>
              <w:ind w:left="132" w:right="47" w:rightChars="0" w:hanging="17"/>
              <w:rPr>
                <w:rFonts w:hint="eastAsia"/>
                <w:color w:val="auto"/>
                <w:highlight w:val="none"/>
              </w:rPr>
            </w:pPr>
            <w:r>
              <w:rPr>
                <w:rFonts w:hint="eastAsia"/>
                <w:color w:val="auto"/>
                <w:highlight w:val="none"/>
              </w:rPr>
              <w:t>只有投标文件第一信封通过详细评审的投标人才能继续参加第二信封（报价文件）的评审。</w:t>
            </w:r>
          </w:p>
          <w:p w14:paraId="1BF21108">
            <w:pPr>
              <w:pStyle w:val="18"/>
              <w:tabs>
                <w:tab w:val="left" w:pos="4840"/>
              </w:tabs>
              <w:spacing w:before="1" w:line="300" w:lineRule="auto"/>
              <w:ind w:left="132" w:right="47" w:rightChars="0" w:hanging="17"/>
              <w:rPr>
                <w:rFonts w:hint="eastAsia"/>
                <w:color w:val="auto"/>
                <w:highlight w:val="none"/>
              </w:rPr>
            </w:pPr>
            <w:r>
              <w:rPr>
                <w:rFonts w:hint="eastAsia"/>
                <w:color w:val="auto"/>
                <w:highlight w:val="none"/>
              </w:rPr>
              <w:t>投标文件第二个信封（报价文件）开标地点：</w:t>
            </w:r>
          </w:p>
          <w:p w14:paraId="1C6CE826">
            <w:pPr>
              <w:pStyle w:val="18"/>
              <w:tabs>
                <w:tab w:val="left" w:pos="4840"/>
              </w:tabs>
              <w:spacing w:before="1" w:line="300" w:lineRule="auto"/>
              <w:ind w:left="132" w:right="47" w:rightChars="0" w:hanging="17"/>
              <w:rPr>
                <w:rFonts w:hint="eastAsia"/>
                <w:color w:val="auto"/>
                <w:highlight w:val="none"/>
              </w:rPr>
            </w:pPr>
            <w:r>
              <w:rPr>
                <w:rFonts w:hint="eastAsia"/>
                <w:color w:val="auto"/>
                <w:highlight w:val="none"/>
              </w:rPr>
              <w:t>详见“重要事项时间地点一览表”。</w:t>
            </w:r>
          </w:p>
        </w:tc>
      </w:tr>
      <w:tr w14:paraId="0039B7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4" w:hRule="atLeast"/>
        </w:trPr>
        <w:tc>
          <w:tcPr>
            <w:tcW w:w="1013" w:type="dxa"/>
            <w:vAlign w:val="center"/>
          </w:tcPr>
          <w:p w14:paraId="7C4A5643">
            <w:pPr>
              <w:pStyle w:val="18"/>
              <w:spacing w:before="65" w:line="268" w:lineRule="exact"/>
              <w:ind w:left="253"/>
              <w:jc w:val="center"/>
              <w:rPr>
                <w:color w:val="auto"/>
                <w:highlight w:val="none"/>
              </w:rPr>
            </w:pPr>
            <w:r>
              <w:rPr>
                <w:color w:val="auto"/>
                <w:spacing w:val="2"/>
                <w:position w:val="1"/>
                <w:highlight w:val="none"/>
              </w:rPr>
              <w:t>5.2.1</w:t>
            </w:r>
          </w:p>
        </w:tc>
        <w:tc>
          <w:tcPr>
            <w:tcW w:w="2877" w:type="dxa"/>
            <w:vAlign w:val="center"/>
          </w:tcPr>
          <w:p w14:paraId="08624BFA">
            <w:pPr>
              <w:pStyle w:val="18"/>
              <w:spacing w:before="65" w:line="371" w:lineRule="auto"/>
              <w:ind w:left="600" w:right="180" w:hanging="416"/>
              <w:jc w:val="both"/>
              <w:rPr>
                <w:color w:val="auto"/>
                <w:highlight w:val="none"/>
              </w:rPr>
            </w:pPr>
            <w:r>
              <w:rPr>
                <w:color w:val="auto"/>
                <w:spacing w:val="8"/>
                <w:highlight w:val="none"/>
              </w:rPr>
              <w:t>投标文件第一个信封（商务及技术文件）开标</w:t>
            </w:r>
          </w:p>
        </w:tc>
        <w:tc>
          <w:tcPr>
            <w:tcW w:w="4891" w:type="dxa"/>
            <w:vAlign w:val="top"/>
          </w:tcPr>
          <w:p w14:paraId="4AE65C3A">
            <w:pPr>
              <w:pStyle w:val="18"/>
              <w:tabs>
                <w:tab w:val="left" w:pos="4840"/>
              </w:tabs>
              <w:spacing w:before="1" w:line="300" w:lineRule="auto"/>
              <w:ind w:left="132" w:right="47" w:rightChars="0" w:hanging="17"/>
              <w:rPr>
                <w:rFonts w:hint="eastAsia" w:ascii="宋体" w:hAnsi="宋体" w:eastAsia="宋体" w:cs="宋体"/>
                <w:color w:val="auto"/>
                <w:highlight w:val="none"/>
              </w:rPr>
            </w:pPr>
            <w:r>
              <w:rPr>
                <w:rFonts w:hint="eastAsia" w:ascii="宋体" w:hAnsi="宋体" w:eastAsia="宋体" w:cs="宋体"/>
                <w:color w:val="auto"/>
                <w:highlight w:val="none"/>
              </w:rPr>
              <w:t>投标人须知正文第5.2.1项修改为：</w:t>
            </w:r>
          </w:p>
          <w:p w14:paraId="46B13C2D">
            <w:pPr>
              <w:pStyle w:val="18"/>
              <w:tabs>
                <w:tab w:val="left" w:pos="4840"/>
              </w:tabs>
              <w:spacing w:before="1" w:line="300" w:lineRule="auto"/>
              <w:ind w:left="132" w:right="47" w:rightChars="0" w:hanging="17"/>
              <w:rPr>
                <w:rFonts w:hint="eastAsia" w:ascii="宋体" w:hAnsi="宋体" w:eastAsia="宋体" w:cs="宋体"/>
                <w:color w:val="auto"/>
                <w:highlight w:val="none"/>
              </w:rPr>
            </w:pPr>
            <w:r>
              <w:rPr>
                <w:rFonts w:hint="eastAsia" w:ascii="宋体" w:hAnsi="宋体" w:eastAsia="宋体" w:cs="宋体"/>
                <w:color w:val="auto"/>
                <w:highlight w:val="none"/>
              </w:rPr>
              <w:t>（1）宣布开标纪律；</w:t>
            </w:r>
          </w:p>
          <w:p w14:paraId="48604C19">
            <w:pPr>
              <w:pStyle w:val="18"/>
              <w:tabs>
                <w:tab w:val="left" w:pos="4840"/>
              </w:tabs>
              <w:spacing w:before="1" w:line="300" w:lineRule="auto"/>
              <w:ind w:left="132" w:right="47" w:rightChars="0" w:hanging="17"/>
              <w:rPr>
                <w:rFonts w:hint="eastAsia" w:ascii="宋体" w:hAnsi="宋体" w:eastAsia="宋体" w:cs="宋体"/>
                <w:color w:val="auto"/>
                <w:highlight w:val="none"/>
              </w:rPr>
            </w:pPr>
            <w:r>
              <w:rPr>
                <w:rFonts w:hint="eastAsia" w:ascii="宋体" w:hAnsi="宋体" w:eastAsia="宋体" w:cs="宋体"/>
                <w:color w:val="auto"/>
                <w:highlight w:val="none"/>
              </w:rPr>
              <w:t>（2）宣布开标人、唱标人、记录人等有关人员姓名；</w:t>
            </w:r>
          </w:p>
          <w:p w14:paraId="46BE671B">
            <w:pPr>
              <w:pStyle w:val="18"/>
              <w:tabs>
                <w:tab w:val="left" w:pos="4840"/>
              </w:tabs>
              <w:spacing w:before="1" w:line="300" w:lineRule="auto"/>
              <w:ind w:left="132" w:right="47" w:rightChars="0" w:hanging="17"/>
              <w:rPr>
                <w:rFonts w:hint="eastAsia" w:ascii="宋体" w:hAnsi="宋体" w:eastAsia="宋体" w:cs="宋体"/>
                <w:color w:val="auto"/>
                <w:highlight w:val="none"/>
              </w:rPr>
            </w:pPr>
            <w:r>
              <w:rPr>
                <w:rFonts w:hint="eastAsia" w:ascii="宋体" w:hAnsi="宋体" w:eastAsia="宋体" w:cs="宋体"/>
                <w:color w:val="auto"/>
                <w:highlight w:val="none"/>
              </w:rPr>
              <w:t>（3）在交易场所工作人员的见证下，招标代理机构对投标人的电子投标信息进行解密，解密成功后查看各投标人投标保证金缴纳情况及第一个信封（商务及技术文件）开标一览表。</w:t>
            </w:r>
          </w:p>
          <w:p w14:paraId="47CF4D42">
            <w:pPr>
              <w:pStyle w:val="18"/>
              <w:tabs>
                <w:tab w:val="left" w:pos="4840"/>
              </w:tabs>
              <w:spacing w:before="1" w:line="300" w:lineRule="auto"/>
              <w:ind w:left="132" w:right="47" w:rightChars="0" w:hanging="17"/>
              <w:rPr>
                <w:rFonts w:hint="eastAsia" w:ascii="宋体" w:hAnsi="宋体" w:eastAsia="宋体" w:cs="宋体"/>
                <w:color w:val="auto"/>
                <w:highlight w:val="none"/>
              </w:rPr>
            </w:pPr>
            <w:r>
              <w:rPr>
                <w:rFonts w:hint="eastAsia" w:ascii="宋体" w:hAnsi="宋体" w:eastAsia="宋体" w:cs="宋体"/>
                <w:color w:val="auto"/>
                <w:highlight w:val="none"/>
              </w:rPr>
              <w:t>（4）公布在投标截止时间前递交投标文件的投标人数量；</w:t>
            </w:r>
          </w:p>
          <w:p w14:paraId="08C0E357">
            <w:pPr>
              <w:pStyle w:val="18"/>
              <w:tabs>
                <w:tab w:val="left" w:pos="4840"/>
              </w:tabs>
              <w:spacing w:before="1" w:line="300" w:lineRule="auto"/>
              <w:ind w:left="132" w:right="47" w:rightChars="0" w:hanging="17"/>
              <w:rPr>
                <w:rFonts w:hint="eastAsia" w:ascii="宋体" w:hAnsi="宋体" w:eastAsia="宋体" w:cs="宋体"/>
                <w:color w:val="auto"/>
                <w:highlight w:val="none"/>
              </w:rPr>
            </w:pPr>
            <w:r>
              <w:rPr>
                <w:rFonts w:hint="eastAsia" w:ascii="宋体" w:hAnsi="宋体" w:eastAsia="宋体" w:cs="宋体"/>
                <w:color w:val="auto"/>
                <w:highlight w:val="none"/>
              </w:rPr>
              <w:t>（5）招标人代表、记录人等有关人员在开标记录上签字确认；</w:t>
            </w:r>
          </w:p>
          <w:p w14:paraId="34F1EEF9">
            <w:pPr>
              <w:pStyle w:val="18"/>
              <w:tabs>
                <w:tab w:val="left" w:pos="4840"/>
              </w:tabs>
              <w:spacing w:before="1" w:line="300" w:lineRule="auto"/>
              <w:ind w:left="132" w:right="47" w:rightChars="0" w:hanging="17"/>
              <w:rPr>
                <w:rFonts w:hint="eastAsia" w:ascii="宋体" w:hAnsi="宋体" w:eastAsia="宋体" w:cs="宋体"/>
                <w:color w:val="auto"/>
                <w:highlight w:val="none"/>
              </w:rPr>
            </w:pPr>
            <w:r>
              <w:rPr>
                <w:rFonts w:hint="eastAsia" w:ascii="宋体" w:hAnsi="宋体" w:eastAsia="宋体" w:cs="宋体"/>
                <w:color w:val="auto"/>
                <w:highlight w:val="none"/>
              </w:rPr>
              <w:t>（6）异议环节；</w:t>
            </w:r>
          </w:p>
          <w:p w14:paraId="79284323">
            <w:pPr>
              <w:pStyle w:val="18"/>
              <w:tabs>
                <w:tab w:val="left" w:pos="4840"/>
              </w:tabs>
              <w:spacing w:before="1" w:line="300" w:lineRule="auto"/>
              <w:ind w:left="132" w:right="47" w:rightChars="0" w:hanging="17"/>
              <w:rPr>
                <w:color w:val="auto"/>
                <w:highlight w:val="none"/>
              </w:rPr>
            </w:pPr>
            <w:r>
              <w:rPr>
                <w:rFonts w:hint="eastAsia" w:ascii="宋体" w:hAnsi="宋体" w:eastAsia="宋体" w:cs="宋体"/>
                <w:color w:val="auto"/>
                <w:highlight w:val="none"/>
              </w:rPr>
              <w:t>（7）开标结束。</w:t>
            </w:r>
          </w:p>
        </w:tc>
      </w:tr>
      <w:tr w14:paraId="2D105C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4" w:hRule="atLeast"/>
        </w:trPr>
        <w:tc>
          <w:tcPr>
            <w:tcW w:w="1013" w:type="dxa"/>
            <w:vAlign w:val="top"/>
          </w:tcPr>
          <w:p w14:paraId="1544A3DD">
            <w:pPr>
              <w:spacing w:line="290" w:lineRule="auto"/>
              <w:rPr>
                <w:rFonts w:ascii="Arial"/>
                <w:color w:val="auto"/>
                <w:sz w:val="21"/>
                <w:highlight w:val="none"/>
              </w:rPr>
            </w:pPr>
          </w:p>
          <w:p w14:paraId="4A079E84">
            <w:pPr>
              <w:spacing w:line="291" w:lineRule="auto"/>
              <w:rPr>
                <w:rFonts w:ascii="Arial"/>
                <w:color w:val="auto"/>
                <w:sz w:val="21"/>
                <w:highlight w:val="none"/>
              </w:rPr>
            </w:pPr>
          </w:p>
          <w:p w14:paraId="548571BB">
            <w:pPr>
              <w:spacing w:line="291" w:lineRule="auto"/>
              <w:rPr>
                <w:rFonts w:ascii="Arial"/>
                <w:color w:val="auto"/>
                <w:sz w:val="21"/>
                <w:highlight w:val="none"/>
              </w:rPr>
            </w:pPr>
          </w:p>
          <w:p w14:paraId="2947D3DF">
            <w:pPr>
              <w:pStyle w:val="18"/>
              <w:spacing w:before="65" w:line="268" w:lineRule="exact"/>
              <w:ind w:left="253"/>
              <w:rPr>
                <w:color w:val="auto"/>
                <w:highlight w:val="none"/>
              </w:rPr>
            </w:pPr>
            <w:r>
              <w:rPr>
                <w:color w:val="auto"/>
                <w:spacing w:val="2"/>
                <w:position w:val="1"/>
                <w:highlight w:val="none"/>
              </w:rPr>
              <w:t>5.2.3</w:t>
            </w:r>
          </w:p>
        </w:tc>
        <w:tc>
          <w:tcPr>
            <w:tcW w:w="2877" w:type="dxa"/>
            <w:vAlign w:val="top"/>
          </w:tcPr>
          <w:p w14:paraId="6E82C15B">
            <w:pPr>
              <w:spacing w:line="337" w:lineRule="auto"/>
              <w:rPr>
                <w:rFonts w:ascii="Arial"/>
                <w:color w:val="auto"/>
                <w:sz w:val="21"/>
                <w:highlight w:val="none"/>
              </w:rPr>
            </w:pPr>
          </w:p>
          <w:p w14:paraId="79A001C7">
            <w:pPr>
              <w:spacing w:line="338" w:lineRule="auto"/>
              <w:rPr>
                <w:rFonts w:ascii="Arial"/>
                <w:color w:val="auto"/>
                <w:sz w:val="21"/>
                <w:highlight w:val="none"/>
              </w:rPr>
            </w:pPr>
          </w:p>
          <w:p w14:paraId="5B0ED21C">
            <w:pPr>
              <w:pStyle w:val="18"/>
              <w:spacing w:before="65" w:line="226" w:lineRule="auto"/>
              <w:ind w:left="184"/>
              <w:rPr>
                <w:color w:val="auto"/>
                <w:highlight w:val="none"/>
              </w:rPr>
            </w:pPr>
            <w:r>
              <w:rPr>
                <w:color w:val="auto"/>
                <w:spacing w:val="8"/>
                <w:highlight w:val="none"/>
              </w:rPr>
              <w:t>投标文件第二个信封（报价</w:t>
            </w:r>
          </w:p>
          <w:p w14:paraId="1CF1EB2D">
            <w:pPr>
              <w:pStyle w:val="18"/>
              <w:spacing w:before="155" w:line="228" w:lineRule="auto"/>
              <w:ind w:left="920"/>
              <w:rPr>
                <w:color w:val="auto"/>
                <w:highlight w:val="none"/>
              </w:rPr>
            </w:pPr>
            <w:r>
              <w:rPr>
                <w:color w:val="auto"/>
                <w:spacing w:val="7"/>
                <w:highlight w:val="none"/>
              </w:rPr>
              <w:t>文件）开标</w:t>
            </w:r>
          </w:p>
        </w:tc>
        <w:tc>
          <w:tcPr>
            <w:tcW w:w="4891" w:type="dxa"/>
            <w:vAlign w:val="top"/>
          </w:tcPr>
          <w:p w14:paraId="53526D79">
            <w:pPr>
              <w:pStyle w:val="18"/>
              <w:tabs>
                <w:tab w:val="left" w:pos="4840"/>
              </w:tabs>
              <w:spacing w:before="1" w:line="300" w:lineRule="auto"/>
              <w:ind w:left="132" w:right="47" w:rightChars="0" w:hanging="17"/>
              <w:rPr>
                <w:rFonts w:hint="eastAsia" w:ascii="宋体" w:hAnsi="宋体" w:eastAsia="宋体" w:cs="宋体"/>
                <w:color w:val="auto"/>
                <w:highlight w:val="none"/>
              </w:rPr>
            </w:pPr>
            <w:r>
              <w:rPr>
                <w:rFonts w:hint="eastAsia" w:ascii="宋体" w:hAnsi="宋体" w:eastAsia="宋体" w:cs="宋体"/>
                <w:color w:val="auto"/>
                <w:highlight w:val="none"/>
              </w:rPr>
              <w:t>投标人须知正文第5.2.3项修改为：</w:t>
            </w:r>
          </w:p>
          <w:p w14:paraId="010679F3">
            <w:pPr>
              <w:pStyle w:val="18"/>
              <w:tabs>
                <w:tab w:val="left" w:pos="4840"/>
              </w:tabs>
              <w:spacing w:before="1" w:line="300" w:lineRule="auto"/>
              <w:ind w:left="132" w:right="47" w:rightChars="0" w:hanging="17"/>
              <w:rPr>
                <w:rFonts w:hint="eastAsia" w:ascii="宋体" w:hAnsi="宋体" w:eastAsia="宋体" w:cs="宋体"/>
                <w:color w:val="auto"/>
                <w:highlight w:val="none"/>
              </w:rPr>
            </w:pPr>
            <w:r>
              <w:rPr>
                <w:rFonts w:hint="eastAsia" w:ascii="宋体" w:hAnsi="宋体" w:eastAsia="宋体" w:cs="宋体"/>
                <w:color w:val="auto"/>
                <w:highlight w:val="none"/>
              </w:rPr>
              <w:t>（1）宣布开标纪律；</w:t>
            </w:r>
          </w:p>
          <w:p w14:paraId="4977AD37">
            <w:pPr>
              <w:pStyle w:val="18"/>
              <w:tabs>
                <w:tab w:val="left" w:pos="4840"/>
              </w:tabs>
              <w:spacing w:before="1" w:line="300" w:lineRule="auto"/>
              <w:ind w:left="132" w:right="47" w:rightChars="0" w:hanging="17"/>
              <w:rPr>
                <w:rFonts w:hint="eastAsia" w:ascii="宋体" w:hAnsi="宋体" w:eastAsia="宋体" w:cs="宋体"/>
                <w:color w:val="auto"/>
                <w:highlight w:val="none"/>
              </w:rPr>
            </w:pPr>
            <w:r>
              <w:rPr>
                <w:rFonts w:hint="eastAsia" w:ascii="宋体" w:hAnsi="宋体" w:eastAsia="宋体" w:cs="宋体"/>
                <w:color w:val="auto"/>
                <w:highlight w:val="none"/>
              </w:rPr>
              <w:t>（2）宣布开标人、唱标人、记录人等有关人员姓名；</w:t>
            </w:r>
          </w:p>
          <w:p w14:paraId="386EA395">
            <w:pPr>
              <w:pStyle w:val="18"/>
              <w:tabs>
                <w:tab w:val="left" w:pos="4840"/>
              </w:tabs>
              <w:spacing w:before="1" w:line="300" w:lineRule="auto"/>
              <w:ind w:left="132" w:right="47" w:rightChars="0" w:hanging="17"/>
              <w:rPr>
                <w:rFonts w:hint="eastAsia" w:ascii="宋体" w:hAnsi="宋体" w:eastAsia="宋体" w:cs="宋体"/>
                <w:color w:val="auto"/>
                <w:highlight w:val="none"/>
              </w:rPr>
            </w:pP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在交易场所工作人员的见证下，招标代理机构对投标人的电子投标信息进行解密，解密成功后查看各投标人的投标文件第二个信封（报价文件），公布标段名称、投标人名称、投标报价及其他内容，并记录在案；</w:t>
            </w:r>
          </w:p>
          <w:p w14:paraId="6310496C">
            <w:pPr>
              <w:pStyle w:val="18"/>
              <w:tabs>
                <w:tab w:val="left" w:pos="4840"/>
              </w:tabs>
              <w:spacing w:before="1" w:line="300" w:lineRule="auto"/>
              <w:ind w:left="132" w:right="47" w:rightChars="0" w:hanging="17"/>
              <w:rPr>
                <w:rFonts w:hint="eastAsia" w:ascii="宋体" w:hAnsi="宋体" w:eastAsia="宋体" w:cs="宋体"/>
                <w:color w:val="auto"/>
                <w:highlight w:val="none"/>
              </w:rPr>
            </w:pP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）摇取下浮率，下浮率在开标现场采取逐标段摇珠方式确定。摇珠操作办法详见评标办法；</w:t>
            </w:r>
          </w:p>
          <w:p w14:paraId="6AF26186">
            <w:pPr>
              <w:pStyle w:val="18"/>
              <w:tabs>
                <w:tab w:val="left" w:pos="4840"/>
              </w:tabs>
              <w:spacing w:before="1" w:line="300" w:lineRule="auto"/>
              <w:ind w:left="132" w:right="47" w:rightChars="0" w:hanging="17"/>
              <w:rPr>
                <w:rFonts w:hint="eastAsia" w:ascii="宋体" w:hAnsi="宋体" w:eastAsia="宋体" w:cs="宋体"/>
                <w:color w:val="auto"/>
                <w:highlight w:val="none"/>
              </w:rPr>
            </w:pP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）招标人代表、记录人等有关人员在开标记录上签字确认；</w:t>
            </w:r>
          </w:p>
          <w:p w14:paraId="09A7CBEA">
            <w:pPr>
              <w:pStyle w:val="18"/>
              <w:tabs>
                <w:tab w:val="left" w:pos="4840"/>
              </w:tabs>
              <w:spacing w:before="1" w:line="300" w:lineRule="auto"/>
              <w:ind w:left="132" w:right="47" w:rightChars="0" w:hanging="17"/>
              <w:rPr>
                <w:color w:val="auto"/>
                <w:highlight w:val="none"/>
              </w:rPr>
            </w:pP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6</w:t>
            </w:r>
            <w:r>
              <w:rPr>
                <w:rFonts w:hint="eastAsia" w:ascii="宋体" w:hAnsi="宋体" w:eastAsia="宋体" w:cs="宋体"/>
                <w:color w:val="auto"/>
                <w:highlight w:val="none"/>
              </w:rPr>
              <w:t>）开标结束。</w:t>
            </w:r>
          </w:p>
        </w:tc>
      </w:tr>
      <w:tr w14:paraId="0C7B2A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7" w:hRule="atLeast"/>
        </w:trPr>
        <w:tc>
          <w:tcPr>
            <w:tcW w:w="1013" w:type="dxa"/>
            <w:vAlign w:val="top"/>
          </w:tcPr>
          <w:p w14:paraId="55002B3C">
            <w:pPr>
              <w:spacing w:line="338" w:lineRule="auto"/>
              <w:rPr>
                <w:rFonts w:ascii="Arial"/>
                <w:color w:val="auto"/>
                <w:sz w:val="21"/>
                <w:highlight w:val="none"/>
              </w:rPr>
            </w:pPr>
          </w:p>
          <w:p w14:paraId="040AB82E">
            <w:pPr>
              <w:spacing w:line="339" w:lineRule="auto"/>
              <w:rPr>
                <w:rFonts w:ascii="Arial"/>
                <w:color w:val="auto"/>
                <w:sz w:val="21"/>
                <w:highlight w:val="none"/>
              </w:rPr>
            </w:pPr>
          </w:p>
          <w:p w14:paraId="625D0B5C">
            <w:pPr>
              <w:pStyle w:val="18"/>
              <w:spacing w:before="65" w:line="267" w:lineRule="exact"/>
              <w:ind w:left="251"/>
              <w:rPr>
                <w:color w:val="auto"/>
                <w:highlight w:val="none"/>
              </w:rPr>
            </w:pPr>
            <w:r>
              <w:rPr>
                <w:color w:val="auto"/>
                <w:spacing w:val="2"/>
                <w:position w:val="1"/>
                <w:highlight w:val="none"/>
              </w:rPr>
              <w:t>6.1.1</w:t>
            </w:r>
          </w:p>
        </w:tc>
        <w:tc>
          <w:tcPr>
            <w:tcW w:w="2877" w:type="dxa"/>
            <w:vAlign w:val="top"/>
          </w:tcPr>
          <w:p w14:paraId="7A2A332E">
            <w:pPr>
              <w:spacing w:line="328" w:lineRule="auto"/>
              <w:rPr>
                <w:rFonts w:ascii="Arial"/>
                <w:color w:val="auto"/>
                <w:sz w:val="21"/>
                <w:highlight w:val="none"/>
              </w:rPr>
            </w:pPr>
          </w:p>
          <w:p w14:paraId="701CEA82">
            <w:pPr>
              <w:spacing w:line="329" w:lineRule="auto"/>
              <w:rPr>
                <w:rFonts w:ascii="Arial"/>
                <w:color w:val="auto"/>
                <w:sz w:val="21"/>
                <w:highlight w:val="none"/>
              </w:rPr>
            </w:pPr>
          </w:p>
          <w:p w14:paraId="7D5CF618">
            <w:pPr>
              <w:pStyle w:val="18"/>
              <w:spacing w:before="65" w:line="266" w:lineRule="exact"/>
              <w:ind w:left="550"/>
              <w:rPr>
                <w:color w:val="auto"/>
                <w:sz w:val="10"/>
                <w:szCs w:val="10"/>
                <w:highlight w:val="none"/>
              </w:rPr>
            </w:pPr>
            <w:r>
              <w:rPr>
                <w:color w:val="auto"/>
                <w:spacing w:val="8"/>
                <w:highlight w:val="none"/>
              </w:rPr>
              <w:t>评标委员会的组建</w:t>
            </w:r>
          </w:p>
        </w:tc>
        <w:tc>
          <w:tcPr>
            <w:tcW w:w="4891" w:type="dxa"/>
            <w:vAlign w:val="top"/>
          </w:tcPr>
          <w:p w14:paraId="3E1A6A60">
            <w:pPr>
              <w:pStyle w:val="18"/>
              <w:spacing w:before="147" w:line="369" w:lineRule="auto"/>
              <w:ind w:left="112" w:right="108"/>
              <w:jc w:val="both"/>
              <w:rPr>
                <w:color w:val="auto"/>
                <w:spacing w:val="12"/>
                <w:sz w:val="20"/>
                <w:szCs w:val="20"/>
                <w:highlight w:val="none"/>
              </w:rPr>
            </w:pPr>
            <w:r>
              <w:rPr>
                <w:color w:val="auto"/>
                <w:spacing w:val="14"/>
                <w:highlight w:val="none"/>
              </w:rPr>
              <w:t>评标委员会构成：</w:t>
            </w:r>
            <w:r>
              <w:rPr>
                <w:color w:val="auto"/>
                <w:spacing w:val="-65"/>
                <w:highlight w:val="none"/>
              </w:rPr>
              <w:t xml:space="preserve"> </w:t>
            </w:r>
            <w:r>
              <w:rPr>
                <w:color w:val="auto"/>
                <w:spacing w:val="12"/>
                <w:highlight w:val="none"/>
                <w:u w:val="single" w:color="auto"/>
              </w:rPr>
              <w:t xml:space="preserve"> </w:t>
            </w:r>
            <w:r>
              <w:rPr>
                <w:rFonts w:hint="eastAsia"/>
                <w:color w:val="auto"/>
                <w:spacing w:val="12"/>
                <w:highlight w:val="none"/>
                <w:u w:val="single" w:color="auto"/>
                <w:lang w:val="en-US" w:eastAsia="zh-CN"/>
              </w:rPr>
              <w:t>7</w:t>
            </w:r>
            <w:r>
              <w:rPr>
                <w:color w:val="auto"/>
                <w:spacing w:val="12"/>
                <w:highlight w:val="none"/>
                <w:u w:val="single" w:color="auto"/>
              </w:rPr>
              <w:t xml:space="preserve"> </w:t>
            </w:r>
            <w:r>
              <w:rPr>
                <w:color w:val="auto"/>
                <w:spacing w:val="-89"/>
                <w:highlight w:val="none"/>
              </w:rPr>
              <w:t xml:space="preserve"> </w:t>
            </w:r>
            <w:r>
              <w:rPr>
                <w:color w:val="auto"/>
                <w:spacing w:val="14"/>
                <w:highlight w:val="none"/>
              </w:rPr>
              <w:t>人，</w:t>
            </w:r>
            <w:r>
              <w:rPr>
                <w:color w:val="auto"/>
                <w:spacing w:val="14"/>
                <w:sz w:val="20"/>
                <w:szCs w:val="20"/>
                <w:highlight w:val="none"/>
              </w:rPr>
              <w:t>评标委员会由招标人代</w:t>
            </w:r>
            <w:r>
              <w:rPr>
                <w:color w:val="auto"/>
                <w:spacing w:val="12"/>
                <w:sz w:val="20"/>
                <w:szCs w:val="20"/>
                <w:highlight w:val="none"/>
              </w:rPr>
              <w:t>表和有关专家组成，</w:t>
            </w:r>
            <w:r>
              <w:rPr>
                <w:rFonts w:hint="eastAsia" w:ascii="宋体" w:hAnsi="宋体" w:cs="宋体"/>
                <w:color w:val="auto"/>
                <w:sz w:val="20"/>
                <w:szCs w:val="20"/>
                <w:highlight w:val="none"/>
              </w:rPr>
              <w:t>其中招标人代表</w:t>
            </w:r>
            <w:r>
              <w:rPr>
                <w:rFonts w:hint="eastAsia" w:cs="宋体"/>
                <w:color w:val="auto"/>
                <w:sz w:val="20"/>
                <w:szCs w:val="20"/>
                <w:highlight w:val="none"/>
                <w:u w:val="single"/>
                <w:lang w:val="en-US" w:eastAsia="zh-CN"/>
              </w:rPr>
              <w:t>/</w:t>
            </w:r>
            <w:r>
              <w:rPr>
                <w:rFonts w:hint="eastAsia" w:ascii="宋体" w:hAnsi="宋体" w:cs="宋体"/>
                <w:color w:val="auto"/>
                <w:sz w:val="20"/>
                <w:szCs w:val="20"/>
                <w:highlight w:val="none"/>
              </w:rPr>
              <w:t>人，评标专家</w:t>
            </w:r>
            <w:r>
              <w:rPr>
                <w:rFonts w:hint="eastAsia" w:cs="宋体"/>
                <w:color w:val="auto"/>
                <w:sz w:val="20"/>
                <w:szCs w:val="20"/>
                <w:highlight w:val="none"/>
                <w:u w:val="single"/>
                <w:lang w:val="en-US" w:eastAsia="zh-CN"/>
              </w:rPr>
              <w:t>7</w:t>
            </w:r>
            <w:r>
              <w:rPr>
                <w:rFonts w:hint="eastAsia" w:ascii="宋体" w:hAnsi="宋体" w:cs="宋体"/>
                <w:color w:val="auto"/>
                <w:sz w:val="20"/>
                <w:szCs w:val="20"/>
                <w:highlight w:val="none"/>
              </w:rPr>
              <w:t>人；其中技术、经济等方面的专家不得少于成员总数的三分之二。</w:t>
            </w:r>
          </w:p>
          <w:p w14:paraId="2919D1BD">
            <w:pPr>
              <w:pStyle w:val="18"/>
              <w:spacing w:before="147" w:line="369" w:lineRule="auto"/>
              <w:ind w:left="112" w:right="108"/>
              <w:jc w:val="both"/>
              <w:rPr>
                <w:rFonts w:hint="eastAsia" w:eastAsia="宋体"/>
                <w:color w:val="auto"/>
                <w:highlight w:val="none"/>
                <w:lang w:eastAsia="zh-CN"/>
              </w:rPr>
            </w:pPr>
            <w:r>
              <w:rPr>
                <w:color w:val="auto"/>
                <w:spacing w:val="12"/>
                <w:sz w:val="20"/>
                <w:szCs w:val="20"/>
                <w:highlight w:val="none"/>
              </w:rPr>
              <w:t>评标专家确定方式：依法从</w:t>
            </w:r>
            <w:r>
              <w:rPr>
                <w:rFonts w:hint="eastAsia"/>
                <w:color w:val="auto"/>
                <w:spacing w:val="12"/>
                <w:sz w:val="20"/>
                <w:szCs w:val="20"/>
                <w:highlight w:val="none"/>
              </w:rPr>
              <w:t>广东省综合评标评审专家库</w:t>
            </w:r>
            <w:r>
              <w:rPr>
                <w:rFonts w:hint="eastAsia"/>
                <w:color w:val="auto"/>
                <w:spacing w:val="12"/>
                <w:sz w:val="20"/>
                <w:szCs w:val="20"/>
                <w:highlight w:val="none"/>
                <w:lang w:val="en-US" w:eastAsia="zh-CN"/>
              </w:rPr>
              <w:t>全省区域</w:t>
            </w:r>
            <w:r>
              <w:rPr>
                <w:color w:val="auto"/>
                <w:spacing w:val="12"/>
                <w:sz w:val="20"/>
                <w:szCs w:val="20"/>
                <w:highlight w:val="none"/>
              </w:rPr>
              <w:t>中随机抽取</w:t>
            </w:r>
            <w:r>
              <w:rPr>
                <w:rFonts w:hint="eastAsia"/>
                <w:color w:val="auto"/>
                <w:spacing w:val="12"/>
                <w:sz w:val="20"/>
                <w:szCs w:val="20"/>
                <w:highlight w:val="none"/>
                <w:lang w:eastAsia="zh-CN"/>
              </w:rPr>
              <w:t>。</w:t>
            </w:r>
          </w:p>
        </w:tc>
      </w:tr>
    </w:tbl>
    <w:p w14:paraId="3C878940">
      <w:pPr>
        <w:spacing w:line="467" w:lineRule="auto"/>
        <w:rPr>
          <w:rFonts w:ascii="Arial"/>
          <w:color w:val="auto"/>
          <w:sz w:val="21"/>
          <w:highlight w:val="none"/>
        </w:rPr>
      </w:pPr>
    </w:p>
    <w:p w14:paraId="46F18DD5">
      <w:pPr>
        <w:spacing w:line="220" w:lineRule="auto"/>
        <w:rPr>
          <w:rFonts w:ascii="宋体" w:hAnsi="宋体" w:eastAsia="宋体" w:cs="宋体"/>
          <w:color w:val="auto"/>
          <w:sz w:val="18"/>
          <w:szCs w:val="18"/>
          <w:highlight w:val="none"/>
        </w:rPr>
        <w:sectPr>
          <w:footerReference r:id="rId16" w:type="default"/>
          <w:pgSz w:w="11906" w:h="16839"/>
          <w:pgMar w:top="1416" w:right="1785" w:bottom="1297" w:left="1304" w:header="0" w:footer="1065" w:gutter="0"/>
          <w:pgNumType w:fmt="decimal"/>
          <w:cols w:space="720" w:num="1"/>
        </w:sectPr>
      </w:pPr>
      <w:bookmarkStart w:id="35" w:name="bookmark63"/>
      <w:bookmarkEnd w:id="35"/>
    </w:p>
    <w:tbl>
      <w:tblPr>
        <w:tblStyle w:val="17"/>
        <w:tblW w:w="878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13"/>
        <w:gridCol w:w="2877"/>
        <w:gridCol w:w="4891"/>
      </w:tblGrid>
      <w:tr w14:paraId="299F69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trPr>
        <w:tc>
          <w:tcPr>
            <w:tcW w:w="1013" w:type="dxa"/>
            <w:vAlign w:val="top"/>
          </w:tcPr>
          <w:p w14:paraId="5706550B">
            <w:pPr>
              <w:pStyle w:val="18"/>
              <w:spacing w:before="143" w:line="228" w:lineRule="auto"/>
              <w:ind w:left="198"/>
              <w:rPr>
                <w:color w:val="auto"/>
                <w:highlight w:val="none"/>
              </w:rPr>
            </w:pPr>
            <w:r>
              <w:rPr>
                <w:b/>
                <w:bCs/>
                <w:color w:val="auto"/>
                <w:spacing w:val="5"/>
                <w:highlight w:val="none"/>
              </w:rPr>
              <w:t>条款号</w:t>
            </w:r>
          </w:p>
        </w:tc>
        <w:tc>
          <w:tcPr>
            <w:tcW w:w="2877" w:type="dxa"/>
            <w:vAlign w:val="top"/>
          </w:tcPr>
          <w:p w14:paraId="1B26D65D">
            <w:pPr>
              <w:pStyle w:val="18"/>
              <w:spacing w:before="143" w:line="228" w:lineRule="auto"/>
              <w:ind w:left="706"/>
              <w:rPr>
                <w:color w:val="auto"/>
                <w:highlight w:val="none"/>
              </w:rPr>
            </w:pPr>
            <w:r>
              <w:rPr>
                <w:b/>
                <w:bCs/>
                <w:color w:val="auto"/>
                <w:spacing w:val="-3"/>
                <w:highlight w:val="none"/>
              </w:rPr>
              <w:t>条</w:t>
            </w:r>
            <w:r>
              <w:rPr>
                <w:color w:val="auto"/>
                <w:spacing w:val="10"/>
                <w:highlight w:val="none"/>
              </w:rPr>
              <w:t xml:space="preserve">  </w:t>
            </w:r>
            <w:r>
              <w:rPr>
                <w:b/>
                <w:bCs/>
                <w:color w:val="auto"/>
                <w:spacing w:val="-3"/>
                <w:highlight w:val="none"/>
              </w:rPr>
              <w:t>款</w:t>
            </w:r>
            <w:r>
              <w:rPr>
                <w:color w:val="auto"/>
                <w:spacing w:val="12"/>
                <w:highlight w:val="none"/>
              </w:rPr>
              <w:t xml:space="preserve">  </w:t>
            </w:r>
            <w:r>
              <w:rPr>
                <w:b/>
                <w:bCs/>
                <w:color w:val="auto"/>
                <w:spacing w:val="-3"/>
                <w:highlight w:val="none"/>
              </w:rPr>
              <w:t>名</w:t>
            </w:r>
            <w:r>
              <w:rPr>
                <w:color w:val="auto"/>
                <w:spacing w:val="11"/>
                <w:highlight w:val="none"/>
              </w:rPr>
              <w:t xml:space="preserve">  </w:t>
            </w:r>
            <w:r>
              <w:rPr>
                <w:b/>
                <w:bCs/>
                <w:color w:val="auto"/>
                <w:spacing w:val="-3"/>
                <w:highlight w:val="none"/>
              </w:rPr>
              <w:t>称</w:t>
            </w:r>
          </w:p>
        </w:tc>
        <w:tc>
          <w:tcPr>
            <w:tcW w:w="4891" w:type="dxa"/>
            <w:vAlign w:val="top"/>
          </w:tcPr>
          <w:p w14:paraId="7DCD06E2">
            <w:pPr>
              <w:pStyle w:val="18"/>
              <w:spacing w:before="143" w:line="228" w:lineRule="auto"/>
              <w:ind w:left="1713"/>
              <w:rPr>
                <w:color w:val="auto"/>
                <w:highlight w:val="none"/>
              </w:rPr>
            </w:pPr>
            <w:r>
              <w:rPr>
                <w:b/>
                <w:bCs/>
                <w:color w:val="auto"/>
                <w:spacing w:val="-10"/>
                <w:highlight w:val="none"/>
              </w:rPr>
              <w:t>编</w:t>
            </w:r>
            <w:r>
              <w:rPr>
                <w:color w:val="auto"/>
                <w:spacing w:val="13"/>
                <w:highlight w:val="none"/>
              </w:rPr>
              <w:t xml:space="preserve">  </w:t>
            </w:r>
            <w:r>
              <w:rPr>
                <w:b/>
                <w:bCs/>
                <w:color w:val="auto"/>
                <w:spacing w:val="-10"/>
                <w:highlight w:val="none"/>
              </w:rPr>
              <w:t>列</w:t>
            </w:r>
            <w:r>
              <w:rPr>
                <w:color w:val="auto"/>
                <w:spacing w:val="23"/>
                <w:highlight w:val="none"/>
              </w:rPr>
              <w:t xml:space="preserve">  </w:t>
            </w:r>
            <w:r>
              <w:rPr>
                <w:b/>
                <w:bCs/>
                <w:color w:val="auto"/>
                <w:spacing w:val="-10"/>
                <w:highlight w:val="none"/>
              </w:rPr>
              <w:t>内</w:t>
            </w:r>
            <w:r>
              <w:rPr>
                <w:color w:val="auto"/>
                <w:spacing w:val="12"/>
                <w:highlight w:val="none"/>
              </w:rPr>
              <w:t xml:space="preserve">  </w:t>
            </w:r>
            <w:r>
              <w:rPr>
                <w:b/>
                <w:bCs/>
                <w:color w:val="auto"/>
                <w:spacing w:val="-10"/>
                <w:highlight w:val="none"/>
              </w:rPr>
              <w:t>容</w:t>
            </w:r>
          </w:p>
        </w:tc>
      </w:tr>
      <w:tr w14:paraId="698EF6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1013" w:type="dxa"/>
            <w:vAlign w:val="top"/>
          </w:tcPr>
          <w:p w14:paraId="2270B454">
            <w:pPr>
              <w:spacing w:line="272" w:lineRule="auto"/>
              <w:rPr>
                <w:rFonts w:ascii="Arial"/>
                <w:color w:val="auto"/>
                <w:sz w:val="21"/>
                <w:highlight w:val="none"/>
              </w:rPr>
            </w:pPr>
          </w:p>
          <w:p w14:paraId="17306BC7">
            <w:pPr>
              <w:pStyle w:val="18"/>
              <w:spacing w:before="65" w:line="268" w:lineRule="exact"/>
              <w:ind w:left="251"/>
              <w:rPr>
                <w:color w:val="auto"/>
                <w:highlight w:val="none"/>
              </w:rPr>
            </w:pPr>
            <w:r>
              <w:rPr>
                <w:color w:val="auto"/>
                <w:spacing w:val="2"/>
                <w:position w:val="1"/>
                <w:highlight w:val="none"/>
              </w:rPr>
              <w:t>6.3.2</w:t>
            </w:r>
          </w:p>
        </w:tc>
        <w:tc>
          <w:tcPr>
            <w:tcW w:w="2877" w:type="dxa"/>
            <w:vAlign w:val="top"/>
          </w:tcPr>
          <w:p w14:paraId="1B77CCF9">
            <w:pPr>
              <w:pStyle w:val="18"/>
              <w:spacing w:before="139" w:line="227" w:lineRule="auto"/>
              <w:ind w:left="181"/>
              <w:rPr>
                <w:color w:val="auto"/>
                <w:highlight w:val="none"/>
              </w:rPr>
            </w:pPr>
            <w:r>
              <w:rPr>
                <w:color w:val="auto"/>
                <w:spacing w:val="9"/>
                <w:highlight w:val="none"/>
              </w:rPr>
              <w:t>评标委员会推荐</w:t>
            </w:r>
            <w:r>
              <w:rPr>
                <w:rFonts w:hint="eastAsia"/>
                <w:color w:val="auto"/>
                <w:spacing w:val="9"/>
                <w:highlight w:val="none"/>
                <w:lang w:val="en-US" w:eastAsia="zh-CN"/>
              </w:rPr>
              <w:t>定</w:t>
            </w:r>
            <w:r>
              <w:rPr>
                <w:color w:val="auto"/>
                <w:spacing w:val="9"/>
                <w:highlight w:val="none"/>
              </w:rPr>
              <w:t>标候选人</w:t>
            </w:r>
          </w:p>
          <w:p w14:paraId="30E5DA3D">
            <w:pPr>
              <w:pStyle w:val="18"/>
              <w:spacing w:before="154" w:line="228" w:lineRule="auto"/>
              <w:ind w:left="1144"/>
              <w:rPr>
                <w:color w:val="auto"/>
                <w:highlight w:val="none"/>
              </w:rPr>
            </w:pPr>
            <w:r>
              <w:rPr>
                <w:color w:val="auto"/>
                <w:spacing w:val="1"/>
                <w:highlight w:val="none"/>
              </w:rPr>
              <w:t>的人数</w:t>
            </w:r>
          </w:p>
        </w:tc>
        <w:tc>
          <w:tcPr>
            <w:tcW w:w="4891" w:type="dxa"/>
            <w:vAlign w:val="top"/>
          </w:tcPr>
          <w:p w14:paraId="0219D452">
            <w:pPr>
              <w:pStyle w:val="18"/>
              <w:spacing w:before="1" w:line="366" w:lineRule="auto"/>
              <w:ind w:left="112" w:right="108" w:firstLine="5"/>
              <w:rPr>
                <w:color w:val="auto"/>
                <w:highlight w:val="none"/>
              </w:rPr>
            </w:pPr>
            <w:r>
              <w:rPr>
                <w:color w:val="auto"/>
                <w:spacing w:val="-21"/>
                <w:highlight w:val="none"/>
              </w:rPr>
              <w:t xml:space="preserve"> </w:t>
            </w:r>
            <w:r>
              <w:rPr>
                <w:rFonts w:hint="eastAsia"/>
                <w:color w:val="auto"/>
                <w:spacing w:val="14"/>
                <w:highlight w:val="none"/>
                <w:lang w:val="en-US" w:eastAsia="zh-CN"/>
              </w:rPr>
              <w:t>5</w:t>
            </w:r>
            <w:r>
              <w:rPr>
                <w:color w:val="auto"/>
                <w:spacing w:val="-29"/>
                <w:highlight w:val="none"/>
              </w:rPr>
              <w:t xml:space="preserve"> </w:t>
            </w:r>
            <w:r>
              <w:rPr>
                <w:color w:val="auto"/>
                <w:spacing w:val="14"/>
                <w:highlight w:val="none"/>
              </w:rPr>
              <w:t>名</w:t>
            </w:r>
            <w:r>
              <w:rPr>
                <w:color w:val="auto"/>
                <w:spacing w:val="14"/>
                <w:highlight w:val="none"/>
              </w:rPr>
              <w:t>（</w:t>
            </w:r>
            <w:r>
              <w:rPr>
                <w:rFonts w:hint="eastAsia"/>
                <w:color w:val="auto"/>
                <w:spacing w:val="14"/>
                <w:highlight w:val="none"/>
                <w:lang w:val="en-US" w:eastAsia="zh-CN"/>
              </w:rPr>
              <w:t>当有效投标人数量不足5名但满足法定要求时，所有通过评审的有效投标人均应作为定标候选人</w:t>
            </w:r>
            <w:r>
              <w:rPr>
                <w:color w:val="auto"/>
                <w:spacing w:val="5"/>
                <w:highlight w:val="none"/>
              </w:rPr>
              <w:t>）</w:t>
            </w:r>
          </w:p>
        </w:tc>
      </w:tr>
      <w:tr w14:paraId="03CACD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3" w:hRule="atLeast"/>
        </w:trPr>
        <w:tc>
          <w:tcPr>
            <w:tcW w:w="1013" w:type="dxa"/>
            <w:vAlign w:val="top"/>
          </w:tcPr>
          <w:p w14:paraId="48197FC6">
            <w:pPr>
              <w:spacing w:line="253" w:lineRule="auto"/>
              <w:rPr>
                <w:rFonts w:ascii="Arial"/>
                <w:color w:val="auto"/>
                <w:sz w:val="21"/>
                <w:highlight w:val="none"/>
              </w:rPr>
            </w:pPr>
          </w:p>
          <w:p w14:paraId="29BCE690">
            <w:pPr>
              <w:spacing w:line="254" w:lineRule="auto"/>
              <w:rPr>
                <w:rFonts w:ascii="Arial"/>
                <w:color w:val="auto"/>
                <w:sz w:val="21"/>
                <w:highlight w:val="none"/>
              </w:rPr>
            </w:pPr>
          </w:p>
          <w:p w14:paraId="4039258A">
            <w:pPr>
              <w:spacing w:line="254" w:lineRule="auto"/>
              <w:rPr>
                <w:rFonts w:ascii="Arial"/>
                <w:color w:val="auto"/>
                <w:sz w:val="21"/>
                <w:highlight w:val="none"/>
              </w:rPr>
            </w:pPr>
          </w:p>
          <w:p w14:paraId="48485B16">
            <w:pPr>
              <w:spacing w:line="254" w:lineRule="auto"/>
              <w:rPr>
                <w:rFonts w:ascii="Arial"/>
                <w:color w:val="auto"/>
                <w:sz w:val="21"/>
                <w:highlight w:val="none"/>
              </w:rPr>
            </w:pPr>
          </w:p>
          <w:p w14:paraId="6873DD60">
            <w:pPr>
              <w:spacing w:line="254" w:lineRule="auto"/>
              <w:rPr>
                <w:rFonts w:ascii="Arial"/>
                <w:color w:val="auto"/>
                <w:sz w:val="21"/>
                <w:highlight w:val="none"/>
              </w:rPr>
            </w:pPr>
          </w:p>
          <w:p w14:paraId="0F4C7C57">
            <w:pPr>
              <w:pStyle w:val="18"/>
              <w:spacing w:before="65" w:line="268" w:lineRule="exact"/>
              <w:ind w:left="359"/>
              <w:rPr>
                <w:color w:val="auto"/>
                <w:highlight w:val="none"/>
              </w:rPr>
            </w:pPr>
            <w:r>
              <w:rPr>
                <w:color w:val="auto"/>
                <w:position w:val="1"/>
                <w:highlight w:val="none"/>
              </w:rPr>
              <w:t>7.1</w:t>
            </w:r>
          </w:p>
        </w:tc>
        <w:tc>
          <w:tcPr>
            <w:tcW w:w="2877" w:type="dxa"/>
            <w:vAlign w:val="top"/>
          </w:tcPr>
          <w:p w14:paraId="42343916">
            <w:pPr>
              <w:spacing w:line="253" w:lineRule="auto"/>
              <w:rPr>
                <w:rFonts w:ascii="Arial"/>
                <w:color w:val="auto"/>
                <w:sz w:val="21"/>
                <w:highlight w:val="none"/>
              </w:rPr>
            </w:pPr>
          </w:p>
          <w:p w14:paraId="2753E14F">
            <w:pPr>
              <w:spacing w:line="254" w:lineRule="auto"/>
              <w:rPr>
                <w:rFonts w:ascii="Arial"/>
                <w:color w:val="auto"/>
                <w:sz w:val="21"/>
                <w:highlight w:val="none"/>
              </w:rPr>
            </w:pPr>
          </w:p>
          <w:p w14:paraId="392FA53F">
            <w:pPr>
              <w:spacing w:line="254" w:lineRule="auto"/>
              <w:rPr>
                <w:rFonts w:ascii="Arial"/>
                <w:color w:val="auto"/>
                <w:sz w:val="21"/>
                <w:highlight w:val="none"/>
              </w:rPr>
            </w:pPr>
          </w:p>
          <w:p w14:paraId="51EED15F">
            <w:pPr>
              <w:spacing w:line="254" w:lineRule="auto"/>
              <w:rPr>
                <w:rFonts w:ascii="Arial"/>
                <w:color w:val="auto"/>
                <w:sz w:val="21"/>
                <w:highlight w:val="none"/>
              </w:rPr>
            </w:pPr>
          </w:p>
          <w:p w14:paraId="39C16E13">
            <w:pPr>
              <w:spacing w:line="254" w:lineRule="auto"/>
              <w:rPr>
                <w:rFonts w:ascii="Arial"/>
                <w:color w:val="auto"/>
                <w:sz w:val="21"/>
                <w:highlight w:val="none"/>
              </w:rPr>
            </w:pPr>
          </w:p>
          <w:p w14:paraId="655EDDE5">
            <w:pPr>
              <w:pStyle w:val="18"/>
              <w:spacing w:before="65" w:line="227" w:lineRule="auto"/>
              <w:ind w:left="201"/>
              <w:rPr>
                <w:color w:val="auto"/>
                <w:highlight w:val="none"/>
              </w:rPr>
            </w:pPr>
            <w:r>
              <w:rPr>
                <w:rFonts w:hint="eastAsia"/>
                <w:color w:val="auto"/>
                <w:spacing w:val="7"/>
                <w:highlight w:val="none"/>
                <w:lang w:val="en-US" w:eastAsia="zh-CN"/>
              </w:rPr>
              <w:t>定</w:t>
            </w:r>
            <w:r>
              <w:rPr>
                <w:color w:val="auto"/>
                <w:spacing w:val="7"/>
                <w:highlight w:val="none"/>
              </w:rPr>
              <w:t>标</w:t>
            </w:r>
            <w:r>
              <w:rPr>
                <w:color w:val="auto"/>
                <w:spacing w:val="7"/>
                <w:highlight w:val="none"/>
              </w:rPr>
              <w:t>候选人公示媒介及期限</w:t>
            </w:r>
          </w:p>
        </w:tc>
        <w:tc>
          <w:tcPr>
            <w:tcW w:w="4891" w:type="dxa"/>
            <w:vAlign w:val="top"/>
          </w:tcPr>
          <w:p w14:paraId="1B79BAF4">
            <w:pPr>
              <w:pStyle w:val="18"/>
              <w:spacing w:before="142" w:line="361" w:lineRule="auto"/>
              <w:ind w:left="112" w:right="108" w:firstLine="7"/>
              <w:rPr>
                <w:color w:val="auto"/>
                <w:highlight w:val="none"/>
              </w:rPr>
            </w:pPr>
            <w:r>
              <w:rPr>
                <w:color w:val="auto"/>
                <w:spacing w:val="15"/>
                <w:highlight w:val="none"/>
              </w:rPr>
              <w:t>公示媒介：广东省招标投标监管网、</w:t>
            </w:r>
            <w:r>
              <w:rPr>
                <w:rFonts w:hint="eastAsia"/>
                <w:color w:val="auto"/>
                <w:spacing w:val="15"/>
                <w:highlight w:val="none"/>
              </w:rPr>
              <w:t>全国公共资源交易平台（广东省·韶关市）</w:t>
            </w:r>
            <w:r>
              <w:rPr>
                <w:color w:val="auto"/>
                <w:spacing w:val="8"/>
                <w:highlight w:val="none"/>
                <w:u w:val="none" w:color="auto"/>
              </w:rPr>
              <w:t>网站</w:t>
            </w:r>
          </w:p>
          <w:p w14:paraId="6E30FC42">
            <w:pPr>
              <w:pStyle w:val="18"/>
              <w:spacing w:line="208" w:lineRule="auto"/>
              <w:ind w:left="119"/>
              <w:rPr>
                <w:color w:val="auto"/>
                <w:sz w:val="10"/>
                <w:szCs w:val="10"/>
                <w:highlight w:val="none"/>
              </w:rPr>
            </w:pPr>
            <w:r>
              <w:rPr>
                <w:color w:val="auto"/>
                <w:highlight w:val="none"/>
              </w:rPr>
              <w:t>公示期限：</w:t>
            </w:r>
            <w:r>
              <w:rPr>
                <w:color w:val="auto"/>
                <w:spacing w:val="18"/>
                <w:highlight w:val="none"/>
                <w:u w:val="single" w:color="auto"/>
              </w:rPr>
              <w:t xml:space="preserve"> </w:t>
            </w:r>
            <w:r>
              <w:rPr>
                <w:color w:val="auto"/>
                <w:highlight w:val="none"/>
                <w:u w:val="single" w:color="auto"/>
              </w:rPr>
              <w:t>3</w:t>
            </w:r>
            <w:r>
              <w:rPr>
                <w:color w:val="auto"/>
                <w:spacing w:val="-49"/>
                <w:highlight w:val="none"/>
                <w:u w:val="single" w:color="auto"/>
              </w:rPr>
              <w:t xml:space="preserve"> </w:t>
            </w:r>
            <w:r>
              <w:rPr>
                <w:color w:val="auto"/>
                <w:spacing w:val="-55"/>
                <w:highlight w:val="none"/>
              </w:rPr>
              <w:t xml:space="preserve"> </w:t>
            </w:r>
            <w:r>
              <w:rPr>
                <w:color w:val="auto"/>
                <w:highlight w:val="none"/>
              </w:rPr>
              <w:t>日</w:t>
            </w:r>
          </w:p>
          <w:p w14:paraId="1335EA12">
            <w:pPr>
              <w:pStyle w:val="18"/>
              <w:spacing w:before="173" w:line="339" w:lineRule="auto"/>
              <w:ind w:left="106" w:right="108" w:firstLine="12"/>
              <w:jc w:val="both"/>
              <w:rPr>
                <w:color w:val="auto"/>
                <w:highlight w:val="none"/>
              </w:rPr>
            </w:pPr>
            <w:r>
              <w:rPr>
                <w:color w:val="auto"/>
                <w:spacing w:val="14"/>
                <w:highlight w:val="none"/>
              </w:rPr>
              <w:t>公示的其他内容：</w:t>
            </w:r>
            <w:r>
              <w:rPr>
                <w:color w:val="auto"/>
                <w:spacing w:val="-49"/>
                <w:highlight w:val="none"/>
              </w:rPr>
              <w:t xml:space="preserve"> </w:t>
            </w:r>
            <w:r>
              <w:rPr>
                <w:rFonts w:hint="eastAsia"/>
                <w:color w:val="auto"/>
                <w:spacing w:val="14"/>
                <w:highlight w:val="none"/>
                <w:u w:val="single" w:color="auto"/>
                <w:lang w:val="en-US" w:eastAsia="zh-CN"/>
              </w:rPr>
              <w:t>定</w:t>
            </w:r>
            <w:r>
              <w:rPr>
                <w:color w:val="auto"/>
                <w:spacing w:val="14"/>
                <w:highlight w:val="none"/>
                <w:u w:val="single" w:color="auto"/>
              </w:rPr>
              <w:t>标</w:t>
            </w:r>
            <w:r>
              <w:rPr>
                <w:color w:val="auto"/>
                <w:spacing w:val="14"/>
                <w:highlight w:val="none"/>
                <w:u w:val="single" w:color="auto"/>
              </w:rPr>
              <w:t>候选人的投标文件、</w:t>
            </w:r>
            <w:r>
              <w:rPr>
                <w:color w:val="auto"/>
                <w:spacing w:val="13"/>
                <w:highlight w:val="none"/>
                <w:u w:val="single" w:color="auto"/>
              </w:rPr>
              <w:t>评标</w:t>
            </w:r>
            <w:r>
              <w:rPr>
                <w:color w:val="auto"/>
                <w:spacing w:val="11"/>
                <w:highlight w:val="none"/>
                <w:u w:val="single" w:color="auto"/>
              </w:rPr>
              <w:t>报告（含资审结果）、最新一年度</w:t>
            </w:r>
            <w:r>
              <w:rPr>
                <w:color w:val="auto"/>
                <w:spacing w:val="-29"/>
                <w:highlight w:val="none"/>
                <w:u w:val="single" w:color="auto"/>
              </w:rPr>
              <w:t xml:space="preserve"> </w:t>
            </w:r>
            <w:r>
              <w:rPr>
                <w:color w:val="auto"/>
                <w:highlight w:val="none"/>
                <w:u w:val="single" w:color="auto"/>
              </w:rPr>
              <w:t>AA</w:t>
            </w:r>
            <w:r>
              <w:rPr>
                <w:color w:val="auto"/>
                <w:spacing w:val="11"/>
                <w:highlight w:val="none"/>
                <w:u w:val="single" w:color="auto"/>
              </w:rPr>
              <w:t>、A</w:t>
            </w:r>
            <w:r>
              <w:rPr>
                <w:color w:val="auto"/>
                <w:spacing w:val="-32"/>
                <w:highlight w:val="none"/>
                <w:u w:val="single" w:color="auto"/>
              </w:rPr>
              <w:t xml:space="preserve"> </w:t>
            </w:r>
            <w:r>
              <w:rPr>
                <w:color w:val="auto"/>
                <w:spacing w:val="11"/>
                <w:highlight w:val="none"/>
                <w:u w:val="single" w:color="auto"/>
              </w:rPr>
              <w:t>级投标人</w:t>
            </w:r>
            <w:r>
              <w:rPr>
                <w:color w:val="auto"/>
                <w:spacing w:val="22"/>
                <w:highlight w:val="none"/>
                <w:u w:val="single" w:color="auto"/>
              </w:rPr>
              <w:t>的信用等级使用情况及所有承诺使用最新一年度</w:t>
            </w:r>
            <w:r>
              <w:rPr>
                <w:color w:val="auto"/>
                <w:highlight w:val="none"/>
                <w:u w:val="single" w:color="auto"/>
              </w:rPr>
              <w:t>AA</w:t>
            </w:r>
            <w:r>
              <w:rPr>
                <w:color w:val="auto"/>
                <w:spacing w:val="8"/>
                <w:highlight w:val="none"/>
                <w:u w:val="single" w:color="auto"/>
              </w:rPr>
              <w:t>、A</w:t>
            </w:r>
            <w:r>
              <w:rPr>
                <w:color w:val="auto"/>
                <w:spacing w:val="-20"/>
                <w:highlight w:val="none"/>
                <w:u w:val="single" w:color="auto"/>
              </w:rPr>
              <w:t xml:space="preserve"> </w:t>
            </w:r>
            <w:r>
              <w:rPr>
                <w:color w:val="auto"/>
                <w:spacing w:val="8"/>
                <w:highlight w:val="none"/>
                <w:u w:val="single" w:color="auto"/>
              </w:rPr>
              <w:t>级投标人的年度信用等级使用情况</w:t>
            </w:r>
            <w:r>
              <w:rPr>
                <w:color w:val="auto"/>
                <w:spacing w:val="8"/>
                <w:highlight w:val="none"/>
              </w:rPr>
              <w:t>。</w:t>
            </w:r>
          </w:p>
        </w:tc>
      </w:tr>
      <w:tr w14:paraId="1144B1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1013" w:type="dxa"/>
            <w:vAlign w:val="top"/>
          </w:tcPr>
          <w:p w14:paraId="052C4483">
            <w:pPr>
              <w:spacing w:line="277" w:lineRule="auto"/>
              <w:rPr>
                <w:rFonts w:ascii="Arial"/>
                <w:color w:val="auto"/>
                <w:sz w:val="21"/>
                <w:highlight w:val="none"/>
              </w:rPr>
            </w:pPr>
          </w:p>
          <w:p w14:paraId="482DD703">
            <w:pPr>
              <w:pStyle w:val="18"/>
              <w:spacing w:before="65" w:line="267" w:lineRule="exact"/>
              <w:ind w:left="359"/>
              <w:rPr>
                <w:rFonts w:hint="eastAsia" w:eastAsia="宋体"/>
                <w:color w:val="auto"/>
                <w:highlight w:val="none"/>
                <w:lang w:eastAsia="zh-CN"/>
              </w:rPr>
            </w:pPr>
            <w:r>
              <w:rPr>
                <w:color w:val="auto"/>
                <w:position w:val="1"/>
                <w:highlight w:val="none"/>
              </w:rPr>
              <w:t>7.</w:t>
            </w:r>
            <w:r>
              <w:rPr>
                <w:rFonts w:hint="eastAsia"/>
                <w:color w:val="auto"/>
                <w:position w:val="1"/>
                <w:highlight w:val="none"/>
                <w:lang w:val="en-US" w:eastAsia="zh-CN"/>
              </w:rPr>
              <w:t>3</w:t>
            </w:r>
          </w:p>
        </w:tc>
        <w:tc>
          <w:tcPr>
            <w:tcW w:w="2877" w:type="dxa"/>
            <w:vAlign w:val="top"/>
          </w:tcPr>
          <w:p w14:paraId="58BFD67F">
            <w:pPr>
              <w:pStyle w:val="18"/>
              <w:spacing w:before="142" w:line="227" w:lineRule="auto"/>
              <w:ind w:left="185"/>
              <w:rPr>
                <w:color w:val="auto"/>
                <w:highlight w:val="none"/>
              </w:rPr>
            </w:pPr>
            <w:r>
              <w:rPr>
                <w:color w:val="auto"/>
                <w:spacing w:val="8"/>
                <w:highlight w:val="none"/>
              </w:rPr>
              <w:t>是否授权评标委员会确定中</w:t>
            </w:r>
          </w:p>
          <w:p w14:paraId="063F6943">
            <w:pPr>
              <w:pStyle w:val="18"/>
              <w:spacing w:before="155" w:line="228" w:lineRule="auto"/>
              <w:ind w:left="1233"/>
              <w:rPr>
                <w:color w:val="auto"/>
                <w:highlight w:val="none"/>
              </w:rPr>
            </w:pPr>
            <w:r>
              <w:rPr>
                <w:color w:val="auto"/>
                <w:spacing w:val="4"/>
                <w:highlight w:val="none"/>
              </w:rPr>
              <w:t>标人</w:t>
            </w:r>
          </w:p>
        </w:tc>
        <w:tc>
          <w:tcPr>
            <w:tcW w:w="4891" w:type="dxa"/>
            <w:vAlign w:val="top"/>
          </w:tcPr>
          <w:p w14:paraId="33C02FE0">
            <w:pPr>
              <w:pStyle w:val="18"/>
              <w:spacing w:before="142" w:line="231" w:lineRule="auto"/>
              <w:ind w:left="134"/>
              <w:rPr>
                <w:color w:val="auto"/>
                <w:highlight w:val="none"/>
              </w:rPr>
            </w:pPr>
            <w:r>
              <w:rPr>
                <w:color w:val="auto"/>
                <w:spacing w:val="-5"/>
                <w:highlight w:val="none"/>
              </w:rPr>
              <w:t>□是</w:t>
            </w:r>
          </w:p>
          <w:p w14:paraId="0BC5BA5E">
            <w:pPr>
              <w:pStyle w:val="18"/>
              <w:spacing w:before="150" w:line="228" w:lineRule="auto"/>
              <w:ind w:left="134"/>
              <w:rPr>
                <w:rFonts w:hint="eastAsia" w:eastAsia="宋体"/>
                <w:color w:val="auto"/>
                <w:highlight w:val="none"/>
                <w:lang w:eastAsia="zh-CN"/>
              </w:rPr>
            </w:pPr>
            <w:r>
              <w:rPr>
                <w:rFonts w:hint="eastAsia"/>
                <w:color w:val="auto"/>
                <w:spacing w:val="-5"/>
                <w:highlight w:val="none"/>
                <w:lang w:eastAsia="zh-CN"/>
              </w:rPr>
              <w:t>☑</w:t>
            </w:r>
            <w:r>
              <w:rPr>
                <w:color w:val="auto"/>
                <w:spacing w:val="-5"/>
                <w:highlight w:val="none"/>
              </w:rPr>
              <w:t>否</w:t>
            </w:r>
            <w:r>
              <w:rPr>
                <w:rFonts w:hint="eastAsia"/>
                <w:color w:val="auto"/>
                <w:spacing w:val="-5"/>
                <w:highlight w:val="none"/>
              </w:rPr>
              <w:t>，由定标委员会确定中标人</w:t>
            </w:r>
            <w:r>
              <w:rPr>
                <w:rFonts w:hint="eastAsia"/>
                <w:color w:val="auto"/>
                <w:spacing w:val="-5"/>
                <w:highlight w:val="none"/>
                <w:lang w:eastAsia="zh-CN"/>
              </w:rPr>
              <w:t>。</w:t>
            </w:r>
          </w:p>
        </w:tc>
      </w:tr>
      <w:tr w14:paraId="29695F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1013" w:type="dxa"/>
            <w:vAlign w:val="center"/>
          </w:tcPr>
          <w:p w14:paraId="4E627F0C">
            <w:pPr>
              <w:keepNext w:val="0"/>
              <w:keepLines w:val="0"/>
              <w:pageBreakBefore w:val="0"/>
              <w:widowControl/>
              <w:kinsoku w:val="0"/>
              <w:wordWrap/>
              <w:overflowPunct/>
              <w:topLinePunct w:val="0"/>
              <w:autoSpaceDE w:val="0"/>
              <w:autoSpaceDN w:val="0"/>
              <w:bidi w:val="0"/>
              <w:adjustRightInd w:val="0"/>
              <w:snapToGrid w:val="0"/>
              <w:spacing w:line="340" w:lineRule="exact"/>
              <w:jc w:val="center"/>
              <w:rPr>
                <w:color w:val="auto"/>
                <w:position w:val="1"/>
                <w:highlight w:val="none"/>
              </w:rPr>
            </w:pPr>
            <w:r>
              <w:rPr>
                <w:rFonts w:hint="eastAsia" w:ascii="宋体" w:hAnsi="宋体" w:eastAsia="宋体" w:cs="宋体"/>
                <w:color w:val="auto"/>
                <w:sz w:val="20"/>
                <w:szCs w:val="20"/>
                <w:highlight w:val="none"/>
                <w:lang w:val="en-US" w:eastAsia="zh-CN"/>
              </w:rPr>
              <w:t>7.3.1</w:t>
            </w:r>
          </w:p>
        </w:tc>
        <w:tc>
          <w:tcPr>
            <w:tcW w:w="2877" w:type="dxa"/>
            <w:vAlign w:val="center"/>
          </w:tcPr>
          <w:p w14:paraId="6C7FBD07">
            <w:pPr>
              <w:keepNext w:val="0"/>
              <w:keepLines w:val="0"/>
              <w:pageBreakBefore w:val="0"/>
              <w:widowControl/>
              <w:kinsoku w:val="0"/>
              <w:wordWrap/>
              <w:overflowPunct/>
              <w:topLinePunct w:val="0"/>
              <w:autoSpaceDE w:val="0"/>
              <w:autoSpaceDN w:val="0"/>
              <w:bidi w:val="0"/>
              <w:adjustRightInd w:val="0"/>
              <w:snapToGrid w:val="0"/>
              <w:spacing w:line="340" w:lineRule="exact"/>
              <w:jc w:val="center"/>
              <w:rPr>
                <w:color w:val="auto"/>
                <w:spacing w:val="4"/>
                <w:highlight w:val="none"/>
              </w:rPr>
            </w:pPr>
            <w:r>
              <w:rPr>
                <w:rFonts w:hint="eastAsia" w:ascii="宋体" w:hAnsi="宋体" w:eastAsia="宋体" w:cs="宋体"/>
                <w:color w:val="auto"/>
                <w:sz w:val="20"/>
                <w:szCs w:val="20"/>
                <w:highlight w:val="none"/>
                <w:lang w:val="en-US" w:eastAsia="zh-CN"/>
              </w:rPr>
              <w:t>定标时间和地点</w:t>
            </w:r>
          </w:p>
        </w:tc>
        <w:tc>
          <w:tcPr>
            <w:tcW w:w="4891" w:type="dxa"/>
            <w:vAlign w:val="center"/>
          </w:tcPr>
          <w:p w14:paraId="6282CDD8">
            <w:pPr>
              <w:keepNext w:val="0"/>
              <w:keepLines w:val="0"/>
              <w:pageBreakBefore w:val="0"/>
              <w:widowControl/>
              <w:tabs>
                <w:tab w:val="left" w:pos="6040"/>
              </w:tabs>
              <w:kinsoku w:val="0"/>
              <w:wordWrap/>
              <w:overflowPunct/>
              <w:topLinePunct w:val="0"/>
              <w:autoSpaceDE w:val="0"/>
              <w:autoSpaceDN w:val="0"/>
              <w:bidi w:val="0"/>
              <w:adjustRightInd w:val="0"/>
              <w:snapToGrid w:val="0"/>
              <w:spacing w:line="360" w:lineRule="exact"/>
              <w:ind w:left="147" w:leftChars="70" w:right="111" w:rightChars="53"/>
              <w:jc w:val="left"/>
              <w:textAlignment w:val="baseline"/>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定标时间：定标候选人公示结束后5个工作日内。</w:t>
            </w:r>
          </w:p>
          <w:p w14:paraId="448AFB18">
            <w:pPr>
              <w:keepNext w:val="0"/>
              <w:keepLines w:val="0"/>
              <w:pageBreakBefore w:val="0"/>
              <w:widowControl/>
              <w:tabs>
                <w:tab w:val="left" w:pos="6040"/>
              </w:tabs>
              <w:kinsoku w:val="0"/>
              <w:wordWrap/>
              <w:overflowPunct/>
              <w:topLinePunct w:val="0"/>
              <w:autoSpaceDE w:val="0"/>
              <w:autoSpaceDN w:val="0"/>
              <w:bidi w:val="0"/>
              <w:adjustRightInd w:val="0"/>
              <w:snapToGrid w:val="0"/>
              <w:spacing w:line="360" w:lineRule="exact"/>
              <w:ind w:left="147" w:leftChars="70" w:right="111" w:rightChars="53"/>
              <w:jc w:val="left"/>
              <w:textAlignment w:val="baseline"/>
              <w:rPr>
                <w:rFonts w:hint="eastAsia"/>
                <w:color w:val="auto"/>
                <w:spacing w:val="-5"/>
                <w:highlight w:val="none"/>
                <w:lang w:eastAsia="zh-CN"/>
              </w:rPr>
            </w:pPr>
            <w:r>
              <w:rPr>
                <w:rFonts w:hint="eastAsia" w:ascii="宋体" w:hAnsi="宋体" w:eastAsia="宋体" w:cs="宋体"/>
                <w:color w:val="auto"/>
                <w:sz w:val="20"/>
                <w:szCs w:val="20"/>
                <w:highlight w:val="none"/>
                <w:lang w:val="en-US" w:eastAsia="zh-CN"/>
              </w:rPr>
              <w:t>定标地点：同开标地点。</w:t>
            </w:r>
          </w:p>
        </w:tc>
      </w:tr>
      <w:tr w14:paraId="5C27B6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1013" w:type="dxa"/>
            <w:vAlign w:val="center"/>
          </w:tcPr>
          <w:p w14:paraId="5CEC4957">
            <w:pPr>
              <w:keepNext w:val="0"/>
              <w:keepLines w:val="0"/>
              <w:pageBreakBefore w:val="0"/>
              <w:widowControl/>
              <w:kinsoku w:val="0"/>
              <w:wordWrap/>
              <w:overflowPunct/>
              <w:topLinePunct w:val="0"/>
              <w:autoSpaceDE w:val="0"/>
              <w:autoSpaceDN w:val="0"/>
              <w:bidi w:val="0"/>
              <w:adjustRightInd w:val="0"/>
              <w:snapToGrid w:val="0"/>
              <w:spacing w:line="340" w:lineRule="exact"/>
              <w:jc w:val="center"/>
              <w:rPr>
                <w:color w:val="auto"/>
                <w:position w:val="1"/>
                <w:highlight w:val="none"/>
              </w:rPr>
            </w:pPr>
            <w:r>
              <w:rPr>
                <w:rFonts w:hint="eastAsia" w:ascii="宋体" w:hAnsi="宋体" w:eastAsia="宋体" w:cs="宋体"/>
                <w:color w:val="auto"/>
                <w:sz w:val="20"/>
                <w:szCs w:val="20"/>
                <w:highlight w:val="none"/>
                <w:lang w:val="en-US" w:eastAsia="zh-CN"/>
              </w:rPr>
              <w:t>7.3.2.1</w:t>
            </w:r>
          </w:p>
        </w:tc>
        <w:tc>
          <w:tcPr>
            <w:tcW w:w="2877" w:type="dxa"/>
            <w:vAlign w:val="center"/>
          </w:tcPr>
          <w:p w14:paraId="40D70F9B">
            <w:pPr>
              <w:keepNext w:val="0"/>
              <w:keepLines w:val="0"/>
              <w:pageBreakBefore w:val="0"/>
              <w:widowControl/>
              <w:kinsoku w:val="0"/>
              <w:wordWrap/>
              <w:overflowPunct/>
              <w:topLinePunct w:val="0"/>
              <w:autoSpaceDE w:val="0"/>
              <w:autoSpaceDN w:val="0"/>
              <w:bidi w:val="0"/>
              <w:adjustRightInd w:val="0"/>
              <w:snapToGrid w:val="0"/>
              <w:spacing w:line="340" w:lineRule="exact"/>
              <w:jc w:val="center"/>
              <w:rPr>
                <w:color w:val="auto"/>
                <w:spacing w:val="4"/>
                <w:highlight w:val="none"/>
              </w:rPr>
            </w:pPr>
            <w:r>
              <w:rPr>
                <w:rFonts w:hint="eastAsia" w:ascii="宋体" w:hAnsi="宋体" w:eastAsia="宋体" w:cs="宋体"/>
                <w:color w:val="auto"/>
                <w:sz w:val="20"/>
                <w:szCs w:val="20"/>
                <w:highlight w:val="none"/>
                <w:lang w:val="en-US" w:eastAsia="zh-CN"/>
              </w:rPr>
              <w:t>招标监督小组的组建</w:t>
            </w:r>
          </w:p>
        </w:tc>
        <w:tc>
          <w:tcPr>
            <w:tcW w:w="4891" w:type="dxa"/>
            <w:vAlign w:val="center"/>
          </w:tcPr>
          <w:p w14:paraId="4409078B">
            <w:pPr>
              <w:keepNext w:val="0"/>
              <w:keepLines w:val="0"/>
              <w:pageBreakBefore w:val="0"/>
              <w:widowControl/>
              <w:tabs>
                <w:tab w:val="left" w:pos="6060"/>
              </w:tabs>
              <w:kinsoku w:val="0"/>
              <w:wordWrap/>
              <w:overflowPunct/>
              <w:topLinePunct w:val="0"/>
              <w:autoSpaceDE w:val="0"/>
              <w:autoSpaceDN w:val="0"/>
              <w:bidi w:val="0"/>
              <w:adjustRightInd w:val="0"/>
              <w:snapToGrid w:val="0"/>
              <w:spacing w:line="360" w:lineRule="exact"/>
              <w:ind w:left="145" w:leftChars="69" w:right="71" w:rightChars="34"/>
              <w:textAlignment w:val="baseline"/>
              <w:rPr>
                <w:rFonts w:hint="eastAsia"/>
                <w:color w:val="auto"/>
                <w:spacing w:val="-5"/>
                <w:highlight w:val="none"/>
                <w:lang w:eastAsia="zh-CN"/>
              </w:rPr>
            </w:pPr>
            <w:r>
              <w:rPr>
                <w:rFonts w:hint="eastAsia" w:ascii="宋体" w:hAnsi="宋体" w:eastAsia="宋体" w:cs="宋体"/>
                <w:color w:val="auto"/>
                <w:kern w:val="2"/>
                <w:sz w:val="20"/>
                <w:szCs w:val="20"/>
                <w:highlight w:val="none"/>
                <w:u w:val="none"/>
                <w:lang w:val="en-US" w:eastAsia="zh-CN" w:bidi="ar-SA"/>
              </w:rPr>
              <w:t>监督小组构成：</w:t>
            </w:r>
            <w:r>
              <w:rPr>
                <w:rFonts w:hint="eastAsia" w:ascii="宋体" w:hAnsi="宋体" w:eastAsia="宋体" w:cs="宋体"/>
                <w:color w:val="auto"/>
                <w:kern w:val="2"/>
                <w:sz w:val="20"/>
                <w:szCs w:val="20"/>
                <w:highlight w:val="none"/>
                <w:u w:val="single"/>
                <w:lang w:val="en-US" w:eastAsia="zh-CN" w:bidi="ar-SA"/>
              </w:rPr>
              <w:t xml:space="preserve"> 3 </w:t>
            </w:r>
            <w:r>
              <w:rPr>
                <w:rFonts w:hint="eastAsia" w:ascii="宋体" w:hAnsi="宋体" w:eastAsia="宋体" w:cs="宋体"/>
                <w:color w:val="auto"/>
                <w:kern w:val="2"/>
                <w:sz w:val="20"/>
                <w:szCs w:val="20"/>
                <w:highlight w:val="none"/>
                <w:u w:val="none"/>
                <w:lang w:val="en-US" w:eastAsia="zh-CN" w:bidi="ar-SA"/>
              </w:rPr>
              <w:t>人，监督小组成员</w:t>
            </w:r>
            <w:r>
              <w:rPr>
                <w:rFonts w:hint="eastAsia" w:ascii="宋体" w:hAnsi="宋体" w:eastAsia="宋体" w:cs="宋体"/>
                <w:color w:val="auto"/>
                <w:kern w:val="0"/>
                <w:sz w:val="20"/>
                <w:szCs w:val="20"/>
                <w:highlight w:val="none"/>
                <w:lang w:val="en-US" w:eastAsia="zh-CN"/>
              </w:rPr>
              <w:t>由招标人直接委派，并确定一名组长负责统筹监督工作。</w:t>
            </w:r>
          </w:p>
        </w:tc>
      </w:tr>
      <w:tr w14:paraId="7B3891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1013" w:type="dxa"/>
            <w:vAlign w:val="center"/>
          </w:tcPr>
          <w:p w14:paraId="0208FCC3">
            <w:pPr>
              <w:keepNext w:val="0"/>
              <w:keepLines w:val="0"/>
              <w:pageBreakBefore w:val="0"/>
              <w:widowControl/>
              <w:kinsoku w:val="0"/>
              <w:wordWrap/>
              <w:overflowPunct/>
              <w:topLinePunct w:val="0"/>
              <w:autoSpaceDE w:val="0"/>
              <w:autoSpaceDN w:val="0"/>
              <w:bidi w:val="0"/>
              <w:adjustRightInd w:val="0"/>
              <w:snapToGrid w:val="0"/>
              <w:spacing w:line="340" w:lineRule="exact"/>
              <w:jc w:val="center"/>
              <w:rPr>
                <w:color w:val="auto"/>
                <w:position w:val="1"/>
                <w:highlight w:val="none"/>
              </w:rPr>
            </w:pPr>
            <w:r>
              <w:rPr>
                <w:rFonts w:hint="eastAsia" w:ascii="宋体" w:hAnsi="宋体" w:eastAsia="宋体" w:cs="宋体"/>
                <w:color w:val="auto"/>
                <w:sz w:val="20"/>
                <w:szCs w:val="20"/>
                <w:highlight w:val="none"/>
                <w:lang w:val="en-US" w:eastAsia="zh-CN"/>
              </w:rPr>
              <w:t>7.3.3.1</w:t>
            </w:r>
          </w:p>
        </w:tc>
        <w:tc>
          <w:tcPr>
            <w:tcW w:w="2877" w:type="dxa"/>
            <w:vAlign w:val="center"/>
          </w:tcPr>
          <w:p w14:paraId="629B7352">
            <w:pPr>
              <w:keepNext w:val="0"/>
              <w:keepLines w:val="0"/>
              <w:pageBreakBefore w:val="0"/>
              <w:widowControl/>
              <w:kinsoku w:val="0"/>
              <w:wordWrap/>
              <w:overflowPunct/>
              <w:topLinePunct w:val="0"/>
              <w:autoSpaceDE w:val="0"/>
              <w:autoSpaceDN w:val="0"/>
              <w:bidi w:val="0"/>
              <w:adjustRightInd w:val="0"/>
              <w:snapToGrid w:val="0"/>
              <w:spacing w:line="340" w:lineRule="exact"/>
              <w:jc w:val="center"/>
              <w:rPr>
                <w:color w:val="auto"/>
                <w:spacing w:val="4"/>
                <w:highlight w:val="none"/>
              </w:rPr>
            </w:pPr>
            <w:r>
              <w:rPr>
                <w:rFonts w:hint="eastAsia" w:ascii="宋体" w:hAnsi="宋体" w:eastAsia="宋体" w:cs="宋体"/>
                <w:color w:val="auto"/>
                <w:sz w:val="20"/>
                <w:szCs w:val="20"/>
                <w:highlight w:val="none"/>
              </w:rPr>
              <w:t>定标委员会</w:t>
            </w:r>
            <w:r>
              <w:rPr>
                <w:rFonts w:hint="eastAsia" w:ascii="宋体" w:hAnsi="宋体" w:eastAsia="宋体" w:cs="宋体"/>
                <w:color w:val="auto"/>
                <w:sz w:val="20"/>
                <w:szCs w:val="20"/>
                <w:highlight w:val="none"/>
                <w:lang w:eastAsia="zh-CN"/>
              </w:rPr>
              <w:t>的</w:t>
            </w:r>
            <w:r>
              <w:rPr>
                <w:rFonts w:hint="eastAsia" w:ascii="宋体" w:hAnsi="宋体" w:eastAsia="宋体" w:cs="宋体"/>
                <w:color w:val="auto"/>
                <w:sz w:val="20"/>
                <w:szCs w:val="20"/>
                <w:highlight w:val="none"/>
              </w:rPr>
              <w:t>组建</w:t>
            </w:r>
          </w:p>
        </w:tc>
        <w:tc>
          <w:tcPr>
            <w:tcW w:w="4891" w:type="dxa"/>
            <w:vAlign w:val="center"/>
          </w:tcPr>
          <w:p w14:paraId="732E29E0">
            <w:pPr>
              <w:keepNext w:val="0"/>
              <w:keepLines w:val="0"/>
              <w:pageBreakBefore w:val="0"/>
              <w:widowControl/>
              <w:tabs>
                <w:tab w:val="left" w:pos="6100"/>
              </w:tabs>
              <w:kinsoku w:val="0"/>
              <w:wordWrap/>
              <w:overflowPunct/>
              <w:topLinePunct w:val="0"/>
              <w:autoSpaceDE w:val="0"/>
              <w:autoSpaceDN w:val="0"/>
              <w:bidi w:val="0"/>
              <w:adjustRightInd w:val="0"/>
              <w:snapToGrid w:val="0"/>
              <w:spacing w:line="360" w:lineRule="exact"/>
              <w:ind w:left="145" w:leftChars="69"/>
              <w:textAlignment w:val="baseline"/>
              <w:rPr>
                <w:rFonts w:hint="eastAsia"/>
                <w:color w:val="auto"/>
                <w:spacing w:val="-5"/>
                <w:highlight w:val="none"/>
                <w:lang w:eastAsia="zh-CN"/>
              </w:rPr>
            </w:pPr>
            <w:r>
              <w:rPr>
                <w:rFonts w:hint="eastAsia" w:ascii="宋体" w:hAnsi="宋体" w:eastAsia="宋体" w:cs="宋体"/>
                <w:color w:val="auto"/>
                <w:sz w:val="20"/>
                <w:szCs w:val="20"/>
                <w:highlight w:val="none"/>
                <w:u w:val="none"/>
                <w:lang w:val="en-US" w:eastAsia="zh-CN"/>
              </w:rPr>
              <w:t>定标委员会构成：</w:t>
            </w:r>
            <w:r>
              <w:rPr>
                <w:rFonts w:hint="eastAsia" w:ascii="宋体" w:hAnsi="宋体" w:eastAsia="宋体" w:cs="宋体"/>
                <w:color w:val="auto"/>
                <w:sz w:val="20"/>
                <w:szCs w:val="20"/>
                <w:highlight w:val="none"/>
                <w:u w:val="single"/>
                <w:lang w:val="en-US" w:eastAsia="zh-CN"/>
              </w:rPr>
              <w:t>7</w:t>
            </w:r>
            <w:r>
              <w:rPr>
                <w:rFonts w:hint="eastAsia" w:ascii="宋体" w:hAnsi="宋体" w:eastAsia="宋体" w:cs="宋体"/>
                <w:color w:val="auto"/>
                <w:sz w:val="20"/>
                <w:szCs w:val="20"/>
                <w:highlight w:val="none"/>
                <w:u w:val="none"/>
                <w:lang w:val="en-US" w:eastAsia="zh-CN"/>
              </w:rPr>
              <w:t>人。定标委员会由招标人组建，从招标人的领导班子成员、经营管理人员，或具备中级及以上职称、具有注册执业资格证的工程技术（经济）人员中产生，以上人员难以满足时从广东省综合评标评审专家库（全省区域）抽取专家补足。</w:t>
            </w:r>
          </w:p>
        </w:tc>
      </w:tr>
      <w:tr w14:paraId="1FF4A9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1013" w:type="dxa"/>
            <w:vAlign w:val="center"/>
          </w:tcPr>
          <w:p w14:paraId="1D5AE84D">
            <w:pPr>
              <w:keepNext w:val="0"/>
              <w:keepLines w:val="0"/>
              <w:pageBreakBefore w:val="0"/>
              <w:widowControl/>
              <w:kinsoku w:val="0"/>
              <w:wordWrap/>
              <w:overflowPunct/>
              <w:topLinePunct w:val="0"/>
              <w:autoSpaceDE w:val="0"/>
              <w:autoSpaceDN w:val="0"/>
              <w:bidi w:val="0"/>
              <w:adjustRightInd w:val="0"/>
              <w:snapToGrid w:val="0"/>
              <w:spacing w:line="340" w:lineRule="exact"/>
              <w:jc w:val="center"/>
              <w:rPr>
                <w:color w:val="auto"/>
                <w:position w:val="1"/>
                <w:highlight w:val="none"/>
              </w:rPr>
            </w:pPr>
            <w:r>
              <w:rPr>
                <w:rFonts w:hint="eastAsia" w:ascii="宋体" w:hAnsi="宋体" w:eastAsia="宋体" w:cs="宋体"/>
                <w:color w:val="auto"/>
                <w:sz w:val="20"/>
                <w:szCs w:val="20"/>
                <w:highlight w:val="none"/>
                <w:lang w:val="en-US" w:eastAsia="zh-CN"/>
              </w:rPr>
              <w:t>7.3.4.2</w:t>
            </w:r>
          </w:p>
        </w:tc>
        <w:tc>
          <w:tcPr>
            <w:tcW w:w="2877" w:type="dxa"/>
            <w:vAlign w:val="center"/>
          </w:tcPr>
          <w:p w14:paraId="777C4FCD">
            <w:pPr>
              <w:keepNext w:val="0"/>
              <w:keepLines w:val="0"/>
              <w:pageBreakBefore w:val="0"/>
              <w:widowControl/>
              <w:kinsoku w:val="0"/>
              <w:wordWrap/>
              <w:overflowPunct/>
              <w:topLinePunct w:val="0"/>
              <w:autoSpaceDE w:val="0"/>
              <w:autoSpaceDN w:val="0"/>
              <w:bidi w:val="0"/>
              <w:adjustRightInd w:val="0"/>
              <w:snapToGrid w:val="0"/>
              <w:spacing w:line="340" w:lineRule="exact"/>
              <w:jc w:val="center"/>
              <w:rPr>
                <w:color w:val="auto"/>
                <w:spacing w:val="4"/>
                <w:highlight w:val="none"/>
              </w:rPr>
            </w:pPr>
            <w:r>
              <w:rPr>
                <w:rFonts w:hint="eastAsia" w:ascii="宋体" w:hAnsi="宋体" w:eastAsia="宋体" w:cs="宋体"/>
                <w:color w:val="auto"/>
                <w:kern w:val="2"/>
                <w:sz w:val="20"/>
                <w:szCs w:val="20"/>
                <w:highlight w:val="none"/>
                <w:lang w:val="en-US" w:eastAsia="zh-CN" w:bidi="ar-SA"/>
              </w:rPr>
              <w:t>定标委员会推荐的中标候选人的人数</w:t>
            </w:r>
          </w:p>
        </w:tc>
        <w:tc>
          <w:tcPr>
            <w:tcW w:w="4891" w:type="dxa"/>
            <w:vAlign w:val="center"/>
          </w:tcPr>
          <w:p w14:paraId="2686F7D8">
            <w:pPr>
              <w:keepNext w:val="0"/>
              <w:keepLines w:val="0"/>
              <w:pageBreakBefore w:val="0"/>
              <w:widowControl/>
              <w:tabs>
                <w:tab w:val="left" w:pos="6060"/>
              </w:tabs>
              <w:kinsoku w:val="0"/>
              <w:wordWrap/>
              <w:overflowPunct/>
              <w:topLinePunct w:val="0"/>
              <w:autoSpaceDE w:val="0"/>
              <w:autoSpaceDN w:val="0"/>
              <w:bidi w:val="0"/>
              <w:adjustRightInd w:val="0"/>
              <w:snapToGrid w:val="0"/>
              <w:spacing w:line="360" w:lineRule="exact"/>
              <w:ind w:right="71" w:rightChars="34"/>
              <w:textAlignment w:val="baseline"/>
              <w:rPr>
                <w:rFonts w:hint="eastAsia"/>
                <w:color w:val="auto"/>
                <w:spacing w:val="-5"/>
                <w:highlight w:val="none"/>
                <w:lang w:eastAsia="zh-CN"/>
              </w:rPr>
            </w:pPr>
            <w:r>
              <w:rPr>
                <w:rFonts w:hint="eastAsia" w:ascii="宋体" w:hAnsi="宋体" w:eastAsia="宋体" w:cs="宋体"/>
                <w:color w:val="auto"/>
                <w:kern w:val="2"/>
                <w:sz w:val="20"/>
                <w:szCs w:val="20"/>
                <w:highlight w:val="none"/>
                <w:u w:val="none"/>
                <w:lang w:val="en-US" w:eastAsia="zh-CN" w:bidi="ar-SA"/>
              </w:rPr>
              <w:t xml:space="preserve">  </w:t>
            </w:r>
            <w:r>
              <w:rPr>
                <w:rFonts w:hint="eastAsia" w:ascii="宋体" w:hAnsi="宋体" w:eastAsia="宋体" w:cs="宋体"/>
                <w:color w:val="auto"/>
                <w:kern w:val="2"/>
                <w:sz w:val="20"/>
                <w:szCs w:val="20"/>
                <w:highlight w:val="none"/>
                <w:u w:val="single"/>
                <w:lang w:val="en-US" w:eastAsia="zh-CN" w:bidi="ar-SA"/>
              </w:rPr>
              <w:t xml:space="preserve"> 3  </w:t>
            </w:r>
            <w:r>
              <w:rPr>
                <w:rFonts w:hint="eastAsia" w:ascii="宋体" w:hAnsi="宋体" w:eastAsia="宋体" w:cs="宋体"/>
                <w:color w:val="auto"/>
                <w:kern w:val="2"/>
                <w:sz w:val="20"/>
                <w:szCs w:val="20"/>
                <w:highlight w:val="none"/>
                <w:u w:val="none"/>
                <w:lang w:val="en-US" w:eastAsia="zh-CN" w:bidi="ar-SA"/>
              </w:rPr>
              <w:t>名</w:t>
            </w:r>
          </w:p>
        </w:tc>
      </w:tr>
      <w:tr w14:paraId="37525B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1013" w:type="dxa"/>
            <w:shd w:val="clear" w:color="auto" w:fill="auto"/>
            <w:vAlign w:val="center"/>
          </w:tcPr>
          <w:p w14:paraId="0627C73C">
            <w:pPr>
              <w:keepNext w:val="0"/>
              <w:keepLines w:val="0"/>
              <w:pageBreakBefore w:val="0"/>
              <w:widowControl/>
              <w:kinsoku w:val="0"/>
              <w:wordWrap/>
              <w:overflowPunct/>
              <w:topLinePunct w:val="0"/>
              <w:autoSpaceDE w:val="0"/>
              <w:autoSpaceDN w:val="0"/>
              <w:bidi w:val="0"/>
              <w:adjustRightInd w:val="0"/>
              <w:snapToGrid w:val="0"/>
              <w:spacing w:line="340" w:lineRule="exact"/>
              <w:jc w:val="center"/>
              <w:rPr>
                <w:rFonts w:hint="default" w:ascii="宋体" w:hAnsi="宋体" w:eastAsia="宋体" w:cs="宋体"/>
                <w:snapToGrid w:val="0"/>
                <w:color w:val="auto"/>
                <w:kern w:val="0"/>
                <w:position w:val="1"/>
                <w:sz w:val="20"/>
                <w:szCs w:val="20"/>
                <w:highlight w:val="none"/>
                <w:lang w:val="en-US" w:eastAsia="zh-CN" w:bidi="ar-SA"/>
              </w:rPr>
            </w:pPr>
            <w:r>
              <w:rPr>
                <w:rFonts w:hint="eastAsia" w:ascii="宋体" w:hAnsi="宋体" w:eastAsia="宋体" w:cs="宋体"/>
                <w:color w:val="auto"/>
                <w:sz w:val="20"/>
                <w:szCs w:val="20"/>
                <w:highlight w:val="none"/>
                <w:lang w:val="en-US" w:eastAsia="zh-CN"/>
              </w:rPr>
              <w:t>7.4.1</w:t>
            </w:r>
          </w:p>
        </w:tc>
        <w:tc>
          <w:tcPr>
            <w:tcW w:w="2877" w:type="dxa"/>
            <w:shd w:val="clear" w:color="auto" w:fill="auto"/>
            <w:vAlign w:val="center"/>
          </w:tcPr>
          <w:p w14:paraId="7C733F9A">
            <w:pPr>
              <w:keepNext w:val="0"/>
              <w:keepLines w:val="0"/>
              <w:pageBreakBefore w:val="0"/>
              <w:widowControl/>
              <w:kinsoku w:val="0"/>
              <w:wordWrap/>
              <w:overflowPunct/>
              <w:topLinePunct w:val="0"/>
              <w:autoSpaceDE w:val="0"/>
              <w:autoSpaceDN w:val="0"/>
              <w:bidi w:val="0"/>
              <w:adjustRightInd w:val="0"/>
              <w:snapToGrid w:val="0"/>
              <w:spacing w:line="340" w:lineRule="exact"/>
              <w:jc w:val="center"/>
              <w:rPr>
                <w:rFonts w:hint="default" w:ascii="宋体" w:hAnsi="宋体" w:eastAsia="宋体" w:cs="宋体"/>
                <w:snapToGrid w:val="0"/>
                <w:color w:val="auto"/>
                <w:spacing w:val="4"/>
                <w:kern w:val="0"/>
                <w:sz w:val="20"/>
                <w:szCs w:val="20"/>
                <w:highlight w:val="none"/>
                <w:lang w:val="en-US" w:eastAsia="zh-CN" w:bidi="ar-SA"/>
              </w:rPr>
            </w:pPr>
            <w:r>
              <w:rPr>
                <w:rFonts w:hint="eastAsia" w:ascii="宋体" w:hAnsi="宋体" w:eastAsia="宋体" w:cs="宋体"/>
                <w:color w:val="auto"/>
                <w:sz w:val="20"/>
                <w:szCs w:val="20"/>
                <w:highlight w:val="none"/>
                <w:lang w:val="en-US" w:eastAsia="zh-CN"/>
              </w:rPr>
              <w:t>定</w:t>
            </w:r>
            <w:r>
              <w:rPr>
                <w:rFonts w:hint="eastAsia" w:ascii="宋体" w:hAnsi="宋体" w:eastAsia="宋体" w:cs="宋体"/>
                <w:color w:val="auto"/>
                <w:sz w:val="20"/>
                <w:szCs w:val="20"/>
                <w:highlight w:val="none"/>
              </w:rPr>
              <w:t>标</w:t>
            </w:r>
            <w:r>
              <w:rPr>
                <w:rFonts w:hint="eastAsia" w:ascii="宋体" w:hAnsi="宋体" w:eastAsia="宋体" w:cs="宋体"/>
                <w:color w:val="auto"/>
                <w:sz w:val="20"/>
                <w:szCs w:val="20"/>
                <w:highlight w:val="none"/>
                <w:lang w:eastAsia="zh-CN"/>
              </w:rPr>
              <w:t>结果</w:t>
            </w:r>
            <w:r>
              <w:rPr>
                <w:rFonts w:hint="eastAsia" w:ascii="宋体" w:hAnsi="宋体" w:eastAsia="宋体" w:cs="宋体"/>
                <w:color w:val="auto"/>
                <w:sz w:val="20"/>
                <w:szCs w:val="20"/>
                <w:highlight w:val="none"/>
              </w:rPr>
              <w:t>公示媒介及期限</w:t>
            </w:r>
          </w:p>
        </w:tc>
        <w:tc>
          <w:tcPr>
            <w:tcW w:w="4891" w:type="dxa"/>
            <w:shd w:val="clear" w:color="auto" w:fill="auto"/>
            <w:vAlign w:val="center"/>
          </w:tcPr>
          <w:p w14:paraId="2EE26DD1">
            <w:pPr>
              <w:keepNext w:val="0"/>
              <w:keepLines w:val="0"/>
              <w:pageBreakBefore w:val="0"/>
              <w:widowControl/>
              <w:tabs>
                <w:tab w:val="left" w:pos="6100"/>
              </w:tabs>
              <w:kinsoku w:val="0"/>
              <w:wordWrap/>
              <w:overflowPunct/>
              <w:topLinePunct w:val="0"/>
              <w:autoSpaceDE w:val="0"/>
              <w:autoSpaceDN w:val="0"/>
              <w:bidi w:val="0"/>
              <w:adjustRightInd w:val="0"/>
              <w:snapToGrid w:val="0"/>
              <w:spacing w:line="360" w:lineRule="exact"/>
              <w:ind w:left="147" w:leftChars="70"/>
              <w:jc w:val="left"/>
              <w:textAlignment w:val="baseline"/>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公示媒介：广东省招标投标监管网、全国公共资源交易平台（广东省·韶关市）</w:t>
            </w:r>
          </w:p>
          <w:p w14:paraId="0F1B96F9">
            <w:pPr>
              <w:keepNext w:val="0"/>
              <w:keepLines w:val="0"/>
              <w:pageBreakBefore w:val="0"/>
              <w:widowControl/>
              <w:tabs>
                <w:tab w:val="left" w:pos="6100"/>
              </w:tabs>
              <w:kinsoku w:val="0"/>
              <w:wordWrap/>
              <w:overflowPunct/>
              <w:topLinePunct w:val="0"/>
              <w:autoSpaceDE w:val="0"/>
              <w:autoSpaceDN w:val="0"/>
              <w:bidi w:val="0"/>
              <w:adjustRightInd w:val="0"/>
              <w:snapToGrid w:val="0"/>
              <w:spacing w:line="360" w:lineRule="exact"/>
              <w:ind w:left="147" w:leftChars="70"/>
              <w:textAlignment w:val="baseline"/>
              <w:rPr>
                <w:rFonts w:hint="default" w:ascii="宋体" w:hAnsi="宋体" w:eastAsia="宋体" w:cs="宋体"/>
                <w:snapToGrid w:val="0"/>
                <w:color w:val="auto"/>
                <w:spacing w:val="-5"/>
                <w:kern w:val="0"/>
                <w:sz w:val="20"/>
                <w:szCs w:val="20"/>
                <w:highlight w:val="none"/>
                <w:lang w:val="en-US" w:eastAsia="zh-CN" w:bidi="ar-SA"/>
              </w:rPr>
            </w:pPr>
            <w:r>
              <w:rPr>
                <w:rFonts w:hint="eastAsia" w:ascii="宋体" w:hAnsi="宋体" w:eastAsia="宋体" w:cs="宋体"/>
                <w:color w:val="auto"/>
                <w:sz w:val="20"/>
                <w:szCs w:val="20"/>
                <w:highlight w:val="none"/>
              </w:rPr>
              <w:t>公示期限：</w:t>
            </w:r>
            <w:r>
              <w:rPr>
                <w:rFonts w:hint="eastAsia" w:ascii="宋体" w:hAnsi="宋体" w:eastAsia="宋体" w:cs="宋体"/>
                <w:color w:val="auto"/>
                <w:sz w:val="20"/>
                <w:szCs w:val="20"/>
                <w:highlight w:val="none"/>
                <w:u w:val="single"/>
              </w:rPr>
              <w:t xml:space="preserve"> 3 </w:t>
            </w:r>
            <w:r>
              <w:rPr>
                <w:rFonts w:hint="eastAsia" w:ascii="宋体" w:hAnsi="宋体" w:eastAsia="宋体" w:cs="宋体"/>
                <w:color w:val="auto"/>
                <w:sz w:val="20"/>
                <w:szCs w:val="20"/>
                <w:highlight w:val="none"/>
              </w:rPr>
              <w:t>日</w:t>
            </w:r>
          </w:p>
        </w:tc>
      </w:tr>
      <w:tr w14:paraId="34657C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1013" w:type="dxa"/>
            <w:vAlign w:val="center"/>
          </w:tcPr>
          <w:p w14:paraId="3CBDC62F">
            <w:pPr>
              <w:pStyle w:val="18"/>
              <w:keepNext w:val="0"/>
              <w:keepLines w:val="0"/>
              <w:pageBreakBefore w:val="0"/>
              <w:widowControl/>
              <w:kinsoku w:val="0"/>
              <w:wordWrap/>
              <w:overflowPunct/>
              <w:topLinePunct w:val="0"/>
              <w:autoSpaceDE w:val="0"/>
              <w:autoSpaceDN w:val="0"/>
              <w:bidi w:val="0"/>
              <w:adjustRightInd w:val="0"/>
              <w:snapToGrid w:val="0"/>
              <w:spacing w:line="340" w:lineRule="exact"/>
              <w:ind w:left="0" w:leftChars="0" w:right="0" w:rightChars="0"/>
              <w:jc w:val="center"/>
              <w:textAlignment w:val="baseline"/>
              <w:rPr>
                <w:color w:val="auto"/>
                <w:highlight w:val="none"/>
              </w:rPr>
            </w:pPr>
            <w:r>
              <w:rPr>
                <w:color w:val="auto"/>
                <w:position w:val="1"/>
                <w:highlight w:val="none"/>
              </w:rPr>
              <w:t>7.</w:t>
            </w:r>
            <w:r>
              <w:rPr>
                <w:rFonts w:hint="eastAsia"/>
                <w:color w:val="auto"/>
                <w:position w:val="1"/>
                <w:highlight w:val="none"/>
                <w:lang w:val="en-US" w:eastAsia="zh-CN"/>
              </w:rPr>
              <w:t>6</w:t>
            </w:r>
          </w:p>
        </w:tc>
        <w:tc>
          <w:tcPr>
            <w:tcW w:w="2877" w:type="dxa"/>
            <w:vAlign w:val="center"/>
          </w:tcPr>
          <w:p w14:paraId="130BDFA3">
            <w:pPr>
              <w:pStyle w:val="18"/>
              <w:keepNext w:val="0"/>
              <w:keepLines w:val="0"/>
              <w:pageBreakBefore w:val="0"/>
              <w:widowControl/>
              <w:kinsoku w:val="0"/>
              <w:wordWrap/>
              <w:overflowPunct/>
              <w:topLinePunct w:val="0"/>
              <w:autoSpaceDE w:val="0"/>
              <w:autoSpaceDN w:val="0"/>
              <w:bidi w:val="0"/>
              <w:adjustRightInd w:val="0"/>
              <w:snapToGrid w:val="0"/>
              <w:spacing w:line="340" w:lineRule="exact"/>
              <w:ind w:left="0" w:leftChars="0" w:right="0" w:rightChars="0" w:firstLine="0" w:firstLineChars="0"/>
              <w:jc w:val="center"/>
              <w:textAlignment w:val="baseline"/>
              <w:rPr>
                <w:color w:val="auto"/>
                <w:highlight w:val="none"/>
              </w:rPr>
            </w:pPr>
            <w:r>
              <w:rPr>
                <w:color w:val="auto"/>
                <w:spacing w:val="7"/>
                <w:highlight w:val="none"/>
              </w:rPr>
              <w:t>中标通知书和中标结果通知发出的形式</w:t>
            </w:r>
          </w:p>
        </w:tc>
        <w:tc>
          <w:tcPr>
            <w:tcW w:w="4891" w:type="dxa"/>
            <w:vAlign w:val="center"/>
          </w:tcPr>
          <w:p w14:paraId="6EC40E17">
            <w:pPr>
              <w:pStyle w:val="18"/>
              <w:keepNext w:val="0"/>
              <w:keepLines w:val="0"/>
              <w:pageBreakBefore w:val="0"/>
              <w:widowControl/>
              <w:kinsoku w:val="0"/>
              <w:wordWrap/>
              <w:overflowPunct/>
              <w:topLinePunct w:val="0"/>
              <w:autoSpaceDE w:val="0"/>
              <w:autoSpaceDN w:val="0"/>
              <w:bidi w:val="0"/>
              <w:adjustRightInd w:val="0"/>
              <w:snapToGrid w:val="0"/>
              <w:spacing w:line="360" w:lineRule="exact"/>
              <w:ind w:left="105" w:leftChars="50" w:right="6" w:rightChars="0" w:firstLine="18" w:firstLineChars="0"/>
              <w:jc w:val="both"/>
              <w:textAlignment w:val="baseline"/>
              <w:rPr>
                <w:color w:val="auto"/>
                <w:highlight w:val="none"/>
              </w:rPr>
            </w:pPr>
            <w:r>
              <w:rPr>
                <w:color w:val="auto"/>
                <w:spacing w:val="9"/>
                <w:highlight w:val="none"/>
              </w:rPr>
              <w:t>中标通知书以书</w:t>
            </w:r>
            <w:r>
              <w:rPr>
                <w:rFonts w:ascii="宋体" w:hAnsi="宋体" w:eastAsia="宋体" w:cs="宋体"/>
                <w:color w:val="auto"/>
                <w:spacing w:val="14"/>
                <w:highlight w:val="none"/>
              </w:rPr>
              <w:t xml:space="preserve">面或电子形式发出； 中标结果在广东省招标投标监管网及 </w:t>
            </w:r>
            <w:r>
              <w:rPr>
                <w:rFonts w:hint="eastAsia" w:ascii="宋体" w:hAnsi="宋体" w:eastAsia="宋体" w:cs="宋体"/>
                <w:color w:val="auto"/>
                <w:spacing w:val="14"/>
                <w:highlight w:val="none"/>
              </w:rPr>
              <w:t>全国公共资源交易平台（广东省·韶关市）</w:t>
            </w:r>
            <w:r>
              <w:rPr>
                <w:rFonts w:ascii="宋体" w:hAnsi="宋体" w:eastAsia="宋体" w:cs="宋体"/>
                <w:color w:val="auto"/>
                <w:spacing w:val="14"/>
                <w:highlight w:val="none"/>
              </w:rPr>
              <w:t>网站发布。</w:t>
            </w:r>
          </w:p>
        </w:tc>
      </w:tr>
      <w:tr w14:paraId="6D1248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9" w:hRule="atLeast"/>
        </w:trPr>
        <w:tc>
          <w:tcPr>
            <w:tcW w:w="1013" w:type="dxa"/>
            <w:vAlign w:val="top"/>
          </w:tcPr>
          <w:p w14:paraId="60DFBFCF">
            <w:pPr>
              <w:spacing w:line="477" w:lineRule="auto"/>
              <w:rPr>
                <w:rFonts w:ascii="Arial"/>
                <w:color w:val="auto"/>
                <w:sz w:val="21"/>
                <w:highlight w:val="none"/>
              </w:rPr>
            </w:pPr>
          </w:p>
          <w:p w14:paraId="2961447A">
            <w:pPr>
              <w:pStyle w:val="18"/>
              <w:spacing w:before="65" w:line="268" w:lineRule="exact"/>
              <w:ind w:left="359"/>
              <w:rPr>
                <w:rFonts w:hint="eastAsia" w:eastAsia="宋体"/>
                <w:color w:val="auto"/>
                <w:highlight w:val="none"/>
                <w:lang w:eastAsia="zh-CN"/>
              </w:rPr>
            </w:pPr>
            <w:r>
              <w:rPr>
                <w:color w:val="auto"/>
                <w:position w:val="1"/>
                <w:highlight w:val="none"/>
              </w:rPr>
              <w:t>7.</w:t>
            </w:r>
            <w:r>
              <w:rPr>
                <w:rFonts w:hint="eastAsia"/>
                <w:color w:val="auto"/>
                <w:position w:val="1"/>
                <w:highlight w:val="none"/>
                <w:lang w:val="en-US" w:eastAsia="zh-CN"/>
              </w:rPr>
              <w:t>7</w:t>
            </w:r>
          </w:p>
        </w:tc>
        <w:tc>
          <w:tcPr>
            <w:tcW w:w="2877" w:type="dxa"/>
            <w:vAlign w:val="top"/>
          </w:tcPr>
          <w:p w14:paraId="7A317E34">
            <w:pPr>
              <w:spacing w:line="478" w:lineRule="auto"/>
              <w:rPr>
                <w:rFonts w:ascii="Arial"/>
                <w:color w:val="auto"/>
                <w:sz w:val="21"/>
                <w:highlight w:val="none"/>
              </w:rPr>
            </w:pPr>
          </w:p>
          <w:p w14:paraId="705F5C08">
            <w:pPr>
              <w:pStyle w:val="18"/>
              <w:spacing w:before="65" w:line="226" w:lineRule="auto"/>
              <w:ind w:left="307"/>
              <w:rPr>
                <w:color w:val="auto"/>
                <w:highlight w:val="none"/>
              </w:rPr>
            </w:pPr>
            <w:r>
              <w:rPr>
                <w:color w:val="auto"/>
                <w:spacing w:val="7"/>
                <w:highlight w:val="none"/>
              </w:rPr>
              <w:t>中标结果公告媒介及期限</w:t>
            </w:r>
          </w:p>
        </w:tc>
        <w:tc>
          <w:tcPr>
            <w:tcW w:w="4891" w:type="dxa"/>
            <w:vAlign w:val="top"/>
          </w:tcPr>
          <w:p w14:paraId="45F20374">
            <w:pPr>
              <w:pStyle w:val="18"/>
              <w:spacing w:before="144" w:line="369" w:lineRule="auto"/>
              <w:ind w:left="112" w:right="108" w:firstLine="7"/>
              <w:rPr>
                <w:color w:val="auto"/>
                <w:highlight w:val="none"/>
              </w:rPr>
            </w:pPr>
            <w:r>
              <w:rPr>
                <w:color w:val="auto"/>
                <w:spacing w:val="15"/>
                <w:highlight w:val="none"/>
              </w:rPr>
              <w:t>公告媒介：广东省招标投标监管网、</w:t>
            </w:r>
            <w:r>
              <w:rPr>
                <w:rFonts w:hint="eastAsia" w:ascii="宋体" w:hAnsi="宋体" w:eastAsia="宋体" w:cs="宋体"/>
                <w:color w:val="auto"/>
                <w:spacing w:val="14"/>
                <w:highlight w:val="none"/>
              </w:rPr>
              <w:t>全国公共资源交易平台（广东省·韶关市）</w:t>
            </w:r>
            <w:r>
              <w:rPr>
                <w:rFonts w:ascii="宋体" w:hAnsi="宋体" w:eastAsia="宋体" w:cs="宋体"/>
                <w:color w:val="auto"/>
                <w:spacing w:val="14"/>
                <w:highlight w:val="none"/>
              </w:rPr>
              <w:t>网站</w:t>
            </w:r>
          </w:p>
          <w:p w14:paraId="16106F02">
            <w:pPr>
              <w:pStyle w:val="18"/>
              <w:spacing w:line="226" w:lineRule="auto"/>
              <w:ind w:left="119"/>
              <w:rPr>
                <w:color w:val="auto"/>
                <w:highlight w:val="none"/>
              </w:rPr>
            </w:pPr>
            <w:r>
              <w:rPr>
                <w:color w:val="auto"/>
                <w:spacing w:val="5"/>
                <w:highlight w:val="none"/>
              </w:rPr>
              <w:t>公告期限：</w:t>
            </w:r>
            <w:r>
              <w:rPr>
                <w:color w:val="auto"/>
                <w:spacing w:val="5"/>
                <w:highlight w:val="none"/>
                <w:u w:val="single" w:color="auto"/>
              </w:rPr>
              <w:t xml:space="preserve"> </w:t>
            </w:r>
            <w:r>
              <w:rPr>
                <w:rFonts w:hint="eastAsia"/>
                <w:color w:val="auto"/>
                <w:spacing w:val="5"/>
                <w:highlight w:val="none"/>
                <w:u w:val="single" w:color="auto"/>
                <w:lang w:val="en-US" w:eastAsia="zh-CN"/>
              </w:rPr>
              <w:t>1</w:t>
            </w:r>
            <w:r>
              <w:rPr>
                <w:color w:val="auto"/>
                <w:spacing w:val="5"/>
                <w:highlight w:val="none"/>
                <w:u w:val="single" w:color="auto"/>
              </w:rPr>
              <w:t xml:space="preserve"> </w:t>
            </w:r>
            <w:r>
              <w:rPr>
                <w:color w:val="auto"/>
                <w:spacing w:val="-51"/>
                <w:highlight w:val="none"/>
              </w:rPr>
              <w:t xml:space="preserve"> </w:t>
            </w:r>
            <w:r>
              <w:rPr>
                <w:color w:val="auto"/>
                <w:spacing w:val="5"/>
                <w:highlight w:val="none"/>
              </w:rPr>
              <w:t>日</w:t>
            </w:r>
          </w:p>
        </w:tc>
      </w:tr>
    </w:tbl>
    <w:p w14:paraId="5963538C">
      <w:pPr>
        <w:spacing w:line="243" w:lineRule="auto"/>
        <w:rPr>
          <w:rFonts w:ascii="Arial"/>
          <w:color w:val="auto"/>
          <w:sz w:val="21"/>
          <w:highlight w:val="none"/>
        </w:rPr>
      </w:pPr>
    </w:p>
    <w:p w14:paraId="45500969">
      <w:pPr>
        <w:spacing w:line="243" w:lineRule="auto"/>
        <w:rPr>
          <w:rFonts w:ascii="Arial"/>
          <w:color w:val="auto"/>
          <w:sz w:val="21"/>
          <w:highlight w:val="none"/>
        </w:rPr>
      </w:pPr>
    </w:p>
    <w:p w14:paraId="38F9E2DD">
      <w:pPr>
        <w:spacing w:line="243" w:lineRule="auto"/>
        <w:rPr>
          <w:rFonts w:ascii="Arial"/>
          <w:color w:val="auto"/>
          <w:sz w:val="21"/>
          <w:highlight w:val="none"/>
        </w:rPr>
      </w:pPr>
    </w:p>
    <w:p w14:paraId="2E3EBAE3">
      <w:pPr>
        <w:spacing w:line="243" w:lineRule="auto"/>
        <w:rPr>
          <w:rFonts w:ascii="Arial"/>
          <w:color w:val="auto"/>
          <w:sz w:val="21"/>
          <w:highlight w:val="none"/>
        </w:rPr>
      </w:pPr>
    </w:p>
    <w:p w14:paraId="2F3F5F2F">
      <w:pPr>
        <w:spacing w:line="229" w:lineRule="auto"/>
        <w:rPr>
          <w:rFonts w:ascii="宋体" w:hAnsi="宋体" w:eastAsia="宋体" w:cs="宋体"/>
          <w:color w:val="auto"/>
          <w:sz w:val="18"/>
          <w:szCs w:val="18"/>
          <w:highlight w:val="none"/>
        </w:rPr>
        <w:sectPr>
          <w:footerReference r:id="rId17" w:type="default"/>
          <w:pgSz w:w="11906" w:h="16839"/>
          <w:pgMar w:top="1416" w:right="1295" w:bottom="1297" w:left="1304" w:header="0" w:footer="1067" w:gutter="0"/>
          <w:pgNumType w:fmt="decimal"/>
          <w:cols w:space="720" w:num="1"/>
        </w:sectPr>
      </w:pPr>
      <w:bookmarkStart w:id="36" w:name="bookmark65"/>
      <w:bookmarkEnd w:id="36"/>
      <w:bookmarkStart w:id="37" w:name="bookmark64"/>
      <w:bookmarkEnd w:id="37"/>
    </w:p>
    <w:tbl>
      <w:tblPr>
        <w:tblStyle w:val="17"/>
        <w:tblW w:w="878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13"/>
        <w:gridCol w:w="2877"/>
        <w:gridCol w:w="4891"/>
      </w:tblGrid>
      <w:tr w14:paraId="6AD4E0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7" w:hRule="atLeast"/>
        </w:trPr>
        <w:tc>
          <w:tcPr>
            <w:tcW w:w="1013" w:type="dxa"/>
            <w:vAlign w:val="top"/>
          </w:tcPr>
          <w:p w14:paraId="76CCBED3">
            <w:pPr>
              <w:spacing w:line="260" w:lineRule="auto"/>
              <w:rPr>
                <w:rFonts w:ascii="Arial"/>
                <w:color w:val="auto"/>
                <w:sz w:val="21"/>
                <w:highlight w:val="none"/>
              </w:rPr>
            </w:pPr>
          </w:p>
          <w:p w14:paraId="786640E3">
            <w:pPr>
              <w:spacing w:line="260" w:lineRule="auto"/>
              <w:rPr>
                <w:rFonts w:ascii="Arial"/>
                <w:color w:val="auto"/>
                <w:sz w:val="21"/>
                <w:highlight w:val="none"/>
              </w:rPr>
            </w:pPr>
          </w:p>
          <w:p w14:paraId="3308CFCD">
            <w:pPr>
              <w:spacing w:line="260" w:lineRule="auto"/>
              <w:rPr>
                <w:rFonts w:ascii="Arial"/>
                <w:color w:val="auto"/>
                <w:sz w:val="21"/>
                <w:highlight w:val="none"/>
              </w:rPr>
            </w:pPr>
          </w:p>
          <w:p w14:paraId="276160B1">
            <w:pPr>
              <w:spacing w:line="260" w:lineRule="auto"/>
              <w:rPr>
                <w:rFonts w:ascii="Arial"/>
                <w:color w:val="auto"/>
                <w:sz w:val="21"/>
                <w:highlight w:val="none"/>
              </w:rPr>
            </w:pPr>
          </w:p>
          <w:p w14:paraId="5560E2F6">
            <w:pPr>
              <w:spacing w:line="260" w:lineRule="auto"/>
              <w:rPr>
                <w:rFonts w:ascii="Arial"/>
                <w:color w:val="auto"/>
                <w:sz w:val="21"/>
                <w:highlight w:val="none"/>
              </w:rPr>
            </w:pPr>
          </w:p>
          <w:p w14:paraId="63CE0698">
            <w:pPr>
              <w:spacing w:line="260" w:lineRule="auto"/>
              <w:rPr>
                <w:rFonts w:ascii="Arial"/>
                <w:color w:val="auto"/>
                <w:sz w:val="21"/>
                <w:highlight w:val="none"/>
              </w:rPr>
            </w:pPr>
          </w:p>
          <w:p w14:paraId="362815F8">
            <w:pPr>
              <w:spacing w:line="260" w:lineRule="auto"/>
              <w:rPr>
                <w:rFonts w:ascii="Arial"/>
                <w:color w:val="auto"/>
                <w:sz w:val="21"/>
                <w:highlight w:val="none"/>
              </w:rPr>
            </w:pPr>
          </w:p>
          <w:p w14:paraId="5C8E28F7">
            <w:pPr>
              <w:spacing w:line="260" w:lineRule="auto"/>
              <w:rPr>
                <w:rFonts w:ascii="Arial"/>
                <w:color w:val="auto"/>
                <w:sz w:val="21"/>
                <w:highlight w:val="none"/>
              </w:rPr>
            </w:pPr>
          </w:p>
          <w:p w14:paraId="4A38FA69">
            <w:pPr>
              <w:spacing w:line="260" w:lineRule="auto"/>
              <w:rPr>
                <w:rFonts w:ascii="Arial"/>
                <w:color w:val="auto"/>
                <w:sz w:val="21"/>
                <w:highlight w:val="none"/>
              </w:rPr>
            </w:pPr>
          </w:p>
          <w:p w14:paraId="6B2A808E">
            <w:pPr>
              <w:spacing w:line="261" w:lineRule="auto"/>
              <w:rPr>
                <w:rFonts w:ascii="Arial"/>
                <w:color w:val="auto"/>
                <w:sz w:val="21"/>
                <w:highlight w:val="none"/>
              </w:rPr>
            </w:pPr>
          </w:p>
          <w:p w14:paraId="4E17578D">
            <w:pPr>
              <w:spacing w:line="261" w:lineRule="auto"/>
              <w:rPr>
                <w:rFonts w:ascii="Arial"/>
                <w:color w:val="auto"/>
                <w:sz w:val="21"/>
                <w:highlight w:val="none"/>
              </w:rPr>
            </w:pPr>
          </w:p>
          <w:p w14:paraId="0C49B5A2">
            <w:pPr>
              <w:pStyle w:val="18"/>
              <w:spacing w:before="65" w:line="268" w:lineRule="exact"/>
              <w:ind w:left="254"/>
              <w:rPr>
                <w:color w:val="auto"/>
                <w:highlight w:val="none"/>
              </w:rPr>
            </w:pPr>
            <w:r>
              <w:rPr>
                <w:color w:val="auto"/>
                <w:spacing w:val="2"/>
                <w:position w:val="1"/>
                <w:highlight w:val="none"/>
              </w:rPr>
              <w:t>7.</w:t>
            </w:r>
            <w:r>
              <w:rPr>
                <w:rFonts w:hint="eastAsia"/>
                <w:color w:val="auto"/>
                <w:spacing w:val="2"/>
                <w:position w:val="1"/>
                <w:highlight w:val="none"/>
                <w:lang w:val="en-US" w:eastAsia="zh-CN"/>
              </w:rPr>
              <w:t>8</w:t>
            </w:r>
            <w:r>
              <w:rPr>
                <w:color w:val="auto"/>
                <w:spacing w:val="2"/>
                <w:position w:val="1"/>
                <w:highlight w:val="none"/>
              </w:rPr>
              <w:t>.1</w:t>
            </w:r>
          </w:p>
        </w:tc>
        <w:tc>
          <w:tcPr>
            <w:tcW w:w="2877" w:type="dxa"/>
            <w:vAlign w:val="top"/>
          </w:tcPr>
          <w:p w14:paraId="47334EBB">
            <w:pPr>
              <w:spacing w:line="260" w:lineRule="auto"/>
              <w:rPr>
                <w:rFonts w:ascii="Arial"/>
                <w:color w:val="auto"/>
                <w:sz w:val="21"/>
                <w:highlight w:val="none"/>
              </w:rPr>
            </w:pPr>
          </w:p>
          <w:p w14:paraId="0413096E">
            <w:pPr>
              <w:spacing w:line="260" w:lineRule="auto"/>
              <w:rPr>
                <w:rFonts w:ascii="Arial"/>
                <w:color w:val="auto"/>
                <w:sz w:val="21"/>
                <w:highlight w:val="none"/>
              </w:rPr>
            </w:pPr>
          </w:p>
          <w:p w14:paraId="3EB65161">
            <w:pPr>
              <w:spacing w:line="260" w:lineRule="auto"/>
              <w:rPr>
                <w:rFonts w:ascii="Arial"/>
                <w:color w:val="auto"/>
                <w:sz w:val="21"/>
                <w:highlight w:val="none"/>
              </w:rPr>
            </w:pPr>
          </w:p>
          <w:p w14:paraId="6E020B31">
            <w:pPr>
              <w:spacing w:line="260" w:lineRule="auto"/>
              <w:rPr>
                <w:rFonts w:ascii="Arial"/>
                <w:color w:val="auto"/>
                <w:sz w:val="21"/>
                <w:highlight w:val="none"/>
              </w:rPr>
            </w:pPr>
          </w:p>
          <w:p w14:paraId="4B8F1635">
            <w:pPr>
              <w:spacing w:line="260" w:lineRule="auto"/>
              <w:rPr>
                <w:rFonts w:ascii="Arial"/>
                <w:color w:val="auto"/>
                <w:sz w:val="21"/>
                <w:highlight w:val="none"/>
              </w:rPr>
            </w:pPr>
          </w:p>
          <w:p w14:paraId="7D1D35DC">
            <w:pPr>
              <w:spacing w:line="260" w:lineRule="auto"/>
              <w:rPr>
                <w:rFonts w:ascii="Arial"/>
                <w:color w:val="auto"/>
                <w:sz w:val="21"/>
                <w:highlight w:val="none"/>
              </w:rPr>
            </w:pPr>
          </w:p>
          <w:p w14:paraId="773D665F">
            <w:pPr>
              <w:spacing w:line="260" w:lineRule="auto"/>
              <w:rPr>
                <w:rFonts w:ascii="Arial"/>
                <w:color w:val="auto"/>
                <w:sz w:val="21"/>
                <w:highlight w:val="none"/>
              </w:rPr>
            </w:pPr>
          </w:p>
          <w:p w14:paraId="561E5774">
            <w:pPr>
              <w:spacing w:line="260" w:lineRule="auto"/>
              <w:rPr>
                <w:rFonts w:ascii="Arial"/>
                <w:color w:val="auto"/>
                <w:sz w:val="21"/>
                <w:highlight w:val="none"/>
              </w:rPr>
            </w:pPr>
          </w:p>
          <w:p w14:paraId="4B727F76">
            <w:pPr>
              <w:spacing w:line="260" w:lineRule="auto"/>
              <w:rPr>
                <w:rFonts w:ascii="Arial"/>
                <w:color w:val="auto"/>
                <w:sz w:val="21"/>
                <w:highlight w:val="none"/>
              </w:rPr>
            </w:pPr>
          </w:p>
          <w:p w14:paraId="174F18F5">
            <w:pPr>
              <w:spacing w:line="261" w:lineRule="auto"/>
              <w:rPr>
                <w:rFonts w:ascii="Arial"/>
                <w:color w:val="auto"/>
                <w:sz w:val="21"/>
                <w:highlight w:val="none"/>
              </w:rPr>
            </w:pPr>
          </w:p>
          <w:p w14:paraId="75ED0979">
            <w:pPr>
              <w:spacing w:line="261" w:lineRule="auto"/>
              <w:rPr>
                <w:rFonts w:ascii="Arial"/>
                <w:color w:val="auto"/>
                <w:sz w:val="21"/>
                <w:highlight w:val="none"/>
              </w:rPr>
            </w:pPr>
          </w:p>
          <w:p w14:paraId="79DCD405">
            <w:pPr>
              <w:pStyle w:val="18"/>
              <w:spacing w:before="65" w:line="228" w:lineRule="auto"/>
              <w:ind w:left="922"/>
              <w:rPr>
                <w:color w:val="auto"/>
                <w:highlight w:val="none"/>
              </w:rPr>
            </w:pPr>
            <w:r>
              <w:rPr>
                <w:color w:val="auto"/>
                <w:spacing w:val="7"/>
                <w:highlight w:val="none"/>
              </w:rPr>
              <w:t>履约保证金</w:t>
            </w:r>
          </w:p>
        </w:tc>
        <w:tc>
          <w:tcPr>
            <w:tcW w:w="4891" w:type="dxa"/>
            <w:vAlign w:val="top"/>
          </w:tcPr>
          <w:p w14:paraId="7565993C">
            <w:pPr>
              <w:pStyle w:val="18"/>
              <w:spacing w:before="144" w:line="228" w:lineRule="auto"/>
              <w:ind w:left="116"/>
              <w:rPr>
                <w:color w:val="auto"/>
                <w:highlight w:val="none"/>
              </w:rPr>
            </w:pPr>
            <w:r>
              <w:rPr>
                <w:color w:val="auto"/>
                <w:spacing w:val="8"/>
                <w:highlight w:val="none"/>
              </w:rPr>
              <w:t>是否要求中标人提交履约保证金：</w:t>
            </w:r>
          </w:p>
          <w:p w14:paraId="2AD20BA9">
            <w:pPr>
              <w:pStyle w:val="18"/>
              <w:spacing w:before="154" w:line="337" w:lineRule="auto"/>
              <w:ind w:left="114" w:right="108" w:firstLine="19"/>
              <w:rPr>
                <w:color w:val="auto"/>
                <w:spacing w:val="9"/>
                <w:highlight w:val="none"/>
                <w:u w:val="single" w:color="auto"/>
              </w:rPr>
            </w:pPr>
            <w:r>
              <w:rPr>
                <w:rFonts w:hint="eastAsia"/>
                <w:color w:val="auto"/>
                <w:spacing w:val="8"/>
                <w:highlight w:val="none"/>
                <w:lang w:eastAsia="zh-CN"/>
              </w:rPr>
              <w:t>☑</w:t>
            </w:r>
            <w:r>
              <w:rPr>
                <w:color w:val="auto"/>
                <w:spacing w:val="8"/>
                <w:highlight w:val="none"/>
              </w:rPr>
              <w:t>要求，履约保证金的形式：</w:t>
            </w:r>
            <w:r>
              <w:rPr>
                <w:color w:val="auto"/>
                <w:spacing w:val="-34"/>
                <w:highlight w:val="none"/>
              </w:rPr>
              <w:t xml:space="preserve"> </w:t>
            </w:r>
            <w:r>
              <w:rPr>
                <w:color w:val="auto"/>
                <w:spacing w:val="8"/>
                <w:highlight w:val="none"/>
              </w:rPr>
              <w:t>由投标人自主选择</w:t>
            </w:r>
            <w:r>
              <w:rPr>
                <w:color w:val="auto"/>
                <w:spacing w:val="8"/>
                <w:highlight w:val="none"/>
                <w:u w:val="single" w:color="auto"/>
              </w:rPr>
              <w:t>采</w:t>
            </w:r>
            <w:r>
              <w:rPr>
                <w:color w:val="auto"/>
                <w:spacing w:val="9"/>
                <w:highlight w:val="none"/>
                <w:u w:val="single" w:color="auto"/>
              </w:rPr>
              <w:t>用现金（或支票）或银行保函、或其他合法形式</w:t>
            </w:r>
          </w:p>
          <w:p w14:paraId="166B1436">
            <w:pPr>
              <w:pStyle w:val="18"/>
              <w:spacing w:before="154" w:line="337" w:lineRule="auto"/>
              <w:ind w:left="114" w:right="108" w:firstLine="19"/>
              <w:rPr>
                <w:color w:val="auto"/>
                <w:highlight w:val="none"/>
              </w:rPr>
            </w:pPr>
            <w:r>
              <w:rPr>
                <w:color w:val="auto"/>
                <w:spacing w:val="11"/>
                <w:highlight w:val="none"/>
              </w:rPr>
              <w:t>履约保证金的金额：</w:t>
            </w:r>
            <w:r>
              <w:rPr>
                <w:color w:val="auto"/>
                <w:spacing w:val="8"/>
                <w:highlight w:val="none"/>
                <w:u w:val="single" w:color="auto"/>
              </w:rPr>
              <w:t xml:space="preserve"> </w:t>
            </w:r>
            <w:r>
              <w:rPr>
                <w:rFonts w:hint="eastAsia"/>
                <w:color w:val="auto"/>
                <w:spacing w:val="8"/>
                <w:highlight w:val="none"/>
                <w:u w:val="single" w:color="auto"/>
                <w:lang w:val="en-US" w:eastAsia="zh-CN"/>
              </w:rPr>
              <w:t>10</w:t>
            </w:r>
            <w:r>
              <w:rPr>
                <w:color w:val="auto"/>
                <w:spacing w:val="8"/>
                <w:highlight w:val="none"/>
                <w:u w:val="single" w:color="auto"/>
              </w:rPr>
              <w:t xml:space="preserve"> </w:t>
            </w:r>
            <w:r>
              <w:rPr>
                <w:color w:val="auto"/>
                <w:spacing w:val="-67"/>
                <w:highlight w:val="none"/>
              </w:rPr>
              <w:t xml:space="preserve"> </w:t>
            </w:r>
            <w:r>
              <w:rPr>
                <w:color w:val="auto"/>
                <w:spacing w:val="11"/>
                <w:highlight w:val="none"/>
              </w:rPr>
              <w:t>%</w:t>
            </w:r>
            <w:r>
              <w:rPr>
                <w:color w:val="auto"/>
                <w:spacing w:val="-71"/>
                <w:highlight w:val="none"/>
              </w:rPr>
              <w:t xml:space="preserve"> </w:t>
            </w:r>
            <w:r>
              <w:rPr>
                <w:color w:val="auto"/>
                <w:spacing w:val="11"/>
                <w:highlight w:val="none"/>
              </w:rPr>
              <w:t>签约合同价</w:t>
            </w:r>
          </w:p>
          <w:p w14:paraId="74CA2BFB">
            <w:pPr>
              <w:pStyle w:val="18"/>
              <w:spacing w:before="103" w:line="299" w:lineRule="auto"/>
              <w:ind w:left="115" w:right="120" w:firstLine="18"/>
              <w:rPr>
                <w:color w:val="auto"/>
                <w:highlight w:val="none"/>
              </w:rPr>
            </w:pPr>
            <w:r>
              <w:rPr>
                <w:rFonts w:hint="eastAsia"/>
                <w:color w:val="auto"/>
                <w:spacing w:val="1"/>
                <w:highlight w:val="none"/>
                <w:lang w:eastAsia="zh-CN"/>
              </w:rPr>
              <w:t>☑</w:t>
            </w:r>
            <w:r>
              <w:rPr>
                <w:color w:val="auto"/>
                <w:spacing w:val="1"/>
                <w:highlight w:val="none"/>
              </w:rPr>
              <w:t>最新年度在广东省公路工程从业单位信用评价（监理单位）等级</w:t>
            </w:r>
            <w:r>
              <w:rPr>
                <w:color w:val="auto"/>
                <w:spacing w:val="-44"/>
                <w:highlight w:val="none"/>
              </w:rPr>
              <w:t xml:space="preserve"> </w:t>
            </w:r>
            <w:r>
              <w:rPr>
                <w:color w:val="auto"/>
                <w:highlight w:val="none"/>
              </w:rPr>
              <w:t>AA</w:t>
            </w:r>
            <w:r>
              <w:rPr>
                <w:color w:val="auto"/>
                <w:spacing w:val="-49"/>
                <w:highlight w:val="none"/>
              </w:rPr>
              <w:t xml:space="preserve"> </w:t>
            </w:r>
            <w:r>
              <w:rPr>
                <w:color w:val="auto"/>
                <w:spacing w:val="1"/>
                <w:highlight w:val="none"/>
              </w:rPr>
              <w:t>级的投标人，给予减少履约保证</w:t>
            </w:r>
          </w:p>
          <w:p w14:paraId="79D704F4">
            <w:pPr>
              <w:pStyle w:val="18"/>
              <w:spacing w:before="135" w:line="243" w:lineRule="auto"/>
              <w:ind w:left="114"/>
              <w:rPr>
                <w:color w:val="auto"/>
                <w:highlight w:val="none"/>
              </w:rPr>
            </w:pPr>
            <w:r>
              <w:rPr>
                <w:color w:val="auto"/>
                <w:spacing w:val="-3"/>
                <w:highlight w:val="none"/>
              </w:rPr>
              <w:t>金，履约保证金金额:</w:t>
            </w:r>
            <w:r>
              <w:rPr>
                <w:color w:val="auto"/>
                <w:spacing w:val="55"/>
                <w:highlight w:val="none"/>
              </w:rPr>
              <w:t xml:space="preserve"> </w:t>
            </w:r>
            <w:r>
              <w:rPr>
                <w:color w:val="auto"/>
                <w:highlight w:val="none"/>
                <w:u w:val="single" w:color="auto"/>
              </w:rPr>
              <w:t xml:space="preserve">  </w:t>
            </w:r>
            <w:r>
              <w:rPr>
                <w:rFonts w:hint="eastAsia"/>
                <w:color w:val="auto"/>
                <w:highlight w:val="none"/>
                <w:u w:val="single" w:color="auto"/>
                <w:lang w:val="en-US" w:eastAsia="zh-CN"/>
              </w:rPr>
              <w:t>5%</w:t>
            </w:r>
            <w:r>
              <w:rPr>
                <w:color w:val="auto"/>
                <w:highlight w:val="none"/>
                <w:u w:val="single" w:color="auto"/>
              </w:rPr>
              <w:t xml:space="preserve">  </w:t>
            </w:r>
            <w:r>
              <w:rPr>
                <w:color w:val="auto"/>
                <w:spacing w:val="11"/>
                <w:highlight w:val="none"/>
              </w:rPr>
              <w:t>签约合同价</w:t>
            </w:r>
          </w:p>
          <w:p w14:paraId="627893A3">
            <w:pPr>
              <w:pStyle w:val="18"/>
              <w:spacing w:before="153" w:line="322" w:lineRule="auto"/>
              <w:ind w:left="113" w:right="120" w:firstLine="20"/>
              <w:rPr>
                <w:color w:val="auto"/>
                <w:highlight w:val="none"/>
              </w:rPr>
            </w:pPr>
            <w:r>
              <w:rPr>
                <w:rFonts w:hint="eastAsia"/>
                <w:color w:val="auto"/>
                <w:spacing w:val="1"/>
                <w:highlight w:val="none"/>
                <w:lang w:eastAsia="zh-CN"/>
              </w:rPr>
              <w:t>☑</w:t>
            </w:r>
            <w:r>
              <w:rPr>
                <w:color w:val="auto"/>
                <w:spacing w:val="1"/>
                <w:highlight w:val="none"/>
              </w:rPr>
              <w:t>最新年度在广东省公路工程从业单位信用评价（监理单位）A</w:t>
            </w:r>
            <w:r>
              <w:rPr>
                <w:color w:val="auto"/>
                <w:spacing w:val="-37"/>
                <w:highlight w:val="none"/>
              </w:rPr>
              <w:t xml:space="preserve"> </w:t>
            </w:r>
            <w:r>
              <w:rPr>
                <w:color w:val="auto"/>
                <w:spacing w:val="1"/>
                <w:highlight w:val="none"/>
              </w:rPr>
              <w:t>级的投标人，给予减少履约保证金，履约</w:t>
            </w:r>
            <w:r>
              <w:rPr>
                <w:color w:val="auto"/>
                <w:highlight w:val="none"/>
              </w:rPr>
              <w:fldChar w:fldCharType="begin"/>
            </w:r>
            <w:r>
              <w:rPr>
                <w:color w:val="auto"/>
                <w:highlight w:val="none"/>
              </w:rPr>
              <w:instrText xml:space="preserve"> HYPERLINK \l "bookmark1" </w:instrText>
            </w:r>
            <w:r>
              <w:rPr>
                <w:color w:val="auto"/>
                <w:highlight w:val="none"/>
              </w:rPr>
              <w:fldChar w:fldCharType="separate"/>
            </w:r>
            <w:r>
              <w:rPr>
                <w:color w:val="auto"/>
                <w:spacing w:val="1"/>
                <w:highlight w:val="none"/>
              </w:rPr>
              <w:t>保证金金额</w:t>
            </w:r>
            <w:r>
              <w:rPr>
                <w:color w:val="auto"/>
                <w:spacing w:val="1"/>
                <w:position w:val="10"/>
                <w:sz w:val="10"/>
                <w:szCs w:val="10"/>
                <w:highlight w:val="none"/>
              </w:rPr>
              <w:fldChar w:fldCharType="end"/>
            </w:r>
            <w:r>
              <w:rPr>
                <w:color w:val="auto"/>
                <w:spacing w:val="-24"/>
                <w:position w:val="10"/>
                <w:sz w:val="10"/>
                <w:szCs w:val="10"/>
                <w:highlight w:val="none"/>
              </w:rPr>
              <w:t xml:space="preserve"> </w:t>
            </w:r>
            <w:r>
              <w:rPr>
                <w:color w:val="auto"/>
                <w:spacing w:val="-70"/>
                <w:highlight w:val="none"/>
              </w:rPr>
              <w:t>:</w:t>
            </w:r>
            <w:r>
              <w:rPr>
                <w:color w:val="auto"/>
                <w:spacing w:val="52"/>
                <w:highlight w:val="none"/>
              </w:rPr>
              <w:t xml:space="preserve"> </w:t>
            </w:r>
            <w:r>
              <w:rPr>
                <w:color w:val="auto"/>
                <w:highlight w:val="none"/>
                <w:u w:val="single" w:color="auto"/>
              </w:rPr>
              <w:t xml:space="preserve"> </w:t>
            </w:r>
            <w:r>
              <w:rPr>
                <w:rFonts w:hint="eastAsia"/>
                <w:color w:val="auto"/>
                <w:highlight w:val="none"/>
                <w:u w:val="single" w:color="auto"/>
                <w:lang w:val="en-US" w:eastAsia="zh-CN"/>
              </w:rPr>
              <w:t>10%</w:t>
            </w:r>
            <w:r>
              <w:rPr>
                <w:color w:val="auto"/>
                <w:highlight w:val="none"/>
                <w:u w:val="single" w:color="auto"/>
              </w:rPr>
              <w:t xml:space="preserve"> </w:t>
            </w:r>
            <w:r>
              <w:rPr>
                <w:color w:val="auto"/>
                <w:spacing w:val="11"/>
                <w:highlight w:val="none"/>
              </w:rPr>
              <w:t>签约合同价</w:t>
            </w:r>
          </w:p>
          <w:p w14:paraId="0C1C6EE8">
            <w:pPr>
              <w:pStyle w:val="18"/>
              <w:spacing w:before="156" w:line="369" w:lineRule="auto"/>
              <w:ind w:left="114" w:right="108" w:firstLine="403"/>
              <w:jc w:val="both"/>
              <w:rPr>
                <w:color w:val="auto"/>
                <w:highlight w:val="none"/>
              </w:rPr>
            </w:pPr>
            <w:r>
              <w:rPr>
                <w:color w:val="auto"/>
                <w:spacing w:val="13"/>
                <w:highlight w:val="none"/>
              </w:rPr>
              <w:t>采用银行保函时，出具保函的银行级别：</w:t>
            </w:r>
            <w:r>
              <w:rPr>
                <w:color w:val="auto"/>
                <w:spacing w:val="13"/>
                <w:highlight w:val="none"/>
                <w:u w:val="single" w:color="auto"/>
              </w:rPr>
              <w:t>投标</w:t>
            </w:r>
            <w:r>
              <w:rPr>
                <w:color w:val="auto"/>
                <w:spacing w:val="11"/>
                <w:highlight w:val="none"/>
                <w:u w:val="single" w:color="auto"/>
              </w:rPr>
              <w:t>人公司注册所在地的股份制商业银行或城市商业银</w:t>
            </w:r>
            <w:r>
              <w:rPr>
                <w:color w:val="auto"/>
                <w:spacing w:val="12"/>
                <w:highlight w:val="none"/>
                <w:u w:val="single" w:color="auto"/>
              </w:rPr>
              <w:t>行或农村商业银行或全国性国有商业银行的分</w:t>
            </w:r>
            <w:r>
              <w:rPr>
                <w:color w:val="auto"/>
                <w:spacing w:val="11"/>
                <w:highlight w:val="none"/>
                <w:u w:val="single" w:color="auto"/>
              </w:rPr>
              <w:t>支机</w:t>
            </w:r>
            <w:r>
              <w:rPr>
                <w:color w:val="auto"/>
                <w:spacing w:val="13"/>
                <w:highlight w:val="none"/>
                <w:u w:val="single" w:color="auto"/>
              </w:rPr>
              <w:t>构。</w:t>
            </w:r>
          </w:p>
          <w:p w14:paraId="6F904475">
            <w:pPr>
              <w:pStyle w:val="18"/>
              <w:spacing w:line="229" w:lineRule="auto"/>
              <w:ind w:left="134"/>
              <w:rPr>
                <w:color w:val="auto"/>
                <w:highlight w:val="none"/>
              </w:rPr>
            </w:pPr>
            <w:r>
              <w:rPr>
                <w:color w:val="auto"/>
                <w:spacing w:val="2"/>
                <w:highlight w:val="none"/>
              </w:rPr>
              <w:t>□不要求</w:t>
            </w:r>
          </w:p>
        </w:tc>
      </w:tr>
      <w:tr w14:paraId="003010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5" w:hRule="atLeast"/>
        </w:trPr>
        <w:tc>
          <w:tcPr>
            <w:tcW w:w="1013" w:type="dxa"/>
            <w:vAlign w:val="top"/>
          </w:tcPr>
          <w:p w14:paraId="526FA3C3">
            <w:pPr>
              <w:spacing w:line="242" w:lineRule="auto"/>
              <w:rPr>
                <w:rFonts w:ascii="Arial"/>
                <w:color w:val="auto"/>
                <w:sz w:val="21"/>
                <w:highlight w:val="none"/>
              </w:rPr>
            </w:pPr>
          </w:p>
          <w:p w14:paraId="5A82A939">
            <w:pPr>
              <w:spacing w:line="242" w:lineRule="auto"/>
              <w:rPr>
                <w:rFonts w:ascii="Arial"/>
                <w:color w:val="auto"/>
                <w:sz w:val="21"/>
                <w:highlight w:val="none"/>
              </w:rPr>
            </w:pPr>
          </w:p>
          <w:p w14:paraId="01806CEC">
            <w:pPr>
              <w:spacing w:line="242" w:lineRule="auto"/>
              <w:rPr>
                <w:rFonts w:ascii="Arial"/>
                <w:color w:val="auto"/>
                <w:sz w:val="21"/>
                <w:highlight w:val="none"/>
              </w:rPr>
            </w:pPr>
          </w:p>
          <w:p w14:paraId="6C154C94">
            <w:pPr>
              <w:spacing w:line="242" w:lineRule="auto"/>
              <w:rPr>
                <w:rFonts w:ascii="Arial"/>
                <w:color w:val="auto"/>
                <w:sz w:val="21"/>
                <w:highlight w:val="none"/>
              </w:rPr>
            </w:pPr>
          </w:p>
          <w:p w14:paraId="07878580">
            <w:pPr>
              <w:spacing w:line="242" w:lineRule="auto"/>
              <w:rPr>
                <w:rFonts w:ascii="Arial"/>
                <w:color w:val="auto"/>
                <w:sz w:val="21"/>
                <w:highlight w:val="none"/>
              </w:rPr>
            </w:pPr>
          </w:p>
          <w:p w14:paraId="6031725E">
            <w:pPr>
              <w:spacing w:line="242" w:lineRule="auto"/>
              <w:rPr>
                <w:rFonts w:ascii="Arial"/>
                <w:color w:val="auto"/>
                <w:sz w:val="21"/>
                <w:highlight w:val="none"/>
              </w:rPr>
            </w:pPr>
          </w:p>
          <w:p w14:paraId="03131EFE">
            <w:pPr>
              <w:spacing w:line="242" w:lineRule="auto"/>
              <w:rPr>
                <w:rFonts w:ascii="Arial"/>
                <w:color w:val="auto"/>
                <w:sz w:val="21"/>
                <w:highlight w:val="none"/>
              </w:rPr>
            </w:pPr>
          </w:p>
          <w:p w14:paraId="7F0209C8">
            <w:pPr>
              <w:spacing w:line="242" w:lineRule="auto"/>
              <w:rPr>
                <w:rFonts w:ascii="Arial"/>
                <w:color w:val="auto"/>
                <w:sz w:val="21"/>
                <w:highlight w:val="none"/>
              </w:rPr>
            </w:pPr>
          </w:p>
          <w:p w14:paraId="2F3CCA80">
            <w:pPr>
              <w:spacing w:line="242" w:lineRule="auto"/>
              <w:rPr>
                <w:rFonts w:ascii="Arial"/>
                <w:color w:val="auto"/>
                <w:sz w:val="21"/>
                <w:highlight w:val="none"/>
              </w:rPr>
            </w:pPr>
          </w:p>
          <w:p w14:paraId="5F476EC3">
            <w:pPr>
              <w:spacing w:line="242" w:lineRule="auto"/>
              <w:rPr>
                <w:rFonts w:ascii="Arial"/>
                <w:color w:val="auto"/>
                <w:sz w:val="21"/>
                <w:highlight w:val="none"/>
              </w:rPr>
            </w:pPr>
          </w:p>
          <w:p w14:paraId="4F01541C">
            <w:pPr>
              <w:spacing w:line="242" w:lineRule="auto"/>
              <w:rPr>
                <w:rFonts w:ascii="Arial"/>
                <w:color w:val="auto"/>
                <w:sz w:val="21"/>
                <w:highlight w:val="none"/>
              </w:rPr>
            </w:pPr>
          </w:p>
          <w:p w14:paraId="7BDA25D7">
            <w:pPr>
              <w:pStyle w:val="18"/>
              <w:spacing w:before="65" w:line="267" w:lineRule="exact"/>
              <w:ind w:left="250"/>
              <w:rPr>
                <w:color w:val="auto"/>
                <w:highlight w:val="none"/>
              </w:rPr>
            </w:pPr>
            <w:r>
              <w:rPr>
                <w:color w:val="auto"/>
                <w:spacing w:val="3"/>
                <w:position w:val="1"/>
                <w:highlight w:val="none"/>
              </w:rPr>
              <w:t>8.</w:t>
            </w:r>
            <w:r>
              <w:rPr>
                <w:rFonts w:hint="eastAsia"/>
                <w:color w:val="auto"/>
                <w:spacing w:val="3"/>
                <w:position w:val="1"/>
                <w:highlight w:val="none"/>
                <w:lang w:val="en-US" w:eastAsia="zh-CN"/>
              </w:rPr>
              <w:t>7</w:t>
            </w:r>
            <w:r>
              <w:rPr>
                <w:color w:val="auto"/>
                <w:spacing w:val="3"/>
                <w:position w:val="1"/>
                <w:highlight w:val="none"/>
              </w:rPr>
              <w:t>.1</w:t>
            </w:r>
          </w:p>
        </w:tc>
        <w:tc>
          <w:tcPr>
            <w:tcW w:w="2877" w:type="dxa"/>
            <w:vAlign w:val="top"/>
          </w:tcPr>
          <w:p w14:paraId="3BDCB82B">
            <w:pPr>
              <w:spacing w:line="241" w:lineRule="auto"/>
              <w:rPr>
                <w:rFonts w:ascii="Arial"/>
                <w:color w:val="auto"/>
                <w:sz w:val="21"/>
                <w:highlight w:val="none"/>
              </w:rPr>
            </w:pPr>
          </w:p>
          <w:p w14:paraId="04FF4E94">
            <w:pPr>
              <w:spacing w:line="242" w:lineRule="auto"/>
              <w:rPr>
                <w:rFonts w:ascii="Arial"/>
                <w:color w:val="auto"/>
                <w:sz w:val="21"/>
                <w:highlight w:val="none"/>
              </w:rPr>
            </w:pPr>
          </w:p>
          <w:p w14:paraId="1550686C">
            <w:pPr>
              <w:spacing w:line="242" w:lineRule="auto"/>
              <w:rPr>
                <w:rFonts w:ascii="Arial"/>
                <w:color w:val="auto"/>
                <w:sz w:val="21"/>
                <w:highlight w:val="none"/>
              </w:rPr>
            </w:pPr>
          </w:p>
          <w:p w14:paraId="460F4F68">
            <w:pPr>
              <w:spacing w:line="242" w:lineRule="auto"/>
              <w:rPr>
                <w:rFonts w:ascii="Arial"/>
                <w:color w:val="auto"/>
                <w:sz w:val="21"/>
                <w:highlight w:val="none"/>
              </w:rPr>
            </w:pPr>
          </w:p>
          <w:p w14:paraId="53562171">
            <w:pPr>
              <w:spacing w:line="242" w:lineRule="auto"/>
              <w:rPr>
                <w:rFonts w:ascii="Arial"/>
                <w:color w:val="auto"/>
                <w:sz w:val="21"/>
                <w:highlight w:val="none"/>
              </w:rPr>
            </w:pPr>
          </w:p>
          <w:p w14:paraId="3EE42BDB">
            <w:pPr>
              <w:spacing w:line="242" w:lineRule="auto"/>
              <w:rPr>
                <w:rFonts w:ascii="Arial"/>
                <w:color w:val="auto"/>
                <w:sz w:val="21"/>
                <w:highlight w:val="none"/>
              </w:rPr>
            </w:pPr>
          </w:p>
          <w:p w14:paraId="7BB19F9D">
            <w:pPr>
              <w:spacing w:line="242" w:lineRule="auto"/>
              <w:rPr>
                <w:rFonts w:ascii="Arial"/>
                <w:color w:val="auto"/>
                <w:sz w:val="21"/>
                <w:highlight w:val="none"/>
              </w:rPr>
            </w:pPr>
          </w:p>
          <w:p w14:paraId="3D727EA5">
            <w:pPr>
              <w:spacing w:line="242" w:lineRule="auto"/>
              <w:rPr>
                <w:rFonts w:ascii="Arial"/>
                <w:color w:val="auto"/>
                <w:sz w:val="21"/>
                <w:highlight w:val="none"/>
              </w:rPr>
            </w:pPr>
          </w:p>
          <w:p w14:paraId="12A3F771">
            <w:pPr>
              <w:spacing w:line="242" w:lineRule="auto"/>
              <w:rPr>
                <w:rFonts w:ascii="Arial"/>
                <w:color w:val="auto"/>
                <w:sz w:val="21"/>
                <w:highlight w:val="none"/>
              </w:rPr>
            </w:pPr>
          </w:p>
          <w:p w14:paraId="0AD54E50">
            <w:pPr>
              <w:spacing w:line="242" w:lineRule="auto"/>
              <w:rPr>
                <w:rFonts w:ascii="Arial"/>
                <w:color w:val="auto"/>
                <w:sz w:val="21"/>
                <w:highlight w:val="none"/>
              </w:rPr>
            </w:pPr>
          </w:p>
          <w:p w14:paraId="4572164A">
            <w:pPr>
              <w:spacing w:line="242" w:lineRule="auto"/>
              <w:rPr>
                <w:rFonts w:ascii="Arial"/>
                <w:color w:val="auto"/>
                <w:sz w:val="21"/>
                <w:highlight w:val="none"/>
              </w:rPr>
            </w:pPr>
          </w:p>
          <w:p w14:paraId="2D901CD7">
            <w:pPr>
              <w:pStyle w:val="18"/>
              <w:spacing w:before="65" w:line="228" w:lineRule="auto"/>
              <w:ind w:left="1022"/>
              <w:rPr>
                <w:color w:val="auto"/>
                <w:highlight w:val="none"/>
              </w:rPr>
            </w:pPr>
            <w:r>
              <w:rPr>
                <w:color w:val="auto"/>
                <w:spacing w:val="7"/>
                <w:highlight w:val="none"/>
              </w:rPr>
              <w:t>监督部门</w:t>
            </w:r>
          </w:p>
        </w:tc>
        <w:tc>
          <w:tcPr>
            <w:tcW w:w="4891" w:type="dxa"/>
            <w:vAlign w:val="top"/>
          </w:tcPr>
          <w:p w14:paraId="2A4153E3">
            <w:pPr>
              <w:pStyle w:val="18"/>
              <w:spacing w:before="124" w:line="246" w:lineRule="auto"/>
              <w:ind w:left="219"/>
              <w:rPr>
                <w:color w:val="auto"/>
                <w:highlight w:val="none"/>
              </w:rPr>
            </w:pPr>
            <w:r>
              <w:rPr>
                <w:color w:val="auto"/>
                <w:spacing w:val="-2"/>
                <w:highlight w:val="none"/>
              </w:rPr>
              <w:t>监督部门:</w:t>
            </w:r>
            <w:r>
              <w:rPr>
                <w:color w:val="auto"/>
                <w:spacing w:val="56"/>
                <w:highlight w:val="none"/>
              </w:rPr>
              <w:t xml:space="preserve"> </w:t>
            </w:r>
            <w:r>
              <w:rPr>
                <w:color w:val="auto"/>
                <w:highlight w:val="none"/>
                <w:u w:val="single" w:color="auto"/>
              </w:rPr>
              <w:t xml:space="preserve"> </w:t>
            </w:r>
            <w:r>
              <w:rPr>
                <w:rFonts w:hint="eastAsia"/>
                <w:color w:val="auto"/>
                <w:highlight w:val="none"/>
                <w:u w:val="single" w:color="auto"/>
                <w:lang w:val="en-US" w:eastAsia="zh-CN"/>
              </w:rPr>
              <w:t>韶关市交通运输局</w:t>
            </w:r>
            <w:r>
              <w:rPr>
                <w:color w:val="auto"/>
                <w:highlight w:val="none"/>
                <w:u w:val="single" w:color="auto"/>
              </w:rPr>
              <w:t xml:space="preserve"> </w:t>
            </w:r>
          </w:p>
          <w:p w14:paraId="0300B3FF">
            <w:pPr>
              <w:pStyle w:val="18"/>
              <w:spacing w:before="151" w:line="230" w:lineRule="auto"/>
              <w:ind w:left="243"/>
              <w:rPr>
                <w:color w:val="auto"/>
                <w:highlight w:val="none"/>
              </w:rPr>
            </w:pPr>
            <w:r>
              <w:rPr>
                <w:color w:val="auto"/>
                <w:spacing w:val="-1"/>
                <w:highlight w:val="none"/>
              </w:rPr>
              <w:t>电话：</w:t>
            </w:r>
            <w:r>
              <w:rPr>
                <w:color w:val="auto"/>
                <w:highlight w:val="none"/>
                <w:u w:val="single" w:color="auto"/>
              </w:rPr>
              <w:t xml:space="preserve"> </w:t>
            </w:r>
            <w:r>
              <w:rPr>
                <w:rFonts w:hint="eastAsia"/>
                <w:color w:val="auto"/>
                <w:highlight w:val="none"/>
                <w:u w:val="single" w:color="auto"/>
                <w:lang w:val="en-US" w:eastAsia="zh-CN"/>
              </w:rPr>
              <w:t>0751-</w:t>
            </w:r>
            <w:r>
              <w:rPr>
                <w:rFonts w:hint="eastAsia"/>
                <w:color w:val="auto"/>
                <w:spacing w:val="6"/>
                <w:highlight w:val="none"/>
                <w:u w:val="single" w:color="auto"/>
              </w:rPr>
              <w:t>8877330</w:t>
            </w:r>
            <w:r>
              <w:rPr>
                <w:color w:val="auto"/>
                <w:highlight w:val="none"/>
                <w:u w:val="single" w:color="auto"/>
              </w:rPr>
              <w:t xml:space="preserve"> </w:t>
            </w:r>
            <w:r>
              <w:rPr>
                <w:rFonts w:hint="eastAsia"/>
                <w:color w:val="auto"/>
                <w:highlight w:val="none"/>
                <w:u w:val="single" w:color="auto"/>
                <w:lang w:val="en-US" w:eastAsia="zh-CN"/>
              </w:rPr>
              <w:t xml:space="preserve">  </w:t>
            </w:r>
            <w:r>
              <w:rPr>
                <w:color w:val="auto"/>
                <w:spacing w:val="7"/>
                <w:highlight w:val="none"/>
              </w:rPr>
              <w:t>传真：</w:t>
            </w:r>
            <w:r>
              <w:rPr>
                <w:color w:val="auto"/>
                <w:highlight w:val="none"/>
                <w:u w:val="single" w:color="auto"/>
              </w:rPr>
              <w:t xml:space="preserve">  </w:t>
            </w:r>
            <w:r>
              <w:rPr>
                <w:rFonts w:hint="eastAsia"/>
                <w:color w:val="auto"/>
                <w:highlight w:val="none"/>
                <w:u w:val="single" w:color="auto"/>
                <w:lang w:val="en-US" w:eastAsia="zh-CN"/>
              </w:rPr>
              <w:t>/</w:t>
            </w:r>
            <w:r>
              <w:rPr>
                <w:color w:val="auto"/>
                <w:highlight w:val="none"/>
                <w:u w:val="single" w:color="auto"/>
              </w:rPr>
              <w:t xml:space="preserve"> </w:t>
            </w:r>
          </w:p>
          <w:p w14:paraId="33F18035">
            <w:pPr>
              <w:pStyle w:val="18"/>
              <w:spacing w:before="154" w:line="228" w:lineRule="auto"/>
              <w:ind w:left="218"/>
              <w:rPr>
                <w:rFonts w:hint="eastAsia"/>
                <w:color w:val="auto"/>
                <w:spacing w:val="20"/>
                <w:highlight w:val="none"/>
                <w:u w:val="none"/>
                <w:lang w:val="en-US" w:eastAsia="zh-CN"/>
              </w:rPr>
            </w:pPr>
            <w:r>
              <w:rPr>
                <w:color w:val="auto"/>
                <w:spacing w:val="5"/>
                <w:highlight w:val="none"/>
              </w:rPr>
              <w:t>通信地址：</w:t>
            </w:r>
            <w:r>
              <w:rPr>
                <w:rFonts w:hint="eastAsia"/>
                <w:color w:val="auto"/>
                <w:spacing w:val="6"/>
                <w:highlight w:val="none"/>
                <w:u w:val="single"/>
              </w:rPr>
              <w:t>广东省韶关市浈江区执信路1号</w:t>
            </w:r>
            <w:r>
              <w:rPr>
                <w:rFonts w:hint="eastAsia"/>
                <w:color w:val="auto"/>
                <w:spacing w:val="20"/>
                <w:highlight w:val="none"/>
                <w:u w:val="single"/>
                <w:lang w:val="en-US" w:eastAsia="zh-CN"/>
              </w:rPr>
              <w:t xml:space="preserve"> </w:t>
            </w:r>
            <w:r>
              <w:rPr>
                <w:rFonts w:hint="eastAsia"/>
                <w:color w:val="auto"/>
                <w:spacing w:val="20"/>
                <w:highlight w:val="none"/>
                <w:u w:val="none"/>
                <w:lang w:val="en-US" w:eastAsia="zh-CN"/>
              </w:rPr>
              <w:t xml:space="preserve">   </w:t>
            </w:r>
          </w:p>
          <w:p w14:paraId="4498B265">
            <w:pPr>
              <w:pStyle w:val="18"/>
              <w:spacing w:before="154" w:line="228" w:lineRule="auto"/>
              <w:ind w:left="218"/>
              <w:rPr>
                <w:color w:val="auto"/>
                <w:highlight w:val="none"/>
              </w:rPr>
            </w:pPr>
            <w:r>
              <w:rPr>
                <w:color w:val="auto"/>
                <w:spacing w:val="5"/>
                <w:highlight w:val="none"/>
              </w:rPr>
              <w:t>邮政编码：</w:t>
            </w:r>
            <w:r>
              <w:rPr>
                <w:color w:val="auto"/>
                <w:highlight w:val="none"/>
                <w:u w:val="single" w:color="auto"/>
              </w:rPr>
              <w:t xml:space="preserve"> </w:t>
            </w:r>
            <w:r>
              <w:rPr>
                <w:rFonts w:hint="eastAsia"/>
                <w:color w:val="auto"/>
                <w:highlight w:val="none"/>
                <w:u w:val="single" w:color="auto"/>
                <w:lang w:val="en-US" w:eastAsia="zh-CN"/>
              </w:rPr>
              <w:t>512100</w:t>
            </w:r>
          </w:p>
          <w:p w14:paraId="15AEC751">
            <w:pPr>
              <w:spacing w:line="243" w:lineRule="auto"/>
              <w:rPr>
                <w:rFonts w:ascii="Arial"/>
                <w:color w:val="auto"/>
                <w:sz w:val="21"/>
                <w:highlight w:val="none"/>
              </w:rPr>
            </w:pPr>
          </w:p>
          <w:p w14:paraId="0BE7E823">
            <w:pPr>
              <w:pStyle w:val="18"/>
              <w:tabs>
                <w:tab w:val="left" w:pos="629"/>
              </w:tabs>
              <w:spacing w:before="66" w:line="228" w:lineRule="auto"/>
              <w:ind w:left="209"/>
              <w:rPr>
                <w:rFonts w:hint="eastAsia" w:eastAsia="宋体"/>
                <w:color w:val="auto"/>
                <w:sz w:val="10"/>
                <w:szCs w:val="10"/>
                <w:highlight w:val="none"/>
                <w:lang w:eastAsia="zh-CN"/>
              </w:rPr>
            </w:pPr>
            <w:r>
              <w:rPr>
                <w:color w:val="auto"/>
                <w:spacing w:val="6"/>
                <w:highlight w:val="none"/>
              </w:rPr>
              <w:t>交通运输</w:t>
            </w:r>
            <w:r>
              <w:rPr>
                <w:color w:val="auto"/>
                <w:spacing w:val="-59"/>
                <w:highlight w:val="none"/>
              </w:rPr>
              <w:t xml:space="preserve"> </w:t>
            </w:r>
            <w:r>
              <w:rPr>
                <w:color w:val="auto"/>
                <w:spacing w:val="6"/>
                <w:highlight w:val="none"/>
              </w:rPr>
              <w:t>主</w:t>
            </w:r>
            <w:r>
              <w:rPr>
                <w:color w:val="auto"/>
                <w:spacing w:val="-56"/>
                <w:highlight w:val="none"/>
              </w:rPr>
              <w:t xml:space="preserve"> </w:t>
            </w:r>
            <w:r>
              <w:rPr>
                <w:color w:val="auto"/>
                <w:spacing w:val="6"/>
                <w:highlight w:val="none"/>
              </w:rPr>
              <w:t>管</w:t>
            </w:r>
            <w:r>
              <w:rPr>
                <w:color w:val="auto"/>
                <w:spacing w:val="-58"/>
                <w:highlight w:val="none"/>
              </w:rPr>
              <w:t xml:space="preserve"> </w:t>
            </w:r>
            <w:r>
              <w:rPr>
                <w:color w:val="auto"/>
                <w:spacing w:val="6"/>
                <w:highlight w:val="none"/>
              </w:rPr>
              <w:t>部</w:t>
            </w:r>
            <w:r>
              <w:rPr>
                <w:color w:val="auto"/>
                <w:spacing w:val="-38"/>
                <w:highlight w:val="none"/>
              </w:rPr>
              <w:t xml:space="preserve"> </w:t>
            </w:r>
            <w:r>
              <w:rPr>
                <w:color w:val="auto"/>
                <w:spacing w:val="6"/>
                <w:highlight w:val="none"/>
              </w:rPr>
              <w:t>门（或</w:t>
            </w:r>
            <w:r>
              <w:rPr>
                <w:color w:val="auto"/>
                <w:spacing w:val="-57"/>
                <w:highlight w:val="none"/>
              </w:rPr>
              <w:t xml:space="preserve"> </w:t>
            </w:r>
            <w:r>
              <w:rPr>
                <w:color w:val="auto"/>
                <w:spacing w:val="6"/>
                <w:highlight w:val="none"/>
              </w:rPr>
              <w:t>项</w:t>
            </w:r>
            <w:r>
              <w:rPr>
                <w:color w:val="auto"/>
                <w:spacing w:val="-21"/>
                <w:highlight w:val="none"/>
              </w:rPr>
              <w:t xml:space="preserve"> </w:t>
            </w:r>
            <w:r>
              <w:rPr>
                <w:color w:val="auto"/>
                <w:spacing w:val="6"/>
                <w:highlight w:val="none"/>
              </w:rPr>
              <w:t>目</w:t>
            </w:r>
            <w:r>
              <w:rPr>
                <w:color w:val="auto"/>
                <w:spacing w:val="-59"/>
                <w:highlight w:val="none"/>
              </w:rPr>
              <w:t xml:space="preserve"> </w:t>
            </w:r>
            <w:r>
              <w:rPr>
                <w:color w:val="auto"/>
                <w:spacing w:val="6"/>
                <w:highlight w:val="none"/>
              </w:rPr>
              <w:t>上</w:t>
            </w:r>
            <w:r>
              <w:rPr>
                <w:color w:val="auto"/>
                <w:spacing w:val="-58"/>
                <w:highlight w:val="none"/>
              </w:rPr>
              <w:t xml:space="preserve"> </w:t>
            </w:r>
            <w:r>
              <w:rPr>
                <w:color w:val="auto"/>
                <w:spacing w:val="6"/>
                <w:highlight w:val="none"/>
              </w:rPr>
              <w:t>级</w:t>
            </w:r>
            <w:r>
              <w:rPr>
                <w:color w:val="auto"/>
                <w:spacing w:val="-58"/>
                <w:highlight w:val="none"/>
              </w:rPr>
              <w:t xml:space="preserve"> </w:t>
            </w:r>
            <w:r>
              <w:rPr>
                <w:color w:val="auto"/>
                <w:spacing w:val="6"/>
                <w:highlight w:val="none"/>
              </w:rPr>
              <w:t>管</w:t>
            </w:r>
            <w:r>
              <w:rPr>
                <w:color w:val="auto"/>
                <w:spacing w:val="-58"/>
                <w:highlight w:val="none"/>
              </w:rPr>
              <w:t xml:space="preserve"> </w:t>
            </w:r>
            <w:r>
              <w:rPr>
                <w:color w:val="auto"/>
                <w:spacing w:val="6"/>
                <w:highlight w:val="none"/>
              </w:rPr>
              <w:t>理</w:t>
            </w:r>
            <w:r>
              <w:rPr>
                <w:color w:val="auto"/>
                <w:spacing w:val="-59"/>
                <w:highlight w:val="none"/>
              </w:rPr>
              <w:t xml:space="preserve"> </w:t>
            </w:r>
            <w:r>
              <w:rPr>
                <w:color w:val="auto"/>
                <w:spacing w:val="6"/>
                <w:highlight w:val="none"/>
              </w:rPr>
              <w:t>单</w:t>
            </w:r>
            <w:r>
              <w:rPr>
                <w:color w:val="auto"/>
                <w:spacing w:val="2"/>
                <w:highlight w:val="none"/>
              </w:rPr>
              <w:t>位</w:t>
            </w:r>
            <w:r>
              <w:rPr>
                <w:color w:val="auto"/>
                <w:spacing w:val="11"/>
                <w:highlight w:val="none"/>
              </w:rPr>
              <w:t>）：</w:t>
            </w:r>
            <w:r>
              <w:rPr>
                <w:rFonts w:hint="eastAsia" w:cs="宋体"/>
                <w:color w:val="auto"/>
                <w:highlight w:val="none"/>
                <w:u w:val="single" w:color="auto"/>
                <w:lang w:eastAsia="zh-CN"/>
              </w:rPr>
              <w:t>乐昌市交通运输局</w:t>
            </w:r>
          </w:p>
          <w:p w14:paraId="12CECD9F">
            <w:pPr>
              <w:pStyle w:val="18"/>
              <w:spacing w:before="101" w:line="230" w:lineRule="auto"/>
              <w:ind w:left="243"/>
              <w:rPr>
                <w:color w:val="auto"/>
                <w:highlight w:val="none"/>
              </w:rPr>
            </w:pPr>
            <w:r>
              <w:rPr>
                <w:color w:val="auto"/>
                <w:spacing w:val="-5"/>
                <w:highlight w:val="none"/>
              </w:rPr>
              <w:t>电话：</w:t>
            </w:r>
            <w:r>
              <w:rPr>
                <w:rFonts w:hint="eastAsia"/>
                <w:color w:val="auto"/>
                <w:spacing w:val="-5"/>
                <w:highlight w:val="none"/>
                <w:u w:val="single"/>
                <w:lang w:eastAsia="zh-CN"/>
              </w:rPr>
              <w:t>0751-5574986</w:t>
            </w:r>
            <w:r>
              <w:rPr>
                <w:rFonts w:hint="eastAsia"/>
                <w:color w:val="auto"/>
                <w:spacing w:val="-5"/>
                <w:highlight w:val="none"/>
                <w:u w:val="single"/>
                <w:lang w:val="en-US" w:eastAsia="zh-CN"/>
              </w:rPr>
              <w:t xml:space="preserve"> </w:t>
            </w:r>
            <w:r>
              <w:rPr>
                <w:rFonts w:hint="eastAsia"/>
                <w:color w:val="auto"/>
                <w:spacing w:val="-5"/>
                <w:highlight w:val="none"/>
                <w:lang w:val="en-US" w:eastAsia="zh-CN"/>
              </w:rPr>
              <w:t xml:space="preserve"> </w:t>
            </w:r>
            <w:r>
              <w:rPr>
                <w:color w:val="auto"/>
                <w:spacing w:val="7"/>
                <w:highlight w:val="none"/>
              </w:rPr>
              <w:t>传真：</w:t>
            </w:r>
            <w:r>
              <w:rPr>
                <w:color w:val="auto"/>
                <w:highlight w:val="none"/>
                <w:u w:val="single" w:color="auto"/>
              </w:rPr>
              <w:t xml:space="preserve">     </w:t>
            </w:r>
            <w:r>
              <w:rPr>
                <w:rFonts w:hint="eastAsia"/>
                <w:color w:val="auto"/>
                <w:highlight w:val="none"/>
                <w:u w:val="single" w:color="auto"/>
                <w:lang w:val="en-US" w:eastAsia="zh-CN"/>
              </w:rPr>
              <w:t>/</w:t>
            </w:r>
            <w:r>
              <w:rPr>
                <w:color w:val="auto"/>
                <w:highlight w:val="none"/>
                <w:u w:val="single" w:color="auto"/>
              </w:rPr>
              <w:t xml:space="preserve">   </w:t>
            </w:r>
          </w:p>
          <w:p w14:paraId="4158F61A">
            <w:pPr>
              <w:pStyle w:val="18"/>
              <w:spacing w:before="152" w:line="228" w:lineRule="auto"/>
              <w:ind w:left="218"/>
              <w:rPr>
                <w:rFonts w:hint="eastAsia"/>
                <w:color w:val="auto"/>
                <w:highlight w:val="none"/>
                <w:u w:val="single" w:color="auto"/>
                <w:lang w:val="en-US" w:eastAsia="zh-CN"/>
              </w:rPr>
            </w:pPr>
            <w:r>
              <w:rPr>
                <w:color w:val="auto"/>
                <w:spacing w:val="5"/>
                <w:highlight w:val="none"/>
              </w:rPr>
              <w:t>通信地址：</w:t>
            </w:r>
            <w:r>
              <w:rPr>
                <w:color w:val="auto"/>
                <w:highlight w:val="none"/>
                <w:u w:val="single" w:color="auto"/>
              </w:rPr>
              <w:t xml:space="preserve"> </w:t>
            </w:r>
            <w:r>
              <w:rPr>
                <w:rFonts w:hint="eastAsia"/>
                <w:color w:val="auto"/>
                <w:highlight w:val="none"/>
                <w:u w:val="single" w:color="auto"/>
                <w:lang w:eastAsia="zh-CN"/>
              </w:rPr>
              <w:t>乐昌市公园路7号</w:t>
            </w:r>
            <w:r>
              <w:rPr>
                <w:rFonts w:hint="eastAsia"/>
                <w:color w:val="auto"/>
                <w:highlight w:val="none"/>
                <w:u w:val="single" w:color="auto"/>
                <w:lang w:val="en-US" w:eastAsia="zh-CN"/>
              </w:rPr>
              <w:t xml:space="preserve">   </w:t>
            </w:r>
          </w:p>
          <w:p w14:paraId="59202B7D">
            <w:pPr>
              <w:pStyle w:val="18"/>
              <w:spacing w:before="152" w:line="228" w:lineRule="auto"/>
              <w:ind w:left="218"/>
              <w:rPr>
                <w:color w:val="auto"/>
                <w:highlight w:val="none"/>
              </w:rPr>
            </w:pPr>
            <w:r>
              <w:rPr>
                <w:color w:val="auto"/>
                <w:spacing w:val="2"/>
                <w:highlight w:val="none"/>
              </w:rPr>
              <w:t>邮政编码：</w:t>
            </w:r>
            <w:r>
              <w:rPr>
                <w:rFonts w:hint="eastAsia"/>
                <w:color w:val="auto"/>
                <w:highlight w:val="none"/>
                <w:u w:val="single" w:color="auto"/>
                <w:lang w:val="en-US" w:eastAsia="zh-CN"/>
              </w:rPr>
              <w:t>512200</w:t>
            </w:r>
          </w:p>
          <w:p w14:paraId="48DBDE96">
            <w:pPr>
              <w:pStyle w:val="18"/>
              <w:spacing w:before="65" w:line="243" w:lineRule="auto"/>
              <w:ind w:left="221"/>
              <w:rPr>
                <w:color w:val="auto"/>
                <w:spacing w:val="10"/>
                <w:highlight w:val="none"/>
              </w:rPr>
            </w:pPr>
          </w:p>
          <w:p w14:paraId="72AC95D0">
            <w:pPr>
              <w:pStyle w:val="18"/>
              <w:spacing w:before="65" w:line="243" w:lineRule="auto"/>
              <w:ind w:left="221"/>
              <w:rPr>
                <w:rFonts w:hint="default" w:eastAsia="宋体"/>
                <w:color w:val="auto"/>
                <w:spacing w:val="1"/>
                <w:highlight w:val="none"/>
                <w:lang w:val="en-US" w:eastAsia="zh-CN"/>
              </w:rPr>
            </w:pPr>
            <w:r>
              <w:rPr>
                <w:color w:val="auto"/>
                <w:spacing w:val="10"/>
                <w:highlight w:val="none"/>
              </w:rPr>
              <w:t>项目管理单位</w:t>
            </w:r>
            <w:r>
              <w:rPr>
                <w:color w:val="auto"/>
                <w:spacing w:val="1"/>
                <w:highlight w:val="none"/>
              </w:rPr>
              <w:t>：</w:t>
            </w:r>
            <w:r>
              <w:rPr>
                <w:rFonts w:hint="eastAsia"/>
                <w:color w:val="auto"/>
                <w:spacing w:val="1"/>
                <w:highlight w:val="none"/>
                <w:u w:val="single"/>
                <w:lang w:eastAsia="zh-CN"/>
              </w:rPr>
              <w:t>乐昌市地方公路站（</w:t>
            </w:r>
            <w:r>
              <w:rPr>
                <w:rFonts w:hint="eastAsia"/>
                <w:color w:val="auto"/>
                <w:spacing w:val="1"/>
                <w:highlight w:val="none"/>
                <w:u w:val="single"/>
                <w:lang w:val="en-US" w:eastAsia="zh-CN"/>
              </w:rPr>
              <w:t>监督小组）</w:t>
            </w:r>
          </w:p>
          <w:p w14:paraId="676E47EF">
            <w:pPr>
              <w:pStyle w:val="18"/>
              <w:spacing w:before="65" w:line="243" w:lineRule="auto"/>
              <w:ind w:left="221"/>
              <w:rPr>
                <w:rFonts w:hint="eastAsia" w:eastAsia="宋体"/>
                <w:color w:val="auto"/>
                <w:spacing w:val="1"/>
                <w:highlight w:val="none"/>
                <w:lang w:eastAsia="zh-CN"/>
              </w:rPr>
            </w:pPr>
            <w:r>
              <w:rPr>
                <w:rFonts w:hint="eastAsia"/>
                <w:color w:val="auto"/>
                <w:spacing w:val="1"/>
                <w:highlight w:val="none"/>
              </w:rPr>
              <w:t>电    话：</w:t>
            </w:r>
            <w:r>
              <w:rPr>
                <w:rFonts w:hint="eastAsia"/>
                <w:color w:val="auto"/>
                <w:spacing w:val="1"/>
                <w:highlight w:val="none"/>
                <w:u w:val="single"/>
                <w:lang w:eastAsia="zh-CN"/>
              </w:rPr>
              <w:t>0751-5552728</w:t>
            </w:r>
          </w:p>
          <w:p w14:paraId="042A3CA7">
            <w:pPr>
              <w:pStyle w:val="18"/>
              <w:spacing w:before="65" w:line="243" w:lineRule="auto"/>
              <w:ind w:left="221"/>
              <w:rPr>
                <w:rFonts w:hint="eastAsia" w:eastAsia="宋体"/>
                <w:color w:val="auto"/>
                <w:spacing w:val="1"/>
                <w:highlight w:val="none"/>
                <w:lang w:eastAsia="zh-CN"/>
              </w:rPr>
            </w:pPr>
            <w:r>
              <w:rPr>
                <w:rFonts w:hint="eastAsia"/>
                <w:color w:val="auto"/>
                <w:spacing w:val="1"/>
                <w:highlight w:val="none"/>
              </w:rPr>
              <w:t>通信地址：</w:t>
            </w:r>
            <w:r>
              <w:rPr>
                <w:rFonts w:hint="eastAsia"/>
                <w:color w:val="auto"/>
                <w:spacing w:val="1"/>
                <w:highlight w:val="none"/>
                <w:u w:val="single"/>
                <w:lang w:eastAsia="zh-CN"/>
              </w:rPr>
              <w:t>韶关市乐昌市公主下路62号</w:t>
            </w:r>
          </w:p>
          <w:p w14:paraId="5943B985">
            <w:pPr>
              <w:pStyle w:val="18"/>
              <w:spacing w:before="65" w:line="243" w:lineRule="auto"/>
              <w:ind w:left="221"/>
              <w:rPr>
                <w:color w:val="auto"/>
                <w:highlight w:val="none"/>
              </w:rPr>
            </w:pPr>
            <w:r>
              <w:rPr>
                <w:color w:val="auto"/>
                <w:spacing w:val="1"/>
                <w:highlight w:val="none"/>
              </w:rPr>
              <w:t>邮政编码：</w:t>
            </w:r>
            <w:r>
              <w:rPr>
                <w:rFonts w:hint="eastAsia"/>
                <w:color w:val="auto"/>
                <w:highlight w:val="none"/>
                <w:u w:val="single" w:color="auto"/>
                <w:lang w:val="en-US" w:eastAsia="zh-CN"/>
              </w:rPr>
              <w:t>512200</w:t>
            </w:r>
          </w:p>
        </w:tc>
      </w:tr>
    </w:tbl>
    <w:p w14:paraId="4913965E">
      <w:pPr>
        <w:spacing w:line="474" w:lineRule="auto"/>
        <w:rPr>
          <w:rFonts w:ascii="Arial"/>
          <w:color w:val="auto"/>
          <w:sz w:val="21"/>
          <w:highlight w:val="none"/>
        </w:rPr>
      </w:pPr>
    </w:p>
    <w:p w14:paraId="15025FD1">
      <w:pPr>
        <w:spacing w:line="220" w:lineRule="auto"/>
        <w:rPr>
          <w:rFonts w:ascii="宋体" w:hAnsi="宋体" w:eastAsia="宋体" w:cs="宋体"/>
          <w:color w:val="auto"/>
          <w:sz w:val="18"/>
          <w:szCs w:val="18"/>
          <w:highlight w:val="none"/>
        </w:rPr>
        <w:sectPr>
          <w:footerReference r:id="rId18" w:type="default"/>
          <w:pgSz w:w="11906" w:h="16839"/>
          <w:pgMar w:top="1416" w:right="1578" w:bottom="1297" w:left="1304" w:header="0" w:footer="1065" w:gutter="0"/>
          <w:pgNumType w:fmt="decimal"/>
          <w:cols w:space="720" w:num="1"/>
        </w:sectPr>
      </w:pPr>
    </w:p>
    <w:tbl>
      <w:tblPr>
        <w:tblStyle w:val="17"/>
        <w:tblW w:w="878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13"/>
        <w:gridCol w:w="2877"/>
        <w:gridCol w:w="4891"/>
      </w:tblGrid>
      <w:tr w14:paraId="4E89D3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1013" w:type="dxa"/>
            <w:vAlign w:val="top"/>
          </w:tcPr>
          <w:p w14:paraId="158B416B">
            <w:pPr>
              <w:spacing w:line="275" w:lineRule="auto"/>
              <w:rPr>
                <w:rFonts w:ascii="Arial"/>
                <w:color w:val="auto"/>
                <w:sz w:val="21"/>
                <w:highlight w:val="none"/>
              </w:rPr>
            </w:pPr>
          </w:p>
          <w:p w14:paraId="007DAA03">
            <w:pPr>
              <w:pStyle w:val="18"/>
              <w:spacing w:before="65" w:line="269" w:lineRule="exact"/>
              <w:ind w:left="461"/>
              <w:rPr>
                <w:color w:val="auto"/>
                <w:highlight w:val="none"/>
              </w:rPr>
            </w:pPr>
            <w:r>
              <w:rPr>
                <w:color w:val="auto"/>
                <w:position w:val="1"/>
                <w:highlight w:val="none"/>
              </w:rPr>
              <w:t>9</w:t>
            </w:r>
          </w:p>
        </w:tc>
        <w:tc>
          <w:tcPr>
            <w:tcW w:w="2877" w:type="dxa"/>
            <w:vAlign w:val="top"/>
          </w:tcPr>
          <w:p w14:paraId="792897F9">
            <w:pPr>
              <w:spacing w:line="275" w:lineRule="auto"/>
              <w:rPr>
                <w:rFonts w:ascii="Arial"/>
                <w:color w:val="auto"/>
                <w:sz w:val="21"/>
                <w:highlight w:val="none"/>
              </w:rPr>
            </w:pPr>
          </w:p>
          <w:p w14:paraId="5261B40D">
            <w:pPr>
              <w:pStyle w:val="18"/>
              <w:spacing w:before="65" w:line="227" w:lineRule="auto"/>
              <w:ind w:left="396"/>
              <w:rPr>
                <w:color w:val="auto"/>
                <w:highlight w:val="none"/>
              </w:rPr>
            </w:pPr>
            <w:r>
              <w:rPr>
                <w:color w:val="auto"/>
                <w:spacing w:val="8"/>
                <w:highlight w:val="none"/>
              </w:rPr>
              <w:t>是否采用电子招标投标</w:t>
            </w:r>
          </w:p>
        </w:tc>
        <w:tc>
          <w:tcPr>
            <w:tcW w:w="4891" w:type="dxa"/>
            <w:vAlign w:val="top"/>
          </w:tcPr>
          <w:p w14:paraId="4E51B153">
            <w:pPr>
              <w:pStyle w:val="18"/>
              <w:spacing w:before="141" w:line="228" w:lineRule="auto"/>
              <w:ind w:left="134"/>
              <w:rPr>
                <w:color w:val="auto"/>
                <w:highlight w:val="none"/>
              </w:rPr>
            </w:pPr>
            <w:r>
              <w:rPr>
                <w:color w:val="auto"/>
                <w:spacing w:val="-5"/>
                <w:highlight w:val="none"/>
              </w:rPr>
              <w:t>□否</w:t>
            </w:r>
          </w:p>
          <w:p w14:paraId="04972984">
            <w:pPr>
              <w:pStyle w:val="18"/>
              <w:spacing w:before="153" w:line="228" w:lineRule="auto"/>
              <w:ind w:left="121"/>
              <w:rPr>
                <w:color w:val="auto"/>
                <w:highlight w:val="none"/>
              </w:rPr>
            </w:pPr>
            <w:r>
              <w:rPr>
                <w:rFonts w:ascii="MS Gothic" w:hAnsi="MS Gothic" w:eastAsia="MS Gothic" w:cs="MS Gothic"/>
                <w:color w:val="auto"/>
                <w:spacing w:val="6"/>
                <w:highlight w:val="none"/>
              </w:rPr>
              <w:t>☑</w:t>
            </w:r>
            <w:r>
              <w:rPr>
                <w:color w:val="auto"/>
                <w:spacing w:val="6"/>
                <w:highlight w:val="none"/>
              </w:rPr>
              <w:t>是，</w:t>
            </w:r>
            <w:r>
              <w:rPr>
                <w:color w:val="auto"/>
                <w:spacing w:val="-57"/>
                <w:highlight w:val="none"/>
              </w:rPr>
              <w:t xml:space="preserve"> </w:t>
            </w:r>
            <w:r>
              <w:rPr>
                <w:color w:val="auto"/>
                <w:spacing w:val="6"/>
                <w:highlight w:val="none"/>
              </w:rPr>
              <w:t>电子招标投标的其他要求：</w:t>
            </w:r>
            <w:r>
              <w:rPr>
                <w:rFonts w:hint="eastAsia" w:ascii="宋体" w:hAnsi="宋体" w:eastAsia="宋体" w:cs="宋体"/>
                <w:b/>
                <w:color w:val="auto"/>
                <w:sz w:val="20"/>
                <w:szCs w:val="20"/>
                <w:highlight w:val="none"/>
                <w:u w:val="double"/>
              </w:rPr>
              <w:t>投标人必须在规定的截止时间前使用建设工程交易系统完成电子投标(包括缴纳投标保证金)，只有满足以上所有条件，方为有效投标。</w:t>
            </w:r>
          </w:p>
        </w:tc>
      </w:tr>
      <w:tr w14:paraId="6316E6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8781" w:type="dxa"/>
            <w:gridSpan w:val="3"/>
            <w:vAlign w:val="top"/>
          </w:tcPr>
          <w:p w14:paraId="25A7DFF6">
            <w:pPr>
              <w:pStyle w:val="18"/>
              <w:spacing w:before="142" w:line="228" w:lineRule="auto"/>
              <w:ind w:left="126"/>
              <w:rPr>
                <w:color w:val="auto"/>
                <w:highlight w:val="none"/>
              </w:rPr>
            </w:pPr>
            <w:r>
              <w:rPr>
                <w:b/>
                <w:bCs/>
                <w:color w:val="auto"/>
                <w:spacing w:val="6"/>
                <w:highlight w:val="none"/>
              </w:rPr>
              <w:t>需要补充的其他内容</w:t>
            </w:r>
          </w:p>
        </w:tc>
      </w:tr>
      <w:tr w14:paraId="4168AA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6" w:hRule="atLeast"/>
        </w:trPr>
        <w:tc>
          <w:tcPr>
            <w:tcW w:w="1013" w:type="dxa"/>
            <w:vAlign w:val="top"/>
          </w:tcPr>
          <w:p w14:paraId="6CB4F34A">
            <w:pPr>
              <w:pStyle w:val="18"/>
              <w:spacing w:before="256" w:line="267" w:lineRule="exact"/>
              <w:ind w:left="264"/>
              <w:rPr>
                <w:color w:val="auto"/>
                <w:highlight w:val="none"/>
              </w:rPr>
            </w:pPr>
            <w:r>
              <w:rPr>
                <w:color w:val="auto"/>
                <w:position w:val="1"/>
                <w:highlight w:val="none"/>
              </w:rPr>
              <w:t>1.4.4</w:t>
            </w:r>
          </w:p>
        </w:tc>
        <w:tc>
          <w:tcPr>
            <w:tcW w:w="7768" w:type="dxa"/>
            <w:gridSpan w:val="2"/>
            <w:vAlign w:val="top"/>
          </w:tcPr>
          <w:p w14:paraId="3D732467">
            <w:pPr>
              <w:pStyle w:val="18"/>
              <w:spacing w:before="255" w:line="228" w:lineRule="auto"/>
              <w:ind w:left="112"/>
              <w:rPr>
                <w:color w:val="auto"/>
                <w:spacing w:val="4"/>
                <w:highlight w:val="none"/>
              </w:rPr>
            </w:pPr>
            <w:r>
              <w:rPr>
                <w:color w:val="auto"/>
                <w:spacing w:val="4"/>
                <w:highlight w:val="none"/>
              </w:rPr>
              <w:t>第</w:t>
            </w:r>
            <w:r>
              <w:rPr>
                <w:color w:val="auto"/>
                <w:spacing w:val="-14"/>
                <w:highlight w:val="none"/>
              </w:rPr>
              <w:t xml:space="preserve"> </w:t>
            </w:r>
            <w:r>
              <w:rPr>
                <w:color w:val="auto"/>
                <w:spacing w:val="4"/>
                <w:highlight w:val="none"/>
              </w:rPr>
              <w:t>1.4.4</w:t>
            </w:r>
            <w:r>
              <w:rPr>
                <w:color w:val="auto"/>
                <w:spacing w:val="-35"/>
                <w:highlight w:val="none"/>
              </w:rPr>
              <w:t xml:space="preserve"> </w:t>
            </w:r>
            <w:r>
              <w:rPr>
                <w:color w:val="auto"/>
                <w:spacing w:val="4"/>
                <w:highlight w:val="none"/>
              </w:rPr>
              <w:t>项中（1）</w:t>
            </w:r>
            <w:r>
              <w:rPr>
                <w:color w:val="auto"/>
                <w:spacing w:val="-42"/>
                <w:highlight w:val="none"/>
              </w:rPr>
              <w:t xml:space="preserve"> </w:t>
            </w:r>
            <w:r>
              <w:rPr>
                <w:color w:val="auto"/>
                <w:spacing w:val="4"/>
                <w:highlight w:val="none"/>
              </w:rPr>
              <w:t>目中的“招标项目所在地</w:t>
            </w:r>
            <w:r>
              <w:rPr>
                <w:color w:val="auto"/>
                <w:spacing w:val="-72"/>
                <w:highlight w:val="none"/>
              </w:rPr>
              <w:t xml:space="preserve"> </w:t>
            </w:r>
            <w:r>
              <w:rPr>
                <w:color w:val="auto"/>
                <w:spacing w:val="4"/>
                <w:highlight w:val="none"/>
              </w:rPr>
              <w:t>”指“广东省</w:t>
            </w:r>
            <w:r>
              <w:rPr>
                <w:color w:val="auto"/>
                <w:spacing w:val="-72"/>
                <w:highlight w:val="none"/>
              </w:rPr>
              <w:t xml:space="preserve"> </w:t>
            </w:r>
            <w:r>
              <w:rPr>
                <w:color w:val="auto"/>
                <w:spacing w:val="4"/>
                <w:highlight w:val="none"/>
              </w:rPr>
              <w:t>”。</w:t>
            </w:r>
          </w:p>
          <w:p w14:paraId="3BCFD069">
            <w:pPr>
              <w:pStyle w:val="18"/>
              <w:spacing w:before="255" w:line="228" w:lineRule="auto"/>
              <w:ind w:left="112"/>
              <w:rPr>
                <w:rFonts w:hint="eastAsia"/>
                <w:color w:val="auto"/>
                <w:spacing w:val="4"/>
                <w:highlight w:val="none"/>
              </w:rPr>
            </w:pPr>
            <w:r>
              <w:rPr>
                <w:rFonts w:hint="eastAsia"/>
                <w:color w:val="auto"/>
                <w:spacing w:val="4"/>
                <w:highlight w:val="none"/>
              </w:rPr>
              <w:t>第 1.4.4 (6) 目内容细化如下：</w:t>
            </w:r>
          </w:p>
          <w:p w14:paraId="59D43A29">
            <w:pPr>
              <w:pStyle w:val="18"/>
              <w:spacing w:before="255" w:line="228" w:lineRule="auto"/>
              <w:ind w:left="112"/>
              <w:rPr>
                <w:color w:val="auto"/>
                <w:spacing w:val="4"/>
                <w:highlight w:val="none"/>
              </w:rPr>
            </w:pPr>
            <w:r>
              <w:rPr>
                <w:rFonts w:hint="eastAsia"/>
                <w:color w:val="auto"/>
                <w:spacing w:val="4"/>
                <w:highlight w:val="none"/>
              </w:rPr>
              <w:t>投标人及其法定代表人、拟委任的总监理工程师（含备选，如有）或驻地监理工程师（含备选，如有）在近三年内有行贿犯罪行为的（以投标人投标函中的承诺为准）。</w:t>
            </w:r>
          </w:p>
        </w:tc>
      </w:tr>
      <w:tr w14:paraId="7C63E9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6" w:hRule="atLeast"/>
        </w:trPr>
        <w:tc>
          <w:tcPr>
            <w:tcW w:w="1013" w:type="dxa"/>
            <w:vAlign w:val="center"/>
          </w:tcPr>
          <w:p w14:paraId="7E2F610F">
            <w:pPr>
              <w:spacing w:line="380" w:lineRule="exact"/>
              <w:jc w:val="center"/>
              <w:rPr>
                <w:color w:val="auto"/>
                <w:position w:val="1"/>
                <w:highlight w:val="none"/>
              </w:rPr>
            </w:pPr>
            <w:r>
              <w:rPr>
                <w:rFonts w:hint="eastAsia" w:ascii="宋体" w:hAnsi="宋体" w:eastAsia="宋体" w:cs="宋体"/>
                <w:color w:val="auto"/>
                <w:sz w:val="20"/>
                <w:szCs w:val="20"/>
                <w:highlight w:val="none"/>
              </w:rPr>
              <w:t>2.2</w:t>
            </w:r>
          </w:p>
        </w:tc>
        <w:tc>
          <w:tcPr>
            <w:tcW w:w="7768" w:type="dxa"/>
            <w:gridSpan w:val="2"/>
            <w:vAlign w:val="center"/>
          </w:tcPr>
          <w:p w14:paraId="7D44DC11">
            <w:pPr>
              <w:pStyle w:val="19"/>
              <w:keepNext w:val="0"/>
              <w:keepLines w:val="0"/>
              <w:pageBreakBefore w:val="0"/>
              <w:wordWrap/>
              <w:overflowPunct/>
              <w:topLinePunct w:val="0"/>
              <w:bidi w:val="0"/>
              <w:spacing w:line="360" w:lineRule="exact"/>
              <w:jc w:val="both"/>
              <w:rPr>
                <w:rFonts w:hint="eastAsia" w:ascii="宋体" w:hAnsi="宋体" w:eastAsia="宋体" w:cs="宋体"/>
                <w:color w:val="auto"/>
                <w:kern w:val="2"/>
                <w:sz w:val="20"/>
                <w:szCs w:val="20"/>
                <w:highlight w:val="none"/>
              </w:rPr>
            </w:pPr>
            <w:r>
              <w:rPr>
                <w:rFonts w:hint="eastAsia" w:ascii="宋体" w:hAnsi="宋体" w:eastAsia="宋体" w:cs="宋体"/>
                <w:color w:val="auto"/>
                <w:kern w:val="2"/>
                <w:sz w:val="20"/>
                <w:szCs w:val="20"/>
                <w:highlight w:val="none"/>
              </w:rPr>
              <w:t>投标人须知</w:t>
            </w:r>
            <w:r>
              <w:rPr>
                <w:rFonts w:hint="eastAsia" w:ascii="宋体" w:hAnsi="宋体" w:eastAsia="宋体" w:cs="宋体"/>
                <w:color w:val="auto"/>
                <w:sz w:val="20"/>
                <w:szCs w:val="20"/>
                <w:highlight w:val="none"/>
              </w:rPr>
              <w:t>正文</w:t>
            </w:r>
            <w:r>
              <w:rPr>
                <w:rFonts w:hint="eastAsia" w:ascii="宋体" w:hAnsi="宋体" w:eastAsia="宋体" w:cs="宋体"/>
                <w:color w:val="auto"/>
                <w:kern w:val="2"/>
                <w:sz w:val="20"/>
                <w:szCs w:val="20"/>
                <w:highlight w:val="none"/>
              </w:rPr>
              <w:t>2.2款增加内容如下：</w:t>
            </w:r>
          </w:p>
          <w:p w14:paraId="61B29ED6">
            <w:pPr>
              <w:keepNext w:val="0"/>
              <w:keepLines w:val="0"/>
              <w:pageBreakBefore w:val="0"/>
              <w:wordWrap/>
              <w:overflowPunct/>
              <w:topLinePunct w:val="0"/>
              <w:bidi w:val="0"/>
              <w:spacing w:line="360" w:lineRule="exact"/>
              <w:ind w:firstLine="400" w:firstLineChars="200"/>
              <w:rPr>
                <w:rFonts w:hint="eastAsia"/>
                <w:color w:val="auto"/>
                <w:spacing w:val="4"/>
                <w:highlight w:val="none"/>
              </w:rPr>
            </w:pPr>
            <w:r>
              <w:rPr>
                <w:rFonts w:hint="eastAsia" w:ascii="宋体" w:hAnsi="宋体" w:eastAsia="宋体" w:cs="宋体"/>
                <w:color w:val="auto"/>
                <w:sz w:val="20"/>
                <w:szCs w:val="20"/>
                <w:highlight w:val="none"/>
                <w:lang w:val="en-US" w:eastAsia="zh-CN"/>
              </w:rPr>
              <w:t xml:space="preserve">2.2.5 </w:t>
            </w:r>
            <w:r>
              <w:rPr>
                <w:rFonts w:hint="eastAsia" w:ascii="宋体" w:hAnsi="宋体" w:eastAsia="宋体" w:cs="宋体"/>
                <w:color w:val="auto"/>
                <w:sz w:val="20"/>
                <w:szCs w:val="20"/>
                <w:highlight w:val="none"/>
              </w:rPr>
              <w:t>澄清和修改内容将以编号的补遗书</w:t>
            </w:r>
            <w:r>
              <w:rPr>
                <w:rFonts w:hint="eastAsia" w:ascii="宋体" w:hAnsi="宋体" w:eastAsia="宋体" w:cs="宋体"/>
                <w:color w:val="auto"/>
                <w:sz w:val="20"/>
                <w:szCs w:val="20"/>
                <w:highlight w:val="none"/>
                <w:shd w:val="clear" w:color="auto" w:fill="auto"/>
              </w:rPr>
              <w:t>或补充公告</w:t>
            </w:r>
            <w:r>
              <w:rPr>
                <w:rFonts w:hint="eastAsia" w:ascii="宋体" w:hAnsi="宋体" w:eastAsia="宋体" w:cs="宋体"/>
                <w:color w:val="auto"/>
                <w:sz w:val="20"/>
                <w:szCs w:val="20"/>
                <w:highlight w:val="none"/>
              </w:rPr>
              <w:t>形式在全国公共资源交易平台 （广东省· 韶关市）（https://ygp.gdzwfw.gov.cn/ggzy-portal/#/440200/index）建设工程栏目的公告公示上发布。补遗书</w:t>
            </w:r>
            <w:r>
              <w:rPr>
                <w:rFonts w:hint="eastAsia" w:ascii="宋体" w:hAnsi="宋体" w:eastAsia="宋体" w:cs="宋体"/>
                <w:color w:val="auto"/>
                <w:sz w:val="20"/>
                <w:szCs w:val="20"/>
                <w:highlight w:val="none"/>
                <w:shd w:val="clear" w:color="auto" w:fill="auto"/>
              </w:rPr>
              <w:t>或补充公告</w:t>
            </w:r>
            <w:r>
              <w:rPr>
                <w:rFonts w:hint="eastAsia" w:ascii="宋体" w:hAnsi="宋体" w:eastAsia="宋体" w:cs="宋体"/>
                <w:color w:val="auto"/>
                <w:sz w:val="20"/>
                <w:szCs w:val="20"/>
                <w:highlight w:val="none"/>
              </w:rPr>
              <w:t>作为招标文件的组成部分，对所有投标人均具有约束力。</w:t>
            </w:r>
          </w:p>
        </w:tc>
      </w:tr>
      <w:tr w14:paraId="794150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6" w:hRule="atLeast"/>
        </w:trPr>
        <w:tc>
          <w:tcPr>
            <w:tcW w:w="1013" w:type="dxa"/>
            <w:vAlign w:val="center"/>
          </w:tcPr>
          <w:p w14:paraId="4CE15007">
            <w:pPr>
              <w:autoSpaceDE w:val="0"/>
              <w:autoSpaceDN w:val="0"/>
              <w:spacing w:line="480" w:lineRule="auto"/>
              <w:jc w:val="center"/>
              <w:rPr>
                <w:rFonts w:hint="eastAsia" w:ascii="宋体" w:hAnsi="宋体" w:eastAsia="宋体" w:cs="宋体"/>
                <w:color w:val="auto"/>
                <w:sz w:val="20"/>
                <w:szCs w:val="20"/>
                <w:highlight w:val="none"/>
              </w:rPr>
            </w:pPr>
            <w:r>
              <w:rPr>
                <w:rFonts w:hint="eastAsia" w:ascii="宋体" w:hAnsi="宋体" w:eastAsia="宋体" w:cs="宋体"/>
                <w:bCs/>
                <w:color w:val="auto"/>
                <w:kern w:val="0"/>
                <w:sz w:val="20"/>
                <w:szCs w:val="20"/>
                <w:highlight w:val="none"/>
              </w:rPr>
              <w:t>2.3</w:t>
            </w:r>
          </w:p>
        </w:tc>
        <w:tc>
          <w:tcPr>
            <w:tcW w:w="7768" w:type="dxa"/>
            <w:gridSpan w:val="2"/>
            <w:vAlign w:val="center"/>
          </w:tcPr>
          <w:p w14:paraId="5DAE0FA7">
            <w:pPr>
              <w:keepNext w:val="0"/>
              <w:keepLines w:val="0"/>
              <w:pageBreakBefore w:val="0"/>
              <w:wordWrap/>
              <w:overflowPunct/>
              <w:topLinePunct w:val="0"/>
              <w:autoSpaceDE w:val="0"/>
              <w:autoSpaceDN w:val="0"/>
              <w:bidi w:val="0"/>
              <w:adjustRightInd w:val="0"/>
              <w:spacing w:line="360" w:lineRule="exact"/>
              <w:ind w:right="176"/>
              <w:jc w:val="left"/>
              <w:rPr>
                <w:rFonts w:hint="eastAsia" w:ascii="宋体" w:hAnsi="宋体" w:eastAsia="宋体" w:cs="宋体"/>
                <w:b w:val="0"/>
                <w:bCs w:val="0"/>
                <w:color w:val="auto"/>
                <w:kern w:val="2"/>
                <w:sz w:val="20"/>
                <w:szCs w:val="20"/>
                <w:highlight w:val="none"/>
                <w:lang w:val="en-US" w:eastAsia="zh-CN" w:bidi="ar-SA"/>
              </w:rPr>
            </w:pPr>
            <w:r>
              <w:rPr>
                <w:rFonts w:hint="eastAsia" w:ascii="宋体" w:hAnsi="宋体" w:eastAsia="宋体" w:cs="宋体"/>
                <w:b w:val="0"/>
                <w:bCs w:val="0"/>
                <w:color w:val="auto"/>
                <w:kern w:val="2"/>
                <w:sz w:val="20"/>
                <w:szCs w:val="20"/>
                <w:highlight w:val="none"/>
                <w:lang w:val="en-US" w:eastAsia="zh-CN" w:bidi="ar-SA"/>
              </w:rPr>
              <w:t>投标人须知正文第2.3款内容修改如下：</w:t>
            </w:r>
          </w:p>
          <w:p w14:paraId="73452847">
            <w:pPr>
              <w:keepNext w:val="0"/>
              <w:keepLines w:val="0"/>
              <w:pageBreakBefore w:val="0"/>
              <w:wordWrap/>
              <w:overflowPunct/>
              <w:topLinePunct w:val="0"/>
              <w:bidi w:val="0"/>
              <w:spacing w:line="360" w:lineRule="exact"/>
              <w:ind w:firstLine="400" w:firstLineChars="200"/>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kern w:val="2"/>
                <w:sz w:val="20"/>
                <w:szCs w:val="20"/>
                <w:highlight w:val="none"/>
                <w:lang w:val="en-US" w:eastAsia="zh-CN" w:bidi="ar-SA"/>
              </w:rPr>
              <w:t>2.3.1在投标人须知前附表规定的截止投标时间15天前，招标人可以书面修改招标文件，并在全国公共资源交易平台 （广东省·韶关市）网站上发布。如果修改招标文件的时间超出规定的截止时间，相应延长投标截止时间。</w:t>
            </w:r>
          </w:p>
          <w:p w14:paraId="0C27AE67">
            <w:pPr>
              <w:keepNext w:val="0"/>
              <w:keepLines w:val="0"/>
              <w:pageBreakBefore w:val="0"/>
              <w:wordWrap/>
              <w:overflowPunct/>
              <w:topLinePunct w:val="0"/>
              <w:bidi w:val="0"/>
              <w:spacing w:line="360" w:lineRule="exact"/>
              <w:ind w:firstLine="400" w:firstLineChars="200"/>
              <w:rPr>
                <w:rFonts w:hint="eastAsia" w:ascii="宋体" w:hAnsi="宋体" w:eastAsia="宋体" w:cs="宋体"/>
                <w:color w:val="auto"/>
                <w:sz w:val="20"/>
                <w:szCs w:val="20"/>
                <w:highlight w:val="none"/>
                <w:lang w:val="en-US" w:eastAsia="zh-CN"/>
              </w:rPr>
            </w:pPr>
            <w:r>
              <w:rPr>
                <w:rFonts w:hint="eastAsia" w:ascii="宋体" w:hAnsi="宋体" w:eastAsia="宋体" w:cs="宋体"/>
                <w:color w:val="auto"/>
                <w:kern w:val="2"/>
                <w:sz w:val="20"/>
                <w:szCs w:val="20"/>
                <w:highlight w:val="none"/>
                <w:lang w:val="en-US" w:eastAsia="zh-CN" w:bidi="ar-SA"/>
              </w:rPr>
              <w:t>2.3.2招标文件的修改及有关补充通知一经在全国公共资源交易平台 （广东省·韶关市）网站上发布，视作已发放给所有投标人。</w:t>
            </w:r>
            <w:r>
              <w:rPr>
                <w:rFonts w:hint="eastAsia" w:ascii="宋体" w:hAnsi="宋体" w:eastAsia="宋体" w:cs="宋体"/>
                <w:strike w:val="0"/>
                <w:dstrike w:val="0"/>
                <w:color w:val="auto"/>
                <w:kern w:val="2"/>
                <w:sz w:val="20"/>
                <w:szCs w:val="20"/>
                <w:highlight w:val="none"/>
                <w:lang w:val="en-US" w:eastAsia="zh-CN" w:bidi="ar-SA"/>
              </w:rPr>
              <w:t>投标人应注意及时浏览网上发出的修改，因投标人自身原因未及时获知修改内容而导致的任何后果将由投标人自行承担。</w:t>
            </w:r>
          </w:p>
        </w:tc>
      </w:tr>
      <w:tr w14:paraId="4CB2B5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6" w:hRule="atLeast"/>
        </w:trPr>
        <w:tc>
          <w:tcPr>
            <w:tcW w:w="1013" w:type="dxa"/>
            <w:vAlign w:val="center"/>
          </w:tcPr>
          <w:p w14:paraId="7F19AB78">
            <w:pPr>
              <w:spacing w:line="380" w:lineRule="exact"/>
              <w:jc w:val="center"/>
              <w:rPr>
                <w:rFonts w:hint="eastAsia" w:ascii="宋体" w:hAnsi="宋体" w:eastAsia="宋体" w:cs="宋体"/>
                <w:bCs/>
                <w:color w:val="auto"/>
                <w:kern w:val="0"/>
                <w:sz w:val="20"/>
                <w:szCs w:val="20"/>
                <w:highlight w:val="none"/>
              </w:rPr>
            </w:pPr>
            <w:r>
              <w:rPr>
                <w:rFonts w:hint="eastAsia" w:ascii="宋体" w:hAnsi="宋体" w:eastAsia="宋体" w:cs="宋体"/>
                <w:color w:val="auto"/>
                <w:sz w:val="20"/>
                <w:szCs w:val="20"/>
                <w:highlight w:val="none"/>
              </w:rPr>
              <w:t>3.1.1</w:t>
            </w:r>
          </w:p>
        </w:tc>
        <w:tc>
          <w:tcPr>
            <w:tcW w:w="7768" w:type="dxa"/>
            <w:gridSpan w:val="2"/>
            <w:vAlign w:val="center"/>
          </w:tcPr>
          <w:p w14:paraId="37D0F562">
            <w:pPr>
              <w:keepNext w:val="0"/>
              <w:keepLines w:val="0"/>
              <w:pageBreakBefore w:val="0"/>
              <w:wordWrap/>
              <w:overflowPunct/>
              <w:topLinePunct w:val="0"/>
              <w:bidi w:val="0"/>
              <w:spacing w:line="360" w:lineRule="exact"/>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将投标人须知原文3.1.1款修改如下：</w:t>
            </w:r>
          </w:p>
          <w:p w14:paraId="0C009EF0">
            <w:pPr>
              <w:keepNext w:val="0"/>
              <w:keepLines w:val="0"/>
              <w:pageBreakBefore w:val="0"/>
              <w:wordWrap/>
              <w:overflowPunct/>
              <w:topLinePunct w:val="0"/>
              <w:bidi w:val="0"/>
              <w:spacing w:line="360" w:lineRule="exact"/>
              <w:ind w:firstLine="400" w:firstLineChars="200"/>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3.1.1 投标文件应采用双信封形式，包括下列内容：</w:t>
            </w:r>
          </w:p>
          <w:p w14:paraId="12FD3EE2">
            <w:pPr>
              <w:keepNext w:val="0"/>
              <w:keepLines w:val="0"/>
              <w:pageBreakBefore w:val="0"/>
              <w:wordWrap/>
              <w:overflowPunct/>
              <w:topLinePunct w:val="0"/>
              <w:bidi w:val="0"/>
              <w:spacing w:line="360" w:lineRule="exact"/>
              <w:ind w:firstLine="400" w:firstLineChars="200"/>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第一个信封（商务及技术文件）：</w:t>
            </w:r>
          </w:p>
          <w:p w14:paraId="61F8A23F">
            <w:pPr>
              <w:keepNext w:val="0"/>
              <w:keepLines w:val="0"/>
              <w:pageBreakBefore w:val="0"/>
              <w:wordWrap/>
              <w:overflowPunct/>
              <w:topLinePunct w:val="0"/>
              <w:bidi w:val="0"/>
              <w:spacing w:line="360" w:lineRule="exact"/>
              <w:ind w:firstLine="400" w:firstLineChars="200"/>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（1）投标函；</w:t>
            </w:r>
          </w:p>
          <w:p w14:paraId="01B6EFFD">
            <w:pPr>
              <w:keepNext w:val="0"/>
              <w:keepLines w:val="0"/>
              <w:pageBreakBefore w:val="0"/>
              <w:wordWrap/>
              <w:overflowPunct/>
              <w:topLinePunct w:val="0"/>
              <w:bidi w:val="0"/>
              <w:spacing w:line="360" w:lineRule="exact"/>
              <w:ind w:firstLine="400" w:firstLineChars="200"/>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（2）授权委托书或法定代表人身份证明；</w:t>
            </w:r>
          </w:p>
          <w:p w14:paraId="3FF736E4">
            <w:pPr>
              <w:keepNext w:val="0"/>
              <w:keepLines w:val="0"/>
              <w:pageBreakBefore w:val="0"/>
              <w:wordWrap/>
              <w:overflowPunct/>
              <w:topLinePunct w:val="0"/>
              <w:bidi w:val="0"/>
              <w:spacing w:line="360" w:lineRule="exact"/>
              <w:ind w:firstLine="400" w:firstLineChars="200"/>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（3）联合体协议书；</w:t>
            </w:r>
          </w:p>
          <w:p w14:paraId="0C72DD11">
            <w:pPr>
              <w:keepNext w:val="0"/>
              <w:keepLines w:val="0"/>
              <w:pageBreakBefore w:val="0"/>
              <w:wordWrap/>
              <w:overflowPunct/>
              <w:topLinePunct w:val="0"/>
              <w:bidi w:val="0"/>
              <w:spacing w:line="360" w:lineRule="exact"/>
              <w:ind w:firstLine="400" w:firstLineChars="200"/>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（4）投标保证金；</w:t>
            </w:r>
          </w:p>
          <w:p w14:paraId="4BFEBA6D">
            <w:pPr>
              <w:keepNext w:val="0"/>
              <w:keepLines w:val="0"/>
              <w:pageBreakBefore w:val="0"/>
              <w:wordWrap/>
              <w:overflowPunct/>
              <w:topLinePunct w:val="0"/>
              <w:bidi w:val="0"/>
              <w:spacing w:line="360" w:lineRule="exact"/>
              <w:ind w:firstLine="400" w:firstLineChars="200"/>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（5）资格审查资料；</w:t>
            </w:r>
          </w:p>
          <w:p w14:paraId="2BE0D555">
            <w:pPr>
              <w:keepNext w:val="0"/>
              <w:keepLines w:val="0"/>
              <w:pageBreakBefore w:val="0"/>
              <w:wordWrap/>
              <w:overflowPunct/>
              <w:topLinePunct w:val="0"/>
              <w:bidi w:val="0"/>
              <w:spacing w:line="360" w:lineRule="exact"/>
              <w:ind w:firstLine="400" w:firstLineChars="200"/>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（6）投标人须知前附表规定的其他资料；</w:t>
            </w:r>
          </w:p>
          <w:p w14:paraId="2B78008A">
            <w:pPr>
              <w:keepNext w:val="0"/>
              <w:keepLines w:val="0"/>
              <w:pageBreakBefore w:val="0"/>
              <w:wordWrap/>
              <w:overflowPunct/>
              <w:topLinePunct w:val="0"/>
              <w:bidi w:val="0"/>
              <w:spacing w:line="360" w:lineRule="exact"/>
              <w:ind w:firstLine="400" w:firstLineChars="200"/>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（7）技术建议书。</w:t>
            </w:r>
          </w:p>
          <w:p w14:paraId="4854FB1F">
            <w:pPr>
              <w:keepNext w:val="0"/>
              <w:keepLines w:val="0"/>
              <w:pageBreakBefore w:val="0"/>
              <w:wordWrap/>
              <w:overflowPunct/>
              <w:topLinePunct w:val="0"/>
              <w:bidi w:val="0"/>
              <w:spacing w:line="360" w:lineRule="exact"/>
              <w:ind w:firstLine="400" w:firstLineChars="200"/>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第二个信封（报价文件）：</w:t>
            </w:r>
          </w:p>
          <w:p w14:paraId="6E413757">
            <w:pPr>
              <w:keepNext w:val="0"/>
              <w:keepLines w:val="0"/>
              <w:pageBreakBefore w:val="0"/>
              <w:wordWrap/>
              <w:overflowPunct/>
              <w:topLinePunct w:val="0"/>
              <w:bidi w:val="0"/>
              <w:spacing w:line="360" w:lineRule="exact"/>
              <w:ind w:firstLine="400" w:firstLineChars="200"/>
              <w:rPr>
                <w:rFonts w:hint="eastAsia" w:ascii="宋体" w:hAnsi="宋体" w:eastAsia="宋体" w:cs="宋体"/>
                <w:color w:val="auto"/>
                <w:sz w:val="20"/>
                <w:szCs w:val="20"/>
                <w:highlight w:val="none"/>
                <w:lang w:eastAsia="zh-CN"/>
              </w:rPr>
            </w:pPr>
            <w:r>
              <w:rPr>
                <w:rFonts w:hint="eastAsia" w:ascii="宋体" w:hAnsi="宋体" w:eastAsia="宋体" w:cs="宋体"/>
                <w:color w:val="auto"/>
                <w:sz w:val="20"/>
                <w:szCs w:val="20"/>
                <w:highlight w:val="none"/>
              </w:rPr>
              <w:t>（1）投标函</w:t>
            </w:r>
          </w:p>
          <w:p w14:paraId="078A503E">
            <w:pPr>
              <w:keepNext w:val="0"/>
              <w:keepLines w:val="0"/>
              <w:pageBreakBefore w:val="0"/>
              <w:wordWrap/>
              <w:overflowPunct/>
              <w:topLinePunct w:val="0"/>
              <w:bidi w:val="0"/>
              <w:spacing w:line="360" w:lineRule="exact"/>
              <w:ind w:firstLine="400" w:firstLineChars="200"/>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（2）</w:t>
            </w:r>
            <w:r>
              <w:rPr>
                <w:rFonts w:hint="eastAsia" w:ascii="宋体" w:hAnsi="宋体" w:eastAsia="宋体" w:cs="宋体"/>
                <w:color w:val="auto"/>
                <w:sz w:val="20"/>
                <w:szCs w:val="20"/>
                <w:highlight w:val="none"/>
              </w:rPr>
              <w:t>监理服务费用清单</w:t>
            </w:r>
          </w:p>
          <w:p w14:paraId="65B1468E">
            <w:pPr>
              <w:keepNext w:val="0"/>
              <w:keepLines w:val="0"/>
              <w:pageBreakBefore w:val="0"/>
              <w:wordWrap/>
              <w:overflowPunct/>
              <w:topLinePunct w:val="0"/>
              <w:bidi w:val="0"/>
              <w:spacing w:line="360" w:lineRule="exact"/>
              <w:ind w:firstLine="400" w:firstLineChars="200"/>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lang w:val="en-US" w:eastAsia="zh-CN"/>
              </w:rPr>
              <w:t>（3）定标佐证资料（格式自拟）</w:t>
            </w:r>
          </w:p>
          <w:p w14:paraId="73CE16A6">
            <w:pPr>
              <w:pStyle w:val="16"/>
              <w:keepNext w:val="0"/>
              <w:keepLines w:val="0"/>
              <w:pageBreakBefore w:val="0"/>
              <w:wordWrap/>
              <w:overflowPunct/>
              <w:topLinePunct w:val="0"/>
              <w:bidi w:val="0"/>
              <w:spacing w:line="360" w:lineRule="exact"/>
              <w:ind w:firstLine="561" w:firstLineChars="0"/>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sz w:val="20"/>
                <w:szCs w:val="20"/>
                <w:highlight w:val="none"/>
              </w:rPr>
              <w:t>投标人在评标过程中作出的符合法律法规和招标文件规定的澄清确认，构成投标文件的组成部分。</w:t>
            </w:r>
          </w:p>
        </w:tc>
      </w:tr>
      <w:tr w14:paraId="1C0938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1013" w:type="dxa"/>
            <w:vAlign w:val="top"/>
          </w:tcPr>
          <w:p w14:paraId="55CDF429">
            <w:pPr>
              <w:pStyle w:val="18"/>
              <w:spacing w:before="256" w:line="267" w:lineRule="exact"/>
              <w:ind w:left="253"/>
              <w:rPr>
                <w:color w:val="auto"/>
                <w:highlight w:val="none"/>
              </w:rPr>
            </w:pPr>
            <w:r>
              <w:rPr>
                <w:color w:val="auto"/>
                <w:spacing w:val="2"/>
                <w:position w:val="1"/>
                <w:highlight w:val="none"/>
              </w:rPr>
              <w:t>3.5.2</w:t>
            </w:r>
          </w:p>
        </w:tc>
        <w:tc>
          <w:tcPr>
            <w:tcW w:w="7768" w:type="dxa"/>
            <w:gridSpan w:val="2"/>
            <w:vAlign w:val="top"/>
          </w:tcPr>
          <w:p w14:paraId="1C407964">
            <w:pPr>
              <w:pStyle w:val="18"/>
              <w:spacing w:before="149" w:line="370" w:lineRule="auto"/>
              <w:ind w:left="111" w:right="108" w:firstLine="16"/>
              <w:jc w:val="both"/>
              <w:rPr>
                <w:rFonts w:hint="default"/>
                <w:color w:val="auto"/>
                <w:spacing w:val="4"/>
                <w:position w:val="4"/>
                <w:highlight w:val="none"/>
                <w:lang w:val="en-US" w:eastAsia="zh-CN"/>
              </w:rPr>
            </w:pPr>
            <w:r>
              <w:rPr>
                <w:color w:val="auto"/>
                <w:spacing w:val="4"/>
                <w:position w:val="4"/>
                <w:highlight w:val="none"/>
              </w:rPr>
              <w:t>本项目使用投标人须知</w:t>
            </w:r>
            <w:r>
              <w:rPr>
                <w:color w:val="auto"/>
                <w:spacing w:val="-27"/>
                <w:position w:val="4"/>
                <w:highlight w:val="none"/>
              </w:rPr>
              <w:t xml:space="preserve"> </w:t>
            </w:r>
            <w:r>
              <w:rPr>
                <w:color w:val="auto"/>
                <w:spacing w:val="4"/>
                <w:position w:val="4"/>
                <w:highlight w:val="none"/>
              </w:rPr>
              <w:t>3.5.2 (</w:t>
            </w:r>
            <w:r>
              <w:rPr>
                <w:rFonts w:hint="eastAsia"/>
                <w:color w:val="auto"/>
                <w:spacing w:val="-68"/>
                <w:position w:val="4"/>
                <w:highlight w:val="none"/>
                <w:lang w:val="en-US" w:eastAsia="zh-CN"/>
              </w:rPr>
              <w:t xml:space="preserve">B  </w:t>
            </w:r>
            <w:r>
              <w:rPr>
                <w:rFonts w:hint="eastAsia"/>
                <w:color w:val="auto"/>
                <w:spacing w:val="-69"/>
                <w:position w:val="4"/>
                <w:highlight w:val="none"/>
                <w:lang w:val="en-US" w:eastAsia="zh-CN"/>
              </w:rPr>
              <w:t xml:space="preserve"> </w:t>
            </w:r>
            <w:r>
              <w:rPr>
                <w:color w:val="auto"/>
                <w:spacing w:val="4"/>
                <w:position w:val="4"/>
                <w:highlight w:val="none"/>
              </w:rPr>
              <w:t>) 款正文内容。</w:t>
            </w:r>
          </w:p>
        </w:tc>
      </w:tr>
      <w:tr w14:paraId="48D3FA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1013" w:type="dxa"/>
            <w:vAlign w:val="top"/>
          </w:tcPr>
          <w:p w14:paraId="37A0EEC4">
            <w:pPr>
              <w:pStyle w:val="18"/>
              <w:spacing w:before="256" w:line="267" w:lineRule="exact"/>
              <w:ind w:left="253"/>
              <w:rPr>
                <w:color w:val="auto"/>
                <w:highlight w:val="none"/>
              </w:rPr>
            </w:pPr>
            <w:r>
              <w:rPr>
                <w:color w:val="auto"/>
                <w:spacing w:val="2"/>
                <w:position w:val="1"/>
                <w:highlight w:val="none"/>
              </w:rPr>
              <w:t>3.5.4</w:t>
            </w:r>
          </w:p>
        </w:tc>
        <w:tc>
          <w:tcPr>
            <w:tcW w:w="7768" w:type="dxa"/>
            <w:gridSpan w:val="2"/>
            <w:vAlign w:val="top"/>
          </w:tcPr>
          <w:p w14:paraId="3BFBEACA">
            <w:pPr>
              <w:pStyle w:val="18"/>
              <w:spacing w:before="115" w:line="400" w:lineRule="exact"/>
              <w:ind w:left="113"/>
              <w:rPr>
                <w:color w:val="auto"/>
                <w:highlight w:val="none"/>
              </w:rPr>
            </w:pPr>
            <w:r>
              <w:rPr>
                <w:color w:val="auto"/>
                <w:spacing w:val="4"/>
                <w:position w:val="4"/>
                <w:highlight w:val="none"/>
              </w:rPr>
              <w:t>本项目使用投标人须知</w:t>
            </w:r>
            <w:r>
              <w:rPr>
                <w:color w:val="auto"/>
                <w:spacing w:val="-27"/>
                <w:position w:val="4"/>
                <w:highlight w:val="none"/>
              </w:rPr>
              <w:t xml:space="preserve"> </w:t>
            </w:r>
            <w:r>
              <w:rPr>
                <w:color w:val="auto"/>
                <w:spacing w:val="4"/>
                <w:position w:val="4"/>
                <w:highlight w:val="none"/>
              </w:rPr>
              <w:t>3.5.4</w:t>
            </w:r>
            <w:r>
              <w:rPr>
                <w:rFonts w:hint="eastAsia"/>
                <w:color w:val="auto"/>
                <w:spacing w:val="4"/>
                <w:position w:val="4"/>
                <w:highlight w:val="none"/>
                <w:lang w:val="en-US" w:eastAsia="zh-CN"/>
              </w:rPr>
              <w:t xml:space="preserve"> </w:t>
            </w:r>
            <w:r>
              <w:rPr>
                <w:color w:val="auto"/>
                <w:spacing w:val="4"/>
                <w:position w:val="4"/>
                <w:highlight w:val="none"/>
              </w:rPr>
              <w:t>(</w:t>
            </w:r>
            <w:r>
              <w:rPr>
                <w:rFonts w:hint="eastAsia"/>
                <w:color w:val="auto"/>
                <w:spacing w:val="-68"/>
                <w:position w:val="4"/>
                <w:highlight w:val="none"/>
                <w:lang w:val="en-US" w:eastAsia="zh-CN"/>
              </w:rPr>
              <w:t>B</w:t>
            </w:r>
            <w:r>
              <w:rPr>
                <w:rFonts w:hint="eastAsia"/>
                <w:color w:val="auto"/>
                <w:spacing w:val="-69"/>
                <w:position w:val="4"/>
                <w:highlight w:val="none"/>
                <w:lang w:val="en-US" w:eastAsia="zh-CN"/>
              </w:rPr>
              <w:t xml:space="preserve">  </w:t>
            </w:r>
            <w:r>
              <w:rPr>
                <w:color w:val="auto"/>
                <w:spacing w:val="4"/>
                <w:position w:val="4"/>
                <w:highlight w:val="none"/>
              </w:rPr>
              <w:t>)</w:t>
            </w:r>
            <w:r>
              <w:rPr>
                <w:color w:val="auto"/>
                <w:spacing w:val="4"/>
                <w:position w:val="4"/>
                <w:highlight w:val="none"/>
              </w:rPr>
              <w:t xml:space="preserve"> 款正文内容。</w:t>
            </w:r>
          </w:p>
        </w:tc>
      </w:tr>
      <w:tr w14:paraId="66DA4E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1013" w:type="dxa"/>
            <w:vAlign w:val="top"/>
          </w:tcPr>
          <w:p w14:paraId="35A1E00C">
            <w:pPr>
              <w:pStyle w:val="18"/>
              <w:spacing w:before="238" w:line="285" w:lineRule="exact"/>
              <w:ind w:left="200"/>
              <w:rPr>
                <w:color w:val="auto"/>
                <w:sz w:val="10"/>
                <w:szCs w:val="10"/>
                <w:highlight w:val="none"/>
              </w:rPr>
            </w:pPr>
            <w:r>
              <w:rPr>
                <w:color w:val="auto"/>
                <w:spacing w:val="3"/>
                <w:highlight w:val="none"/>
              </w:rPr>
              <w:t>3.5.5</w:t>
            </w:r>
          </w:p>
        </w:tc>
        <w:tc>
          <w:tcPr>
            <w:tcW w:w="7768" w:type="dxa"/>
            <w:gridSpan w:val="2"/>
            <w:vAlign w:val="top"/>
          </w:tcPr>
          <w:p w14:paraId="1443573B">
            <w:pPr>
              <w:pStyle w:val="18"/>
              <w:spacing w:before="255" w:line="228" w:lineRule="auto"/>
              <w:ind w:left="111"/>
              <w:rPr>
                <w:color w:val="auto"/>
                <w:highlight w:val="none"/>
              </w:rPr>
            </w:pPr>
            <w:r>
              <w:rPr>
                <w:color w:val="auto"/>
                <w:spacing w:val="4"/>
                <w:highlight w:val="none"/>
              </w:rPr>
              <w:t>删除原</w:t>
            </w:r>
            <w:r>
              <w:rPr>
                <w:color w:val="auto"/>
                <w:spacing w:val="-27"/>
                <w:highlight w:val="none"/>
              </w:rPr>
              <w:t xml:space="preserve"> </w:t>
            </w:r>
            <w:r>
              <w:rPr>
                <w:color w:val="auto"/>
                <w:spacing w:val="4"/>
                <w:highlight w:val="none"/>
              </w:rPr>
              <w:t>3.5.5</w:t>
            </w:r>
            <w:r>
              <w:rPr>
                <w:color w:val="auto"/>
                <w:spacing w:val="-36"/>
                <w:highlight w:val="none"/>
              </w:rPr>
              <w:t xml:space="preserve"> </w:t>
            </w:r>
            <w:r>
              <w:rPr>
                <w:color w:val="auto"/>
                <w:spacing w:val="4"/>
                <w:highlight w:val="none"/>
              </w:rPr>
              <w:t>条款内容。</w:t>
            </w:r>
          </w:p>
        </w:tc>
      </w:tr>
      <w:tr w14:paraId="10D621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1013" w:type="dxa"/>
            <w:vAlign w:val="center"/>
          </w:tcPr>
          <w:p w14:paraId="1DAE50B7">
            <w:pPr>
              <w:pStyle w:val="18"/>
              <w:keepNext w:val="0"/>
              <w:keepLines w:val="0"/>
              <w:pageBreakBefore w:val="0"/>
              <w:widowControl/>
              <w:kinsoku w:val="0"/>
              <w:wordWrap/>
              <w:overflowPunct/>
              <w:topLinePunct w:val="0"/>
              <w:autoSpaceDE w:val="0"/>
              <w:autoSpaceDN w:val="0"/>
              <w:bidi w:val="0"/>
              <w:adjustRightInd w:val="0"/>
              <w:snapToGrid w:val="0"/>
              <w:spacing w:line="285" w:lineRule="exact"/>
              <w:ind w:left="0" w:leftChars="0" w:right="0" w:rightChars="0"/>
              <w:jc w:val="center"/>
              <w:textAlignment w:val="baseline"/>
              <w:rPr>
                <w:color w:val="auto"/>
                <w:spacing w:val="3"/>
                <w:highlight w:val="none"/>
              </w:rPr>
            </w:pPr>
            <w:r>
              <w:rPr>
                <w:rFonts w:hint="eastAsia"/>
                <w:color w:val="auto"/>
                <w:spacing w:val="3"/>
                <w:highlight w:val="none"/>
                <w:lang w:val="en-US" w:eastAsia="zh-CN"/>
              </w:rPr>
              <w:t>3.7.3</w:t>
            </w:r>
          </w:p>
        </w:tc>
        <w:tc>
          <w:tcPr>
            <w:tcW w:w="7768" w:type="dxa"/>
            <w:gridSpan w:val="2"/>
            <w:vAlign w:val="center"/>
          </w:tcPr>
          <w:p w14:paraId="38999C0E">
            <w:pPr>
              <w:pStyle w:val="18"/>
              <w:keepNext w:val="0"/>
              <w:keepLines w:val="0"/>
              <w:pageBreakBefore w:val="0"/>
              <w:widowControl/>
              <w:kinsoku w:val="0"/>
              <w:wordWrap/>
              <w:overflowPunct/>
              <w:topLinePunct w:val="0"/>
              <w:autoSpaceDE w:val="0"/>
              <w:autoSpaceDN w:val="0"/>
              <w:bidi w:val="0"/>
              <w:adjustRightInd w:val="0"/>
              <w:snapToGrid w:val="0"/>
              <w:spacing w:line="360" w:lineRule="exact"/>
              <w:ind w:right="42" w:rightChars="20"/>
              <w:jc w:val="both"/>
              <w:textAlignment w:val="baseline"/>
              <w:rPr>
                <w:rFonts w:hint="eastAsia" w:ascii="宋体" w:hAnsi="宋体" w:eastAsia="宋体" w:cs="宋体"/>
                <w:color w:val="auto"/>
                <w:spacing w:val="11"/>
                <w:highlight w:val="none"/>
              </w:rPr>
            </w:pPr>
            <w:r>
              <w:rPr>
                <w:rFonts w:hint="eastAsia" w:ascii="宋体" w:hAnsi="宋体" w:eastAsia="宋体" w:cs="宋体"/>
                <w:color w:val="auto"/>
                <w:spacing w:val="11"/>
                <w:highlight w:val="none"/>
              </w:rPr>
              <w:t>投标人须知正文3.7.3项内容修改如下：</w:t>
            </w:r>
          </w:p>
          <w:p w14:paraId="6118C609">
            <w:pPr>
              <w:pStyle w:val="18"/>
              <w:keepNext w:val="0"/>
              <w:keepLines w:val="0"/>
              <w:pageBreakBefore w:val="0"/>
              <w:widowControl/>
              <w:kinsoku w:val="0"/>
              <w:wordWrap/>
              <w:overflowPunct/>
              <w:topLinePunct w:val="0"/>
              <w:autoSpaceDE w:val="0"/>
              <w:autoSpaceDN w:val="0"/>
              <w:bidi w:val="0"/>
              <w:adjustRightInd w:val="0"/>
              <w:snapToGrid w:val="0"/>
              <w:spacing w:line="360" w:lineRule="exact"/>
              <w:ind w:left="42" w:leftChars="20" w:right="42" w:rightChars="20" w:firstLine="459" w:firstLineChars="207"/>
              <w:jc w:val="both"/>
              <w:textAlignment w:val="baseline"/>
              <w:rPr>
                <w:rFonts w:hint="eastAsia" w:ascii="宋体" w:hAnsi="宋体" w:eastAsia="宋体" w:cs="宋体"/>
                <w:color w:val="auto"/>
                <w:spacing w:val="11"/>
                <w:highlight w:val="none"/>
              </w:rPr>
            </w:pPr>
            <w:r>
              <w:rPr>
                <w:rFonts w:hint="eastAsia" w:ascii="宋体" w:hAnsi="宋体" w:eastAsia="宋体" w:cs="宋体"/>
                <w:color w:val="auto"/>
                <w:spacing w:val="11"/>
                <w:highlight w:val="none"/>
              </w:rPr>
              <w:t>（</w:t>
            </w:r>
            <w:r>
              <w:rPr>
                <w:rFonts w:hint="eastAsia" w:cs="宋体"/>
                <w:color w:val="auto"/>
                <w:spacing w:val="11"/>
                <w:highlight w:val="none"/>
                <w:lang w:val="en-US" w:eastAsia="zh-CN"/>
              </w:rPr>
              <w:t>1</w:t>
            </w:r>
            <w:r>
              <w:rPr>
                <w:rFonts w:hint="eastAsia" w:ascii="宋体" w:hAnsi="宋体" w:eastAsia="宋体" w:cs="宋体"/>
                <w:color w:val="auto"/>
                <w:spacing w:val="11"/>
                <w:highlight w:val="none"/>
              </w:rPr>
              <w:t>）投标人在编制投标文件时应建立分级目录。</w:t>
            </w:r>
          </w:p>
          <w:p w14:paraId="749916B5">
            <w:pPr>
              <w:pStyle w:val="18"/>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459" w:firstLineChars="207"/>
              <w:jc w:val="both"/>
              <w:textAlignment w:val="baseline"/>
              <w:rPr>
                <w:rFonts w:hint="eastAsia" w:ascii="宋体" w:hAnsi="宋体" w:eastAsia="宋体" w:cs="宋体"/>
                <w:color w:val="auto"/>
                <w:spacing w:val="11"/>
                <w:highlight w:val="none"/>
              </w:rPr>
            </w:pPr>
            <w:r>
              <w:rPr>
                <w:rFonts w:hint="eastAsia" w:ascii="宋体" w:hAnsi="宋体" w:eastAsia="宋体" w:cs="宋体"/>
                <w:color w:val="auto"/>
                <w:spacing w:val="11"/>
                <w:highlight w:val="none"/>
              </w:rPr>
              <w:t>（</w:t>
            </w:r>
            <w:r>
              <w:rPr>
                <w:rFonts w:hint="eastAsia" w:cs="宋体"/>
                <w:color w:val="auto"/>
                <w:spacing w:val="11"/>
                <w:highlight w:val="none"/>
                <w:lang w:val="en-US" w:eastAsia="zh-CN"/>
              </w:rPr>
              <w:t>2</w:t>
            </w:r>
            <w:r>
              <w:rPr>
                <w:rFonts w:hint="eastAsia" w:ascii="宋体" w:hAnsi="宋体" w:eastAsia="宋体" w:cs="宋体"/>
                <w:color w:val="auto"/>
                <w:spacing w:val="11"/>
                <w:highlight w:val="none"/>
              </w:rPr>
              <w:t>）投标文件中的已标价报价清单数据文件应与招标人提供的报价清单数据文件格式一致。</w:t>
            </w:r>
          </w:p>
          <w:p w14:paraId="7673F07F">
            <w:pPr>
              <w:pStyle w:val="18"/>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459" w:firstLineChars="207"/>
              <w:jc w:val="both"/>
              <w:textAlignment w:val="baseline"/>
              <w:rPr>
                <w:rFonts w:hint="eastAsia" w:ascii="宋体" w:hAnsi="宋体" w:eastAsia="宋体" w:cs="宋体"/>
                <w:color w:val="auto"/>
                <w:spacing w:val="11"/>
                <w:highlight w:val="none"/>
              </w:rPr>
            </w:pPr>
            <w:r>
              <w:rPr>
                <w:rFonts w:hint="eastAsia" w:ascii="宋体" w:hAnsi="宋体" w:eastAsia="宋体" w:cs="宋体"/>
                <w:color w:val="auto"/>
                <w:spacing w:val="11"/>
                <w:highlight w:val="none"/>
              </w:rPr>
              <w:t>（</w:t>
            </w:r>
            <w:r>
              <w:rPr>
                <w:rFonts w:hint="eastAsia" w:cs="宋体"/>
                <w:color w:val="auto"/>
                <w:spacing w:val="11"/>
                <w:highlight w:val="none"/>
                <w:lang w:val="en-US" w:eastAsia="zh-CN"/>
              </w:rPr>
              <w:t>3</w:t>
            </w:r>
            <w:r>
              <w:rPr>
                <w:rFonts w:hint="eastAsia" w:ascii="宋体" w:hAnsi="宋体" w:eastAsia="宋体" w:cs="宋体"/>
                <w:color w:val="auto"/>
                <w:spacing w:val="11"/>
                <w:highlight w:val="none"/>
              </w:rPr>
              <w:t>）投标文件中需签名(签字)的，投标人应按要求使用个人电子签名章进行签名。如投标人法定代表人或其委托代理人或总监理工程师（含备选，如有）或驻地监理工程师（含备选，如有）未办理个人电子签名章的，投标人应打印需要签名的相关页面，本人亲笔签名后扫描上传至投标文件相应位置中。</w:t>
            </w:r>
          </w:p>
          <w:p w14:paraId="268C1987">
            <w:pPr>
              <w:pStyle w:val="18"/>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459" w:firstLineChars="207"/>
              <w:jc w:val="both"/>
              <w:textAlignment w:val="baseline"/>
              <w:rPr>
                <w:rFonts w:hint="eastAsia" w:ascii="宋体" w:hAnsi="宋体" w:eastAsia="宋体" w:cs="宋体"/>
                <w:color w:val="auto"/>
                <w:spacing w:val="11"/>
                <w:highlight w:val="none"/>
              </w:rPr>
            </w:pPr>
            <w:r>
              <w:rPr>
                <w:rFonts w:hint="eastAsia" w:ascii="宋体" w:hAnsi="宋体" w:eastAsia="宋体" w:cs="宋体"/>
                <w:color w:val="auto"/>
                <w:spacing w:val="11"/>
                <w:highlight w:val="none"/>
              </w:rPr>
              <w:t>（4）定标佐证资料加盖投标人单位公章。</w:t>
            </w:r>
          </w:p>
          <w:p w14:paraId="6E18F55E">
            <w:pPr>
              <w:pStyle w:val="18"/>
              <w:keepNext w:val="0"/>
              <w:keepLines w:val="0"/>
              <w:pageBreakBefore w:val="0"/>
              <w:widowControl/>
              <w:kinsoku w:val="0"/>
              <w:wordWrap/>
              <w:overflowPunct/>
              <w:topLinePunct w:val="0"/>
              <w:autoSpaceDE w:val="0"/>
              <w:autoSpaceDN w:val="0"/>
              <w:bidi w:val="0"/>
              <w:adjustRightInd w:val="0"/>
              <w:snapToGrid w:val="0"/>
              <w:spacing w:line="360" w:lineRule="exact"/>
              <w:ind w:left="0" w:leftChars="0" w:right="0" w:rightChars="0" w:firstLine="459" w:firstLineChars="207"/>
              <w:jc w:val="both"/>
              <w:textAlignment w:val="baseline"/>
              <w:rPr>
                <w:color w:val="auto"/>
                <w:spacing w:val="4"/>
                <w:highlight w:val="none"/>
              </w:rPr>
            </w:pPr>
            <w:r>
              <w:rPr>
                <w:rFonts w:hint="eastAsia" w:ascii="宋体" w:hAnsi="宋体" w:eastAsia="宋体" w:cs="宋体"/>
                <w:color w:val="auto"/>
                <w:spacing w:val="11"/>
                <w:highlight w:val="none"/>
              </w:rPr>
              <w:t>（</w:t>
            </w:r>
            <w:r>
              <w:rPr>
                <w:rFonts w:hint="eastAsia" w:cs="宋体"/>
                <w:color w:val="auto"/>
                <w:spacing w:val="11"/>
                <w:highlight w:val="none"/>
                <w:lang w:val="en-US" w:eastAsia="zh-CN"/>
              </w:rPr>
              <w:t>5</w:t>
            </w:r>
            <w:r>
              <w:rPr>
                <w:rFonts w:hint="eastAsia" w:ascii="宋体" w:hAnsi="宋体" w:eastAsia="宋体" w:cs="宋体"/>
                <w:color w:val="auto"/>
                <w:spacing w:val="11"/>
                <w:highlight w:val="none"/>
              </w:rPr>
              <w:t>）投标文件（含定标佐证资料）制作完成后，投标人应使用 CA 数字证书对投标文件进行文件加密进行加密并上传到建设工程交易系统。</w:t>
            </w:r>
          </w:p>
        </w:tc>
      </w:tr>
      <w:tr w14:paraId="478D6C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1013" w:type="dxa"/>
            <w:vAlign w:val="center"/>
          </w:tcPr>
          <w:p w14:paraId="012015B9">
            <w:pPr>
              <w:pStyle w:val="18"/>
              <w:keepNext w:val="0"/>
              <w:keepLines w:val="0"/>
              <w:pageBreakBefore w:val="0"/>
              <w:widowControl/>
              <w:kinsoku w:val="0"/>
              <w:wordWrap/>
              <w:overflowPunct/>
              <w:topLinePunct w:val="0"/>
              <w:autoSpaceDE w:val="0"/>
              <w:autoSpaceDN w:val="0"/>
              <w:bidi w:val="0"/>
              <w:adjustRightInd w:val="0"/>
              <w:snapToGrid w:val="0"/>
              <w:spacing w:line="285" w:lineRule="exact"/>
              <w:ind w:left="0" w:leftChars="0" w:right="0" w:rightChars="0"/>
              <w:jc w:val="center"/>
              <w:textAlignment w:val="baseline"/>
              <w:rPr>
                <w:rFonts w:hint="eastAsia"/>
                <w:color w:val="auto"/>
                <w:spacing w:val="3"/>
                <w:highlight w:val="none"/>
                <w:lang w:val="en-US" w:eastAsia="zh-CN"/>
              </w:rPr>
            </w:pPr>
            <w:r>
              <w:rPr>
                <w:rFonts w:hint="eastAsia"/>
                <w:color w:val="auto"/>
                <w:spacing w:val="3"/>
                <w:highlight w:val="none"/>
                <w:lang w:val="en-US" w:eastAsia="zh-CN"/>
              </w:rPr>
              <w:t>4.2</w:t>
            </w:r>
          </w:p>
        </w:tc>
        <w:tc>
          <w:tcPr>
            <w:tcW w:w="7768" w:type="dxa"/>
            <w:gridSpan w:val="2"/>
            <w:vAlign w:val="center"/>
          </w:tcPr>
          <w:p w14:paraId="1CFEC689">
            <w:pPr>
              <w:pStyle w:val="22"/>
              <w:keepNext w:val="0"/>
              <w:keepLines w:val="0"/>
              <w:pageBreakBefore w:val="0"/>
              <w:widowControl w:val="0"/>
              <w:kinsoku/>
              <w:wordWrap/>
              <w:overflowPunct/>
              <w:topLinePunct w:val="0"/>
              <w:bidi w:val="0"/>
              <w:snapToGrid/>
              <w:spacing w:line="360" w:lineRule="exact"/>
              <w:ind w:left="105" w:leftChars="50" w:right="283" w:rightChars="0"/>
              <w:textAlignment w:val="auto"/>
              <w:rPr>
                <w:rFonts w:hint="eastAsia" w:ascii="宋体" w:hAnsi="宋体" w:eastAsia="宋体" w:cs="宋体"/>
                <w:color w:val="auto"/>
                <w:sz w:val="20"/>
                <w:szCs w:val="20"/>
                <w:highlight w:val="none"/>
                <w:shd w:val="clear" w:color="auto" w:fill="auto"/>
                <w:lang w:val="en-US" w:eastAsia="zh-CN"/>
              </w:rPr>
            </w:pPr>
            <w:r>
              <w:rPr>
                <w:rFonts w:hint="eastAsia" w:ascii="宋体" w:hAnsi="宋体" w:eastAsia="宋体" w:cs="宋体"/>
                <w:color w:val="auto"/>
                <w:sz w:val="20"/>
                <w:szCs w:val="20"/>
                <w:highlight w:val="none"/>
              </w:rPr>
              <w:t xml:space="preserve">投标人须知正文 </w:t>
            </w:r>
            <w:r>
              <w:rPr>
                <w:rFonts w:hint="eastAsia" w:ascii="宋体" w:hAnsi="宋体" w:eastAsia="宋体" w:cs="宋体"/>
                <w:color w:val="auto"/>
                <w:sz w:val="20"/>
                <w:szCs w:val="20"/>
                <w:highlight w:val="none"/>
                <w:lang w:val="en-US" w:eastAsia="zh-CN"/>
              </w:rPr>
              <w:t>4.2.1</w:t>
            </w:r>
            <w:r>
              <w:rPr>
                <w:rFonts w:hint="eastAsia" w:ascii="宋体" w:hAnsi="宋体" w:eastAsia="宋体" w:cs="宋体"/>
                <w:color w:val="auto"/>
                <w:sz w:val="20"/>
                <w:szCs w:val="20"/>
                <w:highlight w:val="none"/>
              </w:rPr>
              <w:t>项内容修改如下</w:t>
            </w:r>
          </w:p>
          <w:p w14:paraId="274E0550">
            <w:pPr>
              <w:pStyle w:val="22"/>
              <w:keepNext w:val="0"/>
              <w:keepLines w:val="0"/>
              <w:pageBreakBefore w:val="0"/>
              <w:widowControl w:val="0"/>
              <w:kinsoku/>
              <w:wordWrap/>
              <w:overflowPunct/>
              <w:topLinePunct w:val="0"/>
              <w:bidi w:val="0"/>
              <w:snapToGrid/>
              <w:spacing w:line="360" w:lineRule="exact"/>
              <w:ind w:left="105" w:leftChars="50" w:right="283" w:rightChars="0" w:firstLine="420" w:firstLineChars="0"/>
              <w:textAlignment w:val="auto"/>
              <w:rPr>
                <w:rFonts w:hint="eastAsia" w:ascii="宋体" w:hAnsi="宋体" w:eastAsia="宋体" w:cs="宋体"/>
                <w:color w:val="auto"/>
                <w:spacing w:val="11"/>
                <w:highlight w:val="none"/>
              </w:rPr>
            </w:pPr>
            <w:r>
              <w:rPr>
                <w:rFonts w:hint="eastAsia" w:ascii="宋体" w:hAnsi="宋体" w:eastAsia="宋体" w:cs="宋体"/>
                <w:color w:val="auto"/>
                <w:sz w:val="20"/>
                <w:szCs w:val="20"/>
                <w:highlight w:val="none"/>
                <w:shd w:val="clear" w:color="auto" w:fill="auto"/>
                <w:lang w:val="en-US" w:eastAsia="zh-CN"/>
              </w:rPr>
              <w:t>4</w:t>
            </w:r>
            <w:r>
              <w:rPr>
                <w:rFonts w:hint="eastAsia" w:ascii="宋体" w:hAnsi="宋体" w:eastAsia="宋体" w:cs="宋体"/>
                <w:color w:val="auto"/>
                <w:sz w:val="20"/>
                <w:szCs w:val="20"/>
                <w:highlight w:val="none"/>
                <w:shd w:val="clear" w:color="auto" w:fill="auto"/>
              </w:rPr>
              <w:t>.</w:t>
            </w:r>
            <w:r>
              <w:rPr>
                <w:rFonts w:hint="eastAsia" w:ascii="宋体" w:hAnsi="宋体" w:eastAsia="宋体" w:cs="宋体"/>
                <w:color w:val="auto"/>
                <w:sz w:val="20"/>
                <w:szCs w:val="20"/>
                <w:highlight w:val="none"/>
                <w:shd w:val="clear" w:color="auto" w:fill="auto"/>
                <w:lang w:val="en-US" w:eastAsia="zh-CN"/>
              </w:rPr>
              <w:t>2.</w:t>
            </w:r>
            <w:r>
              <w:rPr>
                <w:rFonts w:hint="eastAsia" w:ascii="宋体" w:hAnsi="宋体" w:eastAsia="宋体" w:cs="宋体"/>
                <w:color w:val="auto"/>
                <w:sz w:val="20"/>
                <w:szCs w:val="20"/>
                <w:highlight w:val="none"/>
                <w:shd w:val="clear" w:color="auto" w:fill="auto"/>
              </w:rPr>
              <w:t>1 在建设工程交易系统上传加盖了电子印章的投标文件、录入相关信息及标书页码信息，（页码起始从封面开始）并提交投标标书。提交标书为已加密投标文件。具体操作参照全国公共资源交易平台（广东省·韶关市）（https://ygp.gdzwfw.gov.cn/ggzy-portal/#/440200/index），在【服务指引】栏目中发布的最新操作指引。本项目评标采用全流程电子化进行招标投标（投标人应根据全国公共资源交易平台（广东省·韶关市）交易平台进行编辑投标相关内容、按招标文件电子投标要求上传已加盖电子印章投标文件，否则将自行承担不利后果）。投标文件完成上传后，投标人应使用 CA 数字证书对投标文件进行文件加密，形成加密的投标文件并提交标书。</w:t>
            </w:r>
          </w:p>
        </w:tc>
      </w:tr>
      <w:tr w14:paraId="1FFE71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1013" w:type="dxa"/>
            <w:vAlign w:val="center"/>
          </w:tcPr>
          <w:p w14:paraId="5A04E823">
            <w:pPr>
              <w:pStyle w:val="19"/>
              <w:spacing w:line="380" w:lineRule="exact"/>
              <w:ind w:firstLine="0" w:firstLineChars="0"/>
              <w:rPr>
                <w:rFonts w:hint="eastAsia"/>
                <w:color w:val="auto"/>
                <w:spacing w:val="3"/>
                <w:highlight w:val="none"/>
                <w:lang w:val="en-US" w:eastAsia="zh-CN"/>
              </w:rPr>
            </w:pPr>
            <w:r>
              <w:rPr>
                <w:rFonts w:hint="eastAsia" w:ascii="宋体" w:hAnsi="宋体" w:eastAsia="宋体" w:cs="宋体"/>
                <w:color w:val="auto"/>
                <w:sz w:val="20"/>
                <w:szCs w:val="20"/>
                <w:highlight w:val="none"/>
                <w:lang w:val="en-US" w:eastAsia="zh-CN"/>
              </w:rPr>
              <w:t>4.3</w:t>
            </w:r>
          </w:p>
        </w:tc>
        <w:tc>
          <w:tcPr>
            <w:tcW w:w="7768" w:type="dxa"/>
            <w:gridSpan w:val="2"/>
            <w:vAlign w:val="center"/>
          </w:tcPr>
          <w:p w14:paraId="534EA105">
            <w:pPr>
              <w:keepNext w:val="0"/>
              <w:keepLines w:val="0"/>
              <w:pageBreakBefore w:val="0"/>
              <w:widowControl w:val="0"/>
              <w:kinsoku/>
              <w:wordWrap/>
              <w:overflowPunct/>
              <w:topLinePunct w:val="0"/>
              <w:autoSpaceDE/>
              <w:autoSpaceDN/>
              <w:bidi w:val="0"/>
              <w:adjustRightInd/>
              <w:snapToGrid/>
              <w:spacing w:line="360" w:lineRule="exact"/>
              <w:ind w:left="105" w:leftChars="50" w:right="105" w:rightChars="50"/>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 xml:space="preserve">投标人须知正文 </w:t>
            </w:r>
            <w:r>
              <w:rPr>
                <w:rFonts w:hint="eastAsia" w:ascii="宋体" w:hAnsi="宋体" w:eastAsia="宋体" w:cs="宋体"/>
                <w:color w:val="auto"/>
                <w:sz w:val="20"/>
                <w:szCs w:val="20"/>
                <w:highlight w:val="none"/>
                <w:lang w:val="en-US" w:eastAsia="zh-CN"/>
              </w:rPr>
              <w:t>4.3.1</w:t>
            </w:r>
            <w:r>
              <w:rPr>
                <w:rFonts w:hint="eastAsia" w:ascii="宋体" w:hAnsi="宋体" w:eastAsia="宋体" w:cs="宋体"/>
                <w:color w:val="auto"/>
                <w:sz w:val="20"/>
                <w:szCs w:val="20"/>
                <w:highlight w:val="none"/>
              </w:rPr>
              <w:t>项内容修改如下：</w:t>
            </w:r>
          </w:p>
          <w:p w14:paraId="4790FCE1">
            <w:pPr>
              <w:pStyle w:val="22"/>
              <w:keepNext w:val="0"/>
              <w:keepLines w:val="0"/>
              <w:pageBreakBefore w:val="0"/>
              <w:widowControl w:val="0"/>
              <w:kinsoku/>
              <w:wordWrap/>
              <w:overflowPunct/>
              <w:topLinePunct w:val="0"/>
              <w:autoSpaceDE w:val="0"/>
              <w:autoSpaceDN w:val="0"/>
              <w:bidi w:val="0"/>
              <w:adjustRightInd w:val="0"/>
              <w:snapToGrid/>
              <w:spacing w:line="360" w:lineRule="exact"/>
              <w:ind w:left="105" w:leftChars="50" w:right="283" w:rightChars="0" w:firstLine="420" w:firstLineChars="0"/>
              <w:jc w:val="both"/>
              <w:textAlignment w:val="auto"/>
              <w:rPr>
                <w:rFonts w:hint="eastAsia" w:ascii="宋体" w:hAnsi="宋体" w:eastAsia="宋体" w:cs="宋体"/>
                <w:color w:val="auto"/>
                <w:sz w:val="20"/>
                <w:szCs w:val="20"/>
                <w:highlight w:val="none"/>
                <w:shd w:val="clear" w:color="auto" w:fill="auto"/>
                <w:lang w:val="en-US" w:eastAsia="zh-CN"/>
              </w:rPr>
            </w:pPr>
            <w:r>
              <w:rPr>
                <w:rFonts w:hint="eastAsia" w:ascii="宋体" w:hAnsi="宋体" w:eastAsia="宋体" w:cs="宋体"/>
                <w:color w:val="auto"/>
                <w:sz w:val="20"/>
                <w:szCs w:val="20"/>
                <w:highlight w:val="none"/>
                <w:shd w:val="clear" w:color="auto" w:fill="auto"/>
                <w:lang w:val="en-US" w:eastAsia="zh-CN"/>
              </w:rPr>
              <w:t>4.3.1</w:t>
            </w:r>
            <w:r>
              <w:rPr>
                <w:rFonts w:hint="eastAsia" w:ascii="宋体" w:hAnsi="宋体" w:eastAsia="宋体" w:cs="宋体"/>
                <w:color w:val="auto"/>
                <w:sz w:val="20"/>
                <w:szCs w:val="20"/>
                <w:highlight w:val="none"/>
                <w:shd w:val="clear" w:color="auto" w:fill="auto"/>
              </w:rPr>
              <w:t xml:space="preserve"> 在提交投标文件截止时间前，投标人可以修改或撤回未解密的电子投标文件，并于提交投标文件截止时间前将重新上传修改后的电子投标文件至系统，到达投标文件提交截止时间后投标人不得撤回、补充、修改和更换投标文件。</w:t>
            </w:r>
          </w:p>
        </w:tc>
      </w:tr>
      <w:tr w14:paraId="7A93A6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1013" w:type="dxa"/>
            <w:vAlign w:val="center"/>
          </w:tcPr>
          <w:p w14:paraId="38B470F8">
            <w:pPr>
              <w:pStyle w:val="19"/>
              <w:spacing w:line="380" w:lineRule="exact"/>
              <w:ind w:firstLine="0" w:firstLineChars="0"/>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5.2.1</w:t>
            </w:r>
          </w:p>
        </w:tc>
        <w:tc>
          <w:tcPr>
            <w:tcW w:w="7768" w:type="dxa"/>
            <w:gridSpan w:val="2"/>
            <w:vAlign w:val="center"/>
          </w:tcPr>
          <w:p w14:paraId="677EEDC0">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宋体" w:hAnsi="宋体" w:eastAsia="宋体" w:cs="宋体"/>
                <w:color w:val="auto"/>
                <w:sz w:val="20"/>
                <w:szCs w:val="20"/>
                <w:highlight w:val="none"/>
                <w:shd w:val="clear" w:color="auto" w:fill="auto"/>
                <w:lang w:val="en-US" w:eastAsia="zh-CN"/>
              </w:rPr>
            </w:pPr>
            <w:r>
              <w:rPr>
                <w:rFonts w:hint="eastAsia" w:ascii="宋体" w:hAnsi="宋体" w:eastAsia="宋体" w:cs="宋体"/>
                <w:color w:val="auto"/>
                <w:sz w:val="20"/>
                <w:szCs w:val="20"/>
                <w:highlight w:val="none"/>
              </w:rPr>
              <w:t xml:space="preserve">投标人须知正文 </w:t>
            </w:r>
            <w:r>
              <w:rPr>
                <w:rFonts w:hint="eastAsia" w:ascii="宋体" w:hAnsi="宋体" w:eastAsia="宋体" w:cs="宋体"/>
                <w:color w:val="auto"/>
                <w:sz w:val="20"/>
                <w:szCs w:val="20"/>
                <w:highlight w:val="none"/>
                <w:lang w:val="en-US" w:eastAsia="zh-CN"/>
              </w:rPr>
              <w:t>5.2.1</w:t>
            </w:r>
            <w:r>
              <w:rPr>
                <w:rFonts w:hint="eastAsia" w:ascii="宋体" w:hAnsi="宋体" w:eastAsia="宋体" w:cs="宋体"/>
                <w:color w:val="auto"/>
                <w:sz w:val="20"/>
                <w:szCs w:val="20"/>
                <w:highlight w:val="none"/>
              </w:rPr>
              <w:t>项内容修改如下：</w:t>
            </w:r>
          </w:p>
          <w:p w14:paraId="5B7CE3C5">
            <w:pPr>
              <w:pStyle w:val="22"/>
              <w:keepNext w:val="0"/>
              <w:keepLines w:val="0"/>
              <w:pageBreakBefore w:val="0"/>
              <w:widowControl w:val="0"/>
              <w:kinsoku/>
              <w:wordWrap/>
              <w:overflowPunct/>
              <w:topLinePunct w:val="0"/>
              <w:bidi w:val="0"/>
              <w:snapToGrid/>
              <w:spacing w:line="360" w:lineRule="exact"/>
              <w:ind w:left="4" w:right="225" w:firstLine="420"/>
              <w:textAlignment w:val="auto"/>
              <w:rPr>
                <w:rFonts w:hint="default" w:ascii="宋体" w:hAnsi="宋体" w:eastAsia="宋体" w:cs="宋体"/>
                <w:color w:val="auto"/>
                <w:sz w:val="20"/>
                <w:szCs w:val="20"/>
                <w:highlight w:val="none"/>
                <w:shd w:val="clear" w:color="auto" w:fill="auto"/>
                <w:lang w:val="en-US" w:eastAsia="zh-CN"/>
              </w:rPr>
            </w:pPr>
            <w:r>
              <w:rPr>
                <w:rFonts w:hint="eastAsia" w:ascii="宋体" w:hAnsi="宋体" w:eastAsia="宋体" w:cs="宋体"/>
                <w:color w:val="auto"/>
                <w:sz w:val="20"/>
                <w:szCs w:val="20"/>
                <w:highlight w:val="none"/>
                <w:shd w:val="clear" w:color="auto" w:fill="auto"/>
                <w:lang w:val="en-US" w:eastAsia="zh-CN"/>
              </w:rPr>
              <w:t>5.2.1 投标文件第一个信封（商务及技术文件）开标</w:t>
            </w:r>
          </w:p>
          <w:p w14:paraId="29CED4ED">
            <w:pPr>
              <w:pStyle w:val="22"/>
              <w:keepNext w:val="0"/>
              <w:keepLines w:val="0"/>
              <w:pageBreakBefore w:val="0"/>
              <w:widowControl w:val="0"/>
              <w:kinsoku/>
              <w:wordWrap/>
              <w:overflowPunct/>
              <w:topLinePunct w:val="0"/>
              <w:bidi w:val="0"/>
              <w:snapToGrid/>
              <w:spacing w:line="360" w:lineRule="exact"/>
              <w:ind w:left="4" w:right="225" w:firstLine="420"/>
              <w:textAlignment w:val="auto"/>
              <w:rPr>
                <w:rFonts w:hint="eastAsia" w:ascii="宋体" w:hAnsi="宋体" w:eastAsia="宋体" w:cs="宋体"/>
                <w:color w:val="auto"/>
                <w:sz w:val="20"/>
                <w:szCs w:val="20"/>
                <w:highlight w:val="none"/>
                <w:shd w:val="clear" w:color="auto" w:fill="auto"/>
                <w:lang w:val="en-US" w:eastAsia="zh-CN"/>
              </w:rPr>
            </w:pPr>
            <w:r>
              <w:rPr>
                <w:rFonts w:hint="eastAsia" w:ascii="宋体" w:hAnsi="宋体" w:eastAsia="宋体" w:cs="宋体"/>
                <w:color w:val="auto"/>
                <w:sz w:val="20"/>
                <w:szCs w:val="20"/>
                <w:highlight w:val="none"/>
                <w:shd w:val="clear" w:color="auto" w:fill="auto"/>
              </w:rPr>
              <w:t>主持人</w:t>
            </w:r>
            <w:r>
              <w:rPr>
                <w:rFonts w:hint="eastAsia" w:ascii="宋体" w:hAnsi="宋体" w:eastAsia="宋体" w:cs="宋体"/>
                <w:color w:val="auto"/>
                <w:sz w:val="20"/>
                <w:szCs w:val="20"/>
                <w:highlight w:val="none"/>
                <w:shd w:val="clear" w:color="auto" w:fill="auto"/>
                <w:lang w:val="en-US" w:eastAsia="zh-CN"/>
              </w:rPr>
              <w:t>按下列程序对投标文件第一个信封（商务及技术文件）进行开标：</w:t>
            </w:r>
          </w:p>
          <w:p w14:paraId="3974E912">
            <w:pPr>
              <w:pStyle w:val="22"/>
              <w:keepNext w:val="0"/>
              <w:keepLines w:val="0"/>
              <w:pageBreakBefore w:val="0"/>
              <w:widowControl w:val="0"/>
              <w:kinsoku/>
              <w:wordWrap/>
              <w:overflowPunct/>
              <w:topLinePunct w:val="0"/>
              <w:bidi w:val="0"/>
              <w:snapToGrid/>
              <w:spacing w:line="360" w:lineRule="exact"/>
              <w:ind w:left="4" w:right="225" w:firstLine="420"/>
              <w:textAlignment w:val="auto"/>
              <w:rPr>
                <w:rFonts w:hint="eastAsia" w:ascii="宋体" w:hAnsi="宋体" w:eastAsia="宋体" w:cs="宋体"/>
                <w:color w:val="auto"/>
                <w:sz w:val="20"/>
                <w:szCs w:val="20"/>
                <w:highlight w:val="none"/>
                <w:shd w:val="clear" w:color="auto" w:fill="auto"/>
              </w:rPr>
            </w:pPr>
            <w:r>
              <w:rPr>
                <w:rFonts w:hint="eastAsia" w:ascii="宋体" w:hAnsi="宋体" w:eastAsia="宋体" w:cs="宋体"/>
                <w:color w:val="auto"/>
                <w:sz w:val="20"/>
                <w:szCs w:val="20"/>
                <w:highlight w:val="none"/>
                <w:shd w:val="clear" w:color="auto" w:fill="auto"/>
              </w:rPr>
              <w:t>（1）宣读开标纪律。</w:t>
            </w:r>
          </w:p>
          <w:p w14:paraId="58660024">
            <w:pPr>
              <w:pStyle w:val="22"/>
              <w:keepNext w:val="0"/>
              <w:keepLines w:val="0"/>
              <w:pageBreakBefore w:val="0"/>
              <w:widowControl w:val="0"/>
              <w:kinsoku/>
              <w:wordWrap/>
              <w:overflowPunct/>
              <w:topLinePunct w:val="0"/>
              <w:bidi w:val="0"/>
              <w:snapToGrid/>
              <w:spacing w:line="360" w:lineRule="exact"/>
              <w:ind w:left="4" w:right="225" w:firstLine="420"/>
              <w:textAlignment w:val="auto"/>
              <w:rPr>
                <w:rFonts w:hint="eastAsia" w:ascii="宋体" w:hAnsi="宋体" w:eastAsia="宋体" w:cs="宋体"/>
                <w:color w:val="auto"/>
                <w:sz w:val="20"/>
                <w:szCs w:val="20"/>
                <w:highlight w:val="none"/>
                <w:shd w:val="clear" w:color="auto" w:fill="auto"/>
              </w:rPr>
            </w:pPr>
            <w:r>
              <w:rPr>
                <w:rFonts w:hint="eastAsia" w:ascii="宋体" w:hAnsi="宋体" w:eastAsia="宋体" w:cs="宋体"/>
                <w:color w:val="auto"/>
                <w:sz w:val="20"/>
                <w:szCs w:val="20"/>
                <w:highlight w:val="none"/>
                <w:shd w:val="clear" w:color="auto" w:fill="auto"/>
              </w:rPr>
              <w:t>（2）主持人宣布唱标人、记录人、见证人、监督人等有关人员姓名。</w:t>
            </w:r>
          </w:p>
          <w:p w14:paraId="12623534">
            <w:pPr>
              <w:pStyle w:val="22"/>
              <w:keepNext w:val="0"/>
              <w:keepLines w:val="0"/>
              <w:pageBreakBefore w:val="0"/>
              <w:widowControl w:val="0"/>
              <w:kinsoku/>
              <w:wordWrap/>
              <w:overflowPunct/>
              <w:topLinePunct w:val="0"/>
              <w:bidi w:val="0"/>
              <w:snapToGrid/>
              <w:spacing w:line="360" w:lineRule="exact"/>
              <w:ind w:left="4" w:right="225" w:firstLine="420"/>
              <w:textAlignment w:val="auto"/>
              <w:rPr>
                <w:rFonts w:hint="eastAsia" w:ascii="宋体" w:hAnsi="宋体" w:eastAsia="宋体" w:cs="宋体"/>
                <w:color w:val="auto"/>
                <w:sz w:val="20"/>
                <w:szCs w:val="20"/>
                <w:highlight w:val="none"/>
                <w:shd w:val="clear" w:color="auto" w:fill="auto"/>
              </w:rPr>
            </w:pPr>
            <w:r>
              <w:rPr>
                <w:rFonts w:hint="eastAsia" w:ascii="宋体" w:hAnsi="宋体" w:eastAsia="宋体" w:cs="宋体"/>
                <w:color w:val="auto"/>
                <w:sz w:val="20"/>
                <w:szCs w:val="20"/>
                <w:highlight w:val="none"/>
                <w:shd w:val="clear" w:color="auto" w:fill="auto"/>
              </w:rPr>
              <w:t>（</w:t>
            </w:r>
            <w:r>
              <w:rPr>
                <w:rFonts w:hint="eastAsia" w:ascii="宋体" w:hAnsi="宋体" w:eastAsia="宋体" w:cs="宋体"/>
                <w:color w:val="auto"/>
                <w:sz w:val="20"/>
                <w:szCs w:val="20"/>
                <w:highlight w:val="none"/>
                <w:shd w:val="clear" w:color="auto" w:fill="auto"/>
                <w:lang w:val="en-US" w:eastAsia="zh-CN"/>
              </w:rPr>
              <w:t>3</w:t>
            </w:r>
            <w:r>
              <w:rPr>
                <w:rFonts w:hint="eastAsia" w:ascii="宋体" w:hAnsi="宋体" w:eastAsia="宋体" w:cs="宋体"/>
                <w:color w:val="auto"/>
                <w:sz w:val="20"/>
                <w:szCs w:val="20"/>
                <w:highlight w:val="none"/>
                <w:shd w:val="clear" w:color="auto" w:fill="auto"/>
              </w:rPr>
              <w:t>）在公共资源交易场所工作人员见证下由招标代理机构对投标人的电子投标信息进行解密，建设工程交易系统自动生成《投标保证缴纳情况表》和《开标一览表》。</w:t>
            </w:r>
          </w:p>
          <w:p w14:paraId="7272324D">
            <w:pPr>
              <w:pStyle w:val="22"/>
              <w:keepNext w:val="0"/>
              <w:keepLines w:val="0"/>
              <w:pageBreakBefore w:val="0"/>
              <w:widowControl w:val="0"/>
              <w:kinsoku/>
              <w:wordWrap/>
              <w:overflowPunct/>
              <w:topLinePunct w:val="0"/>
              <w:bidi w:val="0"/>
              <w:snapToGrid/>
              <w:spacing w:line="360" w:lineRule="exact"/>
              <w:ind w:left="4" w:right="225" w:firstLine="420"/>
              <w:textAlignment w:val="auto"/>
              <w:rPr>
                <w:rFonts w:hint="eastAsia" w:ascii="宋体" w:hAnsi="宋体" w:eastAsia="宋体" w:cs="宋体"/>
                <w:color w:val="auto"/>
                <w:sz w:val="20"/>
                <w:szCs w:val="20"/>
                <w:highlight w:val="none"/>
                <w:shd w:val="clear" w:color="auto" w:fill="auto"/>
              </w:rPr>
            </w:pPr>
            <w:r>
              <w:rPr>
                <w:rFonts w:hint="eastAsia" w:ascii="宋体" w:hAnsi="宋体" w:eastAsia="宋体" w:cs="宋体"/>
                <w:color w:val="auto"/>
                <w:sz w:val="20"/>
                <w:szCs w:val="20"/>
                <w:highlight w:val="none"/>
                <w:shd w:val="clear" w:color="auto" w:fill="auto"/>
              </w:rPr>
              <w:t>（</w:t>
            </w:r>
            <w:r>
              <w:rPr>
                <w:rFonts w:hint="eastAsia" w:ascii="宋体" w:hAnsi="宋体" w:eastAsia="宋体" w:cs="宋体"/>
                <w:color w:val="auto"/>
                <w:sz w:val="20"/>
                <w:szCs w:val="20"/>
                <w:highlight w:val="none"/>
                <w:shd w:val="clear" w:color="auto" w:fill="auto"/>
                <w:lang w:val="en-US" w:eastAsia="zh-CN"/>
              </w:rPr>
              <w:t>4</w:t>
            </w:r>
            <w:r>
              <w:rPr>
                <w:rFonts w:hint="eastAsia" w:ascii="宋体" w:hAnsi="宋体" w:eastAsia="宋体" w:cs="宋体"/>
                <w:color w:val="auto"/>
                <w:sz w:val="20"/>
                <w:szCs w:val="20"/>
                <w:highlight w:val="none"/>
                <w:shd w:val="clear" w:color="auto" w:fill="auto"/>
              </w:rPr>
              <w:t>）唱标人检查《投标保证缴纳情况表》中各投标人所缴纳投标保证的金额、有效期是否符合招标文件规定。若不符合规定，该投标人的投标</w:t>
            </w:r>
            <w:r>
              <w:rPr>
                <w:rFonts w:hint="eastAsia" w:ascii="宋体" w:hAnsi="宋体" w:eastAsia="宋体" w:cs="宋体"/>
                <w:color w:val="auto"/>
                <w:sz w:val="20"/>
                <w:szCs w:val="20"/>
                <w:highlight w:val="none"/>
                <w:shd w:val="clear" w:color="auto" w:fill="auto"/>
                <w:lang w:eastAsia="zh-CN"/>
              </w:rPr>
              <w:t>保证金</w:t>
            </w:r>
            <w:r>
              <w:rPr>
                <w:rFonts w:hint="eastAsia" w:ascii="宋体" w:hAnsi="宋体" w:eastAsia="宋体" w:cs="宋体"/>
                <w:color w:val="auto"/>
                <w:sz w:val="20"/>
                <w:szCs w:val="20"/>
                <w:highlight w:val="none"/>
                <w:shd w:val="clear" w:color="auto" w:fill="auto"/>
              </w:rPr>
              <w:t>无效。将有关情形在《投标保证缴纳情况表》“备注”栏中注明。</w:t>
            </w:r>
          </w:p>
          <w:p w14:paraId="52270C92">
            <w:pPr>
              <w:pStyle w:val="22"/>
              <w:keepNext w:val="0"/>
              <w:keepLines w:val="0"/>
              <w:pageBreakBefore w:val="0"/>
              <w:widowControl w:val="0"/>
              <w:kinsoku/>
              <w:wordWrap/>
              <w:overflowPunct/>
              <w:topLinePunct w:val="0"/>
              <w:bidi w:val="0"/>
              <w:snapToGrid/>
              <w:spacing w:line="360" w:lineRule="exact"/>
              <w:ind w:left="4" w:right="225" w:firstLine="420"/>
              <w:textAlignment w:val="auto"/>
              <w:rPr>
                <w:rFonts w:hint="eastAsia" w:ascii="宋体" w:hAnsi="宋体" w:eastAsia="宋体" w:cs="宋体"/>
                <w:color w:val="auto"/>
                <w:sz w:val="20"/>
                <w:szCs w:val="20"/>
                <w:highlight w:val="none"/>
                <w:shd w:val="clear" w:color="auto" w:fill="auto"/>
              </w:rPr>
            </w:pPr>
            <w:r>
              <w:rPr>
                <w:rFonts w:hint="eastAsia" w:ascii="宋体" w:hAnsi="宋体" w:eastAsia="宋体" w:cs="宋体"/>
                <w:color w:val="auto"/>
                <w:sz w:val="20"/>
                <w:szCs w:val="20"/>
                <w:highlight w:val="none"/>
                <w:shd w:val="clear" w:color="auto" w:fill="auto"/>
              </w:rPr>
              <w:t>（</w:t>
            </w:r>
            <w:r>
              <w:rPr>
                <w:rFonts w:hint="eastAsia" w:ascii="宋体" w:hAnsi="宋体" w:eastAsia="宋体" w:cs="宋体"/>
                <w:color w:val="auto"/>
                <w:sz w:val="20"/>
                <w:szCs w:val="20"/>
                <w:highlight w:val="none"/>
                <w:shd w:val="clear" w:color="auto" w:fill="auto"/>
                <w:lang w:val="en-US" w:eastAsia="zh-CN"/>
              </w:rPr>
              <w:t>5</w:t>
            </w:r>
            <w:r>
              <w:rPr>
                <w:rFonts w:hint="eastAsia" w:ascii="宋体" w:hAnsi="宋体" w:eastAsia="宋体" w:cs="宋体"/>
                <w:color w:val="auto"/>
                <w:sz w:val="20"/>
                <w:szCs w:val="20"/>
                <w:highlight w:val="none"/>
                <w:shd w:val="clear" w:color="auto" w:fill="auto"/>
              </w:rPr>
              <w:t>）唱标人检查《</w:t>
            </w:r>
            <w:r>
              <w:rPr>
                <w:rFonts w:hint="eastAsia" w:ascii="宋体" w:hAnsi="宋体" w:eastAsia="宋体" w:cs="宋体"/>
                <w:color w:val="auto"/>
                <w:sz w:val="20"/>
                <w:szCs w:val="20"/>
                <w:highlight w:val="none"/>
                <w:shd w:val="clear" w:color="auto" w:fill="auto"/>
                <w:lang w:val="en-US" w:eastAsia="zh-CN"/>
              </w:rPr>
              <w:t>第一个信封</w:t>
            </w:r>
            <w:r>
              <w:rPr>
                <w:rFonts w:hint="eastAsia" w:ascii="宋体" w:hAnsi="宋体" w:eastAsia="宋体" w:cs="宋体"/>
                <w:color w:val="auto"/>
                <w:sz w:val="20"/>
                <w:szCs w:val="20"/>
                <w:highlight w:val="none"/>
                <w:shd w:val="clear" w:color="auto" w:fill="auto"/>
              </w:rPr>
              <w:t>开标一览表》中各投标人的</w:t>
            </w:r>
            <w:r>
              <w:rPr>
                <w:rFonts w:hint="eastAsia" w:ascii="宋体" w:hAnsi="宋体" w:eastAsia="宋体" w:cs="宋体"/>
                <w:color w:val="auto"/>
                <w:sz w:val="20"/>
                <w:szCs w:val="20"/>
                <w:highlight w:val="none"/>
                <w:shd w:val="clear" w:color="auto" w:fill="auto"/>
                <w:lang w:val="en-US" w:eastAsia="zh-CN"/>
              </w:rPr>
              <w:t>标段名称</w:t>
            </w:r>
            <w:r>
              <w:rPr>
                <w:rFonts w:hint="eastAsia" w:ascii="宋体" w:hAnsi="宋体" w:eastAsia="宋体" w:cs="宋体"/>
                <w:color w:val="auto"/>
                <w:sz w:val="20"/>
                <w:szCs w:val="20"/>
                <w:highlight w:val="none"/>
                <w:shd w:val="clear" w:color="auto" w:fill="auto"/>
              </w:rPr>
              <w:t>、</w:t>
            </w:r>
            <w:r>
              <w:rPr>
                <w:rFonts w:hint="eastAsia" w:ascii="宋体" w:hAnsi="宋体" w:eastAsia="宋体" w:cs="宋体"/>
                <w:color w:val="auto"/>
                <w:sz w:val="20"/>
                <w:szCs w:val="20"/>
                <w:highlight w:val="none"/>
                <w:shd w:val="clear" w:color="auto" w:fill="auto"/>
                <w:lang w:val="en-US" w:eastAsia="zh-CN"/>
              </w:rPr>
              <w:t>投标人名称</w:t>
            </w:r>
            <w:r>
              <w:rPr>
                <w:rFonts w:hint="eastAsia" w:ascii="宋体" w:hAnsi="宋体" w:eastAsia="宋体" w:cs="宋体"/>
                <w:color w:val="auto"/>
                <w:sz w:val="20"/>
                <w:szCs w:val="20"/>
                <w:highlight w:val="none"/>
                <w:shd w:val="clear" w:color="auto" w:fill="auto"/>
              </w:rPr>
              <w:t>、工期是否符合招标文件规定。若不符合规定，招标代理机构应将有关情形在《开标一览表》“备注”栏中注明。</w:t>
            </w:r>
          </w:p>
          <w:p w14:paraId="3494A01B">
            <w:pPr>
              <w:pStyle w:val="22"/>
              <w:keepNext w:val="0"/>
              <w:keepLines w:val="0"/>
              <w:pageBreakBefore w:val="0"/>
              <w:widowControl w:val="0"/>
              <w:kinsoku/>
              <w:wordWrap/>
              <w:overflowPunct/>
              <w:topLinePunct w:val="0"/>
              <w:bidi w:val="0"/>
              <w:snapToGrid/>
              <w:spacing w:line="360" w:lineRule="exact"/>
              <w:ind w:left="4" w:right="225" w:firstLine="420"/>
              <w:textAlignment w:val="auto"/>
              <w:rPr>
                <w:rFonts w:hint="eastAsia" w:ascii="宋体" w:hAnsi="宋体" w:eastAsia="宋体" w:cs="宋体"/>
                <w:color w:val="auto"/>
                <w:sz w:val="20"/>
                <w:szCs w:val="20"/>
                <w:highlight w:val="none"/>
                <w:shd w:val="clear" w:color="auto" w:fill="auto"/>
              </w:rPr>
            </w:pPr>
            <w:r>
              <w:rPr>
                <w:rFonts w:hint="eastAsia" w:ascii="宋体" w:hAnsi="宋体" w:eastAsia="宋体" w:cs="宋体"/>
                <w:color w:val="auto"/>
                <w:sz w:val="20"/>
                <w:szCs w:val="20"/>
                <w:highlight w:val="none"/>
                <w:shd w:val="clear" w:color="auto" w:fill="auto"/>
              </w:rPr>
              <w:t>（</w:t>
            </w:r>
            <w:r>
              <w:rPr>
                <w:rFonts w:hint="eastAsia" w:ascii="宋体" w:hAnsi="宋体" w:eastAsia="宋体" w:cs="宋体"/>
                <w:color w:val="auto"/>
                <w:sz w:val="20"/>
                <w:szCs w:val="20"/>
                <w:highlight w:val="none"/>
                <w:shd w:val="clear" w:color="auto" w:fill="auto"/>
                <w:lang w:val="en-US" w:eastAsia="zh-CN"/>
              </w:rPr>
              <w:t>6</w:t>
            </w:r>
            <w:r>
              <w:rPr>
                <w:rFonts w:hint="eastAsia" w:ascii="宋体" w:hAnsi="宋体" w:eastAsia="宋体" w:cs="宋体"/>
                <w:color w:val="auto"/>
                <w:sz w:val="20"/>
                <w:szCs w:val="20"/>
                <w:highlight w:val="none"/>
                <w:shd w:val="clear" w:color="auto" w:fill="auto"/>
              </w:rPr>
              <w:t>）招标人代表、唱标人、记录人等有关人员在《投标保证缴纳情况表》以及《</w:t>
            </w:r>
            <w:r>
              <w:rPr>
                <w:rFonts w:hint="eastAsia" w:ascii="宋体" w:hAnsi="宋体" w:eastAsia="宋体" w:cs="宋体"/>
                <w:color w:val="auto"/>
                <w:sz w:val="20"/>
                <w:szCs w:val="20"/>
                <w:highlight w:val="none"/>
                <w:shd w:val="clear" w:color="auto" w:fill="auto"/>
                <w:lang w:val="en-US" w:eastAsia="zh-CN"/>
              </w:rPr>
              <w:t>第一个信封</w:t>
            </w:r>
            <w:r>
              <w:rPr>
                <w:rFonts w:hint="eastAsia" w:ascii="宋体" w:hAnsi="宋体" w:eastAsia="宋体" w:cs="宋体"/>
                <w:color w:val="auto"/>
                <w:sz w:val="20"/>
                <w:szCs w:val="20"/>
                <w:highlight w:val="none"/>
                <w:shd w:val="clear" w:color="auto" w:fill="auto"/>
              </w:rPr>
              <w:t>开标一览表》上签字确认。</w:t>
            </w:r>
          </w:p>
          <w:p w14:paraId="5BC0495F">
            <w:pPr>
              <w:pStyle w:val="22"/>
              <w:keepNext w:val="0"/>
              <w:keepLines w:val="0"/>
              <w:pageBreakBefore w:val="0"/>
              <w:widowControl w:val="0"/>
              <w:kinsoku/>
              <w:wordWrap/>
              <w:overflowPunct/>
              <w:topLinePunct w:val="0"/>
              <w:bidi w:val="0"/>
              <w:snapToGrid/>
              <w:spacing w:line="360" w:lineRule="exact"/>
              <w:ind w:left="4" w:leftChars="0" w:right="225" w:rightChars="0" w:firstLine="420" w:firstLineChars="0"/>
              <w:textAlignment w:val="auto"/>
              <w:rPr>
                <w:rFonts w:hint="eastAsia" w:ascii="宋体" w:hAnsi="宋体" w:eastAsia="宋体" w:cs="宋体"/>
                <w:color w:val="auto"/>
                <w:sz w:val="20"/>
                <w:szCs w:val="20"/>
                <w:highlight w:val="none"/>
                <w:shd w:val="clear" w:color="auto" w:fill="auto"/>
                <w:lang w:val="en-US" w:eastAsia="zh-CN"/>
              </w:rPr>
            </w:pPr>
            <w:r>
              <w:rPr>
                <w:rFonts w:hint="eastAsia" w:ascii="宋体" w:hAnsi="宋体" w:eastAsia="宋体" w:cs="宋体"/>
                <w:color w:val="auto"/>
                <w:sz w:val="20"/>
                <w:szCs w:val="20"/>
                <w:highlight w:val="none"/>
                <w:shd w:val="clear" w:color="auto" w:fill="auto"/>
              </w:rPr>
              <w:t>（</w:t>
            </w:r>
            <w:r>
              <w:rPr>
                <w:rFonts w:hint="eastAsia" w:ascii="宋体" w:hAnsi="宋体" w:eastAsia="宋体" w:cs="宋体"/>
                <w:color w:val="auto"/>
                <w:sz w:val="20"/>
                <w:szCs w:val="20"/>
                <w:highlight w:val="none"/>
                <w:shd w:val="clear" w:color="auto" w:fill="auto"/>
                <w:lang w:val="en-US" w:eastAsia="zh-CN"/>
              </w:rPr>
              <w:t>7</w:t>
            </w:r>
            <w:r>
              <w:rPr>
                <w:rFonts w:hint="eastAsia" w:ascii="宋体" w:hAnsi="宋体" w:eastAsia="宋体" w:cs="宋体"/>
                <w:color w:val="auto"/>
                <w:sz w:val="20"/>
                <w:szCs w:val="20"/>
                <w:highlight w:val="none"/>
                <w:shd w:val="clear" w:color="auto" w:fill="auto"/>
              </w:rPr>
              <w:t>）主持人宣布有关注意事项后，宣布</w:t>
            </w:r>
            <w:r>
              <w:rPr>
                <w:rFonts w:hint="eastAsia" w:ascii="宋体" w:hAnsi="宋体" w:eastAsia="宋体" w:cs="宋体"/>
                <w:color w:val="auto"/>
                <w:sz w:val="20"/>
                <w:szCs w:val="20"/>
                <w:highlight w:val="none"/>
                <w:shd w:val="clear" w:color="auto" w:fill="auto"/>
                <w:lang w:val="en-US" w:eastAsia="zh-CN"/>
              </w:rPr>
              <w:t>第一个信封（商务及技术文件）</w:t>
            </w:r>
            <w:r>
              <w:rPr>
                <w:rFonts w:hint="eastAsia" w:ascii="宋体" w:hAnsi="宋体" w:eastAsia="宋体" w:cs="宋体"/>
                <w:color w:val="auto"/>
                <w:sz w:val="20"/>
                <w:szCs w:val="20"/>
                <w:highlight w:val="none"/>
                <w:shd w:val="clear" w:color="auto" w:fill="auto"/>
              </w:rPr>
              <w:t>开标结束。</w:t>
            </w:r>
          </w:p>
        </w:tc>
      </w:tr>
      <w:tr w14:paraId="42C322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1013" w:type="dxa"/>
            <w:shd w:val="clear" w:color="auto" w:fill="auto"/>
            <w:vAlign w:val="center"/>
          </w:tcPr>
          <w:p w14:paraId="17C2DC31">
            <w:pPr>
              <w:pStyle w:val="19"/>
              <w:spacing w:line="380" w:lineRule="exact"/>
              <w:ind w:firstLine="0" w:firstLineChars="0"/>
              <w:rPr>
                <w:rFonts w:hint="eastAsia" w:ascii="宋体" w:hAnsi="宋体" w:eastAsia="宋体" w:cs="宋体"/>
                <w:snapToGrid w:val="0"/>
                <w:color w:val="auto"/>
                <w:spacing w:val="-1"/>
                <w:kern w:val="0"/>
                <w:position w:val="1"/>
                <w:sz w:val="20"/>
                <w:szCs w:val="20"/>
                <w:highlight w:val="none"/>
                <w:lang w:val="en-US" w:eastAsia="zh-CN" w:bidi="ar-SA"/>
              </w:rPr>
            </w:pPr>
            <w:r>
              <w:rPr>
                <w:rFonts w:hint="eastAsia" w:ascii="宋体" w:hAnsi="宋体" w:eastAsia="宋体" w:cs="宋体"/>
                <w:color w:val="auto"/>
                <w:sz w:val="20"/>
                <w:szCs w:val="20"/>
                <w:highlight w:val="none"/>
                <w:lang w:val="en-US" w:eastAsia="zh-CN"/>
              </w:rPr>
              <w:t>5.2.3</w:t>
            </w:r>
          </w:p>
        </w:tc>
        <w:tc>
          <w:tcPr>
            <w:tcW w:w="7768" w:type="dxa"/>
            <w:gridSpan w:val="2"/>
            <w:shd w:val="clear" w:color="auto" w:fill="auto"/>
            <w:vAlign w:val="center"/>
          </w:tcPr>
          <w:p w14:paraId="4185FD9F">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 xml:space="preserve">投标人须知正文 </w:t>
            </w:r>
            <w:r>
              <w:rPr>
                <w:rFonts w:hint="eastAsia" w:ascii="宋体" w:hAnsi="宋体" w:eastAsia="宋体" w:cs="宋体"/>
                <w:color w:val="auto"/>
                <w:sz w:val="20"/>
                <w:szCs w:val="20"/>
                <w:highlight w:val="none"/>
                <w:lang w:val="en-US" w:eastAsia="zh-CN"/>
              </w:rPr>
              <w:t>5.2.3</w:t>
            </w:r>
            <w:r>
              <w:rPr>
                <w:rFonts w:hint="eastAsia" w:ascii="宋体" w:hAnsi="宋体" w:eastAsia="宋体" w:cs="宋体"/>
                <w:color w:val="auto"/>
                <w:sz w:val="20"/>
                <w:szCs w:val="20"/>
                <w:highlight w:val="none"/>
              </w:rPr>
              <w:t>项内容修改如下：</w:t>
            </w:r>
          </w:p>
          <w:p w14:paraId="73911ED6">
            <w:pPr>
              <w:pStyle w:val="25"/>
              <w:keepNext w:val="0"/>
              <w:keepLines w:val="0"/>
              <w:pageBreakBefore w:val="0"/>
              <w:wordWrap/>
              <w:overflowPunct/>
              <w:topLinePunct w:val="0"/>
              <w:bidi w:val="0"/>
              <w:spacing w:line="360" w:lineRule="exact"/>
              <w:ind w:firstLine="400" w:firstLineChars="200"/>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shd w:val="clear" w:color="auto" w:fill="auto"/>
                <w:lang w:val="en-US" w:eastAsia="zh-CN"/>
              </w:rPr>
              <w:t>5.2.3招标人将按照本章5.1款规定的时间和地点对</w:t>
            </w:r>
            <w:r>
              <w:rPr>
                <w:rFonts w:hint="eastAsia" w:ascii="宋体" w:hAnsi="宋体" w:eastAsia="宋体" w:cs="宋体"/>
                <w:color w:val="auto"/>
                <w:sz w:val="20"/>
                <w:szCs w:val="20"/>
                <w:highlight w:val="none"/>
              </w:rPr>
              <w:t>通过投标文件第一个信封（商务及技术文件）评审的</w:t>
            </w:r>
            <w:r>
              <w:rPr>
                <w:rFonts w:hint="eastAsia" w:ascii="宋体" w:hAnsi="宋体" w:eastAsia="宋体" w:cs="宋体"/>
                <w:color w:val="auto"/>
                <w:sz w:val="20"/>
                <w:szCs w:val="20"/>
                <w:highlight w:val="none"/>
                <w:shd w:val="clear" w:color="auto" w:fill="auto"/>
                <w:lang w:val="en-US" w:eastAsia="zh-CN"/>
              </w:rPr>
              <w:t>投标文件第二个信封（报价文件）进行开标。主持人按下列程序进行开标：</w:t>
            </w:r>
          </w:p>
          <w:p w14:paraId="5F64AE89">
            <w:pPr>
              <w:pStyle w:val="22"/>
              <w:keepNext w:val="0"/>
              <w:keepLines w:val="0"/>
              <w:pageBreakBefore w:val="0"/>
              <w:widowControl w:val="0"/>
              <w:kinsoku/>
              <w:wordWrap/>
              <w:overflowPunct/>
              <w:topLinePunct w:val="0"/>
              <w:bidi w:val="0"/>
              <w:snapToGrid/>
              <w:spacing w:line="360" w:lineRule="exact"/>
              <w:ind w:left="4" w:right="225" w:firstLine="420"/>
              <w:textAlignment w:val="auto"/>
              <w:rPr>
                <w:rFonts w:hint="eastAsia" w:ascii="宋体" w:hAnsi="宋体" w:eastAsia="宋体" w:cs="宋体"/>
                <w:color w:val="auto"/>
                <w:sz w:val="20"/>
                <w:szCs w:val="20"/>
                <w:highlight w:val="none"/>
                <w:shd w:val="clear" w:color="auto" w:fill="auto"/>
              </w:rPr>
            </w:pPr>
            <w:r>
              <w:rPr>
                <w:rFonts w:hint="eastAsia" w:ascii="宋体" w:hAnsi="宋体" w:eastAsia="宋体" w:cs="宋体"/>
                <w:color w:val="auto"/>
                <w:sz w:val="20"/>
                <w:szCs w:val="20"/>
                <w:highlight w:val="none"/>
                <w:shd w:val="clear" w:color="auto" w:fill="auto"/>
              </w:rPr>
              <w:t>（1）宣读开标纪律。</w:t>
            </w:r>
          </w:p>
          <w:p w14:paraId="7826D7F8">
            <w:pPr>
              <w:pStyle w:val="22"/>
              <w:keepNext w:val="0"/>
              <w:keepLines w:val="0"/>
              <w:pageBreakBefore w:val="0"/>
              <w:widowControl w:val="0"/>
              <w:kinsoku/>
              <w:wordWrap/>
              <w:overflowPunct/>
              <w:topLinePunct w:val="0"/>
              <w:bidi w:val="0"/>
              <w:snapToGrid/>
              <w:spacing w:line="360" w:lineRule="exact"/>
              <w:ind w:left="4" w:right="225" w:firstLine="420"/>
              <w:textAlignment w:val="auto"/>
              <w:rPr>
                <w:rFonts w:hint="eastAsia" w:ascii="宋体" w:hAnsi="宋体" w:eastAsia="宋体" w:cs="宋体"/>
                <w:color w:val="auto"/>
                <w:sz w:val="20"/>
                <w:szCs w:val="20"/>
                <w:highlight w:val="none"/>
                <w:shd w:val="clear" w:color="auto" w:fill="auto"/>
              </w:rPr>
            </w:pPr>
            <w:r>
              <w:rPr>
                <w:rFonts w:hint="eastAsia" w:ascii="宋体" w:hAnsi="宋体" w:eastAsia="宋体" w:cs="宋体"/>
                <w:color w:val="auto"/>
                <w:sz w:val="20"/>
                <w:szCs w:val="20"/>
                <w:highlight w:val="none"/>
                <w:shd w:val="clear" w:color="auto" w:fill="auto"/>
              </w:rPr>
              <w:t>（2）主持人宣布</w:t>
            </w:r>
            <w:r>
              <w:rPr>
                <w:rFonts w:hint="eastAsia" w:ascii="宋体" w:hAnsi="宋体" w:eastAsia="宋体" w:cs="宋体"/>
                <w:color w:val="auto"/>
                <w:sz w:val="20"/>
                <w:szCs w:val="20"/>
                <w:highlight w:val="none"/>
                <w:shd w:val="clear" w:color="auto" w:fill="auto"/>
                <w:lang w:val="en-US" w:eastAsia="zh-CN"/>
              </w:rPr>
              <w:t>通过第一个信封（商务及技术文件）评审的投标人名单</w:t>
            </w:r>
            <w:r>
              <w:rPr>
                <w:rFonts w:hint="eastAsia" w:ascii="宋体" w:hAnsi="宋体" w:eastAsia="宋体" w:cs="宋体"/>
                <w:color w:val="auto"/>
                <w:sz w:val="20"/>
                <w:szCs w:val="20"/>
                <w:highlight w:val="none"/>
                <w:shd w:val="clear" w:color="auto" w:fill="auto"/>
              </w:rPr>
              <w:t>。</w:t>
            </w:r>
          </w:p>
          <w:p w14:paraId="4AE27E13">
            <w:pPr>
              <w:pStyle w:val="22"/>
              <w:keepNext w:val="0"/>
              <w:keepLines w:val="0"/>
              <w:pageBreakBefore w:val="0"/>
              <w:widowControl w:val="0"/>
              <w:kinsoku/>
              <w:wordWrap/>
              <w:overflowPunct/>
              <w:topLinePunct w:val="0"/>
              <w:bidi w:val="0"/>
              <w:snapToGrid/>
              <w:spacing w:line="360" w:lineRule="exact"/>
              <w:ind w:left="4" w:right="225" w:firstLine="420"/>
              <w:textAlignment w:val="auto"/>
              <w:rPr>
                <w:rFonts w:hint="eastAsia" w:ascii="宋体" w:hAnsi="宋体" w:eastAsia="宋体" w:cs="宋体"/>
                <w:color w:val="auto"/>
                <w:sz w:val="20"/>
                <w:szCs w:val="20"/>
                <w:highlight w:val="none"/>
                <w:shd w:val="clear" w:color="auto" w:fill="auto"/>
              </w:rPr>
            </w:pPr>
            <w:r>
              <w:rPr>
                <w:rFonts w:hint="eastAsia" w:ascii="宋体" w:hAnsi="宋体" w:eastAsia="宋体" w:cs="宋体"/>
                <w:color w:val="auto"/>
                <w:sz w:val="20"/>
                <w:szCs w:val="20"/>
                <w:highlight w:val="none"/>
                <w:shd w:val="clear" w:color="auto" w:fill="auto"/>
              </w:rPr>
              <w:t>（</w:t>
            </w:r>
            <w:r>
              <w:rPr>
                <w:rFonts w:hint="eastAsia" w:ascii="宋体" w:hAnsi="宋体" w:eastAsia="宋体" w:cs="宋体"/>
                <w:color w:val="auto"/>
                <w:sz w:val="20"/>
                <w:szCs w:val="20"/>
                <w:highlight w:val="none"/>
                <w:shd w:val="clear" w:color="auto" w:fill="auto"/>
                <w:lang w:val="en-US" w:eastAsia="zh-CN"/>
              </w:rPr>
              <w:t>3</w:t>
            </w:r>
            <w:r>
              <w:rPr>
                <w:rFonts w:hint="eastAsia" w:ascii="宋体" w:hAnsi="宋体" w:eastAsia="宋体" w:cs="宋体"/>
                <w:color w:val="auto"/>
                <w:sz w:val="20"/>
                <w:szCs w:val="20"/>
                <w:highlight w:val="none"/>
                <w:shd w:val="clear" w:color="auto" w:fill="auto"/>
              </w:rPr>
              <w:t>）主持人宣布唱标人、记录人、见证人、监督人等有关人员姓名。</w:t>
            </w:r>
          </w:p>
          <w:p w14:paraId="11ADC9A4">
            <w:pPr>
              <w:pStyle w:val="22"/>
              <w:keepNext w:val="0"/>
              <w:keepLines w:val="0"/>
              <w:pageBreakBefore w:val="0"/>
              <w:widowControl w:val="0"/>
              <w:kinsoku/>
              <w:wordWrap/>
              <w:overflowPunct/>
              <w:topLinePunct w:val="0"/>
              <w:bidi w:val="0"/>
              <w:snapToGrid/>
              <w:spacing w:line="360" w:lineRule="exact"/>
              <w:ind w:left="4" w:right="225" w:firstLine="420"/>
              <w:textAlignment w:val="auto"/>
              <w:rPr>
                <w:rFonts w:hint="eastAsia" w:ascii="宋体" w:hAnsi="宋体" w:eastAsia="宋体" w:cs="宋体"/>
                <w:color w:val="auto"/>
                <w:sz w:val="20"/>
                <w:szCs w:val="20"/>
                <w:highlight w:val="none"/>
                <w:shd w:val="clear" w:color="auto" w:fill="auto"/>
              </w:rPr>
            </w:pPr>
            <w:r>
              <w:rPr>
                <w:rFonts w:hint="eastAsia" w:ascii="宋体" w:hAnsi="宋体" w:eastAsia="宋体" w:cs="宋体"/>
                <w:color w:val="auto"/>
                <w:sz w:val="20"/>
                <w:szCs w:val="20"/>
                <w:highlight w:val="none"/>
                <w:shd w:val="clear" w:color="auto" w:fill="auto"/>
              </w:rPr>
              <w:t>（</w:t>
            </w:r>
            <w:r>
              <w:rPr>
                <w:rFonts w:hint="eastAsia" w:ascii="宋体" w:hAnsi="宋体" w:eastAsia="宋体" w:cs="宋体"/>
                <w:color w:val="auto"/>
                <w:sz w:val="20"/>
                <w:szCs w:val="20"/>
                <w:highlight w:val="none"/>
                <w:shd w:val="clear" w:color="auto" w:fill="auto"/>
                <w:lang w:val="en-US" w:eastAsia="zh-CN"/>
              </w:rPr>
              <w:t>4</w:t>
            </w:r>
            <w:r>
              <w:rPr>
                <w:rFonts w:hint="eastAsia" w:ascii="宋体" w:hAnsi="宋体" w:eastAsia="宋体" w:cs="宋体"/>
                <w:color w:val="auto"/>
                <w:sz w:val="20"/>
                <w:szCs w:val="20"/>
                <w:highlight w:val="none"/>
                <w:shd w:val="clear" w:color="auto" w:fill="auto"/>
              </w:rPr>
              <w:t>）唱标人检查《</w:t>
            </w:r>
            <w:r>
              <w:rPr>
                <w:rFonts w:hint="eastAsia" w:ascii="宋体" w:hAnsi="宋体" w:eastAsia="宋体" w:cs="宋体"/>
                <w:color w:val="auto"/>
                <w:sz w:val="20"/>
                <w:szCs w:val="20"/>
                <w:highlight w:val="none"/>
                <w:shd w:val="clear" w:color="auto" w:fill="auto"/>
                <w:lang w:val="en-US" w:eastAsia="zh-CN"/>
              </w:rPr>
              <w:t>第二个信封</w:t>
            </w:r>
            <w:r>
              <w:rPr>
                <w:rFonts w:hint="eastAsia" w:ascii="宋体" w:hAnsi="宋体" w:eastAsia="宋体" w:cs="宋体"/>
                <w:color w:val="auto"/>
                <w:sz w:val="20"/>
                <w:szCs w:val="20"/>
                <w:highlight w:val="none"/>
                <w:shd w:val="clear" w:color="auto" w:fill="auto"/>
              </w:rPr>
              <w:t>开标一览表》中各投标人的</w:t>
            </w:r>
            <w:r>
              <w:rPr>
                <w:rFonts w:hint="eastAsia" w:ascii="宋体" w:hAnsi="宋体" w:eastAsia="宋体" w:cs="宋体"/>
                <w:color w:val="auto"/>
                <w:sz w:val="20"/>
                <w:szCs w:val="20"/>
                <w:highlight w:val="none"/>
                <w:shd w:val="clear" w:color="auto" w:fill="auto"/>
                <w:lang w:val="en-US" w:eastAsia="zh-CN"/>
              </w:rPr>
              <w:t>标段名称</w:t>
            </w:r>
            <w:r>
              <w:rPr>
                <w:rFonts w:hint="eastAsia" w:ascii="宋体" w:hAnsi="宋体" w:eastAsia="宋体" w:cs="宋体"/>
                <w:color w:val="auto"/>
                <w:sz w:val="20"/>
                <w:szCs w:val="20"/>
                <w:highlight w:val="none"/>
                <w:shd w:val="clear" w:color="auto" w:fill="auto"/>
              </w:rPr>
              <w:t>、</w:t>
            </w:r>
            <w:r>
              <w:rPr>
                <w:rFonts w:hint="eastAsia" w:ascii="宋体" w:hAnsi="宋体" w:eastAsia="宋体" w:cs="宋体"/>
                <w:color w:val="auto"/>
                <w:sz w:val="20"/>
                <w:szCs w:val="20"/>
                <w:highlight w:val="none"/>
                <w:shd w:val="clear" w:color="auto" w:fill="auto"/>
                <w:lang w:val="en-US" w:eastAsia="zh-CN"/>
              </w:rPr>
              <w:t>投标人名称</w:t>
            </w:r>
            <w:r>
              <w:rPr>
                <w:rFonts w:hint="eastAsia" w:ascii="宋体" w:hAnsi="宋体" w:eastAsia="宋体" w:cs="宋体"/>
                <w:color w:val="auto"/>
                <w:sz w:val="20"/>
                <w:szCs w:val="20"/>
                <w:highlight w:val="none"/>
                <w:shd w:val="clear" w:color="auto" w:fill="auto"/>
              </w:rPr>
              <w:t>、投标</w:t>
            </w:r>
            <w:r>
              <w:rPr>
                <w:rFonts w:hint="eastAsia" w:ascii="宋体" w:hAnsi="宋体" w:eastAsia="宋体" w:cs="宋体"/>
                <w:color w:val="auto"/>
                <w:sz w:val="20"/>
                <w:szCs w:val="20"/>
                <w:highlight w:val="none"/>
                <w:shd w:val="clear" w:color="auto" w:fill="auto"/>
                <w:lang w:val="en-US" w:eastAsia="zh-CN"/>
              </w:rPr>
              <w:t>报价</w:t>
            </w:r>
            <w:r>
              <w:rPr>
                <w:rFonts w:hint="eastAsia" w:ascii="宋体" w:hAnsi="宋体" w:eastAsia="宋体" w:cs="宋体"/>
                <w:color w:val="auto"/>
                <w:sz w:val="20"/>
                <w:szCs w:val="20"/>
                <w:highlight w:val="none"/>
                <w:shd w:val="clear" w:color="auto" w:fill="auto"/>
              </w:rPr>
              <w:t>是否符合招标文件规定。若不符合规定，招标代理机构应将有关情形在《开标一览表》“备注”栏中注明。</w:t>
            </w:r>
          </w:p>
          <w:p w14:paraId="3CC27674">
            <w:pPr>
              <w:pStyle w:val="22"/>
              <w:keepNext w:val="0"/>
              <w:keepLines w:val="0"/>
              <w:pageBreakBefore w:val="0"/>
              <w:widowControl w:val="0"/>
              <w:kinsoku/>
              <w:wordWrap/>
              <w:overflowPunct/>
              <w:topLinePunct w:val="0"/>
              <w:bidi w:val="0"/>
              <w:snapToGrid/>
              <w:spacing w:line="360" w:lineRule="exact"/>
              <w:ind w:left="4" w:right="225" w:firstLine="420"/>
              <w:textAlignment w:val="auto"/>
              <w:rPr>
                <w:rFonts w:hint="eastAsia" w:ascii="宋体" w:hAnsi="宋体" w:eastAsia="宋体" w:cs="宋体"/>
                <w:color w:val="auto"/>
                <w:sz w:val="20"/>
                <w:szCs w:val="20"/>
                <w:highlight w:val="none"/>
                <w:shd w:val="clear" w:color="auto" w:fill="auto"/>
              </w:rPr>
            </w:pPr>
            <w:r>
              <w:rPr>
                <w:rFonts w:hint="eastAsia" w:ascii="宋体" w:hAnsi="宋体" w:eastAsia="宋体" w:cs="宋体"/>
                <w:color w:val="auto"/>
                <w:sz w:val="20"/>
                <w:szCs w:val="20"/>
                <w:highlight w:val="none"/>
                <w:shd w:val="clear" w:color="auto" w:fill="auto"/>
              </w:rPr>
              <w:t>（</w:t>
            </w:r>
            <w:r>
              <w:rPr>
                <w:rFonts w:hint="eastAsia" w:ascii="宋体" w:hAnsi="宋体" w:eastAsia="宋体" w:cs="宋体"/>
                <w:color w:val="auto"/>
                <w:sz w:val="20"/>
                <w:szCs w:val="20"/>
                <w:highlight w:val="none"/>
                <w:shd w:val="clear" w:color="auto" w:fill="auto"/>
                <w:lang w:val="en-US" w:eastAsia="zh-CN"/>
              </w:rPr>
              <w:t>5</w:t>
            </w:r>
            <w:r>
              <w:rPr>
                <w:rFonts w:hint="eastAsia" w:ascii="宋体" w:hAnsi="宋体" w:eastAsia="宋体" w:cs="宋体"/>
                <w:color w:val="auto"/>
                <w:sz w:val="20"/>
                <w:szCs w:val="20"/>
                <w:highlight w:val="none"/>
                <w:shd w:val="clear" w:color="auto" w:fill="auto"/>
              </w:rPr>
              <w:t>）招标人代表、唱标人、记录人等有关人员在《</w:t>
            </w:r>
            <w:r>
              <w:rPr>
                <w:rFonts w:hint="eastAsia" w:ascii="宋体" w:hAnsi="宋体" w:eastAsia="宋体" w:cs="宋体"/>
                <w:color w:val="auto"/>
                <w:sz w:val="20"/>
                <w:szCs w:val="20"/>
                <w:highlight w:val="none"/>
                <w:shd w:val="clear" w:color="auto" w:fill="auto"/>
                <w:lang w:val="en-US" w:eastAsia="zh-CN"/>
              </w:rPr>
              <w:t>第二个信封</w:t>
            </w:r>
            <w:r>
              <w:rPr>
                <w:rFonts w:hint="eastAsia" w:ascii="宋体" w:hAnsi="宋体" w:eastAsia="宋体" w:cs="宋体"/>
                <w:color w:val="auto"/>
                <w:sz w:val="20"/>
                <w:szCs w:val="20"/>
                <w:highlight w:val="none"/>
                <w:shd w:val="clear" w:color="auto" w:fill="auto"/>
              </w:rPr>
              <w:t>开标一览表》上签字确认。</w:t>
            </w:r>
          </w:p>
          <w:p w14:paraId="173B9585">
            <w:pPr>
              <w:pStyle w:val="19"/>
              <w:keepNext w:val="0"/>
              <w:keepLines w:val="0"/>
              <w:pageBreakBefore w:val="0"/>
              <w:wordWrap/>
              <w:overflowPunct/>
              <w:topLinePunct w:val="0"/>
              <w:bidi w:val="0"/>
              <w:spacing w:line="360" w:lineRule="exact"/>
              <w:ind w:firstLine="400" w:firstLineChars="200"/>
              <w:jc w:val="both"/>
              <w:rPr>
                <w:rFonts w:hint="eastAsia" w:ascii="宋体" w:hAnsi="宋体" w:eastAsia="宋体" w:cs="宋体"/>
                <w:snapToGrid w:val="0"/>
                <w:color w:val="auto"/>
                <w:spacing w:val="12"/>
                <w:kern w:val="0"/>
                <w:sz w:val="20"/>
                <w:szCs w:val="20"/>
                <w:highlight w:val="none"/>
                <w:lang w:val="en-US" w:eastAsia="en-US" w:bidi="ar-SA"/>
              </w:rPr>
            </w:pPr>
            <w:r>
              <w:rPr>
                <w:rFonts w:hint="eastAsia" w:ascii="宋体" w:hAnsi="宋体" w:eastAsia="宋体" w:cs="宋体"/>
                <w:color w:val="auto"/>
                <w:sz w:val="20"/>
                <w:szCs w:val="20"/>
                <w:highlight w:val="none"/>
                <w:shd w:val="clear" w:color="auto" w:fill="auto"/>
              </w:rPr>
              <w:t>（</w:t>
            </w:r>
            <w:r>
              <w:rPr>
                <w:rFonts w:hint="eastAsia" w:ascii="宋体" w:hAnsi="宋体" w:eastAsia="宋体" w:cs="宋体"/>
                <w:color w:val="auto"/>
                <w:sz w:val="20"/>
                <w:szCs w:val="20"/>
                <w:highlight w:val="none"/>
                <w:shd w:val="clear" w:color="auto" w:fill="auto"/>
                <w:lang w:val="en-US" w:eastAsia="zh-CN"/>
              </w:rPr>
              <w:t>7</w:t>
            </w:r>
            <w:r>
              <w:rPr>
                <w:rFonts w:hint="eastAsia" w:ascii="宋体" w:hAnsi="宋体" w:eastAsia="宋体" w:cs="宋体"/>
                <w:color w:val="auto"/>
                <w:sz w:val="20"/>
                <w:szCs w:val="20"/>
                <w:highlight w:val="none"/>
                <w:shd w:val="clear" w:color="auto" w:fill="auto"/>
              </w:rPr>
              <w:t>）宣布</w:t>
            </w:r>
            <w:r>
              <w:rPr>
                <w:rFonts w:hint="eastAsia" w:ascii="宋体" w:hAnsi="宋体" w:eastAsia="宋体" w:cs="宋体"/>
                <w:color w:val="auto"/>
                <w:sz w:val="20"/>
                <w:szCs w:val="20"/>
                <w:highlight w:val="none"/>
                <w:shd w:val="clear" w:color="auto" w:fill="auto"/>
                <w:lang w:val="en-US" w:eastAsia="zh-CN"/>
              </w:rPr>
              <w:t>第二个信封（报价文件）</w:t>
            </w:r>
            <w:r>
              <w:rPr>
                <w:rFonts w:hint="eastAsia" w:ascii="宋体" w:hAnsi="宋体" w:eastAsia="宋体" w:cs="宋体"/>
                <w:color w:val="auto"/>
                <w:sz w:val="20"/>
                <w:szCs w:val="20"/>
                <w:highlight w:val="none"/>
                <w:shd w:val="clear" w:color="auto" w:fill="auto"/>
              </w:rPr>
              <w:t>开标结束。</w:t>
            </w:r>
          </w:p>
        </w:tc>
      </w:tr>
      <w:tr w14:paraId="3B0C81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1013" w:type="dxa"/>
            <w:shd w:val="clear" w:color="auto" w:fill="auto"/>
            <w:vAlign w:val="center"/>
          </w:tcPr>
          <w:p w14:paraId="4CDDC004">
            <w:pPr>
              <w:pStyle w:val="19"/>
              <w:spacing w:line="380" w:lineRule="exact"/>
              <w:ind w:firstLine="0" w:firstLineChars="0"/>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5.4</w:t>
            </w:r>
          </w:p>
        </w:tc>
        <w:tc>
          <w:tcPr>
            <w:tcW w:w="7768" w:type="dxa"/>
            <w:gridSpan w:val="2"/>
            <w:shd w:val="clear" w:color="auto" w:fill="auto"/>
            <w:vAlign w:val="center"/>
          </w:tcPr>
          <w:p w14:paraId="146C75EE">
            <w:pPr>
              <w:pStyle w:val="19"/>
              <w:keepNext w:val="0"/>
              <w:keepLines w:val="0"/>
              <w:pageBreakBefore w:val="0"/>
              <w:widowControl w:val="0"/>
              <w:kinsoku w:val="0"/>
              <w:wordWrap/>
              <w:overflowPunct/>
              <w:topLinePunct w:val="0"/>
              <w:autoSpaceDE w:val="0"/>
              <w:autoSpaceDN w:val="0"/>
              <w:bidi w:val="0"/>
              <w:adjustRightInd w:val="0"/>
              <w:snapToGrid w:val="0"/>
              <w:spacing w:line="360" w:lineRule="exact"/>
              <w:ind w:left="105" w:leftChars="50" w:right="105" w:rightChars="50"/>
              <w:jc w:val="both"/>
              <w:textAlignment w:val="baseline"/>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投标人须知正文5.4项内容修改如下：</w:t>
            </w:r>
          </w:p>
          <w:p w14:paraId="78048025">
            <w:pPr>
              <w:pStyle w:val="19"/>
              <w:keepNext w:val="0"/>
              <w:keepLines w:val="0"/>
              <w:pageBreakBefore w:val="0"/>
              <w:widowControl w:val="0"/>
              <w:kinsoku w:val="0"/>
              <w:wordWrap/>
              <w:overflowPunct/>
              <w:topLinePunct w:val="0"/>
              <w:autoSpaceDE w:val="0"/>
              <w:autoSpaceDN w:val="0"/>
              <w:bidi w:val="0"/>
              <w:adjustRightInd w:val="0"/>
              <w:snapToGrid w:val="0"/>
              <w:spacing w:line="360" w:lineRule="exact"/>
              <w:ind w:left="105" w:leftChars="50" w:right="105" w:rightChars="50"/>
              <w:jc w:val="both"/>
              <w:textAlignment w:val="baseline"/>
              <w:rPr>
                <w:rFonts w:hint="default"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5.4开标补救措施</w:t>
            </w:r>
          </w:p>
          <w:p w14:paraId="7ACC7A06">
            <w:pPr>
              <w:pStyle w:val="19"/>
              <w:keepNext w:val="0"/>
              <w:keepLines w:val="0"/>
              <w:pageBreakBefore w:val="0"/>
              <w:widowControl w:val="0"/>
              <w:kinsoku w:val="0"/>
              <w:wordWrap/>
              <w:overflowPunct/>
              <w:topLinePunct w:val="0"/>
              <w:autoSpaceDE w:val="0"/>
              <w:autoSpaceDN w:val="0"/>
              <w:bidi w:val="0"/>
              <w:adjustRightInd w:val="0"/>
              <w:snapToGrid w:val="0"/>
              <w:spacing w:line="360" w:lineRule="exact"/>
              <w:ind w:left="105" w:leftChars="50" w:right="105" w:rightChars="50" w:firstLine="400" w:firstLineChars="200"/>
              <w:jc w:val="both"/>
              <w:textAlignment w:val="baseline"/>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 xml:space="preserve">5.4.1 按照交易平台关于全流程电子化项目的相关指引进行操作。详见：全国公共资源交易平台（广东省·韶关市）（https://ygp.gdzwfw.gov.cn/ggzy-portal/#/440200/index）交易指引栏目发布的最新版操作指引。  </w:t>
            </w:r>
          </w:p>
          <w:p w14:paraId="24C481D7">
            <w:pPr>
              <w:pStyle w:val="19"/>
              <w:keepNext w:val="0"/>
              <w:keepLines w:val="0"/>
              <w:pageBreakBefore w:val="0"/>
              <w:widowControl w:val="0"/>
              <w:kinsoku w:val="0"/>
              <w:wordWrap/>
              <w:overflowPunct/>
              <w:topLinePunct w:val="0"/>
              <w:autoSpaceDE w:val="0"/>
              <w:autoSpaceDN w:val="0"/>
              <w:bidi w:val="0"/>
              <w:adjustRightInd w:val="0"/>
              <w:snapToGrid w:val="0"/>
              <w:spacing w:line="360" w:lineRule="exact"/>
              <w:ind w:left="105" w:leftChars="50" w:right="105" w:rightChars="50" w:firstLine="376" w:firstLineChars="200"/>
              <w:jc w:val="both"/>
              <w:textAlignment w:val="baseline"/>
              <w:rPr>
                <w:rFonts w:hint="eastAsia" w:ascii="宋体" w:hAnsi="宋体" w:eastAsia="宋体" w:cs="宋体"/>
                <w:color w:val="auto"/>
                <w:sz w:val="20"/>
                <w:szCs w:val="20"/>
                <w:highlight w:val="none"/>
                <w:lang w:val="en-US" w:eastAsia="zh-CN"/>
              </w:rPr>
            </w:pPr>
            <w:r>
              <w:rPr>
                <w:rFonts w:hint="eastAsia" w:ascii="宋体" w:hAnsi="宋体" w:eastAsia="宋体" w:cs="宋体"/>
                <w:color w:val="auto"/>
                <w:spacing w:val="-6"/>
                <w:sz w:val="20"/>
                <w:szCs w:val="20"/>
                <w:highlight w:val="none"/>
                <w:lang w:val="en-US" w:eastAsia="zh-CN"/>
              </w:rPr>
              <w:t>5.4.2 在规定时间内，因投标人之外原因(指网络瘫痪、服务器损坏、交易系统故障短期无法恢复)等导致的电子投标文件解密失败，在开标现场解密环节由代理授权后，解密失败投标人可在交易平台在规定时间（代理机构授权后30分钟内）内重新提交投标文件继续开标程序</w:t>
            </w:r>
            <w:r>
              <w:rPr>
                <w:rFonts w:hint="eastAsia" w:ascii="宋体" w:hAnsi="宋体" w:eastAsia="宋体" w:cs="宋体"/>
                <w:color w:val="auto"/>
                <w:sz w:val="20"/>
                <w:szCs w:val="20"/>
                <w:highlight w:val="none"/>
                <w:lang w:val="en-US" w:eastAsia="zh-CN"/>
              </w:rPr>
              <w:t>。</w:t>
            </w:r>
          </w:p>
          <w:p w14:paraId="49A0702A">
            <w:pPr>
              <w:pStyle w:val="19"/>
              <w:keepNext w:val="0"/>
              <w:keepLines w:val="0"/>
              <w:pageBreakBefore w:val="0"/>
              <w:widowControl w:val="0"/>
              <w:kinsoku w:val="0"/>
              <w:wordWrap/>
              <w:overflowPunct/>
              <w:topLinePunct w:val="0"/>
              <w:autoSpaceDE w:val="0"/>
              <w:autoSpaceDN w:val="0"/>
              <w:bidi w:val="0"/>
              <w:adjustRightInd w:val="0"/>
              <w:snapToGrid w:val="0"/>
              <w:spacing w:line="360" w:lineRule="exact"/>
              <w:ind w:left="105" w:leftChars="50" w:right="105" w:rightChars="50" w:firstLine="400" w:firstLineChars="200"/>
              <w:jc w:val="both"/>
              <w:textAlignment w:val="baseline"/>
              <w:rPr>
                <w:rFonts w:hint="eastAsia" w:ascii="宋体" w:hAnsi="宋体" w:eastAsia="宋体" w:cs="宋体"/>
                <w:color w:val="auto"/>
                <w:sz w:val="20"/>
                <w:szCs w:val="20"/>
                <w:highlight w:val="none"/>
                <w:shd w:val="clear" w:color="auto" w:fill="auto"/>
              </w:rPr>
            </w:pPr>
            <w:r>
              <w:rPr>
                <w:rFonts w:hint="eastAsia" w:ascii="宋体" w:hAnsi="宋体" w:eastAsia="宋体" w:cs="宋体"/>
                <w:color w:val="auto"/>
                <w:sz w:val="20"/>
                <w:szCs w:val="20"/>
                <w:highlight w:val="none"/>
                <w:lang w:val="en-US" w:eastAsia="zh-CN"/>
              </w:rPr>
              <w:t>除发生上述情况外，开标均以投标人通过交易平台网上递交的电子投标文件为准。</w:t>
            </w:r>
          </w:p>
        </w:tc>
      </w:tr>
      <w:tr w14:paraId="725E81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1013" w:type="dxa"/>
            <w:shd w:val="clear" w:color="auto" w:fill="auto"/>
            <w:vAlign w:val="center"/>
          </w:tcPr>
          <w:p w14:paraId="320ABCD3">
            <w:pPr>
              <w:pStyle w:val="19"/>
              <w:spacing w:line="380" w:lineRule="exact"/>
              <w:ind w:firstLine="0" w:firstLineChars="0"/>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6.3.2</w:t>
            </w:r>
          </w:p>
        </w:tc>
        <w:tc>
          <w:tcPr>
            <w:tcW w:w="7768" w:type="dxa"/>
            <w:gridSpan w:val="2"/>
            <w:shd w:val="clear" w:color="auto" w:fill="auto"/>
            <w:vAlign w:val="center"/>
          </w:tcPr>
          <w:p w14:paraId="68F96B7B">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投标人须知正文</w:t>
            </w:r>
            <w:r>
              <w:rPr>
                <w:rFonts w:hint="eastAsia" w:ascii="宋体" w:hAnsi="宋体" w:eastAsia="宋体" w:cs="宋体"/>
                <w:color w:val="auto"/>
                <w:sz w:val="20"/>
                <w:szCs w:val="20"/>
                <w:highlight w:val="none"/>
                <w:lang w:val="en-US" w:eastAsia="zh-CN"/>
              </w:rPr>
              <w:t>6.3.2</w:t>
            </w:r>
            <w:r>
              <w:rPr>
                <w:rFonts w:hint="eastAsia" w:ascii="宋体" w:hAnsi="宋体" w:eastAsia="宋体" w:cs="宋体"/>
                <w:color w:val="auto"/>
                <w:sz w:val="20"/>
                <w:szCs w:val="20"/>
                <w:highlight w:val="none"/>
              </w:rPr>
              <w:t>项内容修改如下：</w:t>
            </w:r>
          </w:p>
          <w:p w14:paraId="244EFAB0">
            <w:pPr>
              <w:pStyle w:val="19"/>
              <w:keepNext w:val="0"/>
              <w:keepLines w:val="0"/>
              <w:pageBreakBefore w:val="0"/>
              <w:wordWrap/>
              <w:overflowPunct/>
              <w:topLinePunct w:val="0"/>
              <w:bidi w:val="0"/>
              <w:spacing w:line="360" w:lineRule="exact"/>
              <w:ind w:firstLine="400" w:firstLineChars="200"/>
              <w:jc w:val="both"/>
              <w:rPr>
                <w:rFonts w:hint="eastAsia" w:ascii="宋体" w:hAnsi="宋体" w:eastAsia="宋体" w:cs="宋体"/>
                <w:color w:val="auto"/>
                <w:sz w:val="20"/>
                <w:szCs w:val="20"/>
                <w:highlight w:val="none"/>
                <w:shd w:val="clear" w:color="auto" w:fill="auto"/>
              </w:rPr>
            </w:pPr>
            <w:r>
              <w:rPr>
                <w:rFonts w:hint="eastAsia" w:ascii="宋体" w:hAnsi="宋体" w:eastAsia="宋体" w:cs="宋体"/>
                <w:color w:val="auto"/>
                <w:sz w:val="20"/>
                <w:szCs w:val="20"/>
                <w:highlight w:val="none"/>
                <w:lang w:val="en-US" w:eastAsia="zh-CN"/>
              </w:rPr>
              <w:t>6.3.2</w:t>
            </w:r>
            <w:r>
              <w:rPr>
                <w:rFonts w:hint="eastAsia" w:ascii="宋体" w:hAnsi="宋体" w:eastAsia="宋体" w:cs="宋体"/>
                <w:color w:val="auto"/>
                <w:sz w:val="20"/>
                <w:szCs w:val="20"/>
                <w:highlight w:val="none"/>
              </w:rPr>
              <w:t>评标完成后，评标委员会应向招标人提交书面评标报告和</w:t>
            </w:r>
            <w:r>
              <w:rPr>
                <w:rFonts w:hint="eastAsia" w:ascii="宋体" w:hAnsi="宋体" w:eastAsia="宋体" w:cs="宋体"/>
                <w:color w:val="auto"/>
                <w:sz w:val="20"/>
                <w:szCs w:val="20"/>
                <w:highlight w:val="none"/>
                <w:lang w:val="en-US" w:eastAsia="zh-CN"/>
              </w:rPr>
              <w:t>定</w:t>
            </w:r>
            <w:r>
              <w:rPr>
                <w:rFonts w:hint="eastAsia" w:ascii="宋体" w:hAnsi="宋体" w:eastAsia="宋体" w:cs="宋体"/>
                <w:color w:val="auto"/>
                <w:sz w:val="20"/>
                <w:szCs w:val="20"/>
                <w:highlight w:val="none"/>
              </w:rPr>
              <w:t>标候选人名单。评标委员会推荐</w:t>
            </w:r>
            <w:r>
              <w:rPr>
                <w:rFonts w:hint="eastAsia" w:ascii="宋体" w:hAnsi="宋体" w:eastAsia="宋体" w:cs="宋体"/>
                <w:color w:val="auto"/>
                <w:sz w:val="20"/>
                <w:szCs w:val="20"/>
                <w:highlight w:val="none"/>
                <w:lang w:val="en-US" w:eastAsia="zh-CN"/>
              </w:rPr>
              <w:t>定</w:t>
            </w:r>
            <w:r>
              <w:rPr>
                <w:rFonts w:hint="eastAsia" w:ascii="宋体" w:hAnsi="宋体" w:eastAsia="宋体" w:cs="宋体"/>
                <w:color w:val="auto"/>
                <w:sz w:val="20"/>
                <w:szCs w:val="20"/>
                <w:highlight w:val="none"/>
              </w:rPr>
              <w:t>标候选人的人数见投标人须知前附表。</w:t>
            </w:r>
          </w:p>
        </w:tc>
      </w:tr>
      <w:tr w14:paraId="28EF88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1013" w:type="dxa"/>
            <w:shd w:val="clear" w:color="auto" w:fill="auto"/>
            <w:vAlign w:val="center"/>
          </w:tcPr>
          <w:p w14:paraId="189DA1FE">
            <w:pPr>
              <w:pStyle w:val="19"/>
              <w:spacing w:line="380" w:lineRule="exact"/>
              <w:ind w:firstLine="0" w:firstLineChars="0"/>
              <w:rPr>
                <w:rFonts w:hint="eastAsia" w:ascii="宋体" w:hAnsi="宋体" w:eastAsia="宋体" w:cs="宋体"/>
                <w:snapToGrid w:val="0"/>
                <w:color w:val="auto"/>
                <w:kern w:val="0"/>
                <w:sz w:val="20"/>
                <w:szCs w:val="20"/>
                <w:highlight w:val="none"/>
                <w:lang w:val="en-US" w:eastAsia="zh-CN" w:bidi="ar-SA"/>
              </w:rPr>
            </w:pPr>
            <w:r>
              <w:rPr>
                <w:rFonts w:hint="eastAsia" w:ascii="宋体" w:hAnsi="宋体" w:eastAsia="宋体" w:cs="宋体"/>
                <w:color w:val="auto"/>
                <w:sz w:val="20"/>
                <w:szCs w:val="20"/>
                <w:highlight w:val="none"/>
                <w:lang w:val="en-US" w:eastAsia="zh-CN"/>
              </w:rPr>
              <w:t>6.3.3</w:t>
            </w:r>
          </w:p>
        </w:tc>
        <w:tc>
          <w:tcPr>
            <w:tcW w:w="7768" w:type="dxa"/>
            <w:gridSpan w:val="2"/>
            <w:shd w:val="clear" w:color="auto" w:fill="auto"/>
            <w:vAlign w:val="center"/>
          </w:tcPr>
          <w:p w14:paraId="1201785D">
            <w:pPr>
              <w:keepNext w:val="0"/>
              <w:keepLines w:val="0"/>
              <w:pageBreakBefore w:val="0"/>
              <w:widowControl w:val="0"/>
              <w:kinsoku/>
              <w:wordWrap/>
              <w:overflowPunct/>
              <w:topLinePunct w:val="0"/>
              <w:autoSpaceDE/>
              <w:autoSpaceDN/>
              <w:bidi w:val="0"/>
              <w:adjustRightInd/>
              <w:snapToGrid/>
              <w:spacing w:line="360" w:lineRule="exact"/>
              <w:ind w:left="105" w:leftChars="50" w:right="105" w:rightChars="50"/>
              <w:textAlignment w:val="auto"/>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投标人须知正文</w:t>
            </w:r>
            <w:r>
              <w:rPr>
                <w:rFonts w:hint="eastAsia" w:ascii="宋体" w:hAnsi="宋体" w:eastAsia="宋体" w:cs="宋体"/>
                <w:color w:val="auto"/>
                <w:sz w:val="20"/>
                <w:szCs w:val="20"/>
                <w:highlight w:val="none"/>
                <w:lang w:val="en-US" w:eastAsia="zh-CN"/>
              </w:rPr>
              <w:t>6.3.3</w:t>
            </w:r>
            <w:r>
              <w:rPr>
                <w:rFonts w:hint="eastAsia" w:ascii="宋体" w:hAnsi="宋体" w:eastAsia="宋体" w:cs="宋体"/>
                <w:color w:val="auto"/>
                <w:sz w:val="20"/>
                <w:szCs w:val="20"/>
                <w:highlight w:val="none"/>
              </w:rPr>
              <w:t>项内容修改如下：</w:t>
            </w:r>
          </w:p>
          <w:p w14:paraId="1A3CD285">
            <w:pPr>
              <w:pStyle w:val="19"/>
              <w:keepNext w:val="0"/>
              <w:keepLines w:val="0"/>
              <w:pageBreakBefore w:val="0"/>
              <w:widowControl w:val="0"/>
              <w:wordWrap/>
              <w:overflowPunct/>
              <w:topLinePunct w:val="0"/>
              <w:bidi w:val="0"/>
              <w:spacing w:line="360" w:lineRule="exact"/>
              <w:ind w:left="105" w:leftChars="50" w:right="105" w:rightChars="50"/>
              <w:jc w:val="both"/>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6.3.3评标补救措施</w:t>
            </w:r>
          </w:p>
          <w:p w14:paraId="62C7DA99">
            <w:pPr>
              <w:pStyle w:val="19"/>
              <w:keepNext w:val="0"/>
              <w:keepLines w:val="0"/>
              <w:pageBreakBefore w:val="0"/>
              <w:widowControl w:val="0"/>
              <w:wordWrap/>
              <w:overflowPunct/>
              <w:topLinePunct w:val="0"/>
              <w:bidi w:val="0"/>
              <w:spacing w:line="360" w:lineRule="exact"/>
              <w:ind w:left="105" w:leftChars="50" w:right="105" w:rightChars="50" w:firstLine="400" w:firstLineChars="200"/>
              <w:jc w:val="both"/>
              <w:rPr>
                <w:rFonts w:hint="eastAsia" w:ascii="宋体" w:hAnsi="宋体" w:eastAsia="宋体" w:cs="宋体"/>
                <w:color w:val="auto"/>
                <w:sz w:val="20"/>
                <w:szCs w:val="20"/>
                <w:highlight w:val="none"/>
                <w:lang w:val="en-US" w:eastAsia="zh-CN"/>
              </w:rPr>
            </w:pPr>
            <w:r>
              <w:rPr>
                <w:rFonts w:hint="eastAsia" w:ascii="宋体" w:hAnsi="宋体" w:eastAsia="宋体" w:cs="宋体"/>
                <w:color w:val="auto"/>
                <w:sz w:val="20"/>
                <w:szCs w:val="20"/>
                <w:highlight w:val="none"/>
                <w:lang w:val="en-US" w:eastAsia="zh-CN"/>
              </w:rPr>
              <w:t>在评标过程中，因主场或副场网络故障、电子设备或者评标系统故障，以及其他原因导致无法继续进行评标时，在4小时以内解除故障的可继续评标，超过4小时无法解除故障的，由招标人确定是否进行评标。如延期评标，招标人及参与评标活动的各方主体及其有关工作人员应当配合主场、副场做好招投标资料的封存和保密工作，另行组建评标委员会重新评标。原评标委员会成员应当对评标情况保密，不得对外透露与评标有关的任何信息与情况。</w:t>
            </w:r>
          </w:p>
          <w:p w14:paraId="7E483E5F">
            <w:pPr>
              <w:pStyle w:val="19"/>
              <w:keepNext w:val="0"/>
              <w:keepLines w:val="0"/>
              <w:pageBreakBefore w:val="0"/>
              <w:widowControl w:val="0"/>
              <w:wordWrap/>
              <w:overflowPunct/>
              <w:topLinePunct w:val="0"/>
              <w:bidi w:val="0"/>
              <w:spacing w:line="360" w:lineRule="exact"/>
              <w:ind w:left="105" w:leftChars="50" w:right="105" w:rightChars="50" w:firstLine="400" w:firstLineChars="200"/>
              <w:jc w:val="both"/>
              <w:rPr>
                <w:rFonts w:hint="eastAsia" w:ascii="宋体" w:hAnsi="宋体" w:eastAsia="宋体" w:cs="宋体"/>
                <w:snapToGrid w:val="0"/>
                <w:color w:val="auto"/>
                <w:kern w:val="0"/>
                <w:sz w:val="20"/>
                <w:szCs w:val="20"/>
                <w:highlight w:val="none"/>
                <w:lang w:val="en-US" w:eastAsia="zh-CN" w:bidi="ar-SA"/>
              </w:rPr>
            </w:pPr>
            <w:r>
              <w:rPr>
                <w:rFonts w:hint="eastAsia" w:ascii="宋体" w:hAnsi="宋体" w:eastAsia="宋体" w:cs="宋体"/>
                <w:color w:val="auto"/>
                <w:sz w:val="20"/>
                <w:szCs w:val="20"/>
                <w:highlight w:val="none"/>
                <w:lang w:val="en-US" w:eastAsia="zh-CN"/>
              </w:rPr>
              <w:t>除发生上述情况外，评标均以投标人通过交易平台网上递交的电子投标文件为准。</w:t>
            </w:r>
          </w:p>
        </w:tc>
      </w:tr>
      <w:tr w14:paraId="329A51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1" w:hRule="atLeast"/>
        </w:trPr>
        <w:tc>
          <w:tcPr>
            <w:tcW w:w="1013" w:type="dxa"/>
            <w:vAlign w:val="top"/>
          </w:tcPr>
          <w:p w14:paraId="03D602B7">
            <w:pPr>
              <w:spacing w:line="257" w:lineRule="auto"/>
              <w:rPr>
                <w:rFonts w:ascii="Arial"/>
                <w:color w:val="auto"/>
                <w:sz w:val="21"/>
                <w:highlight w:val="none"/>
              </w:rPr>
            </w:pPr>
          </w:p>
          <w:p w14:paraId="6045FC6F">
            <w:pPr>
              <w:spacing w:line="257" w:lineRule="auto"/>
              <w:rPr>
                <w:rFonts w:ascii="Arial"/>
                <w:color w:val="auto"/>
                <w:sz w:val="21"/>
                <w:highlight w:val="none"/>
              </w:rPr>
            </w:pPr>
          </w:p>
          <w:p w14:paraId="01623939">
            <w:pPr>
              <w:spacing w:line="257" w:lineRule="auto"/>
              <w:rPr>
                <w:rFonts w:ascii="Arial"/>
                <w:color w:val="auto"/>
                <w:sz w:val="21"/>
                <w:highlight w:val="none"/>
              </w:rPr>
            </w:pPr>
          </w:p>
          <w:p w14:paraId="3C00381F">
            <w:pPr>
              <w:spacing w:line="257" w:lineRule="auto"/>
              <w:rPr>
                <w:rFonts w:ascii="Arial"/>
                <w:color w:val="auto"/>
                <w:sz w:val="21"/>
                <w:highlight w:val="none"/>
              </w:rPr>
            </w:pPr>
          </w:p>
          <w:p w14:paraId="354090C1">
            <w:pPr>
              <w:spacing w:line="257" w:lineRule="auto"/>
              <w:rPr>
                <w:rFonts w:ascii="Arial"/>
                <w:color w:val="auto"/>
                <w:sz w:val="21"/>
                <w:highlight w:val="none"/>
              </w:rPr>
            </w:pPr>
          </w:p>
          <w:p w14:paraId="244E7F8E">
            <w:pPr>
              <w:spacing w:line="258" w:lineRule="auto"/>
              <w:rPr>
                <w:rFonts w:ascii="Arial"/>
                <w:color w:val="auto"/>
                <w:sz w:val="21"/>
                <w:highlight w:val="none"/>
              </w:rPr>
            </w:pPr>
          </w:p>
          <w:p w14:paraId="5600C22A">
            <w:pPr>
              <w:spacing w:line="258" w:lineRule="auto"/>
              <w:rPr>
                <w:rFonts w:ascii="Arial"/>
                <w:color w:val="auto"/>
                <w:sz w:val="21"/>
                <w:highlight w:val="none"/>
              </w:rPr>
            </w:pPr>
          </w:p>
          <w:p w14:paraId="0BD59463">
            <w:pPr>
              <w:spacing w:line="258" w:lineRule="auto"/>
              <w:rPr>
                <w:rFonts w:ascii="Arial"/>
                <w:color w:val="auto"/>
                <w:sz w:val="21"/>
                <w:highlight w:val="none"/>
              </w:rPr>
            </w:pPr>
          </w:p>
          <w:p w14:paraId="50783E2C">
            <w:pPr>
              <w:spacing w:line="258" w:lineRule="auto"/>
              <w:rPr>
                <w:rFonts w:ascii="Arial"/>
                <w:color w:val="auto"/>
                <w:sz w:val="21"/>
                <w:highlight w:val="none"/>
              </w:rPr>
            </w:pPr>
          </w:p>
          <w:p w14:paraId="02918767">
            <w:pPr>
              <w:spacing w:line="258" w:lineRule="auto"/>
              <w:rPr>
                <w:rFonts w:ascii="Arial"/>
                <w:color w:val="auto"/>
                <w:sz w:val="21"/>
                <w:highlight w:val="none"/>
              </w:rPr>
            </w:pPr>
          </w:p>
          <w:p w14:paraId="0178B39F">
            <w:pPr>
              <w:pStyle w:val="18"/>
              <w:spacing w:before="65" w:line="268" w:lineRule="exact"/>
              <w:ind w:left="317"/>
              <w:rPr>
                <w:color w:val="auto"/>
                <w:highlight w:val="none"/>
              </w:rPr>
            </w:pPr>
            <w:r>
              <w:rPr>
                <w:color w:val="auto"/>
                <w:spacing w:val="-1"/>
                <w:position w:val="1"/>
                <w:highlight w:val="none"/>
              </w:rPr>
              <w:t>10.2</w:t>
            </w:r>
          </w:p>
        </w:tc>
        <w:tc>
          <w:tcPr>
            <w:tcW w:w="7768" w:type="dxa"/>
            <w:gridSpan w:val="2"/>
            <w:vAlign w:val="top"/>
          </w:tcPr>
          <w:p w14:paraId="1FAE801E">
            <w:pPr>
              <w:pStyle w:val="18"/>
              <w:spacing w:before="256" w:line="228" w:lineRule="auto"/>
              <w:ind w:left="113"/>
              <w:rPr>
                <w:color w:val="auto"/>
                <w:highlight w:val="none"/>
              </w:rPr>
            </w:pPr>
            <w:r>
              <w:rPr>
                <w:color w:val="auto"/>
                <w:spacing w:val="5"/>
                <w:highlight w:val="none"/>
              </w:rPr>
              <w:t>增加</w:t>
            </w:r>
            <w:r>
              <w:rPr>
                <w:color w:val="auto"/>
                <w:spacing w:val="-19"/>
                <w:highlight w:val="none"/>
              </w:rPr>
              <w:t xml:space="preserve"> </w:t>
            </w:r>
            <w:r>
              <w:rPr>
                <w:color w:val="auto"/>
                <w:spacing w:val="5"/>
                <w:highlight w:val="none"/>
              </w:rPr>
              <w:t>10.2、10.3、10.4、10.5、10.6、10.7、10.8</w:t>
            </w:r>
            <w:r>
              <w:rPr>
                <w:color w:val="auto"/>
                <w:spacing w:val="-37"/>
                <w:highlight w:val="none"/>
              </w:rPr>
              <w:t xml:space="preserve"> </w:t>
            </w:r>
            <w:r>
              <w:rPr>
                <w:color w:val="auto"/>
                <w:spacing w:val="5"/>
                <w:highlight w:val="none"/>
              </w:rPr>
              <w:t>款如下：</w:t>
            </w:r>
          </w:p>
          <w:p w14:paraId="46FE4E38">
            <w:pPr>
              <w:pStyle w:val="18"/>
              <w:spacing w:before="153" w:line="228" w:lineRule="auto"/>
              <w:ind w:left="127"/>
              <w:rPr>
                <w:color w:val="auto"/>
                <w:highlight w:val="none"/>
              </w:rPr>
            </w:pPr>
            <w:r>
              <w:rPr>
                <w:color w:val="auto"/>
                <w:spacing w:val="5"/>
                <w:highlight w:val="none"/>
              </w:rPr>
              <w:t>10.2  信用等级的确定原则：</w:t>
            </w:r>
          </w:p>
          <w:p w14:paraId="36156686">
            <w:pPr>
              <w:pStyle w:val="18"/>
              <w:spacing w:before="149" w:line="370" w:lineRule="auto"/>
              <w:ind w:left="111" w:right="108" w:firstLine="16"/>
              <w:jc w:val="both"/>
              <w:rPr>
                <w:color w:val="auto"/>
                <w:highlight w:val="none"/>
              </w:rPr>
            </w:pPr>
            <w:r>
              <w:rPr>
                <w:color w:val="auto"/>
                <w:spacing w:val="11"/>
                <w:highlight w:val="none"/>
              </w:rPr>
              <w:t>10.2.1 招标文件中的信用等级指的是广东省交通运输厅最新年度发布的</w:t>
            </w:r>
            <w:r>
              <w:rPr>
                <w:color w:val="auto"/>
                <w:spacing w:val="10"/>
                <w:highlight w:val="none"/>
              </w:rPr>
              <w:t>公路工程</w:t>
            </w:r>
            <w:r>
              <w:rPr>
                <w:color w:val="auto"/>
                <w:spacing w:val="14"/>
                <w:highlight w:val="none"/>
              </w:rPr>
              <w:t>从业单位信用评价等级（监理单位）</w:t>
            </w:r>
            <w:r>
              <w:rPr>
                <w:color w:val="auto"/>
                <w:spacing w:val="-49"/>
                <w:highlight w:val="none"/>
              </w:rPr>
              <w:t xml:space="preserve"> </w:t>
            </w:r>
            <w:r>
              <w:rPr>
                <w:color w:val="auto"/>
                <w:spacing w:val="14"/>
                <w:highlight w:val="none"/>
              </w:rPr>
              <w:t>。如无广东省最新年度信用等级而有上</w:t>
            </w:r>
            <w:r>
              <w:rPr>
                <w:color w:val="auto"/>
                <w:spacing w:val="13"/>
                <w:highlight w:val="none"/>
              </w:rPr>
              <w:t>一年</w:t>
            </w:r>
            <w:r>
              <w:rPr>
                <w:color w:val="auto"/>
                <w:spacing w:val="15"/>
                <w:highlight w:val="none"/>
              </w:rPr>
              <w:t>度广东省信用等级的，则其原信用等级可延续一年，但在递交投标文件时信用等级的使用次数应按上一年度公布的信用评价结果顺延上一年度的使用次数。具体</w:t>
            </w:r>
            <w:r>
              <w:rPr>
                <w:color w:val="auto"/>
                <w:spacing w:val="8"/>
                <w:highlight w:val="none"/>
              </w:rPr>
              <w:t>使用次数有关规定如下：</w:t>
            </w:r>
          </w:p>
          <w:p w14:paraId="3FEC0D59">
            <w:pPr>
              <w:pStyle w:val="18"/>
              <w:spacing w:line="227" w:lineRule="auto"/>
              <w:ind w:left="127"/>
              <w:rPr>
                <w:color w:val="auto"/>
                <w:highlight w:val="none"/>
              </w:rPr>
            </w:pPr>
            <w:r>
              <w:rPr>
                <w:color w:val="auto"/>
                <w:spacing w:val="6"/>
                <w:highlight w:val="none"/>
              </w:rPr>
              <w:t>1.对于信用等级为</w:t>
            </w:r>
            <w:r>
              <w:rPr>
                <w:color w:val="auto"/>
                <w:spacing w:val="-34"/>
                <w:highlight w:val="none"/>
              </w:rPr>
              <w:t xml:space="preserve"> </w:t>
            </w:r>
            <w:r>
              <w:rPr>
                <w:color w:val="auto"/>
                <w:highlight w:val="none"/>
              </w:rPr>
              <w:t>AA</w:t>
            </w:r>
            <w:r>
              <w:rPr>
                <w:color w:val="auto"/>
                <w:spacing w:val="-35"/>
                <w:highlight w:val="none"/>
              </w:rPr>
              <w:t xml:space="preserve"> </w:t>
            </w:r>
            <w:r>
              <w:rPr>
                <w:color w:val="auto"/>
                <w:spacing w:val="6"/>
                <w:highlight w:val="none"/>
              </w:rPr>
              <w:t>级的从业单位</w:t>
            </w:r>
            <w:r>
              <w:rPr>
                <w:color w:val="auto"/>
                <w:spacing w:val="-58"/>
                <w:highlight w:val="none"/>
              </w:rPr>
              <w:t xml:space="preserve"> </w:t>
            </w:r>
            <w:r>
              <w:rPr>
                <w:color w:val="auto"/>
                <w:spacing w:val="6"/>
                <w:highlight w:val="none"/>
              </w:rPr>
              <w:t>:</w:t>
            </w:r>
          </w:p>
          <w:p w14:paraId="51CE1BA1">
            <w:pPr>
              <w:pStyle w:val="18"/>
              <w:spacing w:before="150" w:line="323" w:lineRule="auto"/>
              <w:ind w:left="112" w:right="108" w:firstLine="36"/>
              <w:rPr>
                <w:color w:val="auto"/>
                <w:highlight w:val="none"/>
              </w:rPr>
            </w:pPr>
            <w:r>
              <w:rPr>
                <w:color w:val="auto"/>
                <w:spacing w:val="14"/>
                <w:highlight w:val="none"/>
              </w:rPr>
              <w:t>(1)仅最新一年度信用等级为</w:t>
            </w:r>
            <w:r>
              <w:rPr>
                <w:color w:val="auto"/>
                <w:spacing w:val="-41"/>
                <w:highlight w:val="none"/>
              </w:rPr>
              <w:t xml:space="preserve"> </w:t>
            </w:r>
            <w:r>
              <w:rPr>
                <w:color w:val="auto"/>
                <w:highlight w:val="none"/>
              </w:rPr>
              <w:t>AA</w:t>
            </w:r>
            <w:r>
              <w:rPr>
                <w:color w:val="auto"/>
                <w:spacing w:val="-30"/>
                <w:highlight w:val="none"/>
              </w:rPr>
              <w:t xml:space="preserve"> </w:t>
            </w:r>
            <w:r>
              <w:rPr>
                <w:color w:val="auto"/>
                <w:spacing w:val="14"/>
                <w:highlight w:val="none"/>
              </w:rPr>
              <w:t>级的从业单位</w:t>
            </w:r>
            <w:r>
              <w:rPr>
                <w:color w:val="auto"/>
                <w:spacing w:val="13"/>
                <w:highlight w:val="none"/>
              </w:rPr>
              <w:t>在参加广东省公路工程建设项目投</w:t>
            </w:r>
            <w:r>
              <w:rPr>
                <w:color w:val="auto"/>
                <w:spacing w:val="12"/>
                <w:highlight w:val="none"/>
              </w:rPr>
              <w:t>标活动（以递交投标文件时间为准）时，可申请使用</w:t>
            </w:r>
            <w:r>
              <w:rPr>
                <w:color w:val="auto"/>
                <w:highlight w:val="none"/>
              </w:rPr>
              <w:t>AA</w:t>
            </w:r>
            <w:r>
              <w:rPr>
                <w:color w:val="auto"/>
                <w:spacing w:val="-33"/>
                <w:highlight w:val="none"/>
              </w:rPr>
              <w:t xml:space="preserve"> </w:t>
            </w:r>
            <w:r>
              <w:rPr>
                <w:color w:val="auto"/>
                <w:spacing w:val="12"/>
                <w:highlight w:val="none"/>
              </w:rPr>
              <w:t>级分值</w:t>
            </w:r>
            <w:r>
              <w:rPr>
                <w:color w:val="auto"/>
                <w:spacing w:val="-33"/>
                <w:highlight w:val="none"/>
              </w:rPr>
              <w:t xml:space="preserve"> </w:t>
            </w:r>
            <w:r>
              <w:rPr>
                <w:color w:val="auto"/>
                <w:spacing w:val="12"/>
                <w:highlight w:val="none"/>
              </w:rPr>
              <w:t>8</w:t>
            </w:r>
            <w:r>
              <w:rPr>
                <w:color w:val="auto"/>
                <w:spacing w:val="-33"/>
                <w:highlight w:val="none"/>
              </w:rPr>
              <w:t xml:space="preserve"> </w:t>
            </w:r>
            <w:r>
              <w:rPr>
                <w:color w:val="auto"/>
                <w:spacing w:val="12"/>
                <w:highlight w:val="none"/>
              </w:rPr>
              <w:t>次，</w:t>
            </w:r>
            <w:r>
              <w:rPr>
                <w:color w:val="auto"/>
                <w:spacing w:val="11"/>
                <w:highlight w:val="none"/>
              </w:rPr>
              <w:t>用完</w:t>
            </w:r>
            <w:r>
              <w:rPr>
                <w:color w:val="auto"/>
                <w:spacing w:val="-33"/>
                <w:highlight w:val="none"/>
              </w:rPr>
              <w:t xml:space="preserve"> </w:t>
            </w:r>
            <w:r>
              <w:rPr>
                <w:color w:val="auto"/>
                <w:spacing w:val="11"/>
                <w:highlight w:val="none"/>
              </w:rPr>
              <w:t>8</w:t>
            </w:r>
            <w:r>
              <w:rPr>
                <w:color w:val="auto"/>
                <w:spacing w:val="-30"/>
                <w:highlight w:val="none"/>
              </w:rPr>
              <w:t xml:space="preserve"> </w:t>
            </w:r>
            <w:r>
              <w:rPr>
                <w:color w:val="auto"/>
                <w:spacing w:val="11"/>
                <w:highlight w:val="none"/>
              </w:rPr>
              <w:t>次后</w:t>
            </w:r>
            <w:r>
              <w:rPr>
                <w:color w:val="auto"/>
                <w:spacing w:val="7"/>
                <w:highlight w:val="none"/>
              </w:rPr>
              <w:t>信用等级分值将按</w:t>
            </w:r>
            <w:r>
              <w:rPr>
                <w:color w:val="auto"/>
                <w:spacing w:val="-42"/>
                <w:highlight w:val="none"/>
              </w:rPr>
              <w:t xml:space="preserve"> </w:t>
            </w:r>
            <w:r>
              <w:rPr>
                <w:color w:val="auto"/>
                <w:spacing w:val="7"/>
                <w:highlight w:val="none"/>
              </w:rPr>
              <w:t>A</w:t>
            </w:r>
            <w:r>
              <w:rPr>
                <w:color w:val="auto"/>
                <w:spacing w:val="-35"/>
                <w:highlight w:val="none"/>
              </w:rPr>
              <w:t xml:space="preserve"> </w:t>
            </w:r>
            <w:r>
              <w:rPr>
                <w:color w:val="auto"/>
                <w:spacing w:val="7"/>
                <w:highlight w:val="none"/>
              </w:rPr>
              <w:t>级分值取定；</w:t>
            </w:r>
          </w:p>
          <w:p w14:paraId="7343C4E9">
            <w:pPr>
              <w:pStyle w:val="18"/>
              <w:spacing w:before="151" w:line="299" w:lineRule="auto"/>
              <w:ind w:left="122" w:right="108" w:firstLine="26"/>
              <w:rPr>
                <w:color w:val="auto"/>
                <w:highlight w:val="none"/>
              </w:rPr>
            </w:pPr>
            <w:r>
              <w:rPr>
                <w:color w:val="auto"/>
                <w:spacing w:val="19"/>
                <w:highlight w:val="none"/>
              </w:rPr>
              <w:t>(2)连续最近两个年度信用等级为</w:t>
            </w:r>
            <w:r>
              <w:rPr>
                <w:color w:val="auto"/>
                <w:spacing w:val="-19"/>
                <w:highlight w:val="none"/>
              </w:rPr>
              <w:t xml:space="preserve"> </w:t>
            </w:r>
            <w:r>
              <w:rPr>
                <w:color w:val="auto"/>
                <w:highlight w:val="none"/>
              </w:rPr>
              <w:t>AA</w:t>
            </w:r>
            <w:r>
              <w:rPr>
                <w:color w:val="auto"/>
                <w:spacing w:val="-23"/>
                <w:highlight w:val="none"/>
              </w:rPr>
              <w:t xml:space="preserve"> </w:t>
            </w:r>
            <w:r>
              <w:rPr>
                <w:color w:val="auto"/>
                <w:spacing w:val="19"/>
                <w:highlight w:val="none"/>
              </w:rPr>
              <w:t>级的单位在参加广东省公路工程投标活动</w:t>
            </w:r>
            <w:r>
              <w:rPr>
                <w:color w:val="auto"/>
                <w:spacing w:val="10"/>
                <w:highlight w:val="none"/>
              </w:rPr>
              <w:t>（以递交投标文件时间为准）时，可申请使用</w:t>
            </w:r>
            <w:r>
              <w:rPr>
                <w:color w:val="auto"/>
                <w:highlight w:val="none"/>
              </w:rPr>
              <w:t>AA</w:t>
            </w:r>
            <w:r>
              <w:rPr>
                <w:color w:val="auto"/>
                <w:spacing w:val="-21"/>
                <w:highlight w:val="none"/>
              </w:rPr>
              <w:t xml:space="preserve"> </w:t>
            </w:r>
            <w:r>
              <w:rPr>
                <w:color w:val="auto"/>
                <w:spacing w:val="10"/>
                <w:highlight w:val="none"/>
              </w:rPr>
              <w:t>级分值</w:t>
            </w:r>
            <w:r>
              <w:rPr>
                <w:color w:val="auto"/>
                <w:spacing w:val="-17"/>
                <w:highlight w:val="none"/>
              </w:rPr>
              <w:t xml:space="preserve"> </w:t>
            </w:r>
            <w:r>
              <w:rPr>
                <w:color w:val="auto"/>
                <w:spacing w:val="10"/>
                <w:highlight w:val="none"/>
              </w:rPr>
              <w:t>12</w:t>
            </w:r>
            <w:r>
              <w:rPr>
                <w:color w:val="auto"/>
                <w:spacing w:val="-32"/>
                <w:highlight w:val="none"/>
              </w:rPr>
              <w:t xml:space="preserve"> </w:t>
            </w:r>
            <w:r>
              <w:rPr>
                <w:color w:val="auto"/>
                <w:spacing w:val="10"/>
                <w:highlight w:val="none"/>
              </w:rPr>
              <w:t>次，用完</w:t>
            </w:r>
            <w:r>
              <w:rPr>
                <w:color w:val="auto"/>
                <w:spacing w:val="-19"/>
                <w:highlight w:val="none"/>
              </w:rPr>
              <w:t xml:space="preserve"> </w:t>
            </w:r>
            <w:r>
              <w:rPr>
                <w:color w:val="auto"/>
                <w:spacing w:val="10"/>
                <w:highlight w:val="none"/>
              </w:rPr>
              <w:t>12</w:t>
            </w:r>
            <w:r>
              <w:rPr>
                <w:color w:val="auto"/>
                <w:spacing w:val="-30"/>
                <w:highlight w:val="none"/>
              </w:rPr>
              <w:t xml:space="preserve"> </w:t>
            </w:r>
            <w:r>
              <w:rPr>
                <w:color w:val="auto"/>
                <w:spacing w:val="10"/>
                <w:highlight w:val="none"/>
              </w:rPr>
              <w:t>次后信用</w:t>
            </w:r>
          </w:p>
        </w:tc>
      </w:tr>
    </w:tbl>
    <w:p w14:paraId="167A9E13">
      <w:pPr>
        <w:spacing w:line="305" w:lineRule="auto"/>
        <w:rPr>
          <w:rFonts w:ascii="Arial"/>
          <w:color w:val="auto"/>
          <w:sz w:val="21"/>
          <w:highlight w:val="none"/>
        </w:rPr>
      </w:pPr>
    </w:p>
    <w:p w14:paraId="69E07CFA">
      <w:pPr>
        <w:spacing w:before="18" w:line="220" w:lineRule="auto"/>
        <w:ind w:left="117"/>
        <w:rPr>
          <w:rFonts w:ascii="宋体" w:hAnsi="宋体" w:eastAsia="宋体" w:cs="宋体"/>
          <w:color w:val="auto"/>
          <w:sz w:val="18"/>
          <w:szCs w:val="18"/>
          <w:highlight w:val="none"/>
        </w:rPr>
      </w:pPr>
      <w:bookmarkStart w:id="38" w:name="bookmark75"/>
      <w:bookmarkEnd w:id="38"/>
      <w:bookmarkStart w:id="39" w:name="bookmark74"/>
      <w:bookmarkEnd w:id="39"/>
    </w:p>
    <w:p w14:paraId="3427C3AE">
      <w:pPr>
        <w:spacing w:line="220" w:lineRule="auto"/>
        <w:rPr>
          <w:rFonts w:ascii="宋体" w:hAnsi="宋体" w:eastAsia="宋体" w:cs="宋体"/>
          <w:color w:val="auto"/>
          <w:sz w:val="18"/>
          <w:szCs w:val="18"/>
          <w:highlight w:val="none"/>
        </w:rPr>
        <w:sectPr>
          <w:footerReference r:id="rId19" w:type="default"/>
          <w:pgSz w:w="11906" w:h="16839"/>
          <w:pgMar w:top="1416" w:right="1578" w:bottom="1297" w:left="1304" w:header="0" w:footer="1067" w:gutter="0"/>
          <w:pgNumType w:fmt="decimal"/>
          <w:cols w:space="720" w:num="1"/>
        </w:sectPr>
      </w:pPr>
    </w:p>
    <w:tbl>
      <w:tblPr>
        <w:tblStyle w:val="17"/>
        <w:tblW w:w="878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13"/>
        <w:gridCol w:w="7768"/>
      </w:tblGrid>
      <w:tr w14:paraId="65D9DB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43" w:hRule="atLeast"/>
        </w:trPr>
        <w:tc>
          <w:tcPr>
            <w:tcW w:w="1013" w:type="dxa"/>
            <w:vAlign w:val="top"/>
          </w:tcPr>
          <w:p w14:paraId="7B1CA03B">
            <w:pPr>
              <w:rPr>
                <w:rFonts w:ascii="Arial"/>
                <w:color w:val="auto"/>
                <w:sz w:val="21"/>
                <w:highlight w:val="none"/>
              </w:rPr>
            </w:pPr>
          </w:p>
        </w:tc>
        <w:tc>
          <w:tcPr>
            <w:tcW w:w="7768" w:type="dxa"/>
            <w:vAlign w:val="top"/>
          </w:tcPr>
          <w:p w14:paraId="6D49E42E">
            <w:pPr>
              <w:pStyle w:val="18"/>
              <w:spacing w:before="259" w:line="228" w:lineRule="auto"/>
              <w:ind w:left="114"/>
              <w:rPr>
                <w:color w:val="auto"/>
                <w:highlight w:val="none"/>
              </w:rPr>
            </w:pPr>
            <w:r>
              <w:rPr>
                <w:color w:val="auto"/>
                <w:spacing w:val="6"/>
                <w:highlight w:val="none"/>
              </w:rPr>
              <w:t>等级分值将按</w:t>
            </w:r>
            <w:r>
              <w:rPr>
                <w:color w:val="auto"/>
                <w:spacing w:val="-45"/>
                <w:highlight w:val="none"/>
              </w:rPr>
              <w:t xml:space="preserve"> </w:t>
            </w:r>
            <w:r>
              <w:rPr>
                <w:color w:val="auto"/>
                <w:spacing w:val="6"/>
                <w:highlight w:val="none"/>
              </w:rPr>
              <w:t>A</w:t>
            </w:r>
            <w:r>
              <w:rPr>
                <w:color w:val="auto"/>
                <w:spacing w:val="-35"/>
                <w:highlight w:val="none"/>
              </w:rPr>
              <w:t xml:space="preserve"> </w:t>
            </w:r>
            <w:r>
              <w:rPr>
                <w:color w:val="auto"/>
                <w:spacing w:val="6"/>
                <w:highlight w:val="none"/>
              </w:rPr>
              <w:t>级取定；</w:t>
            </w:r>
          </w:p>
          <w:p w14:paraId="1A98BED9">
            <w:pPr>
              <w:pStyle w:val="18"/>
              <w:spacing w:before="150" w:line="323" w:lineRule="auto"/>
              <w:ind w:left="111" w:right="108" w:firstLine="3"/>
              <w:rPr>
                <w:color w:val="auto"/>
                <w:highlight w:val="none"/>
              </w:rPr>
            </w:pPr>
            <w:r>
              <w:rPr>
                <w:color w:val="auto"/>
                <w:spacing w:val="10"/>
                <w:highlight w:val="none"/>
              </w:rPr>
              <w:t>2.对于信用等级为</w:t>
            </w:r>
            <w:r>
              <w:rPr>
                <w:color w:val="auto"/>
                <w:spacing w:val="-24"/>
                <w:highlight w:val="none"/>
              </w:rPr>
              <w:t xml:space="preserve"> </w:t>
            </w:r>
            <w:r>
              <w:rPr>
                <w:color w:val="auto"/>
                <w:spacing w:val="10"/>
                <w:highlight w:val="none"/>
              </w:rPr>
              <w:t>A</w:t>
            </w:r>
            <w:r>
              <w:rPr>
                <w:color w:val="auto"/>
                <w:spacing w:val="-35"/>
                <w:highlight w:val="none"/>
              </w:rPr>
              <w:t xml:space="preserve"> </w:t>
            </w:r>
            <w:r>
              <w:rPr>
                <w:color w:val="auto"/>
                <w:spacing w:val="10"/>
                <w:highlight w:val="none"/>
              </w:rPr>
              <w:t>级的从业单位:当年度信用等级</w:t>
            </w:r>
            <w:r>
              <w:rPr>
                <w:color w:val="auto"/>
                <w:spacing w:val="-40"/>
                <w:highlight w:val="none"/>
              </w:rPr>
              <w:t xml:space="preserve"> </w:t>
            </w:r>
            <w:r>
              <w:rPr>
                <w:color w:val="auto"/>
                <w:spacing w:val="10"/>
                <w:highlight w:val="none"/>
              </w:rPr>
              <w:t>A</w:t>
            </w:r>
            <w:r>
              <w:rPr>
                <w:color w:val="auto"/>
                <w:spacing w:val="-33"/>
                <w:highlight w:val="none"/>
              </w:rPr>
              <w:t xml:space="preserve"> </w:t>
            </w:r>
            <w:r>
              <w:rPr>
                <w:color w:val="auto"/>
                <w:spacing w:val="10"/>
                <w:highlight w:val="none"/>
              </w:rPr>
              <w:t>级单位在参加广东省公路工</w:t>
            </w:r>
            <w:r>
              <w:rPr>
                <w:color w:val="auto"/>
                <w:spacing w:val="14"/>
                <w:highlight w:val="none"/>
              </w:rPr>
              <w:t>程建设项目招投标活动（以递交投标文件时间为</w:t>
            </w:r>
            <w:r>
              <w:rPr>
                <w:color w:val="auto"/>
                <w:spacing w:val="13"/>
                <w:highlight w:val="none"/>
              </w:rPr>
              <w:t>准）时，可申请使用A</w:t>
            </w:r>
            <w:r>
              <w:rPr>
                <w:color w:val="auto"/>
                <w:spacing w:val="-30"/>
                <w:highlight w:val="none"/>
              </w:rPr>
              <w:t xml:space="preserve"> </w:t>
            </w:r>
            <w:r>
              <w:rPr>
                <w:color w:val="auto"/>
                <w:spacing w:val="13"/>
                <w:highlight w:val="none"/>
              </w:rPr>
              <w:t>级分值</w:t>
            </w:r>
            <w:r>
              <w:rPr>
                <w:color w:val="auto"/>
                <w:spacing w:val="-19"/>
                <w:highlight w:val="none"/>
              </w:rPr>
              <w:t xml:space="preserve"> </w:t>
            </w:r>
            <w:r>
              <w:rPr>
                <w:color w:val="auto"/>
                <w:spacing w:val="13"/>
                <w:highlight w:val="none"/>
              </w:rPr>
              <w:t>12</w:t>
            </w:r>
            <w:r>
              <w:rPr>
                <w:color w:val="auto"/>
                <w:spacing w:val="6"/>
                <w:highlight w:val="none"/>
              </w:rPr>
              <w:t>次，用完</w:t>
            </w:r>
            <w:r>
              <w:rPr>
                <w:color w:val="auto"/>
                <w:spacing w:val="-24"/>
                <w:highlight w:val="none"/>
              </w:rPr>
              <w:t xml:space="preserve"> </w:t>
            </w:r>
            <w:r>
              <w:rPr>
                <w:color w:val="auto"/>
                <w:spacing w:val="6"/>
                <w:highlight w:val="none"/>
              </w:rPr>
              <w:t>12</w:t>
            </w:r>
            <w:r>
              <w:rPr>
                <w:color w:val="auto"/>
                <w:spacing w:val="-32"/>
                <w:highlight w:val="none"/>
              </w:rPr>
              <w:t xml:space="preserve"> </w:t>
            </w:r>
            <w:r>
              <w:rPr>
                <w:color w:val="auto"/>
                <w:spacing w:val="6"/>
                <w:highlight w:val="none"/>
              </w:rPr>
              <w:t>次后信用等级分值将按</w:t>
            </w:r>
            <w:r>
              <w:rPr>
                <w:color w:val="auto"/>
                <w:spacing w:val="-42"/>
                <w:highlight w:val="none"/>
              </w:rPr>
              <w:t xml:space="preserve"> </w:t>
            </w:r>
            <w:r>
              <w:rPr>
                <w:color w:val="auto"/>
                <w:spacing w:val="6"/>
                <w:highlight w:val="none"/>
              </w:rPr>
              <w:t>B</w:t>
            </w:r>
            <w:r>
              <w:rPr>
                <w:color w:val="auto"/>
                <w:spacing w:val="-34"/>
                <w:highlight w:val="none"/>
              </w:rPr>
              <w:t xml:space="preserve"> </w:t>
            </w:r>
            <w:r>
              <w:rPr>
                <w:color w:val="auto"/>
                <w:spacing w:val="6"/>
                <w:highlight w:val="none"/>
              </w:rPr>
              <w:t>级分值取定。</w:t>
            </w:r>
          </w:p>
          <w:p w14:paraId="08E4B987">
            <w:pPr>
              <w:pStyle w:val="18"/>
              <w:spacing w:before="151" w:line="299" w:lineRule="auto"/>
              <w:ind w:left="114" w:right="110" w:firstLine="2"/>
              <w:rPr>
                <w:color w:val="auto"/>
                <w:highlight w:val="none"/>
              </w:rPr>
            </w:pPr>
            <w:r>
              <w:rPr>
                <w:color w:val="auto"/>
                <w:spacing w:val="13"/>
                <w:highlight w:val="none"/>
              </w:rPr>
              <w:t>3.当年度信用等级为</w:t>
            </w:r>
            <w:r>
              <w:rPr>
                <w:color w:val="auto"/>
                <w:spacing w:val="-41"/>
                <w:highlight w:val="none"/>
              </w:rPr>
              <w:t xml:space="preserve"> </w:t>
            </w:r>
            <w:r>
              <w:rPr>
                <w:color w:val="auto"/>
                <w:highlight w:val="none"/>
              </w:rPr>
              <w:t>AA</w:t>
            </w:r>
            <w:r>
              <w:rPr>
                <w:color w:val="auto"/>
                <w:spacing w:val="13"/>
                <w:highlight w:val="none"/>
              </w:rPr>
              <w:t>、A</w:t>
            </w:r>
            <w:r>
              <w:rPr>
                <w:color w:val="auto"/>
                <w:spacing w:val="-32"/>
                <w:highlight w:val="none"/>
              </w:rPr>
              <w:t xml:space="preserve"> </w:t>
            </w:r>
            <w:r>
              <w:rPr>
                <w:color w:val="auto"/>
                <w:spacing w:val="13"/>
                <w:highlight w:val="none"/>
              </w:rPr>
              <w:t>级的从业单位未承诺使用的信用等级分值的，</w:t>
            </w:r>
            <w:r>
              <w:rPr>
                <w:color w:val="auto"/>
                <w:highlight w:val="none"/>
              </w:rPr>
              <w:t>AA</w:t>
            </w:r>
            <w:r>
              <w:rPr>
                <w:color w:val="auto"/>
                <w:spacing w:val="-33"/>
                <w:highlight w:val="none"/>
              </w:rPr>
              <w:t xml:space="preserve"> </w:t>
            </w:r>
            <w:r>
              <w:rPr>
                <w:color w:val="auto"/>
                <w:spacing w:val="12"/>
                <w:highlight w:val="none"/>
              </w:rPr>
              <w:t>级信</w:t>
            </w:r>
            <w:r>
              <w:rPr>
                <w:color w:val="auto"/>
                <w:spacing w:val="6"/>
                <w:highlight w:val="none"/>
              </w:rPr>
              <w:t>用等级企业按</w:t>
            </w:r>
            <w:r>
              <w:rPr>
                <w:color w:val="auto"/>
                <w:spacing w:val="-29"/>
                <w:highlight w:val="none"/>
              </w:rPr>
              <w:t xml:space="preserve"> </w:t>
            </w:r>
            <w:r>
              <w:rPr>
                <w:color w:val="auto"/>
                <w:spacing w:val="6"/>
                <w:highlight w:val="none"/>
              </w:rPr>
              <w:t>A</w:t>
            </w:r>
            <w:r>
              <w:rPr>
                <w:color w:val="auto"/>
                <w:spacing w:val="-34"/>
                <w:highlight w:val="none"/>
              </w:rPr>
              <w:t xml:space="preserve"> </w:t>
            </w:r>
            <w:r>
              <w:rPr>
                <w:color w:val="auto"/>
                <w:spacing w:val="6"/>
                <w:highlight w:val="none"/>
              </w:rPr>
              <w:t>级对待、A</w:t>
            </w:r>
            <w:r>
              <w:rPr>
                <w:color w:val="auto"/>
                <w:spacing w:val="-35"/>
                <w:highlight w:val="none"/>
              </w:rPr>
              <w:t xml:space="preserve"> </w:t>
            </w:r>
            <w:r>
              <w:rPr>
                <w:color w:val="auto"/>
                <w:spacing w:val="6"/>
                <w:highlight w:val="none"/>
              </w:rPr>
              <w:t>级信用等级企业按</w:t>
            </w:r>
            <w:r>
              <w:rPr>
                <w:color w:val="auto"/>
                <w:spacing w:val="-41"/>
                <w:highlight w:val="none"/>
              </w:rPr>
              <w:t xml:space="preserve"> </w:t>
            </w:r>
            <w:r>
              <w:rPr>
                <w:color w:val="auto"/>
                <w:spacing w:val="6"/>
                <w:highlight w:val="none"/>
              </w:rPr>
              <w:t>B</w:t>
            </w:r>
            <w:r>
              <w:rPr>
                <w:color w:val="auto"/>
                <w:spacing w:val="-37"/>
                <w:highlight w:val="none"/>
              </w:rPr>
              <w:t xml:space="preserve"> </w:t>
            </w:r>
            <w:r>
              <w:rPr>
                <w:color w:val="auto"/>
                <w:spacing w:val="6"/>
                <w:highlight w:val="none"/>
              </w:rPr>
              <w:t>级对待。</w:t>
            </w:r>
          </w:p>
          <w:p w14:paraId="1E3A84B1">
            <w:pPr>
              <w:pStyle w:val="18"/>
              <w:spacing w:before="153" w:line="298" w:lineRule="auto"/>
              <w:ind w:left="117" w:right="110" w:hanging="6"/>
              <w:rPr>
                <w:color w:val="auto"/>
                <w:highlight w:val="none"/>
              </w:rPr>
            </w:pPr>
            <w:r>
              <w:rPr>
                <w:color w:val="auto"/>
                <w:spacing w:val="9"/>
                <w:highlight w:val="none"/>
              </w:rPr>
              <w:t>4.若从业企业在信用评价年度信用等级由</w:t>
            </w:r>
            <w:r>
              <w:rPr>
                <w:color w:val="auto"/>
                <w:spacing w:val="-33"/>
                <w:highlight w:val="none"/>
              </w:rPr>
              <w:t xml:space="preserve"> </w:t>
            </w:r>
            <w:r>
              <w:rPr>
                <w:color w:val="auto"/>
                <w:highlight w:val="none"/>
              </w:rPr>
              <w:t>AA</w:t>
            </w:r>
            <w:r>
              <w:rPr>
                <w:color w:val="auto"/>
                <w:spacing w:val="-21"/>
                <w:highlight w:val="none"/>
              </w:rPr>
              <w:t xml:space="preserve"> </w:t>
            </w:r>
            <w:r>
              <w:rPr>
                <w:color w:val="auto"/>
                <w:spacing w:val="9"/>
                <w:highlight w:val="none"/>
              </w:rPr>
              <w:t>降级为</w:t>
            </w:r>
            <w:r>
              <w:rPr>
                <w:color w:val="auto"/>
                <w:spacing w:val="-44"/>
                <w:highlight w:val="none"/>
              </w:rPr>
              <w:t xml:space="preserve"> </w:t>
            </w:r>
            <w:r>
              <w:rPr>
                <w:color w:val="auto"/>
                <w:spacing w:val="9"/>
                <w:highlight w:val="none"/>
              </w:rPr>
              <w:t>A</w:t>
            </w:r>
            <w:r>
              <w:rPr>
                <w:color w:val="auto"/>
                <w:spacing w:val="-34"/>
                <w:highlight w:val="none"/>
              </w:rPr>
              <w:t xml:space="preserve"> </w:t>
            </w:r>
            <w:r>
              <w:rPr>
                <w:color w:val="auto"/>
                <w:spacing w:val="9"/>
                <w:highlight w:val="none"/>
              </w:rPr>
              <w:t>级时，</w:t>
            </w:r>
            <w:r>
              <w:rPr>
                <w:color w:val="auto"/>
                <w:highlight w:val="none"/>
              </w:rPr>
              <w:t>AA</w:t>
            </w:r>
            <w:r>
              <w:rPr>
                <w:color w:val="auto"/>
                <w:spacing w:val="-35"/>
                <w:highlight w:val="none"/>
              </w:rPr>
              <w:t xml:space="preserve"> </w:t>
            </w:r>
            <w:r>
              <w:rPr>
                <w:color w:val="auto"/>
                <w:spacing w:val="9"/>
                <w:highlight w:val="none"/>
              </w:rPr>
              <w:t>级信用等级已使用</w:t>
            </w:r>
            <w:r>
              <w:rPr>
                <w:color w:val="auto"/>
                <w:spacing w:val="7"/>
                <w:highlight w:val="none"/>
              </w:rPr>
              <w:t>次数纳入</w:t>
            </w:r>
            <w:r>
              <w:rPr>
                <w:color w:val="auto"/>
                <w:spacing w:val="-36"/>
                <w:highlight w:val="none"/>
              </w:rPr>
              <w:t xml:space="preserve"> </w:t>
            </w:r>
            <w:r>
              <w:rPr>
                <w:color w:val="auto"/>
                <w:spacing w:val="7"/>
                <w:highlight w:val="none"/>
              </w:rPr>
              <w:t>A</w:t>
            </w:r>
            <w:r>
              <w:rPr>
                <w:color w:val="auto"/>
                <w:spacing w:val="-35"/>
                <w:highlight w:val="none"/>
              </w:rPr>
              <w:t xml:space="preserve"> </w:t>
            </w:r>
            <w:r>
              <w:rPr>
                <w:color w:val="auto"/>
                <w:spacing w:val="7"/>
                <w:highlight w:val="none"/>
              </w:rPr>
              <w:t>级信用等级使用次数合并累计。</w:t>
            </w:r>
          </w:p>
          <w:p w14:paraId="2ADC8027">
            <w:pPr>
              <w:pStyle w:val="18"/>
              <w:spacing w:before="151" w:line="346" w:lineRule="auto"/>
              <w:ind w:left="112" w:right="108" w:firstLine="15"/>
              <w:rPr>
                <w:color w:val="auto"/>
                <w:highlight w:val="none"/>
              </w:rPr>
            </w:pPr>
            <w:r>
              <w:rPr>
                <w:color w:val="auto"/>
                <w:spacing w:val="11"/>
                <w:highlight w:val="none"/>
              </w:rPr>
              <w:t>10.2.2</w:t>
            </w:r>
            <w:r>
              <w:rPr>
                <w:color w:val="auto"/>
                <w:spacing w:val="-35"/>
                <w:highlight w:val="none"/>
              </w:rPr>
              <w:t xml:space="preserve"> </w:t>
            </w:r>
            <w:r>
              <w:rPr>
                <w:color w:val="auto"/>
                <w:spacing w:val="11"/>
                <w:highlight w:val="none"/>
              </w:rPr>
              <w:t>信用等级延续</w:t>
            </w:r>
            <w:r>
              <w:rPr>
                <w:color w:val="auto"/>
                <w:spacing w:val="-19"/>
                <w:highlight w:val="none"/>
              </w:rPr>
              <w:t xml:space="preserve"> </w:t>
            </w:r>
            <w:r>
              <w:rPr>
                <w:color w:val="auto"/>
                <w:spacing w:val="11"/>
                <w:highlight w:val="none"/>
              </w:rPr>
              <w:t>1</w:t>
            </w:r>
            <w:r>
              <w:rPr>
                <w:color w:val="auto"/>
                <w:spacing w:val="-33"/>
                <w:highlight w:val="none"/>
              </w:rPr>
              <w:t xml:space="preserve"> </w:t>
            </w:r>
            <w:r>
              <w:rPr>
                <w:color w:val="auto"/>
                <w:spacing w:val="11"/>
                <w:highlight w:val="none"/>
              </w:rPr>
              <w:t>年后仍无信用评价等级的，按照初次进入广</w:t>
            </w:r>
            <w:r>
              <w:rPr>
                <w:color w:val="auto"/>
                <w:spacing w:val="10"/>
                <w:highlight w:val="none"/>
              </w:rPr>
              <w:t>东省确定，原</w:t>
            </w:r>
            <w:r>
              <w:rPr>
                <w:color w:val="auto"/>
                <w:spacing w:val="14"/>
                <w:highlight w:val="none"/>
              </w:rPr>
              <w:t>则上按</w:t>
            </w:r>
            <w:r>
              <w:rPr>
                <w:color w:val="auto"/>
                <w:spacing w:val="-40"/>
                <w:highlight w:val="none"/>
              </w:rPr>
              <w:t xml:space="preserve"> </w:t>
            </w:r>
            <w:r>
              <w:rPr>
                <w:color w:val="auto"/>
                <w:spacing w:val="14"/>
                <w:highlight w:val="none"/>
              </w:rPr>
              <w:t>B</w:t>
            </w:r>
            <w:r>
              <w:rPr>
                <w:color w:val="auto"/>
                <w:spacing w:val="-30"/>
                <w:highlight w:val="none"/>
              </w:rPr>
              <w:t xml:space="preserve"> </w:t>
            </w:r>
            <w:r>
              <w:rPr>
                <w:color w:val="auto"/>
                <w:spacing w:val="14"/>
                <w:highlight w:val="none"/>
              </w:rPr>
              <w:t>级对待，但下列情况除外：最新年度的全国公路从业单位（监理单位）</w:t>
            </w:r>
            <w:r>
              <w:rPr>
                <w:color w:val="auto"/>
                <w:spacing w:val="13"/>
                <w:highlight w:val="none"/>
              </w:rPr>
              <w:t>信用评价结果为</w:t>
            </w:r>
            <w:r>
              <w:rPr>
                <w:color w:val="auto"/>
                <w:spacing w:val="-36"/>
                <w:highlight w:val="none"/>
              </w:rPr>
              <w:t xml:space="preserve"> </w:t>
            </w:r>
            <w:r>
              <w:rPr>
                <w:color w:val="auto"/>
                <w:spacing w:val="13"/>
                <w:highlight w:val="none"/>
              </w:rPr>
              <w:t>C</w:t>
            </w:r>
            <w:r>
              <w:rPr>
                <w:color w:val="auto"/>
                <w:spacing w:val="-30"/>
                <w:highlight w:val="none"/>
              </w:rPr>
              <w:t xml:space="preserve"> </w:t>
            </w:r>
            <w:r>
              <w:rPr>
                <w:color w:val="auto"/>
                <w:spacing w:val="13"/>
                <w:highlight w:val="none"/>
              </w:rPr>
              <w:t>级或</w:t>
            </w:r>
            <w:r>
              <w:rPr>
                <w:color w:val="auto"/>
                <w:spacing w:val="-36"/>
                <w:highlight w:val="none"/>
              </w:rPr>
              <w:t xml:space="preserve"> </w:t>
            </w:r>
            <w:r>
              <w:rPr>
                <w:color w:val="auto"/>
                <w:spacing w:val="13"/>
                <w:highlight w:val="none"/>
              </w:rPr>
              <w:t>D</w:t>
            </w:r>
            <w:r>
              <w:rPr>
                <w:color w:val="auto"/>
                <w:spacing w:val="-30"/>
                <w:highlight w:val="none"/>
              </w:rPr>
              <w:t xml:space="preserve"> </w:t>
            </w:r>
            <w:r>
              <w:rPr>
                <w:color w:val="auto"/>
                <w:spacing w:val="13"/>
                <w:highlight w:val="none"/>
              </w:rPr>
              <w:t>级的，则按最新年度的全国公路从业单位（监理</w:t>
            </w:r>
            <w:r>
              <w:rPr>
                <w:color w:val="auto"/>
                <w:spacing w:val="12"/>
                <w:highlight w:val="none"/>
              </w:rPr>
              <w:t>单位）</w:t>
            </w:r>
            <w:r>
              <w:rPr>
                <w:color w:val="auto"/>
                <w:spacing w:val="15"/>
                <w:highlight w:val="none"/>
              </w:rPr>
              <w:t>信用评价结果对待；或最新年度的全国公路从业单位（监理单位）信用评价结果</w:t>
            </w:r>
            <w:r>
              <w:rPr>
                <w:color w:val="auto"/>
                <w:spacing w:val="11"/>
                <w:highlight w:val="none"/>
              </w:rPr>
              <w:t>未被评为</w:t>
            </w:r>
            <w:r>
              <w:rPr>
                <w:color w:val="auto"/>
                <w:spacing w:val="-19"/>
                <w:highlight w:val="none"/>
              </w:rPr>
              <w:t xml:space="preserve"> </w:t>
            </w:r>
            <w:r>
              <w:rPr>
                <w:color w:val="auto"/>
                <w:spacing w:val="11"/>
                <w:highlight w:val="none"/>
              </w:rPr>
              <w:t>C</w:t>
            </w:r>
            <w:r>
              <w:rPr>
                <w:color w:val="auto"/>
                <w:spacing w:val="-30"/>
                <w:highlight w:val="none"/>
              </w:rPr>
              <w:t xml:space="preserve"> </w:t>
            </w:r>
            <w:r>
              <w:rPr>
                <w:color w:val="auto"/>
                <w:spacing w:val="11"/>
                <w:highlight w:val="none"/>
              </w:rPr>
              <w:t>级或</w:t>
            </w:r>
            <w:r>
              <w:rPr>
                <w:color w:val="auto"/>
                <w:spacing w:val="-36"/>
                <w:highlight w:val="none"/>
              </w:rPr>
              <w:t xml:space="preserve"> </w:t>
            </w:r>
            <w:r>
              <w:rPr>
                <w:color w:val="auto"/>
                <w:spacing w:val="11"/>
                <w:highlight w:val="none"/>
              </w:rPr>
              <w:t>D</w:t>
            </w:r>
            <w:r>
              <w:rPr>
                <w:color w:val="auto"/>
                <w:spacing w:val="-30"/>
                <w:highlight w:val="none"/>
              </w:rPr>
              <w:t xml:space="preserve"> </w:t>
            </w:r>
            <w:r>
              <w:rPr>
                <w:color w:val="auto"/>
                <w:spacing w:val="11"/>
                <w:highlight w:val="none"/>
              </w:rPr>
              <w:t>级的，但在广东省最近年度原评价等级为</w:t>
            </w:r>
            <w:r>
              <w:rPr>
                <w:color w:val="auto"/>
                <w:spacing w:val="-36"/>
                <w:highlight w:val="none"/>
              </w:rPr>
              <w:t xml:space="preserve"> </w:t>
            </w:r>
            <w:r>
              <w:rPr>
                <w:color w:val="auto"/>
                <w:spacing w:val="11"/>
                <w:highlight w:val="none"/>
              </w:rPr>
              <w:t>D</w:t>
            </w:r>
            <w:r>
              <w:rPr>
                <w:color w:val="auto"/>
                <w:spacing w:val="-30"/>
                <w:highlight w:val="none"/>
              </w:rPr>
              <w:t xml:space="preserve"> </w:t>
            </w:r>
            <w:r>
              <w:rPr>
                <w:color w:val="auto"/>
                <w:spacing w:val="11"/>
                <w:highlight w:val="none"/>
              </w:rPr>
              <w:t>级的，则按</w:t>
            </w:r>
            <w:r>
              <w:rPr>
                <w:color w:val="auto"/>
                <w:spacing w:val="-33"/>
                <w:highlight w:val="none"/>
              </w:rPr>
              <w:t xml:space="preserve"> </w:t>
            </w:r>
            <w:r>
              <w:rPr>
                <w:color w:val="auto"/>
                <w:spacing w:val="11"/>
                <w:highlight w:val="none"/>
              </w:rPr>
              <w:t>C</w:t>
            </w:r>
            <w:r>
              <w:rPr>
                <w:color w:val="auto"/>
                <w:spacing w:val="-30"/>
                <w:highlight w:val="none"/>
              </w:rPr>
              <w:t xml:space="preserve"> </w:t>
            </w:r>
            <w:r>
              <w:rPr>
                <w:color w:val="auto"/>
                <w:spacing w:val="11"/>
                <w:highlight w:val="none"/>
              </w:rPr>
              <w:t>级对</w:t>
            </w:r>
            <w:r>
              <w:rPr>
                <w:color w:val="auto"/>
                <w:highlight w:val="none"/>
              </w:rPr>
              <w:t>待。</w:t>
            </w:r>
          </w:p>
          <w:p w14:paraId="3FA152EA">
            <w:pPr>
              <w:pStyle w:val="18"/>
              <w:spacing w:before="153" w:line="322" w:lineRule="auto"/>
              <w:ind w:left="112" w:right="108" w:firstLine="15"/>
              <w:rPr>
                <w:color w:val="auto"/>
                <w:highlight w:val="none"/>
              </w:rPr>
            </w:pPr>
            <w:r>
              <w:rPr>
                <w:color w:val="auto"/>
                <w:spacing w:val="12"/>
                <w:highlight w:val="none"/>
              </w:rPr>
              <w:t xml:space="preserve">10.2.3 </w:t>
            </w:r>
            <w:r>
              <w:rPr>
                <w:color w:val="auto"/>
                <w:highlight w:val="none"/>
              </w:rPr>
              <w:t>AA</w:t>
            </w:r>
            <w:r>
              <w:rPr>
                <w:color w:val="auto"/>
                <w:spacing w:val="12"/>
                <w:highlight w:val="none"/>
              </w:rPr>
              <w:t>、A</w:t>
            </w:r>
            <w:r>
              <w:rPr>
                <w:color w:val="auto"/>
                <w:spacing w:val="-30"/>
                <w:highlight w:val="none"/>
              </w:rPr>
              <w:t xml:space="preserve"> </w:t>
            </w:r>
            <w:r>
              <w:rPr>
                <w:color w:val="auto"/>
                <w:spacing w:val="12"/>
                <w:highlight w:val="none"/>
              </w:rPr>
              <w:t>级单位是指使用广东省信用评价等级申请承诺书的单位。提</w:t>
            </w:r>
            <w:r>
              <w:rPr>
                <w:color w:val="auto"/>
                <w:spacing w:val="11"/>
                <w:highlight w:val="none"/>
              </w:rPr>
              <w:t>交申请</w:t>
            </w:r>
            <w:r>
              <w:rPr>
                <w:color w:val="auto"/>
                <w:spacing w:val="13"/>
                <w:highlight w:val="none"/>
              </w:rPr>
              <w:t>承诺书未使用</w:t>
            </w:r>
            <w:r>
              <w:rPr>
                <w:color w:val="auto"/>
                <w:spacing w:val="-37"/>
                <w:highlight w:val="none"/>
              </w:rPr>
              <w:t xml:space="preserve"> </w:t>
            </w:r>
            <w:r>
              <w:rPr>
                <w:color w:val="auto"/>
                <w:highlight w:val="none"/>
              </w:rPr>
              <w:t>AA</w:t>
            </w:r>
            <w:r>
              <w:rPr>
                <w:color w:val="auto"/>
                <w:spacing w:val="13"/>
                <w:highlight w:val="none"/>
              </w:rPr>
              <w:t>、A</w:t>
            </w:r>
            <w:r>
              <w:rPr>
                <w:color w:val="auto"/>
                <w:spacing w:val="-23"/>
                <w:highlight w:val="none"/>
              </w:rPr>
              <w:t xml:space="preserve"> </w:t>
            </w:r>
            <w:r>
              <w:rPr>
                <w:color w:val="auto"/>
                <w:spacing w:val="13"/>
                <w:highlight w:val="none"/>
              </w:rPr>
              <w:t>时，在评标过程中，</w:t>
            </w:r>
            <w:r>
              <w:rPr>
                <w:color w:val="auto"/>
                <w:highlight w:val="none"/>
              </w:rPr>
              <w:t>AA</w:t>
            </w:r>
            <w:r>
              <w:rPr>
                <w:color w:val="auto"/>
                <w:spacing w:val="-30"/>
                <w:highlight w:val="none"/>
              </w:rPr>
              <w:t xml:space="preserve"> </w:t>
            </w:r>
            <w:r>
              <w:rPr>
                <w:color w:val="auto"/>
                <w:spacing w:val="13"/>
                <w:highlight w:val="none"/>
              </w:rPr>
              <w:t>级信用等级企业按</w:t>
            </w:r>
            <w:r>
              <w:rPr>
                <w:color w:val="auto"/>
                <w:spacing w:val="-38"/>
                <w:highlight w:val="none"/>
              </w:rPr>
              <w:t xml:space="preserve"> </w:t>
            </w:r>
            <w:r>
              <w:rPr>
                <w:color w:val="auto"/>
                <w:spacing w:val="13"/>
                <w:highlight w:val="none"/>
              </w:rPr>
              <w:t>A</w:t>
            </w:r>
            <w:r>
              <w:rPr>
                <w:color w:val="auto"/>
                <w:spacing w:val="-30"/>
                <w:highlight w:val="none"/>
              </w:rPr>
              <w:t xml:space="preserve"> </w:t>
            </w:r>
            <w:r>
              <w:rPr>
                <w:color w:val="auto"/>
                <w:spacing w:val="13"/>
                <w:highlight w:val="none"/>
              </w:rPr>
              <w:t>级对待、A</w:t>
            </w:r>
            <w:r>
              <w:rPr>
                <w:color w:val="auto"/>
                <w:spacing w:val="-30"/>
                <w:highlight w:val="none"/>
              </w:rPr>
              <w:t xml:space="preserve"> </w:t>
            </w:r>
            <w:r>
              <w:rPr>
                <w:color w:val="auto"/>
                <w:spacing w:val="13"/>
                <w:highlight w:val="none"/>
              </w:rPr>
              <w:t>级信</w:t>
            </w:r>
            <w:r>
              <w:rPr>
                <w:color w:val="auto"/>
                <w:spacing w:val="6"/>
                <w:highlight w:val="none"/>
              </w:rPr>
              <w:t>用等级企业按</w:t>
            </w:r>
            <w:r>
              <w:rPr>
                <w:color w:val="auto"/>
                <w:spacing w:val="-43"/>
                <w:highlight w:val="none"/>
              </w:rPr>
              <w:t xml:space="preserve"> </w:t>
            </w:r>
            <w:r>
              <w:rPr>
                <w:color w:val="auto"/>
                <w:spacing w:val="6"/>
                <w:highlight w:val="none"/>
              </w:rPr>
              <w:t>B</w:t>
            </w:r>
            <w:r>
              <w:rPr>
                <w:color w:val="auto"/>
                <w:spacing w:val="-35"/>
                <w:highlight w:val="none"/>
              </w:rPr>
              <w:t xml:space="preserve"> </w:t>
            </w:r>
            <w:r>
              <w:rPr>
                <w:color w:val="auto"/>
                <w:spacing w:val="6"/>
                <w:highlight w:val="none"/>
              </w:rPr>
              <w:t>级对待。</w:t>
            </w:r>
          </w:p>
          <w:p w14:paraId="057C8C9D">
            <w:pPr>
              <w:pStyle w:val="18"/>
              <w:spacing w:before="153" w:line="334" w:lineRule="auto"/>
              <w:ind w:left="113" w:right="109" w:firstLine="14"/>
              <w:rPr>
                <w:color w:val="auto"/>
                <w:highlight w:val="none"/>
              </w:rPr>
            </w:pPr>
            <w:r>
              <w:rPr>
                <w:color w:val="auto"/>
                <w:spacing w:val="11"/>
                <w:highlight w:val="none"/>
              </w:rPr>
              <w:t>10.2.4 在招标评标中，信用评价等级采用按次、按标段或标类申请使</w:t>
            </w:r>
            <w:r>
              <w:rPr>
                <w:color w:val="auto"/>
                <w:spacing w:val="10"/>
                <w:highlight w:val="none"/>
              </w:rPr>
              <w:t>用的原则，</w:t>
            </w:r>
            <w:r>
              <w:rPr>
                <w:color w:val="auto"/>
                <w:spacing w:val="14"/>
                <w:highlight w:val="none"/>
              </w:rPr>
              <w:t>即在同一次招标中的多个标段的投标，可自愿对其中部分或全部标段申请使用</w:t>
            </w:r>
            <w:r>
              <w:rPr>
                <w:color w:val="auto"/>
                <w:spacing w:val="-37"/>
                <w:highlight w:val="none"/>
              </w:rPr>
              <w:t xml:space="preserve"> </w:t>
            </w:r>
            <w:r>
              <w:rPr>
                <w:color w:val="auto"/>
                <w:highlight w:val="none"/>
              </w:rPr>
              <w:t>AA</w:t>
            </w:r>
            <w:r>
              <w:rPr>
                <w:color w:val="auto"/>
                <w:spacing w:val="15"/>
                <w:highlight w:val="none"/>
              </w:rPr>
              <w:t>或</w:t>
            </w:r>
            <w:r>
              <w:rPr>
                <w:color w:val="auto"/>
                <w:spacing w:val="-41"/>
                <w:highlight w:val="none"/>
              </w:rPr>
              <w:t xml:space="preserve"> </w:t>
            </w:r>
            <w:r>
              <w:rPr>
                <w:color w:val="auto"/>
                <w:spacing w:val="15"/>
                <w:highlight w:val="none"/>
              </w:rPr>
              <w:t>A</w:t>
            </w:r>
            <w:r>
              <w:rPr>
                <w:color w:val="auto"/>
                <w:spacing w:val="-33"/>
                <w:highlight w:val="none"/>
              </w:rPr>
              <w:t xml:space="preserve"> </w:t>
            </w:r>
            <w:r>
              <w:rPr>
                <w:color w:val="auto"/>
                <w:spacing w:val="15"/>
                <w:highlight w:val="none"/>
              </w:rPr>
              <w:t>信用等级，无论中标与否，均应根据申请递交</w:t>
            </w:r>
            <w:r>
              <w:rPr>
                <w:color w:val="auto"/>
                <w:spacing w:val="14"/>
                <w:highlight w:val="none"/>
              </w:rPr>
              <w:t>投标（或申请）文件情况按标</w:t>
            </w:r>
            <w:r>
              <w:rPr>
                <w:color w:val="auto"/>
                <w:spacing w:val="9"/>
                <w:highlight w:val="none"/>
              </w:rPr>
              <w:t>段计算使用次数（非投标人原因导致招标失败的情</w:t>
            </w:r>
            <w:r>
              <w:rPr>
                <w:color w:val="auto"/>
                <w:spacing w:val="8"/>
                <w:highlight w:val="none"/>
              </w:rPr>
              <w:t>况除外）。</w:t>
            </w:r>
          </w:p>
          <w:p w14:paraId="21E7DEC3">
            <w:pPr>
              <w:pStyle w:val="18"/>
              <w:spacing w:before="155" w:line="321" w:lineRule="auto"/>
              <w:ind w:left="112" w:right="108" w:firstLine="15"/>
              <w:rPr>
                <w:color w:val="auto"/>
                <w:highlight w:val="none"/>
              </w:rPr>
            </w:pPr>
            <w:r>
              <w:rPr>
                <w:color w:val="auto"/>
                <w:spacing w:val="12"/>
                <w:highlight w:val="none"/>
              </w:rPr>
              <w:t>10.2.5</w:t>
            </w:r>
            <w:r>
              <w:rPr>
                <w:color w:val="auto"/>
                <w:spacing w:val="-12"/>
                <w:highlight w:val="none"/>
              </w:rPr>
              <w:t xml:space="preserve"> </w:t>
            </w:r>
            <w:r>
              <w:rPr>
                <w:color w:val="auto"/>
                <w:spacing w:val="12"/>
                <w:highlight w:val="none"/>
              </w:rPr>
              <w:t>以联合体形式投标的，信用等</w:t>
            </w:r>
            <w:r>
              <w:rPr>
                <w:color w:val="auto"/>
                <w:spacing w:val="11"/>
                <w:highlight w:val="none"/>
              </w:rPr>
              <w:t>级以联合体中信用等级较低的为准。如联合</w:t>
            </w:r>
            <w:r>
              <w:rPr>
                <w:color w:val="auto"/>
                <w:spacing w:val="15"/>
                <w:highlight w:val="none"/>
              </w:rPr>
              <w:t>体成员中存在不属于广东省公路工程从业企业信用评价体系的参评范围的单位，</w:t>
            </w:r>
            <w:r>
              <w:rPr>
                <w:color w:val="auto"/>
                <w:spacing w:val="6"/>
                <w:highlight w:val="none"/>
              </w:rPr>
              <w:t>其信用评价等级视为</w:t>
            </w:r>
            <w:r>
              <w:rPr>
                <w:color w:val="auto"/>
                <w:spacing w:val="-38"/>
                <w:highlight w:val="none"/>
              </w:rPr>
              <w:t xml:space="preserve"> </w:t>
            </w:r>
            <w:r>
              <w:rPr>
                <w:color w:val="auto"/>
                <w:spacing w:val="6"/>
                <w:highlight w:val="none"/>
              </w:rPr>
              <w:t>B</w:t>
            </w:r>
            <w:r>
              <w:rPr>
                <w:color w:val="auto"/>
                <w:spacing w:val="-35"/>
                <w:highlight w:val="none"/>
              </w:rPr>
              <w:t xml:space="preserve"> </w:t>
            </w:r>
            <w:r>
              <w:rPr>
                <w:color w:val="auto"/>
                <w:spacing w:val="6"/>
                <w:highlight w:val="none"/>
              </w:rPr>
              <w:t>级。</w:t>
            </w:r>
          </w:p>
          <w:p w14:paraId="63005BBE">
            <w:pPr>
              <w:pStyle w:val="18"/>
              <w:spacing w:before="155" w:line="334" w:lineRule="auto"/>
              <w:ind w:left="114" w:right="108" w:firstLine="12"/>
              <w:rPr>
                <w:color w:val="auto"/>
                <w:highlight w:val="none"/>
              </w:rPr>
            </w:pPr>
            <w:r>
              <w:rPr>
                <w:color w:val="auto"/>
                <w:spacing w:val="11"/>
                <w:highlight w:val="none"/>
              </w:rPr>
              <w:t>10.3 如果推荐的第一中标候选人放弃中标、因不可抗力提出不能履行合同或因被</w:t>
            </w:r>
            <w:r>
              <w:rPr>
                <w:color w:val="auto"/>
                <w:spacing w:val="15"/>
                <w:highlight w:val="none"/>
              </w:rPr>
              <w:t>投诉经查证属实取消中标资格的，或者招标文件规定应当提交履约保证金而在规</w:t>
            </w:r>
            <w:r>
              <w:rPr>
                <w:color w:val="auto"/>
                <w:spacing w:val="12"/>
                <w:highlight w:val="none"/>
              </w:rPr>
              <w:t>定的期限内未能提交的，招标人可以确定排名第二的中标候选人为中标人,或重新</w:t>
            </w:r>
            <w:r>
              <w:rPr>
                <w:color w:val="auto"/>
                <w:spacing w:val="7"/>
                <w:highlight w:val="none"/>
              </w:rPr>
              <w:t>组织招标，以此类推。</w:t>
            </w:r>
          </w:p>
          <w:p w14:paraId="481A5297">
            <w:pPr>
              <w:pStyle w:val="18"/>
              <w:spacing w:before="150" w:line="323" w:lineRule="auto"/>
              <w:ind w:left="114" w:right="108" w:firstLine="12"/>
              <w:rPr>
                <w:color w:val="auto"/>
                <w:highlight w:val="none"/>
              </w:rPr>
            </w:pPr>
            <w:r>
              <w:rPr>
                <w:color w:val="auto"/>
                <w:spacing w:val="9"/>
                <w:highlight w:val="none"/>
              </w:rPr>
              <w:t>10.4 如果开标后至中标通知书发出前</w:t>
            </w:r>
            <w:r>
              <w:rPr>
                <w:color w:val="auto"/>
                <w:spacing w:val="8"/>
                <w:highlight w:val="none"/>
              </w:rPr>
              <w:t>，中标候选人发生投标人须知</w:t>
            </w:r>
            <w:r>
              <w:rPr>
                <w:color w:val="auto"/>
                <w:spacing w:val="-22"/>
                <w:highlight w:val="none"/>
              </w:rPr>
              <w:t xml:space="preserve"> </w:t>
            </w:r>
            <w:r>
              <w:rPr>
                <w:color w:val="auto"/>
                <w:spacing w:val="8"/>
                <w:highlight w:val="none"/>
              </w:rPr>
              <w:t>1.4.4（1）至</w:t>
            </w:r>
            <w:r>
              <w:rPr>
                <w:color w:val="auto"/>
                <w:spacing w:val="10"/>
                <w:highlight w:val="none"/>
              </w:rPr>
              <w:t>（7）</w:t>
            </w:r>
            <w:r>
              <w:rPr>
                <w:color w:val="auto"/>
                <w:spacing w:val="-51"/>
                <w:highlight w:val="none"/>
              </w:rPr>
              <w:t xml:space="preserve"> </w:t>
            </w:r>
            <w:r>
              <w:rPr>
                <w:color w:val="auto"/>
                <w:spacing w:val="10"/>
                <w:highlight w:val="none"/>
              </w:rPr>
              <w:t>的情形及中标候选人信用等级被广东省交通运输厅直接降为</w:t>
            </w:r>
            <w:r>
              <w:rPr>
                <w:color w:val="auto"/>
                <w:spacing w:val="-38"/>
                <w:highlight w:val="none"/>
              </w:rPr>
              <w:t xml:space="preserve"> </w:t>
            </w:r>
            <w:r>
              <w:rPr>
                <w:color w:val="auto"/>
                <w:spacing w:val="10"/>
                <w:highlight w:val="none"/>
              </w:rPr>
              <w:t>D</w:t>
            </w:r>
            <w:r>
              <w:rPr>
                <w:color w:val="auto"/>
                <w:spacing w:val="-33"/>
                <w:highlight w:val="none"/>
              </w:rPr>
              <w:t xml:space="preserve"> </w:t>
            </w:r>
            <w:r>
              <w:rPr>
                <w:color w:val="auto"/>
                <w:spacing w:val="10"/>
                <w:highlight w:val="none"/>
              </w:rPr>
              <w:t>级的情形，则</w:t>
            </w:r>
            <w:r>
              <w:rPr>
                <w:color w:val="auto"/>
                <w:spacing w:val="8"/>
                <w:highlight w:val="none"/>
              </w:rPr>
              <w:t>取消其中标资格，按否决其投标处理；</w:t>
            </w:r>
          </w:p>
          <w:p w14:paraId="098811A2">
            <w:pPr>
              <w:pStyle w:val="18"/>
              <w:spacing w:before="151" w:line="358" w:lineRule="auto"/>
              <w:ind w:left="115" w:right="108"/>
              <w:rPr>
                <w:color w:val="auto"/>
                <w:highlight w:val="none"/>
              </w:rPr>
            </w:pPr>
            <w:r>
              <w:rPr>
                <w:color w:val="auto"/>
                <w:spacing w:val="15"/>
                <w:highlight w:val="none"/>
              </w:rPr>
              <w:t>发生以上情况时，招标人按推荐中标候选人排名顺序依次确定中标人，或重新组</w:t>
            </w:r>
            <w:r>
              <w:rPr>
                <w:color w:val="auto"/>
                <w:spacing w:val="4"/>
                <w:highlight w:val="none"/>
              </w:rPr>
              <w:t>织招标。</w:t>
            </w:r>
          </w:p>
        </w:tc>
      </w:tr>
    </w:tbl>
    <w:p w14:paraId="365CB289">
      <w:pPr>
        <w:rPr>
          <w:rFonts w:ascii="Arial"/>
          <w:color w:val="auto"/>
          <w:sz w:val="21"/>
          <w:highlight w:val="none"/>
        </w:rPr>
      </w:pPr>
    </w:p>
    <w:p w14:paraId="081D98F1">
      <w:pPr>
        <w:rPr>
          <w:rFonts w:ascii="Arial" w:hAnsi="Arial" w:eastAsia="Arial" w:cs="Arial"/>
          <w:color w:val="auto"/>
          <w:sz w:val="21"/>
          <w:szCs w:val="21"/>
          <w:highlight w:val="none"/>
        </w:rPr>
        <w:sectPr>
          <w:footerReference r:id="rId20" w:type="default"/>
          <w:pgSz w:w="11906" w:h="16839"/>
          <w:pgMar w:top="1416" w:right="1785" w:bottom="1297" w:left="1304" w:header="0" w:footer="1067" w:gutter="0"/>
          <w:pgNumType w:fmt="decimal"/>
          <w:cols w:space="720" w:num="1"/>
        </w:sectPr>
      </w:pPr>
    </w:p>
    <w:tbl>
      <w:tblPr>
        <w:tblStyle w:val="17"/>
        <w:tblW w:w="878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13"/>
        <w:gridCol w:w="7768"/>
      </w:tblGrid>
      <w:tr w14:paraId="4959D6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25" w:hRule="atLeast"/>
        </w:trPr>
        <w:tc>
          <w:tcPr>
            <w:tcW w:w="1013" w:type="dxa"/>
            <w:vAlign w:val="top"/>
          </w:tcPr>
          <w:p w14:paraId="4996E3D2">
            <w:pPr>
              <w:pStyle w:val="18"/>
              <w:spacing w:before="153" w:line="298" w:lineRule="auto"/>
              <w:ind w:left="116" w:right="108" w:firstLine="11"/>
              <w:rPr>
                <w:rFonts w:ascii="宋体" w:hAnsi="宋体" w:eastAsia="宋体" w:cs="宋体"/>
                <w:color w:val="auto"/>
                <w:spacing w:val="12"/>
                <w:highlight w:val="none"/>
                <w:lang w:val="en-US" w:eastAsia="zh-CN"/>
              </w:rPr>
            </w:pPr>
          </w:p>
        </w:tc>
        <w:tc>
          <w:tcPr>
            <w:tcW w:w="7768" w:type="dxa"/>
            <w:vAlign w:val="top"/>
          </w:tcPr>
          <w:p w14:paraId="016F2CC7">
            <w:pPr>
              <w:pStyle w:val="18"/>
              <w:spacing w:before="117" w:line="381" w:lineRule="auto"/>
              <w:ind w:left="118" w:right="109" w:firstLine="8"/>
              <w:rPr>
                <w:color w:val="auto"/>
                <w:sz w:val="10"/>
                <w:szCs w:val="10"/>
                <w:highlight w:val="none"/>
              </w:rPr>
            </w:pPr>
            <w:r>
              <w:rPr>
                <w:color w:val="auto"/>
                <w:spacing w:val="7"/>
                <w:highlight w:val="none"/>
              </w:rPr>
              <w:t>10.5</w:t>
            </w:r>
            <w:r>
              <w:rPr>
                <w:color w:val="auto"/>
                <w:highlight w:val="none"/>
              </w:rPr>
              <w:fldChar w:fldCharType="begin"/>
            </w:r>
            <w:r>
              <w:rPr>
                <w:color w:val="auto"/>
                <w:highlight w:val="none"/>
              </w:rPr>
              <w:instrText xml:space="preserve"> HYPERLINK \l "bookmark79" </w:instrText>
            </w:r>
            <w:r>
              <w:rPr>
                <w:color w:val="auto"/>
                <w:highlight w:val="none"/>
              </w:rPr>
              <w:fldChar w:fldCharType="separate"/>
            </w:r>
            <w:r>
              <w:rPr>
                <w:color w:val="auto"/>
                <w:spacing w:val="7"/>
                <w:position w:val="10"/>
                <w:sz w:val="10"/>
                <w:szCs w:val="10"/>
                <w:highlight w:val="none"/>
              </w:rPr>
              <w:t>①</w:t>
            </w:r>
            <w:r>
              <w:rPr>
                <w:color w:val="auto"/>
                <w:spacing w:val="7"/>
                <w:position w:val="10"/>
                <w:sz w:val="10"/>
                <w:szCs w:val="10"/>
                <w:highlight w:val="none"/>
              </w:rPr>
              <w:fldChar w:fldCharType="end"/>
            </w:r>
            <w:r>
              <w:rPr>
                <w:color w:val="auto"/>
                <w:spacing w:val="7"/>
                <w:position w:val="10"/>
                <w:sz w:val="10"/>
                <w:szCs w:val="10"/>
                <w:highlight w:val="none"/>
              </w:rPr>
              <w:t xml:space="preserve">  </w:t>
            </w:r>
            <w:r>
              <w:rPr>
                <w:color w:val="auto"/>
                <w:spacing w:val="7"/>
                <w:highlight w:val="none"/>
              </w:rPr>
              <w:t>本招标文件中所有 “类似工程</w:t>
            </w:r>
            <w:r>
              <w:rPr>
                <w:color w:val="auto"/>
                <w:spacing w:val="-58"/>
                <w:highlight w:val="none"/>
              </w:rPr>
              <w:t xml:space="preserve"> </w:t>
            </w:r>
            <w:r>
              <w:rPr>
                <w:color w:val="auto"/>
                <w:spacing w:val="7"/>
                <w:highlight w:val="none"/>
              </w:rPr>
              <w:t>”均指</w:t>
            </w:r>
            <w:r>
              <w:rPr>
                <w:b/>
                <w:bCs/>
                <w:color w:val="auto"/>
                <w:spacing w:val="7"/>
                <w:highlight w:val="none"/>
                <w:u w:val="single" w:color="auto"/>
              </w:rPr>
              <w:t>新建（或改、扩建）</w:t>
            </w:r>
            <w:r>
              <w:rPr>
                <w:rFonts w:hint="eastAsia"/>
                <w:b/>
                <w:bCs/>
                <w:color w:val="auto"/>
                <w:spacing w:val="7"/>
                <w:highlight w:val="none"/>
                <w:u w:val="single" w:color="auto"/>
                <w:lang w:val="en-US" w:eastAsia="zh-CN"/>
              </w:rPr>
              <w:t>三级（含三级）或以上</w:t>
            </w:r>
            <w:r>
              <w:rPr>
                <w:color w:val="auto"/>
                <w:spacing w:val="15"/>
                <w:highlight w:val="none"/>
                <w:u w:val="single" w:color="auto"/>
              </w:rPr>
              <w:t>公路工程</w:t>
            </w:r>
            <w:r>
              <w:rPr>
                <w:color w:val="auto"/>
                <w:spacing w:val="15"/>
                <w:highlight w:val="none"/>
              </w:rPr>
              <w:t>项目。</w:t>
            </w:r>
            <w:r>
              <w:rPr>
                <w:color w:val="auto"/>
                <w:spacing w:val="15"/>
                <w:highlight w:val="none"/>
                <w:u w:val="single" w:color="auto"/>
              </w:rPr>
              <w:t>在采用新建的公路项目完工业绩时，对于同等公路等级改、扩建</w:t>
            </w:r>
            <w:r>
              <w:rPr>
                <w:color w:val="auto"/>
                <w:spacing w:val="9"/>
                <w:highlight w:val="none"/>
                <w:u w:val="single" w:color="auto"/>
              </w:rPr>
              <w:t>中的新建桥梁或隧道工程业绩也应认可</w:t>
            </w:r>
            <w:r>
              <w:rPr>
                <w:color w:val="auto"/>
                <w:spacing w:val="9"/>
                <w:highlight w:val="none"/>
              </w:rPr>
              <w:t>。</w:t>
            </w:r>
            <w:r>
              <w:rPr>
                <w:color w:val="auto"/>
                <w:highlight w:val="none"/>
              </w:rPr>
              <w:fldChar w:fldCharType="begin"/>
            </w:r>
            <w:r>
              <w:rPr>
                <w:color w:val="auto"/>
                <w:highlight w:val="none"/>
              </w:rPr>
              <w:instrText xml:space="preserve"> HYPERLINK \l "bookmark80" </w:instrText>
            </w:r>
            <w:r>
              <w:rPr>
                <w:color w:val="auto"/>
                <w:highlight w:val="none"/>
              </w:rPr>
              <w:fldChar w:fldCharType="separate"/>
            </w:r>
            <w:r>
              <w:rPr>
                <w:color w:val="auto"/>
                <w:spacing w:val="9"/>
                <w:position w:val="10"/>
                <w:sz w:val="10"/>
                <w:szCs w:val="10"/>
                <w:highlight w:val="none"/>
              </w:rPr>
              <w:t>②</w:t>
            </w:r>
            <w:r>
              <w:rPr>
                <w:color w:val="auto"/>
                <w:spacing w:val="9"/>
                <w:position w:val="10"/>
                <w:sz w:val="10"/>
                <w:szCs w:val="10"/>
                <w:highlight w:val="none"/>
              </w:rPr>
              <w:fldChar w:fldCharType="end"/>
            </w:r>
          </w:p>
          <w:p w14:paraId="3058D709">
            <w:pPr>
              <w:pStyle w:val="18"/>
              <w:spacing w:before="104" w:line="307" w:lineRule="auto"/>
              <w:ind w:left="127" w:right="5664"/>
              <w:rPr>
                <w:color w:val="auto"/>
                <w:highlight w:val="none"/>
              </w:rPr>
            </w:pPr>
            <w:r>
              <w:rPr>
                <w:color w:val="auto"/>
                <w:spacing w:val="5"/>
                <w:highlight w:val="none"/>
              </w:rPr>
              <w:t>10.6 有关业绩的说明</w:t>
            </w:r>
            <w:r>
              <w:rPr>
                <w:color w:val="auto"/>
                <w:spacing w:val="1"/>
                <w:highlight w:val="none"/>
              </w:rPr>
              <w:t>10.6.1</w:t>
            </w:r>
          </w:p>
          <w:p w14:paraId="02A630A5">
            <w:pPr>
              <w:pStyle w:val="18"/>
              <w:spacing w:before="132" w:line="227" w:lineRule="auto"/>
              <w:ind w:left="113"/>
              <w:rPr>
                <w:color w:val="auto"/>
                <w:highlight w:val="none"/>
              </w:rPr>
            </w:pPr>
            <w:r>
              <w:rPr>
                <w:color w:val="auto"/>
                <w:spacing w:val="9"/>
                <w:highlight w:val="none"/>
              </w:rPr>
              <w:t>a、特大桥及大桥按国家最新颁布的标准进行</w:t>
            </w:r>
            <w:r>
              <w:rPr>
                <w:color w:val="auto"/>
                <w:spacing w:val="8"/>
                <w:highlight w:val="none"/>
              </w:rPr>
              <w:t>划分；</w:t>
            </w:r>
          </w:p>
          <w:p w14:paraId="3131CC43">
            <w:pPr>
              <w:pStyle w:val="18"/>
              <w:spacing w:before="154" w:line="298" w:lineRule="auto"/>
              <w:ind w:left="113" w:right="110" w:hanging="4"/>
              <w:rPr>
                <w:color w:val="auto"/>
                <w:highlight w:val="none"/>
              </w:rPr>
            </w:pPr>
            <w:r>
              <w:rPr>
                <w:color w:val="auto"/>
                <w:spacing w:val="12"/>
                <w:highlight w:val="none"/>
              </w:rPr>
              <w:t>b、完成整座桥梁的半幅或整座桥梁其中的一部分工作内容达到特大桥或大桥对应</w:t>
            </w:r>
            <w:r>
              <w:rPr>
                <w:color w:val="auto"/>
                <w:spacing w:val="6"/>
                <w:highlight w:val="none"/>
              </w:rPr>
              <w:t>技术标准的，按相应标标准以</w:t>
            </w:r>
            <w:r>
              <w:rPr>
                <w:color w:val="auto"/>
                <w:spacing w:val="-13"/>
                <w:highlight w:val="none"/>
              </w:rPr>
              <w:t xml:space="preserve"> </w:t>
            </w:r>
            <w:r>
              <w:rPr>
                <w:color w:val="auto"/>
                <w:spacing w:val="6"/>
                <w:highlight w:val="none"/>
              </w:rPr>
              <w:t>1</w:t>
            </w:r>
            <w:r>
              <w:rPr>
                <w:color w:val="auto"/>
                <w:spacing w:val="-37"/>
                <w:highlight w:val="none"/>
              </w:rPr>
              <w:t xml:space="preserve"> </w:t>
            </w:r>
            <w:r>
              <w:rPr>
                <w:color w:val="auto"/>
                <w:spacing w:val="6"/>
                <w:highlight w:val="none"/>
              </w:rPr>
              <w:t>座计算；</w:t>
            </w:r>
          </w:p>
          <w:p w14:paraId="7CB75A50">
            <w:pPr>
              <w:pStyle w:val="18"/>
              <w:spacing w:before="155" w:line="299" w:lineRule="auto"/>
              <w:ind w:left="111" w:right="110" w:firstLine="5"/>
              <w:rPr>
                <w:color w:val="auto"/>
                <w:highlight w:val="none"/>
              </w:rPr>
            </w:pPr>
            <w:r>
              <w:rPr>
                <w:color w:val="auto"/>
                <w:spacing w:val="12"/>
                <w:highlight w:val="none"/>
              </w:rPr>
              <w:t>c、同一投标人的单座桥梁仅能计一次，只完成整个工程部分分部工程不参与计算</w:t>
            </w:r>
            <w:r>
              <w:rPr>
                <w:color w:val="auto"/>
                <w:spacing w:val="3"/>
                <w:highlight w:val="none"/>
              </w:rPr>
              <w:t>业绩。</w:t>
            </w:r>
          </w:p>
          <w:p w14:paraId="4794520E">
            <w:pPr>
              <w:pStyle w:val="18"/>
              <w:spacing w:before="151" w:line="267" w:lineRule="exact"/>
              <w:ind w:left="127"/>
              <w:rPr>
                <w:color w:val="auto"/>
                <w:highlight w:val="none"/>
              </w:rPr>
            </w:pPr>
            <w:r>
              <w:rPr>
                <w:color w:val="auto"/>
                <w:spacing w:val="1"/>
                <w:position w:val="1"/>
                <w:highlight w:val="none"/>
              </w:rPr>
              <w:t>10.6.2</w:t>
            </w:r>
          </w:p>
          <w:p w14:paraId="33C43055">
            <w:pPr>
              <w:pStyle w:val="18"/>
              <w:spacing w:before="133" w:line="334" w:lineRule="auto"/>
              <w:ind w:left="111" w:right="108" w:firstLine="1"/>
              <w:rPr>
                <w:color w:val="auto"/>
                <w:highlight w:val="none"/>
              </w:rPr>
            </w:pPr>
            <w:r>
              <w:rPr>
                <w:color w:val="auto"/>
                <w:spacing w:val="10"/>
                <w:highlight w:val="none"/>
              </w:rPr>
              <w:t>a、特长隧道：单座隧道单洞（即左洞加右洞）总长大于</w:t>
            </w:r>
            <w:r>
              <w:rPr>
                <w:color w:val="auto"/>
                <w:spacing w:val="-22"/>
                <w:highlight w:val="none"/>
              </w:rPr>
              <w:t xml:space="preserve"> </w:t>
            </w:r>
            <w:r>
              <w:rPr>
                <w:color w:val="auto"/>
                <w:spacing w:val="10"/>
                <w:highlight w:val="none"/>
              </w:rPr>
              <w:t>6000m</w:t>
            </w:r>
            <w:r>
              <w:rPr>
                <w:color w:val="auto"/>
                <w:spacing w:val="-18"/>
                <w:highlight w:val="none"/>
              </w:rPr>
              <w:t xml:space="preserve"> </w:t>
            </w:r>
            <w:r>
              <w:rPr>
                <w:color w:val="auto"/>
                <w:spacing w:val="10"/>
                <w:highlight w:val="none"/>
              </w:rPr>
              <w:t>的，或完成单座隧</w:t>
            </w:r>
            <w:r>
              <w:rPr>
                <w:color w:val="auto"/>
                <w:spacing w:val="12"/>
                <w:highlight w:val="none"/>
              </w:rPr>
              <w:t>道的一部分且该部分的单洞累计长度大于</w:t>
            </w:r>
            <w:r>
              <w:rPr>
                <w:color w:val="auto"/>
                <w:spacing w:val="-31"/>
                <w:highlight w:val="none"/>
              </w:rPr>
              <w:t xml:space="preserve"> </w:t>
            </w:r>
            <w:r>
              <w:rPr>
                <w:color w:val="auto"/>
                <w:spacing w:val="12"/>
                <w:highlight w:val="none"/>
              </w:rPr>
              <w:t>6000m</w:t>
            </w:r>
            <w:r>
              <w:rPr>
                <w:color w:val="auto"/>
                <w:spacing w:val="-16"/>
                <w:highlight w:val="none"/>
              </w:rPr>
              <w:t xml:space="preserve"> </w:t>
            </w:r>
            <w:r>
              <w:rPr>
                <w:color w:val="auto"/>
                <w:spacing w:val="12"/>
                <w:highlight w:val="none"/>
              </w:rPr>
              <w:t>的，均按</w:t>
            </w:r>
            <w:r>
              <w:rPr>
                <w:color w:val="auto"/>
                <w:spacing w:val="-16"/>
                <w:highlight w:val="none"/>
              </w:rPr>
              <w:t xml:space="preserve"> </w:t>
            </w:r>
            <w:r>
              <w:rPr>
                <w:color w:val="auto"/>
                <w:spacing w:val="11"/>
                <w:highlight w:val="none"/>
              </w:rPr>
              <w:t>1</w:t>
            </w:r>
            <w:r>
              <w:rPr>
                <w:color w:val="auto"/>
                <w:spacing w:val="-29"/>
                <w:highlight w:val="none"/>
              </w:rPr>
              <w:t xml:space="preserve"> </w:t>
            </w:r>
            <w:r>
              <w:rPr>
                <w:color w:val="auto"/>
                <w:spacing w:val="11"/>
                <w:highlight w:val="none"/>
              </w:rPr>
              <w:t>座计；完成单座特长</w:t>
            </w:r>
            <w:r>
              <w:rPr>
                <w:color w:val="auto"/>
                <w:spacing w:val="12"/>
                <w:highlight w:val="none"/>
              </w:rPr>
              <w:t>隧道的一部分</w:t>
            </w:r>
            <w:r>
              <w:rPr>
                <w:color w:val="auto"/>
                <w:spacing w:val="-58"/>
                <w:highlight w:val="none"/>
              </w:rPr>
              <w:t xml:space="preserve"> </w:t>
            </w:r>
            <w:r>
              <w:rPr>
                <w:color w:val="auto"/>
                <w:spacing w:val="12"/>
                <w:highlight w:val="none"/>
              </w:rPr>
              <w:t>，该部分单洞累计长度大于</w:t>
            </w:r>
            <w:r>
              <w:rPr>
                <w:color w:val="auto"/>
                <w:spacing w:val="-20"/>
                <w:highlight w:val="none"/>
              </w:rPr>
              <w:t xml:space="preserve"> </w:t>
            </w:r>
            <w:r>
              <w:rPr>
                <w:color w:val="auto"/>
                <w:spacing w:val="12"/>
                <w:highlight w:val="none"/>
              </w:rPr>
              <w:t>3000m</w:t>
            </w:r>
            <w:r>
              <w:rPr>
                <w:color w:val="auto"/>
                <w:spacing w:val="-24"/>
                <w:highlight w:val="none"/>
              </w:rPr>
              <w:t xml:space="preserve"> </w:t>
            </w:r>
            <w:r>
              <w:rPr>
                <w:color w:val="auto"/>
                <w:spacing w:val="12"/>
                <w:highlight w:val="none"/>
              </w:rPr>
              <w:t>且不大于</w:t>
            </w:r>
            <w:r>
              <w:rPr>
                <w:color w:val="auto"/>
                <w:spacing w:val="-23"/>
                <w:highlight w:val="none"/>
              </w:rPr>
              <w:t xml:space="preserve"> </w:t>
            </w:r>
            <w:r>
              <w:rPr>
                <w:color w:val="auto"/>
                <w:spacing w:val="12"/>
                <w:highlight w:val="none"/>
              </w:rPr>
              <w:t>600</w:t>
            </w:r>
            <w:r>
              <w:rPr>
                <w:color w:val="auto"/>
                <w:spacing w:val="11"/>
                <w:highlight w:val="none"/>
              </w:rPr>
              <w:t>0m 的</w:t>
            </w:r>
            <w:r>
              <w:rPr>
                <w:color w:val="auto"/>
                <w:spacing w:val="-58"/>
                <w:highlight w:val="none"/>
              </w:rPr>
              <w:t xml:space="preserve"> </w:t>
            </w:r>
            <w:r>
              <w:rPr>
                <w:color w:val="auto"/>
                <w:spacing w:val="11"/>
                <w:highlight w:val="none"/>
              </w:rPr>
              <w:t>，按</w:t>
            </w:r>
            <w:r>
              <w:rPr>
                <w:color w:val="auto"/>
                <w:spacing w:val="-23"/>
                <w:highlight w:val="none"/>
              </w:rPr>
              <w:t xml:space="preserve"> </w:t>
            </w:r>
            <w:r>
              <w:rPr>
                <w:color w:val="auto"/>
                <w:spacing w:val="11"/>
                <w:highlight w:val="none"/>
              </w:rPr>
              <w:t>0.5</w:t>
            </w:r>
            <w:r>
              <w:rPr>
                <w:color w:val="auto"/>
                <w:spacing w:val="-22"/>
                <w:highlight w:val="none"/>
              </w:rPr>
              <w:t xml:space="preserve"> </w:t>
            </w:r>
            <w:r>
              <w:rPr>
                <w:color w:val="auto"/>
                <w:spacing w:val="11"/>
                <w:highlight w:val="none"/>
              </w:rPr>
              <w:t>座</w:t>
            </w:r>
            <w:r>
              <w:rPr>
                <w:color w:val="auto"/>
                <w:spacing w:val="9"/>
                <w:highlight w:val="none"/>
              </w:rPr>
              <w:t>计，完成</w:t>
            </w:r>
            <w:r>
              <w:rPr>
                <w:color w:val="auto"/>
                <w:spacing w:val="-44"/>
                <w:highlight w:val="none"/>
              </w:rPr>
              <w:t xml:space="preserve"> </w:t>
            </w:r>
            <w:r>
              <w:rPr>
                <w:color w:val="auto"/>
                <w:spacing w:val="9"/>
                <w:highlight w:val="none"/>
              </w:rPr>
              <w:t>N</w:t>
            </w:r>
            <w:r>
              <w:rPr>
                <w:color w:val="auto"/>
                <w:spacing w:val="-36"/>
                <w:highlight w:val="none"/>
              </w:rPr>
              <w:t xml:space="preserve"> </w:t>
            </w:r>
            <w:r>
              <w:rPr>
                <w:color w:val="auto"/>
                <w:spacing w:val="9"/>
                <w:highlight w:val="none"/>
              </w:rPr>
              <w:t>座该类隧道按N×0.5</w:t>
            </w:r>
            <w:r>
              <w:rPr>
                <w:color w:val="auto"/>
                <w:spacing w:val="-36"/>
                <w:highlight w:val="none"/>
              </w:rPr>
              <w:t xml:space="preserve"> </w:t>
            </w:r>
            <w:r>
              <w:rPr>
                <w:color w:val="auto"/>
                <w:spacing w:val="9"/>
                <w:highlight w:val="none"/>
              </w:rPr>
              <w:t>座计；</w:t>
            </w:r>
          </w:p>
          <w:p w14:paraId="6C99380B">
            <w:pPr>
              <w:pStyle w:val="18"/>
              <w:spacing w:before="153" w:line="322" w:lineRule="auto"/>
              <w:ind w:left="114" w:right="108" w:hanging="5"/>
              <w:rPr>
                <w:color w:val="auto"/>
                <w:highlight w:val="none"/>
              </w:rPr>
            </w:pPr>
            <w:r>
              <w:rPr>
                <w:color w:val="auto"/>
                <w:spacing w:val="13"/>
                <w:highlight w:val="none"/>
              </w:rPr>
              <w:t>b、长隧道：单座隧道单洞（即左洞加右洞）总长大于</w:t>
            </w:r>
            <w:r>
              <w:rPr>
                <w:color w:val="auto"/>
                <w:spacing w:val="-29"/>
                <w:highlight w:val="none"/>
              </w:rPr>
              <w:t xml:space="preserve"> </w:t>
            </w:r>
            <w:r>
              <w:rPr>
                <w:color w:val="auto"/>
                <w:spacing w:val="12"/>
                <w:highlight w:val="none"/>
              </w:rPr>
              <w:t>2000 米且不大于</w:t>
            </w:r>
            <w:r>
              <w:rPr>
                <w:color w:val="auto"/>
                <w:spacing w:val="-31"/>
                <w:highlight w:val="none"/>
              </w:rPr>
              <w:t xml:space="preserve"> </w:t>
            </w:r>
            <w:r>
              <w:rPr>
                <w:color w:val="auto"/>
                <w:spacing w:val="12"/>
                <w:highlight w:val="none"/>
              </w:rPr>
              <w:t>6000 米</w:t>
            </w:r>
            <w:r>
              <w:rPr>
                <w:color w:val="auto"/>
                <w:spacing w:val="20"/>
                <w:highlight w:val="none"/>
              </w:rPr>
              <w:t>的</w:t>
            </w:r>
            <w:r>
              <w:rPr>
                <w:color w:val="auto"/>
                <w:spacing w:val="-58"/>
                <w:highlight w:val="none"/>
              </w:rPr>
              <w:t xml:space="preserve"> </w:t>
            </w:r>
            <w:r>
              <w:rPr>
                <w:color w:val="auto"/>
                <w:spacing w:val="20"/>
                <w:highlight w:val="none"/>
              </w:rPr>
              <w:t>，或完成单座隧道的一部分且该部分的单洞累计长度大于</w:t>
            </w:r>
            <w:r>
              <w:rPr>
                <w:color w:val="auto"/>
                <w:spacing w:val="-20"/>
                <w:highlight w:val="none"/>
              </w:rPr>
              <w:t xml:space="preserve"> </w:t>
            </w:r>
            <w:r>
              <w:rPr>
                <w:color w:val="auto"/>
                <w:spacing w:val="20"/>
                <w:highlight w:val="none"/>
              </w:rPr>
              <w:t>2000 米且</w:t>
            </w:r>
            <w:r>
              <w:rPr>
                <w:color w:val="auto"/>
                <w:spacing w:val="19"/>
                <w:highlight w:val="none"/>
              </w:rPr>
              <w:t>不大于</w:t>
            </w:r>
            <w:r>
              <w:rPr>
                <w:color w:val="auto"/>
                <w:spacing w:val="3"/>
                <w:highlight w:val="none"/>
              </w:rPr>
              <w:t>6000 米的，均按</w:t>
            </w:r>
            <w:r>
              <w:rPr>
                <w:color w:val="auto"/>
                <w:spacing w:val="-14"/>
                <w:highlight w:val="none"/>
              </w:rPr>
              <w:t xml:space="preserve"> </w:t>
            </w:r>
            <w:r>
              <w:rPr>
                <w:color w:val="auto"/>
                <w:spacing w:val="3"/>
                <w:highlight w:val="none"/>
              </w:rPr>
              <w:t>1</w:t>
            </w:r>
            <w:r>
              <w:rPr>
                <w:color w:val="auto"/>
                <w:spacing w:val="-36"/>
                <w:highlight w:val="none"/>
              </w:rPr>
              <w:t xml:space="preserve"> </w:t>
            </w:r>
            <w:r>
              <w:rPr>
                <w:color w:val="auto"/>
                <w:spacing w:val="3"/>
                <w:highlight w:val="none"/>
              </w:rPr>
              <w:t>座计；</w:t>
            </w:r>
          </w:p>
          <w:p w14:paraId="0CA7A4EF">
            <w:pPr>
              <w:pStyle w:val="18"/>
              <w:spacing w:before="154" w:line="299" w:lineRule="auto"/>
              <w:ind w:left="122" w:right="110" w:hanging="6"/>
              <w:rPr>
                <w:color w:val="auto"/>
                <w:highlight w:val="none"/>
              </w:rPr>
            </w:pPr>
            <w:r>
              <w:rPr>
                <w:color w:val="auto"/>
                <w:spacing w:val="12"/>
                <w:highlight w:val="none"/>
              </w:rPr>
              <w:t>c、同一座隧道同时满足条件的，同一投标人只计算一次业绩；特长隧道可计为长</w:t>
            </w:r>
            <w:r>
              <w:rPr>
                <w:color w:val="auto"/>
                <w:spacing w:val="-1"/>
                <w:highlight w:val="none"/>
              </w:rPr>
              <w:t>隧道。</w:t>
            </w:r>
          </w:p>
          <w:p w14:paraId="6832CE2A">
            <w:pPr>
              <w:pStyle w:val="18"/>
              <w:spacing w:before="151" w:line="301" w:lineRule="auto"/>
              <w:ind w:left="114" w:right="714" w:firstLine="12"/>
              <w:rPr>
                <w:rFonts w:ascii="Arial"/>
                <w:color w:val="auto"/>
                <w:sz w:val="21"/>
                <w:highlight w:val="none"/>
              </w:rPr>
            </w:pPr>
            <w:r>
              <w:rPr>
                <w:color w:val="auto"/>
                <w:spacing w:val="7"/>
                <w:highlight w:val="none"/>
              </w:rPr>
              <w:t>10.6.3</w:t>
            </w:r>
            <w:r>
              <w:rPr>
                <w:color w:val="auto"/>
                <w:spacing w:val="-33"/>
                <w:highlight w:val="none"/>
              </w:rPr>
              <w:t xml:space="preserve"> </w:t>
            </w:r>
            <w:r>
              <w:rPr>
                <w:color w:val="auto"/>
                <w:spacing w:val="7"/>
                <w:highlight w:val="none"/>
              </w:rPr>
              <w:t>一般互通式立交和枢纽互通式立交按国家最新颁布的标准进行划分。</w:t>
            </w:r>
            <w:r>
              <w:rPr>
                <w:color w:val="auto"/>
                <w:highlight w:val="none"/>
              </w:rPr>
              <w:t>或</w:t>
            </w:r>
          </w:p>
          <w:p w14:paraId="6023DDE6">
            <w:pPr>
              <w:pStyle w:val="18"/>
              <w:spacing w:before="65" w:line="299" w:lineRule="auto"/>
              <w:ind w:left="114" w:right="107" w:firstLine="12"/>
              <w:rPr>
                <w:color w:val="auto"/>
                <w:highlight w:val="none"/>
              </w:rPr>
            </w:pPr>
            <w:r>
              <w:rPr>
                <w:color w:val="auto"/>
                <w:spacing w:val="17"/>
                <w:highlight w:val="none"/>
              </w:rPr>
              <w:t>10.6.3</w:t>
            </w:r>
            <w:r>
              <w:rPr>
                <w:color w:val="auto"/>
                <w:spacing w:val="-25"/>
                <w:highlight w:val="none"/>
              </w:rPr>
              <w:t xml:space="preserve"> </w:t>
            </w:r>
            <w:r>
              <w:rPr>
                <w:color w:val="auto"/>
                <w:spacing w:val="17"/>
                <w:highlight w:val="none"/>
              </w:rPr>
              <w:t>一般互通式立交和枢纽互通式立</w:t>
            </w:r>
            <w:r>
              <w:rPr>
                <w:color w:val="auto"/>
                <w:spacing w:val="16"/>
                <w:highlight w:val="none"/>
              </w:rPr>
              <w:t>交按《公路路线设计标准》</w:t>
            </w:r>
            <w:r>
              <w:rPr>
                <w:color w:val="auto"/>
                <w:spacing w:val="-60"/>
                <w:highlight w:val="none"/>
              </w:rPr>
              <w:t xml:space="preserve"> </w:t>
            </w:r>
            <w:r>
              <w:rPr>
                <w:color w:val="auto"/>
                <w:spacing w:val="16"/>
                <w:highlight w:val="none"/>
              </w:rPr>
              <w:t>（</w:t>
            </w:r>
            <w:r>
              <w:rPr>
                <w:color w:val="auto"/>
                <w:highlight w:val="none"/>
              </w:rPr>
              <w:t>JTG</w:t>
            </w:r>
            <w:r>
              <w:rPr>
                <w:color w:val="auto"/>
                <w:spacing w:val="16"/>
                <w:highlight w:val="none"/>
              </w:rPr>
              <w:t xml:space="preserve"> </w:t>
            </w:r>
            <w:r>
              <w:rPr>
                <w:color w:val="auto"/>
                <w:highlight w:val="none"/>
              </w:rPr>
              <w:t>D</w:t>
            </w:r>
            <w:r>
              <w:rPr>
                <w:color w:val="auto"/>
                <w:spacing w:val="16"/>
                <w:highlight w:val="none"/>
              </w:rPr>
              <w:t>20-</w:t>
            </w:r>
            <w:r>
              <w:rPr>
                <w:color w:val="auto"/>
                <w:highlight w:val="none"/>
              </w:rPr>
              <w:t xml:space="preserve"> </w:t>
            </w:r>
            <w:r>
              <w:rPr>
                <w:color w:val="auto"/>
                <w:spacing w:val="5"/>
                <w:highlight w:val="none"/>
              </w:rPr>
              <w:t>2017）进行划分。</w:t>
            </w:r>
          </w:p>
          <w:p w14:paraId="3F10048F">
            <w:pPr>
              <w:pStyle w:val="18"/>
              <w:spacing w:before="151" w:line="299" w:lineRule="auto"/>
              <w:ind w:left="111" w:right="110" w:firstLine="16"/>
              <w:rPr>
                <w:color w:val="auto"/>
                <w:highlight w:val="none"/>
              </w:rPr>
            </w:pPr>
            <w:r>
              <w:rPr>
                <w:color w:val="auto"/>
                <w:spacing w:val="11"/>
                <w:highlight w:val="none"/>
              </w:rPr>
              <w:t>10.7 招标文件中如无特别说明，土建工程路基、路面里程长度均不扣除桥隧等构</w:t>
            </w:r>
            <w:r>
              <w:rPr>
                <w:color w:val="auto"/>
                <w:spacing w:val="6"/>
                <w:highlight w:val="none"/>
              </w:rPr>
              <w:t>造物长度。</w:t>
            </w:r>
          </w:p>
          <w:p w14:paraId="01A36D8E">
            <w:pPr>
              <w:pStyle w:val="18"/>
              <w:spacing w:before="153" w:line="298" w:lineRule="auto"/>
              <w:ind w:left="116" w:right="108" w:firstLine="11"/>
              <w:rPr>
                <w:color w:val="auto"/>
                <w:highlight w:val="none"/>
              </w:rPr>
            </w:pPr>
            <w:r>
              <w:rPr>
                <w:color w:val="auto"/>
                <w:spacing w:val="12"/>
                <w:highlight w:val="none"/>
              </w:rPr>
              <w:t>10.8</w:t>
            </w:r>
            <w:r>
              <w:rPr>
                <w:color w:val="auto"/>
                <w:spacing w:val="-13"/>
                <w:highlight w:val="none"/>
              </w:rPr>
              <w:t xml:space="preserve"> </w:t>
            </w:r>
            <w:r>
              <w:rPr>
                <w:color w:val="auto"/>
                <w:spacing w:val="12"/>
                <w:highlight w:val="none"/>
              </w:rPr>
              <w:t>同时对两个及两个以上标段进行投标的投标人，不能使用同一</w:t>
            </w:r>
            <w:r>
              <w:rPr>
                <w:color w:val="auto"/>
                <w:spacing w:val="11"/>
                <w:highlight w:val="none"/>
              </w:rPr>
              <w:t>套人员。（如</w:t>
            </w:r>
            <w:r>
              <w:rPr>
                <w:color w:val="auto"/>
                <w:spacing w:val="8"/>
                <w:highlight w:val="none"/>
              </w:rPr>
              <w:t>果最终只允许中一个标段，则允许使用同一套人员）。</w:t>
            </w:r>
          </w:p>
        </w:tc>
      </w:tr>
      <w:tr w14:paraId="1ADDD6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013" w:type="dxa"/>
            <w:vAlign w:val="top"/>
          </w:tcPr>
          <w:p w14:paraId="4D23D022">
            <w:pPr>
              <w:pStyle w:val="18"/>
              <w:spacing w:before="153" w:line="298" w:lineRule="auto"/>
              <w:ind w:left="116" w:right="108" w:firstLine="11"/>
              <w:rPr>
                <w:rFonts w:hint="default" w:ascii="宋体" w:hAnsi="宋体" w:eastAsia="宋体" w:cs="宋体"/>
                <w:color w:val="auto"/>
                <w:spacing w:val="12"/>
                <w:highlight w:val="none"/>
                <w:lang w:val="en-US" w:eastAsia="zh-CN"/>
              </w:rPr>
            </w:pPr>
            <w:r>
              <w:rPr>
                <w:rFonts w:hint="eastAsia" w:ascii="宋体" w:hAnsi="宋体" w:eastAsia="宋体" w:cs="宋体"/>
                <w:color w:val="auto"/>
                <w:spacing w:val="12"/>
                <w:highlight w:val="none"/>
                <w:lang w:val="en-US" w:eastAsia="zh-CN"/>
              </w:rPr>
              <w:t>10.9</w:t>
            </w:r>
          </w:p>
        </w:tc>
        <w:tc>
          <w:tcPr>
            <w:tcW w:w="7768" w:type="dxa"/>
            <w:vAlign w:val="top"/>
          </w:tcPr>
          <w:p w14:paraId="1565D70C">
            <w:pPr>
              <w:pStyle w:val="18"/>
              <w:spacing w:before="153" w:line="298" w:lineRule="auto"/>
              <w:ind w:left="116" w:right="108" w:firstLine="11"/>
              <w:rPr>
                <w:color w:val="auto"/>
                <w:spacing w:val="12"/>
                <w:highlight w:val="none"/>
              </w:rPr>
            </w:pPr>
            <w:r>
              <w:rPr>
                <w:rFonts w:hint="eastAsia"/>
                <w:b/>
                <w:bCs/>
                <w:color w:val="auto"/>
                <w:spacing w:val="12"/>
                <w:highlight w:val="none"/>
                <w:lang w:val="en-US" w:eastAsia="zh-CN"/>
              </w:rPr>
              <w:t>本项目的招标代理服务费及评标专家酬劳全部由中标人支付，该费用不再另行报价，由投标人在投标报价时综合考虑在内。中标人在领取中标通知书前须向招标代理机构一次性支付招标代理服务费（（招标代理服务费为￥19400.00元）及评标专家酬劳（先由招标代理垫付评标专家酬劳以评标结束当日的评标专家酬劳签收表总额为准）。</w:t>
            </w:r>
          </w:p>
        </w:tc>
      </w:tr>
    </w:tbl>
    <w:p w14:paraId="44D53C28">
      <w:pPr>
        <w:spacing w:line="275" w:lineRule="auto"/>
        <w:rPr>
          <w:rFonts w:ascii="Arial"/>
          <w:color w:val="auto"/>
          <w:sz w:val="21"/>
          <w:highlight w:val="none"/>
        </w:rPr>
      </w:pPr>
    </w:p>
    <w:p w14:paraId="39DD4305">
      <w:pPr>
        <w:spacing w:line="275" w:lineRule="auto"/>
        <w:rPr>
          <w:rFonts w:ascii="Arial"/>
          <w:color w:val="auto"/>
          <w:sz w:val="21"/>
          <w:highlight w:val="none"/>
        </w:rPr>
      </w:pPr>
    </w:p>
    <w:p w14:paraId="544F1740">
      <w:pPr>
        <w:spacing w:line="220" w:lineRule="auto"/>
        <w:rPr>
          <w:rFonts w:ascii="宋体" w:hAnsi="宋体" w:eastAsia="宋体" w:cs="宋体"/>
          <w:color w:val="auto"/>
          <w:sz w:val="18"/>
          <w:szCs w:val="18"/>
          <w:highlight w:val="none"/>
        </w:rPr>
        <w:sectPr>
          <w:footerReference r:id="rId21" w:type="default"/>
          <w:pgSz w:w="11906" w:h="16839"/>
          <w:pgMar w:top="1416" w:right="1785" w:bottom="1297" w:left="1304" w:header="0" w:footer="1066" w:gutter="0"/>
          <w:pgNumType w:fmt="decimal"/>
          <w:cols w:space="720" w:num="1"/>
        </w:sectPr>
      </w:pPr>
      <w:bookmarkStart w:id="40" w:name="bookmark79"/>
      <w:bookmarkEnd w:id="40"/>
    </w:p>
    <w:p w14:paraId="57494B1C">
      <w:pPr>
        <w:spacing w:before="128" w:line="219" w:lineRule="auto"/>
        <w:ind w:left="2186"/>
        <w:outlineLvl w:val="1"/>
        <w:rPr>
          <w:rFonts w:ascii="宋体" w:hAnsi="宋体" w:eastAsia="宋体" w:cs="宋体"/>
          <w:color w:val="auto"/>
          <w:sz w:val="28"/>
          <w:szCs w:val="28"/>
          <w:highlight w:val="none"/>
        </w:rPr>
      </w:pPr>
      <w:bookmarkStart w:id="41" w:name="_Toc31404"/>
      <w:bookmarkStart w:id="42" w:name="_Toc29797"/>
      <w:bookmarkStart w:id="43" w:name="_Toc23645"/>
      <w:r>
        <w:rPr>
          <w:rFonts w:ascii="宋体" w:hAnsi="宋体" w:eastAsia="宋体" w:cs="宋体"/>
          <w:b/>
          <w:bCs/>
          <w:color w:val="auto"/>
          <w:spacing w:val="-6"/>
          <w:sz w:val="28"/>
          <w:szCs w:val="28"/>
          <w:highlight w:val="none"/>
        </w:rPr>
        <w:t>附录</w:t>
      </w:r>
      <w:r>
        <w:rPr>
          <w:rFonts w:ascii="宋体" w:hAnsi="宋体" w:eastAsia="宋体" w:cs="宋体"/>
          <w:color w:val="auto"/>
          <w:spacing w:val="-21"/>
          <w:sz w:val="28"/>
          <w:szCs w:val="28"/>
          <w:highlight w:val="none"/>
        </w:rPr>
        <w:t xml:space="preserve"> </w:t>
      </w:r>
      <w:r>
        <w:rPr>
          <w:rFonts w:ascii="宋体" w:hAnsi="宋体" w:eastAsia="宋体" w:cs="宋体"/>
          <w:b/>
          <w:bCs/>
          <w:color w:val="auto"/>
          <w:spacing w:val="-6"/>
          <w:sz w:val="28"/>
          <w:szCs w:val="28"/>
          <w:highlight w:val="none"/>
        </w:rPr>
        <w:t>1</w:t>
      </w:r>
      <w:r>
        <w:rPr>
          <w:rFonts w:ascii="宋体" w:hAnsi="宋体" w:eastAsia="宋体" w:cs="宋体"/>
          <w:color w:val="auto"/>
          <w:spacing w:val="-6"/>
          <w:sz w:val="28"/>
          <w:szCs w:val="28"/>
          <w:highlight w:val="none"/>
        </w:rPr>
        <w:t xml:space="preserve">  </w:t>
      </w:r>
      <w:r>
        <w:rPr>
          <w:rFonts w:ascii="宋体" w:hAnsi="宋体" w:eastAsia="宋体" w:cs="宋体"/>
          <w:b/>
          <w:bCs/>
          <w:color w:val="auto"/>
          <w:spacing w:val="-6"/>
          <w:sz w:val="28"/>
          <w:szCs w:val="28"/>
          <w:highlight w:val="none"/>
        </w:rPr>
        <w:t>资格审查条件（资质最低要求）</w:t>
      </w:r>
      <w:bookmarkEnd w:id="41"/>
      <w:bookmarkEnd w:id="42"/>
      <w:bookmarkEnd w:id="43"/>
    </w:p>
    <w:p w14:paraId="1A4EBC22">
      <w:pPr>
        <w:spacing w:before="300" w:line="220" w:lineRule="auto"/>
        <w:ind w:left="121"/>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标段：</w:t>
      </w:r>
      <w:r>
        <w:rPr>
          <w:rFonts w:ascii="宋体" w:hAnsi="宋体" w:eastAsia="宋体" w:cs="宋体"/>
          <w:color w:val="auto"/>
          <w:sz w:val="24"/>
          <w:szCs w:val="24"/>
          <w:highlight w:val="none"/>
          <w:u w:val="single" w:color="auto"/>
        </w:rPr>
        <w:t xml:space="preserve">    </w:t>
      </w:r>
      <w:r>
        <w:rPr>
          <w:rFonts w:hint="eastAsia" w:ascii="宋体" w:hAnsi="宋体" w:eastAsia="宋体" w:cs="宋体"/>
          <w:color w:val="auto"/>
          <w:sz w:val="24"/>
          <w:szCs w:val="24"/>
          <w:highlight w:val="none"/>
          <w:u w:val="single" w:color="auto"/>
          <w:lang w:val="en-US" w:eastAsia="zh-CN"/>
        </w:rPr>
        <w:t>/</w:t>
      </w:r>
      <w:r>
        <w:rPr>
          <w:rFonts w:ascii="宋体" w:hAnsi="宋体" w:eastAsia="宋体" w:cs="宋体"/>
          <w:color w:val="auto"/>
          <w:sz w:val="24"/>
          <w:szCs w:val="24"/>
          <w:highlight w:val="none"/>
          <w:u w:val="single" w:color="auto"/>
        </w:rPr>
        <w:t xml:space="preserve">       </w:t>
      </w:r>
    </w:p>
    <w:p w14:paraId="7972AFB9">
      <w:pPr>
        <w:spacing w:line="145" w:lineRule="exact"/>
        <w:rPr>
          <w:color w:val="auto"/>
          <w:highlight w:val="none"/>
        </w:rPr>
      </w:pPr>
    </w:p>
    <w:tbl>
      <w:tblPr>
        <w:tblStyle w:val="17"/>
        <w:tblW w:w="929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30"/>
        <w:gridCol w:w="7160"/>
      </w:tblGrid>
      <w:tr w14:paraId="5EAE55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99" w:hRule="atLeast"/>
        </w:trPr>
        <w:tc>
          <w:tcPr>
            <w:tcW w:w="2130" w:type="dxa"/>
            <w:vAlign w:val="top"/>
          </w:tcPr>
          <w:p w14:paraId="23A2E9C3">
            <w:pPr>
              <w:pStyle w:val="18"/>
              <w:spacing w:before="208" w:line="228" w:lineRule="auto"/>
              <w:ind w:left="649"/>
              <w:rPr>
                <w:color w:val="auto"/>
                <w:highlight w:val="none"/>
              </w:rPr>
            </w:pPr>
            <w:r>
              <w:rPr>
                <w:b/>
                <w:bCs/>
                <w:color w:val="auto"/>
                <w:spacing w:val="6"/>
                <w:highlight w:val="none"/>
              </w:rPr>
              <w:t>标段标类</w:t>
            </w:r>
          </w:p>
        </w:tc>
        <w:tc>
          <w:tcPr>
            <w:tcW w:w="7160" w:type="dxa"/>
            <w:vAlign w:val="top"/>
          </w:tcPr>
          <w:p w14:paraId="43A88C69">
            <w:pPr>
              <w:pStyle w:val="18"/>
              <w:spacing w:before="189" w:line="266" w:lineRule="exact"/>
              <w:ind w:left="2477"/>
              <w:rPr>
                <w:color w:val="auto"/>
                <w:sz w:val="10"/>
                <w:szCs w:val="10"/>
                <w:highlight w:val="none"/>
              </w:rPr>
            </w:pPr>
            <w:r>
              <w:rPr>
                <w:b/>
                <w:bCs/>
                <w:color w:val="auto"/>
                <w:spacing w:val="7"/>
                <w:highlight w:val="none"/>
              </w:rPr>
              <w:t>监理企业资质等级要求</w:t>
            </w:r>
            <w:r>
              <w:rPr>
                <w:color w:val="auto"/>
                <w:highlight w:val="none"/>
              </w:rPr>
              <w:fldChar w:fldCharType="begin"/>
            </w:r>
            <w:r>
              <w:rPr>
                <w:color w:val="auto"/>
                <w:highlight w:val="none"/>
              </w:rPr>
              <w:instrText xml:space="preserve"> HYPERLINK \l "bookmark81" </w:instrText>
            </w:r>
            <w:r>
              <w:rPr>
                <w:color w:val="auto"/>
                <w:highlight w:val="none"/>
              </w:rPr>
              <w:fldChar w:fldCharType="separate"/>
            </w:r>
            <w:r>
              <w:rPr>
                <w:b/>
                <w:bCs/>
                <w:color w:val="auto"/>
                <w:spacing w:val="7"/>
                <w:position w:val="10"/>
                <w:sz w:val="10"/>
                <w:szCs w:val="10"/>
                <w:highlight w:val="none"/>
              </w:rPr>
              <w:t>①</w:t>
            </w:r>
            <w:r>
              <w:rPr>
                <w:b/>
                <w:bCs/>
                <w:color w:val="auto"/>
                <w:spacing w:val="7"/>
                <w:position w:val="10"/>
                <w:sz w:val="10"/>
                <w:szCs w:val="10"/>
                <w:highlight w:val="none"/>
              </w:rPr>
              <w:fldChar w:fldCharType="end"/>
            </w:r>
          </w:p>
        </w:tc>
      </w:tr>
      <w:tr w14:paraId="7C0580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1" w:hRule="atLeast"/>
        </w:trPr>
        <w:tc>
          <w:tcPr>
            <w:tcW w:w="2130" w:type="dxa"/>
            <w:vAlign w:val="top"/>
          </w:tcPr>
          <w:p w14:paraId="66E61368">
            <w:pPr>
              <w:pStyle w:val="18"/>
              <w:spacing w:before="288" w:line="352" w:lineRule="auto"/>
              <w:ind w:right="26" w:rightChars="0"/>
              <w:rPr>
                <w:color w:val="auto"/>
                <w:spacing w:val="-2"/>
                <w:highlight w:val="none"/>
              </w:rPr>
            </w:pPr>
            <w:r>
              <w:rPr>
                <w:rFonts w:hint="eastAsia"/>
                <w:color w:val="auto"/>
                <w:spacing w:val="-2"/>
                <w:highlight w:val="none"/>
                <w:lang w:val="en-US" w:eastAsia="zh-CN"/>
              </w:rPr>
              <w:t>土建监理含中心试验室</w:t>
            </w:r>
          </w:p>
          <w:p w14:paraId="7E9E34EF">
            <w:pPr>
              <w:pStyle w:val="18"/>
              <w:spacing w:before="288" w:line="352" w:lineRule="auto"/>
              <w:ind w:left="687" w:leftChars="0" w:right="538" w:rightChars="0" w:hanging="141" w:firstLineChars="0"/>
              <w:rPr>
                <w:color w:val="auto"/>
                <w:highlight w:val="none"/>
              </w:rPr>
            </w:pPr>
            <w:r>
              <w:rPr>
                <w:color w:val="auto"/>
                <w:spacing w:val="-2"/>
                <w:highlight w:val="none"/>
              </w:rPr>
              <w:t>（</w:t>
            </w:r>
            <w:r>
              <w:rPr>
                <w:rFonts w:hint="eastAsia"/>
                <w:color w:val="auto"/>
                <w:spacing w:val="-2"/>
                <w:highlight w:val="none"/>
                <w:lang w:val="en-US" w:eastAsia="zh-CN"/>
              </w:rPr>
              <w:t>D</w:t>
            </w:r>
            <w:r>
              <w:rPr>
                <w:color w:val="auto"/>
                <w:spacing w:val="-38"/>
                <w:highlight w:val="none"/>
              </w:rPr>
              <w:t xml:space="preserve"> </w:t>
            </w:r>
            <w:r>
              <w:rPr>
                <w:color w:val="auto"/>
                <w:spacing w:val="-2"/>
                <w:highlight w:val="none"/>
              </w:rPr>
              <w:t>类）</w:t>
            </w:r>
          </w:p>
        </w:tc>
        <w:tc>
          <w:tcPr>
            <w:tcW w:w="7160" w:type="dxa"/>
            <w:vAlign w:val="top"/>
          </w:tcPr>
          <w:p w14:paraId="56AC4FB7">
            <w:pPr>
              <w:spacing w:line="419" w:lineRule="auto"/>
              <w:rPr>
                <w:rFonts w:ascii="Arial"/>
                <w:color w:val="auto"/>
                <w:sz w:val="21"/>
                <w:highlight w:val="none"/>
              </w:rPr>
            </w:pPr>
          </w:p>
          <w:p w14:paraId="06DA84D6">
            <w:pPr>
              <w:pStyle w:val="18"/>
              <w:spacing w:before="65" w:line="228" w:lineRule="auto"/>
              <w:ind w:left="116" w:leftChars="0"/>
              <w:rPr>
                <w:color w:val="auto"/>
                <w:highlight w:val="none"/>
              </w:rPr>
            </w:pPr>
            <w:r>
              <w:rPr>
                <w:color w:val="auto"/>
                <w:spacing w:val="9"/>
                <w:highlight w:val="none"/>
              </w:rPr>
              <w:t>具有交通运输主管部门核发的在有效期内的公路工程</w:t>
            </w:r>
            <w:r>
              <w:rPr>
                <w:color w:val="auto"/>
                <w:spacing w:val="-97"/>
                <w:highlight w:val="none"/>
              </w:rPr>
              <w:t xml:space="preserve"> </w:t>
            </w:r>
            <w:r>
              <w:rPr>
                <w:color w:val="auto"/>
                <w:spacing w:val="4"/>
                <w:highlight w:val="none"/>
                <w:u w:val="single" w:color="auto"/>
              </w:rPr>
              <w:t xml:space="preserve"> </w:t>
            </w:r>
            <w:r>
              <w:rPr>
                <w:rFonts w:hint="eastAsia"/>
                <w:color w:val="auto"/>
                <w:spacing w:val="4"/>
                <w:highlight w:val="none"/>
                <w:u w:val="single" w:color="auto"/>
                <w:lang w:val="en-US" w:eastAsia="zh-CN"/>
              </w:rPr>
              <w:t>乙</w:t>
            </w:r>
            <w:r>
              <w:rPr>
                <w:color w:val="auto"/>
                <w:spacing w:val="4"/>
                <w:highlight w:val="none"/>
                <w:u w:val="single" w:color="auto"/>
              </w:rPr>
              <w:t xml:space="preserve"> </w:t>
            </w:r>
            <w:r>
              <w:rPr>
                <w:color w:val="auto"/>
                <w:spacing w:val="-88"/>
                <w:highlight w:val="none"/>
              </w:rPr>
              <w:t xml:space="preserve"> </w:t>
            </w:r>
            <w:r>
              <w:rPr>
                <w:color w:val="auto"/>
                <w:spacing w:val="9"/>
                <w:highlight w:val="none"/>
              </w:rPr>
              <w:t>级</w:t>
            </w:r>
            <w:r>
              <w:rPr>
                <w:color w:val="auto"/>
                <w:spacing w:val="8"/>
                <w:highlight w:val="none"/>
              </w:rPr>
              <w:t>监理企业资质。</w:t>
            </w:r>
          </w:p>
        </w:tc>
      </w:tr>
    </w:tbl>
    <w:p w14:paraId="00AEF31F">
      <w:pPr>
        <w:spacing w:before="271" w:line="379" w:lineRule="auto"/>
        <w:ind w:left="118" w:right="115"/>
        <w:jc w:val="both"/>
        <w:rPr>
          <w:rFonts w:ascii="宋体" w:hAnsi="宋体" w:eastAsia="宋体" w:cs="宋体"/>
          <w:color w:val="auto"/>
          <w:sz w:val="20"/>
          <w:szCs w:val="20"/>
          <w:highlight w:val="none"/>
        </w:rPr>
      </w:pPr>
      <w:r>
        <w:rPr>
          <w:rFonts w:ascii="宋体" w:hAnsi="宋体" w:eastAsia="宋体" w:cs="宋体"/>
          <w:color w:val="auto"/>
          <w:spacing w:val="11"/>
          <w:sz w:val="20"/>
          <w:szCs w:val="20"/>
          <w:highlight w:val="none"/>
        </w:rPr>
        <w:t>注：若联合体协议书约定同一专业分工由两个及以上单位共同承担的</w:t>
      </w:r>
      <w:r>
        <w:rPr>
          <w:rFonts w:ascii="宋体" w:hAnsi="宋体" w:eastAsia="宋体" w:cs="宋体"/>
          <w:color w:val="auto"/>
          <w:spacing w:val="10"/>
          <w:sz w:val="20"/>
          <w:szCs w:val="20"/>
          <w:highlight w:val="none"/>
        </w:rPr>
        <w:t>，按照就低不就高的原则确定</w:t>
      </w:r>
      <w:r>
        <w:rPr>
          <w:rFonts w:ascii="宋体" w:hAnsi="宋体" w:eastAsia="宋体" w:cs="宋体"/>
          <w:color w:val="auto"/>
          <w:spacing w:val="11"/>
          <w:sz w:val="20"/>
          <w:szCs w:val="20"/>
          <w:highlight w:val="none"/>
        </w:rPr>
        <w:t>联合体的资质；不同专业分工由不同单位分别承担的，按照各自的</w:t>
      </w:r>
      <w:r>
        <w:rPr>
          <w:rFonts w:ascii="宋体" w:hAnsi="宋体" w:eastAsia="宋体" w:cs="宋体"/>
          <w:color w:val="auto"/>
          <w:spacing w:val="10"/>
          <w:sz w:val="20"/>
          <w:szCs w:val="20"/>
          <w:highlight w:val="none"/>
        </w:rPr>
        <w:t>专业资质确定联合体的资质，下</w:t>
      </w:r>
      <w:r>
        <w:rPr>
          <w:rFonts w:ascii="宋体" w:hAnsi="宋体" w:eastAsia="宋体" w:cs="宋体"/>
          <w:color w:val="auto"/>
          <w:sz w:val="20"/>
          <w:szCs w:val="20"/>
          <w:highlight w:val="none"/>
        </w:rPr>
        <w:t>同。</w:t>
      </w:r>
    </w:p>
    <w:p w14:paraId="36DF476C">
      <w:pPr>
        <w:spacing w:line="245" w:lineRule="auto"/>
        <w:rPr>
          <w:rFonts w:ascii="Arial"/>
          <w:color w:val="auto"/>
          <w:sz w:val="21"/>
          <w:highlight w:val="none"/>
        </w:rPr>
      </w:pPr>
    </w:p>
    <w:p w14:paraId="270BC219">
      <w:pPr>
        <w:spacing w:line="245" w:lineRule="auto"/>
        <w:rPr>
          <w:rFonts w:ascii="Arial"/>
          <w:color w:val="auto"/>
          <w:sz w:val="21"/>
          <w:highlight w:val="none"/>
        </w:rPr>
      </w:pPr>
    </w:p>
    <w:p w14:paraId="08301187">
      <w:pPr>
        <w:spacing w:line="245" w:lineRule="auto"/>
        <w:rPr>
          <w:rFonts w:ascii="Arial"/>
          <w:color w:val="auto"/>
          <w:sz w:val="21"/>
          <w:highlight w:val="none"/>
        </w:rPr>
      </w:pPr>
    </w:p>
    <w:p w14:paraId="47DE0BF2">
      <w:pPr>
        <w:spacing w:line="245" w:lineRule="auto"/>
        <w:rPr>
          <w:rFonts w:ascii="Arial"/>
          <w:color w:val="auto"/>
          <w:sz w:val="21"/>
          <w:highlight w:val="none"/>
        </w:rPr>
      </w:pPr>
    </w:p>
    <w:p w14:paraId="0A4D01EE">
      <w:pPr>
        <w:spacing w:line="245" w:lineRule="auto"/>
        <w:rPr>
          <w:rFonts w:ascii="Arial"/>
          <w:color w:val="auto"/>
          <w:sz w:val="21"/>
          <w:highlight w:val="none"/>
        </w:rPr>
      </w:pPr>
    </w:p>
    <w:p w14:paraId="2AB3CCBD">
      <w:pPr>
        <w:spacing w:line="245" w:lineRule="auto"/>
        <w:rPr>
          <w:rFonts w:ascii="Arial"/>
          <w:color w:val="auto"/>
          <w:sz w:val="21"/>
          <w:highlight w:val="none"/>
        </w:rPr>
      </w:pPr>
    </w:p>
    <w:p w14:paraId="585B86FF">
      <w:pPr>
        <w:spacing w:line="245" w:lineRule="auto"/>
        <w:rPr>
          <w:rFonts w:ascii="Arial"/>
          <w:color w:val="auto"/>
          <w:sz w:val="21"/>
          <w:highlight w:val="none"/>
        </w:rPr>
      </w:pPr>
    </w:p>
    <w:p w14:paraId="23C167B3">
      <w:pPr>
        <w:spacing w:line="245" w:lineRule="auto"/>
        <w:rPr>
          <w:rFonts w:ascii="Arial"/>
          <w:color w:val="auto"/>
          <w:sz w:val="21"/>
          <w:highlight w:val="none"/>
        </w:rPr>
      </w:pPr>
    </w:p>
    <w:p w14:paraId="70410EAC">
      <w:pPr>
        <w:spacing w:line="245" w:lineRule="auto"/>
        <w:rPr>
          <w:rFonts w:ascii="Arial"/>
          <w:color w:val="auto"/>
          <w:sz w:val="21"/>
          <w:highlight w:val="none"/>
        </w:rPr>
      </w:pPr>
    </w:p>
    <w:p w14:paraId="3750230B">
      <w:pPr>
        <w:spacing w:line="245" w:lineRule="auto"/>
        <w:rPr>
          <w:rFonts w:ascii="Arial"/>
          <w:color w:val="auto"/>
          <w:sz w:val="21"/>
          <w:highlight w:val="none"/>
        </w:rPr>
      </w:pPr>
    </w:p>
    <w:p w14:paraId="55155942">
      <w:pPr>
        <w:spacing w:line="245" w:lineRule="auto"/>
        <w:rPr>
          <w:rFonts w:ascii="Arial"/>
          <w:color w:val="auto"/>
          <w:sz w:val="21"/>
          <w:highlight w:val="none"/>
        </w:rPr>
      </w:pPr>
    </w:p>
    <w:p w14:paraId="1B61C84B">
      <w:pPr>
        <w:spacing w:line="245" w:lineRule="auto"/>
        <w:rPr>
          <w:rFonts w:ascii="Arial"/>
          <w:color w:val="auto"/>
          <w:sz w:val="21"/>
          <w:highlight w:val="none"/>
        </w:rPr>
      </w:pPr>
    </w:p>
    <w:p w14:paraId="0BD4735F">
      <w:pPr>
        <w:spacing w:line="245" w:lineRule="auto"/>
        <w:rPr>
          <w:rFonts w:ascii="Arial"/>
          <w:color w:val="auto"/>
          <w:sz w:val="21"/>
          <w:highlight w:val="none"/>
        </w:rPr>
      </w:pPr>
    </w:p>
    <w:p w14:paraId="73F91B41">
      <w:pPr>
        <w:spacing w:line="245" w:lineRule="auto"/>
        <w:rPr>
          <w:rFonts w:ascii="Arial"/>
          <w:color w:val="auto"/>
          <w:sz w:val="21"/>
          <w:highlight w:val="none"/>
        </w:rPr>
      </w:pPr>
    </w:p>
    <w:p w14:paraId="0135D176">
      <w:pPr>
        <w:spacing w:line="245" w:lineRule="auto"/>
        <w:rPr>
          <w:rFonts w:ascii="Arial"/>
          <w:color w:val="auto"/>
          <w:sz w:val="21"/>
          <w:highlight w:val="none"/>
        </w:rPr>
      </w:pPr>
    </w:p>
    <w:p w14:paraId="73348731">
      <w:pPr>
        <w:spacing w:line="245" w:lineRule="auto"/>
        <w:rPr>
          <w:rFonts w:ascii="Arial"/>
          <w:color w:val="auto"/>
          <w:sz w:val="21"/>
          <w:highlight w:val="none"/>
        </w:rPr>
      </w:pPr>
    </w:p>
    <w:p w14:paraId="7A67FA73">
      <w:pPr>
        <w:spacing w:line="245" w:lineRule="auto"/>
        <w:rPr>
          <w:rFonts w:ascii="Arial"/>
          <w:color w:val="auto"/>
          <w:sz w:val="21"/>
          <w:highlight w:val="none"/>
        </w:rPr>
      </w:pPr>
    </w:p>
    <w:p w14:paraId="10B96C59">
      <w:pPr>
        <w:spacing w:line="245" w:lineRule="auto"/>
        <w:rPr>
          <w:rFonts w:ascii="Arial"/>
          <w:color w:val="auto"/>
          <w:sz w:val="21"/>
          <w:highlight w:val="none"/>
        </w:rPr>
      </w:pPr>
    </w:p>
    <w:p w14:paraId="2E5AC680">
      <w:pPr>
        <w:spacing w:line="246" w:lineRule="auto"/>
        <w:rPr>
          <w:rFonts w:ascii="Arial"/>
          <w:color w:val="auto"/>
          <w:sz w:val="21"/>
          <w:highlight w:val="none"/>
        </w:rPr>
      </w:pPr>
    </w:p>
    <w:p w14:paraId="289A15FE">
      <w:pPr>
        <w:spacing w:line="246" w:lineRule="auto"/>
        <w:rPr>
          <w:rFonts w:ascii="Arial"/>
          <w:color w:val="auto"/>
          <w:sz w:val="21"/>
          <w:highlight w:val="none"/>
        </w:rPr>
      </w:pPr>
    </w:p>
    <w:p w14:paraId="28CB2696">
      <w:pPr>
        <w:spacing w:line="246" w:lineRule="auto"/>
        <w:rPr>
          <w:rFonts w:ascii="Arial"/>
          <w:color w:val="auto"/>
          <w:sz w:val="21"/>
          <w:highlight w:val="none"/>
        </w:rPr>
      </w:pPr>
    </w:p>
    <w:p w14:paraId="47BA3EEC">
      <w:pPr>
        <w:rPr>
          <w:rFonts w:ascii="宋体" w:hAnsi="宋体" w:eastAsia="宋体" w:cs="宋体"/>
          <w:color w:val="auto"/>
          <w:sz w:val="18"/>
          <w:szCs w:val="18"/>
          <w:highlight w:val="none"/>
        </w:rPr>
        <w:sectPr>
          <w:footerReference r:id="rId22" w:type="default"/>
          <w:pgSz w:w="11906" w:h="16839"/>
          <w:pgMar w:top="1431" w:right="1305" w:bottom="1297" w:left="1305" w:header="0" w:footer="1067" w:gutter="0"/>
          <w:pgNumType w:fmt="decimal"/>
          <w:cols w:space="720" w:num="1"/>
        </w:sectPr>
      </w:pPr>
      <w:bookmarkStart w:id="44" w:name="bookmark81"/>
      <w:bookmarkEnd w:id="44"/>
    </w:p>
    <w:p w14:paraId="3FAA5E47">
      <w:pPr>
        <w:spacing w:before="128" w:line="219" w:lineRule="auto"/>
        <w:ind w:left="2186"/>
        <w:outlineLvl w:val="1"/>
        <w:rPr>
          <w:rFonts w:ascii="宋体" w:hAnsi="宋体" w:eastAsia="宋体" w:cs="宋体"/>
          <w:b/>
          <w:bCs/>
          <w:color w:val="auto"/>
          <w:spacing w:val="-6"/>
          <w:sz w:val="28"/>
          <w:szCs w:val="28"/>
          <w:highlight w:val="none"/>
        </w:rPr>
      </w:pPr>
      <w:bookmarkStart w:id="45" w:name="_Toc5931"/>
      <w:bookmarkStart w:id="46" w:name="_Toc15095"/>
      <w:bookmarkStart w:id="47" w:name="_Toc26936"/>
      <w:r>
        <w:rPr>
          <w:rFonts w:ascii="宋体" w:hAnsi="宋体" w:eastAsia="宋体" w:cs="宋体"/>
          <w:b/>
          <w:bCs/>
          <w:color w:val="auto"/>
          <w:spacing w:val="-6"/>
          <w:sz w:val="28"/>
          <w:szCs w:val="28"/>
          <w:highlight w:val="none"/>
        </w:rPr>
        <w:t>附录2 资格审查条件（业绩最低要求）</w:t>
      </w:r>
      <w:bookmarkEnd w:id="45"/>
      <w:bookmarkEnd w:id="46"/>
      <w:bookmarkEnd w:id="47"/>
    </w:p>
    <w:p w14:paraId="2B87FD45">
      <w:pPr>
        <w:spacing w:before="294" w:line="220" w:lineRule="auto"/>
        <w:ind w:left="120"/>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标段：</w:t>
      </w:r>
      <w:r>
        <w:rPr>
          <w:rFonts w:ascii="宋体" w:hAnsi="宋体" w:eastAsia="宋体" w:cs="宋体"/>
          <w:color w:val="auto"/>
          <w:sz w:val="24"/>
          <w:szCs w:val="24"/>
          <w:highlight w:val="none"/>
          <w:u w:val="single" w:color="auto"/>
        </w:rPr>
        <w:t xml:space="preserve">  </w:t>
      </w:r>
      <w:r>
        <w:rPr>
          <w:rFonts w:hint="eastAsia" w:ascii="宋体" w:hAnsi="宋体" w:eastAsia="宋体" w:cs="宋体"/>
          <w:color w:val="auto"/>
          <w:sz w:val="24"/>
          <w:szCs w:val="24"/>
          <w:highlight w:val="none"/>
          <w:u w:val="single" w:color="auto"/>
          <w:lang w:val="en-US" w:eastAsia="zh-CN"/>
        </w:rPr>
        <w:t>/</w:t>
      </w:r>
      <w:r>
        <w:rPr>
          <w:rFonts w:ascii="宋体" w:hAnsi="宋体" w:eastAsia="宋体" w:cs="宋体"/>
          <w:color w:val="auto"/>
          <w:sz w:val="24"/>
          <w:szCs w:val="24"/>
          <w:highlight w:val="none"/>
          <w:u w:val="single" w:color="auto"/>
        </w:rPr>
        <w:t xml:space="preserve">  </w:t>
      </w:r>
    </w:p>
    <w:p w14:paraId="5FA5CAE7">
      <w:pPr>
        <w:spacing w:line="146" w:lineRule="exact"/>
        <w:rPr>
          <w:color w:val="auto"/>
          <w:highlight w:val="none"/>
        </w:rPr>
      </w:pPr>
    </w:p>
    <w:tbl>
      <w:tblPr>
        <w:tblStyle w:val="17"/>
        <w:tblW w:w="928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31"/>
        <w:gridCol w:w="8157"/>
      </w:tblGrid>
      <w:tr w14:paraId="0E854F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1131" w:type="dxa"/>
            <w:vAlign w:val="top"/>
          </w:tcPr>
          <w:p w14:paraId="1C8B6ACB">
            <w:pPr>
              <w:pStyle w:val="18"/>
              <w:spacing w:before="59" w:line="228" w:lineRule="auto"/>
              <w:ind w:left="149"/>
              <w:rPr>
                <w:color w:val="auto"/>
                <w:highlight w:val="none"/>
              </w:rPr>
            </w:pPr>
            <w:r>
              <w:rPr>
                <w:b/>
                <w:bCs/>
                <w:color w:val="auto"/>
                <w:spacing w:val="6"/>
                <w:highlight w:val="none"/>
              </w:rPr>
              <w:t>标段类别</w:t>
            </w:r>
          </w:p>
        </w:tc>
        <w:tc>
          <w:tcPr>
            <w:tcW w:w="8157" w:type="dxa"/>
            <w:vAlign w:val="top"/>
          </w:tcPr>
          <w:p w14:paraId="491D7AE0">
            <w:pPr>
              <w:pStyle w:val="18"/>
              <w:spacing w:before="59" w:line="229" w:lineRule="auto"/>
              <w:ind w:left="3765"/>
              <w:rPr>
                <w:color w:val="auto"/>
                <w:highlight w:val="none"/>
              </w:rPr>
            </w:pPr>
            <w:r>
              <w:rPr>
                <w:b/>
                <w:bCs/>
                <w:color w:val="auto"/>
                <w:spacing w:val="-3"/>
                <w:highlight w:val="none"/>
              </w:rPr>
              <w:t>要</w:t>
            </w:r>
            <w:r>
              <w:rPr>
                <w:color w:val="auto"/>
                <w:spacing w:val="12"/>
                <w:highlight w:val="none"/>
              </w:rPr>
              <w:t xml:space="preserve">  </w:t>
            </w:r>
            <w:r>
              <w:rPr>
                <w:b/>
                <w:bCs/>
                <w:color w:val="auto"/>
                <w:spacing w:val="-3"/>
                <w:highlight w:val="none"/>
              </w:rPr>
              <w:t>求</w:t>
            </w:r>
          </w:p>
        </w:tc>
      </w:tr>
      <w:tr w14:paraId="651389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13" w:hRule="atLeast"/>
        </w:trPr>
        <w:tc>
          <w:tcPr>
            <w:tcW w:w="1131" w:type="dxa"/>
            <w:vAlign w:val="top"/>
          </w:tcPr>
          <w:p w14:paraId="44E7ADD0">
            <w:pPr>
              <w:spacing w:line="249" w:lineRule="auto"/>
              <w:rPr>
                <w:rFonts w:ascii="Arial"/>
                <w:color w:val="auto"/>
                <w:sz w:val="21"/>
                <w:highlight w:val="none"/>
              </w:rPr>
            </w:pPr>
          </w:p>
          <w:p w14:paraId="16811CDE">
            <w:pPr>
              <w:spacing w:line="249" w:lineRule="auto"/>
              <w:rPr>
                <w:rFonts w:ascii="Arial"/>
                <w:color w:val="auto"/>
                <w:sz w:val="21"/>
                <w:highlight w:val="none"/>
              </w:rPr>
            </w:pPr>
          </w:p>
          <w:p w14:paraId="0CDB4928">
            <w:pPr>
              <w:spacing w:line="249" w:lineRule="auto"/>
              <w:rPr>
                <w:rFonts w:ascii="Arial"/>
                <w:color w:val="auto"/>
                <w:sz w:val="21"/>
                <w:highlight w:val="none"/>
              </w:rPr>
            </w:pPr>
          </w:p>
          <w:p w14:paraId="69AEECB2">
            <w:pPr>
              <w:spacing w:line="249" w:lineRule="auto"/>
              <w:rPr>
                <w:rFonts w:ascii="Arial"/>
                <w:color w:val="auto"/>
                <w:sz w:val="21"/>
                <w:highlight w:val="none"/>
              </w:rPr>
            </w:pPr>
          </w:p>
          <w:p w14:paraId="6892C2A9">
            <w:pPr>
              <w:spacing w:line="249" w:lineRule="auto"/>
              <w:rPr>
                <w:rFonts w:ascii="Arial"/>
                <w:color w:val="auto"/>
                <w:sz w:val="21"/>
                <w:highlight w:val="none"/>
              </w:rPr>
            </w:pPr>
          </w:p>
          <w:p w14:paraId="2252955D">
            <w:pPr>
              <w:spacing w:line="250" w:lineRule="auto"/>
              <w:rPr>
                <w:rFonts w:ascii="Arial"/>
                <w:color w:val="auto"/>
                <w:sz w:val="21"/>
                <w:highlight w:val="none"/>
              </w:rPr>
            </w:pPr>
          </w:p>
          <w:p w14:paraId="7AF13119">
            <w:pPr>
              <w:spacing w:line="250" w:lineRule="auto"/>
              <w:rPr>
                <w:rFonts w:ascii="Arial"/>
                <w:color w:val="auto"/>
                <w:sz w:val="21"/>
                <w:highlight w:val="none"/>
              </w:rPr>
            </w:pPr>
          </w:p>
          <w:p w14:paraId="7C314491">
            <w:pPr>
              <w:spacing w:line="250" w:lineRule="auto"/>
              <w:rPr>
                <w:rFonts w:ascii="Arial"/>
                <w:color w:val="auto"/>
                <w:sz w:val="21"/>
                <w:highlight w:val="none"/>
              </w:rPr>
            </w:pPr>
          </w:p>
          <w:p w14:paraId="46DD0C56">
            <w:pPr>
              <w:pStyle w:val="18"/>
              <w:spacing w:line="227" w:lineRule="auto"/>
              <w:ind w:left="187"/>
              <w:rPr>
                <w:color w:val="auto"/>
                <w:spacing w:val="-2"/>
                <w:highlight w:val="none"/>
              </w:rPr>
            </w:pPr>
            <w:r>
              <w:rPr>
                <w:rFonts w:hint="eastAsia"/>
                <w:color w:val="auto"/>
                <w:spacing w:val="-2"/>
                <w:highlight w:val="none"/>
                <w:lang w:val="en-US" w:eastAsia="zh-CN"/>
              </w:rPr>
              <w:t>土建监理含中心试验室</w:t>
            </w:r>
          </w:p>
          <w:p w14:paraId="14FCC220">
            <w:pPr>
              <w:pStyle w:val="18"/>
              <w:spacing w:line="227" w:lineRule="auto"/>
              <w:ind w:left="187"/>
              <w:rPr>
                <w:color w:val="auto"/>
                <w:highlight w:val="none"/>
              </w:rPr>
            </w:pPr>
            <w:r>
              <w:rPr>
                <w:color w:val="auto"/>
                <w:spacing w:val="-2"/>
                <w:highlight w:val="none"/>
              </w:rPr>
              <w:t>（</w:t>
            </w:r>
            <w:r>
              <w:rPr>
                <w:rFonts w:hint="eastAsia"/>
                <w:color w:val="auto"/>
                <w:spacing w:val="-2"/>
                <w:highlight w:val="none"/>
                <w:lang w:val="en-US" w:eastAsia="zh-CN"/>
              </w:rPr>
              <w:t>D</w:t>
            </w:r>
            <w:r>
              <w:rPr>
                <w:color w:val="auto"/>
                <w:spacing w:val="-36"/>
                <w:highlight w:val="none"/>
              </w:rPr>
              <w:t xml:space="preserve"> </w:t>
            </w:r>
            <w:r>
              <w:rPr>
                <w:color w:val="auto"/>
                <w:spacing w:val="-2"/>
                <w:highlight w:val="none"/>
              </w:rPr>
              <w:t>类）</w:t>
            </w:r>
          </w:p>
        </w:tc>
        <w:tc>
          <w:tcPr>
            <w:tcW w:w="8157" w:type="dxa"/>
            <w:vAlign w:val="top"/>
          </w:tcPr>
          <w:p w14:paraId="2328C902">
            <w:pPr>
              <w:spacing w:line="371" w:lineRule="auto"/>
              <w:rPr>
                <w:rFonts w:ascii="Arial"/>
                <w:color w:val="auto"/>
                <w:sz w:val="21"/>
                <w:highlight w:val="none"/>
              </w:rPr>
            </w:pPr>
          </w:p>
          <w:p w14:paraId="42F18764">
            <w:pPr>
              <w:pStyle w:val="18"/>
              <w:spacing w:before="65" w:line="228" w:lineRule="auto"/>
              <w:ind w:left="111"/>
              <w:rPr>
                <w:color w:val="auto"/>
                <w:highlight w:val="none"/>
              </w:rPr>
            </w:pPr>
            <w:r>
              <w:rPr>
                <w:color w:val="auto"/>
                <w:spacing w:val="9"/>
                <w:highlight w:val="none"/>
              </w:rPr>
              <w:t>近五年，成功完成过以下业绩</w:t>
            </w:r>
          </w:p>
          <w:p w14:paraId="6EA3F3E6">
            <w:pPr>
              <w:pStyle w:val="18"/>
              <w:spacing w:before="161" w:line="303" w:lineRule="auto"/>
              <w:ind w:left="113" w:right="108" w:firstLine="14"/>
              <w:rPr>
                <w:color w:val="auto"/>
                <w:highlight w:val="none"/>
              </w:rPr>
            </w:pPr>
            <w:r>
              <w:rPr>
                <w:color w:val="auto"/>
                <w:spacing w:val="8"/>
                <w:highlight w:val="none"/>
              </w:rPr>
              <w:t>1、累计完成过不少于</w:t>
            </w:r>
            <w:r>
              <w:rPr>
                <w:color w:val="auto"/>
                <w:spacing w:val="-98"/>
                <w:highlight w:val="none"/>
              </w:rPr>
              <w:t xml:space="preserve"> </w:t>
            </w:r>
            <w:r>
              <w:rPr>
                <w:color w:val="auto"/>
                <w:spacing w:val="5"/>
                <w:highlight w:val="none"/>
                <w:u w:val="single" w:color="auto"/>
              </w:rPr>
              <w:t xml:space="preserve"> </w:t>
            </w:r>
            <w:r>
              <w:rPr>
                <w:rFonts w:hint="eastAsia"/>
                <w:color w:val="auto"/>
                <w:spacing w:val="5"/>
                <w:highlight w:val="none"/>
                <w:u w:val="single" w:color="auto"/>
                <w:lang w:val="en-US" w:eastAsia="zh-CN"/>
              </w:rPr>
              <w:t>20</w:t>
            </w:r>
            <w:r>
              <w:rPr>
                <w:color w:val="auto"/>
                <w:spacing w:val="5"/>
                <w:highlight w:val="none"/>
                <w:u w:val="single" w:color="auto"/>
              </w:rPr>
              <w:t xml:space="preserve"> </w:t>
            </w:r>
            <w:r>
              <w:rPr>
                <w:color w:val="auto"/>
                <w:spacing w:val="-91"/>
                <w:highlight w:val="none"/>
              </w:rPr>
              <w:t xml:space="preserve"> </w:t>
            </w:r>
            <w:r>
              <w:rPr>
                <w:color w:val="auto"/>
                <w:highlight w:val="none"/>
              </w:rPr>
              <w:t>km</w:t>
            </w:r>
            <w:r>
              <w:rPr>
                <w:color w:val="auto"/>
                <w:spacing w:val="-23"/>
                <w:highlight w:val="none"/>
              </w:rPr>
              <w:t xml:space="preserve"> </w:t>
            </w:r>
            <w:r>
              <w:rPr>
                <w:color w:val="auto"/>
                <w:spacing w:val="8"/>
                <w:highlight w:val="none"/>
              </w:rPr>
              <w:t>的类似工程路基施工监理任务</w:t>
            </w:r>
            <w:r>
              <w:rPr>
                <w:color w:val="auto"/>
                <w:spacing w:val="7"/>
                <w:highlight w:val="none"/>
              </w:rPr>
              <w:t>，其中至少</w:t>
            </w:r>
            <w:r>
              <w:rPr>
                <w:color w:val="auto"/>
                <w:spacing w:val="-21"/>
                <w:highlight w:val="none"/>
              </w:rPr>
              <w:t xml:space="preserve"> </w:t>
            </w:r>
            <w:r>
              <w:rPr>
                <w:color w:val="auto"/>
                <w:spacing w:val="7"/>
                <w:highlight w:val="none"/>
              </w:rPr>
              <w:t>1</w:t>
            </w:r>
            <w:r>
              <w:rPr>
                <w:color w:val="auto"/>
                <w:spacing w:val="-41"/>
                <w:highlight w:val="none"/>
              </w:rPr>
              <w:t xml:space="preserve"> </w:t>
            </w:r>
            <w:r>
              <w:rPr>
                <w:color w:val="auto"/>
                <w:spacing w:val="7"/>
                <w:highlight w:val="none"/>
              </w:rPr>
              <w:t>个标段里程不</w:t>
            </w:r>
            <w:r>
              <w:rPr>
                <w:color w:val="auto"/>
                <w:spacing w:val="4"/>
                <w:highlight w:val="none"/>
              </w:rPr>
              <w:t>少于</w:t>
            </w:r>
            <w:r>
              <w:rPr>
                <w:color w:val="auto"/>
                <w:spacing w:val="-99"/>
                <w:highlight w:val="none"/>
              </w:rPr>
              <w:t xml:space="preserve"> </w:t>
            </w:r>
            <w:r>
              <w:rPr>
                <w:color w:val="auto"/>
                <w:spacing w:val="5"/>
                <w:highlight w:val="none"/>
                <w:u w:val="single" w:color="auto"/>
              </w:rPr>
              <w:t xml:space="preserve"> </w:t>
            </w:r>
            <w:r>
              <w:rPr>
                <w:rFonts w:hint="eastAsia"/>
                <w:color w:val="auto"/>
                <w:spacing w:val="5"/>
                <w:highlight w:val="none"/>
                <w:u w:val="single" w:color="auto"/>
                <w:lang w:val="en-US" w:eastAsia="zh-CN"/>
              </w:rPr>
              <w:t>10</w:t>
            </w:r>
            <w:r>
              <w:rPr>
                <w:color w:val="auto"/>
                <w:spacing w:val="5"/>
                <w:highlight w:val="none"/>
                <w:u w:val="single" w:color="auto"/>
              </w:rPr>
              <w:t xml:space="preserve"> </w:t>
            </w:r>
            <w:r>
              <w:rPr>
                <w:color w:val="auto"/>
                <w:spacing w:val="-93"/>
                <w:highlight w:val="none"/>
              </w:rPr>
              <w:t xml:space="preserve"> </w:t>
            </w:r>
            <w:r>
              <w:rPr>
                <w:color w:val="auto"/>
                <w:highlight w:val="none"/>
              </w:rPr>
              <w:t>km</w:t>
            </w:r>
            <w:r>
              <w:rPr>
                <w:color w:val="auto"/>
                <w:spacing w:val="4"/>
                <w:highlight w:val="none"/>
              </w:rPr>
              <w:t>。</w:t>
            </w:r>
          </w:p>
          <w:p w14:paraId="1882C3ED">
            <w:pPr>
              <w:pStyle w:val="18"/>
              <w:spacing w:before="161" w:line="302" w:lineRule="auto"/>
              <w:ind w:left="113" w:right="159" w:firstLine="1"/>
              <w:rPr>
                <w:color w:val="auto"/>
                <w:highlight w:val="none"/>
              </w:rPr>
            </w:pPr>
            <w:r>
              <w:rPr>
                <w:color w:val="auto"/>
                <w:spacing w:val="10"/>
                <w:highlight w:val="none"/>
              </w:rPr>
              <w:t>2、累计完成过不少于</w:t>
            </w:r>
            <w:r>
              <w:rPr>
                <w:color w:val="auto"/>
                <w:spacing w:val="-98"/>
                <w:highlight w:val="none"/>
              </w:rPr>
              <w:t xml:space="preserve"> </w:t>
            </w:r>
            <w:r>
              <w:rPr>
                <w:color w:val="auto"/>
                <w:spacing w:val="5"/>
                <w:highlight w:val="none"/>
                <w:u w:val="single" w:color="auto"/>
              </w:rPr>
              <w:t xml:space="preserve"> </w:t>
            </w:r>
            <w:r>
              <w:rPr>
                <w:rFonts w:hint="eastAsia"/>
                <w:color w:val="auto"/>
                <w:spacing w:val="5"/>
                <w:highlight w:val="none"/>
                <w:u w:val="single" w:color="auto"/>
                <w:lang w:val="en-US" w:eastAsia="zh-CN"/>
              </w:rPr>
              <w:t>20</w:t>
            </w:r>
            <w:r>
              <w:rPr>
                <w:color w:val="auto"/>
                <w:spacing w:val="5"/>
                <w:highlight w:val="none"/>
                <w:u w:val="single" w:color="auto"/>
              </w:rPr>
              <w:t xml:space="preserve"> </w:t>
            </w:r>
            <w:r>
              <w:rPr>
                <w:color w:val="auto"/>
                <w:spacing w:val="-91"/>
                <w:highlight w:val="none"/>
              </w:rPr>
              <w:t xml:space="preserve"> </w:t>
            </w:r>
            <w:r>
              <w:rPr>
                <w:color w:val="auto"/>
                <w:highlight w:val="none"/>
              </w:rPr>
              <w:t>km</w:t>
            </w:r>
            <w:r>
              <w:rPr>
                <w:color w:val="auto"/>
                <w:spacing w:val="-21"/>
                <w:highlight w:val="none"/>
              </w:rPr>
              <w:t xml:space="preserve"> </w:t>
            </w:r>
            <w:r>
              <w:rPr>
                <w:color w:val="auto"/>
                <w:spacing w:val="10"/>
                <w:highlight w:val="none"/>
              </w:rPr>
              <w:t>的类似工程</w:t>
            </w:r>
            <w:r>
              <w:rPr>
                <w:color w:val="auto"/>
                <w:spacing w:val="10"/>
                <w:highlight w:val="none"/>
                <w:u w:val="single" w:color="auto"/>
              </w:rPr>
              <w:t>沥青混凝土</w:t>
            </w:r>
            <w:r>
              <w:rPr>
                <w:rFonts w:hint="eastAsia"/>
                <w:color w:val="auto"/>
                <w:spacing w:val="10"/>
                <w:highlight w:val="none"/>
                <w:u w:val="single" w:color="auto"/>
                <w:lang w:val="en-US" w:eastAsia="zh-CN"/>
              </w:rPr>
              <w:t>或</w:t>
            </w:r>
            <w:r>
              <w:rPr>
                <w:color w:val="auto"/>
                <w:spacing w:val="10"/>
                <w:highlight w:val="none"/>
                <w:u w:val="single" w:color="auto"/>
              </w:rPr>
              <w:t>水泥混凝土</w:t>
            </w:r>
            <w:r>
              <w:rPr>
                <w:color w:val="auto"/>
                <w:spacing w:val="10"/>
                <w:highlight w:val="none"/>
              </w:rPr>
              <w:t>路面施工监理任务，</w:t>
            </w:r>
            <w:r>
              <w:rPr>
                <w:color w:val="auto"/>
                <w:spacing w:val="5"/>
                <w:highlight w:val="none"/>
              </w:rPr>
              <w:t>其中至少</w:t>
            </w:r>
            <w:r>
              <w:rPr>
                <w:color w:val="auto"/>
                <w:spacing w:val="-10"/>
                <w:highlight w:val="none"/>
              </w:rPr>
              <w:t xml:space="preserve"> </w:t>
            </w:r>
            <w:r>
              <w:rPr>
                <w:color w:val="auto"/>
                <w:spacing w:val="5"/>
                <w:highlight w:val="none"/>
              </w:rPr>
              <w:t>1</w:t>
            </w:r>
            <w:r>
              <w:rPr>
                <w:color w:val="auto"/>
                <w:spacing w:val="-38"/>
                <w:highlight w:val="none"/>
              </w:rPr>
              <w:t xml:space="preserve"> </w:t>
            </w:r>
            <w:r>
              <w:rPr>
                <w:color w:val="auto"/>
                <w:spacing w:val="5"/>
                <w:highlight w:val="none"/>
              </w:rPr>
              <w:t>个标段里程不少于</w:t>
            </w:r>
            <w:r>
              <w:rPr>
                <w:color w:val="auto"/>
                <w:spacing w:val="5"/>
                <w:highlight w:val="none"/>
                <w:u w:val="single" w:color="auto"/>
              </w:rPr>
              <w:t xml:space="preserve"> </w:t>
            </w:r>
            <w:r>
              <w:rPr>
                <w:rFonts w:hint="eastAsia"/>
                <w:color w:val="auto"/>
                <w:spacing w:val="5"/>
                <w:highlight w:val="none"/>
                <w:u w:val="single" w:color="auto"/>
                <w:lang w:val="en-US" w:eastAsia="zh-CN"/>
              </w:rPr>
              <w:t>10</w:t>
            </w:r>
            <w:r>
              <w:rPr>
                <w:color w:val="auto"/>
                <w:spacing w:val="5"/>
                <w:highlight w:val="none"/>
                <w:u w:val="single" w:color="auto"/>
              </w:rPr>
              <w:t xml:space="preserve"> </w:t>
            </w:r>
            <w:r>
              <w:rPr>
                <w:color w:val="auto"/>
                <w:spacing w:val="-93"/>
                <w:highlight w:val="none"/>
              </w:rPr>
              <w:t xml:space="preserve"> </w:t>
            </w:r>
            <w:r>
              <w:rPr>
                <w:color w:val="auto"/>
                <w:highlight w:val="none"/>
              </w:rPr>
              <w:t>km</w:t>
            </w:r>
            <w:r>
              <w:rPr>
                <w:color w:val="auto"/>
                <w:spacing w:val="5"/>
                <w:highlight w:val="none"/>
              </w:rPr>
              <w:t>。</w:t>
            </w:r>
          </w:p>
          <w:p w14:paraId="441978DD">
            <w:pPr>
              <w:pStyle w:val="18"/>
              <w:spacing w:before="165" w:line="302" w:lineRule="auto"/>
              <w:ind w:left="113" w:right="108" w:firstLine="3"/>
              <w:rPr>
                <w:color w:val="auto"/>
                <w:highlight w:val="none"/>
              </w:rPr>
            </w:pPr>
            <w:r>
              <w:rPr>
                <w:color w:val="auto"/>
                <w:spacing w:val="12"/>
                <w:highlight w:val="none"/>
              </w:rPr>
              <w:t>3、</w:t>
            </w:r>
            <w:r>
              <w:rPr>
                <w:color w:val="auto"/>
                <w:spacing w:val="8"/>
                <w:highlight w:val="none"/>
              </w:rPr>
              <w:t>累计完成过不少于</w:t>
            </w:r>
            <w:r>
              <w:rPr>
                <w:color w:val="auto"/>
                <w:spacing w:val="-98"/>
                <w:highlight w:val="none"/>
              </w:rPr>
              <w:t xml:space="preserve"> </w:t>
            </w:r>
            <w:r>
              <w:rPr>
                <w:color w:val="auto"/>
                <w:spacing w:val="5"/>
                <w:highlight w:val="none"/>
                <w:u w:val="single" w:color="auto"/>
              </w:rPr>
              <w:t xml:space="preserve"> </w:t>
            </w:r>
            <w:r>
              <w:rPr>
                <w:rFonts w:hint="eastAsia"/>
                <w:color w:val="auto"/>
                <w:spacing w:val="5"/>
                <w:highlight w:val="none"/>
                <w:u w:val="single" w:color="auto"/>
                <w:lang w:val="en-US" w:eastAsia="zh-CN"/>
              </w:rPr>
              <w:t>20</w:t>
            </w:r>
            <w:r>
              <w:rPr>
                <w:color w:val="auto"/>
                <w:spacing w:val="5"/>
                <w:highlight w:val="none"/>
                <w:u w:val="single" w:color="auto"/>
              </w:rPr>
              <w:t xml:space="preserve"> </w:t>
            </w:r>
            <w:r>
              <w:rPr>
                <w:color w:val="auto"/>
                <w:spacing w:val="-91"/>
                <w:highlight w:val="none"/>
              </w:rPr>
              <w:t xml:space="preserve"> </w:t>
            </w:r>
            <w:r>
              <w:rPr>
                <w:color w:val="auto"/>
                <w:highlight w:val="none"/>
              </w:rPr>
              <w:t>km</w:t>
            </w:r>
            <w:r>
              <w:rPr>
                <w:color w:val="auto"/>
                <w:spacing w:val="-23"/>
                <w:highlight w:val="none"/>
              </w:rPr>
              <w:t xml:space="preserve"> </w:t>
            </w:r>
            <w:r>
              <w:rPr>
                <w:color w:val="auto"/>
                <w:spacing w:val="8"/>
                <w:highlight w:val="none"/>
              </w:rPr>
              <w:t>的类似工程交通安全设施施工监理任务，其中至少</w:t>
            </w:r>
            <w:r>
              <w:rPr>
                <w:color w:val="auto"/>
                <w:spacing w:val="-22"/>
                <w:highlight w:val="none"/>
              </w:rPr>
              <w:t xml:space="preserve"> </w:t>
            </w:r>
            <w:r>
              <w:rPr>
                <w:color w:val="auto"/>
                <w:spacing w:val="7"/>
                <w:highlight w:val="none"/>
              </w:rPr>
              <w:t>1</w:t>
            </w:r>
            <w:r>
              <w:rPr>
                <w:color w:val="auto"/>
                <w:spacing w:val="-37"/>
                <w:highlight w:val="none"/>
              </w:rPr>
              <w:t xml:space="preserve"> </w:t>
            </w:r>
            <w:r>
              <w:rPr>
                <w:color w:val="auto"/>
                <w:spacing w:val="7"/>
                <w:highlight w:val="none"/>
              </w:rPr>
              <w:t>个标段里程不少于</w:t>
            </w:r>
            <w:r>
              <w:rPr>
                <w:color w:val="auto"/>
                <w:spacing w:val="-96"/>
                <w:highlight w:val="none"/>
              </w:rPr>
              <w:t xml:space="preserve"> </w:t>
            </w:r>
            <w:r>
              <w:rPr>
                <w:color w:val="auto"/>
                <w:spacing w:val="5"/>
                <w:highlight w:val="none"/>
                <w:u w:val="single" w:color="auto"/>
              </w:rPr>
              <w:t xml:space="preserve"> </w:t>
            </w:r>
            <w:r>
              <w:rPr>
                <w:rFonts w:hint="eastAsia"/>
                <w:color w:val="auto"/>
                <w:spacing w:val="5"/>
                <w:highlight w:val="none"/>
                <w:u w:val="single" w:color="auto"/>
                <w:lang w:val="en-US" w:eastAsia="zh-CN"/>
              </w:rPr>
              <w:t>10</w:t>
            </w:r>
            <w:r>
              <w:rPr>
                <w:color w:val="auto"/>
                <w:spacing w:val="5"/>
                <w:highlight w:val="none"/>
                <w:u w:val="single" w:color="auto"/>
              </w:rPr>
              <w:t xml:space="preserve"> </w:t>
            </w:r>
            <w:r>
              <w:rPr>
                <w:color w:val="auto"/>
                <w:spacing w:val="-93"/>
                <w:highlight w:val="none"/>
              </w:rPr>
              <w:t xml:space="preserve"> </w:t>
            </w:r>
            <w:r>
              <w:rPr>
                <w:color w:val="auto"/>
                <w:highlight w:val="none"/>
              </w:rPr>
              <w:t>km</w:t>
            </w:r>
            <w:r>
              <w:rPr>
                <w:color w:val="auto"/>
                <w:spacing w:val="7"/>
                <w:highlight w:val="none"/>
              </w:rPr>
              <w:t>。</w:t>
            </w:r>
          </w:p>
        </w:tc>
      </w:tr>
    </w:tbl>
    <w:p w14:paraId="2B1CD6CE">
      <w:pPr>
        <w:spacing w:before="31" w:line="232" w:lineRule="auto"/>
        <w:ind w:left="117"/>
        <w:rPr>
          <w:rFonts w:ascii="宋体" w:hAnsi="宋体" w:eastAsia="宋体" w:cs="宋体"/>
          <w:color w:val="auto"/>
          <w:sz w:val="20"/>
          <w:szCs w:val="20"/>
          <w:highlight w:val="none"/>
        </w:rPr>
      </w:pPr>
      <w:r>
        <w:rPr>
          <w:rFonts w:ascii="宋体" w:hAnsi="宋体" w:eastAsia="宋体" w:cs="宋体"/>
          <w:color w:val="auto"/>
          <w:sz w:val="20"/>
          <w:szCs w:val="20"/>
          <w:highlight w:val="none"/>
        </w:rPr>
        <w:t>注：</w:t>
      </w:r>
    </w:p>
    <w:p w14:paraId="3AE50D55">
      <w:pPr>
        <w:spacing w:before="156" w:line="227" w:lineRule="auto"/>
        <w:ind w:left="553"/>
        <w:rPr>
          <w:rFonts w:ascii="宋体" w:hAnsi="宋体" w:eastAsia="宋体" w:cs="宋体"/>
          <w:color w:val="auto"/>
          <w:sz w:val="20"/>
          <w:szCs w:val="20"/>
          <w:highlight w:val="none"/>
        </w:rPr>
      </w:pPr>
      <w:r>
        <w:rPr>
          <w:rFonts w:ascii="宋体" w:hAnsi="宋体" w:eastAsia="宋体" w:cs="宋体"/>
          <w:color w:val="auto"/>
          <w:spacing w:val="8"/>
          <w:sz w:val="20"/>
          <w:szCs w:val="20"/>
          <w:highlight w:val="none"/>
        </w:rPr>
        <w:t>1、本附录所要求的业绩仅限中华人民共和国境内业绩。</w:t>
      </w:r>
    </w:p>
    <w:p w14:paraId="240C5E84">
      <w:pPr>
        <w:spacing w:before="164" w:line="228" w:lineRule="auto"/>
        <w:ind w:left="540"/>
        <w:rPr>
          <w:rFonts w:ascii="宋体" w:hAnsi="宋体" w:eastAsia="宋体" w:cs="宋体"/>
          <w:color w:val="auto"/>
          <w:sz w:val="20"/>
          <w:szCs w:val="20"/>
          <w:highlight w:val="none"/>
        </w:rPr>
      </w:pPr>
      <w:r>
        <w:rPr>
          <w:rFonts w:ascii="宋体" w:hAnsi="宋体" w:eastAsia="宋体" w:cs="宋体"/>
          <w:color w:val="auto"/>
          <w:spacing w:val="8"/>
          <w:sz w:val="20"/>
          <w:szCs w:val="20"/>
          <w:highlight w:val="none"/>
        </w:rPr>
        <w:t>2、同一工程项目同时满足</w:t>
      </w:r>
      <w:r>
        <w:rPr>
          <w:rFonts w:ascii="宋体" w:hAnsi="宋体" w:eastAsia="宋体" w:cs="宋体"/>
          <w:color w:val="auto"/>
          <w:spacing w:val="-34"/>
          <w:sz w:val="20"/>
          <w:szCs w:val="20"/>
          <w:highlight w:val="none"/>
        </w:rPr>
        <w:t xml:space="preserve"> </w:t>
      </w:r>
      <w:r>
        <w:rPr>
          <w:rFonts w:ascii="宋体" w:hAnsi="宋体" w:eastAsia="宋体" w:cs="宋体"/>
          <w:color w:val="auto"/>
          <w:spacing w:val="8"/>
          <w:sz w:val="20"/>
          <w:szCs w:val="20"/>
          <w:highlight w:val="none"/>
        </w:rPr>
        <w:t>2</w:t>
      </w:r>
      <w:r>
        <w:rPr>
          <w:rFonts w:ascii="宋体" w:hAnsi="宋体" w:eastAsia="宋体" w:cs="宋体"/>
          <w:color w:val="auto"/>
          <w:spacing w:val="-35"/>
          <w:sz w:val="20"/>
          <w:szCs w:val="20"/>
          <w:highlight w:val="none"/>
        </w:rPr>
        <w:t xml:space="preserve"> </w:t>
      </w:r>
      <w:r>
        <w:rPr>
          <w:rFonts w:ascii="宋体" w:hAnsi="宋体" w:eastAsia="宋体" w:cs="宋体"/>
          <w:color w:val="auto"/>
          <w:spacing w:val="8"/>
          <w:sz w:val="20"/>
          <w:szCs w:val="20"/>
          <w:highlight w:val="none"/>
        </w:rPr>
        <w:t>项或多项业绩要求条件的，可分别计；</w:t>
      </w:r>
    </w:p>
    <w:p w14:paraId="5DE37887">
      <w:pPr>
        <w:spacing w:before="160" w:line="302" w:lineRule="auto"/>
        <w:ind w:left="117" w:right="111" w:firstLine="425"/>
        <w:rPr>
          <w:rFonts w:ascii="宋体" w:hAnsi="宋体" w:eastAsia="宋体" w:cs="宋体"/>
          <w:color w:val="auto"/>
          <w:sz w:val="20"/>
          <w:szCs w:val="20"/>
          <w:highlight w:val="none"/>
        </w:rPr>
      </w:pPr>
      <w:r>
        <w:rPr>
          <w:rFonts w:ascii="宋体" w:hAnsi="宋体" w:eastAsia="宋体" w:cs="宋体"/>
          <w:color w:val="auto"/>
          <w:spacing w:val="10"/>
          <w:sz w:val="20"/>
          <w:szCs w:val="20"/>
          <w:highlight w:val="none"/>
        </w:rPr>
        <w:t>3、本表要求业绩指由投标人承接并完成的业绩,投标人上级单位（如总公司、集团公司等）的</w:t>
      </w:r>
      <w:r>
        <w:rPr>
          <w:rFonts w:ascii="宋体" w:hAnsi="宋体" w:eastAsia="宋体" w:cs="宋体"/>
          <w:color w:val="auto"/>
          <w:spacing w:val="9"/>
          <w:sz w:val="20"/>
          <w:szCs w:val="20"/>
          <w:highlight w:val="none"/>
        </w:rPr>
        <w:t>业绩和投标人具备独立法人资格的下属机构的业绩均不予认定。</w:t>
      </w:r>
    </w:p>
    <w:p w14:paraId="7C558B46">
      <w:pPr>
        <w:spacing w:before="160" w:line="302" w:lineRule="auto"/>
        <w:ind w:left="117" w:right="111" w:firstLine="425"/>
        <w:rPr>
          <w:rFonts w:ascii="宋体" w:hAnsi="宋体" w:eastAsia="宋体" w:cs="宋体"/>
          <w:color w:val="auto"/>
          <w:spacing w:val="9"/>
          <w:sz w:val="20"/>
          <w:szCs w:val="20"/>
          <w:highlight w:val="none"/>
        </w:rPr>
      </w:pPr>
      <w:r>
        <w:rPr>
          <w:rFonts w:ascii="宋体" w:hAnsi="宋体" w:eastAsia="宋体" w:cs="宋体"/>
          <w:color w:val="auto"/>
          <w:spacing w:val="9"/>
          <w:sz w:val="20"/>
          <w:szCs w:val="20"/>
          <w:highlight w:val="none"/>
        </w:rPr>
        <w:t>4、若投标人提供的业绩证明为联合体业绩，则按投标人须知 3.5.2 项要求的证明材料体现其完成的相关专项工程的工程量认定，无法界定其完成的相关专项工程的工程量，此业绩不予认定。</w:t>
      </w:r>
    </w:p>
    <w:p w14:paraId="18FFC0B7">
      <w:pPr>
        <w:spacing w:before="160" w:line="302" w:lineRule="auto"/>
        <w:ind w:left="117" w:right="111" w:firstLine="425"/>
        <w:rPr>
          <w:rFonts w:ascii="宋体" w:hAnsi="宋体" w:eastAsia="宋体" w:cs="宋体"/>
          <w:color w:val="auto"/>
          <w:spacing w:val="9"/>
          <w:sz w:val="20"/>
          <w:szCs w:val="20"/>
          <w:highlight w:val="none"/>
        </w:rPr>
      </w:pPr>
      <w:r>
        <w:rPr>
          <w:rFonts w:ascii="宋体" w:hAnsi="宋体" w:eastAsia="宋体" w:cs="宋体"/>
          <w:color w:val="auto"/>
          <w:spacing w:val="9"/>
          <w:sz w:val="20"/>
          <w:szCs w:val="20"/>
          <w:highlight w:val="none"/>
        </w:rPr>
        <w:t>5、若为联合体投标 ， 投标人业绩的资格审查条件和加分条件（如有） 的认定原则如下</w:t>
      </w:r>
    </w:p>
    <w:p w14:paraId="24ECE884">
      <w:pPr>
        <w:spacing w:before="160" w:line="302" w:lineRule="auto"/>
        <w:ind w:left="117" w:right="111" w:firstLine="425"/>
        <w:rPr>
          <w:rFonts w:ascii="宋体" w:hAnsi="宋体" w:eastAsia="宋体" w:cs="宋体"/>
          <w:color w:val="auto"/>
          <w:spacing w:val="9"/>
          <w:sz w:val="20"/>
          <w:szCs w:val="20"/>
          <w:highlight w:val="none"/>
        </w:rPr>
      </w:pPr>
      <w:r>
        <w:rPr>
          <w:rFonts w:ascii="宋体" w:hAnsi="宋体" w:eastAsia="宋体" w:cs="宋体"/>
          <w:color w:val="auto"/>
          <w:spacing w:val="9"/>
          <w:sz w:val="20"/>
          <w:szCs w:val="20"/>
          <w:highlight w:val="none"/>
        </w:rPr>
        <w:t xml:space="preserve"> ：</w:t>
      </w:r>
      <w:r>
        <w:rPr>
          <w:rFonts w:ascii="宋体" w:hAnsi="宋体" w:eastAsia="宋体" w:cs="宋体"/>
          <w:color w:val="auto"/>
          <w:spacing w:val="9"/>
          <w:sz w:val="20"/>
          <w:szCs w:val="20"/>
          <w:highlight w:val="none"/>
          <w:u w:val="single"/>
        </w:rPr>
        <w:t xml:space="preserve">     </w:t>
      </w:r>
      <w:r>
        <w:rPr>
          <w:rFonts w:hint="eastAsia" w:ascii="宋体" w:hAnsi="宋体" w:eastAsia="宋体" w:cs="宋体"/>
          <w:color w:val="auto"/>
          <w:spacing w:val="9"/>
          <w:sz w:val="20"/>
          <w:szCs w:val="20"/>
          <w:highlight w:val="none"/>
          <w:u w:val="single"/>
          <w:lang w:val="en-US" w:eastAsia="zh-CN"/>
        </w:rPr>
        <w:t>/</w:t>
      </w:r>
      <w:r>
        <w:rPr>
          <w:rFonts w:ascii="宋体" w:hAnsi="宋体" w:eastAsia="宋体" w:cs="宋体"/>
          <w:color w:val="auto"/>
          <w:spacing w:val="9"/>
          <w:sz w:val="20"/>
          <w:szCs w:val="20"/>
          <w:highlight w:val="none"/>
          <w:u w:val="single"/>
        </w:rPr>
        <w:t xml:space="preserve">     </w:t>
      </w:r>
      <w:r>
        <w:rPr>
          <w:rFonts w:ascii="宋体" w:hAnsi="宋体" w:eastAsia="宋体" w:cs="宋体"/>
          <w:color w:val="auto"/>
          <w:spacing w:val="9"/>
          <w:sz w:val="20"/>
          <w:szCs w:val="20"/>
          <w:highlight w:val="none"/>
        </w:rPr>
        <w:t>。</w:t>
      </w:r>
    </w:p>
    <w:p w14:paraId="6DA6C45F">
      <w:pPr>
        <w:spacing w:line="259" w:lineRule="auto"/>
        <w:rPr>
          <w:rFonts w:ascii="Arial"/>
          <w:color w:val="auto"/>
          <w:sz w:val="21"/>
          <w:highlight w:val="none"/>
        </w:rPr>
      </w:pPr>
    </w:p>
    <w:p w14:paraId="06803256">
      <w:pPr>
        <w:spacing w:line="259" w:lineRule="auto"/>
        <w:rPr>
          <w:rFonts w:ascii="Arial"/>
          <w:color w:val="auto"/>
          <w:sz w:val="21"/>
          <w:highlight w:val="none"/>
        </w:rPr>
      </w:pPr>
    </w:p>
    <w:p w14:paraId="3B16E5CC">
      <w:pPr>
        <w:spacing w:line="259" w:lineRule="auto"/>
        <w:rPr>
          <w:rFonts w:ascii="Arial"/>
          <w:color w:val="auto"/>
          <w:sz w:val="21"/>
          <w:highlight w:val="none"/>
        </w:rPr>
      </w:pPr>
    </w:p>
    <w:p w14:paraId="2D05F8A0">
      <w:pPr>
        <w:spacing w:line="259" w:lineRule="auto"/>
        <w:rPr>
          <w:rFonts w:ascii="Arial"/>
          <w:color w:val="auto"/>
          <w:sz w:val="21"/>
          <w:highlight w:val="none"/>
        </w:rPr>
      </w:pPr>
    </w:p>
    <w:p w14:paraId="0CE4389B">
      <w:pPr>
        <w:spacing w:line="259" w:lineRule="auto"/>
        <w:rPr>
          <w:rFonts w:ascii="Arial"/>
          <w:color w:val="auto"/>
          <w:sz w:val="21"/>
          <w:highlight w:val="none"/>
        </w:rPr>
      </w:pPr>
    </w:p>
    <w:p w14:paraId="1E5D9614">
      <w:pPr>
        <w:spacing w:line="259" w:lineRule="auto"/>
        <w:rPr>
          <w:rFonts w:ascii="Arial"/>
          <w:color w:val="auto"/>
          <w:sz w:val="21"/>
          <w:highlight w:val="none"/>
        </w:rPr>
      </w:pPr>
    </w:p>
    <w:p w14:paraId="78C62589">
      <w:pPr>
        <w:spacing w:line="259" w:lineRule="auto"/>
        <w:rPr>
          <w:rFonts w:ascii="Arial"/>
          <w:color w:val="auto"/>
          <w:sz w:val="21"/>
          <w:highlight w:val="none"/>
        </w:rPr>
      </w:pPr>
    </w:p>
    <w:p w14:paraId="3E0EF47C">
      <w:pPr>
        <w:spacing w:line="260" w:lineRule="auto"/>
        <w:rPr>
          <w:rFonts w:ascii="Arial"/>
          <w:color w:val="auto"/>
          <w:sz w:val="21"/>
          <w:highlight w:val="none"/>
        </w:rPr>
      </w:pPr>
    </w:p>
    <w:p w14:paraId="555D480D">
      <w:pPr>
        <w:spacing w:line="260" w:lineRule="auto"/>
        <w:rPr>
          <w:rFonts w:ascii="Arial"/>
          <w:color w:val="auto"/>
          <w:sz w:val="21"/>
          <w:highlight w:val="none"/>
        </w:rPr>
      </w:pPr>
    </w:p>
    <w:p w14:paraId="0D6A9DF3">
      <w:pPr>
        <w:spacing w:line="229" w:lineRule="auto"/>
        <w:rPr>
          <w:rFonts w:ascii="宋体" w:hAnsi="宋体" w:eastAsia="宋体" w:cs="宋体"/>
          <w:color w:val="auto"/>
          <w:sz w:val="18"/>
          <w:szCs w:val="18"/>
          <w:highlight w:val="none"/>
        </w:rPr>
        <w:sectPr>
          <w:footerReference r:id="rId23" w:type="default"/>
          <w:pgSz w:w="11906" w:h="16839"/>
          <w:pgMar w:top="1416" w:right="1306" w:bottom="1297" w:left="1306" w:header="0" w:footer="1067" w:gutter="0"/>
          <w:pgNumType w:fmt="decimal"/>
          <w:cols w:space="720" w:num="1"/>
        </w:sectPr>
      </w:pPr>
    </w:p>
    <w:p w14:paraId="0D9A8C37">
      <w:pPr>
        <w:spacing w:before="128" w:line="219" w:lineRule="auto"/>
        <w:ind w:left="2186"/>
        <w:outlineLvl w:val="1"/>
        <w:rPr>
          <w:rFonts w:ascii="宋体" w:hAnsi="宋体" w:eastAsia="宋体" w:cs="宋体"/>
          <w:b/>
          <w:bCs/>
          <w:color w:val="auto"/>
          <w:spacing w:val="-6"/>
          <w:sz w:val="28"/>
          <w:szCs w:val="28"/>
          <w:highlight w:val="none"/>
        </w:rPr>
      </w:pPr>
      <w:bookmarkStart w:id="48" w:name="bookmark90"/>
      <w:bookmarkEnd w:id="48"/>
      <w:bookmarkStart w:id="49" w:name="_Toc20951"/>
      <w:bookmarkStart w:id="50" w:name="_Toc8917"/>
      <w:bookmarkStart w:id="51" w:name="_Toc17736"/>
      <w:r>
        <w:rPr>
          <w:rFonts w:ascii="宋体" w:hAnsi="宋体" w:eastAsia="宋体" w:cs="宋体"/>
          <w:b/>
          <w:bCs/>
          <w:color w:val="auto"/>
          <w:spacing w:val="-6"/>
          <w:sz w:val="28"/>
          <w:szCs w:val="28"/>
          <w:highlight w:val="none"/>
        </w:rPr>
        <w:t>附录 3  资格审查条件（信誉最低要求）</w:t>
      </w:r>
      <w:bookmarkEnd w:id="49"/>
      <w:bookmarkEnd w:id="50"/>
      <w:bookmarkEnd w:id="51"/>
    </w:p>
    <w:p w14:paraId="7E14A697">
      <w:pPr>
        <w:spacing w:before="294" w:line="220" w:lineRule="auto"/>
        <w:ind w:left="122"/>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标段：</w:t>
      </w:r>
      <w:r>
        <w:rPr>
          <w:rFonts w:ascii="宋体" w:hAnsi="宋体" w:eastAsia="宋体" w:cs="宋体"/>
          <w:color w:val="auto"/>
          <w:sz w:val="24"/>
          <w:szCs w:val="24"/>
          <w:highlight w:val="none"/>
          <w:u w:val="single" w:color="auto"/>
        </w:rPr>
        <w:t xml:space="preserve">  </w:t>
      </w:r>
      <w:r>
        <w:rPr>
          <w:rFonts w:hint="eastAsia" w:ascii="宋体" w:hAnsi="宋体" w:eastAsia="宋体" w:cs="宋体"/>
          <w:color w:val="auto"/>
          <w:sz w:val="24"/>
          <w:szCs w:val="24"/>
          <w:highlight w:val="none"/>
          <w:u w:val="single" w:color="auto"/>
          <w:lang w:val="en-US" w:eastAsia="zh-CN"/>
        </w:rPr>
        <w:t>/</w:t>
      </w:r>
      <w:r>
        <w:rPr>
          <w:rFonts w:ascii="宋体" w:hAnsi="宋体" w:eastAsia="宋体" w:cs="宋体"/>
          <w:color w:val="auto"/>
          <w:sz w:val="24"/>
          <w:szCs w:val="24"/>
          <w:highlight w:val="none"/>
          <w:u w:val="single" w:color="auto"/>
        </w:rPr>
        <w:t xml:space="preserve">   </w:t>
      </w:r>
    </w:p>
    <w:p w14:paraId="6945F2AD">
      <w:pPr>
        <w:spacing w:line="146" w:lineRule="exact"/>
        <w:rPr>
          <w:color w:val="auto"/>
          <w:highlight w:val="none"/>
        </w:rPr>
      </w:pPr>
    </w:p>
    <w:tbl>
      <w:tblPr>
        <w:tblStyle w:val="17"/>
        <w:tblW w:w="929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92"/>
      </w:tblGrid>
      <w:tr w14:paraId="6EB6CA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4" w:hRule="atLeast"/>
        </w:trPr>
        <w:tc>
          <w:tcPr>
            <w:tcW w:w="9292" w:type="dxa"/>
            <w:vAlign w:val="top"/>
          </w:tcPr>
          <w:p w14:paraId="6F7F508B">
            <w:pPr>
              <w:spacing w:line="383" w:lineRule="auto"/>
              <w:rPr>
                <w:rFonts w:ascii="Arial"/>
                <w:color w:val="auto"/>
                <w:sz w:val="21"/>
                <w:highlight w:val="none"/>
              </w:rPr>
            </w:pPr>
          </w:p>
          <w:p w14:paraId="5B5FB0AC">
            <w:pPr>
              <w:pStyle w:val="18"/>
              <w:spacing w:before="65" w:line="227" w:lineRule="auto"/>
              <w:ind w:left="4072"/>
              <w:rPr>
                <w:color w:val="auto"/>
                <w:highlight w:val="none"/>
              </w:rPr>
            </w:pPr>
            <w:r>
              <w:rPr>
                <w:b/>
                <w:bCs/>
                <w:color w:val="auto"/>
                <w:spacing w:val="-2"/>
                <w:highlight w:val="none"/>
              </w:rPr>
              <w:t>信</w:t>
            </w:r>
            <w:r>
              <w:rPr>
                <w:color w:val="auto"/>
                <w:spacing w:val="13"/>
                <w:highlight w:val="none"/>
              </w:rPr>
              <w:t xml:space="preserve"> </w:t>
            </w:r>
            <w:r>
              <w:rPr>
                <w:b/>
                <w:bCs/>
                <w:color w:val="auto"/>
                <w:spacing w:val="-2"/>
                <w:highlight w:val="none"/>
              </w:rPr>
              <w:t>誉</w:t>
            </w:r>
            <w:r>
              <w:rPr>
                <w:color w:val="auto"/>
                <w:spacing w:val="17"/>
                <w:highlight w:val="none"/>
              </w:rPr>
              <w:t xml:space="preserve"> </w:t>
            </w:r>
            <w:r>
              <w:rPr>
                <w:b/>
                <w:bCs/>
                <w:color w:val="auto"/>
                <w:spacing w:val="-2"/>
                <w:highlight w:val="none"/>
              </w:rPr>
              <w:t>要</w:t>
            </w:r>
            <w:r>
              <w:rPr>
                <w:color w:val="auto"/>
                <w:spacing w:val="18"/>
                <w:highlight w:val="none"/>
              </w:rPr>
              <w:t xml:space="preserve"> </w:t>
            </w:r>
            <w:r>
              <w:rPr>
                <w:b/>
                <w:bCs/>
                <w:color w:val="auto"/>
                <w:spacing w:val="-2"/>
                <w:highlight w:val="none"/>
              </w:rPr>
              <w:t>求</w:t>
            </w:r>
          </w:p>
        </w:tc>
      </w:tr>
      <w:tr w14:paraId="0218FD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87" w:hRule="atLeast"/>
        </w:trPr>
        <w:tc>
          <w:tcPr>
            <w:tcW w:w="9292" w:type="dxa"/>
            <w:vAlign w:val="top"/>
          </w:tcPr>
          <w:p w14:paraId="563D7B5D">
            <w:pPr>
              <w:spacing w:line="245" w:lineRule="auto"/>
              <w:rPr>
                <w:rFonts w:ascii="Arial"/>
                <w:color w:val="auto"/>
                <w:sz w:val="21"/>
                <w:highlight w:val="none"/>
              </w:rPr>
            </w:pPr>
          </w:p>
          <w:p w14:paraId="798208CF">
            <w:pPr>
              <w:spacing w:line="246" w:lineRule="auto"/>
              <w:rPr>
                <w:rFonts w:ascii="Arial"/>
                <w:color w:val="auto"/>
                <w:sz w:val="21"/>
                <w:highlight w:val="none"/>
              </w:rPr>
            </w:pPr>
          </w:p>
          <w:p w14:paraId="69C819D2">
            <w:pPr>
              <w:pStyle w:val="18"/>
              <w:spacing w:before="66" w:line="370" w:lineRule="auto"/>
              <w:ind w:left="117" w:right="108" w:firstLine="420"/>
              <w:jc w:val="both"/>
              <w:rPr>
                <w:color w:val="auto"/>
                <w:highlight w:val="none"/>
              </w:rPr>
            </w:pPr>
            <w:r>
              <w:rPr>
                <w:color w:val="auto"/>
                <w:spacing w:val="11"/>
                <w:highlight w:val="none"/>
              </w:rPr>
              <w:t>最新年度（含无广东省最新年度信用等级而上一年度有广东省</w:t>
            </w:r>
            <w:r>
              <w:rPr>
                <w:color w:val="auto"/>
                <w:spacing w:val="10"/>
                <w:highlight w:val="none"/>
              </w:rPr>
              <w:t>信用等级的）在广东省公路工程</w:t>
            </w:r>
            <w:r>
              <w:rPr>
                <w:color w:val="auto"/>
                <w:spacing w:val="9"/>
                <w:highlight w:val="none"/>
              </w:rPr>
              <w:t>从业单位信用评价（监理单位）</w:t>
            </w:r>
            <w:r>
              <w:rPr>
                <w:color w:val="auto"/>
                <w:spacing w:val="-52"/>
                <w:highlight w:val="none"/>
              </w:rPr>
              <w:t xml:space="preserve"> </w:t>
            </w:r>
            <w:r>
              <w:rPr>
                <w:color w:val="auto"/>
                <w:spacing w:val="9"/>
                <w:highlight w:val="none"/>
              </w:rPr>
              <w:t>中，信用等级未被评为</w:t>
            </w:r>
            <w:r>
              <w:rPr>
                <w:color w:val="auto"/>
                <w:spacing w:val="-41"/>
                <w:highlight w:val="none"/>
              </w:rPr>
              <w:t xml:space="preserve"> </w:t>
            </w:r>
            <w:r>
              <w:rPr>
                <w:color w:val="auto"/>
                <w:spacing w:val="9"/>
                <w:highlight w:val="none"/>
              </w:rPr>
              <w:t>D</w:t>
            </w:r>
            <w:r>
              <w:rPr>
                <w:color w:val="auto"/>
                <w:spacing w:val="-34"/>
                <w:highlight w:val="none"/>
              </w:rPr>
              <w:t xml:space="preserve"> </w:t>
            </w:r>
            <w:r>
              <w:rPr>
                <w:color w:val="auto"/>
                <w:spacing w:val="9"/>
                <w:highlight w:val="none"/>
              </w:rPr>
              <w:t>级；初次进入广东省的投标人，在最新全</w:t>
            </w:r>
            <w:r>
              <w:rPr>
                <w:color w:val="auto"/>
                <w:spacing w:val="8"/>
                <w:highlight w:val="none"/>
              </w:rPr>
              <w:t>国公路从业单位（监理单位）信用评价结果中未被评为</w:t>
            </w:r>
            <w:r>
              <w:rPr>
                <w:color w:val="auto"/>
                <w:spacing w:val="-33"/>
                <w:highlight w:val="none"/>
              </w:rPr>
              <w:t xml:space="preserve"> </w:t>
            </w:r>
            <w:r>
              <w:rPr>
                <w:color w:val="auto"/>
                <w:spacing w:val="8"/>
                <w:highlight w:val="none"/>
              </w:rPr>
              <w:t>D</w:t>
            </w:r>
            <w:r>
              <w:rPr>
                <w:color w:val="auto"/>
                <w:spacing w:val="-35"/>
                <w:highlight w:val="none"/>
              </w:rPr>
              <w:t xml:space="preserve"> </w:t>
            </w:r>
            <w:r>
              <w:rPr>
                <w:color w:val="auto"/>
                <w:spacing w:val="8"/>
                <w:highlight w:val="none"/>
              </w:rPr>
              <w:t>级。</w:t>
            </w:r>
          </w:p>
        </w:tc>
      </w:tr>
    </w:tbl>
    <w:p w14:paraId="43C5CD57">
      <w:pPr>
        <w:spacing w:line="264" w:lineRule="auto"/>
        <w:rPr>
          <w:rFonts w:ascii="Arial"/>
          <w:color w:val="auto"/>
          <w:sz w:val="21"/>
          <w:highlight w:val="none"/>
        </w:rPr>
      </w:pPr>
    </w:p>
    <w:p w14:paraId="676A1CAB">
      <w:pPr>
        <w:spacing w:before="65" w:line="227" w:lineRule="auto"/>
        <w:ind w:left="119"/>
        <w:rPr>
          <w:rFonts w:ascii="宋体" w:hAnsi="宋体" w:eastAsia="宋体" w:cs="宋体"/>
          <w:color w:val="auto"/>
          <w:sz w:val="20"/>
          <w:szCs w:val="20"/>
          <w:highlight w:val="none"/>
        </w:rPr>
      </w:pPr>
      <w:r>
        <w:rPr>
          <w:rFonts w:ascii="宋体" w:hAnsi="宋体" w:eastAsia="宋体" w:cs="宋体"/>
          <w:color w:val="auto"/>
          <w:spacing w:val="7"/>
          <w:sz w:val="20"/>
          <w:szCs w:val="20"/>
          <w:highlight w:val="none"/>
        </w:rPr>
        <w:t>注：信用等级的确定原则遵循投标人须知前附表第</w:t>
      </w:r>
      <w:r>
        <w:rPr>
          <w:rFonts w:ascii="宋体" w:hAnsi="宋体" w:eastAsia="宋体" w:cs="宋体"/>
          <w:color w:val="auto"/>
          <w:spacing w:val="-4"/>
          <w:sz w:val="20"/>
          <w:szCs w:val="20"/>
          <w:highlight w:val="none"/>
        </w:rPr>
        <w:t xml:space="preserve"> </w:t>
      </w:r>
      <w:r>
        <w:rPr>
          <w:rFonts w:ascii="宋体" w:hAnsi="宋体" w:eastAsia="宋体" w:cs="宋体"/>
          <w:color w:val="auto"/>
          <w:spacing w:val="7"/>
          <w:sz w:val="20"/>
          <w:szCs w:val="20"/>
          <w:highlight w:val="none"/>
        </w:rPr>
        <w:t>10.2</w:t>
      </w:r>
      <w:r>
        <w:rPr>
          <w:rFonts w:ascii="宋体" w:hAnsi="宋体" w:eastAsia="宋体" w:cs="宋体"/>
          <w:color w:val="auto"/>
          <w:spacing w:val="-39"/>
          <w:sz w:val="20"/>
          <w:szCs w:val="20"/>
          <w:highlight w:val="none"/>
        </w:rPr>
        <w:t xml:space="preserve"> </w:t>
      </w:r>
      <w:r>
        <w:rPr>
          <w:rFonts w:ascii="宋体" w:hAnsi="宋体" w:eastAsia="宋体" w:cs="宋体"/>
          <w:color w:val="auto"/>
          <w:spacing w:val="7"/>
          <w:sz w:val="20"/>
          <w:szCs w:val="20"/>
          <w:highlight w:val="none"/>
        </w:rPr>
        <w:t>款的规定。</w:t>
      </w:r>
    </w:p>
    <w:p w14:paraId="3D16D6AB">
      <w:pPr>
        <w:spacing w:line="251" w:lineRule="auto"/>
        <w:rPr>
          <w:rFonts w:ascii="Arial"/>
          <w:color w:val="auto"/>
          <w:sz w:val="21"/>
          <w:highlight w:val="none"/>
        </w:rPr>
      </w:pPr>
    </w:p>
    <w:p w14:paraId="55308E28">
      <w:pPr>
        <w:spacing w:line="251" w:lineRule="auto"/>
        <w:rPr>
          <w:rFonts w:ascii="Arial"/>
          <w:color w:val="auto"/>
          <w:sz w:val="21"/>
          <w:highlight w:val="none"/>
        </w:rPr>
      </w:pPr>
    </w:p>
    <w:p w14:paraId="0052AE9F">
      <w:pPr>
        <w:spacing w:line="251" w:lineRule="auto"/>
        <w:rPr>
          <w:rFonts w:ascii="Arial"/>
          <w:color w:val="auto"/>
          <w:sz w:val="21"/>
          <w:highlight w:val="none"/>
        </w:rPr>
      </w:pPr>
    </w:p>
    <w:p w14:paraId="69895A9C">
      <w:pPr>
        <w:spacing w:line="251" w:lineRule="auto"/>
        <w:rPr>
          <w:rFonts w:ascii="Arial"/>
          <w:color w:val="auto"/>
          <w:sz w:val="21"/>
          <w:highlight w:val="none"/>
        </w:rPr>
      </w:pPr>
    </w:p>
    <w:p w14:paraId="325C349D">
      <w:pPr>
        <w:spacing w:line="251" w:lineRule="auto"/>
        <w:rPr>
          <w:rFonts w:ascii="Arial"/>
          <w:color w:val="auto"/>
          <w:sz w:val="21"/>
          <w:highlight w:val="none"/>
        </w:rPr>
      </w:pPr>
    </w:p>
    <w:p w14:paraId="5847C894">
      <w:pPr>
        <w:spacing w:line="251" w:lineRule="auto"/>
        <w:rPr>
          <w:rFonts w:ascii="Arial"/>
          <w:color w:val="auto"/>
          <w:sz w:val="21"/>
          <w:highlight w:val="none"/>
        </w:rPr>
      </w:pPr>
    </w:p>
    <w:p w14:paraId="41FD6A8E">
      <w:pPr>
        <w:spacing w:line="251" w:lineRule="auto"/>
        <w:rPr>
          <w:rFonts w:ascii="Arial"/>
          <w:color w:val="auto"/>
          <w:sz w:val="21"/>
          <w:highlight w:val="none"/>
        </w:rPr>
      </w:pPr>
    </w:p>
    <w:p w14:paraId="1E85FB84">
      <w:pPr>
        <w:spacing w:line="251" w:lineRule="auto"/>
        <w:rPr>
          <w:rFonts w:ascii="Arial"/>
          <w:color w:val="auto"/>
          <w:sz w:val="21"/>
          <w:highlight w:val="none"/>
        </w:rPr>
      </w:pPr>
    </w:p>
    <w:p w14:paraId="51A460CC">
      <w:pPr>
        <w:spacing w:line="229" w:lineRule="auto"/>
        <w:rPr>
          <w:rFonts w:ascii="宋体" w:hAnsi="宋体" w:eastAsia="宋体" w:cs="宋体"/>
          <w:color w:val="auto"/>
          <w:sz w:val="18"/>
          <w:szCs w:val="18"/>
          <w:highlight w:val="none"/>
        </w:rPr>
        <w:sectPr>
          <w:footerReference r:id="rId24" w:type="default"/>
          <w:pgSz w:w="11906" w:h="16839"/>
          <w:pgMar w:top="1431" w:right="1304" w:bottom="1297" w:left="1304" w:header="0" w:footer="1067" w:gutter="0"/>
          <w:pgNumType w:fmt="decimal"/>
          <w:cols w:space="720" w:num="1"/>
        </w:sectPr>
      </w:pPr>
    </w:p>
    <w:p w14:paraId="092E6E84">
      <w:pPr>
        <w:spacing w:before="128" w:line="219" w:lineRule="auto"/>
        <w:ind w:left="2186"/>
        <w:outlineLvl w:val="1"/>
        <w:rPr>
          <w:rFonts w:ascii="宋体" w:hAnsi="宋体" w:eastAsia="宋体" w:cs="宋体"/>
          <w:b/>
          <w:bCs/>
          <w:color w:val="auto"/>
          <w:spacing w:val="-6"/>
          <w:sz w:val="28"/>
          <w:szCs w:val="28"/>
          <w:highlight w:val="none"/>
        </w:rPr>
      </w:pPr>
      <w:bookmarkStart w:id="52" w:name="_Toc29842"/>
      <w:bookmarkStart w:id="53" w:name="_Toc15525"/>
      <w:bookmarkStart w:id="54" w:name="_Toc16616"/>
      <w:r>
        <w:rPr>
          <w:rFonts w:ascii="宋体" w:hAnsi="宋体" w:eastAsia="宋体" w:cs="宋体"/>
          <w:b/>
          <w:bCs/>
          <w:color w:val="auto"/>
          <w:spacing w:val="-6"/>
          <w:sz w:val="28"/>
          <w:szCs w:val="28"/>
          <w:highlight w:val="none"/>
        </w:rPr>
        <w:t>附录4  资格审查条件（总监理工程师最低要求）</w:t>
      </w:r>
      <w:bookmarkEnd w:id="52"/>
      <w:bookmarkEnd w:id="53"/>
      <w:bookmarkEnd w:id="54"/>
    </w:p>
    <w:p w14:paraId="32BCB93D">
      <w:pPr>
        <w:spacing w:before="294" w:line="220" w:lineRule="auto"/>
        <w:ind w:left="120"/>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标段：</w:t>
      </w:r>
      <w:r>
        <w:rPr>
          <w:rFonts w:ascii="宋体" w:hAnsi="宋体" w:eastAsia="宋体" w:cs="宋体"/>
          <w:color w:val="auto"/>
          <w:sz w:val="24"/>
          <w:szCs w:val="24"/>
          <w:highlight w:val="none"/>
          <w:u w:val="single" w:color="auto"/>
        </w:rPr>
        <w:t xml:space="preserve">     </w:t>
      </w:r>
      <w:r>
        <w:rPr>
          <w:rFonts w:hint="eastAsia" w:ascii="宋体" w:hAnsi="宋体" w:eastAsia="宋体" w:cs="宋体"/>
          <w:color w:val="auto"/>
          <w:sz w:val="24"/>
          <w:szCs w:val="24"/>
          <w:highlight w:val="none"/>
          <w:u w:val="single" w:color="auto"/>
          <w:lang w:val="en-US" w:eastAsia="zh-CN"/>
        </w:rPr>
        <w:t>/</w:t>
      </w:r>
      <w:r>
        <w:rPr>
          <w:rFonts w:ascii="宋体" w:hAnsi="宋体" w:eastAsia="宋体" w:cs="宋体"/>
          <w:color w:val="auto"/>
          <w:sz w:val="24"/>
          <w:szCs w:val="24"/>
          <w:highlight w:val="none"/>
          <w:u w:val="single" w:color="auto"/>
        </w:rPr>
        <w:t xml:space="preserve">      </w:t>
      </w:r>
    </w:p>
    <w:p w14:paraId="764B6E5C">
      <w:pPr>
        <w:spacing w:line="146" w:lineRule="exact"/>
        <w:rPr>
          <w:color w:val="auto"/>
          <w:highlight w:val="none"/>
        </w:rPr>
      </w:pPr>
    </w:p>
    <w:tbl>
      <w:tblPr>
        <w:tblStyle w:val="17"/>
        <w:tblW w:w="928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56"/>
        <w:gridCol w:w="1452"/>
        <w:gridCol w:w="848"/>
        <w:gridCol w:w="3903"/>
        <w:gridCol w:w="1629"/>
      </w:tblGrid>
      <w:tr w14:paraId="711B43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 w:hRule="atLeast"/>
        </w:trPr>
        <w:tc>
          <w:tcPr>
            <w:tcW w:w="1456" w:type="dxa"/>
            <w:tcBorders>
              <w:bottom w:val="single" w:color="auto" w:sz="4" w:space="0"/>
            </w:tcBorders>
            <w:vAlign w:val="top"/>
          </w:tcPr>
          <w:p w14:paraId="0FBFC654">
            <w:pPr>
              <w:pStyle w:val="18"/>
              <w:spacing w:before="128" w:line="228" w:lineRule="auto"/>
              <w:ind w:left="315"/>
              <w:rPr>
                <w:color w:val="auto"/>
                <w:highlight w:val="none"/>
              </w:rPr>
            </w:pPr>
            <w:r>
              <w:rPr>
                <w:color w:val="auto"/>
                <w:spacing w:val="7"/>
                <w:highlight w:val="none"/>
              </w:rPr>
              <w:t>标段类别</w:t>
            </w:r>
          </w:p>
        </w:tc>
        <w:tc>
          <w:tcPr>
            <w:tcW w:w="1452" w:type="dxa"/>
            <w:tcBorders>
              <w:bottom w:val="single" w:color="auto" w:sz="4" w:space="0"/>
            </w:tcBorders>
            <w:vAlign w:val="top"/>
          </w:tcPr>
          <w:p w14:paraId="07BE79AC">
            <w:pPr>
              <w:pStyle w:val="18"/>
              <w:spacing w:before="129" w:line="229" w:lineRule="auto"/>
              <w:ind w:left="521"/>
              <w:rPr>
                <w:color w:val="auto"/>
                <w:highlight w:val="none"/>
              </w:rPr>
            </w:pPr>
            <w:r>
              <w:rPr>
                <w:color w:val="auto"/>
                <w:spacing w:val="3"/>
                <w:highlight w:val="none"/>
              </w:rPr>
              <w:t>人员</w:t>
            </w:r>
          </w:p>
        </w:tc>
        <w:tc>
          <w:tcPr>
            <w:tcW w:w="848" w:type="dxa"/>
            <w:tcBorders>
              <w:bottom w:val="single" w:color="auto" w:sz="4" w:space="0"/>
            </w:tcBorders>
            <w:vAlign w:val="top"/>
          </w:tcPr>
          <w:p w14:paraId="08F15CAC">
            <w:pPr>
              <w:pStyle w:val="18"/>
              <w:spacing w:before="128" w:line="228" w:lineRule="auto"/>
              <w:ind w:left="221"/>
              <w:rPr>
                <w:color w:val="auto"/>
                <w:highlight w:val="none"/>
              </w:rPr>
            </w:pPr>
            <w:r>
              <w:rPr>
                <w:color w:val="auto"/>
                <w:spacing w:val="3"/>
                <w:highlight w:val="none"/>
              </w:rPr>
              <w:t>数量</w:t>
            </w:r>
          </w:p>
        </w:tc>
        <w:tc>
          <w:tcPr>
            <w:tcW w:w="3903" w:type="dxa"/>
            <w:tcBorders>
              <w:bottom w:val="single" w:color="auto" w:sz="4" w:space="0"/>
            </w:tcBorders>
            <w:vAlign w:val="top"/>
          </w:tcPr>
          <w:p w14:paraId="3010716C">
            <w:pPr>
              <w:pStyle w:val="18"/>
              <w:spacing w:before="128" w:line="228" w:lineRule="auto"/>
              <w:ind w:left="1389"/>
              <w:rPr>
                <w:color w:val="auto"/>
                <w:highlight w:val="none"/>
              </w:rPr>
            </w:pPr>
            <w:r>
              <w:rPr>
                <w:color w:val="auto"/>
                <w:spacing w:val="-2"/>
                <w:highlight w:val="none"/>
              </w:rPr>
              <w:t>资</w:t>
            </w:r>
            <w:r>
              <w:rPr>
                <w:color w:val="auto"/>
                <w:spacing w:val="15"/>
                <w:highlight w:val="none"/>
              </w:rPr>
              <w:t xml:space="preserve"> </w:t>
            </w:r>
            <w:r>
              <w:rPr>
                <w:color w:val="auto"/>
                <w:spacing w:val="-2"/>
                <w:highlight w:val="none"/>
              </w:rPr>
              <w:t>格</w:t>
            </w:r>
            <w:r>
              <w:rPr>
                <w:color w:val="auto"/>
                <w:spacing w:val="15"/>
                <w:highlight w:val="none"/>
              </w:rPr>
              <w:t xml:space="preserve"> </w:t>
            </w:r>
            <w:r>
              <w:rPr>
                <w:color w:val="auto"/>
                <w:spacing w:val="-2"/>
                <w:highlight w:val="none"/>
              </w:rPr>
              <w:t>要</w:t>
            </w:r>
            <w:r>
              <w:rPr>
                <w:color w:val="auto"/>
                <w:spacing w:val="15"/>
                <w:highlight w:val="none"/>
              </w:rPr>
              <w:t xml:space="preserve"> </w:t>
            </w:r>
            <w:r>
              <w:rPr>
                <w:color w:val="auto"/>
                <w:spacing w:val="-2"/>
                <w:highlight w:val="none"/>
              </w:rPr>
              <w:t>求</w:t>
            </w:r>
          </w:p>
        </w:tc>
        <w:tc>
          <w:tcPr>
            <w:tcW w:w="1629" w:type="dxa"/>
            <w:tcBorders>
              <w:bottom w:val="single" w:color="auto" w:sz="4" w:space="0"/>
            </w:tcBorders>
            <w:vAlign w:val="top"/>
          </w:tcPr>
          <w:p w14:paraId="15D3F4AE">
            <w:pPr>
              <w:pStyle w:val="18"/>
              <w:spacing w:before="129" w:line="228" w:lineRule="auto"/>
              <w:ind w:left="399"/>
              <w:rPr>
                <w:color w:val="auto"/>
                <w:highlight w:val="none"/>
              </w:rPr>
            </w:pPr>
            <w:r>
              <w:rPr>
                <w:color w:val="auto"/>
                <w:spacing w:val="7"/>
                <w:highlight w:val="none"/>
              </w:rPr>
              <w:t>在岗要求</w:t>
            </w:r>
          </w:p>
        </w:tc>
      </w:tr>
      <w:tr w14:paraId="2880BD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7" w:hRule="atLeast"/>
        </w:trPr>
        <w:tc>
          <w:tcPr>
            <w:tcW w:w="1456" w:type="dxa"/>
            <w:tcBorders>
              <w:top w:val="single" w:color="auto" w:sz="4" w:space="0"/>
              <w:left w:val="single" w:color="auto" w:sz="4" w:space="0"/>
              <w:bottom w:val="single" w:color="auto" w:sz="4" w:space="0"/>
            </w:tcBorders>
            <w:vAlign w:val="top"/>
          </w:tcPr>
          <w:p w14:paraId="6BCB091F">
            <w:pPr>
              <w:spacing w:line="312" w:lineRule="auto"/>
              <w:rPr>
                <w:rFonts w:ascii="Arial"/>
                <w:color w:val="auto"/>
                <w:sz w:val="21"/>
                <w:highlight w:val="none"/>
              </w:rPr>
            </w:pPr>
          </w:p>
          <w:p w14:paraId="6318675D">
            <w:pPr>
              <w:spacing w:line="313" w:lineRule="auto"/>
              <w:rPr>
                <w:rFonts w:ascii="Arial"/>
                <w:color w:val="auto"/>
                <w:sz w:val="21"/>
                <w:highlight w:val="none"/>
              </w:rPr>
            </w:pPr>
          </w:p>
          <w:p w14:paraId="55F3ABC0">
            <w:pPr>
              <w:pStyle w:val="18"/>
              <w:spacing w:before="132" w:line="228" w:lineRule="auto"/>
              <w:ind w:left="139"/>
              <w:rPr>
                <w:color w:val="auto"/>
                <w:highlight w:val="none"/>
              </w:rPr>
            </w:pPr>
            <w:r>
              <w:rPr>
                <w:color w:val="auto"/>
                <w:spacing w:val="4"/>
                <w:highlight w:val="none"/>
              </w:rPr>
              <w:t>土</w:t>
            </w:r>
            <w:r>
              <w:rPr>
                <w:color w:val="auto"/>
                <w:spacing w:val="7"/>
                <w:highlight w:val="none"/>
              </w:rPr>
              <w:t>建监理含中</w:t>
            </w:r>
          </w:p>
          <w:p w14:paraId="58457280">
            <w:pPr>
              <w:pStyle w:val="18"/>
              <w:spacing w:before="135" w:line="229" w:lineRule="auto"/>
              <w:ind w:left="321"/>
              <w:rPr>
                <w:color w:val="auto"/>
                <w:highlight w:val="none"/>
              </w:rPr>
            </w:pPr>
            <w:r>
              <w:rPr>
                <w:color w:val="auto"/>
                <w:spacing w:val="5"/>
                <w:highlight w:val="none"/>
              </w:rPr>
              <w:t>心试验室</w:t>
            </w:r>
          </w:p>
          <w:p w14:paraId="68652909">
            <w:pPr>
              <w:pStyle w:val="18"/>
              <w:spacing w:before="130" w:line="228" w:lineRule="auto"/>
              <w:ind w:left="351"/>
              <w:rPr>
                <w:color w:val="auto"/>
                <w:highlight w:val="none"/>
              </w:rPr>
            </w:pPr>
            <w:r>
              <w:rPr>
                <w:color w:val="auto"/>
                <w:spacing w:val="-2"/>
                <w:highlight w:val="none"/>
              </w:rPr>
              <w:t>（D</w:t>
            </w:r>
            <w:r>
              <w:rPr>
                <w:color w:val="auto"/>
                <w:spacing w:val="-38"/>
                <w:highlight w:val="none"/>
              </w:rPr>
              <w:t xml:space="preserve"> </w:t>
            </w:r>
            <w:r>
              <w:rPr>
                <w:color w:val="auto"/>
                <w:spacing w:val="-2"/>
                <w:highlight w:val="none"/>
              </w:rPr>
              <w:t>类）</w:t>
            </w:r>
          </w:p>
        </w:tc>
        <w:tc>
          <w:tcPr>
            <w:tcW w:w="1452" w:type="dxa"/>
            <w:tcBorders>
              <w:top w:val="single" w:color="auto" w:sz="4" w:space="0"/>
              <w:bottom w:val="single" w:color="auto" w:sz="4" w:space="0"/>
              <w:right w:val="single" w:color="auto" w:sz="4" w:space="0"/>
            </w:tcBorders>
            <w:vAlign w:val="center"/>
          </w:tcPr>
          <w:p w14:paraId="2D76297E">
            <w:pPr>
              <w:pStyle w:val="18"/>
              <w:spacing w:before="297" w:line="354" w:lineRule="auto"/>
              <w:ind w:left="627" w:right="201" w:hanging="417"/>
              <w:jc w:val="center"/>
              <w:rPr>
                <w:color w:val="auto"/>
                <w:spacing w:val="7"/>
                <w:highlight w:val="none"/>
              </w:rPr>
            </w:pPr>
            <w:r>
              <w:rPr>
                <w:color w:val="auto"/>
                <w:spacing w:val="7"/>
                <w:highlight w:val="none"/>
              </w:rPr>
              <w:t>总监理</w:t>
            </w:r>
          </w:p>
          <w:p w14:paraId="3A3D2981">
            <w:pPr>
              <w:pStyle w:val="18"/>
              <w:spacing w:before="297" w:line="354" w:lineRule="auto"/>
              <w:ind w:left="627" w:right="201" w:hanging="417"/>
              <w:jc w:val="center"/>
              <w:rPr>
                <w:color w:val="auto"/>
                <w:highlight w:val="none"/>
              </w:rPr>
            </w:pPr>
            <w:r>
              <w:rPr>
                <w:color w:val="auto"/>
                <w:spacing w:val="7"/>
                <w:highlight w:val="none"/>
              </w:rPr>
              <w:t>工程</w:t>
            </w:r>
            <w:r>
              <w:rPr>
                <w:color w:val="auto"/>
                <w:highlight w:val="none"/>
              </w:rPr>
              <w:t>师</w:t>
            </w:r>
          </w:p>
        </w:tc>
        <w:tc>
          <w:tcPr>
            <w:tcW w:w="848" w:type="dxa"/>
            <w:tcBorders>
              <w:top w:val="single" w:color="auto" w:sz="4" w:space="0"/>
              <w:left w:val="single" w:color="auto" w:sz="4" w:space="0"/>
              <w:bottom w:val="single" w:color="auto" w:sz="4" w:space="0"/>
            </w:tcBorders>
            <w:vAlign w:val="center"/>
          </w:tcPr>
          <w:p w14:paraId="6C69B77B">
            <w:pPr>
              <w:spacing w:line="422" w:lineRule="auto"/>
              <w:jc w:val="left"/>
              <w:rPr>
                <w:rFonts w:ascii="Arial"/>
                <w:color w:val="auto"/>
                <w:sz w:val="21"/>
                <w:highlight w:val="none"/>
              </w:rPr>
            </w:pPr>
          </w:p>
          <w:p w14:paraId="6109C7BD">
            <w:pPr>
              <w:pStyle w:val="18"/>
              <w:spacing w:before="65" w:line="270" w:lineRule="exact"/>
              <w:ind w:left="393"/>
              <w:jc w:val="left"/>
              <w:rPr>
                <w:color w:val="auto"/>
                <w:highlight w:val="none"/>
              </w:rPr>
            </w:pPr>
            <w:r>
              <w:rPr>
                <w:color w:val="auto"/>
                <w:position w:val="1"/>
                <w:highlight w:val="none"/>
              </w:rPr>
              <w:t>1</w:t>
            </w:r>
          </w:p>
        </w:tc>
        <w:tc>
          <w:tcPr>
            <w:tcW w:w="3903" w:type="dxa"/>
            <w:tcBorders>
              <w:top w:val="single" w:color="auto" w:sz="4" w:space="0"/>
              <w:bottom w:val="single" w:color="auto" w:sz="4" w:space="0"/>
            </w:tcBorders>
            <w:vAlign w:val="top"/>
          </w:tcPr>
          <w:p w14:paraId="72D9E9AB">
            <w:pPr>
              <w:pStyle w:val="18"/>
              <w:spacing w:before="120" w:line="336" w:lineRule="auto"/>
              <w:ind w:left="112" w:right="104" w:firstLine="2"/>
              <w:jc w:val="both"/>
              <w:rPr>
                <w:color w:val="auto"/>
                <w:highlight w:val="none"/>
              </w:rPr>
            </w:pPr>
            <w:r>
              <w:rPr>
                <w:color w:val="auto"/>
                <w:spacing w:val="16"/>
                <w:highlight w:val="none"/>
                <w:u w:val="single" w:color="auto"/>
              </w:rPr>
              <w:t>路桥</w:t>
            </w:r>
            <w:r>
              <w:rPr>
                <w:color w:val="auto"/>
                <w:spacing w:val="16"/>
                <w:highlight w:val="none"/>
              </w:rPr>
              <w:t>相关专业</w:t>
            </w:r>
            <w:r>
              <w:rPr>
                <w:color w:val="auto"/>
                <w:spacing w:val="16"/>
                <w:highlight w:val="none"/>
                <w:u w:val="single" w:color="auto"/>
              </w:rPr>
              <w:t>高级</w:t>
            </w:r>
            <w:r>
              <w:rPr>
                <w:color w:val="auto"/>
                <w:spacing w:val="16"/>
                <w:highlight w:val="none"/>
              </w:rPr>
              <w:t>工程师，至少担任过</w:t>
            </w:r>
            <w:r>
              <w:rPr>
                <w:rFonts w:hint="eastAsia"/>
                <w:color w:val="auto"/>
                <w:spacing w:val="16"/>
                <w:highlight w:val="none"/>
                <w:u w:val="single"/>
                <w:lang w:val="en-US" w:eastAsia="zh-CN"/>
              </w:rPr>
              <w:t>1</w:t>
            </w:r>
            <w:r>
              <w:rPr>
                <w:color w:val="auto"/>
                <w:spacing w:val="16"/>
                <w:highlight w:val="none"/>
              </w:rPr>
              <w:t>项类似工程</w:t>
            </w:r>
            <w:r>
              <w:rPr>
                <w:color w:val="auto"/>
                <w:spacing w:val="16"/>
                <w:highlight w:val="none"/>
                <w:u w:val="single" w:color="auto"/>
              </w:rPr>
              <w:t>土建</w:t>
            </w:r>
            <w:r>
              <w:rPr>
                <w:color w:val="auto"/>
                <w:spacing w:val="16"/>
                <w:highlight w:val="none"/>
              </w:rPr>
              <w:t>工程施工监理的监理负责人，持有交通运输部与人力资源和社会保障部用印的交通运输工程（公路工程）专业监理工程师职业资格证书（或电子证书）或具有交通运输部核发的公</w:t>
            </w:r>
            <w:r>
              <w:rPr>
                <w:color w:val="auto"/>
                <w:spacing w:val="5"/>
                <w:highlight w:val="none"/>
              </w:rPr>
              <w:t>路工程监理工程师资格证书</w:t>
            </w:r>
            <w:r>
              <w:rPr>
                <w:color w:val="auto"/>
                <w:spacing w:val="-24"/>
                <w:position w:val="10"/>
                <w:sz w:val="10"/>
                <w:szCs w:val="10"/>
                <w:highlight w:val="none"/>
              </w:rPr>
              <w:t xml:space="preserve"> </w:t>
            </w:r>
            <w:r>
              <w:rPr>
                <w:color w:val="auto"/>
                <w:spacing w:val="5"/>
                <w:highlight w:val="none"/>
              </w:rPr>
              <w:t>,</w:t>
            </w:r>
            <w:r>
              <w:rPr>
                <w:color w:val="auto"/>
                <w:spacing w:val="62"/>
                <w:highlight w:val="none"/>
              </w:rPr>
              <w:t xml:space="preserve"> </w:t>
            </w:r>
            <w:r>
              <w:rPr>
                <w:color w:val="auto"/>
                <w:spacing w:val="5"/>
                <w:highlight w:val="none"/>
              </w:rPr>
              <w:t>且已在投</w:t>
            </w:r>
            <w:r>
              <w:rPr>
                <w:color w:val="auto"/>
                <w:spacing w:val="8"/>
                <w:highlight w:val="none"/>
              </w:rPr>
              <w:t>标人处进行注册（或从业登记）。</w:t>
            </w:r>
          </w:p>
        </w:tc>
        <w:tc>
          <w:tcPr>
            <w:tcW w:w="1629" w:type="dxa"/>
            <w:tcBorders>
              <w:top w:val="single" w:color="auto" w:sz="4" w:space="0"/>
              <w:bottom w:val="single" w:color="auto" w:sz="4" w:space="0"/>
              <w:right w:val="single" w:color="auto" w:sz="4" w:space="0"/>
            </w:tcBorders>
            <w:vAlign w:val="top"/>
          </w:tcPr>
          <w:p w14:paraId="6F9C6EEC">
            <w:pPr>
              <w:pStyle w:val="18"/>
              <w:spacing w:before="123" w:line="228" w:lineRule="auto"/>
              <w:ind w:left="116"/>
              <w:rPr>
                <w:color w:val="auto"/>
                <w:highlight w:val="none"/>
              </w:rPr>
            </w:pPr>
            <w:r>
              <w:rPr>
                <w:color w:val="auto"/>
                <w:spacing w:val="-4"/>
                <w:highlight w:val="none"/>
              </w:rPr>
              <w:t>无 在</w:t>
            </w:r>
            <w:r>
              <w:rPr>
                <w:color w:val="auto"/>
                <w:spacing w:val="26"/>
                <w:highlight w:val="none"/>
              </w:rPr>
              <w:t xml:space="preserve"> </w:t>
            </w:r>
            <w:r>
              <w:rPr>
                <w:color w:val="auto"/>
                <w:spacing w:val="-4"/>
                <w:highlight w:val="none"/>
              </w:rPr>
              <w:t>岗 项</w:t>
            </w:r>
            <w:r>
              <w:rPr>
                <w:color w:val="auto"/>
                <w:spacing w:val="39"/>
                <w:highlight w:val="none"/>
              </w:rPr>
              <w:t xml:space="preserve"> </w:t>
            </w:r>
            <w:r>
              <w:rPr>
                <w:color w:val="auto"/>
                <w:spacing w:val="-4"/>
                <w:highlight w:val="none"/>
              </w:rPr>
              <w:t>目</w:t>
            </w:r>
          </w:p>
          <w:p w14:paraId="7D92FF92">
            <w:pPr>
              <w:pStyle w:val="18"/>
              <w:spacing w:before="132" w:line="228" w:lineRule="auto"/>
              <w:ind w:left="124"/>
              <w:rPr>
                <w:color w:val="auto"/>
                <w:highlight w:val="none"/>
              </w:rPr>
            </w:pPr>
            <w:r>
              <w:rPr>
                <w:color w:val="auto"/>
                <w:spacing w:val="4"/>
                <w:highlight w:val="none"/>
              </w:rPr>
              <w:t>（指</w:t>
            </w:r>
            <w:r>
              <w:rPr>
                <w:color w:val="auto"/>
                <w:spacing w:val="-20"/>
                <w:highlight w:val="none"/>
              </w:rPr>
              <w:t xml:space="preserve"> </w:t>
            </w:r>
            <w:r>
              <w:rPr>
                <w:color w:val="auto"/>
                <w:spacing w:val="4"/>
                <w:highlight w:val="none"/>
              </w:rPr>
              <w:t>目</w:t>
            </w:r>
            <w:r>
              <w:rPr>
                <w:color w:val="auto"/>
                <w:spacing w:val="-57"/>
                <w:highlight w:val="none"/>
              </w:rPr>
              <w:t xml:space="preserve"> </w:t>
            </w:r>
            <w:r>
              <w:rPr>
                <w:color w:val="auto"/>
                <w:spacing w:val="4"/>
                <w:highlight w:val="none"/>
              </w:rPr>
              <w:t>前</w:t>
            </w:r>
            <w:r>
              <w:rPr>
                <w:color w:val="auto"/>
                <w:spacing w:val="-58"/>
                <w:highlight w:val="none"/>
              </w:rPr>
              <w:t xml:space="preserve"> </w:t>
            </w:r>
            <w:r>
              <w:rPr>
                <w:color w:val="auto"/>
                <w:spacing w:val="4"/>
                <w:highlight w:val="none"/>
              </w:rPr>
              <w:t>未在</w:t>
            </w:r>
          </w:p>
          <w:p w14:paraId="6F511868">
            <w:pPr>
              <w:pStyle w:val="18"/>
              <w:spacing w:before="133" w:line="228" w:lineRule="auto"/>
              <w:ind w:left="115"/>
              <w:rPr>
                <w:color w:val="auto"/>
                <w:highlight w:val="none"/>
              </w:rPr>
            </w:pPr>
            <w:r>
              <w:rPr>
                <w:color w:val="auto"/>
                <w:spacing w:val="6"/>
                <w:highlight w:val="none"/>
              </w:rPr>
              <w:t>其他</w:t>
            </w:r>
            <w:r>
              <w:rPr>
                <w:color w:val="auto"/>
                <w:spacing w:val="-57"/>
                <w:highlight w:val="none"/>
              </w:rPr>
              <w:t xml:space="preserve"> </w:t>
            </w:r>
            <w:r>
              <w:rPr>
                <w:color w:val="auto"/>
                <w:spacing w:val="6"/>
                <w:highlight w:val="none"/>
              </w:rPr>
              <w:t>项</w:t>
            </w:r>
            <w:r>
              <w:rPr>
                <w:color w:val="auto"/>
                <w:spacing w:val="-21"/>
                <w:highlight w:val="none"/>
              </w:rPr>
              <w:t xml:space="preserve"> </w:t>
            </w:r>
            <w:r>
              <w:rPr>
                <w:color w:val="auto"/>
                <w:spacing w:val="6"/>
                <w:highlight w:val="none"/>
              </w:rPr>
              <w:t>目</w:t>
            </w:r>
            <w:r>
              <w:rPr>
                <w:color w:val="auto"/>
                <w:spacing w:val="-59"/>
                <w:highlight w:val="none"/>
              </w:rPr>
              <w:t xml:space="preserve"> </w:t>
            </w:r>
            <w:r>
              <w:rPr>
                <w:color w:val="auto"/>
                <w:spacing w:val="6"/>
                <w:highlight w:val="none"/>
              </w:rPr>
              <w:t>上任</w:t>
            </w:r>
          </w:p>
          <w:p w14:paraId="189A5197">
            <w:pPr>
              <w:pStyle w:val="18"/>
              <w:spacing w:before="132" w:line="229" w:lineRule="auto"/>
              <w:ind w:left="115"/>
              <w:rPr>
                <w:color w:val="auto"/>
                <w:highlight w:val="none"/>
              </w:rPr>
            </w:pPr>
            <w:r>
              <w:rPr>
                <w:color w:val="auto"/>
                <w:spacing w:val="15"/>
                <w:highlight w:val="none"/>
              </w:rPr>
              <w:t>职</w:t>
            </w:r>
            <w:r>
              <w:rPr>
                <w:color w:val="auto"/>
                <w:spacing w:val="-40"/>
                <w:highlight w:val="none"/>
              </w:rPr>
              <w:t xml:space="preserve"> </w:t>
            </w:r>
            <w:r>
              <w:rPr>
                <w:color w:val="auto"/>
                <w:spacing w:val="15"/>
                <w:highlight w:val="none"/>
              </w:rPr>
              <w:t>，</w:t>
            </w:r>
            <w:r>
              <w:rPr>
                <w:color w:val="auto"/>
                <w:spacing w:val="-51"/>
                <w:highlight w:val="none"/>
              </w:rPr>
              <w:t xml:space="preserve"> </w:t>
            </w:r>
            <w:r>
              <w:rPr>
                <w:color w:val="auto"/>
                <w:spacing w:val="15"/>
                <w:highlight w:val="none"/>
              </w:rPr>
              <w:t>或虽在其</w:t>
            </w:r>
          </w:p>
          <w:p w14:paraId="0227B8AA">
            <w:pPr>
              <w:pStyle w:val="18"/>
              <w:spacing w:before="130" w:line="228" w:lineRule="auto"/>
              <w:ind w:left="114"/>
              <w:rPr>
                <w:color w:val="auto"/>
                <w:highlight w:val="none"/>
              </w:rPr>
            </w:pPr>
            <w:r>
              <w:rPr>
                <w:color w:val="auto"/>
                <w:spacing w:val="6"/>
                <w:highlight w:val="none"/>
              </w:rPr>
              <w:t>他</w:t>
            </w:r>
            <w:r>
              <w:rPr>
                <w:color w:val="auto"/>
                <w:spacing w:val="-57"/>
                <w:highlight w:val="none"/>
              </w:rPr>
              <w:t xml:space="preserve"> </w:t>
            </w:r>
            <w:r>
              <w:rPr>
                <w:color w:val="auto"/>
                <w:spacing w:val="6"/>
                <w:highlight w:val="none"/>
              </w:rPr>
              <w:t>项</w:t>
            </w:r>
            <w:r>
              <w:rPr>
                <w:color w:val="auto"/>
                <w:spacing w:val="-20"/>
                <w:highlight w:val="none"/>
              </w:rPr>
              <w:t xml:space="preserve"> </w:t>
            </w:r>
            <w:r>
              <w:rPr>
                <w:color w:val="auto"/>
                <w:spacing w:val="6"/>
                <w:highlight w:val="none"/>
              </w:rPr>
              <w:t>目</w:t>
            </w:r>
            <w:r>
              <w:rPr>
                <w:color w:val="auto"/>
                <w:spacing w:val="-60"/>
                <w:highlight w:val="none"/>
              </w:rPr>
              <w:t xml:space="preserve"> </w:t>
            </w:r>
            <w:r>
              <w:rPr>
                <w:color w:val="auto"/>
                <w:spacing w:val="6"/>
                <w:highlight w:val="none"/>
              </w:rPr>
              <w:t>上任职</w:t>
            </w:r>
          </w:p>
          <w:p w14:paraId="60533687">
            <w:pPr>
              <w:pStyle w:val="18"/>
              <w:spacing w:before="135" w:line="227" w:lineRule="auto"/>
              <w:ind w:left="113"/>
              <w:rPr>
                <w:color w:val="auto"/>
                <w:highlight w:val="none"/>
              </w:rPr>
            </w:pPr>
            <w:r>
              <w:rPr>
                <w:color w:val="auto"/>
                <w:spacing w:val="33"/>
                <w:highlight w:val="none"/>
              </w:rPr>
              <w:t>但本项目中标</w:t>
            </w:r>
          </w:p>
          <w:p w14:paraId="68949CDE">
            <w:pPr>
              <w:pStyle w:val="18"/>
              <w:spacing w:before="134" w:line="228" w:lineRule="auto"/>
              <w:ind w:left="116"/>
              <w:rPr>
                <w:color w:val="auto"/>
                <w:highlight w:val="none"/>
              </w:rPr>
            </w:pPr>
            <w:r>
              <w:rPr>
                <w:color w:val="auto"/>
                <w:spacing w:val="33"/>
                <w:highlight w:val="none"/>
              </w:rPr>
              <w:t>后能够从该项</w:t>
            </w:r>
          </w:p>
          <w:p w14:paraId="14F0BF5C">
            <w:pPr>
              <w:pStyle w:val="18"/>
              <w:spacing w:before="132" w:line="228" w:lineRule="auto"/>
              <w:ind w:left="154"/>
              <w:rPr>
                <w:color w:val="auto"/>
                <w:highlight w:val="none"/>
              </w:rPr>
            </w:pPr>
            <w:r>
              <w:rPr>
                <w:color w:val="auto"/>
                <w:spacing w:val="-5"/>
                <w:highlight w:val="none"/>
              </w:rPr>
              <w:t>目撤离）</w:t>
            </w:r>
          </w:p>
        </w:tc>
      </w:tr>
    </w:tbl>
    <w:p w14:paraId="0AB260D1">
      <w:pPr>
        <w:spacing w:before="29" w:line="315" w:lineRule="auto"/>
        <w:ind w:left="119" w:right="111" w:hanging="2"/>
        <w:rPr>
          <w:rFonts w:ascii="宋体" w:hAnsi="宋体" w:eastAsia="宋体" w:cs="宋体"/>
          <w:color w:val="auto"/>
          <w:spacing w:val="12"/>
          <w:sz w:val="20"/>
          <w:szCs w:val="20"/>
          <w:highlight w:val="none"/>
        </w:rPr>
      </w:pPr>
      <w:r>
        <w:rPr>
          <w:rFonts w:ascii="宋体" w:hAnsi="宋体" w:eastAsia="宋体" w:cs="宋体"/>
          <w:color w:val="auto"/>
          <w:spacing w:val="12"/>
          <w:sz w:val="20"/>
          <w:szCs w:val="20"/>
          <w:highlight w:val="none"/>
        </w:rPr>
        <w:t>注：1、“担任过类似工程监理负责人 ”监理负责人可为总监理工程师或副总监理工程师或驻地监</w:t>
      </w:r>
      <w:bookmarkStart w:id="55" w:name="bookmark91"/>
      <w:bookmarkEnd w:id="55"/>
      <w:r>
        <w:rPr>
          <w:rFonts w:ascii="宋体" w:hAnsi="宋体" w:eastAsia="宋体" w:cs="宋体"/>
          <w:color w:val="auto"/>
          <w:spacing w:val="12"/>
          <w:sz w:val="20"/>
          <w:szCs w:val="20"/>
          <w:highlight w:val="none"/>
        </w:rPr>
        <w:t>理工程师。</w:t>
      </w:r>
    </w:p>
    <w:p w14:paraId="44A3965D">
      <w:pPr>
        <w:spacing w:before="29" w:line="315" w:lineRule="auto"/>
        <w:ind w:left="119" w:right="111" w:hanging="2"/>
        <w:rPr>
          <w:rFonts w:ascii="宋体" w:hAnsi="宋体" w:eastAsia="宋体" w:cs="宋体"/>
          <w:color w:val="auto"/>
          <w:spacing w:val="12"/>
          <w:sz w:val="20"/>
          <w:szCs w:val="20"/>
          <w:highlight w:val="none"/>
        </w:rPr>
      </w:pPr>
      <w:r>
        <w:rPr>
          <w:rFonts w:ascii="宋体" w:hAnsi="宋体" w:eastAsia="宋体" w:cs="宋体"/>
          <w:color w:val="auto"/>
          <w:spacing w:val="12"/>
          <w:sz w:val="20"/>
          <w:szCs w:val="20"/>
          <w:highlight w:val="none"/>
        </w:rPr>
        <w:t>2、联合体投标的，总监理工程师（含备选）需为联合体牵头人正式职员。</w:t>
      </w:r>
    </w:p>
    <w:p w14:paraId="4CC7C3CB">
      <w:pPr>
        <w:spacing w:before="128" w:line="219" w:lineRule="auto"/>
        <w:ind w:left="2186"/>
        <w:outlineLvl w:val="1"/>
        <w:rPr>
          <w:rFonts w:ascii="宋体" w:hAnsi="宋体" w:eastAsia="宋体" w:cs="宋体"/>
          <w:b/>
          <w:bCs/>
          <w:color w:val="auto"/>
          <w:spacing w:val="-6"/>
          <w:sz w:val="28"/>
          <w:szCs w:val="28"/>
          <w:highlight w:val="none"/>
        </w:rPr>
      </w:pPr>
      <w:bookmarkStart w:id="56" w:name="_Toc17922"/>
      <w:bookmarkStart w:id="57" w:name="_Toc1646"/>
      <w:bookmarkStart w:id="58" w:name="_Toc11226"/>
    </w:p>
    <w:p w14:paraId="78995274">
      <w:pPr>
        <w:spacing w:before="128" w:line="219" w:lineRule="auto"/>
        <w:ind w:left="2186"/>
        <w:outlineLvl w:val="1"/>
        <w:rPr>
          <w:rFonts w:ascii="宋体" w:hAnsi="宋体" w:eastAsia="宋体" w:cs="宋体"/>
          <w:b/>
          <w:bCs/>
          <w:color w:val="auto"/>
          <w:spacing w:val="-6"/>
          <w:sz w:val="28"/>
          <w:szCs w:val="28"/>
          <w:highlight w:val="none"/>
        </w:rPr>
      </w:pPr>
    </w:p>
    <w:p w14:paraId="44C404D2">
      <w:pPr>
        <w:spacing w:before="128" w:line="219" w:lineRule="auto"/>
        <w:ind w:left="2186"/>
        <w:outlineLvl w:val="1"/>
        <w:rPr>
          <w:rFonts w:ascii="宋体" w:hAnsi="宋体" w:eastAsia="宋体" w:cs="宋体"/>
          <w:b/>
          <w:bCs/>
          <w:color w:val="auto"/>
          <w:spacing w:val="-6"/>
          <w:sz w:val="28"/>
          <w:szCs w:val="28"/>
          <w:highlight w:val="none"/>
        </w:rPr>
      </w:pPr>
    </w:p>
    <w:p w14:paraId="7D990541">
      <w:pPr>
        <w:spacing w:before="128" w:line="219" w:lineRule="auto"/>
        <w:ind w:left="2186"/>
        <w:outlineLvl w:val="1"/>
        <w:rPr>
          <w:rFonts w:ascii="宋体" w:hAnsi="宋体" w:eastAsia="宋体" w:cs="宋体"/>
          <w:b/>
          <w:bCs/>
          <w:color w:val="auto"/>
          <w:spacing w:val="-6"/>
          <w:sz w:val="28"/>
          <w:szCs w:val="28"/>
          <w:highlight w:val="none"/>
        </w:rPr>
      </w:pPr>
    </w:p>
    <w:p w14:paraId="1FC4ED57">
      <w:pPr>
        <w:spacing w:before="128" w:line="219" w:lineRule="auto"/>
        <w:ind w:left="2186"/>
        <w:outlineLvl w:val="1"/>
        <w:rPr>
          <w:rFonts w:ascii="宋体" w:hAnsi="宋体" w:eastAsia="宋体" w:cs="宋体"/>
          <w:b/>
          <w:bCs/>
          <w:color w:val="auto"/>
          <w:spacing w:val="-6"/>
          <w:sz w:val="28"/>
          <w:szCs w:val="28"/>
          <w:highlight w:val="none"/>
        </w:rPr>
      </w:pPr>
    </w:p>
    <w:p w14:paraId="23840C63">
      <w:pPr>
        <w:spacing w:before="128" w:line="219" w:lineRule="auto"/>
        <w:ind w:left="2186"/>
        <w:outlineLvl w:val="1"/>
        <w:rPr>
          <w:rFonts w:ascii="宋体" w:hAnsi="宋体" w:eastAsia="宋体" w:cs="宋体"/>
          <w:b/>
          <w:bCs/>
          <w:color w:val="auto"/>
          <w:spacing w:val="-6"/>
          <w:sz w:val="28"/>
          <w:szCs w:val="28"/>
          <w:highlight w:val="none"/>
        </w:rPr>
      </w:pPr>
    </w:p>
    <w:p w14:paraId="7941E6FA">
      <w:pPr>
        <w:spacing w:before="128" w:line="219" w:lineRule="auto"/>
        <w:ind w:left="2186"/>
        <w:outlineLvl w:val="1"/>
        <w:rPr>
          <w:rFonts w:ascii="宋体" w:hAnsi="宋体" w:eastAsia="宋体" w:cs="宋体"/>
          <w:b/>
          <w:bCs/>
          <w:color w:val="auto"/>
          <w:spacing w:val="-6"/>
          <w:sz w:val="28"/>
          <w:szCs w:val="28"/>
          <w:highlight w:val="none"/>
        </w:rPr>
      </w:pPr>
    </w:p>
    <w:p w14:paraId="2695FFB2">
      <w:pPr>
        <w:spacing w:before="128" w:line="219" w:lineRule="auto"/>
        <w:ind w:left="2186"/>
        <w:outlineLvl w:val="1"/>
        <w:rPr>
          <w:rFonts w:ascii="宋体" w:hAnsi="宋体" w:eastAsia="宋体" w:cs="宋体"/>
          <w:b/>
          <w:bCs/>
          <w:color w:val="auto"/>
          <w:spacing w:val="-6"/>
          <w:sz w:val="28"/>
          <w:szCs w:val="28"/>
          <w:highlight w:val="none"/>
        </w:rPr>
      </w:pPr>
    </w:p>
    <w:p w14:paraId="71DAD491">
      <w:pPr>
        <w:spacing w:before="128" w:line="219" w:lineRule="auto"/>
        <w:ind w:left="2186"/>
        <w:outlineLvl w:val="1"/>
        <w:rPr>
          <w:rFonts w:ascii="宋体" w:hAnsi="宋体" w:eastAsia="宋体" w:cs="宋体"/>
          <w:b/>
          <w:bCs/>
          <w:color w:val="auto"/>
          <w:spacing w:val="-6"/>
          <w:sz w:val="28"/>
          <w:szCs w:val="28"/>
          <w:highlight w:val="none"/>
        </w:rPr>
      </w:pPr>
    </w:p>
    <w:p w14:paraId="77AC3038">
      <w:pPr>
        <w:spacing w:before="128" w:line="219" w:lineRule="auto"/>
        <w:ind w:left="2186"/>
        <w:outlineLvl w:val="1"/>
        <w:rPr>
          <w:rFonts w:ascii="宋体" w:hAnsi="宋体" w:eastAsia="宋体" w:cs="宋体"/>
          <w:b/>
          <w:bCs/>
          <w:color w:val="auto"/>
          <w:spacing w:val="-6"/>
          <w:sz w:val="28"/>
          <w:szCs w:val="28"/>
          <w:highlight w:val="none"/>
        </w:rPr>
      </w:pPr>
    </w:p>
    <w:p w14:paraId="56045F3D">
      <w:pPr>
        <w:spacing w:before="128" w:line="219" w:lineRule="auto"/>
        <w:ind w:left="2186"/>
        <w:outlineLvl w:val="1"/>
        <w:rPr>
          <w:rFonts w:ascii="宋体" w:hAnsi="宋体" w:eastAsia="宋体" w:cs="宋体"/>
          <w:b/>
          <w:bCs/>
          <w:color w:val="auto"/>
          <w:spacing w:val="-6"/>
          <w:sz w:val="28"/>
          <w:szCs w:val="28"/>
          <w:highlight w:val="none"/>
        </w:rPr>
      </w:pPr>
    </w:p>
    <w:p w14:paraId="0B53C0D7">
      <w:pPr>
        <w:spacing w:before="128" w:line="219" w:lineRule="auto"/>
        <w:ind w:left="2186"/>
        <w:outlineLvl w:val="1"/>
        <w:rPr>
          <w:rFonts w:ascii="宋体" w:hAnsi="宋体" w:eastAsia="宋体" w:cs="宋体"/>
          <w:b/>
          <w:bCs/>
          <w:color w:val="auto"/>
          <w:spacing w:val="-6"/>
          <w:sz w:val="28"/>
          <w:szCs w:val="28"/>
          <w:highlight w:val="none"/>
        </w:rPr>
      </w:pPr>
    </w:p>
    <w:p w14:paraId="690CAEA3">
      <w:pPr>
        <w:spacing w:before="128" w:line="219" w:lineRule="auto"/>
        <w:ind w:left="2186"/>
        <w:outlineLvl w:val="1"/>
        <w:rPr>
          <w:rFonts w:ascii="宋体" w:hAnsi="宋体" w:eastAsia="宋体" w:cs="宋体"/>
          <w:b/>
          <w:bCs/>
          <w:color w:val="auto"/>
          <w:spacing w:val="-6"/>
          <w:sz w:val="28"/>
          <w:szCs w:val="28"/>
          <w:highlight w:val="none"/>
        </w:rPr>
      </w:pPr>
    </w:p>
    <w:p w14:paraId="4F0CCD3C">
      <w:pPr>
        <w:spacing w:before="128" w:line="219" w:lineRule="auto"/>
        <w:ind w:left="2186"/>
        <w:outlineLvl w:val="1"/>
        <w:rPr>
          <w:rFonts w:ascii="宋体" w:hAnsi="宋体" w:eastAsia="宋体" w:cs="宋体"/>
          <w:b/>
          <w:bCs/>
          <w:color w:val="auto"/>
          <w:spacing w:val="-6"/>
          <w:sz w:val="28"/>
          <w:szCs w:val="28"/>
          <w:highlight w:val="none"/>
        </w:rPr>
      </w:pPr>
    </w:p>
    <w:p w14:paraId="62C346D9">
      <w:pPr>
        <w:spacing w:before="128" w:line="219" w:lineRule="auto"/>
        <w:ind w:left="2186"/>
        <w:outlineLvl w:val="1"/>
        <w:rPr>
          <w:rFonts w:ascii="宋体" w:hAnsi="宋体" w:eastAsia="宋体" w:cs="宋体"/>
          <w:b/>
          <w:bCs/>
          <w:color w:val="auto"/>
          <w:spacing w:val="-6"/>
          <w:sz w:val="28"/>
          <w:szCs w:val="28"/>
          <w:highlight w:val="none"/>
        </w:rPr>
      </w:pPr>
    </w:p>
    <w:p w14:paraId="6F550C65">
      <w:pPr>
        <w:spacing w:before="128" w:line="219" w:lineRule="auto"/>
        <w:ind w:left="2186"/>
        <w:outlineLvl w:val="1"/>
        <w:rPr>
          <w:rFonts w:ascii="宋体" w:hAnsi="宋体" w:eastAsia="宋体" w:cs="宋体"/>
          <w:b/>
          <w:bCs/>
          <w:color w:val="auto"/>
          <w:spacing w:val="-6"/>
          <w:sz w:val="28"/>
          <w:szCs w:val="28"/>
          <w:highlight w:val="none"/>
        </w:rPr>
      </w:pPr>
    </w:p>
    <w:p w14:paraId="177C1DB6">
      <w:pPr>
        <w:spacing w:before="128" w:line="219" w:lineRule="auto"/>
        <w:ind w:left="2186"/>
        <w:outlineLvl w:val="1"/>
        <w:rPr>
          <w:rFonts w:ascii="宋体" w:hAnsi="宋体" w:eastAsia="宋体" w:cs="宋体"/>
          <w:b/>
          <w:bCs/>
          <w:color w:val="auto"/>
          <w:spacing w:val="-6"/>
          <w:sz w:val="28"/>
          <w:szCs w:val="28"/>
          <w:highlight w:val="none"/>
        </w:rPr>
      </w:pPr>
    </w:p>
    <w:p w14:paraId="1A4CB5BD">
      <w:pPr>
        <w:spacing w:before="128" w:line="219" w:lineRule="auto"/>
        <w:ind w:left="2186"/>
        <w:outlineLvl w:val="1"/>
        <w:rPr>
          <w:rFonts w:ascii="宋体" w:hAnsi="宋体" w:eastAsia="宋体" w:cs="宋体"/>
          <w:b/>
          <w:bCs/>
          <w:color w:val="auto"/>
          <w:spacing w:val="-6"/>
          <w:sz w:val="28"/>
          <w:szCs w:val="28"/>
          <w:highlight w:val="none"/>
        </w:rPr>
      </w:pPr>
    </w:p>
    <w:p w14:paraId="3B7063CB">
      <w:pPr>
        <w:spacing w:before="128" w:line="219" w:lineRule="auto"/>
        <w:ind w:left="2186"/>
        <w:outlineLvl w:val="1"/>
        <w:rPr>
          <w:rFonts w:ascii="宋体" w:hAnsi="宋体" w:eastAsia="宋体" w:cs="宋体"/>
          <w:b/>
          <w:bCs/>
          <w:color w:val="auto"/>
          <w:spacing w:val="-6"/>
          <w:sz w:val="28"/>
          <w:szCs w:val="28"/>
          <w:highlight w:val="none"/>
        </w:rPr>
      </w:pPr>
      <w:r>
        <w:rPr>
          <w:rFonts w:ascii="宋体" w:hAnsi="宋体" w:eastAsia="宋体" w:cs="宋体"/>
          <w:b/>
          <w:bCs/>
          <w:color w:val="auto"/>
          <w:spacing w:val="-6"/>
          <w:sz w:val="28"/>
          <w:szCs w:val="28"/>
          <w:highlight w:val="none"/>
        </w:rPr>
        <w:t>附录 5  资格审查条件（其他主要监理人员最低要求）</w:t>
      </w:r>
      <w:bookmarkEnd w:id="56"/>
      <w:bookmarkEnd w:id="57"/>
      <w:bookmarkEnd w:id="58"/>
    </w:p>
    <w:p w14:paraId="5C2D147F">
      <w:pPr>
        <w:spacing w:before="292" w:line="221" w:lineRule="auto"/>
        <w:ind w:left="263"/>
        <w:rPr>
          <w:rFonts w:ascii="宋体" w:hAnsi="宋体" w:eastAsia="宋体" w:cs="宋体"/>
          <w:color w:val="auto"/>
          <w:sz w:val="20"/>
          <w:szCs w:val="20"/>
          <w:highlight w:val="none"/>
        </w:rPr>
      </w:pPr>
      <w:r>
        <w:rPr>
          <w:rFonts w:ascii="宋体" w:hAnsi="宋体" w:eastAsia="宋体" w:cs="宋体"/>
          <w:color w:val="auto"/>
          <w:spacing w:val="7"/>
          <w:sz w:val="20"/>
          <w:szCs w:val="20"/>
          <w:highlight w:val="none"/>
        </w:rPr>
        <w:t>标段：</w:t>
      </w:r>
      <w:r>
        <w:rPr>
          <w:rFonts w:ascii="宋体" w:hAnsi="宋体" w:eastAsia="宋体" w:cs="宋体"/>
          <w:color w:val="auto"/>
          <w:sz w:val="20"/>
          <w:szCs w:val="20"/>
          <w:highlight w:val="none"/>
          <w:u w:val="single" w:color="auto"/>
        </w:rPr>
        <w:t xml:space="preserve">      </w:t>
      </w:r>
      <w:r>
        <w:rPr>
          <w:rFonts w:hint="eastAsia" w:ascii="宋体" w:hAnsi="宋体" w:eastAsia="宋体" w:cs="宋体"/>
          <w:color w:val="auto"/>
          <w:sz w:val="20"/>
          <w:szCs w:val="20"/>
          <w:highlight w:val="none"/>
          <w:u w:val="single" w:color="auto"/>
          <w:lang w:val="en-US" w:eastAsia="zh-CN"/>
        </w:rPr>
        <w:t>/</w:t>
      </w:r>
      <w:r>
        <w:rPr>
          <w:rFonts w:ascii="宋体" w:hAnsi="宋体" w:eastAsia="宋体" w:cs="宋体"/>
          <w:color w:val="auto"/>
          <w:sz w:val="20"/>
          <w:szCs w:val="20"/>
          <w:highlight w:val="none"/>
          <w:u w:val="single" w:color="auto"/>
        </w:rPr>
        <w:t xml:space="preserve">      </w:t>
      </w:r>
    </w:p>
    <w:tbl>
      <w:tblPr>
        <w:tblStyle w:val="17"/>
        <w:tblW w:w="957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5"/>
        <w:gridCol w:w="1146"/>
        <w:gridCol w:w="738"/>
        <w:gridCol w:w="7059"/>
      </w:tblGrid>
      <w:tr w14:paraId="4DA272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 w:hRule="atLeast"/>
        </w:trPr>
        <w:tc>
          <w:tcPr>
            <w:tcW w:w="1781" w:type="dxa"/>
            <w:gridSpan w:val="2"/>
            <w:shd w:val="clear" w:color="auto" w:fill="auto"/>
            <w:vAlign w:val="top"/>
          </w:tcPr>
          <w:p w14:paraId="40B71D98">
            <w:pPr>
              <w:pStyle w:val="18"/>
              <w:spacing w:before="201" w:line="229" w:lineRule="auto"/>
              <w:ind w:left="689"/>
              <w:rPr>
                <w:color w:val="auto"/>
                <w:highlight w:val="none"/>
              </w:rPr>
            </w:pPr>
            <w:r>
              <w:rPr>
                <w:color w:val="auto"/>
                <w:spacing w:val="3"/>
                <w:highlight w:val="none"/>
              </w:rPr>
              <w:t>人员</w:t>
            </w:r>
          </w:p>
        </w:tc>
        <w:tc>
          <w:tcPr>
            <w:tcW w:w="738" w:type="dxa"/>
            <w:shd w:val="clear" w:color="auto" w:fill="auto"/>
            <w:vAlign w:val="top"/>
          </w:tcPr>
          <w:p w14:paraId="0E28C47C">
            <w:pPr>
              <w:pStyle w:val="18"/>
              <w:spacing w:before="201" w:line="228" w:lineRule="auto"/>
              <w:ind w:left="165"/>
              <w:rPr>
                <w:color w:val="auto"/>
                <w:highlight w:val="none"/>
              </w:rPr>
            </w:pPr>
            <w:r>
              <w:rPr>
                <w:color w:val="auto"/>
                <w:spacing w:val="3"/>
                <w:highlight w:val="none"/>
              </w:rPr>
              <w:t>数量</w:t>
            </w:r>
          </w:p>
        </w:tc>
        <w:tc>
          <w:tcPr>
            <w:tcW w:w="7059" w:type="dxa"/>
            <w:shd w:val="clear" w:color="auto" w:fill="auto"/>
            <w:vAlign w:val="top"/>
          </w:tcPr>
          <w:p w14:paraId="74802CA2">
            <w:pPr>
              <w:pStyle w:val="18"/>
              <w:spacing w:before="201" w:line="228" w:lineRule="auto"/>
              <w:ind w:left="3123"/>
              <w:rPr>
                <w:color w:val="auto"/>
                <w:highlight w:val="none"/>
              </w:rPr>
            </w:pPr>
            <w:r>
              <w:rPr>
                <w:color w:val="auto"/>
                <w:spacing w:val="5"/>
                <w:highlight w:val="none"/>
              </w:rPr>
              <w:t>资格要求</w:t>
            </w:r>
          </w:p>
        </w:tc>
      </w:tr>
      <w:tr w14:paraId="096BCE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0" w:hRule="atLeast"/>
        </w:trPr>
        <w:tc>
          <w:tcPr>
            <w:tcW w:w="635" w:type="dxa"/>
            <w:vMerge w:val="restart"/>
            <w:tcBorders>
              <w:bottom w:val="nil"/>
            </w:tcBorders>
            <w:shd w:val="clear" w:color="auto" w:fill="auto"/>
            <w:textDirection w:val="tbRlV"/>
            <w:vAlign w:val="top"/>
          </w:tcPr>
          <w:p w14:paraId="224D1F6A">
            <w:pPr>
              <w:pStyle w:val="18"/>
              <w:spacing w:before="212" w:line="216" w:lineRule="auto"/>
              <w:ind w:left="3570"/>
              <w:rPr>
                <w:color w:val="auto"/>
                <w:highlight w:val="none"/>
              </w:rPr>
            </w:pPr>
            <w:r>
              <w:rPr>
                <w:color w:val="auto"/>
                <w:spacing w:val="8"/>
                <w:highlight w:val="none"/>
              </w:rPr>
              <w:t>专</w:t>
            </w:r>
            <w:r>
              <w:rPr>
                <w:color w:val="auto"/>
                <w:spacing w:val="55"/>
                <w:highlight w:val="none"/>
              </w:rPr>
              <w:t xml:space="preserve"> </w:t>
            </w:r>
            <w:r>
              <w:rPr>
                <w:color w:val="auto"/>
                <w:spacing w:val="8"/>
                <w:highlight w:val="none"/>
              </w:rPr>
              <w:t>业</w:t>
            </w:r>
            <w:r>
              <w:rPr>
                <w:color w:val="auto"/>
                <w:spacing w:val="51"/>
                <w:highlight w:val="none"/>
              </w:rPr>
              <w:t xml:space="preserve"> </w:t>
            </w:r>
            <w:r>
              <w:rPr>
                <w:color w:val="auto"/>
                <w:spacing w:val="8"/>
                <w:highlight w:val="none"/>
              </w:rPr>
              <w:t>监</w:t>
            </w:r>
            <w:r>
              <w:rPr>
                <w:color w:val="auto"/>
                <w:spacing w:val="52"/>
                <w:highlight w:val="none"/>
              </w:rPr>
              <w:t xml:space="preserve"> </w:t>
            </w:r>
            <w:r>
              <w:rPr>
                <w:color w:val="auto"/>
                <w:spacing w:val="8"/>
                <w:highlight w:val="none"/>
              </w:rPr>
              <w:t>理</w:t>
            </w:r>
            <w:r>
              <w:rPr>
                <w:color w:val="auto"/>
                <w:spacing w:val="51"/>
                <w:highlight w:val="none"/>
              </w:rPr>
              <w:t xml:space="preserve"> </w:t>
            </w:r>
            <w:r>
              <w:rPr>
                <w:color w:val="auto"/>
                <w:spacing w:val="8"/>
                <w:highlight w:val="none"/>
              </w:rPr>
              <w:t>工</w:t>
            </w:r>
            <w:r>
              <w:rPr>
                <w:color w:val="auto"/>
                <w:spacing w:val="51"/>
                <w:highlight w:val="none"/>
              </w:rPr>
              <w:t xml:space="preserve"> </w:t>
            </w:r>
            <w:r>
              <w:rPr>
                <w:color w:val="auto"/>
                <w:spacing w:val="8"/>
                <w:highlight w:val="none"/>
              </w:rPr>
              <w:t>程</w:t>
            </w:r>
            <w:r>
              <w:rPr>
                <w:color w:val="auto"/>
                <w:spacing w:val="51"/>
                <w:highlight w:val="none"/>
              </w:rPr>
              <w:t xml:space="preserve"> </w:t>
            </w:r>
            <w:r>
              <w:rPr>
                <w:color w:val="auto"/>
                <w:spacing w:val="8"/>
                <w:highlight w:val="none"/>
              </w:rPr>
              <w:t>师</w:t>
            </w:r>
          </w:p>
        </w:tc>
        <w:tc>
          <w:tcPr>
            <w:tcW w:w="1146" w:type="dxa"/>
            <w:shd w:val="clear" w:color="auto" w:fill="auto"/>
            <w:vAlign w:val="top"/>
          </w:tcPr>
          <w:p w14:paraId="0EB441BD">
            <w:pPr>
              <w:spacing w:line="295" w:lineRule="auto"/>
              <w:rPr>
                <w:rFonts w:ascii="Arial"/>
                <w:color w:val="auto"/>
                <w:sz w:val="21"/>
                <w:highlight w:val="none"/>
              </w:rPr>
            </w:pPr>
          </w:p>
          <w:p w14:paraId="62AD9D2F">
            <w:pPr>
              <w:spacing w:line="295" w:lineRule="auto"/>
              <w:rPr>
                <w:rFonts w:ascii="Arial"/>
                <w:color w:val="auto"/>
                <w:sz w:val="21"/>
                <w:highlight w:val="none"/>
              </w:rPr>
            </w:pPr>
          </w:p>
          <w:p w14:paraId="27D9EA87">
            <w:pPr>
              <w:pStyle w:val="18"/>
              <w:spacing w:before="65" w:line="228" w:lineRule="auto"/>
              <w:ind w:left="157"/>
              <w:rPr>
                <w:color w:val="auto"/>
                <w:highlight w:val="none"/>
              </w:rPr>
            </w:pPr>
            <w:r>
              <w:rPr>
                <w:color w:val="auto"/>
                <w:spacing w:val="6"/>
                <w:highlight w:val="none"/>
              </w:rPr>
              <w:t>路基工程</w:t>
            </w:r>
          </w:p>
        </w:tc>
        <w:tc>
          <w:tcPr>
            <w:tcW w:w="738" w:type="dxa"/>
            <w:shd w:val="clear" w:color="auto" w:fill="auto"/>
            <w:vAlign w:val="center"/>
          </w:tcPr>
          <w:p w14:paraId="7AE5399C">
            <w:pPr>
              <w:jc w:val="center"/>
              <w:rPr>
                <w:rFonts w:hint="eastAsia" w:ascii="Arial" w:eastAsia="宋体"/>
                <w:color w:val="auto"/>
                <w:sz w:val="21"/>
                <w:highlight w:val="none"/>
                <w:lang w:val="en-US" w:eastAsia="zh-CN"/>
              </w:rPr>
            </w:pPr>
            <w:r>
              <w:rPr>
                <w:rFonts w:hint="eastAsia" w:eastAsia="宋体"/>
                <w:color w:val="auto"/>
                <w:sz w:val="21"/>
                <w:highlight w:val="none"/>
                <w:lang w:val="en-US" w:eastAsia="zh-CN"/>
              </w:rPr>
              <w:t>1</w:t>
            </w:r>
          </w:p>
        </w:tc>
        <w:tc>
          <w:tcPr>
            <w:tcW w:w="7059" w:type="dxa"/>
            <w:shd w:val="clear" w:color="auto" w:fill="auto"/>
            <w:vAlign w:val="top"/>
          </w:tcPr>
          <w:p w14:paraId="492C4E20">
            <w:pPr>
              <w:pStyle w:val="18"/>
              <w:spacing w:before="120" w:line="300" w:lineRule="auto"/>
              <w:ind w:left="111" w:right="109" w:firstLine="5"/>
              <w:jc w:val="both"/>
              <w:rPr>
                <w:color w:val="auto"/>
                <w:highlight w:val="none"/>
              </w:rPr>
            </w:pPr>
            <w:r>
              <w:rPr>
                <w:color w:val="auto"/>
                <w:highlight w:val="none"/>
              </w:rPr>
              <w:pict>
                <v:shape id="_x0000_s1059" o:spid="_x0000_s1059" o:spt="202" type="#_x0000_t202" style="position:absolute;left:0pt;margin-left:4.15pt;margin-top:59.2pt;height:14.1pt;width:12.6pt;z-index:251673600;mso-width-relative:page;mso-height-relative:page;" filled="f" stroked="f" coordsize="21600,21600">
                  <v:path/>
                  <v:fill on="f" focussize="0,0"/>
                  <v:stroke on="f"/>
                  <v:imagedata o:title=""/>
                  <o:lock v:ext="edit" aspectratio="f"/>
                  <v:textbox inset="0mm,0mm,0mm,0mm">
                    <w:txbxContent>
                      <w:p w14:paraId="43357B26">
                        <w:pPr>
                          <w:tabs>
                            <w:tab w:val="left" w:pos="231"/>
                          </w:tabs>
                          <w:spacing w:before="20"/>
                          <w:ind w:left="20"/>
                          <w:rPr>
                            <w:rFonts w:ascii="Arial"/>
                            <w:sz w:val="21"/>
                          </w:rPr>
                        </w:pPr>
                        <w:r>
                          <w:rPr>
                            <w:rFonts w:ascii="Arial" w:hAnsi="Arial" w:eastAsia="Arial" w:cs="Arial"/>
                            <w:sz w:val="21"/>
                            <w:szCs w:val="21"/>
                            <w:u w:val="single" w:color="auto"/>
                          </w:rPr>
                          <w:tab/>
                        </w:r>
                      </w:p>
                    </w:txbxContent>
                  </v:textbox>
                </v:shape>
              </w:pict>
            </w:r>
            <w:r>
              <w:rPr>
                <w:color w:val="auto"/>
                <w:spacing w:val="20"/>
                <w:highlight w:val="none"/>
              </w:rPr>
              <w:t>具有交通运输部与人力资源和社会保障部用印的交通运输工程（公路工</w:t>
            </w:r>
            <w:r>
              <w:rPr>
                <w:color w:val="auto"/>
                <w:spacing w:val="13"/>
                <w:highlight w:val="none"/>
              </w:rPr>
              <w:t>程）专业监理工程师职业资格证书（或电子证书</w:t>
            </w:r>
            <w:r>
              <w:rPr>
                <w:color w:val="auto"/>
                <w:spacing w:val="-1"/>
                <w:highlight w:val="none"/>
              </w:rPr>
              <w:t>）</w:t>
            </w:r>
            <w:r>
              <w:rPr>
                <w:color w:val="auto"/>
                <w:spacing w:val="-57"/>
                <w:highlight w:val="none"/>
              </w:rPr>
              <w:t xml:space="preserve"> </w:t>
            </w:r>
            <w:r>
              <w:rPr>
                <w:color w:val="auto"/>
                <w:spacing w:val="-1"/>
                <w:highlight w:val="none"/>
              </w:rPr>
              <w:t>，</w:t>
            </w:r>
            <w:r>
              <w:rPr>
                <w:color w:val="auto"/>
                <w:spacing w:val="13"/>
                <w:highlight w:val="none"/>
              </w:rPr>
              <w:t>或具有交通运输部核发的公路工程道桥专业监理工程师资格证书；具有路桥相关专业</w:t>
            </w:r>
            <w:r>
              <w:rPr>
                <w:color w:val="auto"/>
                <w:spacing w:val="13"/>
                <w:highlight w:val="none"/>
                <w:u w:val="single" w:color="auto"/>
              </w:rPr>
              <w:t>中级及以</w:t>
            </w:r>
            <w:r>
              <w:rPr>
                <w:color w:val="auto"/>
                <w:spacing w:val="8"/>
                <w:highlight w:val="none"/>
              </w:rPr>
              <w:t>上技术职称；从事公路路基工程监理工作</w:t>
            </w:r>
            <w:r>
              <w:rPr>
                <w:color w:val="auto"/>
                <w:spacing w:val="-33"/>
                <w:highlight w:val="none"/>
              </w:rPr>
              <w:t xml:space="preserve"> </w:t>
            </w:r>
            <w:r>
              <w:rPr>
                <w:color w:val="auto"/>
                <w:spacing w:val="8"/>
                <w:highlight w:val="none"/>
              </w:rPr>
              <w:t>5</w:t>
            </w:r>
            <w:r>
              <w:rPr>
                <w:color w:val="auto"/>
                <w:spacing w:val="-37"/>
                <w:highlight w:val="none"/>
              </w:rPr>
              <w:t xml:space="preserve"> </w:t>
            </w:r>
            <w:r>
              <w:rPr>
                <w:color w:val="auto"/>
                <w:spacing w:val="8"/>
                <w:highlight w:val="none"/>
              </w:rPr>
              <w:t>年</w:t>
            </w:r>
            <w:r>
              <w:rPr>
                <w:color w:val="auto"/>
                <w:spacing w:val="7"/>
                <w:highlight w:val="none"/>
              </w:rPr>
              <w:t>以上。</w:t>
            </w:r>
          </w:p>
        </w:tc>
      </w:tr>
      <w:tr w14:paraId="154663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5" w:hRule="atLeast"/>
        </w:trPr>
        <w:tc>
          <w:tcPr>
            <w:tcW w:w="635" w:type="dxa"/>
            <w:vMerge w:val="continue"/>
            <w:tcBorders>
              <w:top w:val="nil"/>
              <w:bottom w:val="nil"/>
            </w:tcBorders>
            <w:shd w:val="clear" w:color="auto" w:fill="auto"/>
            <w:textDirection w:val="tbRlV"/>
            <w:vAlign w:val="top"/>
          </w:tcPr>
          <w:p w14:paraId="1429C560">
            <w:pPr>
              <w:rPr>
                <w:rFonts w:ascii="Arial"/>
                <w:color w:val="auto"/>
                <w:sz w:val="21"/>
                <w:highlight w:val="none"/>
              </w:rPr>
            </w:pPr>
          </w:p>
        </w:tc>
        <w:tc>
          <w:tcPr>
            <w:tcW w:w="1146" w:type="dxa"/>
            <w:shd w:val="clear" w:color="auto" w:fill="auto"/>
            <w:vAlign w:val="top"/>
          </w:tcPr>
          <w:p w14:paraId="6C0DAC8F">
            <w:pPr>
              <w:spacing w:line="302" w:lineRule="auto"/>
              <w:rPr>
                <w:rFonts w:ascii="Arial"/>
                <w:color w:val="auto"/>
                <w:sz w:val="21"/>
                <w:highlight w:val="none"/>
              </w:rPr>
            </w:pPr>
          </w:p>
          <w:p w14:paraId="20FAA8F6">
            <w:pPr>
              <w:spacing w:line="302" w:lineRule="auto"/>
              <w:rPr>
                <w:rFonts w:ascii="Arial"/>
                <w:color w:val="auto"/>
                <w:sz w:val="21"/>
                <w:highlight w:val="none"/>
              </w:rPr>
            </w:pPr>
          </w:p>
          <w:p w14:paraId="45E9F5E1">
            <w:pPr>
              <w:pStyle w:val="18"/>
              <w:spacing w:before="65" w:line="228" w:lineRule="auto"/>
              <w:ind w:left="157"/>
              <w:rPr>
                <w:color w:val="auto"/>
                <w:highlight w:val="none"/>
              </w:rPr>
            </w:pPr>
            <w:r>
              <w:rPr>
                <w:color w:val="auto"/>
                <w:spacing w:val="6"/>
                <w:highlight w:val="none"/>
              </w:rPr>
              <w:t>路面工程</w:t>
            </w:r>
          </w:p>
        </w:tc>
        <w:tc>
          <w:tcPr>
            <w:tcW w:w="738" w:type="dxa"/>
            <w:shd w:val="clear" w:color="auto" w:fill="auto"/>
            <w:vAlign w:val="center"/>
          </w:tcPr>
          <w:p w14:paraId="5F10CAA0">
            <w:pPr>
              <w:jc w:val="center"/>
              <w:rPr>
                <w:rFonts w:hint="eastAsia" w:ascii="Arial" w:eastAsia="宋体"/>
                <w:color w:val="auto"/>
                <w:sz w:val="21"/>
                <w:highlight w:val="none"/>
                <w:lang w:val="en-US" w:eastAsia="zh-CN"/>
              </w:rPr>
            </w:pPr>
            <w:r>
              <w:rPr>
                <w:rFonts w:hint="eastAsia" w:eastAsia="宋体"/>
                <w:color w:val="auto"/>
                <w:sz w:val="21"/>
                <w:highlight w:val="none"/>
                <w:lang w:val="en-US" w:eastAsia="zh-CN"/>
              </w:rPr>
              <w:t>1</w:t>
            </w:r>
          </w:p>
        </w:tc>
        <w:tc>
          <w:tcPr>
            <w:tcW w:w="7059" w:type="dxa"/>
            <w:shd w:val="clear" w:color="auto" w:fill="auto"/>
            <w:vAlign w:val="top"/>
          </w:tcPr>
          <w:p w14:paraId="6052E40F">
            <w:pPr>
              <w:pStyle w:val="18"/>
              <w:spacing w:before="135" w:line="300" w:lineRule="auto"/>
              <w:ind w:left="111" w:right="109" w:firstLine="5"/>
              <w:jc w:val="both"/>
              <w:rPr>
                <w:color w:val="auto"/>
                <w:highlight w:val="none"/>
              </w:rPr>
            </w:pPr>
            <w:r>
              <w:rPr>
                <w:color w:val="auto"/>
                <w:spacing w:val="20"/>
                <w:highlight w:val="none"/>
              </w:rPr>
              <w:t>具有交通运输部与人力资源和社会保障部用印的交通运输工程（公路工</w:t>
            </w:r>
            <w:r>
              <w:rPr>
                <w:color w:val="auto"/>
                <w:spacing w:val="13"/>
                <w:highlight w:val="none"/>
              </w:rPr>
              <w:t>程）专业监理工程师职业资格证书（或电子证书</w:t>
            </w:r>
            <w:r>
              <w:rPr>
                <w:color w:val="auto"/>
                <w:spacing w:val="-1"/>
                <w:highlight w:val="none"/>
              </w:rPr>
              <w:t>）</w:t>
            </w:r>
            <w:r>
              <w:rPr>
                <w:color w:val="auto"/>
                <w:spacing w:val="-57"/>
                <w:highlight w:val="none"/>
              </w:rPr>
              <w:t xml:space="preserve"> </w:t>
            </w:r>
            <w:r>
              <w:rPr>
                <w:color w:val="auto"/>
                <w:spacing w:val="-1"/>
                <w:highlight w:val="none"/>
              </w:rPr>
              <w:t>，</w:t>
            </w:r>
            <w:r>
              <w:rPr>
                <w:color w:val="auto"/>
                <w:spacing w:val="13"/>
                <w:highlight w:val="none"/>
              </w:rPr>
              <w:t>或具有交通运输部核发的公路工程道桥专业监理工程师资格证书；具有路桥相关专业</w:t>
            </w:r>
            <w:r>
              <w:rPr>
                <w:color w:val="auto"/>
                <w:spacing w:val="13"/>
                <w:highlight w:val="none"/>
                <w:u w:val="single" w:color="auto"/>
              </w:rPr>
              <w:t>中级及以</w:t>
            </w:r>
            <w:r>
              <w:rPr>
                <w:color w:val="auto"/>
                <w:spacing w:val="8"/>
                <w:highlight w:val="none"/>
                <w:u w:val="single" w:color="auto"/>
              </w:rPr>
              <w:t>上</w:t>
            </w:r>
            <w:r>
              <w:rPr>
                <w:color w:val="auto"/>
                <w:spacing w:val="8"/>
                <w:highlight w:val="none"/>
              </w:rPr>
              <w:t>技术职称；从事公路路面工程监理工作</w:t>
            </w:r>
            <w:r>
              <w:rPr>
                <w:color w:val="auto"/>
                <w:spacing w:val="-33"/>
                <w:highlight w:val="none"/>
              </w:rPr>
              <w:t xml:space="preserve"> </w:t>
            </w:r>
            <w:r>
              <w:rPr>
                <w:color w:val="auto"/>
                <w:spacing w:val="8"/>
                <w:highlight w:val="none"/>
              </w:rPr>
              <w:t>5</w:t>
            </w:r>
            <w:r>
              <w:rPr>
                <w:color w:val="auto"/>
                <w:spacing w:val="-37"/>
                <w:highlight w:val="none"/>
              </w:rPr>
              <w:t xml:space="preserve"> </w:t>
            </w:r>
            <w:r>
              <w:rPr>
                <w:color w:val="auto"/>
                <w:spacing w:val="8"/>
                <w:highlight w:val="none"/>
              </w:rPr>
              <w:t>年</w:t>
            </w:r>
            <w:r>
              <w:rPr>
                <w:color w:val="auto"/>
                <w:spacing w:val="7"/>
                <w:highlight w:val="none"/>
              </w:rPr>
              <w:t>以上。</w:t>
            </w:r>
          </w:p>
        </w:tc>
      </w:tr>
      <w:tr w14:paraId="4FBF4B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4" w:hRule="atLeast"/>
        </w:trPr>
        <w:tc>
          <w:tcPr>
            <w:tcW w:w="635" w:type="dxa"/>
            <w:vMerge w:val="continue"/>
            <w:tcBorders>
              <w:top w:val="nil"/>
              <w:bottom w:val="nil"/>
            </w:tcBorders>
            <w:shd w:val="clear" w:color="auto" w:fill="auto"/>
            <w:textDirection w:val="tbRlV"/>
            <w:vAlign w:val="top"/>
          </w:tcPr>
          <w:p w14:paraId="6F83C609">
            <w:pPr>
              <w:rPr>
                <w:rFonts w:ascii="Arial"/>
                <w:color w:val="auto"/>
                <w:sz w:val="21"/>
                <w:highlight w:val="none"/>
              </w:rPr>
            </w:pPr>
          </w:p>
        </w:tc>
        <w:tc>
          <w:tcPr>
            <w:tcW w:w="1146" w:type="dxa"/>
            <w:shd w:val="clear" w:color="auto" w:fill="auto"/>
            <w:vAlign w:val="top"/>
          </w:tcPr>
          <w:p w14:paraId="1EE8A177">
            <w:pPr>
              <w:spacing w:line="302" w:lineRule="auto"/>
              <w:rPr>
                <w:rFonts w:ascii="Arial"/>
                <w:color w:val="auto"/>
                <w:sz w:val="21"/>
                <w:highlight w:val="none"/>
              </w:rPr>
            </w:pPr>
          </w:p>
          <w:p w14:paraId="33E3638B">
            <w:pPr>
              <w:spacing w:line="302" w:lineRule="auto"/>
              <w:rPr>
                <w:rFonts w:ascii="Arial"/>
                <w:color w:val="auto"/>
                <w:sz w:val="21"/>
                <w:highlight w:val="none"/>
              </w:rPr>
            </w:pPr>
          </w:p>
          <w:p w14:paraId="27E1D1C5">
            <w:pPr>
              <w:pStyle w:val="18"/>
              <w:spacing w:before="65" w:line="228" w:lineRule="auto"/>
              <w:ind w:left="155"/>
              <w:rPr>
                <w:color w:val="auto"/>
                <w:highlight w:val="none"/>
              </w:rPr>
            </w:pPr>
            <w:r>
              <w:rPr>
                <w:color w:val="auto"/>
                <w:spacing w:val="7"/>
                <w:highlight w:val="none"/>
              </w:rPr>
              <w:t>桥梁工程</w:t>
            </w:r>
          </w:p>
        </w:tc>
        <w:tc>
          <w:tcPr>
            <w:tcW w:w="738" w:type="dxa"/>
            <w:shd w:val="clear" w:color="auto" w:fill="auto"/>
            <w:vAlign w:val="center"/>
          </w:tcPr>
          <w:p w14:paraId="567F357F">
            <w:pPr>
              <w:jc w:val="center"/>
              <w:rPr>
                <w:rFonts w:hint="eastAsia" w:ascii="Arial" w:eastAsia="宋体"/>
                <w:color w:val="auto"/>
                <w:sz w:val="21"/>
                <w:highlight w:val="none"/>
                <w:lang w:val="en-US" w:eastAsia="zh-CN"/>
              </w:rPr>
            </w:pPr>
            <w:r>
              <w:rPr>
                <w:rFonts w:hint="eastAsia" w:eastAsia="宋体"/>
                <w:color w:val="auto"/>
                <w:sz w:val="21"/>
                <w:highlight w:val="none"/>
                <w:lang w:val="en-US" w:eastAsia="zh-CN"/>
              </w:rPr>
              <w:t>1</w:t>
            </w:r>
          </w:p>
        </w:tc>
        <w:tc>
          <w:tcPr>
            <w:tcW w:w="7059" w:type="dxa"/>
            <w:shd w:val="clear" w:color="auto" w:fill="auto"/>
            <w:vAlign w:val="top"/>
          </w:tcPr>
          <w:p w14:paraId="64EEC4C3">
            <w:pPr>
              <w:pStyle w:val="18"/>
              <w:spacing w:before="134" w:line="300" w:lineRule="auto"/>
              <w:ind w:left="111" w:right="109" w:firstLine="5"/>
              <w:jc w:val="both"/>
              <w:rPr>
                <w:color w:val="auto"/>
                <w:highlight w:val="none"/>
              </w:rPr>
            </w:pPr>
            <w:r>
              <w:rPr>
                <w:color w:val="auto"/>
                <w:spacing w:val="20"/>
                <w:highlight w:val="none"/>
              </w:rPr>
              <w:t>具有交通运输部与人力资源和社会保障部用印的交通运输工程（公路工</w:t>
            </w:r>
            <w:r>
              <w:rPr>
                <w:color w:val="auto"/>
                <w:spacing w:val="13"/>
                <w:highlight w:val="none"/>
              </w:rPr>
              <w:t>程）专业监理工程师职业资格证书（或电子证书</w:t>
            </w:r>
            <w:r>
              <w:rPr>
                <w:color w:val="auto"/>
                <w:spacing w:val="-1"/>
                <w:highlight w:val="none"/>
              </w:rPr>
              <w:t>）</w:t>
            </w:r>
            <w:r>
              <w:rPr>
                <w:color w:val="auto"/>
                <w:spacing w:val="-57"/>
                <w:highlight w:val="none"/>
              </w:rPr>
              <w:t xml:space="preserve"> </w:t>
            </w:r>
            <w:r>
              <w:rPr>
                <w:color w:val="auto"/>
                <w:spacing w:val="-1"/>
                <w:highlight w:val="none"/>
              </w:rPr>
              <w:t>，</w:t>
            </w:r>
            <w:r>
              <w:rPr>
                <w:color w:val="auto"/>
                <w:spacing w:val="13"/>
                <w:highlight w:val="none"/>
              </w:rPr>
              <w:t>或具有交通运输部核发的公路工程道桥专业监理工程师资格证书；具有路桥相关专业</w:t>
            </w:r>
            <w:r>
              <w:rPr>
                <w:color w:val="auto"/>
                <w:spacing w:val="13"/>
                <w:highlight w:val="none"/>
                <w:u w:val="single" w:color="auto"/>
              </w:rPr>
              <w:t>中级及以</w:t>
            </w:r>
            <w:r>
              <w:rPr>
                <w:color w:val="auto"/>
                <w:spacing w:val="8"/>
                <w:highlight w:val="none"/>
                <w:u w:val="single" w:color="auto"/>
              </w:rPr>
              <w:t>上</w:t>
            </w:r>
            <w:r>
              <w:rPr>
                <w:color w:val="auto"/>
                <w:spacing w:val="8"/>
                <w:highlight w:val="none"/>
              </w:rPr>
              <w:t>技术职称；从事桥梁工程监理工作</w:t>
            </w:r>
            <w:r>
              <w:rPr>
                <w:color w:val="auto"/>
                <w:spacing w:val="-32"/>
                <w:highlight w:val="none"/>
              </w:rPr>
              <w:t xml:space="preserve"> </w:t>
            </w:r>
            <w:r>
              <w:rPr>
                <w:color w:val="auto"/>
                <w:spacing w:val="8"/>
                <w:highlight w:val="none"/>
              </w:rPr>
              <w:t>5 年以</w:t>
            </w:r>
            <w:r>
              <w:rPr>
                <w:color w:val="auto"/>
                <w:spacing w:val="7"/>
                <w:highlight w:val="none"/>
              </w:rPr>
              <w:t>上。</w:t>
            </w:r>
          </w:p>
        </w:tc>
      </w:tr>
      <w:tr w14:paraId="6CC948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4" w:hRule="atLeast"/>
        </w:trPr>
        <w:tc>
          <w:tcPr>
            <w:tcW w:w="635" w:type="dxa"/>
            <w:vMerge w:val="continue"/>
            <w:tcBorders>
              <w:top w:val="nil"/>
              <w:bottom w:val="nil"/>
            </w:tcBorders>
            <w:shd w:val="clear" w:color="auto" w:fill="auto"/>
            <w:textDirection w:val="tbRlV"/>
            <w:vAlign w:val="top"/>
          </w:tcPr>
          <w:p w14:paraId="514E30E3">
            <w:pPr>
              <w:rPr>
                <w:rFonts w:ascii="Arial"/>
                <w:color w:val="auto"/>
                <w:sz w:val="21"/>
                <w:highlight w:val="none"/>
              </w:rPr>
            </w:pPr>
          </w:p>
        </w:tc>
        <w:tc>
          <w:tcPr>
            <w:tcW w:w="1146" w:type="dxa"/>
            <w:shd w:val="clear" w:color="auto" w:fill="auto"/>
            <w:vAlign w:val="top"/>
          </w:tcPr>
          <w:p w14:paraId="24A9D6C9">
            <w:pPr>
              <w:spacing w:line="304" w:lineRule="auto"/>
              <w:rPr>
                <w:rFonts w:ascii="Arial"/>
                <w:color w:val="auto"/>
                <w:sz w:val="21"/>
                <w:highlight w:val="none"/>
              </w:rPr>
            </w:pPr>
          </w:p>
          <w:p w14:paraId="2D7BC035">
            <w:pPr>
              <w:spacing w:line="304" w:lineRule="auto"/>
              <w:rPr>
                <w:rFonts w:ascii="Arial"/>
                <w:color w:val="auto"/>
                <w:sz w:val="21"/>
                <w:highlight w:val="none"/>
              </w:rPr>
            </w:pPr>
          </w:p>
          <w:p w14:paraId="448727DE">
            <w:pPr>
              <w:pStyle w:val="18"/>
              <w:spacing w:before="65" w:line="228" w:lineRule="auto"/>
              <w:ind w:left="166"/>
              <w:rPr>
                <w:color w:val="auto"/>
                <w:highlight w:val="none"/>
              </w:rPr>
            </w:pPr>
            <w:r>
              <w:rPr>
                <w:color w:val="auto"/>
                <w:spacing w:val="4"/>
                <w:highlight w:val="none"/>
              </w:rPr>
              <w:t>隧道工程</w:t>
            </w:r>
          </w:p>
        </w:tc>
        <w:tc>
          <w:tcPr>
            <w:tcW w:w="738" w:type="dxa"/>
            <w:shd w:val="clear" w:color="auto" w:fill="auto"/>
            <w:vAlign w:val="center"/>
          </w:tcPr>
          <w:p w14:paraId="35CBB72A">
            <w:pPr>
              <w:jc w:val="center"/>
              <w:rPr>
                <w:rFonts w:hint="eastAsia" w:ascii="Arial" w:eastAsia="宋体"/>
                <w:color w:val="auto"/>
                <w:sz w:val="21"/>
                <w:highlight w:val="none"/>
                <w:lang w:val="en-US" w:eastAsia="zh-CN"/>
              </w:rPr>
            </w:pPr>
            <w:r>
              <w:rPr>
                <w:rFonts w:hint="eastAsia" w:eastAsia="宋体"/>
                <w:color w:val="auto"/>
                <w:sz w:val="21"/>
                <w:highlight w:val="none"/>
                <w:lang w:val="en-US" w:eastAsia="zh-CN"/>
              </w:rPr>
              <w:t>0</w:t>
            </w:r>
          </w:p>
        </w:tc>
        <w:tc>
          <w:tcPr>
            <w:tcW w:w="7059" w:type="dxa"/>
            <w:shd w:val="clear" w:color="auto" w:fill="auto"/>
            <w:vAlign w:val="top"/>
          </w:tcPr>
          <w:p w14:paraId="3CF68EB1">
            <w:pPr>
              <w:pStyle w:val="18"/>
              <w:spacing w:before="138" w:line="299" w:lineRule="auto"/>
              <w:ind w:left="111" w:right="109" w:firstLine="5"/>
              <w:rPr>
                <w:color w:val="auto"/>
                <w:highlight w:val="none"/>
              </w:rPr>
            </w:pPr>
            <w:r>
              <w:rPr>
                <w:color w:val="auto"/>
                <w:spacing w:val="20"/>
                <w:highlight w:val="none"/>
              </w:rPr>
              <w:t>具有交通运输部与人力资源和社会保障部用印的交通运输工程（公路工</w:t>
            </w:r>
            <w:r>
              <w:rPr>
                <w:color w:val="auto"/>
                <w:spacing w:val="13"/>
                <w:highlight w:val="none"/>
              </w:rPr>
              <w:t>程）专业监理工程师职业资格证书（或电子证书</w:t>
            </w:r>
            <w:r>
              <w:rPr>
                <w:color w:val="auto"/>
                <w:spacing w:val="-1"/>
                <w:highlight w:val="none"/>
              </w:rPr>
              <w:t>）</w:t>
            </w:r>
            <w:r>
              <w:rPr>
                <w:color w:val="auto"/>
                <w:spacing w:val="-57"/>
                <w:highlight w:val="none"/>
              </w:rPr>
              <w:t xml:space="preserve"> </w:t>
            </w:r>
            <w:r>
              <w:rPr>
                <w:color w:val="auto"/>
                <w:spacing w:val="-1"/>
                <w:highlight w:val="none"/>
              </w:rPr>
              <w:t>，</w:t>
            </w:r>
            <w:r>
              <w:rPr>
                <w:color w:val="auto"/>
                <w:spacing w:val="13"/>
                <w:highlight w:val="none"/>
              </w:rPr>
              <w:t>或具有交通运输部核发的公路工程隧道专业监理工程师资格证书；具有</w:t>
            </w:r>
            <w:r>
              <w:rPr>
                <w:color w:val="auto"/>
                <w:spacing w:val="13"/>
                <w:highlight w:val="none"/>
                <w:u w:val="single" w:color="auto"/>
              </w:rPr>
              <w:t>中级及以上</w:t>
            </w:r>
            <w:r>
              <w:rPr>
                <w:color w:val="auto"/>
                <w:spacing w:val="13"/>
                <w:highlight w:val="none"/>
              </w:rPr>
              <w:t>技术职称；</w:t>
            </w:r>
            <w:r>
              <w:rPr>
                <w:color w:val="auto"/>
                <w:spacing w:val="6"/>
                <w:highlight w:val="none"/>
              </w:rPr>
              <w:t>从事隧道工程监理工作</w:t>
            </w:r>
            <w:r>
              <w:rPr>
                <w:color w:val="auto"/>
                <w:spacing w:val="-22"/>
                <w:highlight w:val="none"/>
              </w:rPr>
              <w:t xml:space="preserve"> </w:t>
            </w:r>
            <w:r>
              <w:rPr>
                <w:color w:val="auto"/>
                <w:spacing w:val="6"/>
                <w:highlight w:val="none"/>
              </w:rPr>
              <w:t>5</w:t>
            </w:r>
            <w:r>
              <w:rPr>
                <w:color w:val="auto"/>
                <w:spacing w:val="-37"/>
                <w:highlight w:val="none"/>
              </w:rPr>
              <w:t xml:space="preserve"> </w:t>
            </w:r>
            <w:r>
              <w:rPr>
                <w:color w:val="auto"/>
                <w:spacing w:val="6"/>
                <w:highlight w:val="none"/>
              </w:rPr>
              <w:t>年以上。</w:t>
            </w:r>
          </w:p>
        </w:tc>
      </w:tr>
      <w:tr w14:paraId="255315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4" w:hRule="atLeast"/>
        </w:trPr>
        <w:tc>
          <w:tcPr>
            <w:tcW w:w="635" w:type="dxa"/>
            <w:vMerge w:val="continue"/>
            <w:tcBorders>
              <w:top w:val="nil"/>
              <w:bottom w:val="nil"/>
            </w:tcBorders>
            <w:shd w:val="clear" w:color="auto" w:fill="auto"/>
            <w:textDirection w:val="tbRlV"/>
            <w:vAlign w:val="top"/>
          </w:tcPr>
          <w:p w14:paraId="73A7E973">
            <w:pPr>
              <w:rPr>
                <w:rFonts w:ascii="Arial"/>
                <w:color w:val="auto"/>
                <w:sz w:val="21"/>
                <w:highlight w:val="none"/>
              </w:rPr>
            </w:pPr>
          </w:p>
        </w:tc>
        <w:tc>
          <w:tcPr>
            <w:tcW w:w="1146" w:type="dxa"/>
            <w:shd w:val="clear" w:color="auto" w:fill="auto"/>
            <w:vAlign w:val="top"/>
          </w:tcPr>
          <w:p w14:paraId="08766A18">
            <w:pPr>
              <w:spacing w:line="251" w:lineRule="auto"/>
              <w:rPr>
                <w:rFonts w:ascii="Arial"/>
                <w:color w:val="auto"/>
                <w:sz w:val="21"/>
                <w:highlight w:val="none"/>
              </w:rPr>
            </w:pPr>
          </w:p>
          <w:p w14:paraId="2A0425E8">
            <w:pPr>
              <w:pStyle w:val="18"/>
              <w:spacing w:before="65" w:line="221" w:lineRule="auto"/>
              <w:ind w:left="156"/>
              <w:rPr>
                <w:color w:val="auto"/>
                <w:highlight w:val="none"/>
              </w:rPr>
            </w:pPr>
            <w:r>
              <w:rPr>
                <w:color w:val="auto"/>
                <w:spacing w:val="7"/>
                <w:highlight w:val="none"/>
              </w:rPr>
              <w:t>合同管理</w:t>
            </w:r>
          </w:p>
          <w:p w14:paraId="5BD3E8F9">
            <w:pPr>
              <w:pStyle w:val="18"/>
              <w:spacing w:before="103" w:line="228" w:lineRule="auto"/>
              <w:ind w:left="520"/>
              <w:rPr>
                <w:color w:val="auto"/>
                <w:sz w:val="10"/>
                <w:szCs w:val="10"/>
                <w:highlight w:val="none"/>
              </w:rPr>
            </w:pPr>
            <w:r>
              <w:rPr>
                <w:color w:val="auto"/>
                <w:highlight w:val="none"/>
              </w:rPr>
              <w:fldChar w:fldCharType="begin"/>
            </w:r>
            <w:r>
              <w:rPr>
                <w:color w:val="auto"/>
                <w:highlight w:val="none"/>
              </w:rPr>
              <w:instrText xml:space="preserve"> HYPERLINK \l "bookmark96" </w:instrText>
            </w:r>
            <w:r>
              <w:rPr>
                <w:color w:val="auto"/>
                <w:highlight w:val="none"/>
              </w:rPr>
              <w:fldChar w:fldCharType="separate"/>
            </w:r>
            <w:r>
              <w:rPr>
                <w:color w:val="auto"/>
                <w:spacing w:val="2"/>
                <w:sz w:val="10"/>
                <w:szCs w:val="10"/>
                <w:highlight w:val="none"/>
              </w:rPr>
              <w:t>②</w:t>
            </w:r>
            <w:r>
              <w:rPr>
                <w:color w:val="auto"/>
                <w:spacing w:val="2"/>
                <w:sz w:val="10"/>
                <w:szCs w:val="10"/>
                <w:highlight w:val="none"/>
              </w:rPr>
              <w:fldChar w:fldCharType="end"/>
            </w:r>
          </w:p>
        </w:tc>
        <w:tc>
          <w:tcPr>
            <w:tcW w:w="738" w:type="dxa"/>
            <w:shd w:val="clear" w:color="auto" w:fill="auto"/>
            <w:vAlign w:val="center"/>
          </w:tcPr>
          <w:p w14:paraId="7E558AAE">
            <w:pPr>
              <w:jc w:val="center"/>
              <w:rPr>
                <w:rFonts w:hint="eastAsia" w:ascii="Arial" w:eastAsia="宋体"/>
                <w:color w:val="auto"/>
                <w:sz w:val="21"/>
                <w:highlight w:val="none"/>
                <w:lang w:val="en-US" w:eastAsia="zh-CN"/>
              </w:rPr>
            </w:pPr>
            <w:r>
              <w:rPr>
                <w:rFonts w:hint="eastAsia" w:eastAsia="宋体"/>
                <w:color w:val="auto"/>
                <w:sz w:val="21"/>
                <w:highlight w:val="none"/>
                <w:lang w:val="en-US" w:eastAsia="zh-CN"/>
              </w:rPr>
              <w:t>1</w:t>
            </w:r>
          </w:p>
        </w:tc>
        <w:tc>
          <w:tcPr>
            <w:tcW w:w="7059" w:type="dxa"/>
            <w:shd w:val="clear" w:color="auto" w:fill="auto"/>
            <w:vAlign w:val="top"/>
          </w:tcPr>
          <w:p w14:paraId="6F0E5247">
            <w:pPr>
              <w:pStyle w:val="18"/>
              <w:spacing w:before="138" w:line="288" w:lineRule="auto"/>
              <w:ind w:left="111" w:right="107" w:firstLine="5"/>
              <w:jc w:val="both"/>
              <w:rPr>
                <w:color w:val="auto"/>
                <w:highlight w:val="none"/>
              </w:rPr>
            </w:pPr>
            <w:r>
              <w:rPr>
                <w:color w:val="auto"/>
                <w:spacing w:val="12"/>
                <w:highlight w:val="none"/>
              </w:rPr>
              <w:t>具有</w:t>
            </w:r>
            <w:r>
              <w:rPr>
                <w:color w:val="auto"/>
                <w:spacing w:val="-80"/>
                <w:highlight w:val="none"/>
              </w:rPr>
              <w:t xml:space="preserve"> </w:t>
            </w:r>
            <w:r>
              <w:rPr>
                <w:color w:val="auto"/>
                <w:spacing w:val="8"/>
                <w:highlight w:val="none"/>
                <w:u w:val="single" w:color="auto"/>
              </w:rPr>
              <w:t xml:space="preserve">  </w:t>
            </w:r>
            <w:r>
              <w:rPr>
                <w:rFonts w:hint="eastAsia"/>
                <w:color w:val="auto"/>
                <w:spacing w:val="8"/>
                <w:highlight w:val="none"/>
                <w:u w:val="single" w:color="auto"/>
                <w:lang w:val="en-US" w:eastAsia="zh-CN"/>
              </w:rPr>
              <w:t>一</w:t>
            </w:r>
            <w:r>
              <w:rPr>
                <w:color w:val="auto"/>
                <w:spacing w:val="8"/>
                <w:highlight w:val="none"/>
                <w:u w:val="single" w:color="auto"/>
              </w:rPr>
              <w:t xml:space="preserve">  </w:t>
            </w:r>
            <w:r>
              <w:rPr>
                <w:color w:val="auto"/>
                <w:spacing w:val="-86"/>
                <w:highlight w:val="none"/>
              </w:rPr>
              <w:t xml:space="preserve"> </w:t>
            </w:r>
            <w:r>
              <w:rPr>
                <w:color w:val="auto"/>
                <w:spacing w:val="12"/>
                <w:highlight w:val="none"/>
              </w:rPr>
              <w:t>级造价工程师注册证（交通运输工程专业，类别为公路）或交通</w:t>
            </w:r>
            <w:r>
              <w:rPr>
                <w:color w:val="auto"/>
                <w:spacing w:val="17"/>
                <w:highlight w:val="none"/>
              </w:rPr>
              <w:t>运输主管部门颁发的</w:t>
            </w:r>
            <w:r>
              <w:rPr>
                <w:color w:val="auto"/>
                <w:spacing w:val="-76"/>
                <w:highlight w:val="none"/>
              </w:rPr>
              <w:t xml:space="preserve"> </w:t>
            </w:r>
            <w:r>
              <w:rPr>
                <w:color w:val="auto"/>
                <w:spacing w:val="15"/>
                <w:highlight w:val="none"/>
                <w:u w:val="single" w:color="auto"/>
              </w:rPr>
              <w:t xml:space="preserve">  </w:t>
            </w:r>
            <w:r>
              <w:rPr>
                <w:rFonts w:hint="eastAsia"/>
                <w:color w:val="auto"/>
                <w:spacing w:val="15"/>
                <w:highlight w:val="none"/>
                <w:u w:val="single" w:color="auto"/>
                <w:lang w:val="en-US" w:eastAsia="zh-CN"/>
              </w:rPr>
              <w:t>一</w:t>
            </w:r>
            <w:r>
              <w:rPr>
                <w:color w:val="auto"/>
                <w:spacing w:val="15"/>
                <w:highlight w:val="none"/>
                <w:u w:val="single" w:color="auto"/>
              </w:rPr>
              <w:t xml:space="preserve">  </w:t>
            </w:r>
            <w:r>
              <w:rPr>
                <w:color w:val="auto"/>
                <w:spacing w:val="-88"/>
                <w:highlight w:val="none"/>
              </w:rPr>
              <w:t xml:space="preserve"> </w:t>
            </w:r>
            <w:r>
              <w:rPr>
                <w:color w:val="auto"/>
                <w:spacing w:val="17"/>
                <w:highlight w:val="none"/>
              </w:rPr>
              <w:t>级公路造价人员证书；</w:t>
            </w:r>
            <w:r>
              <w:rPr>
                <w:color w:val="auto"/>
                <w:spacing w:val="-55"/>
                <w:highlight w:val="none"/>
              </w:rPr>
              <w:t xml:space="preserve"> </w:t>
            </w:r>
            <w:r>
              <w:rPr>
                <w:color w:val="auto"/>
                <w:spacing w:val="17"/>
                <w:highlight w:val="none"/>
              </w:rPr>
              <w:t>具有</w:t>
            </w:r>
            <w:r>
              <w:rPr>
                <w:color w:val="auto"/>
                <w:spacing w:val="17"/>
                <w:highlight w:val="none"/>
                <w:u w:val="single" w:color="auto"/>
              </w:rPr>
              <w:t>中级及以上</w:t>
            </w:r>
            <w:r>
              <w:rPr>
                <w:color w:val="auto"/>
                <w:spacing w:val="17"/>
                <w:highlight w:val="none"/>
              </w:rPr>
              <w:t>技术职</w:t>
            </w:r>
            <w:r>
              <w:rPr>
                <w:color w:val="auto"/>
                <w:spacing w:val="5"/>
                <w:highlight w:val="none"/>
              </w:rPr>
              <w:t>称，至少</w:t>
            </w:r>
            <w:r>
              <w:rPr>
                <w:color w:val="auto"/>
                <w:spacing w:val="-27"/>
                <w:highlight w:val="none"/>
              </w:rPr>
              <w:t xml:space="preserve"> </w:t>
            </w:r>
            <w:r>
              <w:rPr>
                <w:color w:val="auto"/>
                <w:spacing w:val="5"/>
                <w:highlight w:val="none"/>
              </w:rPr>
              <w:t>5</w:t>
            </w:r>
            <w:r>
              <w:rPr>
                <w:color w:val="auto"/>
                <w:spacing w:val="-37"/>
                <w:highlight w:val="none"/>
              </w:rPr>
              <w:t xml:space="preserve"> </w:t>
            </w:r>
            <w:r>
              <w:rPr>
                <w:color w:val="auto"/>
                <w:spacing w:val="5"/>
                <w:highlight w:val="none"/>
              </w:rPr>
              <w:t>年工作经验。</w:t>
            </w:r>
          </w:p>
        </w:tc>
      </w:tr>
      <w:tr w14:paraId="79F189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4" w:hRule="atLeast"/>
        </w:trPr>
        <w:tc>
          <w:tcPr>
            <w:tcW w:w="635" w:type="dxa"/>
            <w:vMerge w:val="continue"/>
            <w:tcBorders>
              <w:top w:val="nil"/>
              <w:bottom w:val="nil"/>
            </w:tcBorders>
            <w:shd w:val="clear" w:color="auto" w:fill="auto"/>
            <w:textDirection w:val="tbRlV"/>
            <w:vAlign w:val="top"/>
          </w:tcPr>
          <w:p w14:paraId="273091E1">
            <w:pPr>
              <w:rPr>
                <w:rFonts w:ascii="Arial"/>
                <w:color w:val="auto"/>
                <w:sz w:val="21"/>
                <w:highlight w:val="none"/>
              </w:rPr>
            </w:pPr>
          </w:p>
        </w:tc>
        <w:tc>
          <w:tcPr>
            <w:tcW w:w="1146" w:type="dxa"/>
            <w:shd w:val="clear" w:color="auto" w:fill="auto"/>
            <w:vAlign w:val="top"/>
          </w:tcPr>
          <w:p w14:paraId="5FD04164">
            <w:pPr>
              <w:spacing w:line="304" w:lineRule="auto"/>
              <w:rPr>
                <w:rFonts w:ascii="Arial"/>
                <w:color w:val="auto"/>
                <w:sz w:val="21"/>
                <w:highlight w:val="none"/>
              </w:rPr>
            </w:pPr>
          </w:p>
          <w:p w14:paraId="2659FF16">
            <w:pPr>
              <w:spacing w:line="305" w:lineRule="auto"/>
              <w:rPr>
                <w:rFonts w:ascii="Arial"/>
                <w:color w:val="auto"/>
                <w:sz w:val="21"/>
                <w:highlight w:val="none"/>
              </w:rPr>
            </w:pPr>
          </w:p>
          <w:p w14:paraId="57C0FF88">
            <w:pPr>
              <w:pStyle w:val="18"/>
              <w:spacing w:before="65" w:line="228" w:lineRule="auto"/>
              <w:ind w:left="156"/>
              <w:rPr>
                <w:color w:val="auto"/>
                <w:highlight w:val="none"/>
              </w:rPr>
            </w:pPr>
            <w:r>
              <w:rPr>
                <w:color w:val="auto"/>
                <w:spacing w:val="7"/>
                <w:highlight w:val="none"/>
              </w:rPr>
              <w:t>测量工程</w:t>
            </w:r>
          </w:p>
        </w:tc>
        <w:tc>
          <w:tcPr>
            <w:tcW w:w="738" w:type="dxa"/>
            <w:shd w:val="clear" w:color="auto" w:fill="auto"/>
            <w:vAlign w:val="center"/>
          </w:tcPr>
          <w:p w14:paraId="6732AFBC">
            <w:pPr>
              <w:jc w:val="center"/>
              <w:rPr>
                <w:rFonts w:hint="eastAsia" w:ascii="Arial" w:eastAsia="宋体"/>
                <w:color w:val="auto"/>
                <w:sz w:val="21"/>
                <w:highlight w:val="none"/>
                <w:lang w:val="en-US" w:eastAsia="zh-CN"/>
              </w:rPr>
            </w:pPr>
            <w:r>
              <w:rPr>
                <w:rFonts w:hint="eastAsia" w:eastAsia="宋体"/>
                <w:color w:val="auto"/>
                <w:sz w:val="21"/>
                <w:highlight w:val="none"/>
                <w:lang w:val="en-US" w:eastAsia="zh-CN"/>
              </w:rPr>
              <w:t>1</w:t>
            </w:r>
          </w:p>
        </w:tc>
        <w:tc>
          <w:tcPr>
            <w:tcW w:w="7059" w:type="dxa"/>
            <w:shd w:val="clear" w:color="auto" w:fill="auto"/>
            <w:vAlign w:val="top"/>
          </w:tcPr>
          <w:p w14:paraId="2A034BB2">
            <w:pPr>
              <w:pStyle w:val="18"/>
              <w:spacing w:before="138" w:line="299" w:lineRule="auto"/>
              <w:ind w:left="111" w:right="109" w:firstLine="5"/>
              <w:jc w:val="both"/>
              <w:rPr>
                <w:color w:val="auto"/>
                <w:highlight w:val="none"/>
              </w:rPr>
            </w:pPr>
            <w:r>
              <w:rPr>
                <w:color w:val="auto"/>
                <w:spacing w:val="20"/>
                <w:highlight w:val="none"/>
              </w:rPr>
              <w:t>具有交通运输部与人力资源和社会保障部用印的交通运输工程（公路工</w:t>
            </w:r>
            <w:r>
              <w:rPr>
                <w:color w:val="auto"/>
                <w:spacing w:val="13"/>
                <w:highlight w:val="none"/>
              </w:rPr>
              <w:t>程）专业监理工程师职业资格证书（或电子证书</w:t>
            </w:r>
            <w:r>
              <w:rPr>
                <w:color w:val="auto"/>
                <w:spacing w:val="-1"/>
                <w:highlight w:val="none"/>
              </w:rPr>
              <w:t>）</w:t>
            </w:r>
            <w:r>
              <w:rPr>
                <w:color w:val="auto"/>
                <w:spacing w:val="-57"/>
                <w:highlight w:val="none"/>
              </w:rPr>
              <w:t xml:space="preserve"> </w:t>
            </w:r>
            <w:r>
              <w:rPr>
                <w:color w:val="auto"/>
                <w:spacing w:val="-1"/>
                <w:highlight w:val="none"/>
              </w:rPr>
              <w:t>，</w:t>
            </w:r>
            <w:r>
              <w:rPr>
                <w:color w:val="auto"/>
                <w:spacing w:val="13"/>
                <w:highlight w:val="none"/>
              </w:rPr>
              <w:t>或具有交通运输部核发的公路工程专业监理工程师资格证书；具有路桥或测量相关专业</w:t>
            </w:r>
            <w:r>
              <w:rPr>
                <w:color w:val="auto"/>
                <w:spacing w:val="13"/>
                <w:highlight w:val="none"/>
                <w:u w:val="single" w:color="auto"/>
              </w:rPr>
              <w:t>中级及</w:t>
            </w:r>
            <w:r>
              <w:rPr>
                <w:color w:val="auto"/>
                <w:spacing w:val="7"/>
                <w:highlight w:val="none"/>
                <w:u w:val="single" w:color="auto"/>
              </w:rPr>
              <w:t>以上</w:t>
            </w:r>
            <w:r>
              <w:rPr>
                <w:color w:val="auto"/>
                <w:spacing w:val="7"/>
                <w:highlight w:val="none"/>
              </w:rPr>
              <w:t>技术职称；从事监理工作</w:t>
            </w:r>
            <w:r>
              <w:rPr>
                <w:color w:val="auto"/>
                <w:spacing w:val="-29"/>
                <w:highlight w:val="none"/>
              </w:rPr>
              <w:t xml:space="preserve"> </w:t>
            </w:r>
            <w:r>
              <w:rPr>
                <w:color w:val="auto"/>
                <w:spacing w:val="7"/>
                <w:highlight w:val="none"/>
              </w:rPr>
              <w:t>5</w:t>
            </w:r>
            <w:r>
              <w:rPr>
                <w:color w:val="auto"/>
                <w:spacing w:val="-37"/>
                <w:highlight w:val="none"/>
              </w:rPr>
              <w:t xml:space="preserve"> </w:t>
            </w:r>
            <w:r>
              <w:rPr>
                <w:color w:val="auto"/>
                <w:spacing w:val="7"/>
                <w:highlight w:val="none"/>
              </w:rPr>
              <w:t>年以上。</w:t>
            </w:r>
          </w:p>
        </w:tc>
      </w:tr>
      <w:tr w14:paraId="688907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1" w:hRule="atLeast"/>
        </w:trPr>
        <w:tc>
          <w:tcPr>
            <w:tcW w:w="635" w:type="dxa"/>
            <w:vMerge w:val="continue"/>
            <w:tcBorders>
              <w:top w:val="nil"/>
            </w:tcBorders>
            <w:textDirection w:val="tbRlV"/>
            <w:vAlign w:val="top"/>
          </w:tcPr>
          <w:p w14:paraId="5CF7D8CF">
            <w:pPr>
              <w:rPr>
                <w:rFonts w:ascii="Arial"/>
                <w:color w:val="auto"/>
                <w:sz w:val="21"/>
                <w:highlight w:val="none"/>
              </w:rPr>
            </w:pPr>
          </w:p>
        </w:tc>
        <w:tc>
          <w:tcPr>
            <w:tcW w:w="1146" w:type="dxa"/>
            <w:vAlign w:val="top"/>
          </w:tcPr>
          <w:p w14:paraId="2D7EE348">
            <w:pPr>
              <w:spacing w:line="430" w:lineRule="auto"/>
              <w:rPr>
                <w:rFonts w:ascii="Arial"/>
                <w:color w:val="auto"/>
                <w:sz w:val="21"/>
                <w:highlight w:val="none"/>
              </w:rPr>
            </w:pPr>
          </w:p>
          <w:p w14:paraId="22FA2BE3">
            <w:pPr>
              <w:pStyle w:val="18"/>
              <w:spacing w:before="65" w:line="228" w:lineRule="auto"/>
              <w:ind w:left="155"/>
              <w:rPr>
                <w:color w:val="auto"/>
                <w:highlight w:val="none"/>
              </w:rPr>
            </w:pPr>
            <w:r>
              <w:rPr>
                <w:color w:val="auto"/>
                <w:spacing w:val="7"/>
                <w:highlight w:val="none"/>
              </w:rPr>
              <w:t>试验检测</w:t>
            </w:r>
          </w:p>
        </w:tc>
        <w:tc>
          <w:tcPr>
            <w:tcW w:w="738" w:type="dxa"/>
            <w:vAlign w:val="center"/>
          </w:tcPr>
          <w:p w14:paraId="068B589E">
            <w:pPr>
              <w:jc w:val="center"/>
              <w:rPr>
                <w:rFonts w:hint="default" w:ascii="Arial" w:eastAsia="宋体"/>
                <w:color w:val="auto"/>
                <w:sz w:val="21"/>
                <w:highlight w:val="none"/>
                <w:lang w:val="en-US" w:eastAsia="zh-CN"/>
              </w:rPr>
            </w:pPr>
            <w:r>
              <w:rPr>
                <w:rFonts w:hint="eastAsia" w:eastAsia="宋体"/>
                <w:color w:val="auto"/>
                <w:sz w:val="21"/>
                <w:highlight w:val="none"/>
                <w:lang w:val="en-US" w:eastAsia="zh-CN"/>
              </w:rPr>
              <w:t>1</w:t>
            </w:r>
          </w:p>
        </w:tc>
        <w:tc>
          <w:tcPr>
            <w:tcW w:w="7059" w:type="dxa"/>
            <w:vAlign w:val="top"/>
          </w:tcPr>
          <w:p w14:paraId="5AA025D0">
            <w:pPr>
              <w:pStyle w:val="18"/>
              <w:spacing w:before="138" w:line="293" w:lineRule="auto"/>
              <w:ind w:left="112" w:right="109" w:firstLine="4"/>
              <w:jc w:val="both"/>
              <w:rPr>
                <w:color w:val="auto"/>
                <w:highlight w:val="none"/>
              </w:rPr>
            </w:pPr>
            <w:r>
              <w:rPr>
                <w:color w:val="auto"/>
                <w:spacing w:val="13"/>
                <w:highlight w:val="none"/>
              </w:rPr>
              <w:t>具有行政主管部门核发的公路水运试验检测师资格证书或试验检测工程师</w:t>
            </w:r>
            <w:r>
              <w:rPr>
                <w:color w:val="auto"/>
                <w:spacing w:val="12"/>
                <w:highlight w:val="none"/>
              </w:rPr>
              <w:t>证书；具有路桥相关专业</w:t>
            </w:r>
            <w:r>
              <w:rPr>
                <w:color w:val="auto"/>
                <w:spacing w:val="12"/>
                <w:highlight w:val="none"/>
                <w:u w:val="single" w:color="auto"/>
              </w:rPr>
              <w:t>中级及以上</w:t>
            </w:r>
            <w:r>
              <w:rPr>
                <w:color w:val="auto"/>
                <w:spacing w:val="12"/>
                <w:highlight w:val="none"/>
              </w:rPr>
              <w:t>技术职称；从事试验检测工作</w:t>
            </w:r>
            <w:r>
              <w:rPr>
                <w:color w:val="auto"/>
                <w:spacing w:val="-19"/>
                <w:highlight w:val="none"/>
              </w:rPr>
              <w:t xml:space="preserve"> </w:t>
            </w:r>
            <w:r>
              <w:rPr>
                <w:color w:val="auto"/>
                <w:spacing w:val="12"/>
                <w:highlight w:val="none"/>
                <w:u w:val="single" w:color="auto"/>
              </w:rPr>
              <w:t>5</w:t>
            </w:r>
            <w:r>
              <w:rPr>
                <w:color w:val="auto"/>
                <w:spacing w:val="-34"/>
                <w:highlight w:val="none"/>
                <w:u w:val="single" w:color="auto"/>
              </w:rPr>
              <w:t xml:space="preserve"> </w:t>
            </w:r>
            <w:r>
              <w:rPr>
                <w:color w:val="auto"/>
                <w:spacing w:val="12"/>
                <w:highlight w:val="none"/>
              </w:rPr>
              <w:t>年以</w:t>
            </w:r>
            <w:r>
              <w:rPr>
                <w:color w:val="auto"/>
                <w:highlight w:val="none"/>
              </w:rPr>
              <w:t>上。</w:t>
            </w:r>
          </w:p>
        </w:tc>
      </w:tr>
    </w:tbl>
    <w:p w14:paraId="4DD219F9">
      <w:pPr>
        <w:spacing w:line="315" w:lineRule="auto"/>
        <w:rPr>
          <w:rFonts w:ascii="Arial"/>
          <w:color w:val="auto"/>
          <w:sz w:val="21"/>
          <w:highlight w:val="none"/>
        </w:rPr>
      </w:pPr>
    </w:p>
    <w:p w14:paraId="6FF9FD5E">
      <w:pPr>
        <w:spacing w:line="316" w:lineRule="auto"/>
        <w:rPr>
          <w:rFonts w:ascii="Arial"/>
          <w:color w:val="auto"/>
          <w:sz w:val="21"/>
          <w:highlight w:val="none"/>
        </w:rPr>
      </w:pPr>
    </w:p>
    <w:p w14:paraId="1BFC9A4B">
      <w:pPr>
        <w:spacing w:line="232" w:lineRule="auto"/>
        <w:rPr>
          <w:rFonts w:ascii="宋体" w:hAnsi="宋体" w:eastAsia="宋体" w:cs="宋体"/>
          <w:color w:val="auto"/>
          <w:sz w:val="18"/>
          <w:szCs w:val="18"/>
          <w:highlight w:val="none"/>
        </w:rPr>
        <w:sectPr>
          <w:footerReference r:id="rId25" w:type="default"/>
          <w:pgSz w:w="11906" w:h="16839"/>
          <w:pgMar w:top="1431" w:right="1161" w:bottom="1297" w:left="1161" w:header="0" w:footer="1067" w:gutter="0"/>
          <w:pgNumType w:fmt="decimal"/>
          <w:cols w:space="720" w:num="1"/>
        </w:sectPr>
      </w:pPr>
      <w:bookmarkStart w:id="59" w:name="bookmark95"/>
      <w:bookmarkEnd w:id="59"/>
    </w:p>
    <w:tbl>
      <w:tblPr>
        <w:tblStyle w:val="17"/>
        <w:tblW w:w="957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5"/>
        <w:gridCol w:w="1146"/>
        <w:gridCol w:w="738"/>
        <w:gridCol w:w="7059"/>
      </w:tblGrid>
      <w:tr w14:paraId="450D54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 w:hRule="atLeast"/>
        </w:trPr>
        <w:tc>
          <w:tcPr>
            <w:tcW w:w="1781" w:type="dxa"/>
            <w:gridSpan w:val="2"/>
            <w:vAlign w:val="top"/>
          </w:tcPr>
          <w:p w14:paraId="03AFEF65">
            <w:pPr>
              <w:pStyle w:val="18"/>
              <w:spacing w:before="201" w:line="229" w:lineRule="auto"/>
              <w:ind w:left="689"/>
              <w:rPr>
                <w:color w:val="auto"/>
                <w:highlight w:val="none"/>
              </w:rPr>
            </w:pPr>
            <w:r>
              <w:rPr>
                <w:color w:val="auto"/>
                <w:spacing w:val="3"/>
                <w:highlight w:val="none"/>
              </w:rPr>
              <w:t>人员</w:t>
            </w:r>
          </w:p>
        </w:tc>
        <w:tc>
          <w:tcPr>
            <w:tcW w:w="738" w:type="dxa"/>
            <w:vAlign w:val="top"/>
          </w:tcPr>
          <w:p w14:paraId="41F0FE75">
            <w:pPr>
              <w:pStyle w:val="18"/>
              <w:spacing w:before="201" w:line="228" w:lineRule="auto"/>
              <w:ind w:left="165"/>
              <w:rPr>
                <w:color w:val="auto"/>
                <w:highlight w:val="none"/>
              </w:rPr>
            </w:pPr>
            <w:r>
              <w:rPr>
                <w:color w:val="auto"/>
                <w:spacing w:val="3"/>
                <w:highlight w:val="none"/>
              </w:rPr>
              <w:t>数量</w:t>
            </w:r>
          </w:p>
        </w:tc>
        <w:tc>
          <w:tcPr>
            <w:tcW w:w="7059" w:type="dxa"/>
            <w:vAlign w:val="top"/>
          </w:tcPr>
          <w:p w14:paraId="2604FCA6">
            <w:pPr>
              <w:pStyle w:val="18"/>
              <w:spacing w:before="201" w:line="228" w:lineRule="auto"/>
              <w:ind w:left="3123"/>
              <w:rPr>
                <w:color w:val="auto"/>
                <w:highlight w:val="none"/>
              </w:rPr>
            </w:pPr>
            <w:r>
              <w:rPr>
                <w:color w:val="auto"/>
                <w:spacing w:val="5"/>
                <w:highlight w:val="none"/>
              </w:rPr>
              <w:t>资格要求</w:t>
            </w:r>
          </w:p>
        </w:tc>
      </w:tr>
      <w:tr w14:paraId="66F9A6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4" w:hRule="atLeast"/>
        </w:trPr>
        <w:tc>
          <w:tcPr>
            <w:tcW w:w="635" w:type="dxa"/>
            <w:vMerge w:val="restart"/>
            <w:tcBorders>
              <w:bottom w:val="nil"/>
            </w:tcBorders>
            <w:vAlign w:val="top"/>
          </w:tcPr>
          <w:p w14:paraId="3DCF830C">
            <w:pPr>
              <w:rPr>
                <w:rFonts w:ascii="Arial"/>
                <w:color w:val="auto"/>
                <w:sz w:val="21"/>
                <w:highlight w:val="none"/>
              </w:rPr>
            </w:pPr>
          </w:p>
        </w:tc>
        <w:tc>
          <w:tcPr>
            <w:tcW w:w="1146" w:type="dxa"/>
            <w:vAlign w:val="top"/>
          </w:tcPr>
          <w:p w14:paraId="5834E2AF">
            <w:pPr>
              <w:spacing w:line="256" w:lineRule="auto"/>
              <w:rPr>
                <w:rFonts w:ascii="Arial"/>
                <w:color w:val="auto"/>
                <w:sz w:val="21"/>
                <w:highlight w:val="none"/>
              </w:rPr>
            </w:pPr>
          </w:p>
          <w:p w14:paraId="2FC83E9D">
            <w:pPr>
              <w:spacing w:line="256" w:lineRule="auto"/>
              <w:rPr>
                <w:rFonts w:ascii="Arial"/>
                <w:color w:val="auto"/>
                <w:sz w:val="21"/>
                <w:highlight w:val="none"/>
              </w:rPr>
            </w:pPr>
          </w:p>
          <w:p w14:paraId="26B0566B">
            <w:pPr>
              <w:spacing w:line="257" w:lineRule="auto"/>
              <w:rPr>
                <w:rFonts w:ascii="Arial"/>
                <w:color w:val="auto"/>
                <w:sz w:val="21"/>
                <w:highlight w:val="none"/>
              </w:rPr>
            </w:pPr>
          </w:p>
          <w:p w14:paraId="1FFCFF8E">
            <w:pPr>
              <w:pStyle w:val="18"/>
              <w:spacing w:before="65" w:line="228" w:lineRule="auto"/>
              <w:ind w:left="159"/>
              <w:rPr>
                <w:color w:val="auto"/>
                <w:highlight w:val="none"/>
              </w:rPr>
            </w:pPr>
            <w:r>
              <w:rPr>
                <w:color w:val="auto"/>
                <w:spacing w:val="6"/>
                <w:highlight w:val="none"/>
              </w:rPr>
              <w:t>安全环保</w:t>
            </w:r>
          </w:p>
          <w:p w14:paraId="47C036A1">
            <w:pPr>
              <w:rPr>
                <w:color w:val="auto"/>
                <w:highlight w:val="none"/>
              </w:rPr>
            </w:pPr>
          </w:p>
        </w:tc>
        <w:tc>
          <w:tcPr>
            <w:tcW w:w="738" w:type="dxa"/>
            <w:vAlign w:val="center"/>
          </w:tcPr>
          <w:p w14:paraId="7A6C9BCB">
            <w:pPr>
              <w:jc w:val="center"/>
              <w:rPr>
                <w:rFonts w:hint="default" w:ascii="Arial" w:eastAsia="宋体"/>
                <w:color w:val="auto"/>
                <w:sz w:val="21"/>
                <w:highlight w:val="none"/>
                <w:lang w:val="en-US" w:eastAsia="zh-CN"/>
              </w:rPr>
            </w:pPr>
            <w:r>
              <w:rPr>
                <w:rFonts w:hint="eastAsia" w:eastAsia="宋体"/>
                <w:color w:val="auto"/>
                <w:sz w:val="21"/>
                <w:highlight w:val="none"/>
                <w:lang w:val="en-US" w:eastAsia="zh-CN"/>
              </w:rPr>
              <w:t>1</w:t>
            </w:r>
          </w:p>
        </w:tc>
        <w:tc>
          <w:tcPr>
            <w:tcW w:w="7059" w:type="dxa"/>
            <w:vAlign w:val="top"/>
          </w:tcPr>
          <w:p w14:paraId="6DE8D2E4">
            <w:pPr>
              <w:pStyle w:val="18"/>
              <w:spacing w:before="120" w:line="309" w:lineRule="auto"/>
              <w:ind w:left="111" w:right="107" w:firstLine="5"/>
              <w:jc w:val="both"/>
              <w:rPr>
                <w:color w:val="auto"/>
                <w:highlight w:val="none"/>
              </w:rPr>
            </w:pPr>
            <w:r>
              <w:rPr>
                <w:color w:val="auto"/>
                <w:spacing w:val="20"/>
                <w:highlight w:val="none"/>
              </w:rPr>
              <w:t>具有交通运输部与人力资源和社会保障部用印的交通运输工程（公路工</w:t>
            </w:r>
            <w:r>
              <w:rPr>
                <w:color w:val="auto"/>
                <w:spacing w:val="13"/>
                <w:highlight w:val="none"/>
              </w:rPr>
              <w:t>程）专业监理工程师职业资格证书（或电子证书</w:t>
            </w:r>
            <w:r>
              <w:rPr>
                <w:color w:val="auto"/>
                <w:spacing w:val="-1"/>
                <w:highlight w:val="none"/>
              </w:rPr>
              <w:t>）</w:t>
            </w:r>
            <w:r>
              <w:rPr>
                <w:color w:val="auto"/>
                <w:spacing w:val="-57"/>
                <w:highlight w:val="none"/>
              </w:rPr>
              <w:t xml:space="preserve"> </w:t>
            </w:r>
            <w:r>
              <w:rPr>
                <w:color w:val="auto"/>
                <w:spacing w:val="-1"/>
                <w:highlight w:val="none"/>
              </w:rPr>
              <w:t>，</w:t>
            </w:r>
            <w:r>
              <w:rPr>
                <w:color w:val="auto"/>
                <w:spacing w:val="13"/>
                <w:highlight w:val="none"/>
              </w:rPr>
              <w:t>或具有交通运输部核发的公路工程专业监理工程师资格证书；相关专业</w:t>
            </w:r>
            <w:r>
              <w:rPr>
                <w:color w:val="auto"/>
                <w:spacing w:val="13"/>
                <w:highlight w:val="none"/>
                <w:u w:val="single" w:color="auto"/>
              </w:rPr>
              <w:t>中级及以上</w:t>
            </w:r>
            <w:r>
              <w:rPr>
                <w:color w:val="auto"/>
                <w:spacing w:val="13"/>
                <w:highlight w:val="none"/>
              </w:rPr>
              <w:t>技术职称或应急管理部（原国家安全生产监督管理总局）核发的中级及以上注册安全</w:t>
            </w:r>
            <w:r>
              <w:rPr>
                <w:color w:val="auto"/>
                <w:spacing w:val="7"/>
                <w:highlight w:val="none"/>
              </w:rPr>
              <w:t>工程师证书；从事监理工作</w:t>
            </w:r>
            <w:r>
              <w:rPr>
                <w:color w:val="auto"/>
                <w:spacing w:val="-31"/>
                <w:highlight w:val="none"/>
              </w:rPr>
              <w:t xml:space="preserve"> </w:t>
            </w:r>
            <w:r>
              <w:rPr>
                <w:color w:val="auto"/>
                <w:spacing w:val="7"/>
                <w:highlight w:val="none"/>
                <w:u w:val="single" w:color="auto"/>
              </w:rPr>
              <w:t>5</w:t>
            </w:r>
            <w:r>
              <w:rPr>
                <w:color w:val="auto"/>
                <w:spacing w:val="-37"/>
                <w:highlight w:val="none"/>
                <w:u w:val="single" w:color="auto"/>
              </w:rPr>
              <w:t xml:space="preserve"> </w:t>
            </w:r>
            <w:r>
              <w:rPr>
                <w:color w:val="auto"/>
                <w:spacing w:val="7"/>
                <w:highlight w:val="none"/>
              </w:rPr>
              <w:t>年以上。</w:t>
            </w:r>
          </w:p>
        </w:tc>
      </w:tr>
      <w:tr w14:paraId="210F6F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4" w:hRule="atLeast"/>
        </w:trPr>
        <w:tc>
          <w:tcPr>
            <w:tcW w:w="635" w:type="dxa"/>
            <w:vMerge w:val="continue"/>
            <w:tcBorders>
              <w:top w:val="nil"/>
              <w:bottom w:val="nil"/>
            </w:tcBorders>
            <w:vAlign w:val="top"/>
          </w:tcPr>
          <w:p w14:paraId="05BA3EB5">
            <w:pPr>
              <w:rPr>
                <w:rFonts w:ascii="Arial"/>
                <w:color w:val="auto"/>
                <w:sz w:val="21"/>
                <w:highlight w:val="none"/>
              </w:rPr>
            </w:pPr>
          </w:p>
        </w:tc>
        <w:tc>
          <w:tcPr>
            <w:tcW w:w="1146" w:type="dxa"/>
            <w:vAlign w:val="top"/>
          </w:tcPr>
          <w:p w14:paraId="2D0539AA">
            <w:pPr>
              <w:spacing w:line="413" w:lineRule="auto"/>
              <w:rPr>
                <w:rFonts w:ascii="Arial"/>
                <w:color w:val="auto"/>
                <w:sz w:val="21"/>
                <w:highlight w:val="none"/>
              </w:rPr>
            </w:pPr>
          </w:p>
          <w:p w14:paraId="0EE043E2">
            <w:pPr>
              <w:pStyle w:val="18"/>
              <w:spacing w:before="65" w:line="334" w:lineRule="auto"/>
              <w:ind w:left="369" w:right="155" w:hanging="210"/>
              <w:rPr>
                <w:color w:val="auto"/>
                <w:highlight w:val="none"/>
              </w:rPr>
            </w:pPr>
            <w:r>
              <w:rPr>
                <w:color w:val="auto"/>
                <w:spacing w:val="6"/>
                <w:highlight w:val="none"/>
              </w:rPr>
              <w:t>交通安全</w:t>
            </w:r>
            <w:r>
              <w:rPr>
                <w:color w:val="auto"/>
                <w:spacing w:val="3"/>
                <w:highlight w:val="none"/>
              </w:rPr>
              <w:t>设施</w:t>
            </w:r>
          </w:p>
          <w:p w14:paraId="0FA9161C">
            <w:pPr>
              <w:rPr>
                <w:color w:val="auto"/>
                <w:highlight w:val="none"/>
              </w:rPr>
            </w:pPr>
          </w:p>
        </w:tc>
        <w:tc>
          <w:tcPr>
            <w:tcW w:w="738" w:type="dxa"/>
            <w:vAlign w:val="center"/>
          </w:tcPr>
          <w:p w14:paraId="22570D78">
            <w:pPr>
              <w:jc w:val="center"/>
              <w:rPr>
                <w:rFonts w:hint="eastAsia" w:ascii="Arial" w:eastAsia="宋体"/>
                <w:color w:val="auto"/>
                <w:sz w:val="21"/>
                <w:highlight w:val="none"/>
                <w:lang w:val="en-US" w:eastAsia="zh-CN"/>
              </w:rPr>
            </w:pPr>
            <w:r>
              <w:rPr>
                <w:rFonts w:hint="eastAsia" w:eastAsia="宋体"/>
                <w:color w:val="auto"/>
                <w:sz w:val="21"/>
                <w:highlight w:val="none"/>
                <w:lang w:val="en-US" w:eastAsia="zh-CN"/>
              </w:rPr>
              <w:t>1</w:t>
            </w:r>
          </w:p>
        </w:tc>
        <w:tc>
          <w:tcPr>
            <w:tcW w:w="7059" w:type="dxa"/>
            <w:vAlign w:val="top"/>
          </w:tcPr>
          <w:p w14:paraId="3887185E">
            <w:pPr>
              <w:pStyle w:val="18"/>
              <w:spacing w:before="120" w:line="332" w:lineRule="auto"/>
              <w:ind w:left="111" w:right="109" w:firstLine="5"/>
              <w:rPr>
                <w:color w:val="auto"/>
                <w:highlight w:val="none"/>
              </w:rPr>
            </w:pPr>
            <w:r>
              <w:rPr>
                <w:color w:val="auto"/>
                <w:spacing w:val="20"/>
                <w:highlight w:val="none"/>
              </w:rPr>
              <w:t>具有交通运输部和人力资源和社会保障部用印的交通运输工程（公路工</w:t>
            </w:r>
            <w:r>
              <w:rPr>
                <w:color w:val="auto"/>
                <w:spacing w:val="13"/>
                <w:highlight w:val="none"/>
              </w:rPr>
              <w:t>程）专业监理工程师职业资格证书（或电子证书）或具有交通运输部核发</w:t>
            </w:r>
          </w:p>
          <w:p w14:paraId="3FC208A2">
            <w:pPr>
              <w:pStyle w:val="18"/>
              <w:spacing w:line="274" w:lineRule="auto"/>
              <w:ind w:left="112" w:right="109" w:firstLine="17"/>
              <w:rPr>
                <w:color w:val="auto"/>
                <w:highlight w:val="none"/>
              </w:rPr>
            </w:pPr>
            <w:r>
              <w:rPr>
                <w:color w:val="auto"/>
                <w:spacing w:val="13"/>
                <w:highlight w:val="none"/>
              </w:rPr>
              <w:t>的专业监理工程师资格证书；具有路桥相关专业</w:t>
            </w:r>
            <w:r>
              <w:rPr>
                <w:color w:val="auto"/>
                <w:spacing w:val="13"/>
                <w:highlight w:val="none"/>
                <w:u w:val="single" w:color="auto"/>
              </w:rPr>
              <w:t>中级及以上</w:t>
            </w:r>
            <w:r>
              <w:rPr>
                <w:color w:val="auto"/>
                <w:spacing w:val="13"/>
                <w:highlight w:val="none"/>
              </w:rPr>
              <w:t>技术职</w:t>
            </w:r>
            <w:r>
              <w:rPr>
                <w:color w:val="auto"/>
                <w:spacing w:val="12"/>
                <w:highlight w:val="none"/>
              </w:rPr>
              <w:t>称；从</w:t>
            </w:r>
            <w:r>
              <w:rPr>
                <w:color w:val="auto"/>
                <w:spacing w:val="7"/>
                <w:highlight w:val="none"/>
              </w:rPr>
              <w:t>事交通安全设施监理工作</w:t>
            </w:r>
            <w:r>
              <w:rPr>
                <w:color w:val="auto"/>
                <w:spacing w:val="-36"/>
                <w:highlight w:val="none"/>
              </w:rPr>
              <w:t xml:space="preserve"> </w:t>
            </w:r>
            <w:r>
              <w:rPr>
                <w:color w:val="auto"/>
                <w:spacing w:val="7"/>
                <w:highlight w:val="none"/>
                <w:u w:val="single" w:color="auto"/>
              </w:rPr>
              <w:t>5</w:t>
            </w:r>
            <w:r>
              <w:rPr>
                <w:color w:val="auto"/>
                <w:spacing w:val="-37"/>
                <w:highlight w:val="none"/>
                <w:u w:val="single" w:color="auto"/>
              </w:rPr>
              <w:t xml:space="preserve"> </w:t>
            </w:r>
            <w:r>
              <w:rPr>
                <w:color w:val="auto"/>
                <w:spacing w:val="7"/>
                <w:highlight w:val="none"/>
              </w:rPr>
              <w:t>年以上。</w:t>
            </w:r>
          </w:p>
        </w:tc>
      </w:tr>
      <w:tr w14:paraId="146EF0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635" w:type="dxa"/>
            <w:vMerge w:val="continue"/>
            <w:tcBorders>
              <w:top w:val="nil"/>
              <w:bottom w:val="nil"/>
            </w:tcBorders>
            <w:vAlign w:val="top"/>
          </w:tcPr>
          <w:p w14:paraId="702928AA">
            <w:pPr>
              <w:rPr>
                <w:rFonts w:ascii="Arial"/>
                <w:color w:val="auto"/>
                <w:sz w:val="21"/>
                <w:highlight w:val="none"/>
              </w:rPr>
            </w:pPr>
          </w:p>
        </w:tc>
        <w:tc>
          <w:tcPr>
            <w:tcW w:w="1146" w:type="dxa"/>
            <w:vAlign w:val="top"/>
          </w:tcPr>
          <w:p w14:paraId="30B1AE91">
            <w:pPr>
              <w:pStyle w:val="18"/>
              <w:spacing w:before="122" w:line="218" w:lineRule="auto"/>
              <w:ind w:left="155"/>
              <w:rPr>
                <w:color w:val="auto"/>
                <w:highlight w:val="none"/>
              </w:rPr>
            </w:pPr>
            <w:r>
              <w:rPr>
                <w:color w:val="auto"/>
                <w:spacing w:val="7"/>
                <w:highlight w:val="none"/>
              </w:rPr>
              <w:t>通信系统</w:t>
            </w:r>
          </w:p>
        </w:tc>
        <w:tc>
          <w:tcPr>
            <w:tcW w:w="738" w:type="dxa"/>
            <w:vMerge w:val="restart"/>
            <w:tcBorders>
              <w:bottom w:val="nil"/>
            </w:tcBorders>
            <w:vAlign w:val="center"/>
          </w:tcPr>
          <w:p w14:paraId="50120A74">
            <w:pPr>
              <w:jc w:val="center"/>
              <w:rPr>
                <w:rFonts w:hint="eastAsia" w:ascii="Arial" w:eastAsia="宋体"/>
                <w:color w:val="auto"/>
                <w:sz w:val="21"/>
                <w:highlight w:val="none"/>
                <w:lang w:val="en-US" w:eastAsia="zh-CN"/>
              </w:rPr>
            </w:pPr>
            <w:r>
              <w:rPr>
                <w:rFonts w:hint="eastAsia" w:eastAsia="宋体"/>
                <w:color w:val="auto"/>
                <w:sz w:val="21"/>
                <w:highlight w:val="none"/>
                <w:lang w:val="en-US" w:eastAsia="zh-CN"/>
              </w:rPr>
              <w:t>0</w:t>
            </w:r>
          </w:p>
        </w:tc>
        <w:tc>
          <w:tcPr>
            <w:tcW w:w="7059" w:type="dxa"/>
            <w:vMerge w:val="restart"/>
            <w:tcBorders>
              <w:bottom w:val="nil"/>
            </w:tcBorders>
            <w:vAlign w:val="top"/>
          </w:tcPr>
          <w:p w14:paraId="3501C8EA">
            <w:pPr>
              <w:spacing w:line="250" w:lineRule="auto"/>
              <w:rPr>
                <w:rFonts w:ascii="Arial"/>
                <w:color w:val="auto"/>
                <w:sz w:val="21"/>
                <w:highlight w:val="none"/>
              </w:rPr>
            </w:pPr>
          </w:p>
          <w:p w14:paraId="38A3CEF0">
            <w:pPr>
              <w:pStyle w:val="18"/>
              <w:spacing w:before="65" w:line="333" w:lineRule="auto"/>
              <w:ind w:left="111" w:right="109" w:firstLine="5"/>
              <w:jc w:val="both"/>
              <w:rPr>
                <w:color w:val="auto"/>
                <w:highlight w:val="none"/>
              </w:rPr>
            </w:pPr>
            <w:r>
              <w:rPr>
                <w:color w:val="auto"/>
                <w:spacing w:val="20"/>
                <w:highlight w:val="none"/>
              </w:rPr>
              <w:t>具有交通运输部与人力资源和社会保障部用印的交通运输工程（公路工</w:t>
            </w:r>
            <w:r>
              <w:rPr>
                <w:color w:val="auto"/>
                <w:spacing w:val="13"/>
                <w:highlight w:val="none"/>
              </w:rPr>
              <w:t>程）专业监理工程师职业资格证书（或电子证书</w:t>
            </w:r>
            <w:r>
              <w:rPr>
                <w:color w:val="auto"/>
                <w:spacing w:val="-1"/>
                <w:highlight w:val="none"/>
              </w:rPr>
              <w:t>）</w:t>
            </w:r>
            <w:r>
              <w:rPr>
                <w:color w:val="auto"/>
                <w:spacing w:val="-57"/>
                <w:highlight w:val="none"/>
              </w:rPr>
              <w:t xml:space="preserve"> </w:t>
            </w:r>
            <w:r>
              <w:rPr>
                <w:color w:val="auto"/>
                <w:spacing w:val="-1"/>
                <w:highlight w:val="none"/>
              </w:rPr>
              <w:t>，</w:t>
            </w:r>
            <w:r>
              <w:rPr>
                <w:color w:val="auto"/>
                <w:spacing w:val="13"/>
                <w:highlight w:val="none"/>
              </w:rPr>
              <w:t>或具有交通运输部核发的公路工程机电专业监理工程师资格证书或工业；具有</w:t>
            </w:r>
            <w:r>
              <w:rPr>
                <w:color w:val="auto"/>
                <w:spacing w:val="13"/>
                <w:highlight w:val="none"/>
                <w:u w:val="single" w:color="auto"/>
              </w:rPr>
              <w:t>中级及以上</w:t>
            </w:r>
            <w:r>
              <w:rPr>
                <w:color w:val="auto"/>
                <w:spacing w:val="13"/>
                <w:highlight w:val="none"/>
              </w:rPr>
              <w:t>技术</w:t>
            </w:r>
            <w:r>
              <w:rPr>
                <w:color w:val="auto"/>
                <w:spacing w:val="7"/>
                <w:highlight w:val="none"/>
              </w:rPr>
              <w:t>职称；从事各自专业监理工作</w:t>
            </w:r>
            <w:r>
              <w:rPr>
                <w:color w:val="auto"/>
                <w:spacing w:val="-29"/>
                <w:highlight w:val="none"/>
              </w:rPr>
              <w:t xml:space="preserve"> </w:t>
            </w:r>
            <w:r>
              <w:rPr>
                <w:color w:val="auto"/>
                <w:spacing w:val="7"/>
                <w:highlight w:val="none"/>
                <w:u w:val="single" w:color="auto"/>
              </w:rPr>
              <w:t>5</w:t>
            </w:r>
            <w:r>
              <w:rPr>
                <w:color w:val="auto"/>
                <w:spacing w:val="-37"/>
                <w:highlight w:val="none"/>
                <w:u w:val="single" w:color="auto"/>
              </w:rPr>
              <w:t xml:space="preserve"> </w:t>
            </w:r>
            <w:r>
              <w:rPr>
                <w:color w:val="auto"/>
                <w:spacing w:val="7"/>
                <w:highlight w:val="none"/>
              </w:rPr>
              <w:t>年以上。</w:t>
            </w:r>
          </w:p>
        </w:tc>
      </w:tr>
      <w:tr w14:paraId="556045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635" w:type="dxa"/>
            <w:vMerge w:val="continue"/>
            <w:tcBorders>
              <w:top w:val="nil"/>
              <w:bottom w:val="nil"/>
            </w:tcBorders>
            <w:vAlign w:val="top"/>
          </w:tcPr>
          <w:p w14:paraId="72087344">
            <w:pPr>
              <w:rPr>
                <w:rFonts w:ascii="Arial"/>
                <w:color w:val="auto"/>
                <w:sz w:val="21"/>
                <w:highlight w:val="none"/>
              </w:rPr>
            </w:pPr>
          </w:p>
        </w:tc>
        <w:tc>
          <w:tcPr>
            <w:tcW w:w="1146" w:type="dxa"/>
            <w:vAlign w:val="top"/>
          </w:tcPr>
          <w:p w14:paraId="3257EB54">
            <w:pPr>
              <w:pStyle w:val="18"/>
              <w:spacing w:before="121" w:line="216" w:lineRule="auto"/>
              <w:ind w:left="156"/>
              <w:rPr>
                <w:color w:val="auto"/>
                <w:highlight w:val="none"/>
              </w:rPr>
            </w:pPr>
            <w:r>
              <w:rPr>
                <w:color w:val="auto"/>
                <w:spacing w:val="7"/>
                <w:highlight w:val="none"/>
              </w:rPr>
              <w:t>监控系统</w:t>
            </w:r>
          </w:p>
        </w:tc>
        <w:tc>
          <w:tcPr>
            <w:tcW w:w="738" w:type="dxa"/>
            <w:vMerge w:val="continue"/>
            <w:tcBorders>
              <w:top w:val="nil"/>
              <w:bottom w:val="nil"/>
            </w:tcBorders>
            <w:vAlign w:val="center"/>
          </w:tcPr>
          <w:p w14:paraId="1596BAC5">
            <w:pPr>
              <w:jc w:val="center"/>
              <w:rPr>
                <w:rFonts w:ascii="Arial"/>
                <w:color w:val="auto"/>
                <w:sz w:val="21"/>
                <w:highlight w:val="none"/>
              </w:rPr>
            </w:pPr>
          </w:p>
        </w:tc>
        <w:tc>
          <w:tcPr>
            <w:tcW w:w="7059" w:type="dxa"/>
            <w:vMerge w:val="continue"/>
            <w:tcBorders>
              <w:top w:val="nil"/>
              <w:bottom w:val="nil"/>
            </w:tcBorders>
            <w:vAlign w:val="top"/>
          </w:tcPr>
          <w:p w14:paraId="117DCEF3">
            <w:pPr>
              <w:rPr>
                <w:rFonts w:ascii="Arial"/>
                <w:color w:val="auto"/>
                <w:sz w:val="21"/>
                <w:highlight w:val="none"/>
              </w:rPr>
            </w:pPr>
          </w:p>
        </w:tc>
      </w:tr>
      <w:tr w14:paraId="418ADD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635" w:type="dxa"/>
            <w:vMerge w:val="continue"/>
            <w:tcBorders>
              <w:top w:val="nil"/>
              <w:bottom w:val="nil"/>
            </w:tcBorders>
            <w:vAlign w:val="top"/>
          </w:tcPr>
          <w:p w14:paraId="79371286">
            <w:pPr>
              <w:rPr>
                <w:rFonts w:ascii="Arial"/>
                <w:color w:val="auto"/>
                <w:sz w:val="21"/>
                <w:highlight w:val="none"/>
              </w:rPr>
            </w:pPr>
          </w:p>
        </w:tc>
        <w:tc>
          <w:tcPr>
            <w:tcW w:w="1146" w:type="dxa"/>
            <w:vAlign w:val="top"/>
          </w:tcPr>
          <w:p w14:paraId="68872607">
            <w:pPr>
              <w:pStyle w:val="18"/>
              <w:spacing w:before="121" w:line="216" w:lineRule="auto"/>
              <w:ind w:left="163"/>
              <w:rPr>
                <w:color w:val="auto"/>
                <w:highlight w:val="none"/>
              </w:rPr>
            </w:pPr>
            <w:r>
              <w:rPr>
                <w:color w:val="auto"/>
                <w:spacing w:val="5"/>
                <w:highlight w:val="none"/>
              </w:rPr>
              <w:t>收费系统</w:t>
            </w:r>
          </w:p>
        </w:tc>
        <w:tc>
          <w:tcPr>
            <w:tcW w:w="738" w:type="dxa"/>
            <w:vMerge w:val="continue"/>
            <w:tcBorders>
              <w:top w:val="nil"/>
              <w:bottom w:val="nil"/>
            </w:tcBorders>
            <w:vAlign w:val="center"/>
          </w:tcPr>
          <w:p w14:paraId="517EC812">
            <w:pPr>
              <w:jc w:val="center"/>
              <w:rPr>
                <w:rFonts w:ascii="Arial"/>
                <w:color w:val="auto"/>
                <w:sz w:val="21"/>
                <w:highlight w:val="none"/>
              </w:rPr>
            </w:pPr>
          </w:p>
        </w:tc>
        <w:tc>
          <w:tcPr>
            <w:tcW w:w="7059" w:type="dxa"/>
            <w:vMerge w:val="continue"/>
            <w:tcBorders>
              <w:top w:val="nil"/>
              <w:bottom w:val="nil"/>
            </w:tcBorders>
            <w:vAlign w:val="top"/>
          </w:tcPr>
          <w:p w14:paraId="23995212">
            <w:pPr>
              <w:rPr>
                <w:rFonts w:ascii="Arial"/>
                <w:color w:val="auto"/>
                <w:sz w:val="21"/>
                <w:highlight w:val="none"/>
              </w:rPr>
            </w:pPr>
          </w:p>
        </w:tc>
      </w:tr>
      <w:tr w14:paraId="128C70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635" w:type="dxa"/>
            <w:vMerge w:val="continue"/>
            <w:tcBorders>
              <w:top w:val="nil"/>
              <w:bottom w:val="nil"/>
            </w:tcBorders>
            <w:vAlign w:val="top"/>
          </w:tcPr>
          <w:p w14:paraId="31D7E8BC">
            <w:pPr>
              <w:rPr>
                <w:rFonts w:ascii="Arial"/>
                <w:color w:val="auto"/>
                <w:sz w:val="21"/>
                <w:highlight w:val="none"/>
              </w:rPr>
            </w:pPr>
          </w:p>
        </w:tc>
        <w:tc>
          <w:tcPr>
            <w:tcW w:w="1146" w:type="dxa"/>
            <w:vAlign w:val="top"/>
          </w:tcPr>
          <w:p w14:paraId="35EC46EE">
            <w:pPr>
              <w:pStyle w:val="18"/>
              <w:spacing w:before="123" w:line="273" w:lineRule="auto"/>
              <w:ind w:left="476" w:right="155" w:hanging="321"/>
              <w:rPr>
                <w:color w:val="auto"/>
                <w:highlight w:val="none"/>
              </w:rPr>
            </w:pPr>
            <w:r>
              <w:rPr>
                <w:color w:val="auto"/>
                <w:spacing w:val="7"/>
                <w:highlight w:val="none"/>
              </w:rPr>
              <w:t>供配电系</w:t>
            </w:r>
            <w:r>
              <w:rPr>
                <w:color w:val="auto"/>
                <w:highlight w:val="none"/>
              </w:rPr>
              <w:t>统</w:t>
            </w:r>
          </w:p>
        </w:tc>
        <w:tc>
          <w:tcPr>
            <w:tcW w:w="738" w:type="dxa"/>
            <w:vMerge w:val="continue"/>
            <w:tcBorders>
              <w:top w:val="nil"/>
            </w:tcBorders>
            <w:vAlign w:val="center"/>
          </w:tcPr>
          <w:p w14:paraId="693D43CE">
            <w:pPr>
              <w:jc w:val="center"/>
              <w:rPr>
                <w:rFonts w:ascii="Arial"/>
                <w:color w:val="auto"/>
                <w:sz w:val="21"/>
                <w:highlight w:val="none"/>
              </w:rPr>
            </w:pPr>
          </w:p>
        </w:tc>
        <w:tc>
          <w:tcPr>
            <w:tcW w:w="7059" w:type="dxa"/>
            <w:vMerge w:val="continue"/>
            <w:tcBorders>
              <w:top w:val="nil"/>
            </w:tcBorders>
            <w:vAlign w:val="top"/>
          </w:tcPr>
          <w:p w14:paraId="2B442252">
            <w:pPr>
              <w:rPr>
                <w:rFonts w:ascii="Arial"/>
                <w:color w:val="auto"/>
                <w:sz w:val="21"/>
                <w:highlight w:val="none"/>
              </w:rPr>
            </w:pPr>
          </w:p>
        </w:tc>
      </w:tr>
      <w:tr w14:paraId="5825AC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4" w:hRule="atLeast"/>
        </w:trPr>
        <w:tc>
          <w:tcPr>
            <w:tcW w:w="635" w:type="dxa"/>
            <w:vMerge w:val="continue"/>
            <w:tcBorders>
              <w:top w:val="nil"/>
              <w:bottom w:val="nil"/>
            </w:tcBorders>
            <w:vAlign w:val="top"/>
          </w:tcPr>
          <w:p w14:paraId="490FD3C8">
            <w:pPr>
              <w:rPr>
                <w:rFonts w:ascii="Arial"/>
                <w:color w:val="auto"/>
                <w:sz w:val="21"/>
                <w:highlight w:val="none"/>
              </w:rPr>
            </w:pPr>
          </w:p>
        </w:tc>
        <w:tc>
          <w:tcPr>
            <w:tcW w:w="1146" w:type="dxa"/>
            <w:vAlign w:val="top"/>
          </w:tcPr>
          <w:p w14:paraId="3F5BF9F3">
            <w:pPr>
              <w:spacing w:line="414" w:lineRule="auto"/>
              <w:rPr>
                <w:rFonts w:ascii="Arial"/>
                <w:color w:val="auto"/>
                <w:sz w:val="21"/>
                <w:highlight w:val="none"/>
              </w:rPr>
            </w:pPr>
          </w:p>
          <w:p w14:paraId="1E486544">
            <w:pPr>
              <w:pStyle w:val="18"/>
              <w:spacing w:before="65" w:line="228" w:lineRule="auto"/>
              <w:ind w:left="156"/>
              <w:rPr>
                <w:color w:val="auto"/>
                <w:highlight w:val="none"/>
              </w:rPr>
            </w:pPr>
            <w:r>
              <w:rPr>
                <w:color w:val="auto"/>
                <w:spacing w:val="7"/>
                <w:highlight w:val="none"/>
              </w:rPr>
              <w:t>房建工程</w:t>
            </w:r>
          </w:p>
        </w:tc>
        <w:tc>
          <w:tcPr>
            <w:tcW w:w="738" w:type="dxa"/>
            <w:vAlign w:val="center"/>
          </w:tcPr>
          <w:p w14:paraId="5B90E800">
            <w:pPr>
              <w:jc w:val="center"/>
              <w:rPr>
                <w:rFonts w:hint="eastAsia" w:ascii="Arial" w:eastAsia="宋体"/>
                <w:color w:val="auto"/>
                <w:sz w:val="21"/>
                <w:highlight w:val="none"/>
                <w:lang w:val="en-US" w:eastAsia="zh-CN"/>
              </w:rPr>
            </w:pPr>
            <w:r>
              <w:rPr>
                <w:rFonts w:hint="eastAsia" w:eastAsia="宋体"/>
                <w:color w:val="auto"/>
                <w:sz w:val="21"/>
                <w:highlight w:val="none"/>
                <w:lang w:val="en-US" w:eastAsia="zh-CN"/>
              </w:rPr>
              <w:t>0</w:t>
            </w:r>
          </w:p>
        </w:tc>
        <w:tc>
          <w:tcPr>
            <w:tcW w:w="7059" w:type="dxa"/>
            <w:vAlign w:val="top"/>
          </w:tcPr>
          <w:p w14:paraId="535134DD">
            <w:pPr>
              <w:pStyle w:val="18"/>
              <w:spacing w:before="121" w:line="293" w:lineRule="auto"/>
              <w:ind w:left="116" w:right="109"/>
              <w:jc w:val="both"/>
              <w:rPr>
                <w:color w:val="auto"/>
                <w:highlight w:val="none"/>
              </w:rPr>
            </w:pPr>
            <w:r>
              <w:rPr>
                <w:color w:val="auto"/>
                <w:spacing w:val="13"/>
                <w:highlight w:val="none"/>
              </w:rPr>
              <w:t>具有住房和城乡建设部核发的监理工程师证书（注册专业为房屋建筑）或具有住房和城乡建设部门核发的监理培训证书；具有建筑相关专业</w:t>
            </w:r>
            <w:r>
              <w:rPr>
                <w:color w:val="auto"/>
                <w:spacing w:val="13"/>
                <w:highlight w:val="none"/>
                <w:u w:val="single" w:color="auto"/>
              </w:rPr>
              <w:t>中级及</w:t>
            </w:r>
            <w:r>
              <w:rPr>
                <w:color w:val="auto"/>
                <w:spacing w:val="7"/>
                <w:highlight w:val="none"/>
                <w:u w:val="single" w:color="auto"/>
              </w:rPr>
              <w:t>以上</w:t>
            </w:r>
            <w:r>
              <w:rPr>
                <w:color w:val="auto"/>
                <w:spacing w:val="7"/>
                <w:highlight w:val="none"/>
              </w:rPr>
              <w:t>技术职称；从事房建工程监理工作</w:t>
            </w:r>
            <w:r>
              <w:rPr>
                <w:color w:val="auto"/>
                <w:spacing w:val="-22"/>
                <w:highlight w:val="none"/>
              </w:rPr>
              <w:t xml:space="preserve"> </w:t>
            </w:r>
            <w:r>
              <w:rPr>
                <w:color w:val="auto"/>
                <w:spacing w:val="7"/>
                <w:highlight w:val="none"/>
                <w:u w:val="single" w:color="auto"/>
              </w:rPr>
              <w:t>5</w:t>
            </w:r>
            <w:r>
              <w:rPr>
                <w:color w:val="auto"/>
                <w:spacing w:val="-37"/>
                <w:highlight w:val="none"/>
                <w:u w:val="single" w:color="auto"/>
              </w:rPr>
              <w:t xml:space="preserve"> </w:t>
            </w:r>
            <w:r>
              <w:rPr>
                <w:color w:val="auto"/>
                <w:spacing w:val="7"/>
                <w:highlight w:val="none"/>
              </w:rPr>
              <w:t>年以上。</w:t>
            </w:r>
          </w:p>
        </w:tc>
      </w:tr>
      <w:tr w14:paraId="3F8FFD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4" w:hRule="atLeast"/>
        </w:trPr>
        <w:tc>
          <w:tcPr>
            <w:tcW w:w="635" w:type="dxa"/>
            <w:vMerge w:val="continue"/>
            <w:tcBorders>
              <w:top w:val="nil"/>
            </w:tcBorders>
            <w:vAlign w:val="top"/>
          </w:tcPr>
          <w:p w14:paraId="1130BC20">
            <w:pPr>
              <w:rPr>
                <w:rFonts w:ascii="Arial"/>
                <w:color w:val="auto"/>
                <w:sz w:val="21"/>
                <w:highlight w:val="none"/>
              </w:rPr>
            </w:pPr>
          </w:p>
        </w:tc>
        <w:tc>
          <w:tcPr>
            <w:tcW w:w="1146" w:type="dxa"/>
            <w:vAlign w:val="top"/>
          </w:tcPr>
          <w:p w14:paraId="1E63D186">
            <w:pPr>
              <w:spacing w:line="297" w:lineRule="auto"/>
              <w:rPr>
                <w:rFonts w:ascii="Arial"/>
                <w:color w:val="auto"/>
                <w:sz w:val="21"/>
                <w:highlight w:val="none"/>
              </w:rPr>
            </w:pPr>
          </w:p>
          <w:p w14:paraId="7DF31284">
            <w:pPr>
              <w:spacing w:line="297" w:lineRule="auto"/>
              <w:rPr>
                <w:rFonts w:ascii="Arial"/>
                <w:color w:val="auto"/>
                <w:sz w:val="21"/>
                <w:highlight w:val="none"/>
              </w:rPr>
            </w:pPr>
          </w:p>
          <w:p w14:paraId="6F4598B0">
            <w:pPr>
              <w:pStyle w:val="18"/>
              <w:spacing w:before="65" w:line="228" w:lineRule="auto"/>
              <w:ind w:left="155"/>
              <w:rPr>
                <w:color w:val="auto"/>
                <w:highlight w:val="none"/>
              </w:rPr>
            </w:pPr>
            <w:r>
              <w:rPr>
                <w:color w:val="auto"/>
                <w:spacing w:val="7"/>
                <w:highlight w:val="none"/>
              </w:rPr>
              <w:t>地质工程</w:t>
            </w:r>
          </w:p>
        </w:tc>
        <w:tc>
          <w:tcPr>
            <w:tcW w:w="738" w:type="dxa"/>
            <w:vAlign w:val="center"/>
          </w:tcPr>
          <w:p w14:paraId="5D427CF3">
            <w:pPr>
              <w:jc w:val="center"/>
              <w:rPr>
                <w:rFonts w:hint="eastAsia" w:ascii="Arial" w:eastAsia="宋体"/>
                <w:color w:val="auto"/>
                <w:sz w:val="21"/>
                <w:highlight w:val="none"/>
                <w:lang w:val="en-US" w:eastAsia="zh-CN"/>
              </w:rPr>
            </w:pPr>
            <w:r>
              <w:rPr>
                <w:rFonts w:hint="eastAsia" w:eastAsia="宋体"/>
                <w:color w:val="auto"/>
                <w:sz w:val="21"/>
                <w:highlight w:val="none"/>
                <w:lang w:val="en-US" w:eastAsia="zh-CN"/>
              </w:rPr>
              <w:t>0</w:t>
            </w:r>
          </w:p>
        </w:tc>
        <w:tc>
          <w:tcPr>
            <w:tcW w:w="7059" w:type="dxa"/>
            <w:vAlign w:val="top"/>
          </w:tcPr>
          <w:p w14:paraId="46F0CB03">
            <w:pPr>
              <w:pStyle w:val="18"/>
              <w:spacing w:before="123" w:line="332" w:lineRule="auto"/>
              <w:ind w:left="111" w:right="109" w:firstLine="5"/>
              <w:rPr>
                <w:color w:val="auto"/>
                <w:highlight w:val="none"/>
              </w:rPr>
            </w:pPr>
            <w:r>
              <w:rPr>
                <w:color w:val="auto"/>
                <w:spacing w:val="20"/>
                <w:highlight w:val="none"/>
              </w:rPr>
              <w:t>具有交通运输部和人力资源和社会保障部用印的交通运输工程（公路工</w:t>
            </w:r>
            <w:r>
              <w:rPr>
                <w:color w:val="auto"/>
                <w:spacing w:val="13"/>
                <w:highlight w:val="none"/>
              </w:rPr>
              <w:t>程）专业监理工程师职业资格证书（或电子证书</w:t>
            </w:r>
            <w:r>
              <w:rPr>
                <w:color w:val="auto"/>
                <w:spacing w:val="-1"/>
                <w:highlight w:val="none"/>
              </w:rPr>
              <w:t>）</w:t>
            </w:r>
            <w:r>
              <w:rPr>
                <w:color w:val="auto"/>
                <w:spacing w:val="-57"/>
                <w:highlight w:val="none"/>
              </w:rPr>
              <w:t xml:space="preserve"> </w:t>
            </w:r>
            <w:r>
              <w:rPr>
                <w:color w:val="auto"/>
                <w:spacing w:val="-1"/>
                <w:highlight w:val="none"/>
              </w:rPr>
              <w:t>，</w:t>
            </w:r>
            <w:r>
              <w:rPr>
                <w:color w:val="auto"/>
                <w:spacing w:val="13"/>
                <w:highlight w:val="none"/>
              </w:rPr>
              <w:t>或具有交通运输部核</w:t>
            </w:r>
          </w:p>
          <w:p w14:paraId="54FCC405">
            <w:pPr>
              <w:pStyle w:val="18"/>
              <w:spacing w:line="226" w:lineRule="auto"/>
              <w:ind w:left="115"/>
              <w:rPr>
                <w:color w:val="auto"/>
                <w:highlight w:val="none"/>
              </w:rPr>
            </w:pPr>
            <w:r>
              <w:rPr>
                <w:color w:val="auto"/>
                <w:spacing w:val="13"/>
                <w:highlight w:val="none"/>
              </w:rPr>
              <w:t>发的专业监理工程师资格证书；具有路桥或地质或岩土相关专业</w:t>
            </w:r>
            <w:r>
              <w:rPr>
                <w:color w:val="auto"/>
                <w:spacing w:val="13"/>
                <w:highlight w:val="none"/>
                <w:u w:val="single" w:color="auto"/>
              </w:rPr>
              <w:t>中级及以</w:t>
            </w:r>
          </w:p>
          <w:p w14:paraId="2FAE1D2E">
            <w:pPr>
              <w:pStyle w:val="18"/>
              <w:spacing w:before="113" w:line="214" w:lineRule="auto"/>
              <w:ind w:left="114"/>
              <w:rPr>
                <w:color w:val="auto"/>
                <w:highlight w:val="none"/>
              </w:rPr>
            </w:pPr>
            <w:r>
              <w:rPr>
                <w:color w:val="auto"/>
                <w:spacing w:val="7"/>
                <w:highlight w:val="none"/>
                <w:u w:val="single" w:color="auto"/>
              </w:rPr>
              <w:t>上</w:t>
            </w:r>
            <w:r>
              <w:rPr>
                <w:color w:val="auto"/>
                <w:spacing w:val="7"/>
                <w:highlight w:val="none"/>
              </w:rPr>
              <w:t>技术职称；从事监理工作</w:t>
            </w:r>
            <w:r>
              <w:rPr>
                <w:color w:val="auto"/>
                <w:spacing w:val="-33"/>
                <w:highlight w:val="none"/>
              </w:rPr>
              <w:t xml:space="preserve"> </w:t>
            </w:r>
            <w:r>
              <w:rPr>
                <w:color w:val="auto"/>
                <w:spacing w:val="7"/>
                <w:highlight w:val="none"/>
                <w:u w:val="single" w:color="auto"/>
              </w:rPr>
              <w:t>5</w:t>
            </w:r>
            <w:r>
              <w:rPr>
                <w:color w:val="auto"/>
                <w:spacing w:val="-37"/>
                <w:highlight w:val="none"/>
                <w:u w:val="single" w:color="auto"/>
              </w:rPr>
              <w:t xml:space="preserve"> </w:t>
            </w:r>
            <w:r>
              <w:rPr>
                <w:color w:val="auto"/>
                <w:spacing w:val="7"/>
                <w:highlight w:val="none"/>
              </w:rPr>
              <w:t>年以上。</w:t>
            </w:r>
          </w:p>
        </w:tc>
      </w:tr>
      <w:tr w14:paraId="5072E5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4" w:hRule="atLeast"/>
        </w:trPr>
        <w:tc>
          <w:tcPr>
            <w:tcW w:w="635" w:type="dxa"/>
            <w:vAlign w:val="top"/>
          </w:tcPr>
          <w:p w14:paraId="26F23BFA">
            <w:pPr>
              <w:pStyle w:val="18"/>
              <w:spacing w:before="123" w:line="228" w:lineRule="auto"/>
              <w:ind w:left="217"/>
              <w:rPr>
                <w:color w:val="auto"/>
                <w:highlight w:val="none"/>
              </w:rPr>
            </w:pPr>
            <w:r>
              <w:rPr>
                <w:color w:val="auto"/>
                <w:highlight w:val="none"/>
              </w:rPr>
              <w:t>专</w:t>
            </w:r>
          </w:p>
          <w:p w14:paraId="35C8D8D1">
            <w:pPr>
              <w:pStyle w:val="18"/>
              <w:spacing w:before="112"/>
              <w:ind w:left="216"/>
              <w:rPr>
                <w:color w:val="auto"/>
                <w:highlight w:val="none"/>
              </w:rPr>
            </w:pPr>
            <w:r>
              <w:rPr>
                <w:color w:val="auto"/>
                <w:spacing w:val="1"/>
                <w:highlight w:val="none"/>
              </w:rPr>
              <w:t>业</w:t>
            </w:r>
          </w:p>
          <w:p w14:paraId="0A1604CB">
            <w:pPr>
              <w:pStyle w:val="18"/>
              <w:spacing w:before="100" w:line="236" w:lineRule="auto"/>
              <w:ind w:left="217"/>
              <w:rPr>
                <w:color w:val="auto"/>
                <w:highlight w:val="none"/>
              </w:rPr>
            </w:pPr>
            <w:r>
              <w:rPr>
                <w:color w:val="auto"/>
                <w:highlight w:val="none"/>
              </w:rPr>
              <w:t>监</w:t>
            </w:r>
          </w:p>
          <w:p w14:paraId="6052B47E">
            <w:pPr>
              <w:pStyle w:val="18"/>
              <w:spacing w:before="103" w:line="238" w:lineRule="auto"/>
              <w:ind w:left="219"/>
              <w:rPr>
                <w:color w:val="auto"/>
                <w:highlight w:val="none"/>
              </w:rPr>
            </w:pPr>
            <w:r>
              <w:rPr>
                <w:color w:val="auto"/>
                <w:highlight w:val="none"/>
              </w:rPr>
              <w:t>理</w:t>
            </w:r>
          </w:p>
          <w:p w14:paraId="1C626C95">
            <w:pPr>
              <w:pStyle w:val="18"/>
              <w:spacing w:before="102" w:line="264" w:lineRule="exact"/>
              <w:ind w:left="219"/>
              <w:rPr>
                <w:color w:val="auto"/>
                <w:highlight w:val="none"/>
              </w:rPr>
            </w:pPr>
            <w:r>
              <w:rPr>
                <w:color w:val="auto"/>
                <w:position w:val="1"/>
                <w:highlight w:val="none"/>
              </w:rPr>
              <w:t>工</w:t>
            </w:r>
          </w:p>
          <w:p w14:paraId="17BECA04">
            <w:pPr>
              <w:pStyle w:val="18"/>
              <w:spacing w:before="96" w:line="273" w:lineRule="auto"/>
              <w:ind w:left="170" w:right="156" w:firstLine="46"/>
              <w:rPr>
                <w:color w:val="auto"/>
                <w:sz w:val="10"/>
                <w:szCs w:val="10"/>
                <w:highlight w:val="none"/>
              </w:rPr>
            </w:pPr>
            <w:r>
              <w:rPr>
                <w:color w:val="auto"/>
                <w:spacing w:val="1"/>
                <w:highlight w:val="none"/>
              </w:rPr>
              <w:t>程</w:t>
            </w:r>
            <w:r>
              <w:rPr>
                <w:color w:val="auto"/>
                <w:spacing w:val="1"/>
                <w:position w:val="-2"/>
                <w:highlight w:val="none"/>
              </w:rPr>
              <w:t>师</w:t>
            </w:r>
          </w:p>
        </w:tc>
        <w:tc>
          <w:tcPr>
            <w:tcW w:w="1146" w:type="dxa"/>
            <w:vAlign w:val="top"/>
          </w:tcPr>
          <w:p w14:paraId="463DA7BE">
            <w:pPr>
              <w:spacing w:line="317" w:lineRule="auto"/>
              <w:rPr>
                <w:rFonts w:ascii="Arial"/>
                <w:color w:val="auto"/>
                <w:sz w:val="21"/>
                <w:highlight w:val="none"/>
              </w:rPr>
            </w:pPr>
          </w:p>
          <w:p w14:paraId="2BE54E4F">
            <w:pPr>
              <w:spacing w:line="317" w:lineRule="auto"/>
              <w:rPr>
                <w:rFonts w:ascii="Arial"/>
                <w:color w:val="auto"/>
                <w:sz w:val="21"/>
                <w:highlight w:val="none"/>
              </w:rPr>
            </w:pPr>
          </w:p>
          <w:p w14:paraId="5EBFB0CE">
            <w:pPr>
              <w:spacing w:line="317" w:lineRule="auto"/>
              <w:rPr>
                <w:rFonts w:ascii="Arial"/>
                <w:color w:val="auto"/>
                <w:sz w:val="21"/>
                <w:highlight w:val="none"/>
              </w:rPr>
            </w:pPr>
          </w:p>
          <w:p w14:paraId="7818069A">
            <w:pPr>
              <w:pStyle w:val="18"/>
              <w:spacing w:before="65" w:line="334" w:lineRule="auto"/>
              <w:ind w:left="366" w:right="153" w:firstLine="1"/>
              <w:rPr>
                <w:color w:val="auto"/>
                <w:highlight w:val="none"/>
              </w:rPr>
            </w:pPr>
            <w:r>
              <w:rPr>
                <w:color w:val="auto"/>
                <w:spacing w:val="6"/>
                <w:highlight w:val="none"/>
              </w:rPr>
              <w:t>专业工</w:t>
            </w:r>
            <w:r>
              <w:rPr>
                <w:color w:val="auto"/>
                <w:spacing w:val="5"/>
                <w:highlight w:val="none"/>
              </w:rPr>
              <w:t>程师</w:t>
            </w:r>
          </w:p>
        </w:tc>
        <w:tc>
          <w:tcPr>
            <w:tcW w:w="738" w:type="dxa"/>
            <w:vAlign w:val="center"/>
          </w:tcPr>
          <w:p w14:paraId="31114567">
            <w:pPr>
              <w:jc w:val="center"/>
              <w:rPr>
                <w:rFonts w:hint="eastAsia" w:ascii="Arial" w:eastAsia="宋体"/>
                <w:color w:val="auto"/>
                <w:sz w:val="21"/>
                <w:highlight w:val="none"/>
                <w:lang w:val="en-US" w:eastAsia="zh-CN"/>
              </w:rPr>
            </w:pPr>
            <w:r>
              <w:rPr>
                <w:rFonts w:hint="eastAsia" w:eastAsia="宋体"/>
                <w:color w:val="auto"/>
                <w:sz w:val="21"/>
                <w:highlight w:val="none"/>
                <w:lang w:val="en-US" w:eastAsia="zh-CN"/>
              </w:rPr>
              <w:t>1</w:t>
            </w:r>
          </w:p>
        </w:tc>
        <w:tc>
          <w:tcPr>
            <w:tcW w:w="7059" w:type="dxa"/>
            <w:vAlign w:val="top"/>
          </w:tcPr>
          <w:p w14:paraId="53472193">
            <w:pPr>
              <w:spacing w:line="317" w:lineRule="auto"/>
              <w:rPr>
                <w:rFonts w:ascii="Arial"/>
                <w:color w:val="auto"/>
                <w:sz w:val="21"/>
                <w:highlight w:val="none"/>
              </w:rPr>
            </w:pPr>
          </w:p>
          <w:p w14:paraId="64EB1FBC">
            <w:pPr>
              <w:spacing w:line="317" w:lineRule="auto"/>
              <w:rPr>
                <w:rFonts w:ascii="Arial"/>
                <w:color w:val="auto"/>
                <w:sz w:val="21"/>
                <w:highlight w:val="none"/>
              </w:rPr>
            </w:pPr>
          </w:p>
          <w:p w14:paraId="5B0C9A15">
            <w:pPr>
              <w:spacing w:line="317" w:lineRule="auto"/>
              <w:rPr>
                <w:rFonts w:ascii="Arial"/>
                <w:color w:val="auto"/>
                <w:sz w:val="21"/>
                <w:highlight w:val="none"/>
              </w:rPr>
            </w:pPr>
          </w:p>
          <w:p w14:paraId="6BF6EB41">
            <w:pPr>
              <w:pStyle w:val="18"/>
              <w:spacing w:before="65" w:line="334" w:lineRule="auto"/>
              <w:ind w:left="111" w:right="109" w:firstLine="5"/>
              <w:rPr>
                <w:color w:val="auto"/>
                <w:highlight w:val="none"/>
              </w:rPr>
            </w:pPr>
            <w:r>
              <w:rPr>
                <w:color w:val="auto"/>
                <w:spacing w:val="14"/>
                <w:highlight w:val="none"/>
              </w:rPr>
              <w:t>具有工程类注册执业资格或具有</w:t>
            </w:r>
            <w:r>
              <w:rPr>
                <w:color w:val="auto"/>
                <w:spacing w:val="14"/>
                <w:highlight w:val="none"/>
                <w:u w:val="single" w:color="auto"/>
              </w:rPr>
              <w:t>中级及以上</w:t>
            </w:r>
            <w:r>
              <w:rPr>
                <w:color w:val="auto"/>
                <w:spacing w:val="14"/>
                <w:highlight w:val="none"/>
              </w:rPr>
              <w:t>专业技术职称；</w:t>
            </w:r>
            <w:r>
              <w:rPr>
                <w:color w:val="auto"/>
                <w:spacing w:val="14"/>
                <w:highlight w:val="none"/>
                <w:u w:val="single" w:color="auto"/>
              </w:rPr>
              <w:t>3</w:t>
            </w:r>
            <w:r>
              <w:rPr>
                <w:color w:val="auto"/>
                <w:spacing w:val="-22"/>
                <w:highlight w:val="none"/>
                <w:u w:val="single" w:color="auto"/>
              </w:rPr>
              <w:t xml:space="preserve"> </w:t>
            </w:r>
            <w:r>
              <w:rPr>
                <w:color w:val="auto"/>
                <w:spacing w:val="14"/>
                <w:highlight w:val="none"/>
              </w:rPr>
              <w:t>年及以上工</w:t>
            </w:r>
            <w:r>
              <w:rPr>
                <w:color w:val="auto"/>
                <w:spacing w:val="9"/>
                <w:highlight w:val="none"/>
              </w:rPr>
              <w:t>程实践经验；经过监理业务培训并经建设单位考核合格的监理人员。</w:t>
            </w:r>
          </w:p>
        </w:tc>
      </w:tr>
      <w:tr w14:paraId="68ACD9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1781" w:type="dxa"/>
            <w:gridSpan w:val="2"/>
            <w:vAlign w:val="top"/>
          </w:tcPr>
          <w:p w14:paraId="40269ECA">
            <w:pPr>
              <w:pStyle w:val="18"/>
              <w:spacing w:before="123" w:line="273" w:lineRule="auto"/>
              <w:ind w:left="589" w:right="153" w:hanging="427"/>
              <w:rPr>
                <w:color w:val="auto"/>
                <w:highlight w:val="none"/>
              </w:rPr>
            </w:pPr>
            <w:r>
              <w:rPr>
                <w:color w:val="auto"/>
                <w:spacing w:val="8"/>
                <w:highlight w:val="none"/>
              </w:rPr>
              <w:t>档案及竣工资料</w:t>
            </w:r>
            <w:r>
              <w:rPr>
                <w:color w:val="auto"/>
                <w:spacing w:val="4"/>
                <w:highlight w:val="none"/>
              </w:rPr>
              <w:t>负责人</w:t>
            </w:r>
          </w:p>
        </w:tc>
        <w:tc>
          <w:tcPr>
            <w:tcW w:w="738" w:type="dxa"/>
            <w:vAlign w:val="center"/>
          </w:tcPr>
          <w:p w14:paraId="1D0B530B">
            <w:pPr>
              <w:jc w:val="center"/>
              <w:rPr>
                <w:rFonts w:hint="eastAsia" w:ascii="Arial" w:eastAsia="宋体"/>
                <w:color w:val="auto"/>
                <w:sz w:val="21"/>
                <w:highlight w:val="none"/>
                <w:lang w:val="en-US" w:eastAsia="zh-CN"/>
              </w:rPr>
            </w:pPr>
            <w:r>
              <w:rPr>
                <w:rFonts w:hint="eastAsia" w:eastAsia="宋体"/>
                <w:color w:val="auto"/>
                <w:sz w:val="21"/>
                <w:highlight w:val="none"/>
                <w:lang w:val="en-US" w:eastAsia="zh-CN"/>
              </w:rPr>
              <w:t>1</w:t>
            </w:r>
          </w:p>
        </w:tc>
        <w:tc>
          <w:tcPr>
            <w:tcW w:w="7059" w:type="dxa"/>
            <w:vAlign w:val="top"/>
          </w:tcPr>
          <w:p w14:paraId="72F32129">
            <w:pPr>
              <w:pStyle w:val="18"/>
              <w:spacing w:before="123" w:line="273" w:lineRule="auto"/>
              <w:ind w:left="111" w:right="109" w:firstLine="5"/>
              <w:rPr>
                <w:color w:val="auto"/>
                <w:highlight w:val="none"/>
              </w:rPr>
            </w:pPr>
            <w:r>
              <w:rPr>
                <w:color w:val="auto"/>
                <w:spacing w:val="13"/>
                <w:highlight w:val="none"/>
              </w:rPr>
              <w:t>具有路桥或土建相关专业</w:t>
            </w:r>
            <w:r>
              <w:rPr>
                <w:color w:val="auto"/>
                <w:spacing w:val="13"/>
                <w:highlight w:val="none"/>
                <w:u w:val="single" w:color="auto"/>
              </w:rPr>
              <w:t>初级及以上</w:t>
            </w:r>
            <w:r>
              <w:rPr>
                <w:color w:val="auto"/>
                <w:spacing w:val="13"/>
                <w:highlight w:val="none"/>
              </w:rPr>
              <w:t>技术职称，至少具有一个高速公路工</w:t>
            </w:r>
            <w:r>
              <w:rPr>
                <w:color w:val="auto"/>
                <w:spacing w:val="9"/>
                <w:highlight w:val="none"/>
              </w:rPr>
              <w:t>程项目竣工档案全过程编制和管理工作经验,熟悉计算机办公软件操作。</w:t>
            </w:r>
          </w:p>
        </w:tc>
      </w:tr>
      <w:tr w14:paraId="79DE35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9" w:hRule="atLeast"/>
        </w:trPr>
        <w:tc>
          <w:tcPr>
            <w:tcW w:w="1781" w:type="dxa"/>
            <w:gridSpan w:val="2"/>
            <w:vAlign w:val="top"/>
          </w:tcPr>
          <w:p w14:paraId="3CE91647">
            <w:pPr>
              <w:pStyle w:val="18"/>
              <w:spacing w:before="303" w:line="229" w:lineRule="auto"/>
              <w:ind w:left="477"/>
              <w:rPr>
                <w:color w:val="auto"/>
                <w:highlight w:val="none"/>
              </w:rPr>
            </w:pPr>
            <w:r>
              <w:rPr>
                <w:color w:val="auto"/>
                <w:spacing w:val="-1"/>
                <w:highlight w:val="none"/>
              </w:rPr>
              <w:t>监</w:t>
            </w:r>
            <w:r>
              <w:rPr>
                <w:color w:val="auto"/>
                <w:spacing w:val="16"/>
                <w:highlight w:val="none"/>
              </w:rPr>
              <w:t xml:space="preserve"> </w:t>
            </w:r>
            <w:r>
              <w:rPr>
                <w:color w:val="auto"/>
                <w:spacing w:val="-1"/>
                <w:highlight w:val="none"/>
              </w:rPr>
              <w:t>理</w:t>
            </w:r>
            <w:r>
              <w:rPr>
                <w:color w:val="auto"/>
                <w:spacing w:val="24"/>
                <w:highlight w:val="none"/>
              </w:rPr>
              <w:t xml:space="preserve"> </w:t>
            </w:r>
            <w:r>
              <w:rPr>
                <w:color w:val="auto"/>
                <w:spacing w:val="-1"/>
                <w:highlight w:val="none"/>
              </w:rPr>
              <w:t>员</w:t>
            </w:r>
          </w:p>
        </w:tc>
        <w:tc>
          <w:tcPr>
            <w:tcW w:w="738" w:type="dxa"/>
            <w:vAlign w:val="center"/>
          </w:tcPr>
          <w:p w14:paraId="21007C9E">
            <w:pPr>
              <w:jc w:val="center"/>
              <w:rPr>
                <w:rFonts w:hint="eastAsia" w:ascii="Arial" w:eastAsia="宋体"/>
                <w:color w:val="auto"/>
                <w:sz w:val="21"/>
                <w:highlight w:val="none"/>
                <w:lang w:val="en-US" w:eastAsia="zh-CN"/>
              </w:rPr>
            </w:pPr>
            <w:r>
              <w:rPr>
                <w:rFonts w:hint="eastAsia" w:eastAsia="宋体"/>
                <w:color w:val="auto"/>
                <w:sz w:val="21"/>
                <w:highlight w:val="none"/>
                <w:lang w:val="en-US" w:eastAsia="zh-CN"/>
              </w:rPr>
              <w:t>3</w:t>
            </w:r>
          </w:p>
        </w:tc>
        <w:tc>
          <w:tcPr>
            <w:tcW w:w="7059" w:type="dxa"/>
            <w:vAlign w:val="top"/>
          </w:tcPr>
          <w:p w14:paraId="691BA4EA">
            <w:pPr>
              <w:pStyle w:val="18"/>
              <w:spacing w:before="123" w:line="275" w:lineRule="auto"/>
              <w:ind w:left="113" w:right="109" w:firstLine="3"/>
              <w:rPr>
                <w:color w:val="auto"/>
                <w:highlight w:val="none"/>
              </w:rPr>
            </w:pPr>
            <w:r>
              <w:rPr>
                <w:color w:val="auto"/>
                <w:spacing w:val="13"/>
                <w:highlight w:val="none"/>
              </w:rPr>
              <w:t>具有监理人员培训证书，从事监理工</w:t>
            </w:r>
            <w:r>
              <w:rPr>
                <w:color w:val="auto"/>
                <w:spacing w:val="2"/>
                <w:highlight w:val="none"/>
              </w:rPr>
              <w:t>作</w:t>
            </w:r>
            <w:r>
              <w:rPr>
                <w:color w:val="auto"/>
                <w:spacing w:val="16"/>
                <w:highlight w:val="none"/>
              </w:rPr>
              <w:t xml:space="preserve"> </w:t>
            </w:r>
            <w:r>
              <w:rPr>
                <w:color w:val="auto"/>
                <w:spacing w:val="2"/>
                <w:highlight w:val="none"/>
                <w:u w:val="single" w:color="auto"/>
              </w:rPr>
              <w:t>2</w:t>
            </w:r>
            <w:r>
              <w:rPr>
                <w:color w:val="auto"/>
                <w:spacing w:val="-37"/>
                <w:highlight w:val="none"/>
                <w:u w:val="single" w:color="auto"/>
              </w:rPr>
              <w:t xml:space="preserve"> </w:t>
            </w:r>
            <w:r>
              <w:rPr>
                <w:color w:val="auto"/>
                <w:spacing w:val="2"/>
                <w:highlight w:val="none"/>
              </w:rPr>
              <w:t>年以上。</w:t>
            </w:r>
          </w:p>
        </w:tc>
      </w:tr>
    </w:tbl>
    <w:p w14:paraId="183ADB5F">
      <w:pPr>
        <w:spacing w:before="31" w:line="455" w:lineRule="auto"/>
        <w:ind w:left="263" w:right="300" w:hanging="1"/>
        <w:rPr>
          <w:rFonts w:ascii="宋体" w:hAnsi="宋体" w:eastAsia="宋体" w:cs="宋体"/>
          <w:color w:val="auto"/>
          <w:spacing w:val="9"/>
          <w:sz w:val="20"/>
          <w:szCs w:val="20"/>
          <w:highlight w:val="none"/>
        </w:rPr>
      </w:pPr>
    </w:p>
    <w:p w14:paraId="478BAC22">
      <w:pPr>
        <w:spacing w:before="31" w:line="455" w:lineRule="auto"/>
        <w:ind w:left="263" w:right="300" w:hanging="1"/>
        <w:rPr>
          <w:rFonts w:ascii="宋体" w:hAnsi="宋体" w:eastAsia="宋体" w:cs="宋体"/>
          <w:color w:val="auto"/>
          <w:sz w:val="20"/>
          <w:szCs w:val="20"/>
          <w:highlight w:val="none"/>
        </w:rPr>
      </w:pPr>
      <w:r>
        <w:rPr>
          <w:rFonts w:ascii="宋体" w:hAnsi="宋体" w:eastAsia="宋体" w:cs="宋体"/>
          <w:color w:val="auto"/>
          <w:spacing w:val="9"/>
          <w:sz w:val="20"/>
          <w:szCs w:val="20"/>
          <w:highlight w:val="none"/>
        </w:rPr>
        <w:t>注：附录</w:t>
      </w:r>
      <w:r>
        <w:rPr>
          <w:rFonts w:ascii="宋体" w:hAnsi="宋体" w:eastAsia="宋体" w:cs="宋体"/>
          <w:color w:val="auto"/>
          <w:spacing w:val="-30"/>
          <w:sz w:val="20"/>
          <w:szCs w:val="20"/>
          <w:highlight w:val="none"/>
        </w:rPr>
        <w:t xml:space="preserve"> </w:t>
      </w:r>
      <w:r>
        <w:rPr>
          <w:rFonts w:ascii="宋体" w:hAnsi="宋体" w:eastAsia="宋体" w:cs="宋体"/>
          <w:color w:val="auto"/>
          <w:spacing w:val="9"/>
          <w:sz w:val="20"/>
          <w:szCs w:val="20"/>
          <w:highlight w:val="none"/>
        </w:rPr>
        <w:t>5</w:t>
      </w:r>
      <w:r>
        <w:rPr>
          <w:rFonts w:ascii="宋体" w:hAnsi="宋体" w:eastAsia="宋体" w:cs="宋体"/>
          <w:color w:val="auto"/>
          <w:spacing w:val="-38"/>
          <w:sz w:val="20"/>
          <w:szCs w:val="20"/>
          <w:highlight w:val="none"/>
        </w:rPr>
        <w:t xml:space="preserve"> </w:t>
      </w:r>
      <w:r>
        <w:rPr>
          <w:rFonts w:ascii="宋体" w:hAnsi="宋体" w:eastAsia="宋体" w:cs="宋体"/>
          <w:color w:val="auto"/>
          <w:spacing w:val="9"/>
          <w:sz w:val="20"/>
          <w:szCs w:val="20"/>
          <w:highlight w:val="none"/>
        </w:rPr>
        <w:t>所要求人员须按投标文件投标函的格式承诺，中标人在进场前向招标人提交实际投入的</w:t>
      </w:r>
      <w:bookmarkStart w:id="60" w:name="bookmark97"/>
      <w:bookmarkEnd w:id="60"/>
      <w:r>
        <w:rPr>
          <w:rFonts w:ascii="宋体" w:hAnsi="宋体" w:eastAsia="宋体" w:cs="宋体"/>
          <w:color w:val="auto"/>
          <w:spacing w:val="4"/>
          <w:position w:val="-1"/>
          <w:sz w:val="20"/>
          <w:szCs w:val="20"/>
          <w:highlight w:val="none"/>
        </w:rPr>
        <w:t>人员。</w:t>
      </w:r>
    </w:p>
    <w:p w14:paraId="2749DCC4">
      <w:pPr>
        <w:spacing w:line="220" w:lineRule="auto"/>
        <w:rPr>
          <w:rFonts w:ascii="宋体" w:hAnsi="宋体" w:eastAsia="宋体" w:cs="宋体"/>
          <w:color w:val="auto"/>
          <w:sz w:val="18"/>
          <w:szCs w:val="18"/>
          <w:highlight w:val="none"/>
        </w:rPr>
        <w:sectPr>
          <w:footerReference r:id="rId26" w:type="default"/>
          <w:pgSz w:w="11906" w:h="16839"/>
          <w:pgMar w:top="1416" w:right="1161" w:bottom="1297" w:left="1161" w:header="0" w:footer="1067" w:gutter="0"/>
          <w:pgNumType w:fmt="decimal"/>
          <w:cols w:space="720" w:num="1"/>
        </w:sectPr>
      </w:pPr>
    </w:p>
    <w:p w14:paraId="3058D271">
      <w:pPr>
        <w:spacing w:before="56" w:line="219" w:lineRule="auto"/>
        <w:ind w:left="2641"/>
        <w:rPr>
          <w:rFonts w:ascii="宋体" w:hAnsi="宋体" w:eastAsia="宋体" w:cs="宋体"/>
          <w:color w:val="auto"/>
          <w:sz w:val="28"/>
          <w:szCs w:val="28"/>
          <w:highlight w:val="none"/>
        </w:rPr>
      </w:pPr>
      <w:r>
        <w:rPr>
          <w:rFonts w:ascii="宋体" w:hAnsi="宋体" w:eastAsia="宋体" w:cs="宋体"/>
          <w:b/>
          <w:bCs/>
          <w:color w:val="auto"/>
          <w:spacing w:val="-3"/>
          <w:sz w:val="28"/>
          <w:szCs w:val="28"/>
          <w:highlight w:val="none"/>
        </w:rPr>
        <w:t>第二章</w:t>
      </w:r>
      <w:r>
        <w:rPr>
          <w:rFonts w:ascii="宋体" w:hAnsi="宋体" w:eastAsia="宋体" w:cs="宋体"/>
          <w:color w:val="auto"/>
          <w:spacing w:val="-3"/>
          <w:sz w:val="28"/>
          <w:szCs w:val="28"/>
          <w:highlight w:val="none"/>
        </w:rPr>
        <w:t xml:space="preserve"> </w:t>
      </w:r>
      <w:r>
        <w:rPr>
          <w:rFonts w:ascii="宋体" w:hAnsi="宋体" w:eastAsia="宋体" w:cs="宋体"/>
          <w:b/>
          <w:bCs/>
          <w:color w:val="auto"/>
          <w:spacing w:val="-3"/>
          <w:sz w:val="28"/>
          <w:szCs w:val="28"/>
          <w:highlight w:val="none"/>
        </w:rPr>
        <w:t>投标人须知正文及附件</w:t>
      </w:r>
    </w:p>
    <w:p w14:paraId="514EB820">
      <w:pPr>
        <w:spacing w:line="262" w:lineRule="auto"/>
        <w:rPr>
          <w:rFonts w:ascii="Arial"/>
          <w:color w:val="auto"/>
          <w:sz w:val="21"/>
          <w:highlight w:val="none"/>
        </w:rPr>
      </w:pPr>
    </w:p>
    <w:p w14:paraId="4F201D68">
      <w:pPr>
        <w:spacing w:line="263" w:lineRule="auto"/>
        <w:rPr>
          <w:rFonts w:ascii="Arial"/>
          <w:color w:val="auto"/>
          <w:sz w:val="21"/>
          <w:highlight w:val="none"/>
        </w:rPr>
      </w:pPr>
    </w:p>
    <w:p w14:paraId="2E647809">
      <w:pPr>
        <w:spacing w:before="91" w:line="221" w:lineRule="auto"/>
        <w:ind w:left="22"/>
        <w:outlineLvl w:val="0"/>
        <w:rPr>
          <w:rFonts w:ascii="宋体" w:hAnsi="宋体" w:eastAsia="宋体" w:cs="宋体"/>
          <w:color w:val="auto"/>
          <w:sz w:val="28"/>
          <w:szCs w:val="28"/>
          <w:highlight w:val="none"/>
        </w:rPr>
      </w:pPr>
      <w:bookmarkStart w:id="61" w:name="_Toc2340"/>
      <w:r>
        <w:rPr>
          <w:rFonts w:ascii="宋体" w:hAnsi="宋体" w:eastAsia="宋体" w:cs="宋体"/>
          <w:b/>
          <w:bCs/>
          <w:color w:val="auto"/>
          <w:spacing w:val="-15"/>
          <w:sz w:val="28"/>
          <w:szCs w:val="28"/>
          <w:highlight w:val="none"/>
        </w:rPr>
        <w:t>1.</w:t>
      </w:r>
      <w:r>
        <w:rPr>
          <w:rFonts w:ascii="宋体" w:hAnsi="宋体" w:eastAsia="宋体" w:cs="宋体"/>
          <w:color w:val="auto"/>
          <w:spacing w:val="19"/>
          <w:sz w:val="28"/>
          <w:szCs w:val="28"/>
          <w:highlight w:val="none"/>
        </w:rPr>
        <w:t xml:space="preserve"> </w:t>
      </w:r>
      <w:r>
        <w:rPr>
          <w:rFonts w:ascii="宋体" w:hAnsi="宋体" w:eastAsia="宋体" w:cs="宋体"/>
          <w:b/>
          <w:bCs/>
          <w:color w:val="auto"/>
          <w:spacing w:val="-15"/>
          <w:sz w:val="28"/>
          <w:szCs w:val="28"/>
          <w:highlight w:val="none"/>
        </w:rPr>
        <w:t>总则</w:t>
      </w:r>
      <w:bookmarkEnd w:id="61"/>
    </w:p>
    <w:p w14:paraId="13DDCEC3">
      <w:pPr>
        <w:spacing w:before="204" w:line="219" w:lineRule="auto"/>
        <w:ind w:left="17"/>
        <w:outlineLvl w:val="1"/>
        <w:rPr>
          <w:rFonts w:ascii="宋体" w:hAnsi="宋体" w:eastAsia="宋体" w:cs="宋体"/>
          <w:color w:val="auto"/>
          <w:sz w:val="24"/>
          <w:szCs w:val="24"/>
          <w:highlight w:val="none"/>
        </w:rPr>
      </w:pPr>
      <w:bookmarkStart w:id="62" w:name="_Toc14855"/>
      <w:bookmarkStart w:id="63" w:name="_Toc16255"/>
      <w:bookmarkStart w:id="64" w:name="_Toc20207"/>
      <w:r>
        <w:rPr>
          <w:rFonts w:ascii="宋体" w:hAnsi="宋体" w:eastAsia="宋体" w:cs="宋体"/>
          <w:b/>
          <w:bCs/>
          <w:color w:val="auto"/>
          <w:spacing w:val="-8"/>
          <w:sz w:val="24"/>
          <w:szCs w:val="24"/>
          <w:highlight w:val="none"/>
        </w:rPr>
        <w:t>1.1</w:t>
      </w:r>
      <w:r>
        <w:rPr>
          <w:rFonts w:ascii="宋体" w:hAnsi="宋体" w:eastAsia="宋体" w:cs="宋体"/>
          <w:color w:val="auto"/>
          <w:spacing w:val="17"/>
          <w:sz w:val="24"/>
          <w:szCs w:val="24"/>
          <w:highlight w:val="none"/>
        </w:rPr>
        <w:t xml:space="preserve"> </w:t>
      </w:r>
      <w:r>
        <w:rPr>
          <w:rFonts w:ascii="宋体" w:hAnsi="宋体" w:eastAsia="宋体" w:cs="宋体"/>
          <w:b/>
          <w:bCs/>
          <w:color w:val="auto"/>
          <w:spacing w:val="-8"/>
          <w:sz w:val="24"/>
          <w:szCs w:val="24"/>
          <w:highlight w:val="none"/>
        </w:rPr>
        <w:t>项目概况</w:t>
      </w:r>
      <w:bookmarkEnd w:id="62"/>
      <w:bookmarkEnd w:id="63"/>
      <w:bookmarkEnd w:id="64"/>
    </w:p>
    <w:p w14:paraId="7AF670CA">
      <w:pPr>
        <w:spacing w:before="180" w:line="359" w:lineRule="auto"/>
        <w:ind w:firstLine="497"/>
        <w:jc w:val="both"/>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1.1.1 根据《中华人民共和国招标投标法》《中华人民共和国招标投标法实施条</w:t>
      </w:r>
      <w:r>
        <w:rPr>
          <w:rFonts w:ascii="宋体" w:hAnsi="宋体" w:eastAsia="宋体" w:cs="宋体"/>
          <w:color w:val="auto"/>
          <w:spacing w:val="5"/>
          <w:sz w:val="24"/>
          <w:szCs w:val="24"/>
          <w:highlight w:val="none"/>
        </w:rPr>
        <w:t>例》《广东省实施&lt;中华人民共和国招标投标法&gt;办法》《公路工</w:t>
      </w:r>
      <w:r>
        <w:rPr>
          <w:rFonts w:ascii="宋体" w:hAnsi="宋体" w:eastAsia="宋体" w:cs="宋体"/>
          <w:color w:val="auto"/>
          <w:spacing w:val="4"/>
          <w:sz w:val="24"/>
          <w:szCs w:val="24"/>
          <w:highlight w:val="none"/>
        </w:rPr>
        <w:t>程建设项目招标投标</w:t>
      </w:r>
      <w:r>
        <w:rPr>
          <w:rFonts w:ascii="宋体" w:hAnsi="宋体" w:eastAsia="宋体" w:cs="宋体"/>
          <w:color w:val="auto"/>
          <w:spacing w:val="5"/>
          <w:sz w:val="24"/>
          <w:szCs w:val="24"/>
          <w:highlight w:val="none"/>
        </w:rPr>
        <w:t>管理办法》等有关法律、法规和规章的规定，本招标项目已具备招标条件，</w:t>
      </w:r>
      <w:r>
        <w:rPr>
          <w:rFonts w:ascii="宋体" w:hAnsi="宋体" w:eastAsia="宋体" w:cs="宋体"/>
          <w:color w:val="auto"/>
          <w:spacing w:val="4"/>
          <w:sz w:val="24"/>
          <w:szCs w:val="24"/>
          <w:highlight w:val="none"/>
        </w:rPr>
        <w:t>现对本标</w:t>
      </w:r>
      <w:r>
        <w:rPr>
          <w:rFonts w:ascii="宋体" w:hAnsi="宋体" w:eastAsia="宋体" w:cs="宋体"/>
          <w:color w:val="auto"/>
          <w:spacing w:val="-1"/>
          <w:sz w:val="24"/>
          <w:szCs w:val="24"/>
          <w:highlight w:val="none"/>
        </w:rPr>
        <w:t>段施工监理进行招标。</w:t>
      </w:r>
    </w:p>
    <w:p w14:paraId="101A5CA8">
      <w:pPr>
        <w:spacing w:before="1" w:line="218" w:lineRule="auto"/>
        <w:ind w:left="497"/>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1.1.2 本招标项目招标人：见投标人须知</w:t>
      </w:r>
      <w:r>
        <w:rPr>
          <w:rFonts w:ascii="宋体" w:hAnsi="宋体" w:eastAsia="宋体" w:cs="宋体"/>
          <w:color w:val="auto"/>
          <w:spacing w:val="-2"/>
          <w:sz w:val="24"/>
          <w:szCs w:val="24"/>
          <w:highlight w:val="none"/>
        </w:rPr>
        <w:t>前附表。</w:t>
      </w:r>
    </w:p>
    <w:p w14:paraId="340D2AB7">
      <w:pPr>
        <w:spacing w:before="184" w:line="219" w:lineRule="auto"/>
        <w:ind w:left="497"/>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1.1.3 本标段招标代理机构：见投标人须知前</w:t>
      </w:r>
      <w:r>
        <w:rPr>
          <w:rFonts w:ascii="宋体" w:hAnsi="宋体" w:eastAsia="宋体" w:cs="宋体"/>
          <w:color w:val="auto"/>
          <w:spacing w:val="-2"/>
          <w:sz w:val="24"/>
          <w:szCs w:val="24"/>
          <w:highlight w:val="none"/>
        </w:rPr>
        <w:t>附表。</w:t>
      </w:r>
    </w:p>
    <w:p w14:paraId="15A173DF">
      <w:pPr>
        <w:spacing w:before="183" w:line="219" w:lineRule="auto"/>
        <w:ind w:left="497"/>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1.1.4 本招标项目名称：见投标人须</w:t>
      </w:r>
      <w:r>
        <w:rPr>
          <w:rFonts w:ascii="宋体" w:hAnsi="宋体" w:eastAsia="宋体" w:cs="宋体"/>
          <w:color w:val="auto"/>
          <w:spacing w:val="-2"/>
          <w:sz w:val="24"/>
          <w:szCs w:val="24"/>
          <w:highlight w:val="none"/>
        </w:rPr>
        <w:t>知前附表。</w:t>
      </w:r>
    </w:p>
    <w:p w14:paraId="7C615C68">
      <w:pPr>
        <w:spacing w:before="181" w:line="219" w:lineRule="auto"/>
        <w:ind w:left="497"/>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1.1.5 本标段建设地点：见投标人须</w:t>
      </w:r>
      <w:r>
        <w:rPr>
          <w:rFonts w:ascii="宋体" w:hAnsi="宋体" w:eastAsia="宋体" w:cs="宋体"/>
          <w:color w:val="auto"/>
          <w:spacing w:val="-2"/>
          <w:sz w:val="24"/>
          <w:szCs w:val="24"/>
          <w:highlight w:val="none"/>
        </w:rPr>
        <w:t>知前附表。</w:t>
      </w:r>
    </w:p>
    <w:p w14:paraId="44A6C853">
      <w:pPr>
        <w:spacing w:before="181" w:line="219" w:lineRule="auto"/>
        <w:ind w:left="497"/>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1.1.6 本标段建设规模：见投标人须</w:t>
      </w:r>
      <w:r>
        <w:rPr>
          <w:rFonts w:ascii="宋体" w:hAnsi="宋体" w:eastAsia="宋体" w:cs="宋体"/>
          <w:color w:val="auto"/>
          <w:spacing w:val="-2"/>
          <w:sz w:val="24"/>
          <w:szCs w:val="24"/>
          <w:highlight w:val="none"/>
        </w:rPr>
        <w:t>知前附表。</w:t>
      </w:r>
    </w:p>
    <w:p w14:paraId="0EECA520">
      <w:pPr>
        <w:spacing w:before="183" w:line="219" w:lineRule="auto"/>
        <w:ind w:left="497"/>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1.1.7 招标项目施工预计开工日期和建设周期：见投标人须知前附表。</w:t>
      </w:r>
    </w:p>
    <w:p w14:paraId="28F9F6DD">
      <w:pPr>
        <w:spacing w:before="183" w:line="219" w:lineRule="auto"/>
        <w:ind w:left="497"/>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1.1.8 建筑安装工程费/工程概算投资额：见投标人须知前附表。</w:t>
      </w:r>
    </w:p>
    <w:p w14:paraId="6AA50795">
      <w:pPr>
        <w:spacing w:before="182" w:line="219" w:lineRule="auto"/>
        <w:ind w:left="17"/>
        <w:outlineLvl w:val="1"/>
        <w:rPr>
          <w:rFonts w:ascii="宋体" w:hAnsi="宋体" w:eastAsia="宋体" w:cs="宋体"/>
          <w:color w:val="auto"/>
          <w:sz w:val="24"/>
          <w:szCs w:val="24"/>
          <w:highlight w:val="none"/>
        </w:rPr>
      </w:pPr>
      <w:bookmarkStart w:id="65" w:name="_Toc7385"/>
      <w:bookmarkStart w:id="66" w:name="_Toc17741"/>
      <w:bookmarkStart w:id="67" w:name="_Toc23969"/>
      <w:r>
        <w:rPr>
          <w:rFonts w:ascii="宋体" w:hAnsi="宋体" w:eastAsia="宋体" w:cs="宋体"/>
          <w:b/>
          <w:bCs/>
          <w:color w:val="auto"/>
          <w:spacing w:val="-3"/>
          <w:sz w:val="24"/>
          <w:szCs w:val="24"/>
          <w:highlight w:val="none"/>
        </w:rPr>
        <w:t>1.2</w:t>
      </w:r>
      <w:r>
        <w:rPr>
          <w:rFonts w:ascii="宋体" w:hAnsi="宋体" w:eastAsia="宋体" w:cs="宋体"/>
          <w:color w:val="auto"/>
          <w:spacing w:val="-3"/>
          <w:sz w:val="24"/>
          <w:szCs w:val="24"/>
          <w:highlight w:val="none"/>
        </w:rPr>
        <w:t xml:space="preserve"> </w:t>
      </w:r>
      <w:r>
        <w:rPr>
          <w:rFonts w:ascii="宋体" w:hAnsi="宋体" w:eastAsia="宋体" w:cs="宋体"/>
          <w:b/>
          <w:bCs/>
          <w:color w:val="auto"/>
          <w:spacing w:val="-3"/>
          <w:sz w:val="24"/>
          <w:szCs w:val="24"/>
          <w:highlight w:val="none"/>
        </w:rPr>
        <w:t>招标项目的资金来源和落实情况</w:t>
      </w:r>
      <w:bookmarkEnd w:id="65"/>
      <w:bookmarkEnd w:id="66"/>
      <w:bookmarkEnd w:id="67"/>
    </w:p>
    <w:p w14:paraId="4A80466D">
      <w:pPr>
        <w:spacing w:before="182" w:line="219" w:lineRule="auto"/>
        <w:ind w:left="497"/>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1.2.1 资金来源及比例：见投标人须</w:t>
      </w:r>
      <w:r>
        <w:rPr>
          <w:rFonts w:ascii="宋体" w:hAnsi="宋体" w:eastAsia="宋体" w:cs="宋体"/>
          <w:color w:val="auto"/>
          <w:spacing w:val="-2"/>
          <w:sz w:val="24"/>
          <w:szCs w:val="24"/>
          <w:highlight w:val="none"/>
        </w:rPr>
        <w:t>知前附表。</w:t>
      </w:r>
    </w:p>
    <w:p w14:paraId="5F70D766">
      <w:pPr>
        <w:spacing w:before="181" w:line="219" w:lineRule="auto"/>
        <w:ind w:left="497"/>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1.2.2 资金落实情况：见投标人须知前附表。</w:t>
      </w:r>
    </w:p>
    <w:p w14:paraId="3212215D">
      <w:pPr>
        <w:spacing w:before="185" w:line="219" w:lineRule="auto"/>
        <w:ind w:left="17"/>
        <w:outlineLvl w:val="1"/>
        <w:rPr>
          <w:rFonts w:ascii="宋体" w:hAnsi="宋体" w:eastAsia="宋体" w:cs="宋体"/>
          <w:color w:val="auto"/>
          <w:sz w:val="24"/>
          <w:szCs w:val="24"/>
          <w:highlight w:val="none"/>
        </w:rPr>
      </w:pPr>
      <w:bookmarkStart w:id="68" w:name="_Toc15947"/>
      <w:bookmarkStart w:id="69" w:name="_Toc8478"/>
      <w:bookmarkStart w:id="70" w:name="_Toc31228"/>
      <w:r>
        <w:rPr>
          <w:rFonts w:ascii="宋体" w:hAnsi="宋体" w:eastAsia="宋体" w:cs="宋体"/>
          <w:b/>
          <w:bCs/>
          <w:color w:val="auto"/>
          <w:spacing w:val="-3"/>
          <w:sz w:val="24"/>
          <w:szCs w:val="24"/>
          <w:highlight w:val="none"/>
        </w:rPr>
        <w:t>1.3</w:t>
      </w:r>
      <w:r>
        <w:rPr>
          <w:rFonts w:ascii="宋体" w:hAnsi="宋体" w:eastAsia="宋体" w:cs="宋体"/>
          <w:color w:val="auto"/>
          <w:spacing w:val="-3"/>
          <w:sz w:val="24"/>
          <w:szCs w:val="24"/>
          <w:highlight w:val="none"/>
        </w:rPr>
        <w:t xml:space="preserve"> </w:t>
      </w:r>
      <w:r>
        <w:rPr>
          <w:rFonts w:ascii="宋体" w:hAnsi="宋体" w:eastAsia="宋体" w:cs="宋体"/>
          <w:b/>
          <w:bCs/>
          <w:color w:val="auto"/>
          <w:spacing w:val="-3"/>
          <w:sz w:val="24"/>
          <w:szCs w:val="24"/>
          <w:highlight w:val="none"/>
        </w:rPr>
        <w:t>招标范围、监理服务期限、质量要求和安全目标</w:t>
      </w:r>
      <w:bookmarkEnd w:id="68"/>
      <w:bookmarkEnd w:id="69"/>
      <w:bookmarkEnd w:id="70"/>
    </w:p>
    <w:p w14:paraId="0E0F8285">
      <w:pPr>
        <w:spacing w:before="180" w:line="219" w:lineRule="auto"/>
        <w:ind w:left="497"/>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1.3.1 招标范围：见投标人须知前附表。</w:t>
      </w:r>
    </w:p>
    <w:p w14:paraId="4F0948A5">
      <w:pPr>
        <w:spacing w:before="183" w:line="219" w:lineRule="auto"/>
        <w:ind w:left="497"/>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1.3.2 本标段的监理服务期限：见投标人须知前附</w:t>
      </w:r>
      <w:r>
        <w:rPr>
          <w:rFonts w:ascii="宋体" w:hAnsi="宋体" w:eastAsia="宋体" w:cs="宋体"/>
          <w:color w:val="auto"/>
          <w:spacing w:val="-2"/>
          <w:sz w:val="24"/>
          <w:szCs w:val="24"/>
          <w:highlight w:val="none"/>
        </w:rPr>
        <w:t>表。</w:t>
      </w:r>
    </w:p>
    <w:p w14:paraId="125D6DA3">
      <w:pPr>
        <w:spacing w:before="181" w:line="219" w:lineRule="auto"/>
        <w:ind w:left="497"/>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1.3.3 本标段的质量要求：见投标人须知</w:t>
      </w:r>
      <w:r>
        <w:rPr>
          <w:rFonts w:ascii="宋体" w:hAnsi="宋体" w:eastAsia="宋体" w:cs="宋体"/>
          <w:color w:val="auto"/>
          <w:spacing w:val="-2"/>
          <w:sz w:val="24"/>
          <w:szCs w:val="24"/>
          <w:highlight w:val="none"/>
        </w:rPr>
        <w:t>前附表。</w:t>
      </w:r>
    </w:p>
    <w:p w14:paraId="288704E8">
      <w:pPr>
        <w:spacing w:before="183" w:line="219" w:lineRule="auto"/>
        <w:ind w:left="497"/>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1.3.4 本标段的安全目标：见投标人须知</w:t>
      </w:r>
      <w:r>
        <w:rPr>
          <w:rFonts w:ascii="宋体" w:hAnsi="宋体" w:eastAsia="宋体" w:cs="宋体"/>
          <w:color w:val="auto"/>
          <w:spacing w:val="-2"/>
          <w:sz w:val="24"/>
          <w:szCs w:val="24"/>
          <w:highlight w:val="none"/>
        </w:rPr>
        <w:t>前附表。</w:t>
      </w:r>
    </w:p>
    <w:p w14:paraId="3ABBBC06">
      <w:pPr>
        <w:spacing w:before="182" w:line="219" w:lineRule="auto"/>
        <w:ind w:left="17"/>
        <w:outlineLvl w:val="1"/>
        <w:rPr>
          <w:rFonts w:ascii="宋体" w:hAnsi="宋体" w:eastAsia="宋体" w:cs="宋体"/>
          <w:color w:val="auto"/>
          <w:sz w:val="24"/>
          <w:szCs w:val="24"/>
          <w:highlight w:val="none"/>
        </w:rPr>
      </w:pPr>
      <w:bookmarkStart w:id="71" w:name="_Toc32351"/>
      <w:bookmarkStart w:id="72" w:name="_Toc9036"/>
      <w:bookmarkStart w:id="73" w:name="_Toc20082"/>
      <w:r>
        <w:rPr>
          <w:rFonts w:ascii="宋体" w:hAnsi="宋体" w:eastAsia="宋体" w:cs="宋体"/>
          <w:b/>
          <w:bCs/>
          <w:color w:val="auto"/>
          <w:spacing w:val="-4"/>
          <w:sz w:val="24"/>
          <w:szCs w:val="24"/>
          <w:highlight w:val="none"/>
        </w:rPr>
        <w:t>1.4</w:t>
      </w:r>
      <w:r>
        <w:rPr>
          <w:rFonts w:ascii="宋体" w:hAnsi="宋体" w:eastAsia="宋体" w:cs="宋体"/>
          <w:color w:val="auto"/>
          <w:spacing w:val="-4"/>
          <w:sz w:val="24"/>
          <w:szCs w:val="24"/>
          <w:highlight w:val="none"/>
        </w:rPr>
        <w:t xml:space="preserve"> </w:t>
      </w:r>
      <w:r>
        <w:rPr>
          <w:rFonts w:ascii="宋体" w:hAnsi="宋体" w:eastAsia="宋体" w:cs="宋体"/>
          <w:b/>
          <w:bCs/>
          <w:color w:val="auto"/>
          <w:spacing w:val="-4"/>
          <w:sz w:val="24"/>
          <w:szCs w:val="24"/>
          <w:highlight w:val="none"/>
        </w:rPr>
        <w:t>投标人资格要求</w:t>
      </w:r>
      <w:bookmarkEnd w:id="71"/>
      <w:bookmarkEnd w:id="72"/>
      <w:bookmarkEnd w:id="73"/>
    </w:p>
    <w:p w14:paraId="3BD329C1">
      <w:pPr>
        <w:spacing w:before="182" w:line="219" w:lineRule="auto"/>
        <w:ind w:left="497"/>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1.4.1 投标人应具备承担本标段施工监理的资质条件、能力和信誉。</w:t>
      </w:r>
    </w:p>
    <w:p w14:paraId="5407AC40">
      <w:pPr>
        <w:spacing w:before="184" w:line="219" w:lineRule="auto"/>
        <w:ind w:left="491"/>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（1）资质要求：见投标人须知前附表；</w:t>
      </w:r>
    </w:p>
    <w:p w14:paraId="7326F8B3">
      <w:pPr>
        <w:spacing w:before="180" w:line="219" w:lineRule="auto"/>
        <w:ind w:left="491"/>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（2）业绩要求：见投标人须知前附表；</w:t>
      </w:r>
    </w:p>
    <w:p w14:paraId="52E42DC4">
      <w:pPr>
        <w:spacing w:before="181" w:line="219" w:lineRule="auto"/>
        <w:ind w:left="491"/>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（3）信誉要求：见投标人须知前附表；</w:t>
      </w:r>
    </w:p>
    <w:p w14:paraId="70A46573">
      <w:pPr>
        <w:spacing w:before="184" w:line="219" w:lineRule="auto"/>
        <w:ind w:left="491"/>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（4）总监理工程师或驻地监理工程师资格：见投标人须知前附表；</w:t>
      </w:r>
    </w:p>
    <w:p w14:paraId="52E23D7A">
      <w:pPr>
        <w:spacing w:before="181" w:line="219" w:lineRule="auto"/>
        <w:ind w:left="491"/>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（5）其他要求：见投标人须知前附表。</w:t>
      </w:r>
    </w:p>
    <w:p w14:paraId="718EF9E9">
      <w:pPr>
        <w:spacing w:line="219" w:lineRule="auto"/>
        <w:rPr>
          <w:rFonts w:ascii="宋体" w:hAnsi="宋体" w:eastAsia="宋体" w:cs="宋体"/>
          <w:color w:val="auto"/>
          <w:sz w:val="24"/>
          <w:szCs w:val="24"/>
          <w:highlight w:val="none"/>
        </w:rPr>
        <w:sectPr>
          <w:footerReference r:id="rId27" w:type="default"/>
          <w:pgSz w:w="11906" w:h="16839"/>
          <w:pgMar w:top="1402" w:right="1418" w:bottom="1297" w:left="1425" w:header="0" w:footer="1067" w:gutter="0"/>
          <w:pgNumType w:fmt="decimal"/>
          <w:cols w:space="720" w:num="1"/>
        </w:sectPr>
      </w:pPr>
    </w:p>
    <w:p w14:paraId="5B3299A4">
      <w:pPr>
        <w:spacing w:before="47" w:line="219" w:lineRule="auto"/>
        <w:ind w:left="494"/>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需要提交的相关证明材料见本章第</w:t>
      </w:r>
      <w:r>
        <w:rPr>
          <w:rFonts w:ascii="宋体" w:hAnsi="宋体" w:eastAsia="宋体" w:cs="宋体"/>
          <w:color w:val="auto"/>
          <w:spacing w:val="-45"/>
          <w:sz w:val="24"/>
          <w:szCs w:val="24"/>
          <w:highlight w:val="none"/>
        </w:rPr>
        <w:t xml:space="preserve"> </w:t>
      </w:r>
      <w:r>
        <w:rPr>
          <w:rFonts w:ascii="宋体" w:hAnsi="宋体" w:eastAsia="宋体" w:cs="宋体"/>
          <w:color w:val="auto"/>
          <w:spacing w:val="-2"/>
          <w:sz w:val="24"/>
          <w:szCs w:val="24"/>
          <w:highlight w:val="none"/>
        </w:rPr>
        <w:t>3.5</w:t>
      </w:r>
      <w:r>
        <w:rPr>
          <w:rFonts w:ascii="宋体" w:hAnsi="宋体" w:eastAsia="宋体" w:cs="宋体"/>
          <w:color w:val="auto"/>
          <w:spacing w:val="-50"/>
          <w:sz w:val="24"/>
          <w:szCs w:val="24"/>
          <w:highlight w:val="none"/>
        </w:rPr>
        <w:t xml:space="preserve"> </w:t>
      </w:r>
      <w:r>
        <w:rPr>
          <w:rFonts w:ascii="宋体" w:hAnsi="宋体" w:eastAsia="宋体" w:cs="宋体"/>
          <w:color w:val="auto"/>
          <w:spacing w:val="-2"/>
          <w:sz w:val="24"/>
          <w:szCs w:val="24"/>
          <w:highlight w:val="none"/>
        </w:rPr>
        <w:t>款的</w:t>
      </w:r>
      <w:r>
        <w:rPr>
          <w:rFonts w:ascii="宋体" w:hAnsi="宋体" w:eastAsia="宋体" w:cs="宋体"/>
          <w:color w:val="auto"/>
          <w:spacing w:val="-3"/>
          <w:sz w:val="24"/>
          <w:szCs w:val="24"/>
          <w:highlight w:val="none"/>
        </w:rPr>
        <w:t>规定。</w:t>
      </w:r>
    </w:p>
    <w:p w14:paraId="307CE805">
      <w:pPr>
        <w:spacing w:before="181" w:line="359" w:lineRule="auto"/>
        <w:ind w:left="4" w:firstLine="493"/>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1.4.2 投标人须知前附表规定接受联合体投标的，联合体除</w:t>
      </w:r>
      <w:r>
        <w:rPr>
          <w:rFonts w:ascii="宋体" w:hAnsi="宋体" w:eastAsia="宋体" w:cs="宋体"/>
          <w:color w:val="auto"/>
          <w:spacing w:val="4"/>
          <w:sz w:val="24"/>
          <w:szCs w:val="24"/>
          <w:highlight w:val="none"/>
        </w:rPr>
        <w:t>应符合本章第</w:t>
      </w:r>
      <w:r>
        <w:rPr>
          <w:rFonts w:ascii="宋体" w:hAnsi="宋体" w:eastAsia="宋体" w:cs="宋体"/>
          <w:color w:val="auto"/>
          <w:spacing w:val="-26"/>
          <w:sz w:val="24"/>
          <w:szCs w:val="24"/>
          <w:highlight w:val="none"/>
        </w:rPr>
        <w:t xml:space="preserve"> </w:t>
      </w:r>
      <w:r>
        <w:rPr>
          <w:rFonts w:ascii="宋体" w:hAnsi="宋体" w:eastAsia="宋体" w:cs="宋体"/>
          <w:color w:val="auto"/>
          <w:spacing w:val="4"/>
          <w:sz w:val="24"/>
          <w:szCs w:val="24"/>
          <w:highlight w:val="none"/>
        </w:rPr>
        <w:t>1.4.1</w:t>
      </w:r>
      <w:r>
        <w:rPr>
          <w:rFonts w:ascii="宋体" w:hAnsi="宋体" w:eastAsia="宋体" w:cs="宋体"/>
          <w:color w:val="auto"/>
          <w:spacing w:val="-1"/>
          <w:sz w:val="24"/>
          <w:szCs w:val="24"/>
          <w:highlight w:val="none"/>
        </w:rPr>
        <w:t>项和投标人须知前附表的要求外，还应遵守以下规定：</w:t>
      </w:r>
    </w:p>
    <w:p w14:paraId="64BFC906">
      <w:pPr>
        <w:spacing w:before="1" w:line="289" w:lineRule="auto"/>
        <w:ind w:left="1" w:firstLine="490"/>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（1）联合体各方应按招标文件提供的格式签订联合体协议书，明确联合体牵头人</w:t>
      </w:r>
      <w:r>
        <w:rPr>
          <w:rFonts w:ascii="宋体" w:hAnsi="宋体" w:eastAsia="宋体" w:cs="宋体"/>
          <w:color w:val="auto"/>
          <w:spacing w:val="-1"/>
          <w:sz w:val="24"/>
          <w:szCs w:val="24"/>
          <w:highlight w:val="none"/>
        </w:rPr>
        <w:t>和各方权利义务，并承诺就中标项目向招标人承担连带责任；</w:t>
      </w:r>
    </w:p>
    <w:p w14:paraId="4C68E3B7">
      <w:pPr>
        <w:spacing w:before="180" w:line="219" w:lineRule="auto"/>
        <w:ind w:left="492"/>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（2）由同一专业的单位组成的联合体，按照资质等级较低的单位确定资质等级；</w:t>
      </w:r>
    </w:p>
    <w:p w14:paraId="15383803">
      <w:pPr>
        <w:spacing w:before="183" w:line="219" w:lineRule="auto"/>
        <w:ind w:left="492"/>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（3）联合体各方不得再以自己名义单独或参加其他联合体在同一标段中投标；</w:t>
      </w:r>
    </w:p>
    <w:p w14:paraId="5068C87F">
      <w:pPr>
        <w:spacing w:before="182" w:line="312" w:lineRule="auto"/>
        <w:ind w:firstLine="491"/>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（4）联合体各方应分别按照本招标文件的要求，填写投标文件中的相应表格，并</w:t>
      </w:r>
      <w:r>
        <w:rPr>
          <w:rFonts w:ascii="宋体" w:hAnsi="宋体" w:eastAsia="宋体" w:cs="宋体"/>
          <w:color w:val="auto"/>
          <w:spacing w:val="5"/>
          <w:sz w:val="24"/>
          <w:szCs w:val="24"/>
          <w:highlight w:val="none"/>
        </w:rPr>
        <w:t>由联合体牵头人负责对联合体各成员的资料进行统一汇总后一并提交给招标</w:t>
      </w:r>
      <w:r>
        <w:rPr>
          <w:rFonts w:ascii="宋体" w:hAnsi="宋体" w:eastAsia="宋体" w:cs="宋体"/>
          <w:color w:val="auto"/>
          <w:spacing w:val="4"/>
          <w:sz w:val="24"/>
          <w:szCs w:val="24"/>
          <w:highlight w:val="none"/>
        </w:rPr>
        <w:t>人；联合</w:t>
      </w:r>
      <w:r>
        <w:rPr>
          <w:rFonts w:ascii="宋体" w:hAnsi="宋体" w:eastAsia="宋体" w:cs="宋体"/>
          <w:color w:val="auto"/>
          <w:sz w:val="24"/>
          <w:szCs w:val="24"/>
          <w:highlight w:val="none"/>
        </w:rPr>
        <w:t>体牵头人所提交的投标文件应认为已代表了联</w:t>
      </w:r>
      <w:r>
        <w:rPr>
          <w:rFonts w:ascii="宋体" w:hAnsi="宋体" w:eastAsia="宋体" w:cs="宋体"/>
          <w:color w:val="auto"/>
          <w:spacing w:val="-1"/>
          <w:sz w:val="24"/>
          <w:szCs w:val="24"/>
          <w:highlight w:val="none"/>
        </w:rPr>
        <w:t>合体各成员的真实情况；</w:t>
      </w:r>
    </w:p>
    <w:p w14:paraId="63A3C814">
      <w:pPr>
        <w:spacing w:before="183" w:line="289" w:lineRule="auto"/>
        <w:ind w:firstLine="492"/>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（5）尽管委任了联合体牵头人，但联合体各成员在投标、签订合同与履行合同过</w:t>
      </w:r>
      <w:r>
        <w:rPr>
          <w:rFonts w:ascii="宋体" w:hAnsi="宋体" w:eastAsia="宋体" w:cs="宋体"/>
          <w:color w:val="auto"/>
          <w:spacing w:val="-1"/>
          <w:sz w:val="24"/>
          <w:szCs w:val="24"/>
          <w:highlight w:val="none"/>
        </w:rPr>
        <w:t>程中，仍负有连带的和各自的法律责任。</w:t>
      </w:r>
    </w:p>
    <w:p w14:paraId="7D8A1EE0">
      <w:pPr>
        <w:spacing w:before="182" w:line="219" w:lineRule="auto"/>
        <w:ind w:left="498"/>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1.4.3 投标人（包括联合体各成员）不得与本标段相关单位存在下列关联关系：</w:t>
      </w:r>
    </w:p>
    <w:p w14:paraId="18631133">
      <w:pPr>
        <w:spacing w:before="184" w:line="219" w:lineRule="auto"/>
        <w:ind w:left="492"/>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（1）为招标人不具有独立法人资格的附属机构（单位</w:t>
      </w:r>
      <w:r>
        <w:rPr>
          <w:rFonts w:ascii="宋体" w:hAnsi="宋体" w:eastAsia="宋体" w:cs="宋体"/>
          <w:color w:val="auto"/>
          <w:spacing w:val="1"/>
          <w:sz w:val="24"/>
          <w:szCs w:val="24"/>
          <w:highlight w:val="none"/>
        </w:rPr>
        <w:t>）；</w:t>
      </w:r>
    </w:p>
    <w:p w14:paraId="7CA8C7FB">
      <w:pPr>
        <w:spacing w:before="182" w:line="219" w:lineRule="auto"/>
        <w:ind w:left="492"/>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（2）与招标人存在利害关系且可能影响招标公正性；</w:t>
      </w:r>
    </w:p>
    <w:p w14:paraId="73986C10">
      <w:pPr>
        <w:spacing w:before="182" w:line="219" w:lineRule="auto"/>
        <w:ind w:left="492"/>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（3）与本标段的其他投标人同为一个单位负责人；</w:t>
      </w:r>
    </w:p>
    <w:p w14:paraId="5EF9638C">
      <w:pPr>
        <w:spacing w:before="181" w:line="219" w:lineRule="auto"/>
        <w:ind w:left="492"/>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（4）与本标段的其他投标人存在控股、管理关系；</w:t>
      </w:r>
    </w:p>
    <w:p w14:paraId="1CE17A22">
      <w:pPr>
        <w:spacing w:before="181" w:line="219" w:lineRule="auto"/>
        <w:ind w:left="492"/>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（5）为本标段的代建人；</w:t>
      </w:r>
    </w:p>
    <w:p w14:paraId="481D14B4">
      <w:pPr>
        <w:spacing w:before="183" w:line="219" w:lineRule="auto"/>
        <w:ind w:left="492"/>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（6）为本标段的招标代理机构；</w:t>
      </w:r>
    </w:p>
    <w:p w14:paraId="0B41B44F">
      <w:pPr>
        <w:spacing w:before="183" w:line="219" w:lineRule="auto"/>
        <w:ind w:left="492"/>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（7）与本标段的代建人或招标代理机构同为一个法定代表人；</w:t>
      </w:r>
    </w:p>
    <w:p w14:paraId="0E31AA23">
      <w:pPr>
        <w:spacing w:before="181" w:line="219" w:lineRule="auto"/>
        <w:ind w:left="492"/>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（8）与本标段的代建人或招标代理机构存在控股或参股关系；</w:t>
      </w:r>
    </w:p>
    <w:p w14:paraId="7FB6C89C">
      <w:pPr>
        <w:spacing w:before="184" w:line="289" w:lineRule="auto"/>
        <w:ind w:left="4" w:firstLine="487"/>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（9）与本标段对应工程的施工承包人以及建筑材料、建筑构配件和设备供应商有</w:t>
      </w:r>
      <w:r>
        <w:rPr>
          <w:rFonts w:ascii="宋体" w:hAnsi="宋体" w:eastAsia="宋体" w:cs="宋体"/>
          <w:color w:val="auto"/>
          <w:spacing w:val="-2"/>
          <w:sz w:val="24"/>
          <w:szCs w:val="24"/>
          <w:highlight w:val="none"/>
        </w:rPr>
        <w:t>隶属关系或其他利害关系；</w:t>
      </w:r>
    </w:p>
    <w:p w14:paraId="7BE3E209">
      <w:pPr>
        <w:spacing w:before="182" w:line="219" w:lineRule="auto"/>
        <w:ind w:left="492"/>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（10）法律法规或投标人须知前附表规定的其他情形。</w:t>
      </w:r>
    </w:p>
    <w:p w14:paraId="18A832C8">
      <w:pPr>
        <w:spacing w:before="184" w:line="219" w:lineRule="auto"/>
        <w:ind w:left="498"/>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1.4.4 投标人（包括联合体各成员）不得存在下列不良状况或不良信用记录：</w:t>
      </w:r>
    </w:p>
    <w:p w14:paraId="726533ED">
      <w:pPr>
        <w:spacing w:before="180" w:line="289" w:lineRule="auto"/>
        <w:ind w:left="3" w:firstLine="488"/>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（1）被省级及以上交通运输主管部门取消招标项目所在地的投标资格且处于有效</w:t>
      </w:r>
      <w:r>
        <w:rPr>
          <w:rFonts w:ascii="宋体" w:hAnsi="宋体" w:eastAsia="宋体" w:cs="宋体"/>
          <w:color w:val="auto"/>
          <w:spacing w:val="-5"/>
          <w:sz w:val="24"/>
          <w:szCs w:val="24"/>
          <w:highlight w:val="none"/>
        </w:rPr>
        <w:t>期内；</w:t>
      </w:r>
    </w:p>
    <w:p w14:paraId="78FC190A">
      <w:pPr>
        <w:spacing w:before="182" w:line="219" w:lineRule="auto"/>
        <w:ind w:left="492"/>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（2）被责令停业，暂扣或吊销执照，或吊销资质证书；</w:t>
      </w:r>
    </w:p>
    <w:p w14:paraId="1BB5C343">
      <w:pPr>
        <w:spacing w:before="181" w:line="218" w:lineRule="auto"/>
        <w:ind w:left="492"/>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（3）进入清算程序，或被宣告破产，或其他丧失履约能力的情形；</w:t>
      </w:r>
    </w:p>
    <w:p w14:paraId="3FE0E946">
      <w:pPr>
        <w:spacing w:before="186" w:line="219" w:lineRule="auto"/>
        <w:ind w:left="492"/>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（4）在国家企业信用信息公示系统中被列入严重违法失信企业名单；</w:t>
      </w:r>
    </w:p>
    <w:p w14:paraId="23DD7596">
      <w:pPr>
        <w:spacing w:line="219" w:lineRule="auto"/>
        <w:rPr>
          <w:rFonts w:ascii="宋体" w:hAnsi="宋体" w:eastAsia="宋体" w:cs="宋体"/>
          <w:color w:val="auto"/>
          <w:sz w:val="24"/>
          <w:szCs w:val="24"/>
          <w:highlight w:val="none"/>
        </w:rPr>
        <w:sectPr>
          <w:footerReference r:id="rId28" w:type="default"/>
          <w:pgSz w:w="11906" w:h="16839"/>
          <w:pgMar w:top="1405" w:right="1417" w:bottom="1297" w:left="1424" w:header="0" w:footer="1067" w:gutter="0"/>
          <w:pgNumType w:fmt="decimal"/>
          <w:cols w:space="720" w:num="1"/>
        </w:sectPr>
      </w:pPr>
    </w:p>
    <w:p w14:paraId="34112B2B">
      <w:pPr>
        <w:spacing w:before="48" w:line="219" w:lineRule="auto"/>
        <w:ind w:left="499"/>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（5）在“信用中国</w:t>
      </w:r>
      <w:r>
        <w:rPr>
          <w:rFonts w:ascii="宋体" w:hAnsi="宋体" w:eastAsia="宋体" w:cs="宋体"/>
          <w:color w:val="auto"/>
          <w:spacing w:val="-88"/>
          <w:sz w:val="24"/>
          <w:szCs w:val="24"/>
          <w:highlight w:val="none"/>
        </w:rPr>
        <w:t xml:space="preserve"> </w:t>
      </w:r>
      <w:r>
        <w:rPr>
          <w:rFonts w:ascii="宋体" w:hAnsi="宋体" w:eastAsia="宋体" w:cs="宋体"/>
          <w:color w:val="auto"/>
          <w:spacing w:val="-2"/>
          <w:sz w:val="24"/>
          <w:szCs w:val="24"/>
          <w:highlight w:val="none"/>
        </w:rPr>
        <w:t>”网站中被列入失信被执行</w:t>
      </w:r>
      <w:r>
        <w:rPr>
          <w:rFonts w:ascii="宋体" w:hAnsi="宋体" w:eastAsia="宋体" w:cs="宋体"/>
          <w:color w:val="auto"/>
          <w:spacing w:val="-3"/>
          <w:sz w:val="24"/>
          <w:szCs w:val="24"/>
          <w:highlight w:val="none"/>
        </w:rPr>
        <w:t>人名单；</w:t>
      </w:r>
    </w:p>
    <w:p w14:paraId="62F25E00">
      <w:pPr>
        <w:spacing w:before="145" w:line="372" w:lineRule="auto"/>
        <w:ind w:left="9" w:firstLine="490"/>
        <w:rPr>
          <w:rFonts w:ascii="宋体" w:hAnsi="宋体" w:eastAsia="宋体" w:cs="宋体"/>
          <w:color w:val="auto"/>
          <w:sz w:val="28"/>
          <w:szCs w:val="28"/>
          <w:highlight w:val="none"/>
        </w:rPr>
      </w:pPr>
      <w:r>
        <w:rPr>
          <w:rFonts w:ascii="宋体" w:hAnsi="宋体" w:eastAsia="宋体" w:cs="宋体"/>
          <w:color w:val="auto"/>
          <w:spacing w:val="5"/>
          <w:sz w:val="24"/>
          <w:szCs w:val="24"/>
          <w:highlight w:val="none"/>
        </w:rPr>
        <w:t>（6）投标人及其法定代表人、拟委任的总监理工程师（含备选</w:t>
      </w:r>
      <w:r>
        <w:rPr>
          <w:rFonts w:ascii="宋体" w:hAnsi="宋体" w:eastAsia="宋体" w:cs="宋体"/>
          <w:color w:val="auto"/>
          <w:spacing w:val="4"/>
          <w:sz w:val="24"/>
          <w:szCs w:val="24"/>
          <w:highlight w:val="none"/>
        </w:rPr>
        <w:t>，如有）</w:t>
      </w:r>
      <w:r>
        <w:rPr>
          <w:color w:val="auto"/>
          <w:highlight w:val="none"/>
        </w:rPr>
        <w:fldChar w:fldCharType="begin"/>
      </w:r>
      <w:r>
        <w:rPr>
          <w:color w:val="auto"/>
          <w:highlight w:val="none"/>
        </w:rPr>
        <w:instrText xml:space="preserve"> HYPERLINK \l "bookmark99" </w:instrText>
      </w:r>
      <w:r>
        <w:rPr>
          <w:color w:val="auto"/>
          <w:highlight w:val="none"/>
        </w:rPr>
        <w:fldChar w:fldCharType="separate"/>
      </w:r>
      <w:r>
        <w:rPr>
          <w:rFonts w:ascii="宋体" w:hAnsi="宋体" w:eastAsia="宋体" w:cs="宋体"/>
          <w:color w:val="auto"/>
          <w:spacing w:val="4"/>
          <w:position w:val="12"/>
          <w:sz w:val="12"/>
          <w:szCs w:val="12"/>
          <w:highlight w:val="none"/>
        </w:rPr>
        <w:t>①</w:t>
      </w:r>
      <w:r>
        <w:rPr>
          <w:rFonts w:ascii="宋体" w:hAnsi="宋体" w:eastAsia="宋体" w:cs="宋体"/>
          <w:color w:val="auto"/>
          <w:spacing w:val="4"/>
          <w:position w:val="12"/>
          <w:sz w:val="12"/>
          <w:szCs w:val="12"/>
          <w:highlight w:val="none"/>
        </w:rPr>
        <w:fldChar w:fldCharType="end"/>
      </w:r>
      <w:r>
        <w:rPr>
          <w:rFonts w:ascii="宋体" w:hAnsi="宋体" w:eastAsia="宋体" w:cs="宋体"/>
          <w:color w:val="auto"/>
          <w:spacing w:val="4"/>
          <w:sz w:val="24"/>
          <w:szCs w:val="24"/>
          <w:highlight w:val="none"/>
        </w:rPr>
        <w:t>或驻地</w:t>
      </w:r>
      <w:r>
        <w:rPr>
          <w:rFonts w:ascii="宋体" w:hAnsi="宋体" w:eastAsia="宋体" w:cs="宋体"/>
          <w:color w:val="auto"/>
          <w:spacing w:val="-1"/>
          <w:sz w:val="24"/>
          <w:szCs w:val="24"/>
          <w:highlight w:val="none"/>
        </w:rPr>
        <w:t>监理工程师（含备选，如有）</w:t>
      </w:r>
      <w:r>
        <w:rPr>
          <w:color w:val="auto"/>
          <w:highlight w:val="none"/>
        </w:rPr>
        <w:fldChar w:fldCharType="begin"/>
      </w:r>
      <w:r>
        <w:rPr>
          <w:color w:val="auto"/>
          <w:highlight w:val="none"/>
        </w:rPr>
        <w:instrText xml:space="preserve"> HYPERLINK \l "bookmark100" </w:instrText>
      </w:r>
      <w:r>
        <w:rPr>
          <w:color w:val="auto"/>
          <w:highlight w:val="none"/>
        </w:rPr>
        <w:fldChar w:fldCharType="separate"/>
      </w:r>
      <w:r>
        <w:rPr>
          <w:rFonts w:ascii="宋体" w:hAnsi="宋体" w:eastAsia="宋体" w:cs="宋体"/>
          <w:color w:val="auto"/>
          <w:spacing w:val="-1"/>
          <w:position w:val="12"/>
          <w:sz w:val="12"/>
          <w:szCs w:val="12"/>
          <w:highlight w:val="none"/>
        </w:rPr>
        <w:t>②</w:t>
      </w:r>
      <w:r>
        <w:rPr>
          <w:rFonts w:ascii="宋体" w:hAnsi="宋体" w:eastAsia="宋体" w:cs="宋体"/>
          <w:color w:val="auto"/>
          <w:spacing w:val="-1"/>
          <w:position w:val="12"/>
          <w:sz w:val="12"/>
          <w:szCs w:val="12"/>
          <w:highlight w:val="none"/>
        </w:rPr>
        <w:fldChar w:fldCharType="end"/>
      </w:r>
      <w:r>
        <w:rPr>
          <w:rFonts w:ascii="宋体" w:hAnsi="宋体" w:eastAsia="宋体" w:cs="宋体"/>
          <w:color w:val="auto"/>
          <w:spacing w:val="-1"/>
          <w:sz w:val="24"/>
          <w:szCs w:val="24"/>
          <w:highlight w:val="none"/>
        </w:rPr>
        <w:t>在近三年内有行贿犯罪行为</w:t>
      </w:r>
      <w:r>
        <w:rPr>
          <w:rFonts w:ascii="宋体" w:hAnsi="宋体" w:eastAsia="宋体" w:cs="宋体"/>
          <w:color w:val="auto"/>
          <w:spacing w:val="-1"/>
          <w:sz w:val="28"/>
          <w:szCs w:val="28"/>
          <w:highlight w:val="none"/>
        </w:rPr>
        <w:t>；</w:t>
      </w:r>
    </w:p>
    <w:p w14:paraId="6D1E4311">
      <w:pPr>
        <w:spacing w:line="218" w:lineRule="auto"/>
        <w:ind w:left="499"/>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（7）法律法规或投标人须知前附表规定的其他情形。</w:t>
      </w:r>
    </w:p>
    <w:p w14:paraId="35F8F3C4">
      <w:pPr>
        <w:spacing w:before="182" w:line="359" w:lineRule="auto"/>
        <w:ind w:left="14" w:right="2" w:firstLine="492"/>
        <w:jc w:val="both"/>
        <w:rPr>
          <w:rFonts w:ascii="宋体" w:hAnsi="宋体" w:eastAsia="宋体" w:cs="宋体"/>
          <w:color w:val="auto"/>
          <w:sz w:val="12"/>
          <w:szCs w:val="12"/>
          <w:highlight w:val="none"/>
        </w:rPr>
      </w:pPr>
      <w:r>
        <w:rPr>
          <w:rFonts w:ascii="宋体" w:hAnsi="宋体" w:eastAsia="宋体" w:cs="宋体"/>
          <w:color w:val="auto"/>
          <w:spacing w:val="4"/>
          <w:sz w:val="24"/>
          <w:szCs w:val="24"/>
          <w:highlight w:val="none"/>
        </w:rPr>
        <w:t>1.4.5 投标人（包括联合体各成员）应进入交通运输部“全国公路建设市场监督管理系统</w:t>
      </w:r>
      <w:r>
        <w:rPr>
          <w:rFonts w:ascii="宋体" w:hAnsi="宋体" w:eastAsia="宋体" w:cs="宋体"/>
          <w:color w:val="auto"/>
          <w:spacing w:val="-83"/>
          <w:sz w:val="24"/>
          <w:szCs w:val="24"/>
          <w:highlight w:val="none"/>
        </w:rPr>
        <w:t xml:space="preserve"> </w:t>
      </w:r>
      <w:r>
        <w:rPr>
          <w:rFonts w:ascii="宋体" w:hAnsi="宋体" w:eastAsia="宋体" w:cs="宋体"/>
          <w:color w:val="auto"/>
          <w:spacing w:val="4"/>
          <w:sz w:val="24"/>
          <w:szCs w:val="24"/>
          <w:highlight w:val="none"/>
        </w:rPr>
        <w:t>””中的公路工程施工监理资质企业名录，且投标人</w:t>
      </w:r>
      <w:r>
        <w:rPr>
          <w:rFonts w:ascii="宋体" w:hAnsi="宋体" w:eastAsia="宋体" w:cs="宋体"/>
          <w:color w:val="auto"/>
          <w:spacing w:val="3"/>
          <w:sz w:val="24"/>
          <w:szCs w:val="24"/>
          <w:highlight w:val="none"/>
        </w:rPr>
        <w:t>名称和资质与该名录中</w:t>
      </w:r>
      <w:r>
        <w:rPr>
          <w:rFonts w:ascii="宋体" w:hAnsi="宋体" w:eastAsia="宋体" w:cs="宋体"/>
          <w:color w:val="auto"/>
          <w:sz w:val="24"/>
          <w:szCs w:val="24"/>
          <w:highlight w:val="none"/>
        </w:rPr>
        <w:t>的相应企业名称和资质完全一致。投标人不满足</w:t>
      </w:r>
      <w:r>
        <w:rPr>
          <w:rFonts w:ascii="宋体" w:hAnsi="宋体" w:eastAsia="宋体" w:cs="宋体"/>
          <w:color w:val="auto"/>
          <w:spacing w:val="-1"/>
          <w:sz w:val="24"/>
          <w:szCs w:val="24"/>
          <w:highlight w:val="none"/>
        </w:rPr>
        <w:t>本项规定条件的，将被否决投标。</w:t>
      </w:r>
      <w:r>
        <w:rPr>
          <w:color w:val="auto"/>
          <w:highlight w:val="none"/>
        </w:rPr>
        <w:fldChar w:fldCharType="begin"/>
      </w:r>
      <w:r>
        <w:rPr>
          <w:color w:val="auto"/>
          <w:highlight w:val="none"/>
        </w:rPr>
        <w:instrText xml:space="preserve"> HYPERLINK \l "bookmark101" </w:instrText>
      </w:r>
      <w:r>
        <w:rPr>
          <w:color w:val="auto"/>
          <w:highlight w:val="none"/>
        </w:rPr>
        <w:fldChar w:fldCharType="separate"/>
      </w:r>
      <w:r>
        <w:rPr>
          <w:rFonts w:ascii="宋体" w:hAnsi="宋体" w:eastAsia="宋体" w:cs="宋体"/>
          <w:color w:val="auto"/>
          <w:spacing w:val="-1"/>
          <w:position w:val="11"/>
          <w:sz w:val="12"/>
          <w:szCs w:val="12"/>
          <w:highlight w:val="none"/>
        </w:rPr>
        <w:t>③</w:t>
      </w:r>
      <w:r>
        <w:rPr>
          <w:rFonts w:ascii="宋体" w:hAnsi="宋体" w:eastAsia="宋体" w:cs="宋体"/>
          <w:color w:val="auto"/>
          <w:spacing w:val="-1"/>
          <w:position w:val="11"/>
          <w:sz w:val="12"/>
          <w:szCs w:val="12"/>
          <w:highlight w:val="none"/>
        </w:rPr>
        <w:fldChar w:fldCharType="end"/>
      </w:r>
    </w:p>
    <w:p w14:paraId="441241A3">
      <w:pPr>
        <w:spacing w:line="219" w:lineRule="auto"/>
        <w:ind w:left="26"/>
        <w:outlineLvl w:val="1"/>
        <w:rPr>
          <w:rFonts w:ascii="宋体" w:hAnsi="宋体" w:eastAsia="宋体" w:cs="宋体"/>
          <w:color w:val="auto"/>
          <w:sz w:val="24"/>
          <w:szCs w:val="24"/>
          <w:highlight w:val="none"/>
        </w:rPr>
      </w:pPr>
      <w:bookmarkStart w:id="74" w:name="_Toc30396"/>
      <w:bookmarkStart w:id="75" w:name="_Toc5901"/>
      <w:bookmarkStart w:id="76" w:name="_Toc3201"/>
      <w:r>
        <w:rPr>
          <w:rFonts w:ascii="宋体" w:hAnsi="宋体" w:eastAsia="宋体" w:cs="宋体"/>
          <w:b/>
          <w:bCs/>
          <w:color w:val="auto"/>
          <w:spacing w:val="-9"/>
          <w:sz w:val="24"/>
          <w:szCs w:val="24"/>
          <w:highlight w:val="none"/>
        </w:rPr>
        <w:t>1.5</w:t>
      </w:r>
      <w:r>
        <w:rPr>
          <w:rFonts w:ascii="宋体" w:hAnsi="宋体" w:eastAsia="宋体" w:cs="宋体"/>
          <w:color w:val="auto"/>
          <w:spacing w:val="24"/>
          <w:sz w:val="24"/>
          <w:szCs w:val="24"/>
          <w:highlight w:val="none"/>
        </w:rPr>
        <w:t xml:space="preserve"> </w:t>
      </w:r>
      <w:r>
        <w:rPr>
          <w:rFonts w:ascii="宋体" w:hAnsi="宋体" w:eastAsia="宋体" w:cs="宋体"/>
          <w:b/>
          <w:bCs/>
          <w:color w:val="auto"/>
          <w:spacing w:val="-9"/>
          <w:sz w:val="24"/>
          <w:szCs w:val="24"/>
          <w:highlight w:val="none"/>
        </w:rPr>
        <w:t>费用承担</w:t>
      </w:r>
      <w:bookmarkEnd w:id="74"/>
      <w:bookmarkEnd w:id="75"/>
      <w:bookmarkEnd w:id="76"/>
    </w:p>
    <w:p w14:paraId="11AFE934">
      <w:pPr>
        <w:spacing w:before="181" w:line="220" w:lineRule="auto"/>
        <w:ind w:left="491"/>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投标人准备和参加投标活动发生的费用自理。</w:t>
      </w:r>
    </w:p>
    <w:p w14:paraId="1AA3FC19">
      <w:pPr>
        <w:spacing w:before="182" w:line="220" w:lineRule="auto"/>
        <w:ind w:left="26"/>
        <w:outlineLvl w:val="1"/>
        <w:rPr>
          <w:rFonts w:ascii="宋体" w:hAnsi="宋体" w:eastAsia="宋体" w:cs="宋体"/>
          <w:color w:val="auto"/>
          <w:sz w:val="24"/>
          <w:szCs w:val="24"/>
          <w:highlight w:val="none"/>
        </w:rPr>
      </w:pPr>
      <w:bookmarkStart w:id="77" w:name="_Toc21156"/>
      <w:bookmarkStart w:id="78" w:name="_Toc28355"/>
      <w:bookmarkStart w:id="79" w:name="_Toc1064"/>
      <w:r>
        <w:rPr>
          <w:rFonts w:ascii="宋体" w:hAnsi="宋体" w:eastAsia="宋体" w:cs="宋体"/>
          <w:b/>
          <w:bCs/>
          <w:color w:val="auto"/>
          <w:spacing w:val="-10"/>
          <w:sz w:val="24"/>
          <w:szCs w:val="24"/>
          <w:highlight w:val="none"/>
        </w:rPr>
        <w:t>1.6</w:t>
      </w:r>
      <w:r>
        <w:rPr>
          <w:rFonts w:ascii="宋体" w:hAnsi="宋体" w:eastAsia="宋体" w:cs="宋体"/>
          <w:color w:val="auto"/>
          <w:spacing w:val="14"/>
          <w:sz w:val="24"/>
          <w:szCs w:val="24"/>
          <w:highlight w:val="none"/>
        </w:rPr>
        <w:t xml:space="preserve"> </w:t>
      </w:r>
      <w:r>
        <w:rPr>
          <w:rFonts w:ascii="宋体" w:hAnsi="宋体" w:eastAsia="宋体" w:cs="宋体"/>
          <w:b/>
          <w:bCs/>
          <w:color w:val="auto"/>
          <w:spacing w:val="-10"/>
          <w:sz w:val="24"/>
          <w:szCs w:val="24"/>
          <w:highlight w:val="none"/>
        </w:rPr>
        <w:t>保密</w:t>
      </w:r>
      <w:bookmarkEnd w:id="77"/>
      <w:bookmarkEnd w:id="78"/>
      <w:bookmarkEnd w:id="79"/>
    </w:p>
    <w:p w14:paraId="7F7D7DF2">
      <w:pPr>
        <w:spacing w:before="180" w:line="359" w:lineRule="auto"/>
        <w:ind w:left="15" w:right="61" w:firstLine="474"/>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参与招标投标活动的各方应对招标文件和投标文件中的商业和技术等秘密保密，</w:t>
      </w:r>
      <w:r>
        <w:rPr>
          <w:rFonts w:ascii="宋体" w:hAnsi="宋体" w:eastAsia="宋体" w:cs="宋体"/>
          <w:color w:val="auto"/>
          <w:spacing w:val="-2"/>
          <w:sz w:val="24"/>
          <w:szCs w:val="24"/>
          <w:highlight w:val="none"/>
        </w:rPr>
        <w:t>否则应承担相应的法律责任。</w:t>
      </w:r>
    </w:p>
    <w:p w14:paraId="7B16F103">
      <w:pPr>
        <w:spacing w:line="219" w:lineRule="auto"/>
        <w:ind w:left="26"/>
        <w:outlineLvl w:val="1"/>
        <w:rPr>
          <w:rFonts w:ascii="宋体" w:hAnsi="宋体" w:eastAsia="宋体" w:cs="宋体"/>
          <w:color w:val="auto"/>
          <w:sz w:val="24"/>
          <w:szCs w:val="24"/>
          <w:highlight w:val="none"/>
        </w:rPr>
      </w:pPr>
      <w:bookmarkStart w:id="80" w:name="_Toc2585"/>
      <w:bookmarkStart w:id="81" w:name="_Toc663"/>
      <w:bookmarkStart w:id="82" w:name="_Toc6978"/>
      <w:r>
        <w:rPr>
          <w:rFonts w:ascii="宋体" w:hAnsi="宋体" w:eastAsia="宋体" w:cs="宋体"/>
          <w:b/>
          <w:bCs/>
          <w:color w:val="auto"/>
          <w:spacing w:val="-8"/>
          <w:sz w:val="24"/>
          <w:szCs w:val="24"/>
          <w:highlight w:val="none"/>
        </w:rPr>
        <w:t>1.7</w:t>
      </w:r>
      <w:r>
        <w:rPr>
          <w:rFonts w:ascii="宋体" w:hAnsi="宋体" w:eastAsia="宋体" w:cs="宋体"/>
          <w:color w:val="auto"/>
          <w:spacing w:val="17"/>
          <w:sz w:val="24"/>
          <w:szCs w:val="24"/>
          <w:highlight w:val="none"/>
        </w:rPr>
        <w:t xml:space="preserve"> </w:t>
      </w:r>
      <w:r>
        <w:rPr>
          <w:rFonts w:ascii="宋体" w:hAnsi="宋体" w:eastAsia="宋体" w:cs="宋体"/>
          <w:b/>
          <w:bCs/>
          <w:color w:val="auto"/>
          <w:spacing w:val="-8"/>
          <w:sz w:val="24"/>
          <w:szCs w:val="24"/>
          <w:highlight w:val="none"/>
        </w:rPr>
        <w:t>语言文字</w:t>
      </w:r>
      <w:bookmarkEnd w:id="80"/>
      <w:bookmarkEnd w:id="81"/>
      <w:bookmarkEnd w:id="82"/>
    </w:p>
    <w:p w14:paraId="5E444056">
      <w:pPr>
        <w:spacing w:before="183" w:line="219" w:lineRule="auto"/>
        <w:ind w:left="489"/>
        <w:rPr>
          <w:rFonts w:ascii="宋体" w:hAnsi="宋体" w:eastAsia="宋体" w:cs="宋体"/>
          <w:color w:val="auto"/>
          <w:sz w:val="24"/>
          <w:szCs w:val="24"/>
          <w:highlight w:val="none"/>
        </w:rPr>
      </w:pPr>
      <w:r>
        <w:rPr>
          <w:rFonts w:ascii="宋体" w:hAnsi="宋体" w:eastAsia="宋体" w:cs="宋体"/>
          <w:color w:val="auto"/>
          <w:sz w:val="24"/>
          <w:szCs w:val="24"/>
          <w:highlight w:val="none"/>
        </w:rPr>
        <w:t>招标投标文件使用的语言文字为中文。专用术语使用</w:t>
      </w:r>
      <w:r>
        <w:rPr>
          <w:rFonts w:ascii="宋体" w:hAnsi="宋体" w:eastAsia="宋体" w:cs="宋体"/>
          <w:color w:val="auto"/>
          <w:spacing w:val="-1"/>
          <w:sz w:val="24"/>
          <w:szCs w:val="24"/>
          <w:highlight w:val="none"/>
        </w:rPr>
        <w:t>外文的，应附有中文注释。</w:t>
      </w:r>
    </w:p>
    <w:p w14:paraId="18CDD7C1">
      <w:pPr>
        <w:spacing w:before="183" w:line="220" w:lineRule="auto"/>
        <w:ind w:left="26"/>
        <w:outlineLvl w:val="1"/>
        <w:rPr>
          <w:rFonts w:ascii="宋体" w:hAnsi="宋体" w:eastAsia="宋体" w:cs="宋体"/>
          <w:color w:val="auto"/>
          <w:sz w:val="24"/>
          <w:szCs w:val="24"/>
          <w:highlight w:val="none"/>
        </w:rPr>
      </w:pPr>
      <w:bookmarkStart w:id="83" w:name="_Toc26049"/>
      <w:bookmarkStart w:id="84" w:name="_Toc28472"/>
      <w:bookmarkStart w:id="85" w:name="_Toc6804"/>
      <w:r>
        <w:rPr>
          <w:rFonts w:ascii="宋体" w:hAnsi="宋体" w:eastAsia="宋体" w:cs="宋体"/>
          <w:b/>
          <w:bCs/>
          <w:color w:val="auto"/>
          <w:spacing w:val="-8"/>
          <w:sz w:val="24"/>
          <w:szCs w:val="24"/>
          <w:highlight w:val="none"/>
        </w:rPr>
        <w:t>1.8</w:t>
      </w:r>
      <w:r>
        <w:rPr>
          <w:rFonts w:ascii="宋体" w:hAnsi="宋体" w:eastAsia="宋体" w:cs="宋体"/>
          <w:color w:val="auto"/>
          <w:spacing w:val="17"/>
          <w:sz w:val="24"/>
          <w:szCs w:val="24"/>
          <w:highlight w:val="none"/>
        </w:rPr>
        <w:t xml:space="preserve"> </w:t>
      </w:r>
      <w:r>
        <w:rPr>
          <w:rFonts w:ascii="宋体" w:hAnsi="宋体" w:eastAsia="宋体" w:cs="宋体"/>
          <w:b/>
          <w:bCs/>
          <w:color w:val="auto"/>
          <w:spacing w:val="-8"/>
          <w:sz w:val="24"/>
          <w:szCs w:val="24"/>
          <w:highlight w:val="none"/>
        </w:rPr>
        <w:t>计量单位</w:t>
      </w:r>
      <w:bookmarkEnd w:id="83"/>
      <w:bookmarkEnd w:id="84"/>
      <w:bookmarkEnd w:id="85"/>
    </w:p>
    <w:p w14:paraId="47088072">
      <w:pPr>
        <w:spacing w:before="179" w:line="219" w:lineRule="auto"/>
        <w:ind w:left="488"/>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所有计量均采用中华人民共和国法定计量单位。</w:t>
      </w:r>
    </w:p>
    <w:p w14:paraId="2FF30B00">
      <w:pPr>
        <w:spacing w:before="182" w:line="219" w:lineRule="auto"/>
        <w:ind w:left="26"/>
        <w:outlineLvl w:val="1"/>
        <w:rPr>
          <w:rFonts w:ascii="宋体" w:hAnsi="宋体" w:eastAsia="宋体" w:cs="宋体"/>
          <w:color w:val="auto"/>
          <w:sz w:val="24"/>
          <w:szCs w:val="24"/>
          <w:highlight w:val="none"/>
        </w:rPr>
      </w:pPr>
      <w:bookmarkStart w:id="86" w:name="_Toc17060"/>
      <w:bookmarkStart w:id="87" w:name="_Toc11572"/>
      <w:bookmarkStart w:id="88" w:name="_Toc19109"/>
      <w:r>
        <w:rPr>
          <w:rFonts w:ascii="宋体" w:hAnsi="宋体" w:eastAsia="宋体" w:cs="宋体"/>
          <w:b/>
          <w:bCs/>
          <w:color w:val="auto"/>
          <w:spacing w:val="-8"/>
          <w:sz w:val="24"/>
          <w:szCs w:val="24"/>
          <w:highlight w:val="none"/>
        </w:rPr>
        <w:t>1.9</w:t>
      </w:r>
      <w:r>
        <w:rPr>
          <w:rFonts w:ascii="宋体" w:hAnsi="宋体" w:eastAsia="宋体" w:cs="宋体"/>
          <w:color w:val="auto"/>
          <w:spacing w:val="17"/>
          <w:sz w:val="24"/>
          <w:szCs w:val="24"/>
          <w:highlight w:val="none"/>
        </w:rPr>
        <w:t xml:space="preserve"> </w:t>
      </w:r>
      <w:r>
        <w:rPr>
          <w:rFonts w:ascii="宋体" w:hAnsi="宋体" w:eastAsia="宋体" w:cs="宋体"/>
          <w:b/>
          <w:bCs/>
          <w:color w:val="auto"/>
          <w:spacing w:val="-8"/>
          <w:sz w:val="24"/>
          <w:szCs w:val="24"/>
          <w:highlight w:val="none"/>
        </w:rPr>
        <w:t>踏勘现场</w:t>
      </w:r>
      <w:bookmarkEnd w:id="86"/>
      <w:bookmarkEnd w:id="87"/>
      <w:bookmarkEnd w:id="88"/>
    </w:p>
    <w:p w14:paraId="26AB1A61">
      <w:pPr>
        <w:spacing w:before="185" w:line="312" w:lineRule="auto"/>
        <w:ind w:left="14" w:right="2" w:firstLine="492"/>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1.9.1 第一章“招标公告</w:t>
      </w:r>
      <w:r>
        <w:rPr>
          <w:rFonts w:ascii="宋体" w:hAnsi="宋体" w:eastAsia="宋体" w:cs="宋体"/>
          <w:color w:val="auto"/>
          <w:spacing w:val="-72"/>
          <w:sz w:val="24"/>
          <w:szCs w:val="24"/>
          <w:highlight w:val="none"/>
        </w:rPr>
        <w:t xml:space="preserve"> </w:t>
      </w:r>
      <w:r>
        <w:rPr>
          <w:rFonts w:ascii="宋体" w:hAnsi="宋体" w:eastAsia="宋体" w:cs="宋体"/>
          <w:color w:val="auto"/>
          <w:spacing w:val="2"/>
          <w:sz w:val="24"/>
          <w:szCs w:val="24"/>
          <w:highlight w:val="none"/>
        </w:rPr>
        <w:t>”或“投标邀请书</w:t>
      </w:r>
      <w:r>
        <w:rPr>
          <w:rFonts w:ascii="宋体" w:hAnsi="宋体" w:eastAsia="宋体" w:cs="宋体"/>
          <w:color w:val="auto"/>
          <w:spacing w:val="-81"/>
          <w:sz w:val="24"/>
          <w:szCs w:val="24"/>
          <w:highlight w:val="none"/>
        </w:rPr>
        <w:t xml:space="preserve"> </w:t>
      </w:r>
      <w:r>
        <w:rPr>
          <w:rFonts w:ascii="宋体" w:hAnsi="宋体" w:eastAsia="宋体" w:cs="宋体"/>
          <w:color w:val="auto"/>
          <w:spacing w:val="2"/>
          <w:sz w:val="24"/>
          <w:szCs w:val="24"/>
          <w:highlight w:val="none"/>
        </w:rPr>
        <w:t>”规定组织踏勘现场的，招标人按规</w:t>
      </w:r>
      <w:r>
        <w:rPr>
          <w:rFonts w:ascii="宋体" w:hAnsi="宋体" w:eastAsia="宋体" w:cs="宋体"/>
          <w:color w:val="auto"/>
          <w:spacing w:val="5"/>
          <w:sz w:val="24"/>
          <w:szCs w:val="24"/>
          <w:highlight w:val="none"/>
        </w:rPr>
        <w:t>定的时间、地点组织投标人踏勘项目现场。部分投标人未按时</w:t>
      </w:r>
      <w:r>
        <w:rPr>
          <w:rFonts w:ascii="宋体" w:hAnsi="宋体" w:eastAsia="宋体" w:cs="宋体"/>
          <w:color w:val="auto"/>
          <w:spacing w:val="4"/>
          <w:sz w:val="24"/>
          <w:szCs w:val="24"/>
          <w:highlight w:val="none"/>
        </w:rPr>
        <w:t>参加踏勘现场的，不影</w:t>
      </w:r>
      <w:r>
        <w:rPr>
          <w:rFonts w:ascii="宋体" w:hAnsi="宋体" w:eastAsia="宋体" w:cs="宋体"/>
          <w:color w:val="auto"/>
          <w:spacing w:val="-1"/>
          <w:sz w:val="24"/>
          <w:szCs w:val="24"/>
          <w:highlight w:val="none"/>
        </w:rPr>
        <w:t>响踏勘现场的正常进行。招标人不得组织单个或部分投标人踏勘项目现场。</w:t>
      </w:r>
    </w:p>
    <w:p w14:paraId="603CBD53">
      <w:pPr>
        <w:spacing w:before="183" w:line="219" w:lineRule="auto"/>
        <w:ind w:left="506"/>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1.9.2 投标人踏勘现场发生的费用自理。</w:t>
      </w:r>
    </w:p>
    <w:p w14:paraId="4C09EC6E">
      <w:pPr>
        <w:spacing w:before="180" w:line="290" w:lineRule="auto"/>
        <w:ind w:left="8" w:right="2" w:firstLine="497"/>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1.9.3 除招标人的原因外，投标人自行负责在踏勘现场中所发生的人员伤亡和财</w:t>
      </w:r>
      <w:r>
        <w:rPr>
          <w:rFonts w:ascii="宋体" w:hAnsi="宋体" w:eastAsia="宋体" w:cs="宋体"/>
          <w:color w:val="auto"/>
          <w:spacing w:val="-3"/>
          <w:sz w:val="24"/>
          <w:szCs w:val="24"/>
          <w:highlight w:val="none"/>
        </w:rPr>
        <w:t>产损失。</w:t>
      </w:r>
    </w:p>
    <w:p w14:paraId="5923206E">
      <w:pPr>
        <w:spacing w:before="180" w:line="290" w:lineRule="auto"/>
        <w:ind w:left="10" w:right="2" w:firstLine="495"/>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1.9.4 招标人在踏勘现场中介绍的工程场地和相关的周边环境情况，供投标人在</w:t>
      </w:r>
      <w:r>
        <w:rPr>
          <w:rFonts w:ascii="宋体" w:hAnsi="宋体" w:eastAsia="宋体" w:cs="宋体"/>
          <w:color w:val="auto"/>
          <w:spacing w:val="-1"/>
          <w:sz w:val="24"/>
          <w:szCs w:val="24"/>
          <w:highlight w:val="none"/>
        </w:rPr>
        <w:t>编制投标文件时参考，招标人不对投标人据此作出的判断和决策负责。</w:t>
      </w:r>
    </w:p>
    <w:p w14:paraId="2A510982">
      <w:pPr>
        <w:spacing w:before="180" w:line="219" w:lineRule="auto"/>
        <w:ind w:left="26"/>
        <w:outlineLvl w:val="1"/>
        <w:rPr>
          <w:rFonts w:ascii="宋体" w:hAnsi="宋体" w:eastAsia="宋体" w:cs="宋体"/>
          <w:color w:val="auto"/>
          <w:sz w:val="24"/>
          <w:szCs w:val="24"/>
          <w:highlight w:val="none"/>
        </w:rPr>
      </w:pPr>
      <w:bookmarkStart w:id="89" w:name="bookmark99"/>
      <w:bookmarkEnd w:id="89"/>
      <w:bookmarkStart w:id="90" w:name="bookmark100"/>
      <w:bookmarkEnd w:id="90"/>
      <w:bookmarkStart w:id="91" w:name="bookmark101"/>
      <w:bookmarkEnd w:id="91"/>
      <w:bookmarkStart w:id="92" w:name="_Toc29845"/>
      <w:bookmarkStart w:id="93" w:name="_Toc31500"/>
      <w:bookmarkStart w:id="94" w:name="_Toc31380"/>
      <w:r>
        <w:rPr>
          <w:rFonts w:ascii="宋体" w:hAnsi="宋体" w:eastAsia="宋体" w:cs="宋体"/>
          <w:b/>
          <w:bCs/>
          <w:color w:val="auto"/>
          <w:spacing w:val="-5"/>
          <w:sz w:val="24"/>
          <w:szCs w:val="24"/>
          <w:highlight w:val="none"/>
        </w:rPr>
        <w:t>1.10</w:t>
      </w:r>
      <w:r>
        <w:rPr>
          <w:rFonts w:ascii="宋体" w:hAnsi="宋体" w:eastAsia="宋体" w:cs="宋体"/>
          <w:color w:val="auto"/>
          <w:spacing w:val="-5"/>
          <w:sz w:val="24"/>
          <w:szCs w:val="24"/>
          <w:highlight w:val="none"/>
        </w:rPr>
        <w:t xml:space="preserve"> </w:t>
      </w:r>
      <w:r>
        <w:rPr>
          <w:rFonts w:ascii="宋体" w:hAnsi="宋体" w:eastAsia="宋体" w:cs="宋体"/>
          <w:b/>
          <w:bCs/>
          <w:color w:val="auto"/>
          <w:spacing w:val="-5"/>
          <w:sz w:val="24"/>
          <w:szCs w:val="24"/>
          <w:highlight w:val="none"/>
        </w:rPr>
        <w:t>投标预备会</w:t>
      </w:r>
      <w:bookmarkEnd w:id="92"/>
      <w:bookmarkEnd w:id="93"/>
      <w:bookmarkEnd w:id="94"/>
    </w:p>
    <w:p w14:paraId="240C7839">
      <w:pPr>
        <w:spacing w:before="183" w:line="218" w:lineRule="auto"/>
        <w:ind w:right="2"/>
        <w:jc w:val="right"/>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1.10.1 第一章“招标公告</w:t>
      </w:r>
      <w:r>
        <w:rPr>
          <w:rFonts w:ascii="宋体" w:hAnsi="宋体" w:eastAsia="宋体" w:cs="宋体"/>
          <w:color w:val="auto"/>
          <w:spacing w:val="-70"/>
          <w:sz w:val="24"/>
          <w:szCs w:val="24"/>
          <w:highlight w:val="none"/>
        </w:rPr>
        <w:t xml:space="preserve"> </w:t>
      </w:r>
      <w:r>
        <w:rPr>
          <w:rFonts w:ascii="宋体" w:hAnsi="宋体" w:eastAsia="宋体" w:cs="宋体"/>
          <w:color w:val="auto"/>
          <w:spacing w:val="-1"/>
          <w:sz w:val="24"/>
          <w:szCs w:val="24"/>
          <w:highlight w:val="none"/>
        </w:rPr>
        <w:t>”或“投标邀请书</w:t>
      </w:r>
      <w:r>
        <w:rPr>
          <w:rFonts w:ascii="宋体" w:hAnsi="宋体" w:eastAsia="宋体" w:cs="宋体"/>
          <w:color w:val="auto"/>
          <w:spacing w:val="-88"/>
          <w:sz w:val="24"/>
          <w:szCs w:val="24"/>
          <w:highlight w:val="none"/>
        </w:rPr>
        <w:t xml:space="preserve"> </w:t>
      </w:r>
      <w:r>
        <w:rPr>
          <w:rFonts w:ascii="宋体" w:hAnsi="宋体" w:eastAsia="宋体" w:cs="宋体"/>
          <w:color w:val="auto"/>
          <w:spacing w:val="-1"/>
          <w:sz w:val="24"/>
          <w:szCs w:val="24"/>
          <w:highlight w:val="none"/>
        </w:rPr>
        <w:t>”规定召开投标预备会的，招标人按</w:t>
      </w:r>
    </w:p>
    <w:p w14:paraId="250B2A09">
      <w:pPr>
        <w:spacing w:line="269" w:lineRule="auto"/>
        <w:rPr>
          <w:rFonts w:ascii="Arial"/>
          <w:color w:val="auto"/>
          <w:sz w:val="21"/>
          <w:highlight w:val="none"/>
        </w:rPr>
      </w:pPr>
      <w:r>
        <w:rPr>
          <w:color w:val="auto"/>
          <w:highlight w:val="none"/>
        </w:rPr>
        <w:pict>
          <v:shape id="_x0000_s1062" o:spid="_x0000_s1062" style="position:absolute;left:0pt;margin-left:0pt;margin-top:9pt;height:0pt;width:144pt;z-index:251675648;mso-width-relative:page;mso-height-relative:page;" filled="f" stroked="t" coordsize="2880,0" path="m0,0l2880,0e">
            <v:fill on="f" focussize="0,0"/>
            <v:stroke weight="0pt" color="#000000" miterlimit="0" joinstyle="bevel" endcap="square"/>
            <v:imagedata o:title=""/>
            <o:lock v:ext="edit"/>
          </v:shape>
        </w:pict>
      </w:r>
    </w:p>
    <w:p w14:paraId="1D607087">
      <w:pPr>
        <w:spacing w:before="60" w:line="217" w:lineRule="auto"/>
        <w:ind w:left="5"/>
        <w:rPr>
          <w:rFonts w:ascii="宋体" w:hAnsi="宋体" w:eastAsia="宋体" w:cs="宋体"/>
          <w:color w:val="auto"/>
          <w:sz w:val="18"/>
          <w:szCs w:val="18"/>
          <w:highlight w:val="none"/>
        </w:rPr>
      </w:pPr>
      <w:r>
        <w:rPr>
          <w:rFonts w:ascii="宋体" w:hAnsi="宋体" w:eastAsia="宋体" w:cs="宋体"/>
          <w:color w:val="auto"/>
          <w:spacing w:val="-1"/>
          <w:sz w:val="18"/>
          <w:szCs w:val="18"/>
          <w:highlight w:val="none"/>
        </w:rPr>
        <w:t>① 适用于总监办招标的，下同。</w:t>
      </w:r>
    </w:p>
    <w:p w14:paraId="3B1931F2">
      <w:pPr>
        <w:spacing w:before="21" w:line="217" w:lineRule="auto"/>
        <w:ind w:left="4"/>
        <w:rPr>
          <w:rFonts w:ascii="宋体" w:hAnsi="宋体" w:eastAsia="宋体" w:cs="宋体"/>
          <w:color w:val="auto"/>
          <w:sz w:val="18"/>
          <w:szCs w:val="18"/>
          <w:highlight w:val="none"/>
        </w:rPr>
      </w:pPr>
      <w:r>
        <w:rPr>
          <w:rFonts w:ascii="宋体" w:hAnsi="宋体" w:eastAsia="宋体" w:cs="宋体"/>
          <w:color w:val="auto"/>
          <w:sz w:val="18"/>
          <w:szCs w:val="18"/>
          <w:highlight w:val="none"/>
        </w:rPr>
        <w:t>② 适用于适用于二级监理机构的驻地监理工程师办公室单独招</w:t>
      </w:r>
      <w:r>
        <w:rPr>
          <w:rFonts w:ascii="宋体" w:hAnsi="宋体" w:eastAsia="宋体" w:cs="宋体"/>
          <w:color w:val="auto"/>
          <w:spacing w:val="-1"/>
          <w:sz w:val="18"/>
          <w:szCs w:val="18"/>
          <w:highlight w:val="none"/>
        </w:rPr>
        <w:t>标的，下同。</w:t>
      </w:r>
    </w:p>
    <w:p w14:paraId="686D209A">
      <w:pPr>
        <w:spacing w:before="22" w:line="232" w:lineRule="auto"/>
        <w:ind w:left="6" w:right="28" w:hanging="2"/>
        <w:rPr>
          <w:rFonts w:ascii="宋体" w:hAnsi="宋体" w:eastAsia="宋体" w:cs="宋体"/>
          <w:color w:val="auto"/>
          <w:sz w:val="18"/>
          <w:szCs w:val="18"/>
          <w:highlight w:val="none"/>
        </w:rPr>
      </w:pPr>
      <w:r>
        <w:rPr>
          <w:rFonts w:ascii="宋体" w:hAnsi="宋体" w:eastAsia="宋体" w:cs="宋体"/>
          <w:color w:val="auto"/>
          <w:sz w:val="18"/>
          <w:szCs w:val="18"/>
          <w:highlight w:val="none"/>
        </w:rPr>
        <w:t>③ 本项规定仅适用于根据《关于发布公路工程从业企业资质名录的通知》（厅公路</w:t>
      </w:r>
      <w:r>
        <w:rPr>
          <w:rFonts w:ascii="宋体" w:hAnsi="宋体" w:eastAsia="宋体" w:cs="宋体"/>
          <w:color w:val="auto"/>
          <w:spacing w:val="-1"/>
          <w:sz w:val="18"/>
          <w:szCs w:val="18"/>
          <w:highlight w:val="none"/>
        </w:rPr>
        <w:t>字〔2011〕114</w:t>
      </w:r>
      <w:r>
        <w:rPr>
          <w:rFonts w:ascii="宋体" w:hAnsi="宋体" w:eastAsia="宋体" w:cs="宋体"/>
          <w:color w:val="auto"/>
          <w:spacing w:val="-34"/>
          <w:sz w:val="18"/>
          <w:szCs w:val="18"/>
          <w:highlight w:val="none"/>
        </w:rPr>
        <w:t xml:space="preserve"> </w:t>
      </w:r>
      <w:r>
        <w:rPr>
          <w:rFonts w:ascii="宋体" w:hAnsi="宋体" w:eastAsia="宋体" w:cs="宋体"/>
          <w:color w:val="auto"/>
          <w:spacing w:val="-1"/>
          <w:sz w:val="18"/>
          <w:szCs w:val="18"/>
          <w:highlight w:val="none"/>
        </w:rPr>
        <w:t>号）要求，招标</w:t>
      </w:r>
      <w:r>
        <w:rPr>
          <w:rFonts w:ascii="宋体" w:hAnsi="宋体" w:eastAsia="宋体" w:cs="宋体"/>
          <w:color w:val="auto"/>
          <w:sz w:val="18"/>
          <w:szCs w:val="18"/>
          <w:highlight w:val="none"/>
        </w:rPr>
        <w:t>人应通过名录对投标人资质条件进行审核的公路施工监理企业。对于房建工程施工监理单独</w:t>
      </w:r>
      <w:r>
        <w:rPr>
          <w:rFonts w:ascii="宋体" w:hAnsi="宋体" w:eastAsia="宋体" w:cs="宋体"/>
          <w:color w:val="auto"/>
          <w:spacing w:val="-1"/>
          <w:sz w:val="18"/>
          <w:szCs w:val="18"/>
          <w:highlight w:val="none"/>
        </w:rPr>
        <w:t>进行招标和资质最低要求为省级相关部门许可资质的监理企业的情形不适用。</w:t>
      </w:r>
    </w:p>
    <w:p w14:paraId="5705914E">
      <w:pPr>
        <w:spacing w:line="232" w:lineRule="auto"/>
        <w:rPr>
          <w:rFonts w:ascii="宋体" w:hAnsi="宋体" w:eastAsia="宋体" w:cs="宋体"/>
          <w:color w:val="auto"/>
          <w:sz w:val="18"/>
          <w:szCs w:val="18"/>
          <w:highlight w:val="none"/>
        </w:rPr>
        <w:sectPr>
          <w:footerReference r:id="rId29" w:type="default"/>
          <w:pgSz w:w="11906" w:h="16839"/>
          <w:pgMar w:top="1405" w:right="1415" w:bottom="1297" w:left="1417" w:header="0" w:footer="1067" w:gutter="0"/>
          <w:pgNumType w:fmt="decimal"/>
          <w:cols w:space="720" w:num="1"/>
        </w:sectPr>
      </w:pPr>
    </w:p>
    <w:p w14:paraId="602A17D9">
      <w:pPr>
        <w:spacing w:before="47" w:line="219" w:lineRule="auto"/>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规定的时间和地点召开投标预备会，澄清投标人提出的问题。</w:t>
      </w:r>
    </w:p>
    <w:p w14:paraId="5D04C805">
      <w:pPr>
        <w:spacing w:before="182" w:line="289" w:lineRule="auto"/>
        <w:ind w:left="27" w:firstLine="470"/>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1.10.2 投标人应按投标人须知前附表规定的时间和形式将提出的问</w:t>
      </w:r>
      <w:r>
        <w:rPr>
          <w:rFonts w:ascii="宋体" w:hAnsi="宋体" w:eastAsia="宋体" w:cs="宋体"/>
          <w:color w:val="auto"/>
          <w:spacing w:val="-3"/>
          <w:sz w:val="24"/>
          <w:szCs w:val="24"/>
          <w:highlight w:val="none"/>
        </w:rPr>
        <w:t>题送达招标人，以便招标人在会议期间澄清。</w:t>
      </w:r>
    </w:p>
    <w:p w14:paraId="031ED541">
      <w:pPr>
        <w:spacing w:before="180" w:line="290" w:lineRule="auto"/>
        <w:ind w:right="109" w:firstLine="496"/>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1.10.3 投标预备会后，招标人将对投标人所提问题的澄清，以投标人须知前附表</w:t>
      </w:r>
      <w:r>
        <w:rPr>
          <w:rFonts w:ascii="宋体" w:hAnsi="宋体" w:eastAsia="宋体" w:cs="宋体"/>
          <w:color w:val="auto"/>
          <w:spacing w:val="-1"/>
          <w:sz w:val="24"/>
          <w:szCs w:val="24"/>
          <w:highlight w:val="none"/>
        </w:rPr>
        <w:t>规定的形式通知投标人。该澄清内容为招标文件的组成部分。</w:t>
      </w:r>
    </w:p>
    <w:p w14:paraId="644D1E0B">
      <w:pPr>
        <w:spacing w:before="180" w:line="220" w:lineRule="auto"/>
        <w:ind w:left="17"/>
        <w:outlineLvl w:val="1"/>
        <w:rPr>
          <w:rFonts w:ascii="宋体" w:hAnsi="宋体" w:eastAsia="宋体" w:cs="宋体"/>
          <w:color w:val="auto"/>
          <w:sz w:val="24"/>
          <w:szCs w:val="24"/>
          <w:highlight w:val="none"/>
        </w:rPr>
      </w:pPr>
      <w:bookmarkStart w:id="95" w:name="_Toc32254"/>
      <w:bookmarkStart w:id="96" w:name="_Toc19880"/>
      <w:bookmarkStart w:id="97" w:name="_Toc15456"/>
      <w:r>
        <w:rPr>
          <w:rFonts w:ascii="宋体" w:hAnsi="宋体" w:eastAsia="宋体" w:cs="宋体"/>
          <w:b/>
          <w:bCs/>
          <w:color w:val="auto"/>
          <w:spacing w:val="-9"/>
          <w:sz w:val="24"/>
          <w:szCs w:val="24"/>
          <w:highlight w:val="none"/>
        </w:rPr>
        <w:t>1.11</w:t>
      </w:r>
      <w:r>
        <w:rPr>
          <w:rFonts w:ascii="宋体" w:hAnsi="宋体" w:eastAsia="宋体" w:cs="宋体"/>
          <w:color w:val="auto"/>
          <w:spacing w:val="15"/>
          <w:sz w:val="24"/>
          <w:szCs w:val="24"/>
          <w:highlight w:val="none"/>
        </w:rPr>
        <w:t xml:space="preserve"> </w:t>
      </w:r>
      <w:r>
        <w:rPr>
          <w:rFonts w:ascii="宋体" w:hAnsi="宋体" w:eastAsia="宋体" w:cs="宋体"/>
          <w:b/>
          <w:bCs/>
          <w:color w:val="auto"/>
          <w:spacing w:val="-9"/>
          <w:sz w:val="24"/>
          <w:szCs w:val="24"/>
          <w:highlight w:val="none"/>
        </w:rPr>
        <w:t>分包</w:t>
      </w:r>
      <w:bookmarkEnd w:id="95"/>
      <w:bookmarkEnd w:id="96"/>
      <w:bookmarkEnd w:id="97"/>
    </w:p>
    <w:p w14:paraId="2B7934BA">
      <w:pPr>
        <w:spacing w:before="181" w:line="219" w:lineRule="auto"/>
        <w:ind w:left="480"/>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本项目严禁分包。</w:t>
      </w:r>
    </w:p>
    <w:p w14:paraId="6B25A984">
      <w:pPr>
        <w:spacing w:before="181" w:line="219" w:lineRule="auto"/>
        <w:ind w:left="17"/>
        <w:outlineLvl w:val="1"/>
        <w:rPr>
          <w:rFonts w:ascii="宋体" w:hAnsi="宋体" w:eastAsia="宋体" w:cs="宋体"/>
          <w:color w:val="auto"/>
          <w:sz w:val="24"/>
          <w:szCs w:val="24"/>
          <w:highlight w:val="none"/>
        </w:rPr>
      </w:pPr>
      <w:bookmarkStart w:id="98" w:name="_Toc23354"/>
      <w:bookmarkStart w:id="99" w:name="_Toc30421"/>
      <w:bookmarkStart w:id="100" w:name="_Toc31198"/>
      <w:r>
        <w:rPr>
          <w:rFonts w:ascii="宋体" w:hAnsi="宋体" w:eastAsia="宋体" w:cs="宋体"/>
          <w:b/>
          <w:bCs/>
          <w:color w:val="auto"/>
          <w:spacing w:val="-7"/>
          <w:sz w:val="24"/>
          <w:szCs w:val="24"/>
          <w:highlight w:val="none"/>
        </w:rPr>
        <w:t>1.12</w:t>
      </w:r>
      <w:r>
        <w:rPr>
          <w:rFonts w:ascii="宋体" w:hAnsi="宋体" w:eastAsia="宋体" w:cs="宋体"/>
          <w:color w:val="auto"/>
          <w:spacing w:val="21"/>
          <w:sz w:val="24"/>
          <w:szCs w:val="24"/>
          <w:highlight w:val="none"/>
        </w:rPr>
        <w:t xml:space="preserve"> </w:t>
      </w:r>
      <w:r>
        <w:rPr>
          <w:rFonts w:ascii="宋体" w:hAnsi="宋体" w:eastAsia="宋体" w:cs="宋体"/>
          <w:b/>
          <w:bCs/>
          <w:color w:val="auto"/>
          <w:spacing w:val="-7"/>
          <w:sz w:val="24"/>
          <w:szCs w:val="24"/>
          <w:highlight w:val="none"/>
        </w:rPr>
        <w:t>响应和偏差</w:t>
      </w:r>
      <w:bookmarkEnd w:id="98"/>
      <w:bookmarkEnd w:id="99"/>
      <w:bookmarkEnd w:id="100"/>
    </w:p>
    <w:p w14:paraId="76BDF0D4">
      <w:pPr>
        <w:spacing w:before="183" w:line="289" w:lineRule="auto"/>
        <w:ind w:right="109" w:firstLine="497"/>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1.12.1 投标文件偏离招标文件某些要求，视为投标文件存在偏差。偏差包括重大</w:t>
      </w:r>
      <w:r>
        <w:rPr>
          <w:rFonts w:ascii="宋体" w:hAnsi="宋体" w:eastAsia="宋体" w:cs="宋体"/>
          <w:color w:val="auto"/>
          <w:spacing w:val="-2"/>
          <w:sz w:val="24"/>
          <w:szCs w:val="24"/>
          <w:highlight w:val="none"/>
        </w:rPr>
        <w:t>偏差和细微偏差。</w:t>
      </w:r>
    </w:p>
    <w:p w14:paraId="0CD7FE56">
      <w:pPr>
        <w:spacing w:before="182" w:line="289" w:lineRule="auto"/>
        <w:ind w:left="19" w:right="109" w:firstLine="478"/>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1.12.2 投标文件应对招标文件的实质性要求和条件作出满足性或更有利于招标人</w:t>
      </w:r>
      <w:r>
        <w:rPr>
          <w:rFonts w:ascii="宋体" w:hAnsi="宋体" w:eastAsia="宋体" w:cs="宋体"/>
          <w:color w:val="auto"/>
          <w:spacing w:val="-1"/>
          <w:sz w:val="24"/>
          <w:szCs w:val="24"/>
          <w:highlight w:val="none"/>
        </w:rPr>
        <w:t>的响应，否则，视为投标文件存在重大偏差，投标人的投标将被否决。</w:t>
      </w:r>
    </w:p>
    <w:p w14:paraId="371660C5">
      <w:pPr>
        <w:spacing w:before="183" w:line="359" w:lineRule="auto"/>
        <w:ind w:right="109" w:firstLine="482"/>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投标文件存在第三章“评标办法</w:t>
      </w:r>
      <w:r>
        <w:rPr>
          <w:rFonts w:ascii="宋体" w:hAnsi="宋体" w:eastAsia="宋体" w:cs="宋体"/>
          <w:color w:val="auto"/>
          <w:spacing w:val="-82"/>
          <w:sz w:val="24"/>
          <w:szCs w:val="24"/>
          <w:highlight w:val="none"/>
        </w:rPr>
        <w:t xml:space="preserve"> </w:t>
      </w:r>
      <w:r>
        <w:rPr>
          <w:rFonts w:ascii="宋体" w:hAnsi="宋体" w:eastAsia="宋体" w:cs="宋体"/>
          <w:color w:val="auto"/>
          <w:spacing w:val="4"/>
          <w:sz w:val="24"/>
          <w:szCs w:val="24"/>
          <w:highlight w:val="none"/>
        </w:rPr>
        <w:t>”中所列任一否决投标情形的，均属于存在重大</w:t>
      </w:r>
      <w:r>
        <w:rPr>
          <w:rFonts w:ascii="宋体" w:hAnsi="宋体" w:eastAsia="宋体" w:cs="宋体"/>
          <w:color w:val="auto"/>
          <w:spacing w:val="-4"/>
          <w:sz w:val="24"/>
          <w:szCs w:val="24"/>
          <w:highlight w:val="none"/>
        </w:rPr>
        <w:t>偏差。</w:t>
      </w:r>
    </w:p>
    <w:p w14:paraId="27D21279">
      <w:pPr>
        <w:spacing w:line="219" w:lineRule="auto"/>
        <w:ind w:left="497"/>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1.12.3 投标文件中的下列偏差为细微偏差：</w:t>
      </w:r>
    </w:p>
    <w:p w14:paraId="0B1E2D3E">
      <w:pPr>
        <w:spacing w:before="185" w:line="312" w:lineRule="auto"/>
        <w:ind w:right="109" w:firstLine="490"/>
        <w:rPr>
          <w:rFonts w:ascii="宋体" w:hAnsi="宋体" w:eastAsia="宋体" w:cs="宋体"/>
          <w:color w:val="auto"/>
          <w:sz w:val="24"/>
          <w:szCs w:val="24"/>
          <w:highlight w:val="none"/>
        </w:rPr>
      </w:pPr>
      <w:r>
        <w:rPr>
          <w:rFonts w:ascii="宋体" w:hAnsi="宋体" w:eastAsia="宋体" w:cs="宋体"/>
          <w:color w:val="auto"/>
          <w:sz w:val="24"/>
          <w:szCs w:val="24"/>
          <w:highlight w:val="none"/>
        </w:rPr>
        <w:t>（1）在按照第三章“评标办法</w:t>
      </w:r>
      <w:r>
        <w:rPr>
          <w:rFonts w:ascii="宋体" w:hAnsi="宋体" w:eastAsia="宋体" w:cs="宋体"/>
          <w:color w:val="auto"/>
          <w:spacing w:val="-71"/>
          <w:sz w:val="24"/>
          <w:szCs w:val="24"/>
          <w:highlight w:val="none"/>
        </w:rPr>
        <w:t xml:space="preserve"> </w:t>
      </w:r>
      <w:r>
        <w:rPr>
          <w:rFonts w:ascii="宋体" w:hAnsi="宋体" w:eastAsia="宋体" w:cs="宋体"/>
          <w:color w:val="auto"/>
          <w:sz w:val="24"/>
          <w:szCs w:val="24"/>
          <w:highlight w:val="none"/>
        </w:rPr>
        <w:t>”的规定对投标价进行算术性错误修正后，最终投</w:t>
      </w:r>
      <w:r>
        <w:rPr>
          <w:rFonts w:ascii="宋体" w:hAnsi="宋体" w:eastAsia="宋体" w:cs="宋体"/>
          <w:color w:val="auto"/>
          <w:spacing w:val="4"/>
          <w:sz w:val="24"/>
          <w:szCs w:val="24"/>
          <w:highlight w:val="none"/>
        </w:rPr>
        <w:t>标报价未超过最高投标限价（如有）的情况下，出现第三章“评标办法</w:t>
      </w:r>
      <w:r>
        <w:rPr>
          <w:rFonts w:ascii="宋体" w:hAnsi="宋体" w:eastAsia="宋体" w:cs="宋体"/>
          <w:color w:val="auto"/>
          <w:spacing w:val="-83"/>
          <w:sz w:val="24"/>
          <w:szCs w:val="24"/>
          <w:highlight w:val="none"/>
        </w:rPr>
        <w:t xml:space="preserve"> </w:t>
      </w:r>
      <w:r>
        <w:rPr>
          <w:rFonts w:ascii="宋体" w:hAnsi="宋体" w:eastAsia="宋体" w:cs="宋体"/>
          <w:color w:val="auto"/>
          <w:spacing w:val="4"/>
          <w:sz w:val="24"/>
          <w:szCs w:val="24"/>
          <w:highlight w:val="none"/>
        </w:rPr>
        <w:t>”</w:t>
      </w:r>
      <w:r>
        <w:rPr>
          <w:rFonts w:ascii="宋体" w:hAnsi="宋体" w:eastAsia="宋体" w:cs="宋体"/>
          <w:color w:val="auto"/>
          <w:spacing w:val="3"/>
          <w:sz w:val="24"/>
          <w:szCs w:val="24"/>
          <w:highlight w:val="none"/>
        </w:rPr>
        <w:t>规定的算术</w:t>
      </w:r>
      <w:r>
        <w:rPr>
          <w:rFonts w:ascii="宋体" w:hAnsi="宋体" w:eastAsia="宋体" w:cs="宋体"/>
          <w:color w:val="auto"/>
          <w:spacing w:val="-3"/>
          <w:sz w:val="24"/>
          <w:szCs w:val="24"/>
          <w:highlight w:val="none"/>
        </w:rPr>
        <w:t>性错误；</w:t>
      </w:r>
    </w:p>
    <w:p w14:paraId="4676047B">
      <w:pPr>
        <w:spacing w:before="180" w:line="219" w:lineRule="auto"/>
        <w:ind w:left="491"/>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（2）技术建议书不够完善；</w:t>
      </w:r>
    </w:p>
    <w:p w14:paraId="615A9059">
      <w:pPr>
        <w:spacing w:before="183" w:line="289" w:lineRule="auto"/>
        <w:ind w:right="109" w:firstLine="491"/>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（3）投标文件页码不连续、个别文字有遗漏错误等不影响投标文件实质性内容的</w:t>
      </w:r>
      <w:r>
        <w:rPr>
          <w:rFonts w:ascii="宋体" w:hAnsi="宋体" w:eastAsia="宋体" w:cs="宋体"/>
          <w:color w:val="auto"/>
          <w:spacing w:val="-4"/>
          <w:sz w:val="24"/>
          <w:szCs w:val="24"/>
          <w:highlight w:val="none"/>
        </w:rPr>
        <w:t>偏差。</w:t>
      </w:r>
    </w:p>
    <w:p w14:paraId="64FE0F64">
      <w:pPr>
        <w:spacing w:before="183" w:line="219" w:lineRule="auto"/>
        <w:ind w:left="497"/>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1.12.4 评标委员会对投标文件中的细微偏差按如下规定处理：</w:t>
      </w:r>
    </w:p>
    <w:p w14:paraId="121BA670">
      <w:pPr>
        <w:spacing w:before="180" w:line="290" w:lineRule="auto"/>
        <w:ind w:right="109" w:firstLine="490"/>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（1）对于本章第</w:t>
      </w:r>
      <w:r>
        <w:rPr>
          <w:rFonts w:ascii="宋体" w:hAnsi="宋体" w:eastAsia="宋体" w:cs="宋体"/>
          <w:color w:val="auto"/>
          <w:spacing w:val="-33"/>
          <w:sz w:val="24"/>
          <w:szCs w:val="24"/>
          <w:highlight w:val="none"/>
        </w:rPr>
        <w:t xml:space="preserve"> </w:t>
      </w:r>
      <w:r>
        <w:rPr>
          <w:rFonts w:ascii="宋体" w:hAnsi="宋体" w:eastAsia="宋体" w:cs="宋体"/>
          <w:color w:val="auto"/>
          <w:spacing w:val="-2"/>
          <w:sz w:val="24"/>
          <w:szCs w:val="24"/>
          <w:highlight w:val="none"/>
        </w:rPr>
        <w:t>1.12.3</w:t>
      </w:r>
      <w:r>
        <w:rPr>
          <w:rFonts w:ascii="宋体" w:hAnsi="宋体" w:eastAsia="宋体" w:cs="宋体"/>
          <w:color w:val="auto"/>
          <w:spacing w:val="-44"/>
          <w:sz w:val="24"/>
          <w:szCs w:val="24"/>
          <w:highlight w:val="none"/>
        </w:rPr>
        <w:t xml:space="preserve"> </w:t>
      </w:r>
      <w:r>
        <w:rPr>
          <w:rFonts w:ascii="宋体" w:hAnsi="宋体" w:eastAsia="宋体" w:cs="宋体"/>
          <w:color w:val="auto"/>
          <w:spacing w:val="-2"/>
          <w:sz w:val="24"/>
          <w:szCs w:val="24"/>
          <w:highlight w:val="none"/>
        </w:rPr>
        <w:t>项（1）</w:t>
      </w:r>
      <w:r>
        <w:rPr>
          <w:rFonts w:ascii="宋体" w:hAnsi="宋体" w:eastAsia="宋体" w:cs="宋体"/>
          <w:color w:val="auto"/>
          <w:spacing w:val="-60"/>
          <w:sz w:val="24"/>
          <w:szCs w:val="24"/>
          <w:highlight w:val="none"/>
        </w:rPr>
        <w:t xml:space="preserve"> </w:t>
      </w:r>
      <w:r>
        <w:rPr>
          <w:rFonts w:ascii="宋体" w:hAnsi="宋体" w:eastAsia="宋体" w:cs="宋体"/>
          <w:color w:val="auto"/>
          <w:spacing w:val="-2"/>
          <w:sz w:val="24"/>
          <w:szCs w:val="24"/>
          <w:highlight w:val="none"/>
        </w:rPr>
        <w:t>目所述的细微偏差，按照第三章</w:t>
      </w:r>
      <w:r>
        <w:rPr>
          <w:rFonts w:ascii="宋体" w:hAnsi="宋体" w:eastAsia="宋体" w:cs="宋体"/>
          <w:color w:val="auto"/>
          <w:spacing w:val="-3"/>
          <w:sz w:val="24"/>
          <w:szCs w:val="24"/>
          <w:highlight w:val="none"/>
        </w:rPr>
        <w:t>“评标办法</w:t>
      </w:r>
      <w:r>
        <w:rPr>
          <w:rFonts w:ascii="宋体" w:hAnsi="宋体" w:eastAsia="宋体" w:cs="宋体"/>
          <w:color w:val="auto"/>
          <w:spacing w:val="-88"/>
          <w:sz w:val="24"/>
          <w:szCs w:val="24"/>
          <w:highlight w:val="none"/>
        </w:rPr>
        <w:t xml:space="preserve"> </w:t>
      </w:r>
      <w:r>
        <w:rPr>
          <w:rFonts w:ascii="宋体" w:hAnsi="宋体" w:eastAsia="宋体" w:cs="宋体"/>
          <w:color w:val="auto"/>
          <w:spacing w:val="-3"/>
          <w:sz w:val="24"/>
          <w:szCs w:val="24"/>
          <w:highlight w:val="none"/>
        </w:rPr>
        <w:t>”的</w:t>
      </w:r>
      <w:r>
        <w:rPr>
          <w:rFonts w:ascii="宋体" w:hAnsi="宋体" w:eastAsia="宋体" w:cs="宋体"/>
          <w:color w:val="auto"/>
          <w:spacing w:val="-1"/>
          <w:sz w:val="24"/>
          <w:szCs w:val="24"/>
          <w:highlight w:val="none"/>
        </w:rPr>
        <w:t>规定予以修正并要求投标人进行澄清；</w:t>
      </w:r>
    </w:p>
    <w:p w14:paraId="40E89B72">
      <w:pPr>
        <w:spacing w:before="183" w:line="289" w:lineRule="auto"/>
        <w:ind w:left="19" w:right="109" w:firstLine="471"/>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（2）对于本章第</w:t>
      </w:r>
      <w:r>
        <w:rPr>
          <w:rFonts w:ascii="宋体" w:hAnsi="宋体" w:eastAsia="宋体" w:cs="宋体"/>
          <w:color w:val="auto"/>
          <w:spacing w:val="-12"/>
          <w:sz w:val="24"/>
          <w:szCs w:val="24"/>
          <w:highlight w:val="none"/>
        </w:rPr>
        <w:t xml:space="preserve"> </w:t>
      </w:r>
      <w:r>
        <w:rPr>
          <w:rFonts w:ascii="宋体" w:hAnsi="宋体" w:eastAsia="宋体" w:cs="宋体"/>
          <w:color w:val="auto"/>
          <w:spacing w:val="1"/>
          <w:sz w:val="24"/>
          <w:szCs w:val="24"/>
          <w:highlight w:val="none"/>
        </w:rPr>
        <w:t>1.12.3</w:t>
      </w:r>
      <w:r>
        <w:rPr>
          <w:rFonts w:ascii="宋体" w:hAnsi="宋体" w:eastAsia="宋体" w:cs="宋体"/>
          <w:color w:val="auto"/>
          <w:spacing w:val="-42"/>
          <w:sz w:val="24"/>
          <w:szCs w:val="24"/>
          <w:highlight w:val="none"/>
        </w:rPr>
        <w:t xml:space="preserve"> </w:t>
      </w:r>
      <w:r>
        <w:rPr>
          <w:rFonts w:ascii="宋体" w:hAnsi="宋体" w:eastAsia="宋体" w:cs="宋体"/>
          <w:color w:val="auto"/>
          <w:spacing w:val="1"/>
          <w:sz w:val="24"/>
          <w:szCs w:val="24"/>
          <w:highlight w:val="none"/>
        </w:rPr>
        <w:t>项（2）、（3）</w:t>
      </w:r>
      <w:r>
        <w:rPr>
          <w:rFonts w:ascii="宋体" w:hAnsi="宋体" w:eastAsia="宋体" w:cs="宋体"/>
          <w:color w:val="auto"/>
          <w:spacing w:val="-55"/>
          <w:sz w:val="24"/>
          <w:szCs w:val="24"/>
          <w:highlight w:val="none"/>
        </w:rPr>
        <w:t xml:space="preserve"> </w:t>
      </w:r>
      <w:r>
        <w:rPr>
          <w:rFonts w:ascii="宋体" w:hAnsi="宋体" w:eastAsia="宋体" w:cs="宋体"/>
          <w:color w:val="auto"/>
          <w:spacing w:val="1"/>
          <w:sz w:val="24"/>
          <w:szCs w:val="24"/>
          <w:highlight w:val="none"/>
        </w:rPr>
        <w:t>目所述的细微偏差，可在相关评分因素</w:t>
      </w:r>
      <w:r>
        <w:rPr>
          <w:rFonts w:ascii="宋体" w:hAnsi="宋体" w:eastAsia="宋体" w:cs="宋体"/>
          <w:color w:val="auto"/>
          <w:spacing w:val="-4"/>
          <w:sz w:val="24"/>
          <w:szCs w:val="24"/>
          <w:highlight w:val="none"/>
        </w:rPr>
        <w:t>的评分中酌情扣分。</w:t>
      </w:r>
    </w:p>
    <w:p w14:paraId="6E9543D3">
      <w:pPr>
        <w:spacing w:before="180" w:line="363" w:lineRule="auto"/>
        <w:ind w:right="109" w:firstLine="497"/>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1.12.5 投标人应根据招标文件的要求提供技术建议书等内容以对招标文件作出响</w:t>
      </w:r>
      <w:r>
        <w:rPr>
          <w:rFonts w:ascii="宋体" w:hAnsi="宋体" w:eastAsia="宋体" w:cs="宋体"/>
          <w:color w:val="auto"/>
          <w:spacing w:val="-5"/>
          <w:sz w:val="24"/>
          <w:szCs w:val="24"/>
          <w:highlight w:val="none"/>
        </w:rPr>
        <w:t>应。</w:t>
      </w:r>
    </w:p>
    <w:p w14:paraId="026BDA70">
      <w:pPr>
        <w:spacing w:line="363" w:lineRule="auto"/>
        <w:rPr>
          <w:rFonts w:ascii="宋体" w:hAnsi="宋体" w:eastAsia="宋体" w:cs="宋体"/>
          <w:color w:val="auto"/>
          <w:sz w:val="24"/>
          <w:szCs w:val="24"/>
          <w:highlight w:val="none"/>
        </w:rPr>
        <w:sectPr>
          <w:footerReference r:id="rId30" w:type="default"/>
          <w:pgSz w:w="11906" w:h="16839"/>
          <w:pgMar w:top="1405" w:right="1308" w:bottom="1297" w:left="1425" w:header="0" w:footer="1069" w:gutter="0"/>
          <w:pgNumType w:fmt="decimal"/>
          <w:cols w:space="720" w:num="1"/>
        </w:sectPr>
      </w:pPr>
    </w:p>
    <w:p w14:paraId="21AB209D">
      <w:pPr>
        <w:spacing w:before="56" w:line="220" w:lineRule="auto"/>
        <w:ind w:left="6"/>
        <w:outlineLvl w:val="0"/>
        <w:rPr>
          <w:rFonts w:ascii="宋体" w:hAnsi="宋体" w:eastAsia="宋体" w:cs="宋体"/>
          <w:color w:val="auto"/>
          <w:sz w:val="28"/>
          <w:szCs w:val="28"/>
          <w:highlight w:val="none"/>
        </w:rPr>
      </w:pPr>
      <w:bookmarkStart w:id="101" w:name="_Toc4529"/>
      <w:r>
        <w:rPr>
          <w:rFonts w:ascii="宋体" w:hAnsi="宋体" w:eastAsia="宋体" w:cs="宋体"/>
          <w:b/>
          <w:bCs/>
          <w:color w:val="auto"/>
          <w:spacing w:val="-7"/>
          <w:sz w:val="28"/>
          <w:szCs w:val="28"/>
          <w:highlight w:val="none"/>
        </w:rPr>
        <w:t>2.</w:t>
      </w:r>
      <w:r>
        <w:rPr>
          <w:rFonts w:ascii="宋体" w:hAnsi="宋体" w:eastAsia="宋体" w:cs="宋体"/>
          <w:color w:val="auto"/>
          <w:spacing w:val="14"/>
          <w:sz w:val="28"/>
          <w:szCs w:val="28"/>
          <w:highlight w:val="none"/>
        </w:rPr>
        <w:t xml:space="preserve"> </w:t>
      </w:r>
      <w:r>
        <w:rPr>
          <w:rFonts w:ascii="宋体" w:hAnsi="宋体" w:eastAsia="宋体" w:cs="宋体"/>
          <w:b/>
          <w:bCs/>
          <w:color w:val="auto"/>
          <w:spacing w:val="-7"/>
          <w:sz w:val="28"/>
          <w:szCs w:val="28"/>
          <w:highlight w:val="none"/>
        </w:rPr>
        <w:t>招标文件</w:t>
      </w:r>
      <w:bookmarkEnd w:id="101"/>
    </w:p>
    <w:p w14:paraId="04E93C64">
      <w:pPr>
        <w:spacing w:before="203" w:line="219" w:lineRule="auto"/>
        <w:ind w:left="4"/>
        <w:outlineLvl w:val="1"/>
        <w:rPr>
          <w:rFonts w:ascii="宋体" w:hAnsi="宋体" w:eastAsia="宋体" w:cs="宋体"/>
          <w:color w:val="auto"/>
          <w:sz w:val="24"/>
          <w:szCs w:val="24"/>
          <w:highlight w:val="none"/>
        </w:rPr>
      </w:pPr>
      <w:bookmarkStart w:id="102" w:name="_Toc3718"/>
      <w:bookmarkStart w:id="103" w:name="_Toc14715"/>
      <w:bookmarkStart w:id="104" w:name="_Toc31508"/>
      <w:r>
        <w:rPr>
          <w:rFonts w:ascii="宋体" w:hAnsi="宋体" w:eastAsia="宋体" w:cs="宋体"/>
          <w:b/>
          <w:bCs/>
          <w:color w:val="auto"/>
          <w:spacing w:val="-3"/>
          <w:sz w:val="24"/>
          <w:szCs w:val="24"/>
          <w:highlight w:val="none"/>
        </w:rPr>
        <w:t>2.1</w:t>
      </w:r>
      <w:r>
        <w:rPr>
          <w:rFonts w:ascii="宋体" w:hAnsi="宋体" w:eastAsia="宋体" w:cs="宋体"/>
          <w:color w:val="auto"/>
          <w:spacing w:val="-3"/>
          <w:sz w:val="24"/>
          <w:szCs w:val="24"/>
          <w:highlight w:val="none"/>
        </w:rPr>
        <w:t xml:space="preserve"> </w:t>
      </w:r>
      <w:r>
        <w:rPr>
          <w:rFonts w:ascii="宋体" w:hAnsi="宋体" w:eastAsia="宋体" w:cs="宋体"/>
          <w:b/>
          <w:bCs/>
          <w:color w:val="auto"/>
          <w:spacing w:val="-3"/>
          <w:sz w:val="24"/>
          <w:szCs w:val="24"/>
          <w:highlight w:val="none"/>
        </w:rPr>
        <w:t>招标文件的组成</w:t>
      </w:r>
      <w:bookmarkEnd w:id="102"/>
      <w:bookmarkEnd w:id="103"/>
      <w:bookmarkEnd w:id="104"/>
    </w:p>
    <w:p w14:paraId="231521C8">
      <w:pPr>
        <w:spacing w:before="182" w:line="219" w:lineRule="auto"/>
        <w:ind w:left="482"/>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本招标文件包括：</w:t>
      </w:r>
    </w:p>
    <w:p w14:paraId="594DD1DF">
      <w:pPr>
        <w:spacing w:before="183" w:line="218" w:lineRule="auto"/>
        <w:ind w:left="493"/>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（1）招标公告（或投标邀请书</w:t>
      </w:r>
      <w:r>
        <w:rPr>
          <w:rFonts w:ascii="宋体" w:hAnsi="宋体" w:eastAsia="宋体" w:cs="宋体"/>
          <w:color w:val="auto"/>
          <w:spacing w:val="3"/>
          <w:sz w:val="24"/>
          <w:szCs w:val="24"/>
          <w:highlight w:val="none"/>
        </w:rPr>
        <w:t>）；</w:t>
      </w:r>
    </w:p>
    <w:p w14:paraId="0DF9593C">
      <w:pPr>
        <w:spacing w:before="182" w:line="220" w:lineRule="auto"/>
        <w:ind w:left="493"/>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（2）投标人须知；</w:t>
      </w:r>
    </w:p>
    <w:p w14:paraId="28DA5929">
      <w:pPr>
        <w:spacing w:before="182" w:line="219" w:lineRule="auto"/>
        <w:ind w:left="493"/>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（3）评标办法；</w:t>
      </w:r>
    </w:p>
    <w:p w14:paraId="14604A07">
      <w:pPr>
        <w:spacing w:before="181" w:line="219" w:lineRule="auto"/>
        <w:ind w:left="493"/>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（4）合同条款及格式；</w:t>
      </w:r>
    </w:p>
    <w:p w14:paraId="223A0B2D">
      <w:pPr>
        <w:spacing w:before="183" w:line="221" w:lineRule="auto"/>
        <w:ind w:left="493"/>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（5）委托人要求；</w:t>
      </w:r>
    </w:p>
    <w:p w14:paraId="2205083B">
      <w:pPr>
        <w:spacing w:before="178" w:line="220" w:lineRule="auto"/>
        <w:ind w:left="493"/>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（6）图纸和资料；</w:t>
      </w:r>
    </w:p>
    <w:p w14:paraId="706DDD99">
      <w:pPr>
        <w:spacing w:before="183" w:line="219" w:lineRule="auto"/>
        <w:ind w:left="493"/>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（7）投标文件格式；</w:t>
      </w:r>
    </w:p>
    <w:p w14:paraId="754EFE33">
      <w:pPr>
        <w:spacing w:before="179" w:line="219" w:lineRule="auto"/>
        <w:ind w:left="493"/>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（8）投标人须知前附表规定的其他资料。</w:t>
      </w:r>
    </w:p>
    <w:p w14:paraId="05F8D101">
      <w:pPr>
        <w:spacing w:before="185" w:line="359" w:lineRule="auto"/>
        <w:ind w:left="2" w:right="2" w:firstLine="479"/>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根据本章第</w:t>
      </w:r>
      <w:r>
        <w:rPr>
          <w:rFonts w:ascii="宋体" w:hAnsi="宋体" w:eastAsia="宋体" w:cs="宋体"/>
          <w:color w:val="auto"/>
          <w:spacing w:val="-27"/>
          <w:sz w:val="24"/>
          <w:szCs w:val="24"/>
          <w:highlight w:val="none"/>
        </w:rPr>
        <w:t xml:space="preserve"> </w:t>
      </w:r>
      <w:r>
        <w:rPr>
          <w:rFonts w:ascii="宋体" w:hAnsi="宋体" w:eastAsia="宋体" w:cs="宋体"/>
          <w:color w:val="auto"/>
          <w:spacing w:val="-1"/>
          <w:sz w:val="24"/>
          <w:szCs w:val="24"/>
          <w:highlight w:val="none"/>
        </w:rPr>
        <w:t>1.10</w:t>
      </w:r>
      <w:r>
        <w:rPr>
          <w:rFonts w:ascii="宋体" w:hAnsi="宋体" w:eastAsia="宋体" w:cs="宋体"/>
          <w:color w:val="auto"/>
          <w:spacing w:val="-48"/>
          <w:sz w:val="24"/>
          <w:szCs w:val="24"/>
          <w:highlight w:val="none"/>
        </w:rPr>
        <w:t xml:space="preserve"> </w:t>
      </w:r>
      <w:r>
        <w:rPr>
          <w:rFonts w:ascii="宋体" w:hAnsi="宋体" w:eastAsia="宋体" w:cs="宋体"/>
          <w:color w:val="auto"/>
          <w:spacing w:val="-1"/>
          <w:sz w:val="24"/>
          <w:szCs w:val="24"/>
          <w:highlight w:val="none"/>
        </w:rPr>
        <w:t>款、第</w:t>
      </w:r>
      <w:r>
        <w:rPr>
          <w:rFonts w:ascii="宋体" w:hAnsi="宋体" w:eastAsia="宋体" w:cs="宋体"/>
          <w:color w:val="auto"/>
          <w:spacing w:val="-45"/>
          <w:sz w:val="24"/>
          <w:szCs w:val="24"/>
          <w:highlight w:val="none"/>
        </w:rPr>
        <w:t xml:space="preserve"> </w:t>
      </w:r>
      <w:r>
        <w:rPr>
          <w:rFonts w:ascii="宋体" w:hAnsi="宋体" w:eastAsia="宋体" w:cs="宋体"/>
          <w:color w:val="auto"/>
          <w:spacing w:val="-1"/>
          <w:sz w:val="24"/>
          <w:szCs w:val="24"/>
          <w:highlight w:val="none"/>
        </w:rPr>
        <w:t>2.2</w:t>
      </w:r>
      <w:r>
        <w:rPr>
          <w:rFonts w:ascii="宋体" w:hAnsi="宋体" w:eastAsia="宋体" w:cs="宋体"/>
          <w:color w:val="auto"/>
          <w:spacing w:val="-47"/>
          <w:sz w:val="24"/>
          <w:szCs w:val="24"/>
          <w:highlight w:val="none"/>
        </w:rPr>
        <w:t xml:space="preserve"> </w:t>
      </w:r>
      <w:r>
        <w:rPr>
          <w:rFonts w:ascii="宋体" w:hAnsi="宋体" w:eastAsia="宋体" w:cs="宋体"/>
          <w:color w:val="auto"/>
          <w:spacing w:val="-1"/>
          <w:sz w:val="24"/>
          <w:szCs w:val="24"/>
          <w:highlight w:val="none"/>
        </w:rPr>
        <w:t>款和第</w:t>
      </w:r>
      <w:r>
        <w:rPr>
          <w:rFonts w:ascii="宋体" w:hAnsi="宋体" w:eastAsia="宋体" w:cs="宋体"/>
          <w:color w:val="auto"/>
          <w:spacing w:val="-46"/>
          <w:sz w:val="24"/>
          <w:szCs w:val="24"/>
          <w:highlight w:val="none"/>
        </w:rPr>
        <w:t xml:space="preserve"> </w:t>
      </w:r>
      <w:r>
        <w:rPr>
          <w:rFonts w:ascii="宋体" w:hAnsi="宋体" w:eastAsia="宋体" w:cs="宋体"/>
          <w:color w:val="auto"/>
          <w:spacing w:val="-1"/>
          <w:sz w:val="24"/>
          <w:szCs w:val="24"/>
          <w:highlight w:val="none"/>
        </w:rPr>
        <w:t>2.3</w:t>
      </w:r>
      <w:r>
        <w:rPr>
          <w:rFonts w:ascii="宋体" w:hAnsi="宋体" w:eastAsia="宋体" w:cs="宋体"/>
          <w:color w:val="auto"/>
          <w:spacing w:val="-47"/>
          <w:sz w:val="24"/>
          <w:szCs w:val="24"/>
          <w:highlight w:val="none"/>
        </w:rPr>
        <w:t xml:space="preserve"> </w:t>
      </w:r>
      <w:r>
        <w:rPr>
          <w:rFonts w:ascii="宋体" w:hAnsi="宋体" w:eastAsia="宋体" w:cs="宋体"/>
          <w:color w:val="auto"/>
          <w:spacing w:val="-1"/>
          <w:sz w:val="24"/>
          <w:szCs w:val="24"/>
          <w:highlight w:val="none"/>
        </w:rPr>
        <w:t>款对招标文件所作的澄清、修改，构成招</w:t>
      </w:r>
      <w:r>
        <w:rPr>
          <w:rFonts w:ascii="宋体" w:hAnsi="宋体" w:eastAsia="宋体" w:cs="宋体"/>
          <w:color w:val="auto"/>
          <w:spacing w:val="-2"/>
          <w:sz w:val="24"/>
          <w:szCs w:val="24"/>
          <w:highlight w:val="none"/>
        </w:rPr>
        <w:t>标文件的组成部分。</w:t>
      </w:r>
    </w:p>
    <w:p w14:paraId="33280B31">
      <w:pPr>
        <w:spacing w:line="359" w:lineRule="auto"/>
        <w:ind w:left="22" w:right="2" w:firstLine="474"/>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当招标文件、招标文件的澄清或修改等在同一内容的表述上</w:t>
      </w:r>
      <w:r>
        <w:rPr>
          <w:rFonts w:ascii="宋体" w:hAnsi="宋体" w:eastAsia="宋体" w:cs="宋体"/>
          <w:color w:val="auto"/>
          <w:spacing w:val="4"/>
          <w:sz w:val="24"/>
          <w:szCs w:val="24"/>
          <w:highlight w:val="none"/>
        </w:rPr>
        <w:t>不一致时，以最后发</w:t>
      </w:r>
      <w:r>
        <w:rPr>
          <w:rFonts w:ascii="宋体" w:hAnsi="宋体" w:eastAsia="宋体" w:cs="宋体"/>
          <w:color w:val="auto"/>
          <w:spacing w:val="-4"/>
          <w:sz w:val="24"/>
          <w:szCs w:val="24"/>
          <w:highlight w:val="none"/>
        </w:rPr>
        <w:t>出的书面文件为准。</w:t>
      </w:r>
    </w:p>
    <w:p w14:paraId="36FD6C13">
      <w:pPr>
        <w:spacing w:line="219" w:lineRule="auto"/>
        <w:ind w:left="4"/>
        <w:outlineLvl w:val="1"/>
        <w:rPr>
          <w:rFonts w:ascii="宋体" w:hAnsi="宋体" w:eastAsia="宋体" w:cs="宋体"/>
          <w:color w:val="auto"/>
          <w:sz w:val="24"/>
          <w:szCs w:val="24"/>
          <w:highlight w:val="none"/>
        </w:rPr>
      </w:pPr>
      <w:bookmarkStart w:id="105" w:name="_Toc24935"/>
      <w:bookmarkStart w:id="106" w:name="_Toc27533"/>
      <w:bookmarkStart w:id="107" w:name="_Toc2261"/>
      <w:r>
        <w:rPr>
          <w:rFonts w:ascii="宋体" w:hAnsi="宋体" w:eastAsia="宋体" w:cs="宋体"/>
          <w:b/>
          <w:bCs/>
          <w:color w:val="auto"/>
          <w:spacing w:val="-3"/>
          <w:sz w:val="24"/>
          <w:szCs w:val="24"/>
          <w:highlight w:val="none"/>
        </w:rPr>
        <w:t>2.2</w:t>
      </w:r>
      <w:r>
        <w:rPr>
          <w:rFonts w:ascii="宋体" w:hAnsi="宋体" w:eastAsia="宋体" w:cs="宋体"/>
          <w:color w:val="auto"/>
          <w:spacing w:val="-3"/>
          <w:sz w:val="24"/>
          <w:szCs w:val="24"/>
          <w:highlight w:val="none"/>
        </w:rPr>
        <w:t xml:space="preserve"> </w:t>
      </w:r>
      <w:r>
        <w:rPr>
          <w:rFonts w:ascii="宋体" w:hAnsi="宋体" w:eastAsia="宋体" w:cs="宋体"/>
          <w:b/>
          <w:bCs/>
          <w:color w:val="auto"/>
          <w:spacing w:val="-3"/>
          <w:sz w:val="24"/>
          <w:szCs w:val="24"/>
          <w:highlight w:val="none"/>
        </w:rPr>
        <w:t>招标文件的澄清</w:t>
      </w:r>
      <w:bookmarkEnd w:id="105"/>
      <w:bookmarkEnd w:id="106"/>
      <w:bookmarkEnd w:id="107"/>
    </w:p>
    <w:p w14:paraId="6B4C112E">
      <w:pPr>
        <w:spacing w:before="181" w:line="313" w:lineRule="auto"/>
        <w:ind w:left="1" w:right="2" w:firstLine="482"/>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2.2.1 投标人应仔细阅读和检查招标文件的全部内容</w:t>
      </w:r>
      <w:r>
        <w:rPr>
          <w:rFonts w:ascii="宋体" w:hAnsi="宋体" w:eastAsia="宋体" w:cs="宋体"/>
          <w:color w:val="auto"/>
          <w:spacing w:val="4"/>
          <w:sz w:val="24"/>
          <w:szCs w:val="24"/>
          <w:highlight w:val="none"/>
        </w:rPr>
        <w:t>。如发现缺页或附件不全，</w:t>
      </w:r>
      <w:r>
        <w:rPr>
          <w:rFonts w:ascii="宋体" w:hAnsi="宋体" w:eastAsia="宋体" w:cs="宋体"/>
          <w:color w:val="auto"/>
          <w:spacing w:val="5"/>
          <w:sz w:val="24"/>
          <w:szCs w:val="24"/>
          <w:highlight w:val="none"/>
        </w:rPr>
        <w:t>应及时向招标人提出，以便补齐。如有疑问，应按投标人须知前附表规定的</w:t>
      </w:r>
      <w:r>
        <w:rPr>
          <w:rFonts w:ascii="宋体" w:hAnsi="宋体" w:eastAsia="宋体" w:cs="宋体"/>
          <w:color w:val="auto"/>
          <w:spacing w:val="4"/>
          <w:sz w:val="24"/>
          <w:szCs w:val="24"/>
          <w:highlight w:val="none"/>
        </w:rPr>
        <w:t>时间和形</w:t>
      </w:r>
      <w:r>
        <w:rPr>
          <w:rFonts w:ascii="宋体" w:hAnsi="宋体" w:eastAsia="宋体" w:cs="宋体"/>
          <w:color w:val="auto"/>
          <w:spacing w:val="-1"/>
          <w:sz w:val="24"/>
          <w:szCs w:val="24"/>
          <w:highlight w:val="none"/>
        </w:rPr>
        <w:t>式将提出的问题送达招标人，要求招标人对招标文件予以澄清。</w:t>
      </w:r>
    </w:p>
    <w:p w14:paraId="154F9F1C">
      <w:pPr>
        <w:spacing w:before="182" w:line="312" w:lineRule="auto"/>
        <w:ind w:firstLine="484"/>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2.2.2 招标文件的澄清以投标人须知前附表规定的形式发给</w:t>
      </w:r>
      <w:r>
        <w:rPr>
          <w:rFonts w:ascii="宋体" w:hAnsi="宋体" w:eastAsia="宋体" w:cs="宋体"/>
          <w:color w:val="auto"/>
          <w:spacing w:val="4"/>
          <w:sz w:val="24"/>
          <w:szCs w:val="24"/>
          <w:highlight w:val="none"/>
        </w:rPr>
        <w:t>所有登记的投标人，但不指明澄清问题的来源。澄清发出的时间距本章第</w:t>
      </w:r>
      <w:r>
        <w:rPr>
          <w:rFonts w:ascii="宋体" w:hAnsi="宋体" w:eastAsia="宋体" w:cs="宋体"/>
          <w:color w:val="auto"/>
          <w:spacing w:val="-47"/>
          <w:sz w:val="24"/>
          <w:szCs w:val="24"/>
          <w:highlight w:val="none"/>
        </w:rPr>
        <w:t xml:space="preserve"> </w:t>
      </w:r>
      <w:r>
        <w:rPr>
          <w:rFonts w:ascii="宋体" w:hAnsi="宋体" w:eastAsia="宋体" w:cs="宋体"/>
          <w:color w:val="auto"/>
          <w:spacing w:val="4"/>
          <w:sz w:val="24"/>
          <w:szCs w:val="24"/>
          <w:highlight w:val="none"/>
        </w:rPr>
        <w:t>4.2.1</w:t>
      </w:r>
      <w:r>
        <w:rPr>
          <w:rFonts w:ascii="宋体" w:hAnsi="宋体" w:eastAsia="宋体" w:cs="宋体"/>
          <w:color w:val="auto"/>
          <w:spacing w:val="-40"/>
          <w:sz w:val="24"/>
          <w:szCs w:val="24"/>
          <w:highlight w:val="none"/>
        </w:rPr>
        <w:t xml:space="preserve"> </w:t>
      </w:r>
      <w:r>
        <w:rPr>
          <w:rFonts w:ascii="宋体" w:hAnsi="宋体" w:eastAsia="宋体" w:cs="宋体"/>
          <w:color w:val="auto"/>
          <w:spacing w:val="4"/>
          <w:sz w:val="24"/>
          <w:szCs w:val="24"/>
          <w:highlight w:val="none"/>
        </w:rPr>
        <w:t>项规定的投标截</w:t>
      </w:r>
      <w:r>
        <w:rPr>
          <w:rFonts w:ascii="宋体" w:hAnsi="宋体" w:eastAsia="宋体" w:cs="宋体"/>
          <w:color w:val="auto"/>
          <w:spacing w:val="3"/>
          <w:sz w:val="24"/>
          <w:szCs w:val="24"/>
          <w:highlight w:val="none"/>
        </w:rPr>
        <w:t>止时间不</w:t>
      </w:r>
      <w:r>
        <w:rPr>
          <w:rFonts w:ascii="宋体" w:hAnsi="宋体" w:eastAsia="宋体" w:cs="宋体"/>
          <w:color w:val="auto"/>
          <w:spacing w:val="-3"/>
          <w:sz w:val="24"/>
          <w:szCs w:val="24"/>
          <w:highlight w:val="none"/>
        </w:rPr>
        <w:t>足</w:t>
      </w:r>
      <w:r>
        <w:rPr>
          <w:rFonts w:ascii="宋体" w:hAnsi="宋体" w:eastAsia="宋体" w:cs="宋体"/>
          <w:color w:val="auto"/>
          <w:spacing w:val="-24"/>
          <w:sz w:val="24"/>
          <w:szCs w:val="24"/>
          <w:highlight w:val="none"/>
        </w:rPr>
        <w:t xml:space="preserve"> </w:t>
      </w:r>
      <w:r>
        <w:rPr>
          <w:rFonts w:ascii="宋体" w:hAnsi="宋体" w:eastAsia="宋体" w:cs="宋体"/>
          <w:color w:val="auto"/>
          <w:spacing w:val="-3"/>
          <w:sz w:val="24"/>
          <w:szCs w:val="24"/>
          <w:highlight w:val="none"/>
        </w:rPr>
        <w:t>15 日，且澄清内容可能影响投标文件编制的，将相应延长投标截止时间。</w:t>
      </w:r>
    </w:p>
    <w:p w14:paraId="75A5BCFB">
      <w:pPr>
        <w:spacing w:before="183" w:line="289" w:lineRule="auto"/>
        <w:ind w:left="1" w:right="2" w:firstLine="482"/>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2.2.3 投标人应注意及时浏览网上发出的澄清，因投</w:t>
      </w:r>
      <w:r>
        <w:rPr>
          <w:rFonts w:ascii="宋体" w:hAnsi="宋体" w:eastAsia="宋体" w:cs="宋体"/>
          <w:color w:val="auto"/>
          <w:spacing w:val="4"/>
          <w:sz w:val="24"/>
          <w:szCs w:val="24"/>
          <w:highlight w:val="none"/>
        </w:rPr>
        <w:t>标人自身原因未及时获知澄</w:t>
      </w:r>
      <w:r>
        <w:rPr>
          <w:rFonts w:ascii="宋体" w:hAnsi="宋体" w:eastAsia="宋体" w:cs="宋体"/>
          <w:color w:val="auto"/>
          <w:spacing w:val="-1"/>
          <w:sz w:val="24"/>
          <w:szCs w:val="24"/>
          <w:highlight w:val="none"/>
        </w:rPr>
        <w:t>清内容而导致的任何后果将由投标人自行承担。</w:t>
      </w:r>
    </w:p>
    <w:p w14:paraId="0B6F27DF">
      <w:pPr>
        <w:spacing w:before="182" w:line="289" w:lineRule="auto"/>
        <w:ind w:left="1" w:right="2" w:firstLine="482"/>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2.2.4 除非招标人认为确有必要答复，否则，招标人</w:t>
      </w:r>
      <w:r>
        <w:rPr>
          <w:rFonts w:ascii="宋体" w:hAnsi="宋体" w:eastAsia="宋体" w:cs="宋体"/>
          <w:color w:val="auto"/>
          <w:spacing w:val="4"/>
          <w:sz w:val="24"/>
          <w:szCs w:val="24"/>
          <w:highlight w:val="none"/>
        </w:rPr>
        <w:t>有权拒绝回复投标人在本章</w:t>
      </w:r>
      <w:r>
        <w:rPr>
          <w:rFonts w:ascii="宋体" w:hAnsi="宋体" w:eastAsia="宋体" w:cs="宋体"/>
          <w:color w:val="auto"/>
          <w:spacing w:val="-2"/>
          <w:sz w:val="24"/>
          <w:szCs w:val="24"/>
          <w:highlight w:val="none"/>
        </w:rPr>
        <w:t>第</w:t>
      </w:r>
      <w:r>
        <w:rPr>
          <w:rFonts w:ascii="宋体" w:hAnsi="宋体" w:eastAsia="宋体" w:cs="宋体"/>
          <w:color w:val="auto"/>
          <w:spacing w:val="-42"/>
          <w:sz w:val="24"/>
          <w:szCs w:val="24"/>
          <w:highlight w:val="none"/>
        </w:rPr>
        <w:t xml:space="preserve"> </w:t>
      </w:r>
      <w:r>
        <w:rPr>
          <w:rFonts w:ascii="宋体" w:hAnsi="宋体" w:eastAsia="宋体" w:cs="宋体"/>
          <w:color w:val="auto"/>
          <w:spacing w:val="-2"/>
          <w:sz w:val="24"/>
          <w:szCs w:val="24"/>
          <w:highlight w:val="none"/>
        </w:rPr>
        <w:t>2.2.1</w:t>
      </w:r>
      <w:r>
        <w:rPr>
          <w:rFonts w:ascii="宋体" w:hAnsi="宋体" w:eastAsia="宋体" w:cs="宋体"/>
          <w:color w:val="auto"/>
          <w:spacing w:val="-47"/>
          <w:sz w:val="24"/>
          <w:szCs w:val="24"/>
          <w:highlight w:val="none"/>
        </w:rPr>
        <w:t xml:space="preserve"> </w:t>
      </w:r>
      <w:r>
        <w:rPr>
          <w:rFonts w:ascii="宋体" w:hAnsi="宋体" w:eastAsia="宋体" w:cs="宋体"/>
          <w:color w:val="auto"/>
          <w:spacing w:val="-2"/>
          <w:sz w:val="24"/>
          <w:szCs w:val="24"/>
          <w:highlight w:val="none"/>
        </w:rPr>
        <w:t>项规定的时间后的任何澄清要求。</w:t>
      </w:r>
    </w:p>
    <w:p w14:paraId="0E690818">
      <w:pPr>
        <w:spacing w:before="183" w:line="219" w:lineRule="auto"/>
        <w:ind w:left="4"/>
        <w:outlineLvl w:val="1"/>
        <w:rPr>
          <w:rFonts w:ascii="宋体" w:hAnsi="宋体" w:eastAsia="宋体" w:cs="宋体"/>
          <w:color w:val="auto"/>
          <w:sz w:val="24"/>
          <w:szCs w:val="24"/>
          <w:highlight w:val="none"/>
        </w:rPr>
      </w:pPr>
      <w:bookmarkStart w:id="108" w:name="_Toc30502"/>
      <w:bookmarkStart w:id="109" w:name="_Toc11404"/>
      <w:bookmarkStart w:id="110" w:name="_Toc14480"/>
      <w:r>
        <w:rPr>
          <w:rFonts w:ascii="宋体" w:hAnsi="宋体" w:eastAsia="宋体" w:cs="宋体"/>
          <w:b/>
          <w:bCs/>
          <w:color w:val="auto"/>
          <w:spacing w:val="-3"/>
          <w:sz w:val="24"/>
          <w:szCs w:val="24"/>
          <w:highlight w:val="none"/>
        </w:rPr>
        <w:t>2.3</w:t>
      </w:r>
      <w:r>
        <w:rPr>
          <w:rFonts w:ascii="宋体" w:hAnsi="宋体" w:eastAsia="宋体" w:cs="宋体"/>
          <w:color w:val="auto"/>
          <w:spacing w:val="-3"/>
          <w:sz w:val="24"/>
          <w:szCs w:val="24"/>
          <w:highlight w:val="none"/>
        </w:rPr>
        <w:t xml:space="preserve"> </w:t>
      </w:r>
      <w:r>
        <w:rPr>
          <w:rFonts w:ascii="宋体" w:hAnsi="宋体" w:eastAsia="宋体" w:cs="宋体"/>
          <w:b/>
          <w:bCs/>
          <w:color w:val="auto"/>
          <w:spacing w:val="-3"/>
          <w:sz w:val="24"/>
          <w:szCs w:val="24"/>
          <w:highlight w:val="none"/>
        </w:rPr>
        <w:t>招标文件的修改</w:t>
      </w:r>
      <w:bookmarkEnd w:id="108"/>
      <w:bookmarkEnd w:id="109"/>
      <w:bookmarkEnd w:id="110"/>
    </w:p>
    <w:p w14:paraId="509237AB">
      <w:pPr>
        <w:spacing w:before="181" w:line="358" w:lineRule="auto"/>
        <w:ind w:left="1" w:right="2" w:firstLine="482"/>
        <w:jc w:val="both"/>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2.3.1 招标人以投标人须知前附表规定的形式修改招</w:t>
      </w:r>
      <w:r>
        <w:rPr>
          <w:rFonts w:ascii="宋体" w:hAnsi="宋体" w:eastAsia="宋体" w:cs="宋体"/>
          <w:color w:val="auto"/>
          <w:spacing w:val="4"/>
          <w:sz w:val="24"/>
          <w:szCs w:val="24"/>
          <w:highlight w:val="none"/>
        </w:rPr>
        <w:t>标文件，并通知所有已登记</w:t>
      </w:r>
      <w:r>
        <w:rPr>
          <w:rFonts w:ascii="宋体" w:hAnsi="宋体" w:eastAsia="宋体" w:cs="宋体"/>
          <w:color w:val="auto"/>
          <w:sz w:val="24"/>
          <w:szCs w:val="24"/>
          <w:highlight w:val="none"/>
        </w:rPr>
        <w:t>的投标人。修改招标文件的时间距本章第4.2.1</w:t>
      </w:r>
      <w:r>
        <w:rPr>
          <w:rFonts w:ascii="宋体" w:hAnsi="宋体" w:eastAsia="宋体" w:cs="宋体"/>
          <w:color w:val="auto"/>
          <w:spacing w:val="-26"/>
          <w:sz w:val="24"/>
          <w:szCs w:val="24"/>
          <w:highlight w:val="none"/>
        </w:rPr>
        <w:t xml:space="preserve"> </w:t>
      </w:r>
      <w:r>
        <w:rPr>
          <w:rFonts w:ascii="宋体" w:hAnsi="宋体" w:eastAsia="宋体" w:cs="宋体"/>
          <w:color w:val="auto"/>
          <w:sz w:val="24"/>
          <w:szCs w:val="24"/>
          <w:highlight w:val="none"/>
        </w:rPr>
        <w:t>项规定的投标截止时间不足</w:t>
      </w:r>
      <w:r>
        <w:rPr>
          <w:rFonts w:ascii="宋体" w:hAnsi="宋体" w:eastAsia="宋体" w:cs="宋体"/>
          <w:color w:val="auto"/>
          <w:spacing w:val="-33"/>
          <w:sz w:val="24"/>
          <w:szCs w:val="24"/>
          <w:highlight w:val="none"/>
        </w:rPr>
        <w:t xml:space="preserve"> </w:t>
      </w:r>
      <w:r>
        <w:rPr>
          <w:rFonts w:ascii="宋体" w:hAnsi="宋体" w:eastAsia="宋体" w:cs="宋体"/>
          <w:color w:val="auto"/>
          <w:sz w:val="24"/>
          <w:szCs w:val="24"/>
          <w:highlight w:val="none"/>
        </w:rPr>
        <w:t>15 日，且</w:t>
      </w:r>
      <w:r>
        <w:rPr>
          <w:rFonts w:ascii="宋体" w:hAnsi="宋体" w:eastAsia="宋体" w:cs="宋体"/>
          <w:color w:val="auto"/>
          <w:spacing w:val="-1"/>
          <w:sz w:val="24"/>
          <w:szCs w:val="24"/>
          <w:highlight w:val="none"/>
        </w:rPr>
        <w:t>修改内容可能影响投标文件编制的，将相应延长投标截止时间。</w:t>
      </w:r>
    </w:p>
    <w:p w14:paraId="44E783B9">
      <w:pPr>
        <w:spacing w:line="358" w:lineRule="auto"/>
        <w:rPr>
          <w:rFonts w:ascii="宋体" w:hAnsi="宋体" w:eastAsia="宋体" w:cs="宋体"/>
          <w:color w:val="auto"/>
          <w:sz w:val="24"/>
          <w:szCs w:val="24"/>
          <w:highlight w:val="none"/>
        </w:rPr>
        <w:sectPr>
          <w:footerReference r:id="rId31" w:type="default"/>
          <w:pgSz w:w="11906" w:h="16839"/>
          <w:pgMar w:top="1402" w:right="1415" w:bottom="1297" w:left="1423" w:header="0" w:footer="1067" w:gutter="0"/>
          <w:pgNumType w:fmt="decimal"/>
          <w:cols w:space="720" w:num="1"/>
        </w:sectPr>
      </w:pPr>
    </w:p>
    <w:p w14:paraId="5732A3D0">
      <w:pPr>
        <w:spacing w:before="48" w:line="359" w:lineRule="auto"/>
        <w:ind w:left="7" w:firstLine="474"/>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2.3.2 投标人应注意及时浏览网上发出的修改，因投</w:t>
      </w:r>
      <w:r>
        <w:rPr>
          <w:rFonts w:ascii="宋体" w:hAnsi="宋体" w:eastAsia="宋体" w:cs="宋体"/>
          <w:color w:val="auto"/>
          <w:spacing w:val="4"/>
          <w:sz w:val="24"/>
          <w:szCs w:val="24"/>
          <w:highlight w:val="none"/>
        </w:rPr>
        <w:t>标人自身原因未及时获知修</w:t>
      </w:r>
      <w:r>
        <w:rPr>
          <w:rFonts w:ascii="宋体" w:hAnsi="宋体" w:eastAsia="宋体" w:cs="宋体"/>
          <w:color w:val="auto"/>
          <w:spacing w:val="-1"/>
          <w:sz w:val="24"/>
          <w:szCs w:val="24"/>
          <w:highlight w:val="none"/>
        </w:rPr>
        <w:t>改内容而导致的任何后果将由投标人自行承担。</w:t>
      </w:r>
    </w:p>
    <w:p w14:paraId="3747A3DC">
      <w:pPr>
        <w:spacing w:line="219" w:lineRule="auto"/>
        <w:ind w:left="1"/>
        <w:outlineLvl w:val="1"/>
        <w:rPr>
          <w:rFonts w:ascii="宋体" w:hAnsi="宋体" w:eastAsia="宋体" w:cs="宋体"/>
          <w:color w:val="auto"/>
          <w:sz w:val="24"/>
          <w:szCs w:val="24"/>
          <w:highlight w:val="none"/>
        </w:rPr>
      </w:pPr>
      <w:bookmarkStart w:id="111" w:name="_Toc30602"/>
      <w:bookmarkStart w:id="112" w:name="_Toc5237"/>
      <w:bookmarkStart w:id="113" w:name="_Toc18736"/>
      <w:r>
        <w:rPr>
          <w:rFonts w:ascii="宋体" w:hAnsi="宋体" w:eastAsia="宋体" w:cs="宋体"/>
          <w:b/>
          <w:bCs/>
          <w:color w:val="auto"/>
          <w:spacing w:val="-3"/>
          <w:sz w:val="24"/>
          <w:szCs w:val="24"/>
          <w:highlight w:val="none"/>
        </w:rPr>
        <w:t>2.4</w:t>
      </w:r>
      <w:r>
        <w:rPr>
          <w:rFonts w:ascii="宋体" w:hAnsi="宋体" w:eastAsia="宋体" w:cs="宋体"/>
          <w:color w:val="auto"/>
          <w:spacing w:val="-3"/>
          <w:sz w:val="24"/>
          <w:szCs w:val="24"/>
          <w:highlight w:val="none"/>
        </w:rPr>
        <w:t xml:space="preserve"> </w:t>
      </w:r>
      <w:r>
        <w:rPr>
          <w:rFonts w:ascii="宋体" w:hAnsi="宋体" w:eastAsia="宋体" w:cs="宋体"/>
          <w:b/>
          <w:bCs/>
          <w:color w:val="auto"/>
          <w:spacing w:val="-3"/>
          <w:sz w:val="24"/>
          <w:szCs w:val="24"/>
          <w:highlight w:val="none"/>
        </w:rPr>
        <w:t>招标文件的异议</w:t>
      </w:r>
      <w:bookmarkEnd w:id="111"/>
      <w:bookmarkEnd w:id="112"/>
      <w:bookmarkEnd w:id="113"/>
    </w:p>
    <w:p w14:paraId="4A45E351">
      <w:pPr>
        <w:spacing w:before="179" w:line="361" w:lineRule="auto"/>
        <w:ind w:firstLine="481"/>
        <w:jc w:val="both"/>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投标人或其他利害关系人对招标文件有异议的，应当在投标截止时间</w:t>
      </w:r>
      <w:r>
        <w:rPr>
          <w:rFonts w:ascii="宋体" w:hAnsi="宋体" w:eastAsia="宋体" w:cs="宋体"/>
          <w:color w:val="auto"/>
          <w:spacing w:val="-25"/>
          <w:sz w:val="24"/>
          <w:szCs w:val="24"/>
          <w:highlight w:val="none"/>
        </w:rPr>
        <w:t xml:space="preserve"> </w:t>
      </w:r>
      <w:r>
        <w:rPr>
          <w:rFonts w:ascii="宋体" w:hAnsi="宋体" w:eastAsia="宋体" w:cs="宋体"/>
          <w:color w:val="auto"/>
          <w:spacing w:val="-1"/>
          <w:sz w:val="24"/>
          <w:szCs w:val="24"/>
          <w:highlight w:val="none"/>
        </w:rPr>
        <w:t>10 日前以书</w:t>
      </w:r>
      <w:r>
        <w:rPr>
          <w:rFonts w:ascii="宋体" w:hAnsi="宋体" w:eastAsia="宋体" w:cs="宋体"/>
          <w:color w:val="auto"/>
          <w:spacing w:val="3"/>
          <w:sz w:val="24"/>
          <w:szCs w:val="24"/>
          <w:highlight w:val="none"/>
        </w:rPr>
        <w:t>面形式提出。招标人将在收到异议之日起</w:t>
      </w:r>
      <w:r>
        <w:rPr>
          <w:rFonts w:ascii="宋体" w:hAnsi="宋体" w:eastAsia="宋体" w:cs="宋体"/>
          <w:color w:val="auto"/>
          <w:spacing w:val="-41"/>
          <w:sz w:val="24"/>
          <w:szCs w:val="24"/>
          <w:highlight w:val="none"/>
        </w:rPr>
        <w:t xml:space="preserve"> </w:t>
      </w:r>
      <w:r>
        <w:rPr>
          <w:rFonts w:ascii="宋体" w:hAnsi="宋体" w:eastAsia="宋体" w:cs="宋体"/>
          <w:color w:val="auto"/>
          <w:spacing w:val="3"/>
          <w:sz w:val="24"/>
          <w:szCs w:val="24"/>
          <w:highlight w:val="none"/>
        </w:rPr>
        <w:t>3 日内作出答</w:t>
      </w:r>
      <w:r>
        <w:rPr>
          <w:rFonts w:ascii="宋体" w:hAnsi="宋体" w:eastAsia="宋体" w:cs="宋体"/>
          <w:color w:val="auto"/>
          <w:spacing w:val="2"/>
          <w:sz w:val="24"/>
          <w:szCs w:val="24"/>
          <w:highlight w:val="none"/>
        </w:rPr>
        <w:t>复；作出答复前，将暂停招标</w:t>
      </w:r>
      <w:r>
        <w:rPr>
          <w:rFonts w:ascii="宋体" w:hAnsi="宋体" w:eastAsia="宋体" w:cs="宋体"/>
          <w:color w:val="auto"/>
          <w:spacing w:val="-3"/>
          <w:sz w:val="24"/>
          <w:szCs w:val="24"/>
          <w:highlight w:val="none"/>
        </w:rPr>
        <w:t>投标活动。</w:t>
      </w:r>
    </w:p>
    <w:p w14:paraId="6C6814B5">
      <w:pPr>
        <w:spacing w:line="220" w:lineRule="auto"/>
        <w:ind w:left="6"/>
        <w:outlineLvl w:val="0"/>
        <w:rPr>
          <w:rFonts w:ascii="宋体" w:hAnsi="宋体" w:eastAsia="宋体" w:cs="宋体"/>
          <w:color w:val="auto"/>
          <w:sz w:val="28"/>
          <w:szCs w:val="28"/>
          <w:highlight w:val="none"/>
        </w:rPr>
      </w:pPr>
      <w:bookmarkStart w:id="114" w:name="_Toc1161"/>
      <w:r>
        <w:rPr>
          <w:rFonts w:ascii="宋体" w:hAnsi="宋体" w:eastAsia="宋体" w:cs="宋体"/>
          <w:b/>
          <w:bCs/>
          <w:color w:val="auto"/>
          <w:spacing w:val="-8"/>
          <w:sz w:val="28"/>
          <w:szCs w:val="28"/>
          <w:highlight w:val="none"/>
        </w:rPr>
        <w:t>3.</w:t>
      </w:r>
      <w:r>
        <w:rPr>
          <w:rFonts w:ascii="宋体" w:hAnsi="宋体" w:eastAsia="宋体" w:cs="宋体"/>
          <w:color w:val="auto"/>
          <w:spacing w:val="18"/>
          <w:sz w:val="28"/>
          <w:szCs w:val="28"/>
          <w:highlight w:val="none"/>
        </w:rPr>
        <w:t xml:space="preserve"> </w:t>
      </w:r>
      <w:r>
        <w:rPr>
          <w:rFonts w:ascii="宋体" w:hAnsi="宋体" w:eastAsia="宋体" w:cs="宋体"/>
          <w:b/>
          <w:bCs/>
          <w:color w:val="auto"/>
          <w:spacing w:val="-8"/>
          <w:sz w:val="28"/>
          <w:szCs w:val="28"/>
          <w:highlight w:val="none"/>
        </w:rPr>
        <w:t>投标文件</w:t>
      </w:r>
      <w:bookmarkEnd w:id="114"/>
    </w:p>
    <w:p w14:paraId="7AB88A03">
      <w:pPr>
        <w:spacing w:before="205" w:line="219" w:lineRule="auto"/>
        <w:ind w:left="3"/>
        <w:outlineLvl w:val="1"/>
        <w:rPr>
          <w:rFonts w:ascii="宋体" w:hAnsi="宋体" w:eastAsia="宋体" w:cs="宋体"/>
          <w:color w:val="auto"/>
          <w:sz w:val="24"/>
          <w:szCs w:val="24"/>
          <w:highlight w:val="none"/>
        </w:rPr>
      </w:pPr>
      <w:bookmarkStart w:id="115" w:name="_Toc26778"/>
      <w:bookmarkStart w:id="116" w:name="_Toc11914"/>
      <w:bookmarkStart w:id="117" w:name="_Toc20032"/>
      <w:r>
        <w:rPr>
          <w:rFonts w:ascii="宋体" w:hAnsi="宋体" w:eastAsia="宋体" w:cs="宋体"/>
          <w:b/>
          <w:bCs/>
          <w:color w:val="auto"/>
          <w:spacing w:val="-3"/>
          <w:sz w:val="24"/>
          <w:szCs w:val="24"/>
          <w:highlight w:val="none"/>
        </w:rPr>
        <w:t>3.1</w:t>
      </w:r>
      <w:r>
        <w:rPr>
          <w:rFonts w:ascii="宋体" w:hAnsi="宋体" w:eastAsia="宋体" w:cs="宋体"/>
          <w:color w:val="auto"/>
          <w:spacing w:val="-3"/>
          <w:sz w:val="24"/>
          <w:szCs w:val="24"/>
          <w:highlight w:val="none"/>
        </w:rPr>
        <w:t xml:space="preserve"> </w:t>
      </w:r>
      <w:r>
        <w:rPr>
          <w:rFonts w:ascii="宋体" w:hAnsi="宋体" w:eastAsia="宋体" w:cs="宋体"/>
          <w:b/>
          <w:bCs/>
          <w:color w:val="auto"/>
          <w:spacing w:val="-3"/>
          <w:sz w:val="24"/>
          <w:szCs w:val="24"/>
          <w:highlight w:val="none"/>
        </w:rPr>
        <w:t>投标文件的组成</w:t>
      </w:r>
      <w:bookmarkEnd w:id="115"/>
      <w:bookmarkEnd w:id="116"/>
      <w:bookmarkEnd w:id="117"/>
    </w:p>
    <w:p w14:paraId="30A53DDE">
      <w:pPr>
        <w:spacing w:before="180" w:line="219" w:lineRule="auto"/>
        <w:ind w:left="483"/>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3.1.1 投标文件应采用双信封形式，包括下列内容：</w:t>
      </w:r>
    </w:p>
    <w:p w14:paraId="7C081402">
      <w:pPr>
        <w:spacing w:before="184" w:line="219" w:lineRule="auto"/>
        <w:ind w:left="479"/>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第一个信封（商务及技术文件</w:t>
      </w:r>
      <w:r>
        <w:rPr>
          <w:rFonts w:ascii="宋体" w:hAnsi="宋体" w:eastAsia="宋体" w:cs="宋体"/>
          <w:color w:val="auto"/>
          <w:spacing w:val="1"/>
          <w:sz w:val="24"/>
          <w:szCs w:val="24"/>
          <w:highlight w:val="none"/>
        </w:rPr>
        <w:t>）：</w:t>
      </w:r>
    </w:p>
    <w:p w14:paraId="69B6809E">
      <w:pPr>
        <w:spacing w:before="181" w:line="220" w:lineRule="auto"/>
        <w:ind w:left="490"/>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（1）投标函；</w:t>
      </w:r>
    </w:p>
    <w:p w14:paraId="311E75F8">
      <w:pPr>
        <w:spacing w:before="181" w:line="219" w:lineRule="auto"/>
        <w:ind w:left="490"/>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（2）授权委托书或法定代表人身份证明；</w:t>
      </w:r>
    </w:p>
    <w:p w14:paraId="2F33580A">
      <w:pPr>
        <w:spacing w:before="181" w:line="219" w:lineRule="auto"/>
        <w:ind w:left="490"/>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（3）联合体协议书；</w:t>
      </w:r>
    </w:p>
    <w:p w14:paraId="16BE061F">
      <w:pPr>
        <w:spacing w:before="184" w:line="220" w:lineRule="auto"/>
        <w:ind w:left="490"/>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（4）投标保证金；</w:t>
      </w:r>
    </w:p>
    <w:p w14:paraId="73336754">
      <w:pPr>
        <w:spacing w:before="182" w:line="219" w:lineRule="auto"/>
        <w:ind w:left="490"/>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（5）资格审查资料；</w:t>
      </w:r>
    </w:p>
    <w:p w14:paraId="0D409725">
      <w:pPr>
        <w:spacing w:before="180" w:line="219" w:lineRule="auto"/>
        <w:ind w:left="490"/>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（6）投标人须知前附表规定的其他资料；</w:t>
      </w:r>
    </w:p>
    <w:p w14:paraId="7246395D">
      <w:pPr>
        <w:spacing w:before="181" w:line="219" w:lineRule="auto"/>
        <w:ind w:left="490"/>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（7）技术建议书。</w:t>
      </w:r>
    </w:p>
    <w:p w14:paraId="4B88E717">
      <w:pPr>
        <w:spacing w:before="184" w:line="218" w:lineRule="auto"/>
        <w:ind w:left="479"/>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第二个信封（报价文件</w:t>
      </w:r>
      <w:r>
        <w:rPr>
          <w:rFonts w:ascii="宋体" w:hAnsi="宋体" w:eastAsia="宋体" w:cs="宋体"/>
          <w:color w:val="auto"/>
          <w:sz w:val="24"/>
          <w:szCs w:val="24"/>
          <w:highlight w:val="none"/>
        </w:rPr>
        <w:t>）：</w:t>
      </w:r>
    </w:p>
    <w:p w14:paraId="378A3E57">
      <w:pPr>
        <w:spacing w:before="184" w:line="220" w:lineRule="auto"/>
        <w:ind w:left="490"/>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（1）投标函；</w:t>
      </w:r>
    </w:p>
    <w:p w14:paraId="4038A035">
      <w:pPr>
        <w:spacing w:before="180" w:line="219" w:lineRule="auto"/>
        <w:ind w:left="490"/>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（2）监理服务费用清单。</w:t>
      </w:r>
    </w:p>
    <w:p w14:paraId="1BE05BF8">
      <w:pPr>
        <w:spacing w:before="183" w:line="359" w:lineRule="auto"/>
        <w:ind w:firstLine="480"/>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投标人在评标过程中作出的符合法律法规和招标文件规定的澄清确认，构成投标</w:t>
      </w:r>
      <w:r>
        <w:rPr>
          <w:rFonts w:ascii="宋体" w:hAnsi="宋体" w:eastAsia="宋体" w:cs="宋体"/>
          <w:color w:val="auto"/>
          <w:spacing w:val="-2"/>
          <w:sz w:val="24"/>
          <w:szCs w:val="24"/>
          <w:highlight w:val="none"/>
        </w:rPr>
        <w:t>文件的组成部分。</w:t>
      </w:r>
    </w:p>
    <w:p w14:paraId="233C8982">
      <w:pPr>
        <w:spacing w:before="1" w:line="288" w:lineRule="auto"/>
        <w:ind w:left="1" w:right="10" w:firstLine="481"/>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3.1.2 投标人须知前附表规定不接受联合体投标的，或投标人没有组成联合体的，</w:t>
      </w:r>
      <w:r>
        <w:rPr>
          <w:rFonts w:ascii="宋体" w:hAnsi="宋体" w:eastAsia="宋体" w:cs="宋体"/>
          <w:color w:val="auto"/>
          <w:spacing w:val="-3"/>
          <w:sz w:val="24"/>
          <w:szCs w:val="24"/>
          <w:highlight w:val="none"/>
        </w:rPr>
        <w:t>投标文件不包括本章第</w:t>
      </w:r>
      <w:r>
        <w:rPr>
          <w:rFonts w:ascii="宋体" w:hAnsi="宋体" w:eastAsia="宋体" w:cs="宋体"/>
          <w:color w:val="auto"/>
          <w:spacing w:val="-42"/>
          <w:sz w:val="24"/>
          <w:szCs w:val="24"/>
          <w:highlight w:val="none"/>
        </w:rPr>
        <w:t xml:space="preserve"> </w:t>
      </w:r>
      <w:r>
        <w:rPr>
          <w:rFonts w:ascii="宋体" w:hAnsi="宋体" w:eastAsia="宋体" w:cs="宋体"/>
          <w:color w:val="auto"/>
          <w:spacing w:val="-3"/>
          <w:sz w:val="24"/>
          <w:szCs w:val="24"/>
          <w:highlight w:val="none"/>
        </w:rPr>
        <w:t>3.1.1（3）</w:t>
      </w:r>
      <w:r>
        <w:rPr>
          <w:rFonts w:ascii="宋体" w:hAnsi="宋体" w:eastAsia="宋体" w:cs="宋体"/>
          <w:color w:val="auto"/>
          <w:spacing w:val="-65"/>
          <w:sz w:val="24"/>
          <w:szCs w:val="24"/>
          <w:highlight w:val="none"/>
        </w:rPr>
        <w:t xml:space="preserve"> </w:t>
      </w:r>
      <w:r>
        <w:rPr>
          <w:rFonts w:ascii="宋体" w:hAnsi="宋体" w:eastAsia="宋体" w:cs="宋体"/>
          <w:color w:val="auto"/>
          <w:spacing w:val="-3"/>
          <w:sz w:val="24"/>
          <w:szCs w:val="24"/>
          <w:highlight w:val="none"/>
        </w:rPr>
        <w:t>目所指的联合体协议书。</w:t>
      </w:r>
    </w:p>
    <w:p w14:paraId="294A1C10">
      <w:pPr>
        <w:spacing w:before="185" w:line="289" w:lineRule="auto"/>
        <w:ind w:left="10" w:firstLine="473"/>
        <w:rPr>
          <w:rFonts w:ascii="宋体" w:hAnsi="宋体" w:eastAsia="宋体" w:cs="宋体"/>
          <w:color w:val="auto"/>
          <w:sz w:val="24"/>
          <w:szCs w:val="24"/>
          <w:highlight w:val="none"/>
        </w:rPr>
      </w:pPr>
      <w:r>
        <w:rPr>
          <w:rFonts w:ascii="宋体" w:hAnsi="宋体" w:eastAsia="宋体" w:cs="宋体"/>
          <w:color w:val="auto"/>
          <w:sz w:val="24"/>
          <w:szCs w:val="24"/>
          <w:highlight w:val="none"/>
        </w:rPr>
        <w:t>3.1.3 投标人须知前附表未要求提交投标保证</w:t>
      </w:r>
      <w:r>
        <w:rPr>
          <w:rFonts w:ascii="宋体" w:hAnsi="宋体" w:eastAsia="宋体" w:cs="宋体"/>
          <w:color w:val="auto"/>
          <w:spacing w:val="-1"/>
          <w:sz w:val="24"/>
          <w:szCs w:val="24"/>
          <w:highlight w:val="none"/>
        </w:rPr>
        <w:t>金的，投标文件不包括本章第</w:t>
      </w:r>
      <w:r>
        <w:rPr>
          <w:rFonts w:ascii="宋体" w:hAnsi="宋体" w:eastAsia="宋体" w:cs="宋体"/>
          <w:color w:val="auto"/>
          <w:spacing w:val="-46"/>
          <w:sz w:val="24"/>
          <w:szCs w:val="24"/>
          <w:highlight w:val="none"/>
        </w:rPr>
        <w:t xml:space="preserve"> </w:t>
      </w:r>
      <w:r>
        <w:rPr>
          <w:rFonts w:ascii="宋体" w:hAnsi="宋体" w:eastAsia="宋体" w:cs="宋体"/>
          <w:color w:val="auto"/>
          <w:spacing w:val="-1"/>
          <w:sz w:val="24"/>
          <w:szCs w:val="24"/>
          <w:highlight w:val="none"/>
        </w:rPr>
        <w:t>3.1.1</w:t>
      </w:r>
      <w:r>
        <w:rPr>
          <w:rFonts w:ascii="宋体" w:hAnsi="宋体" w:eastAsia="宋体" w:cs="宋体"/>
          <w:color w:val="auto"/>
          <w:sz w:val="24"/>
          <w:szCs w:val="24"/>
          <w:highlight w:val="none"/>
        </w:rPr>
        <w:t xml:space="preserve"> </w:t>
      </w:r>
      <w:r>
        <w:rPr>
          <w:rFonts w:ascii="宋体" w:hAnsi="宋体" w:eastAsia="宋体" w:cs="宋体"/>
          <w:color w:val="auto"/>
          <w:spacing w:val="-6"/>
          <w:sz w:val="24"/>
          <w:szCs w:val="24"/>
          <w:highlight w:val="none"/>
        </w:rPr>
        <w:t>（4）</w:t>
      </w:r>
      <w:r>
        <w:rPr>
          <w:rFonts w:ascii="宋体" w:hAnsi="宋体" w:eastAsia="宋体" w:cs="宋体"/>
          <w:color w:val="auto"/>
          <w:spacing w:val="-64"/>
          <w:sz w:val="24"/>
          <w:szCs w:val="24"/>
          <w:highlight w:val="none"/>
        </w:rPr>
        <w:t xml:space="preserve"> </w:t>
      </w:r>
      <w:r>
        <w:rPr>
          <w:rFonts w:ascii="宋体" w:hAnsi="宋体" w:eastAsia="宋体" w:cs="宋体"/>
          <w:color w:val="auto"/>
          <w:spacing w:val="-6"/>
          <w:sz w:val="24"/>
          <w:szCs w:val="24"/>
          <w:highlight w:val="none"/>
        </w:rPr>
        <w:t>目所指的投标保证金。</w:t>
      </w:r>
    </w:p>
    <w:p w14:paraId="3C472FB8">
      <w:pPr>
        <w:spacing w:before="181" w:line="218" w:lineRule="auto"/>
        <w:ind w:left="3"/>
        <w:outlineLvl w:val="1"/>
        <w:rPr>
          <w:rFonts w:ascii="宋体" w:hAnsi="宋体" w:eastAsia="宋体" w:cs="宋体"/>
          <w:color w:val="auto"/>
          <w:sz w:val="24"/>
          <w:szCs w:val="24"/>
          <w:highlight w:val="none"/>
        </w:rPr>
      </w:pPr>
      <w:bookmarkStart w:id="118" w:name="_Toc26791"/>
      <w:bookmarkStart w:id="119" w:name="_Toc29573"/>
      <w:bookmarkStart w:id="120" w:name="_Toc17991"/>
      <w:r>
        <w:rPr>
          <w:rFonts w:ascii="宋体" w:hAnsi="宋体" w:eastAsia="宋体" w:cs="宋体"/>
          <w:b/>
          <w:bCs/>
          <w:color w:val="auto"/>
          <w:spacing w:val="-6"/>
          <w:sz w:val="24"/>
          <w:szCs w:val="24"/>
          <w:highlight w:val="none"/>
        </w:rPr>
        <w:t>3.2</w:t>
      </w:r>
      <w:r>
        <w:rPr>
          <w:rFonts w:ascii="宋体" w:hAnsi="宋体" w:eastAsia="宋体" w:cs="宋体"/>
          <w:color w:val="auto"/>
          <w:spacing w:val="16"/>
          <w:sz w:val="24"/>
          <w:szCs w:val="24"/>
          <w:highlight w:val="none"/>
        </w:rPr>
        <w:t xml:space="preserve"> </w:t>
      </w:r>
      <w:r>
        <w:rPr>
          <w:rFonts w:ascii="宋体" w:hAnsi="宋体" w:eastAsia="宋体" w:cs="宋体"/>
          <w:b/>
          <w:bCs/>
          <w:color w:val="auto"/>
          <w:spacing w:val="-6"/>
          <w:sz w:val="24"/>
          <w:szCs w:val="24"/>
          <w:highlight w:val="none"/>
        </w:rPr>
        <w:t>投标报价</w:t>
      </w:r>
      <w:bookmarkEnd w:id="118"/>
      <w:bookmarkEnd w:id="119"/>
      <w:bookmarkEnd w:id="120"/>
    </w:p>
    <w:p w14:paraId="65B1D4D3">
      <w:pPr>
        <w:spacing w:before="183" w:line="358" w:lineRule="auto"/>
        <w:ind w:firstLine="483"/>
        <w:jc w:val="both"/>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3.2.1 投标报价应包括国家规定的增值税税金，除投标人须知前附表另有规定外，</w:t>
      </w:r>
      <w:r>
        <w:rPr>
          <w:rFonts w:ascii="宋体" w:hAnsi="宋体" w:eastAsia="宋体" w:cs="宋体"/>
          <w:color w:val="auto"/>
          <w:spacing w:val="4"/>
          <w:sz w:val="24"/>
          <w:szCs w:val="24"/>
          <w:highlight w:val="none"/>
        </w:rPr>
        <w:t>增值税税金按一般计税方法计算。投标人应按第七章“投标文件格式</w:t>
      </w:r>
      <w:r>
        <w:rPr>
          <w:rFonts w:ascii="宋体" w:hAnsi="宋体" w:eastAsia="宋体" w:cs="宋体"/>
          <w:color w:val="auto"/>
          <w:spacing w:val="-83"/>
          <w:sz w:val="24"/>
          <w:szCs w:val="24"/>
          <w:highlight w:val="none"/>
        </w:rPr>
        <w:t xml:space="preserve"> </w:t>
      </w:r>
      <w:r>
        <w:rPr>
          <w:rFonts w:ascii="宋体" w:hAnsi="宋体" w:eastAsia="宋体" w:cs="宋体"/>
          <w:color w:val="auto"/>
          <w:spacing w:val="4"/>
          <w:sz w:val="24"/>
          <w:szCs w:val="24"/>
          <w:highlight w:val="none"/>
        </w:rPr>
        <w:t>”的</w:t>
      </w:r>
      <w:r>
        <w:rPr>
          <w:rFonts w:ascii="宋体" w:hAnsi="宋体" w:eastAsia="宋体" w:cs="宋体"/>
          <w:color w:val="auto"/>
          <w:spacing w:val="3"/>
          <w:sz w:val="24"/>
          <w:szCs w:val="24"/>
          <w:highlight w:val="none"/>
        </w:rPr>
        <w:t>要求在投标</w:t>
      </w:r>
      <w:r>
        <w:rPr>
          <w:rFonts w:ascii="宋体" w:hAnsi="宋体" w:eastAsia="宋体" w:cs="宋体"/>
          <w:color w:val="auto"/>
          <w:spacing w:val="-1"/>
          <w:sz w:val="24"/>
          <w:szCs w:val="24"/>
          <w:highlight w:val="none"/>
        </w:rPr>
        <w:t>函中进行报价并填写监理服务费用清单相应表格。</w:t>
      </w:r>
    </w:p>
    <w:p w14:paraId="6894211D">
      <w:pPr>
        <w:spacing w:line="358" w:lineRule="auto"/>
        <w:rPr>
          <w:rFonts w:ascii="宋体" w:hAnsi="宋体" w:eastAsia="宋体" w:cs="宋体"/>
          <w:color w:val="auto"/>
          <w:sz w:val="24"/>
          <w:szCs w:val="24"/>
          <w:highlight w:val="none"/>
        </w:rPr>
        <w:sectPr>
          <w:footerReference r:id="rId32" w:type="default"/>
          <w:pgSz w:w="11906" w:h="16839"/>
          <w:pgMar w:top="1405" w:right="1417" w:bottom="1297" w:left="1426" w:header="0" w:footer="1065" w:gutter="0"/>
          <w:pgNumType w:fmt="decimal"/>
          <w:cols w:space="720" w:num="1"/>
        </w:sectPr>
      </w:pPr>
    </w:p>
    <w:p w14:paraId="20367BD3">
      <w:pPr>
        <w:spacing w:before="48" w:line="359" w:lineRule="auto"/>
        <w:ind w:left="1" w:right="8" w:firstLine="484"/>
        <w:jc w:val="both"/>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3.2.2 投标人应充分了解本项目的总体情况以及</w:t>
      </w:r>
      <w:r>
        <w:rPr>
          <w:rFonts w:ascii="宋体" w:hAnsi="宋体" w:eastAsia="宋体" w:cs="宋体"/>
          <w:color w:val="auto"/>
          <w:spacing w:val="4"/>
          <w:sz w:val="24"/>
          <w:szCs w:val="24"/>
          <w:highlight w:val="none"/>
        </w:rPr>
        <w:t>影响投标报价的其他要素，按照</w:t>
      </w:r>
      <w:r>
        <w:rPr>
          <w:rFonts w:ascii="宋体" w:hAnsi="宋体" w:eastAsia="宋体" w:cs="宋体"/>
          <w:color w:val="auto"/>
          <w:spacing w:val="3"/>
          <w:sz w:val="24"/>
          <w:szCs w:val="24"/>
          <w:highlight w:val="none"/>
        </w:rPr>
        <w:t>招标文件规定的施工监理工作内容和计划工作量，</w:t>
      </w:r>
      <w:r>
        <w:rPr>
          <w:rFonts w:ascii="宋体" w:hAnsi="宋体" w:eastAsia="宋体" w:cs="宋体"/>
          <w:color w:val="auto"/>
          <w:spacing w:val="-50"/>
          <w:sz w:val="24"/>
          <w:szCs w:val="24"/>
          <w:highlight w:val="none"/>
        </w:rPr>
        <w:t xml:space="preserve"> </w:t>
      </w:r>
      <w:r>
        <w:rPr>
          <w:rFonts w:ascii="宋体" w:hAnsi="宋体" w:eastAsia="宋体" w:cs="宋体"/>
          <w:color w:val="auto"/>
          <w:spacing w:val="3"/>
          <w:sz w:val="24"/>
          <w:szCs w:val="24"/>
          <w:highlight w:val="none"/>
        </w:rPr>
        <w:t>自行测算监理服务费用。投标报价</w:t>
      </w:r>
      <w:r>
        <w:rPr>
          <w:rFonts w:ascii="宋体" w:hAnsi="宋体" w:eastAsia="宋体" w:cs="宋体"/>
          <w:color w:val="auto"/>
          <w:spacing w:val="5"/>
          <w:sz w:val="24"/>
          <w:szCs w:val="24"/>
          <w:highlight w:val="none"/>
        </w:rPr>
        <w:t>应涵盖投标人完成施工准备阶段、施工阶段、验收与缺陷责任期阶段监理工</w:t>
      </w:r>
      <w:r>
        <w:rPr>
          <w:rFonts w:ascii="宋体" w:hAnsi="宋体" w:eastAsia="宋体" w:cs="宋体"/>
          <w:color w:val="auto"/>
          <w:spacing w:val="4"/>
          <w:sz w:val="24"/>
          <w:szCs w:val="24"/>
          <w:highlight w:val="none"/>
        </w:rPr>
        <w:t>作所需的</w:t>
      </w:r>
      <w:r>
        <w:rPr>
          <w:rFonts w:ascii="宋体" w:hAnsi="宋体" w:eastAsia="宋体" w:cs="宋体"/>
          <w:color w:val="auto"/>
          <w:spacing w:val="-2"/>
          <w:sz w:val="24"/>
          <w:szCs w:val="24"/>
          <w:highlight w:val="none"/>
        </w:rPr>
        <w:t>全部费用。</w:t>
      </w:r>
    </w:p>
    <w:p w14:paraId="12B8E42E">
      <w:pPr>
        <w:spacing w:before="2" w:line="358" w:lineRule="auto"/>
        <w:ind w:firstLine="484"/>
        <w:jc w:val="both"/>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投标人应按照“投标文件格式</w:t>
      </w:r>
      <w:r>
        <w:rPr>
          <w:rFonts w:ascii="宋体" w:hAnsi="宋体" w:eastAsia="宋体" w:cs="宋体"/>
          <w:color w:val="auto"/>
          <w:spacing w:val="-88"/>
          <w:sz w:val="24"/>
          <w:szCs w:val="24"/>
          <w:highlight w:val="none"/>
        </w:rPr>
        <w:t xml:space="preserve"> </w:t>
      </w:r>
      <w:r>
        <w:rPr>
          <w:rFonts w:ascii="宋体" w:hAnsi="宋体" w:eastAsia="宋体" w:cs="宋体"/>
          <w:color w:val="auto"/>
          <w:spacing w:val="-3"/>
          <w:sz w:val="24"/>
          <w:szCs w:val="24"/>
          <w:highlight w:val="none"/>
        </w:rPr>
        <w:t>”中“监理服务费用清单</w:t>
      </w:r>
      <w:r>
        <w:rPr>
          <w:rFonts w:ascii="宋体" w:hAnsi="宋体" w:eastAsia="宋体" w:cs="宋体"/>
          <w:color w:val="auto"/>
          <w:spacing w:val="-89"/>
          <w:sz w:val="24"/>
          <w:szCs w:val="24"/>
          <w:highlight w:val="none"/>
        </w:rPr>
        <w:t xml:space="preserve"> </w:t>
      </w:r>
      <w:r>
        <w:rPr>
          <w:rFonts w:ascii="宋体" w:hAnsi="宋体" w:eastAsia="宋体" w:cs="宋体"/>
          <w:color w:val="auto"/>
          <w:spacing w:val="-3"/>
          <w:sz w:val="24"/>
          <w:szCs w:val="24"/>
          <w:highlight w:val="none"/>
        </w:rPr>
        <w:t>”的要</w:t>
      </w:r>
      <w:r>
        <w:rPr>
          <w:rFonts w:ascii="宋体" w:hAnsi="宋体" w:eastAsia="宋体" w:cs="宋体"/>
          <w:color w:val="auto"/>
          <w:spacing w:val="-4"/>
          <w:sz w:val="24"/>
          <w:szCs w:val="24"/>
          <w:highlight w:val="none"/>
        </w:rPr>
        <w:t>求填报监理服务费。</w:t>
      </w:r>
      <w:r>
        <w:rPr>
          <w:rFonts w:ascii="宋体" w:hAnsi="宋体" w:eastAsia="宋体" w:cs="宋体"/>
          <w:color w:val="auto"/>
          <w:spacing w:val="5"/>
          <w:sz w:val="24"/>
          <w:szCs w:val="24"/>
          <w:highlight w:val="none"/>
        </w:rPr>
        <w:t>投标人未填报的部分，在工程实施时委托人将不予支付，并认为该部分费用已包</w:t>
      </w:r>
      <w:r>
        <w:rPr>
          <w:rFonts w:ascii="宋体" w:hAnsi="宋体" w:eastAsia="宋体" w:cs="宋体"/>
          <w:color w:val="auto"/>
          <w:spacing w:val="4"/>
          <w:sz w:val="24"/>
          <w:szCs w:val="24"/>
          <w:highlight w:val="none"/>
        </w:rPr>
        <w:t>含在</w:t>
      </w:r>
      <w:r>
        <w:rPr>
          <w:rFonts w:ascii="宋体" w:hAnsi="宋体" w:eastAsia="宋体" w:cs="宋体"/>
          <w:color w:val="auto"/>
          <w:spacing w:val="-2"/>
          <w:sz w:val="24"/>
          <w:szCs w:val="24"/>
          <w:highlight w:val="none"/>
        </w:rPr>
        <w:t>报价中。</w:t>
      </w:r>
    </w:p>
    <w:p w14:paraId="76EB5DD3">
      <w:pPr>
        <w:spacing w:before="1" w:line="359" w:lineRule="auto"/>
        <w:ind w:left="2" w:right="8" w:firstLine="483"/>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3.2.3 本项目的报价方式见投标人须知前附表。</w:t>
      </w:r>
      <w:r>
        <w:rPr>
          <w:rFonts w:ascii="宋体" w:hAnsi="宋体" w:eastAsia="宋体" w:cs="宋体"/>
          <w:color w:val="auto"/>
          <w:spacing w:val="4"/>
          <w:sz w:val="24"/>
          <w:szCs w:val="24"/>
          <w:highlight w:val="none"/>
        </w:rPr>
        <w:t>投标人在投标截止时间前修改投标函中的投标报价总额，应同时修改投标文件“监理服务费用清单</w:t>
      </w:r>
      <w:r>
        <w:rPr>
          <w:rFonts w:ascii="宋体" w:hAnsi="宋体" w:eastAsia="宋体" w:cs="宋体"/>
          <w:color w:val="auto"/>
          <w:spacing w:val="-83"/>
          <w:sz w:val="24"/>
          <w:szCs w:val="24"/>
          <w:highlight w:val="none"/>
        </w:rPr>
        <w:t xml:space="preserve"> </w:t>
      </w:r>
      <w:r>
        <w:rPr>
          <w:rFonts w:ascii="宋体" w:hAnsi="宋体" w:eastAsia="宋体" w:cs="宋体"/>
          <w:color w:val="auto"/>
          <w:spacing w:val="4"/>
          <w:sz w:val="24"/>
          <w:szCs w:val="24"/>
          <w:highlight w:val="none"/>
        </w:rPr>
        <w:t>”中的</w:t>
      </w:r>
      <w:r>
        <w:rPr>
          <w:rFonts w:ascii="宋体" w:hAnsi="宋体" w:eastAsia="宋体" w:cs="宋体"/>
          <w:color w:val="auto"/>
          <w:spacing w:val="3"/>
          <w:sz w:val="24"/>
          <w:szCs w:val="24"/>
          <w:highlight w:val="none"/>
        </w:rPr>
        <w:t>相应报价。</w:t>
      </w:r>
      <w:r>
        <w:rPr>
          <w:rFonts w:ascii="宋体" w:hAnsi="宋体" w:eastAsia="宋体" w:cs="宋体"/>
          <w:color w:val="auto"/>
          <w:spacing w:val="2"/>
          <w:sz w:val="24"/>
          <w:szCs w:val="24"/>
          <w:highlight w:val="none"/>
        </w:rPr>
        <w:t>此修改须符合本章第4.3</w:t>
      </w:r>
      <w:r>
        <w:rPr>
          <w:rFonts w:ascii="宋体" w:hAnsi="宋体" w:eastAsia="宋体" w:cs="宋体"/>
          <w:color w:val="auto"/>
          <w:spacing w:val="-50"/>
          <w:sz w:val="24"/>
          <w:szCs w:val="24"/>
          <w:highlight w:val="none"/>
        </w:rPr>
        <w:t xml:space="preserve"> </w:t>
      </w:r>
      <w:r>
        <w:rPr>
          <w:rFonts w:ascii="宋体" w:hAnsi="宋体" w:eastAsia="宋体" w:cs="宋体"/>
          <w:color w:val="auto"/>
          <w:spacing w:val="2"/>
          <w:sz w:val="24"/>
          <w:szCs w:val="24"/>
          <w:highlight w:val="none"/>
        </w:rPr>
        <w:t>款的有关要求。</w:t>
      </w:r>
    </w:p>
    <w:p w14:paraId="2AF41066">
      <w:pPr>
        <w:spacing w:line="288" w:lineRule="auto"/>
        <w:ind w:left="4" w:right="66" w:firstLine="481"/>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3.2.4 招标人设有最高投标限价的，投标人的投标报价不得超过最高投标限价，</w:t>
      </w:r>
      <w:r>
        <w:rPr>
          <w:rFonts w:ascii="宋体" w:hAnsi="宋体" w:eastAsia="宋体" w:cs="宋体"/>
          <w:color w:val="auto"/>
          <w:spacing w:val="-1"/>
          <w:sz w:val="24"/>
          <w:szCs w:val="24"/>
          <w:highlight w:val="none"/>
        </w:rPr>
        <w:t>最高投标限价在投标人须知前附表中载明。</w:t>
      </w:r>
    </w:p>
    <w:p w14:paraId="588CF3CB">
      <w:pPr>
        <w:spacing w:before="184" w:line="218" w:lineRule="auto"/>
        <w:ind w:left="486"/>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3.2.5 投标报价的其他要求见投标人须知前附表。</w:t>
      </w:r>
    </w:p>
    <w:p w14:paraId="70BECF8F">
      <w:pPr>
        <w:spacing w:before="185" w:line="220" w:lineRule="auto"/>
        <w:ind w:left="6"/>
        <w:outlineLvl w:val="1"/>
        <w:rPr>
          <w:rFonts w:ascii="宋体" w:hAnsi="宋体" w:eastAsia="宋体" w:cs="宋体"/>
          <w:color w:val="auto"/>
          <w:sz w:val="24"/>
          <w:szCs w:val="24"/>
          <w:highlight w:val="none"/>
        </w:rPr>
      </w:pPr>
      <w:bookmarkStart w:id="121" w:name="_Toc18498"/>
      <w:bookmarkStart w:id="122" w:name="_Toc25506"/>
      <w:bookmarkStart w:id="123" w:name="_Toc23397"/>
      <w:r>
        <w:rPr>
          <w:rFonts w:ascii="宋体" w:hAnsi="宋体" w:eastAsia="宋体" w:cs="宋体"/>
          <w:b/>
          <w:bCs/>
          <w:color w:val="auto"/>
          <w:spacing w:val="-5"/>
          <w:sz w:val="24"/>
          <w:szCs w:val="24"/>
          <w:highlight w:val="none"/>
        </w:rPr>
        <w:t>3.3</w:t>
      </w:r>
      <w:r>
        <w:rPr>
          <w:rFonts w:ascii="宋体" w:hAnsi="宋体" w:eastAsia="宋体" w:cs="宋体"/>
          <w:color w:val="auto"/>
          <w:spacing w:val="14"/>
          <w:sz w:val="24"/>
          <w:szCs w:val="24"/>
          <w:highlight w:val="none"/>
        </w:rPr>
        <w:t xml:space="preserve"> </w:t>
      </w:r>
      <w:r>
        <w:rPr>
          <w:rFonts w:ascii="宋体" w:hAnsi="宋体" w:eastAsia="宋体" w:cs="宋体"/>
          <w:b/>
          <w:bCs/>
          <w:color w:val="auto"/>
          <w:spacing w:val="-5"/>
          <w:sz w:val="24"/>
          <w:szCs w:val="24"/>
          <w:highlight w:val="none"/>
        </w:rPr>
        <w:t>投标有效期</w:t>
      </w:r>
      <w:bookmarkEnd w:id="121"/>
      <w:bookmarkEnd w:id="122"/>
      <w:bookmarkEnd w:id="123"/>
    </w:p>
    <w:p w14:paraId="08FFF43C">
      <w:pPr>
        <w:spacing w:before="179" w:line="219" w:lineRule="auto"/>
        <w:ind w:left="486"/>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3.3.1 除投标人须知前附表另有规定外，投标有效期为90</w:t>
      </w:r>
      <w:r>
        <w:rPr>
          <w:rFonts w:ascii="宋体" w:hAnsi="宋体" w:eastAsia="宋体" w:cs="宋体"/>
          <w:color w:val="auto"/>
          <w:spacing w:val="-46"/>
          <w:sz w:val="24"/>
          <w:szCs w:val="24"/>
          <w:highlight w:val="none"/>
        </w:rPr>
        <w:t xml:space="preserve"> </w:t>
      </w:r>
      <w:r>
        <w:rPr>
          <w:rFonts w:ascii="宋体" w:hAnsi="宋体" w:eastAsia="宋体" w:cs="宋体"/>
          <w:color w:val="auto"/>
          <w:spacing w:val="1"/>
          <w:sz w:val="24"/>
          <w:szCs w:val="24"/>
          <w:highlight w:val="none"/>
        </w:rPr>
        <w:t>天。</w:t>
      </w:r>
    </w:p>
    <w:p w14:paraId="31BB9247">
      <w:pPr>
        <w:spacing w:before="183" w:line="289" w:lineRule="auto"/>
        <w:ind w:left="10" w:right="8" w:firstLine="476"/>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3.3.2 在投标有效期内，投标人撤销投标文件的</w:t>
      </w:r>
      <w:r>
        <w:rPr>
          <w:rFonts w:ascii="宋体" w:hAnsi="宋体" w:eastAsia="宋体" w:cs="宋体"/>
          <w:color w:val="auto"/>
          <w:spacing w:val="4"/>
          <w:sz w:val="24"/>
          <w:szCs w:val="24"/>
          <w:highlight w:val="none"/>
        </w:rPr>
        <w:t>，应承担招标文件和法律规定的</w:t>
      </w:r>
      <w:r>
        <w:rPr>
          <w:rFonts w:ascii="宋体" w:hAnsi="宋体" w:eastAsia="宋体" w:cs="宋体"/>
          <w:color w:val="auto"/>
          <w:spacing w:val="-6"/>
          <w:sz w:val="24"/>
          <w:szCs w:val="24"/>
          <w:highlight w:val="none"/>
        </w:rPr>
        <w:t>责任。</w:t>
      </w:r>
    </w:p>
    <w:p w14:paraId="583897B9">
      <w:pPr>
        <w:spacing w:before="180" w:line="332" w:lineRule="auto"/>
        <w:ind w:left="2" w:right="8" w:firstLine="483"/>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3.3.3</w:t>
      </w:r>
      <w:r>
        <w:rPr>
          <w:rFonts w:ascii="宋体" w:hAnsi="宋体" w:eastAsia="宋体" w:cs="宋体"/>
          <w:color w:val="auto"/>
          <w:spacing w:val="37"/>
          <w:sz w:val="24"/>
          <w:szCs w:val="24"/>
          <w:highlight w:val="none"/>
        </w:rPr>
        <w:t xml:space="preserve"> </w:t>
      </w:r>
      <w:r>
        <w:rPr>
          <w:rFonts w:ascii="宋体" w:hAnsi="宋体" w:eastAsia="宋体" w:cs="宋体"/>
          <w:color w:val="auto"/>
          <w:spacing w:val="4"/>
          <w:sz w:val="24"/>
          <w:szCs w:val="24"/>
          <w:highlight w:val="none"/>
        </w:rPr>
        <w:t>出现特殊情况需要延长投标有效期的，招标人以书面</w:t>
      </w:r>
      <w:r>
        <w:rPr>
          <w:rFonts w:ascii="宋体" w:hAnsi="宋体" w:eastAsia="宋体" w:cs="宋体"/>
          <w:color w:val="auto"/>
          <w:spacing w:val="3"/>
          <w:sz w:val="24"/>
          <w:szCs w:val="24"/>
          <w:highlight w:val="none"/>
        </w:rPr>
        <w:t>形式通知所有投标人</w:t>
      </w:r>
      <w:r>
        <w:rPr>
          <w:rFonts w:ascii="宋体" w:hAnsi="宋体" w:eastAsia="宋体" w:cs="宋体"/>
          <w:color w:val="auto"/>
          <w:spacing w:val="5"/>
          <w:sz w:val="24"/>
          <w:szCs w:val="24"/>
          <w:highlight w:val="none"/>
        </w:rPr>
        <w:t>延长投标有效期。投标人应予以书面答复，同意延长的，应相应延长其投</w:t>
      </w:r>
      <w:r>
        <w:rPr>
          <w:rFonts w:ascii="宋体" w:hAnsi="宋体" w:eastAsia="宋体" w:cs="宋体"/>
          <w:color w:val="auto"/>
          <w:spacing w:val="4"/>
          <w:sz w:val="24"/>
          <w:szCs w:val="24"/>
          <w:highlight w:val="none"/>
        </w:rPr>
        <w:t>标保证金的</w:t>
      </w:r>
      <w:r>
        <w:rPr>
          <w:rFonts w:ascii="宋体" w:hAnsi="宋体" w:eastAsia="宋体" w:cs="宋体"/>
          <w:color w:val="auto"/>
          <w:spacing w:val="5"/>
          <w:sz w:val="24"/>
          <w:szCs w:val="24"/>
          <w:highlight w:val="none"/>
        </w:rPr>
        <w:t>有效期，但不得要求或被允许修改其投标文件；投标人拒绝延长的，其投</w:t>
      </w:r>
      <w:r>
        <w:rPr>
          <w:rFonts w:ascii="宋体" w:hAnsi="宋体" w:eastAsia="宋体" w:cs="宋体"/>
          <w:color w:val="auto"/>
          <w:spacing w:val="4"/>
          <w:sz w:val="24"/>
          <w:szCs w:val="24"/>
          <w:highlight w:val="none"/>
        </w:rPr>
        <w:t>标失效，但</w:t>
      </w:r>
      <w:r>
        <w:rPr>
          <w:rFonts w:ascii="宋体" w:hAnsi="宋体" w:eastAsia="宋体" w:cs="宋体"/>
          <w:color w:val="auto"/>
          <w:spacing w:val="5"/>
          <w:sz w:val="24"/>
          <w:szCs w:val="24"/>
          <w:highlight w:val="none"/>
        </w:rPr>
        <w:t>投标人有权收回其投标保证金及以现金或支票形式递交的投标保证金的银</w:t>
      </w:r>
      <w:r>
        <w:rPr>
          <w:rFonts w:ascii="宋体" w:hAnsi="宋体" w:eastAsia="宋体" w:cs="宋体"/>
          <w:color w:val="auto"/>
          <w:spacing w:val="4"/>
          <w:sz w:val="24"/>
          <w:szCs w:val="24"/>
          <w:highlight w:val="none"/>
        </w:rPr>
        <w:t>行同期存款</w:t>
      </w:r>
      <w:r>
        <w:rPr>
          <w:rFonts w:ascii="宋体" w:hAnsi="宋体" w:eastAsia="宋体" w:cs="宋体"/>
          <w:color w:val="auto"/>
          <w:spacing w:val="-4"/>
          <w:sz w:val="24"/>
          <w:szCs w:val="24"/>
          <w:highlight w:val="none"/>
        </w:rPr>
        <w:t>利息。</w:t>
      </w:r>
    </w:p>
    <w:p w14:paraId="27FB168D">
      <w:pPr>
        <w:spacing w:before="178" w:line="220" w:lineRule="auto"/>
        <w:ind w:left="6"/>
        <w:outlineLvl w:val="1"/>
        <w:rPr>
          <w:rFonts w:ascii="宋体" w:hAnsi="宋体" w:eastAsia="宋体" w:cs="宋体"/>
          <w:color w:val="auto"/>
          <w:sz w:val="24"/>
          <w:szCs w:val="24"/>
          <w:highlight w:val="none"/>
        </w:rPr>
      </w:pPr>
      <w:bookmarkStart w:id="124" w:name="_Toc5003"/>
      <w:bookmarkStart w:id="125" w:name="_Toc16361"/>
      <w:bookmarkStart w:id="126" w:name="_Toc2595"/>
      <w:r>
        <w:rPr>
          <w:rFonts w:ascii="宋体" w:hAnsi="宋体" w:eastAsia="宋体" w:cs="宋体"/>
          <w:b/>
          <w:bCs/>
          <w:color w:val="auto"/>
          <w:spacing w:val="-5"/>
          <w:sz w:val="24"/>
          <w:szCs w:val="24"/>
          <w:highlight w:val="none"/>
        </w:rPr>
        <w:t>3.4</w:t>
      </w:r>
      <w:r>
        <w:rPr>
          <w:rFonts w:ascii="宋体" w:hAnsi="宋体" w:eastAsia="宋体" w:cs="宋体"/>
          <w:color w:val="auto"/>
          <w:spacing w:val="14"/>
          <w:sz w:val="24"/>
          <w:szCs w:val="24"/>
          <w:highlight w:val="none"/>
        </w:rPr>
        <w:t xml:space="preserve"> </w:t>
      </w:r>
      <w:r>
        <w:rPr>
          <w:rFonts w:ascii="宋体" w:hAnsi="宋体" w:eastAsia="宋体" w:cs="宋体"/>
          <w:b/>
          <w:bCs/>
          <w:color w:val="auto"/>
          <w:spacing w:val="-5"/>
          <w:sz w:val="24"/>
          <w:szCs w:val="24"/>
          <w:highlight w:val="none"/>
        </w:rPr>
        <w:t>投标保证金</w:t>
      </w:r>
      <w:bookmarkEnd w:id="124"/>
      <w:bookmarkEnd w:id="125"/>
      <w:bookmarkEnd w:id="126"/>
    </w:p>
    <w:p w14:paraId="75FBEACA">
      <w:pPr>
        <w:spacing w:before="182" w:line="359" w:lineRule="auto"/>
        <w:ind w:left="2" w:right="8" w:firstLine="483"/>
        <w:jc w:val="both"/>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3.4.1 投标人在递交投标文件的同时，应按投标</w:t>
      </w:r>
      <w:r>
        <w:rPr>
          <w:rFonts w:ascii="宋体" w:hAnsi="宋体" w:eastAsia="宋体" w:cs="宋体"/>
          <w:color w:val="auto"/>
          <w:spacing w:val="4"/>
          <w:sz w:val="24"/>
          <w:szCs w:val="24"/>
          <w:highlight w:val="none"/>
        </w:rPr>
        <w:t>人须知前附表规定的金额和第七章“投标文件格式</w:t>
      </w:r>
      <w:r>
        <w:rPr>
          <w:rFonts w:ascii="宋体" w:hAnsi="宋体" w:eastAsia="宋体" w:cs="宋体"/>
          <w:color w:val="auto"/>
          <w:spacing w:val="-83"/>
          <w:sz w:val="24"/>
          <w:szCs w:val="24"/>
          <w:highlight w:val="none"/>
        </w:rPr>
        <w:t xml:space="preserve"> </w:t>
      </w:r>
      <w:r>
        <w:rPr>
          <w:rFonts w:ascii="宋体" w:hAnsi="宋体" w:eastAsia="宋体" w:cs="宋体"/>
          <w:color w:val="auto"/>
          <w:spacing w:val="4"/>
          <w:sz w:val="24"/>
          <w:szCs w:val="24"/>
          <w:highlight w:val="none"/>
        </w:rPr>
        <w:t>”规定的投标保证金格式递交投标保证金，并作为其投</w:t>
      </w:r>
      <w:r>
        <w:rPr>
          <w:rFonts w:ascii="宋体" w:hAnsi="宋体" w:eastAsia="宋体" w:cs="宋体"/>
          <w:color w:val="auto"/>
          <w:spacing w:val="3"/>
          <w:sz w:val="24"/>
          <w:szCs w:val="24"/>
          <w:highlight w:val="none"/>
        </w:rPr>
        <w:t>标文件的组</w:t>
      </w:r>
      <w:r>
        <w:rPr>
          <w:rFonts w:ascii="宋体" w:hAnsi="宋体" w:eastAsia="宋体" w:cs="宋体"/>
          <w:color w:val="auto"/>
          <w:spacing w:val="5"/>
          <w:sz w:val="24"/>
          <w:szCs w:val="24"/>
          <w:highlight w:val="none"/>
        </w:rPr>
        <w:t>成部分。联合体投标的，其投标保证金由牵头人递交，并应符合投标人须</w:t>
      </w:r>
      <w:r>
        <w:rPr>
          <w:rFonts w:ascii="宋体" w:hAnsi="宋体" w:eastAsia="宋体" w:cs="宋体"/>
          <w:color w:val="auto"/>
          <w:spacing w:val="4"/>
          <w:sz w:val="24"/>
          <w:szCs w:val="24"/>
          <w:highlight w:val="none"/>
        </w:rPr>
        <w:t>知前附表的</w:t>
      </w:r>
      <w:r>
        <w:rPr>
          <w:rFonts w:ascii="宋体" w:hAnsi="宋体" w:eastAsia="宋体" w:cs="宋体"/>
          <w:color w:val="auto"/>
          <w:spacing w:val="-4"/>
          <w:sz w:val="24"/>
          <w:szCs w:val="24"/>
          <w:highlight w:val="none"/>
        </w:rPr>
        <w:t>规定。</w:t>
      </w:r>
    </w:p>
    <w:p w14:paraId="61315682">
      <w:pPr>
        <w:spacing w:line="359" w:lineRule="auto"/>
        <w:ind w:left="1" w:right="8" w:firstLine="482"/>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投标保证金应采用现金、支票、银行保函或招标人在投标人须知前附表规定的其</w:t>
      </w:r>
      <w:r>
        <w:rPr>
          <w:rFonts w:ascii="宋体" w:hAnsi="宋体" w:eastAsia="宋体" w:cs="宋体"/>
          <w:color w:val="auto"/>
          <w:spacing w:val="-3"/>
          <w:sz w:val="24"/>
          <w:szCs w:val="24"/>
          <w:highlight w:val="none"/>
        </w:rPr>
        <w:t>他形式。</w:t>
      </w:r>
    </w:p>
    <w:p w14:paraId="6CD8F635">
      <w:pPr>
        <w:spacing w:before="1" w:line="218" w:lineRule="auto"/>
        <w:ind w:right="8"/>
        <w:jc w:val="right"/>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（1）若采用现金或支票，投标人应在递交投标文件截止时间之前，将投标保证金</w:t>
      </w:r>
    </w:p>
    <w:p w14:paraId="4B6DEB01">
      <w:pPr>
        <w:spacing w:line="218" w:lineRule="auto"/>
        <w:rPr>
          <w:rFonts w:ascii="宋体" w:hAnsi="宋体" w:eastAsia="宋体" w:cs="宋体"/>
          <w:color w:val="auto"/>
          <w:sz w:val="24"/>
          <w:szCs w:val="24"/>
          <w:highlight w:val="none"/>
        </w:rPr>
        <w:sectPr>
          <w:footerReference r:id="rId33" w:type="default"/>
          <w:pgSz w:w="11906" w:h="16839"/>
          <w:pgMar w:top="1405" w:right="1409" w:bottom="1297" w:left="1423" w:header="0" w:footer="1065" w:gutter="0"/>
          <w:pgNumType w:fmt="decimal"/>
          <w:cols w:space="720" w:num="1"/>
        </w:sectPr>
      </w:pPr>
    </w:p>
    <w:p w14:paraId="5052DC3C">
      <w:pPr>
        <w:spacing w:before="48" w:line="359" w:lineRule="auto"/>
        <w:ind w:left="9" w:right="8" w:firstLine="28"/>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由投标人的基本账户转入招标人指定账户，否则视为投标保证金无效。招标人指定的</w:t>
      </w:r>
      <w:r>
        <w:rPr>
          <w:rFonts w:ascii="宋体" w:hAnsi="宋体" w:eastAsia="宋体" w:cs="宋体"/>
          <w:color w:val="auto"/>
          <w:spacing w:val="-1"/>
          <w:sz w:val="24"/>
          <w:szCs w:val="24"/>
          <w:highlight w:val="none"/>
        </w:rPr>
        <w:t>开户银行及账号见投标人须知前附表。</w:t>
      </w:r>
    </w:p>
    <w:p w14:paraId="768322A4">
      <w:pPr>
        <w:spacing w:line="359" w:lineRule="auto"/>
        <w:ind w:left="10" w:right="8" w:firstLine="489"/>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（2）若采用银行保函，则应由符合投标人须知前附表规定级别的银行开具，并采</w:t>
      </w:r>
      <w:r>
        <w:rPr>
          <w:rFonts w:ascii="宋体" w:hAnsi="宋体" w:eastAsia="宋体" w:cs="宋体"/>
          <w:color w:val="auto"/>
          <w:spacing w:val="-1"/>
          <w:sz w:val="24"/>
          <w:szCs w:val="24"/>
          <w:highlight w:val="none"/>
        </w:rPr>
        <w:t>用招标文件提供的格式。银行保函扫描件装订在投标文件内。</w:t>
      </w:r>
    </w:p>
    <w:p w14:paraId="2EB8F23E">
      <w:pPr>
        <w:spacing w:before="2" w:line="358" w:lineRule="auto"/>
        <w:ind w:left="9" w:right="8" w:firstLine="480"/>
        <w:jc w:val="both"/>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无论采取何种形式的投标保证金，投标保证金有效期均应与投标有效期一致。招</w:t>
      </w:r>
      <w:r>
        <w:rPr>
          <w:rFonts w:ascii="宋体" w:hAnsi="宋体" w:eastAsia="宋体" w:cs="宋体"/>
          <w:color w:val="auto"/>
          <w:spacing w:val="4"/>
          <w:sz w:val="24"/>
          <w:szCs w:val="24"/>
          <w:highlight w:val="none"/>
        </w:rPr>
        <w:t>标人如果按本章第</w:t>
      </w:r>
      <w:r>
        <w:rPr>
          <w:rFonts w:ascii="宋体" w:hAnsi="宋体" w:eastAsia="宋体" w:cs="宋体"/>
          <w:color w:val="auto"/>
          <w:spacing w:val="-39"/>
          <w:sz w:val="24"/>
          <w:szCs w:val="24"/>
          <w:highlight w:val="none"/>
        </w:rPr>
        <w:t xml:space="preserve"> </w:t>
      </w:r>
      <w:r>
        <w:rPr>
          <w:rFonts w:ascii="宋体" w:hAnsi="宋体" w:eastAsia="宋体" w:cs="宋体"/>
          <w:color w:val="auto"/>
          <w:spacing w:val="4"/>
          <w:sz w:val="24"/>
          <w:szCs w:val="24"/>
          <w:highlight w:val="none"/>
        </w:rPr>
        <w:t>3.3.3</w:t>
      </w:r>
      <w:r>
        <w:rPr>
          <w:rFonts w:ascii="宋体" w:hAnsi="宋体" w:eastAsia="宋体" w:cs="宋体"/>
          <w:color w:val="auto"/>
          <w:spacing w:val="-42"/>
          <w:sz w:val="24"/>
          <w:szCs w:val="24"/>
          <w:highlight w:val="none"/>
        </w:rPr>
        <w:t xml:space="preserve"> </w:t>
      </w:r>
      <w:r>
        <w:rPr>
          <w:rFonts w:ascii="宋体" w:hAnsi="宋体" w:eastAsia="宋体" w:cs="宋体"/>
          <w:color w:val="auto"/>
          <w:spacing w:val="4"/>
          <w:sz w:val="24"/>
          <w:szCs w:val="24"/>
          <w:highlight w:val="none"/>
        </w:rPr>
        <w:t>项的规定延长了投标有效</w:t>
      </w:r>
      <w:r>
        <w:rPr>
          <w:rFonts w:ascii="宋体" w:hAnsi="宋体" w:eastAsia="宋体" w:cs="宋体"/>
          <w:color w:val="auto"/>
          <w:spacing w:val="3"/>
          <w:sz w:val="24"/>
          <w:szCs w:val="24"/>
          <w:highlight w:val="none"/>
        </w:rPr>
        <w:t>期，则投标保证金的有效期也相应</w:t>
      </w:r>
      <w:r>
        <w:rPr>
          <w:rFonts w:ascii="宋体" w:hAnsi="宋体" w:eastAsia="宋体" w:cs="宋体"/>
          <w:color w:val="auto"/>
          <w:spacing w:val="-4"/>
          <w:sz w:val="24"/>
          <w:szCs w:val="24"/>
          <w:highlight w:val="none"/>
        </w:rPr>
        <w:t>延长。</w:t>
      </w:r>
    </w:p>
    <w:p w14:paraId="63535794">
      <w:pPr>
        <w:spacing w:line="290" w:lineRule="auto"/>
        <w:ind w:left="11" w:right="8" w:firstLine="481"/>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3.4.2 投标人不按本章第</w:t>
      </w:r>
      <w:r>
        <w:rPr>
          <w:rFonts w:ascii="宋体" w:hAnsi="宋体" w:eastAsia="宋体" w:cs="宋体"/>
          <w:color w:val="auto"/>
          <w:spacing w:val="-24"/>
          <w:sz w:val="24"/>
          <w:szCs w:val="24"/>
          <w:highlight w:val="none"/>
        </w:rPr>
        <w:t xml:space="preserve"> </w:t>
      </w:r>
      <w:r>
        <w:rPr>
          <w:rFonts w:ascii="宋体" w:hAnsi="宋体" w:eastAsia="宋体" w:cs="宋体"/>
          <w:color w:val="auto"/>
          <w:spacing w:val="3"/>
          <w:sz w:val="24"/>
          <w:szCs w:val="24"/>
          <w:highlight w:val="none"/>
        </w:rPr>
        <w:t>3.4.1</w:t>
      </w:r>
      <w:r>
        <w:rPr>
          <w:rFonts w:ascii="宋体" w:hAnsi="宋体" w:eastAsia="宋体" w:cs="宋体"/>
          <w:color w:val="auto"/>
          <w:spacing w:val="-40"/>
          <w:sz w:val="24"/>
          <w:szCs w:val="24"/>
          <w:highlight w:val="none"/>
        </w:rPr>
        <w:t xml:space="preserve"> </w:t>
      </w:r>
      <w:r>
        <w:rPr>
          <w:rFonts w:ascii="宋体" w:hAnsi="宋体" w:eastAsia="宋体" w:cs="宋体"/>
          <w:color w:val="auto"/>
          <w:spacing w:val="3"/>
          <w:sz w:val="24"/>
          <w:szCs w:val="24"/>
          <w:highlight w:val="none"/>
        </w:rPr>
        <w:t>项要求提交投标保证金的，评标委员会将否决其</w:t>
      </w:r>
      <w:r>
        <w:rPr>
          <w:rFonts w:ascii="宋体" w:hAnsi="宋体" w:eastAsia="宋体" w:cs="宋体"/>
          <w:color w:val="auto"/>
          <w:spacing w:val="-5"/>
          <w:sz w:val="24"/>
          <w:szCs w:val="24"/>
          <w:highlight w:val="none"/>
        </w:rPr>
        <w:t>投标。</w:t>
      </w:r>
    </w:p>
    <w:p w14:paraId="231E4CE2">
      <w:pPr>
        <w:spacing w:before="178" w:line="336" w:lineRule="auto"/>
        <w:ind w:left="9" w:firstLine="483"/>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3.4.3 根据《广东省实施&lt;中华人民共和国招标投标法&gt;办</w:t>
      </w:r>
      <w:r>
        <w:rPr>
          <w:rFonts w:ascii="宋体" w:hAnsi="宋体" w:eastAsia="宋体" w:cs="宋体"/>
          <w:color w:val="auto"/>
          <w:spacing w:val="4"/>
          <w:sz w:val="24"/>
          <w:szCs w:val="24"/>
          <w:highlight w:val="none"/>
        </w:rPr>
        <w:t>法》第二十五条规定，</w:t>
      </w:r>
      <w:r>
        <w:rPr>
          <w:rFonts w:ascii="宋体" w:hAnsi="宋体" w:eastAsia="宋体" w:cs="宋体"/>
          <w:color w:val="auto"/>
          <w:spacing w:val="5"/>
          <w:sz w:val="24"/>
          <w:szCs w:val="24"/>
          <w:highlight w:val="none"/>
        </w:rPr>
        <w:t>招标人应当在中标通知书发出之日起五日内将投标保证金退回中标候选人</w:t>
      </w:r>
      <w:r>
        <w:rPr>
          <w:rFonts w:ascii="宋体" w:hAnsi="宋体" w:eastAsia="宋体" w:cs="宋体"/>
          <w:color w:val="auto"/>
          <w:spacing w:val="4"/>
          <w:sz w:val="24"/>
          <w:szCs w:val="24"/>
          <w:highlight w:val="none"/>
        </w:rPr>
        <w:t>以外的投标</w:t>
      </w:r>
      <w:r>
        <w:rPr>
          <w:rFonts w:ascii="宋体" w:hAnsi="宋体" w:eastAsia="宋体" w:cs="宋体"/>
          <w:color w:val="auto"/>
          <w:spacing w:val="-1"/>
          <w:sz w:val="24"/>
          <w:szCs w:val="24"/>
          <w:highlight w:val="none"/>
        </w:rPr>
        <w:t>人，在书面合同订立之日起五日内将投标保证金退回中</w:t>
      </w:r>
      <w:r>
        <w:rPr>
          <w:rFonts w:ascii="宋体" w:hAnsi="宋体" w:eastAsia="宋体" w:cs="宋体"/>
          <w:color w:val="auto"/>
          <w:spacing w:val="-2"/>
          <w:sz w:val="24"/>
          <w:szCs w:val="24"/>
          <w:highlight w:val="none"/>
        </w:rPr>
        <w:t>标人和其他中标候选人。法律、</w:t>
      </w:r>
      <w:r>
        <w:rPr>
          <w:rFonts w:ascii="宋体" w:hAnsi="宋体" w:eastAsia="宋体" w:cs="宋体"/>
          <w:color w:val="auto"/>
          <w:spacing w:val="5"/>
          <w:sz w:val="24"/>
          <w:szCs w:val="24"/>
          <w:highlight w:val="none"/>
        </w:rPr>
        <w:t>行政法规规定不予退还或者可以不退还投标保证金的，从其规定。投标保</w:t>
      </w:r>
      <w:r>
        <w:rPr>
          <w:rFonts w:ascii="宋体" w:hAnsi="宋体" w:eastAsia="宋体" w:cs="宋体"/>
          <w:color w:val="auto"/>
          <w:spacing w:val="4"/>
          <w:sz w:val="24"/>
          <w:szCs w:val="24"/>
          <w:highlight w:val="none"/>
        </w:rPr>
        <w:t>证金以现金</w:t>
      </w:r>
      <w:r>
        <w:rPr>
          <w:rFonts w:ascii="宋体" w:hAnsi="宋体" w:eastAsia="宋体" w:cs="宋体"/>
          <w:color w:val="auto"/>
          <w:spacing w:val="5"/>
          <w:sz w:val="24"/>
          <w:szCs w:val="24"/>
          <w:highlight w:val="none"/>
        </w:rPr>
        <w:t>或支票形式递交的，招标人应同时退还投标保证金的银行同期活期存款利</w:t>
      </w:r>
      <w:r>
        <w:rPr>
          <w:rFonts w:ascii="宋体" w:hAnsi="宋体" w:eastAsia="宋体" w:cs="宋体"/>
          <w:color w:val="auto"/>
          <w:spacing w:val="4"/>
          <w:sz w:val="24"/>
          <w:szCs w:val="24"/>
          <w:highlight w:val="none"/>
        </w:rPr>
        <w:t>息，且退还</w:t>
      </w:r>
      <w:r>
        <w:rPr>
          <w:rFonts w:ascii="宋体" w:hAnsi="宋体" w:eastAsia="宋体" w:cs="宋体"/>
          <w:color w:val="auto"/>
          <w:spacing w:val="-2"/>
          <w:sz w:val="24"/>
          <w:szCs w:val="24"/>
          <w:highlight w:val="none"/>
        </w:rPr>
        <w:t>至投标人的基本账户。</w:t>
      </w:r>
    </w:p>
    <w:p w14:paraId="59E2125D">
      <w:pPr>
        <w:spacing w:before="183" w:line="219" w:lineRule="auto"/>
        <w:ind w:left="489"/>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利息计算原则见投标人须知前附表。</w:t>
      </w:r>
    </w:p>
    <w:p w14:paraId="5E9F2F40">
      <w:pPr>
        <w:spacing w:before="181" w:line="219" w:lineRule="auto"/>
        <w:ind w:left="493"/>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3.4.4 有下列情形之一的，投标保证金将不予退还：</w:t>
      </w:r>
    </w:p>
    <w:p w14:paraId="170CB682">
      <w:pPr>
        <w:spacing w:before="181" w:line="219" w:lineRule="auto"/>
        <w:ind w:left="499"/>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（1）投标人在投标有效期内撤销投标文件；</w:t>
      </w:r>
    </w:p>
    <w:p w14:paraId="4EC243D4">
      <w:pPr>
        <w:spacing w:before="184" w:line="289" w:lineRule="auto"/>
        <w:ind w:left="19" w:right="8" w:firstLine="480"/>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（2）中标人在收到中标通知书后，无正当理由不与招标人订立合同，在签订合同</w:t>
      </w:r>
      <w:r>
        <w:rPr>
          <w:rFonts w:ascii="宋体" w:hAnsi="宋体" w:eastAsia="宋体" w:cs="宋体"/>
          <w:color w:val="auto"/>
          <w:spacing w:val="-1"/>
          <w:sz w:val="24"/>
          <w:szCs w:val="24"/>
          <w:highlight w:val="none"/>
        </w:rPr>
        <w:t>时向招标人提出附加条件，或不按照招标文件要求提交履约保证金；</w:t>
      </w:r>
    </w:p>
    <w:p w14:paraId="319E7311">
      <w:pPr>
        <w:spacing w:before="181" w:line="219" w:lineRule="auto"/>
        <w:ind w:left="499"/>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（3）发生投标人须知前附表规定的其他可以不予退还投标保证金的情形。</w:t>
      </w:r>
    </w:p>
    <w:p w14:paraId="00FF8D59">
      <w:pPr>
        <w:spacing w:before="184" w:line="219" w:lineRule="auto"/>
        <w:ind w:left="13"/>
        <w:outlineLvl w:val="1"/>
        <w:rPr>
          <w:rFonts w:ascii="宋体" w:hAnsi="宋体" w:eastAsia="宋体" w:cs="宋体"/>
          <w:color w:val="auto"/>
          <w:sz w:val="24"/>
          <w:szCs w:val="24"/>
          <w:highlight w:val="none"/>
        </w:rPr>
      </w:pPr>
      <w:bookmarkStart w:id="127" w:name="_Toc2768"/>
      <w:bookmarkStart w:id="128" w:name="_Toc25241"/>
      <w:bookmarkStart w:id="129" w:name="_Toc5220"/>
      <w:r>
        <w:rPr>
          <w:rFonts w:ascii="宋体" w:hAnsi="宋体" w:eastAsia="宋体" w:cs="宋体"/>
          <w:b/>
          <w:bCs/>
          <w:color w:val="auto"/>
          <w:spacing w:val="-6"/>
          <w:sz w:val="24"/>
          <w:szCs w:val="24"/>
          <w:highlight w:val="none"/>
        </w:rPr>
        <w:t>3.5</w:t>
      </w:r>
      <w:r>
        <w:rPr>
          <w:rFonts w:ascii="宋体" w:hAnsi="宋体" w:eastAsia="宋体" w:cs="宋体"/>
          <w:color w:val="auto"/>
          <w:spacing w:val="25"/>
          <w:sz w:val="24"/>
          <w:szCs w:val="24"/>
          <w:highlight w:val="none"/>
        </w:rPr>
        <w:t xml:space="preserve"> </w:t>
      </w:r>
      <w:r>
        <w:rPr>
          <w:rFonts w:ascii="宋体" w:hAnsi="宋体" w:eastAsia="宋体" w:cs="宋体"/>
          <w:b/>
          <w:bCs/>
          <w:color w:val="auto"/>
          <w:spacing w:val="-6"/>
          <w:sz w:val="24"/>
          <w:szCs w:val="24"/>
          <w:highlight w:val="none"/>
        </w:rPr>
        <w:t>资格审查资料</w:t>
      </w:r>
      <w:bookmarkEnd w:id="127"/>
      <w:bookmarkEnd w:id="128"/>
      <w:bookmarkEnd w:id="129"/>
    </w:p>
    <w:p w14:paraId="7616A5C0">
      <w:pPr>
        <w:spacing w:before="180" w:line="360" w:lineRule="auto"/>
        <w:ind w:left="30" w:right="8" w:firstLine="471"/>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除投标人须知前附表另有规定外，投标人应按下列规定提供资</w:t>
      </w:r>
      <w:r>
        <w:rPr>
          <w:rFonts w:ascii="宋体" w:hAnsi="宋体" w:eastAsia="宋体" w:cs="宋体"/>
          <w:color w:val="auto"/>
          <w:spacing w:val="4"/>
          <w:sz w:val="24"/>
          <w:szCs w:val="24"/>
          <w:highlight w:val="none"/>
        </w:rPr>
        <w:t>格审查资料，以证</w:t>
      </w:r>
      <w:r>
        <w:rPr>
          <w:rFonts w:ascii="宋体" w:hAnsi="宋体" w:eastAsia="宋体" w:cs="宋体"/>
          <w:color w:val="auto"/>
          <w:spacing w:val="-3"/>
          <w:sz w:val="24"/>
          <w:szCs w:val="24"/>
          <w:highlight w:val="none"/>
        </w:rPr>
        <w:t>明其满足本章第</w:t>
      </w:r>
      <w:r>
        <w:rPr>
          <w:rFonts w:ascii="宋体" w:hAnsi="宋体" w:eastAsia="宋体" w:cs="宋体"/>
          <w:color w:val="auto"/>
          <w:spacing w:val="-26"/>
          <w:sz w:val="24"/>
          <w:szCs w:val="24"/>
          <w:highlight w:val="none"/>
        </w:rPr>
        <w:t xml:space="preserve"> </w:t>
      </w:r>
      <w:r>
        <w:rPr>
          <w:rFonts w:ascii="宋体" w:hAnsi="宋体" w:eastAsia="宋体" w:cs="宋体"/>
          <w:color w:val="auto"/>
          <w:spacing w:val="-3"/>
          <w:sz w:val="24"/>
          <w:szCs w:val="24"/>
          <w:highlight w:val="none"/>
        </w:rPr>
        <w:t>1.4</w:t>
      </w:r>
      <w:r>
        <w:rPr>
          <w:rFonts w:ascii="宋体" w:hAnsi="宋体" w:eastAsia="宋体" w:cs="宋体"/>
          <w:color w:val="auto"/>
          <w:spacing w:val="-49"/>
          <w:sz w:val="24"/>
          <w:szCs w:val="24"/>
          <w:highlight w:val="none"/>
        </w:rPr>
        <w:t xml:space="preserve"> </w:t>
      </w:r>
      <w:r>
        <w:rPr>
          <w:rFonts w:ascii="宋体" w:hAnsi="宋体" w:eastAsia="宋体" w:cs="宋体"/>
          <w:color w:val="auto"/>
          <w:spacing w:val="-3"/>
          <w:sz w:val="24"/>
          <w:szCs w:val="24"/>
          <w:highlight w:val="none"/>
        </w:rPr>
        <w:t>款规定的资质、业绩、信誉等要求。</w:t>
      </w:r>
    </w:p>
    <w:p w14:paraId="5F6CA3D3">
      <w:pPr>
        <w:spacing w:before="1" w:line="413" w:lineRule="auto"/>
        <w:ind w:left="8" w:right="8" w:firstLine="484"/>
        <w:rPr>
          <w:rFonts w:ascii="宋体" w:hAnsi="宋体" w:eastAsia="宋体" w:cs="宋体"/>
          <w:color w:val="auto"/>
          <w:sz w:val="24"/>
          <w:szCs w:val="24"/>
          <w:highlight w:val="none"/>
        </w:rPr>
      </w:pPr>
      <w:r>
        <w:rPr>
          <w:color w:val="auto"/>
          <w:highlight w:val="none"/>
        </w:rPr>
        <w:pict>
          <v:shape id="_x0000_s1063" o:spid="_x0000_s1063" style="position:absolute;left:0pt;margin-left:0pt;margin-top:114.5pt;height:0pt;width:144pt;z-index:251676672;mso-width-relative:page;mso-height-relative:page;" filled="f" stroked="t" coordsize="2880,0" path="m0,0l2880,0e">
            <v:fill on="f" focussize="0,0"/>
            <v:stroke weight="0pt" color="#000000" miterlimit="0" joinstyle="bevel" endcap="square"/>
            <v:imagedata o:title=""/>
            <o:lock v:ext="edit"/>
          </v:shape>
        </w:pict>
      </w:r>
      <w:r>
        <w:rPr>
          <w:rFonts w:ascii="宋体" w:hAnsi="宋体" w:eastAsia="宋体" w:cs="宋体"/>
          <w:color w:val="auto"/>
          <w:spacing w:val="4"/>
          <w:sz w:val="24"/>
          <w:szCs w:val="24"/>
          <w:highlight w:val="none"/>
        </w:rPr>
        <w:t>3.5.1 “投标人基本情况表</w:t>
      </w:r>
      <w:r>
        <w:rPr>
          <w:rFonts w:ascii="宋体" w:hAnsi="宋体" w:eastAsia="宋体" w:cs="宋体"/>
          <w:color w:val="auto"/>
          <w:spacing w:val="-81"/>
          <w:sz w:val="24"/>
          <w:szCs w:val="24"/>
          <w:highlight w:val="none"/>
        </w:rPr>
        <w:t xml:space="preserve"> </w:t>
      </w:r>
      <w:r>
        <w:rPr>
          <w:rFonts w:ascii="宋体" w:hAnsi="宋体" w:eastAsia="宋体" w:cs="宋体"/>
          <w:color w:val="auto"/>
          <w:spacing w:val="4"/>
          <w:sz w:val="24"/>
          <w:szCs w:val="24"/>
          <w:highlight w:val="none"/>
        </w:rPr>
        <w:t>”应附企业法人营</w:t>
      </w:r>
      <w:r>
        <w:rPr>
          <w:rFonts w:ascii="宋体" w:hAnsi="宋体" w:eastAsia="宋体" w:cs="宋体"/>
          <w:color w:val="auto"/>
          <w:spacing w:val="3"/>
          <w:sz w:val="24"/>
          <w:szCs w:val="24"/>
          <w:highlight w:val="none"/>
        </w:rPr>
        <w:t>业执照副本、监理资质证书副本、</w:t>
      </w:r>
      <w:r>
        <w:rPr>
          <w:rFonts w:ascii="宋体" w:hAnsi="宋体" w:eastAsia="宋体" w:cs="宋体"/>
          <w:color w:val="auto"/>
          <w:spacing w:val="5"/>
          <w:sz w:val="24"/>
          <w:szCs w:val="24"/>
          <w:highlight w:val="none"/>
        </w:rPr>
        <w:t>基本账户开户许可证（如企业所在地已取消企业银行账户许可而无法提供开</w:t>
      </w:r>
      <w:r>
        <w:rPr>
          <w:rFonts w:ascii="宋体" w:hAnsi="宋体" w:eastAsia="宋体" w:cs="宋体"/>
          <w:color w:val="auto"/>
          <w:spacing w:val="4"/>
          <w:sz w:val="24"/>
          <w:szCs w:val="24"/>
          <w:highlight w:val="none"/>
        </w:rPr>
        <w:t>户许可证的，则需附上开户银行出具的“基本存款账户信息</w:t>
      </w:r>
      <w:r>
        <w:rPr>
          <w:rFonts w:ascii="宋体" w:hAnsi="宋体" w:eastAsia="宋体" w:cs="宋体"/>
          <w:color w:val="auto"/>
          <w:spacing w:val="-83"/>
          <w:sz w:val="24"/>
          <w:szCs w:val="24"/>
          <w:highlight w:val="none"/>
        </w:rPr>
        <w:t xml:space="preserve"> </w:t>
      </w:r>
      <w:r>
        <w:rPr>
          <w:rFonts w:ascii="宋体" w:hAnsi="宋体" w:eastAsia="宋体" w:cs="宋体"/>
          <w:color w:val="auto"/>
          <w:spacing w:val="4"/>
          <w:sz w:val="24"/>
          <w:szCs w:val="24"/>
          <w:highlight w:val="none"/>
        </w:rPr>
        <w:t>”或“人民银行账户管理</w:t>
      </w:r>
      <w:r>
        <w:rPr>
          <w:rFonts w:ascii="宋体" w:hAnsi="宋体" w:eastAsia="宋体" w:cs="宋体"/>
          <w:color w:val="auto"/>
          <w:spacing w:val="3"/>
          <w:sz w:val="24"/>
          <w:szCs w:val="24"/>
          <w:highlight w:val="none"/>
        </w:rPr>
        <w:t>系统查询</w:t>
      </w:r>
      <w:bookmarkStart w:id="130" w:name="bookmark102"/>
      <w:bookmarkEnd w:id="130"/>
      <w:r>
        <w:rPr>
          <w:rFonts w:ascii="宋体" w:hAnsi="宋体" w:eastAsia="宋体" w:cs="宋体"/>
          <w:color w:val="auto"/>
          <w:spacing w:val="-2"/>
          <w:sz w:val="24"/>
          <w:szCs w:val="24"/>
          <w:highlight w:val="none"/>
        </w:rPr>
        <w:t>的基本账户信息截图</w:t>
      </w:r>
      <w:r>
        <w:rPr>
          <w:rFonts w:ascii="宋体" w:hAnsi="宋体" w:eastAsia="宋体" w:cs="宋体"/>
          <w:color w:val="auto"/>
          <w:spacing w:val="-83"/>
          <w:sz w:val="24"/>
          <w:szCs w:val="24"/>
          <w:highlight w:val="none"/>
        </w:rPr>
        <w:t xml:space="preserve"> </w:t>
      </w:r>
      <w:r>
        <w:rPr>
          <w:rFonts w:ascii="宋体" w:hAnsi="宋体" w:eastAsia="宋体" w:cs="宋体"/>
          <w:color w:val="auto"/>
          <w:spacing w:val="-2"/>
          <w:sz w:val="24"/>
          <w:szCs w:val="24"/>
          <w:highlight w:val="none"/>
        </w:rPr>
        <w:t>”）的扫描件</w:t>
      </w:r>
      <w:r>
        <w:rPr>
          <w:color w:val="auto"/>
          <w:highlight w:val="none"/>
        </w:rPr>
        <w:fldChar w:fldCharType="begin"/>
      </w:r>
      <w:r>
        <w:rPr>
          <w:color w:val="auto"/>
          <w:highlight w:val="none"/>
        </w:rPr>
        <w:instrText xml:space="preserve"> HYPERLINK \l "bookmark102" </w:instrText>
      </w:r>
      <w:r>
        <w:rPr>
          <w:color w:val="auto"/>
          <w:highlight w:val="none"/>
        </w:rPr>
        <w:fldChar w:fldCharType="separate"/>
      </w:r>
      <w:r>
        <w:rPr>
          <w:rFonts w:ascii="宋体" w:hAnsi="宋体" w:eastAsia="宋体" w:cs="宋体"/>
          <w:color w:val="auto"/>
          <w:spacing w:val="-2"/>
          <w:position w:val="12"/>
          <w:sz w:val="12"/>
          <w:szCs w:val="12"/>
          <w:highlight w:val="none"/>
        </w:rPr>
        <w:t>①</w:t>
      </w:r>
      <w:r>
        <w:rPr>
          <w:rFonts w:ascii="宋体" w:hAnsi="宋体" w:eastAsia="宋体" w:cs="宋体"/>
          <w:color w:val="auto"/>
          <w:spacing w:val="-2"/>
          <w:position w:val="12"/>
          <w:sz w:val="12"/>
          <w:szCs w:val="12"/>
          <w:highlight w:val="none"/>
        </w:rPr>
        <w:fldChar w:fldCharType="end"/>
      </w:r>
      <w:r>
        <w:rPr>
          <w:rFonts w:ascii="宋体" w:hAnsi="宋体" w:eastAsia="宋体" w:cs="宋体"/>
          <w:color w:val="auto"/>
          <w:spacing w:val="-28"/>
          <w:position w:val="12"/>
          <w:sz w:val="12"/>
          <w:szCs w:val="12"/>
          <w:highlight w:val="none"/>
        </w:rPr>
        <w:t xml:space="preserve"> </w:t>
      </w:r>
      <w:r>
        <w:rPr>
          <w:rFonts w:ascii="宋体" w:hAnsi="宋体" w:eastAsia="宋体" w:cs="宋体"/>
          <w:color w:val="auto"/>
          <w:spacing w:val="-2"/>
          <w:sz w:val="24"/>
          <w:szCs w:val="24"/>
          <w:highlight w:val="none"/>
        </w:rPr>
        <w:t>,</w:t>
      </w:r>
      <w:r>
        <w:rPr>
          <w:rFonts w:ascii="宋体" w:hAnsi="宋体" w:eastAsia="宋体" w:cs="宋体"/>
          <w:color w:val="auto"/>
          <w:spacing w:val="68"/>
          <w:sz w:val="24"/>
          <w:szCs w:val="24"/>
          <w:highlight w:val="none"/>
        </w:rPr>
        <w:t xml:space="preserve"> </w:t>
      </w:r>
      <w:r>
        <w:rPr>
          <w:rFonts w:ascii="宋体" w:hAnsi="宋体" w:eastAsia="宋体" w:cs="宋体"/>
          <w:color w:val="auto"/>
          <w:spacing w:val="-2"/>
          <w:sz w:val="24"/>
          <w:szCs w:val="24"/>
          <w:highlight w:val="none"/>
        </w:rPr>
        <w:t>投标人在交通运输部“全国公路建设市场监督管</w:t>
      </w:r>
    </w:p>
    <w:p w14:paraId="2038C1F9">
      <w:pPr>
        <w:spacing w:before="291" w:line="217" w:lineRule="auto"/>
        <w:ind w:left="5"/>
        <w:rPr>
          <w:rFonts w:ascii="宋体" w:hAnsi="宋体" w:eastAsia="宋体" w:cs="宋体"/>
          <w:color w:val="auto"/>
          <w:sz w:val="18"/>
          <w:szCs w:val="18"/>
          <w:highlight w:val="none"/>
        </w:rPr>
      </w:pPr>
      <w:r>
        <w:rPr>
          <w:rFonts w:ascii="宋体" w:hAnsi="宋体" w:eastAsia="宋体" w:cs="宋体"/>
          <w:color w:val="auto"/>
          <w:sz w:val="18"/>
          <w:szCs w:val="18"/>
          <w:highlight w:val="none"/>
        </w:rPr>
        <w:t>① 招标文件中要求投标人提供的各类证照扫描件均指彩色扫描件，其他资料的扫描件可</w:t>
      </w:r>
      <w:r>
        <w:rPr>
          <w:rFonts w:ascii="宋体" w:hAnsi="宋体" w:eastAsia="宋体" w:cs="宋体"/>
          <w:color w:val="auto"/>
          <w:spacing w:val="-1"/>
          <w:sz w:val="18"/>
          <w:szCs w:val="18"/>
          <w:highlight w:val="none"/>
        </w:rPr>
        <w:t>为黑白扫描件。</w:t>
      </w:r>
    </w:p>
    <w:p w14:paraId="5684A347">
      <w:pPr>
        <w:spacing w:line="217" w:lineRule="auto"/>
        <w:rPr>
          <w:rFonts w:ascii="宋体" w:hAnsi="宋体" w:eastAsia="宋体" w:cs="宋体"/>
          <w:color w:val="auto"/>
          <w:sz w:val="18"/>
          <w:szCs w:val="18"/>
          <w:highlight w:val="none"/>
        </w:rPr>
        <w:sectPr>
          <w:footerReference r:id="rId34" w:type="default"/>
          <w:pgSz w:w="11906" w:h="16839"/>
          <w:pgMar w:top="1405" w:right="1409" w:bottom="1297" w:left="1417" w:header="0" w:footer="1067" w:gutter="0"/>
          <w:pgNumType w:fmt="decimal"/>
          <w:cols w:space="720" w:num="1"/>
        </w:sectPr>
      </w:pPr>
    </w:p>
    <w:p w14:paraId="0EE81033">
      <w:pPr>
        <w:spacing w:before="94" w:line="316" w:lineRule="auto"/>
        <w:ind w:left="7" w:right="163" w:firstLine="3"/>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理系统</w:t>
      </w:r>
      <w:r>
        <w:rPr>
          <w:rFonts w:ascii="宋体" w:hAnsi="宋体" w:eastAsia="宋体" w:cs="宋体"/>
          <w:color w:val="auto"/>
          <w:spacing w:val="-72"/>
          <w:sz w:val="24"/>
          <w:szCs w:val="24"/>
          <w:highlight w:val="none"/>
        </w:rPr>
        <w:t xml:space="preserve"> </w:t>
      </w:r>
      <w:r>
        <w:rPr>
          <w:rFonts w:ascii="宋体" w:hAnsi="宋体" w:eastAsia="宋体" w:cs="宋体"/>
          <w:color w:val="auto"/>
          <w:spacing w:val="-3"/>
          <w:sz w:val="24"/>
          <w:szCs w:val="24"/>
          <w:highlight w:val="none"/>
        </w:rPr>
        <w:t>”公路工程施工监理资质企业名录中的网页截图扫描件</w:t>
      </w:r>
      <w:r>
        <w:rPr>
          <w:color w:val="auto"/>
          <w:highlight w:val="none"/>
        </w:rPr>
        <w:fldChar w:fldCharType="begin"/>
      </w:r>
      <w:r>
        <w:rPr>
          <w:color w:val="auto"/>
          <w:highlight w:val="none"/>
        </w:rPr>
        <w:instrText xml:space="preserve"> HYPERLINK \l "bookmark103" </w:instrText>
      </w:r>
      <w:r>
        <w:rPr>
          <w:color w:val="auto"/>
          <w:highlight w:val="none"/>
        </w:rPr>
        <w:fldChar w:fldCharType="separate"/>
      </w:r>
      <w:r>
        <w:rPr>
          <w:rFonts w:ascii="宋体" w:hAnsi="宋体" w:eastAsia="宋体" w:cs="宋体"/>
          <w:color w:val="auto"/>
          <w:spacing w:val="-3"/>
          <w:position w:val="12"/>
          <w:sz w:val="12"/>
          <w:szCs w:val="12"/>
          <w:highlight w:val="none"/>
        </w:rPr>
        <w:t>①</w:t>
      </w:r>
      <w:r>
        <w:rPr>
          <w:rFonts w:ascii="宋体" w:hAnsi="宋体" w:eastAsia="宋体" w:cs="宋体"/>
          <w:color w:val="auto"/>
          <w:spacing w:val="-3"/>
          <w:position w:val="12"/>
          <w:sz w:val="12"/>
          <w:szCs w:val="12"/>
          <w:highlight w:val="none"/>
        </w:rPr>
        <w:fldChar w:fldCharType="end"/>
      </w:r>
      <w:r>
        <w:rPr>
          <w:rFonts w:ascii="宋体" w:hAnsi="宋体" w:eastAsia="宋体" w:cs="宋体"/>
          <w:color w:val="auto"/>
          <w:spacing w:val="-28"/>
          <w:position w:val="12"/>
          <w:sz w:val="12"/>
          <w:szCs w:val="12"/>
          <w:highlight w:val="none"/>
        </w:rPr>
        <w:t xml:space="preserve"> </w:t>
      </w:r>
      <w:r>
        <w:rPr>
          <w:rFonts w:ascii="宋体" w:hAnsi="宋体" w:eastAsia="宋体" w:cs="宋体"/>
          <w:color w:val="auto"/>
          <w:spacing w:val="-3"/>
          <w:sz w:val="24"/>
          <w:szCs w:val="24"/>
          <w:highlight w:val="none"/>
        </w:rPr>
        <w:t>,</w:t>
      </w:r>
      <w:r>
        <w:rPr>
          <w:rFonts w:ascii="宋体" w:hAnsi="宋体" w:eastAsia="宋体" w:cs="宋体"/>
          <w:color w:val="auto"/>
          <w:spacing w:val="92"/>
          <w:sz w:val="24"/>
          <w:szCs w:val="24"/>
          <w:highlight w:val="none"/>
        </w:rPr>
        <w:t xml:space="preserve"> </w:t>
      </w:r>
      <w:r>
        <w:rPr>
          <w:rFonts w:ascii="宋体" w:hAnsi="宋体" w:eastAsia="宋体" w:cs="宋体"/>
          <w:color w:val="auto"/>
          <w:spacing w:val="-3"/>
          <w:sz w:val="24"/>
          <w:szCs w:val="24"/>
          <w:highlight w:val="none"/>
        </w:rPr>
        <w:t>以及投标人在国家企</w:t>
      </w:r>
      <w:r>
        <w:rPr>
          <w:rFonts w:ascii="宋体" w:hAnsi="宋体" w:eastAsia="宋体" w:cs="宋体"/>
          <w:color w:val="auto"/>
          <w:sz w:val="24"/>
          <w:szCs w:val="24"/>
          <w:highlight w:val="none"/>
        </w:rPr>
        <w:t>业信用信息公示系统中基础信息（体现股东及出资详</w:t>
      </w:r>
      <w:r>
        <w:rPr>
          <w:rFonts w:ascii="宋体" w:hAnsi="宋体" w:eastAsia="宋体" w:cs="宋体"/>
          <w:color w:val="auto"/>
          <w:spacing w:val="-1"/>
          <w:sz w:val="24"/>
          <w:szCs w:val="24"/>
          <w:highlight w:val="none"/>
        </w:rPr>
        <w:t>细信息）的网页截图。</w:t>
      </w:r>
    </w:p>
    <w:p w14:paraId="2C7B71AF">
      <w:pPr>
        <w:spacing w:before="149" w:line="356" w:lineRule="auto"/>
        <w:ind w:left="8" w:right="162" w:firstLine="483"/>
        <w:jc w:val="both"/>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企业法人营业执照副本、监理资质证书副本、基本账户开户许可证（如企业所在地已取消企业银行账户许可而无法提供开户许可证的，则需附上开户银行出</w:t>
      </w:r>
      <w:r>
        <w:rPr>
          <w:rFonts w:ascii="宋体" w:hAnsi="宋体" w:eastAsia="宋体" w:cs="宋体"/>
          <w:color w:val="auto"/>
          <w:spacing w:val="4"/>
          <w:sz w:val="24"/>
          <w:szCs w:val="24"/>
          <w:highlight w:val="none"/>
        </w:rPr>
        <w:t>具的“基</w:t>
      </w:r>
      <w:r>
        <w:rPr>
          <w:rFonts w:ascii="宋体" w:hAnsi="宋体" w:eastAsia="宋体" w:cs="宋体"/>
          <w:color w:val="auto"/>
          <w:spacing w:val="3"/>
          <w:sz w:val="24"/>
          <w:szCs w:val="24"/>
          <w:highlight w:val="none"/>
        </w:rPr>
        <w:t>本存款账户信息</w:t>
      </w:r>
      <w:r>
        <w:rPr>
          <w:rFonts w:ascii="宋体" w:hAnsi="宋体" w:eastAsia="宋体" w:cs="宋体"/>
          <w:color w:val="auto"/>
          <w:spacing w:val="-81"/>
          <w:sz w:val="24"/>
          <w:szCs w:val="24"/>
          <w:highlight w:val="none"/>
        </w:rPr>
        <w:t xml:space="preserve"> </w:t>
      </w:r>
      <w:r>
        <w:rPr>
          <w:rFonts w:ascii="宋体" w:hAnsi="宋体" w:eastAsia="宋体" w:cs="宋体"/>
          <w:color w:val="auto"/>
          <w:spacing w:val="3"/>
          <w:sz w:val="24"/>
          <w:szCs w:val="24"/>
          <w:highlight w:val="none"/>
        </w:rPr>
        <w:t>”或“人民银行账户管理系统查询的基本账户信息</w:t>
      </w:r>
      <w:r>
        <w:rPr>
          <w:rFonts w:ascii="宋体" w:hAnsi="宋体" w:eastAsia="宋体" w:cs="宋体"/>
          <w:color w:val="auto"/>
          <w:spacing w:val="2"/>
          <w:sz w:val="24"/>
          <w:szCs w:val="24"/>
          <w:highlight w:val="none"/>
        </w:rPr>
        <w:t>截图</w:t>
      </w:r>
      <w:r>
        <w:rPr>
          <w:rFonts w:ascii="宋体" w:hAnsi="宋体" w:eastAsia="宋体" w:cs="宋体"/>
          <w:color w:val="auto"/>
          <w:spacing w:val="-81"/>
          <w:sz w:val="24"/>
          <w:szCs w:val="24"/>
          <w:highlight w:val="none"/>
        </w:rPr>
        <w:t xml:space="preserve"> </w:t>
      </w:r>
      <w:r>
        <w:rPr>
          <w:rFonts w:ascii="宋体" w:hAnsi="宋体" w:eastAsia="宋体" w:cs="宋体"/>
          <w:color w:val="auto"/>
          <w:spacing w:val="2"/>
          <w:sz w:val="24"/>
          <w:szCs w:val="24"/>
          <w:highlight w:val="none"/>
        </w:rPr>
        <w:t>”）的扫描件</w:t>
      </w:r>
      <w:r>
        <w:rPr>
          <w:rFonts w:ascii="宋体" w:hAnsi="宋体" w:eastAsia="宋体" w:cs="宋体"/>
          <w:color w:val="auto"/>
          <w:spacing w:val="4"/>
          <w:sz w:val="24"/>
          <w:szCs w:val="24"/>
          <w:highlight w:val="none"/>
        </w:rPr>
        <w:t>应提供全本（证书封面、封底、空白页除外</w:t>
      </w:r>
      <w:r>
        <w:rPr>
          <w:rFonts w:ascii="宋体" w:hAnsi="宋体" w:eastAsia="宋体" w:cs="宋体"/>
          <w:color w:val="auto"/>
          <w:spacing w:val="20"/>
          <w:sz w:val="24"/>
          <w:szCs w:val="24"/>
          <w:highlight w:val="none"/>
        </w:rPr>
        <w:t>），</w:t>
      </w:r>
      <w:r>
        <w:rPr>
          <w:rFonts w:ascii="宋体" w:hAnsi="宋体" w:eastAsia="宋体" w:cs="宋体"/>
          <w:color w:val="auto"/>
          <w:spacing w:val="4"/>
          <w:sz w:val="24"/>
          <w:szCs w:val="24"/>
          <w:highlight w:val="none"/>
        </w:rPr>
        <w:t>应包括投标人名称、投标人其他相关</w:t>
      </w:r>
      <w:r>
        <w:rPr>
          <w:rFonts w:ascii="宋体" w:hAnsi="宋体" w:eastAsia="宋体" w:cs="宋体"/>
          <w:color w:val="auto"/>
          <w:spacing w:val="-1"/>
          <w:sz w:val="24"/>
          <w:szCs w:val="24"/>
          <w:highlight w:val="none"/>
        </w:rPr>
        <w:t>信息、颁发机构名称、投标人信息变更情况等关键页在内。</w:t>
      </w:r>
    </w:p>
    <w:p w14:paraId="1D8E8ED5">
      <w:pPr>
        <w:spacing w:before="1" w:line="364" w:lineRule="auto"/>
        <w:ind w:left="13" w:right="163" w:firstLine="480"/>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3.5.2</w:t>
      </w:r>
      <w:r>
        <w:rPr>
          <w:color w:val="auto"/>
          <w:highlight w:val="none"/>
        </w:rPr>
        <w:fldChar w:fldCharType="begin"/>
      </w:r>
      <w:r>
        <w:rPr>
          <w:color w:val="auto"/>
          <w:highlight w:val="none"/>
        </w:rPr>
        <w:instrText xml:space="preserve"> HYPERLINK \l "bookmark104" </w:instrText>
      </w:r>
      <w:r>
        <w:rPr>
          <w:color w:val="auto"/>
          <w:highlight w:val="none"/>
        </w:rPr>
        <w:fldChar w:fldCharType="separate"/>
      </w:r>
      <w:r>
        <w:rPr>
          <w:rFonts w:ascii="宋体" w:hAnsi="宋体" w:eastAsia="宋体" w:cs="宋体"/>
          <w:color w:val="auto"/>
          <w:spacing w:val="1"/>
          <w:position w:val="11"/>
          <w:sz w:val="12"/>
          <w:szCs w:val="12"/>
          <w:highlight w:val="none"/>
        </w:rPr>
        <w:t>②</w:t>
      </w:r>
      <w:r>
        <w:rPr>
          <w:rFonts w:ascii="宋体" w:hAnsi="宋体" w:eastAsia="宋体" w:cs="宋体"/>
          <w:color w:val="auto"/>
          <w:spacing w:val="1"/>
          <w:position w:val="11"/>
          <w:sz w:val="12"/>
          <w:szCs w:val="12"/>
          <w:highlight w:val="none"/>
        </w:rPr>
        <w:fldChar w:fldCharType="end"/>
      </w:r>
      <w:r>
        <w:rPr>
          <w:rFonts w:ascii="宋体" w:hAnsi="宋体" w:eastAsia="宋体" w:cs="宋体"/>
          <w:color w:val="auto"/>
          <w:spacing w:val="1"/>
          <w:sz w:val="24"/>
          <w:szCs w:val="24"/>
          <w:highlight w:val="none"/>
        </w:rPr>
        <w:t>(A)“近年完成的类似项目</w:t>
      </w:r>
      <w:r>
        <w:rPr>
          <w:rFonts w:ascii="宋体" w:hAnsi="宋体" w:eastAsia="宋体" w:cs="宋体"/>
          <w:color w:val="auto"/>
          <w:spacing w:val="-86"/>
          <w:sz w:val="24"/>
          <w:szCs w:val="24"/>
          <w:highlight w:val="none"/>
        </w:rPr>
        <w:t xml:space="preserve"> </w:t>
      </w:r>
      <w:r>
        <w:rPr>
          <w:rFonts w:ascii="宋体" w:hAnsi="宋体" w:eastAsia="宋体" w:cs="宋体"/>
          <w:color w:val="auto"/>
          <w:spacing w:val="1"/>
          <w:sz w:val="24"/>
          <w:szCs w:val="24"/>
          <w:highlight w:val="none"/>
        </w:rPr>
        <w:t>”应是</w:t>
      </w:r>
      <w:r>
        <w:rPr>
          <w:rFonts w:ascii="宋体" w:hAnsi="宋体" w:eastAsia="宋体" w:cs="宋体"/>
          <w:color w:val="auto"/>
          <w:sz w:val="24"/>
          <w:szCs w:val="24"/>
          <w:highlight w:val="none"/>
        </w:rPr>
        <w:t>已列入交通运输部“全国公路建设市场监</w:t>
      </w:r>
      <w:r>
        <w:rPr>
          <w:rFonts w:ascii="宋体" w:hAnsi="宋体" w:eastAsia="宋体" w:cs="宋体"/>
          <w:color w:val="auto"/>
          <w:spacing w:val="-2"/>
          <w:sz w:val="24"/>
          <w:szCs w:val="24"/>
          <w:highlight w:val="none"/>
        </w:rPr>
        <w:t>督管理系统</w:t>
      </w:r>
      <w:r>
        <w:rPr>
          <w:rFonts w:ascii="宋体" w:hAnsi="宋体" w:eastAsia="宋体" w:cs="宋体"/>
          <w:color w:val="auto"/>
          <w:spacing w:val="-74"/>
          <w:sz w:val="24"/>
          <w:szCs w:val="24"/>
          <w:highlight w:val="none"/>
        </w:rPr>
        <w:t xml:space="preserve"> </w:t>
      </w:r>
      <w:r>
        <w:rPr>
          <w:rFonts w:ascii="宋体" w:hAnsi="宋体" w:eastAsia="宋体" w:cs="宋体"/>
          <w:color w:val="auto"/>
          <w:spacing w:val="-2"/>
          <w:sz w:val="24"/>
          <w:szCs w:val="24"/>
          <w:highlight w:val="none"/>
        </w:rPr>
        <w:t>”并公开的已建业绩，具体时间要求见投标人须知前附表。</w:t>
      </w:r>
    </w:p>
    <w:p w14:paraId="1EDA6893">
      <w:pPr>
        <w:spacing w:before="4" w:line="359" w:lineRule="auto"/>
        <w:ind w:left="8" w:right="160" w:firstLine="468"/>
        <w:jc w:val="both"/>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“近年完成的类似项目情况表</w:t>
      </w:r>
      <w:r>
        <w:rPr>
          <w:rFonts w:ascii="宋体" w:hAnsi="宋体" w:eastAsia="宋体" w:cs="宋体"/>
          <w:color w:val="auto"/>
          <w:spacing w:val="-67"/>
          <w:sz w:val="24"/>
          <w:szCs w:val="24"/>
          <w:highlight w:val="none"/>
        </w:rPr>
        <w:t xml:space="preserve"> </w:t>
      </w:r>
      <w:r>
        <w:rPr>
          <w:rFonts w:ascii="宋体" w:hAnsi="宋体" w:eastAsia="宋体" w:cs="宋体"/>
          <w:color w:val="auto"/>
          <w:spacing w:val="4"/>
          <w:sz w:val="24"/>
          <w:szCs w:val="24"/>
          <w:highlight w:val="none"/>
        </w:rPr>
        <w:t>”应附在交通运输部“全国公路建设市场监督管理</w:t>
      </w:r>
      <w:r>
        <w:rPr>
          <w:rFonts w:ascii="宋体" w:hAnsi="宋体" w:eastAsia="宋体" w:cs="宋体"/>
          <w:color w:val="auto"/>
          <w:spacing w:val="2"/>
          <w:sz w:val="24"/>
          <w:szCs w:val="24"/>
          <w:highlight w:val="none"/>
        </w:rPr>
        <w:t>系统</w:t>
      </w:r>
      <w:r>
        <w:rPr>
          <w:rFonts w:ascii="宋体" w:hAnsi="宋体" w:eastAsia="宋体" w:cs="宋体"/>
          <w:color w:val="auto"/>
          <w:spacing w:val="-81"/>
          <w:sz w:val="24"/>
          <w:szCs w:val="24"/>
          <w:highlight w:val="none"/>
        </w:rPr>
        <w:t xml:space="preserve"> </w:t>
      </w:r>
      <w:r>
        <w:rPr>
          <w:rFonts w:ascii="宋体" w:hAnsi="宋体" w:eastAsia="宋体" w:cs="宋体"/>
          <w:color w:val="auto"/>
          <w:spacing w:val="2"/>
          <w:sz w:val="24"/>
          <w:szCs w:val="24"/>
          <w:highlight w:val="none"/>
        </w:rPr>
        <w:t>”中查询到的企业“业绩信息</w:t>
      </w:r>
      <w:r>
        <w:rPr>
          <w:rFonts w:ascii="宋体" w:hAnsi="宋体" w:eastAsia="宋体" w:cs="宋体"/>
          <w:color w:val="auto"/>
          <w:spacing w:val="-83"/>
          <w:sz w:val="24"/>
          <w:szCs w:val="24"/>
          <w:highlight w:val="none"/>
        </w:rPr>
        <w:t xml:space="preserve"> </w:t>
      </w:r>
      <w:r>
        <w:rPr>
          <w:rFonts w:ascii="宋体" w:hAnsi="宋体" w:eastAsia="宋体" w:cs="宋体"/>
          <w:color w:val="auto"/>
          <w:spacing w:val="2"/>
          <w:sz w:val="24"/>
          <w:szCs w:val="24"/>
          <w:highlight w:val="none"/>
        </w:rPr>
        <w:t>”相关项目网页截图扫描</w:t>
      </w:r>
      <w:r>
        <w:rPr>
          <w:rFonts w:ascii="宋体" w:hAnsi="宋体" w:eastAsia="宋体" w:cs="宋体"/>
          <w:color w:val="auto"/>
          <w:spacing w:val="1"/>
          <w:sz w:val="24"/>
          <w:szCs w:val="24"/>
          <w:highlight w:val="none"/>
        </w:rPr>
        <w:t>件（或网页打印件</w:t>
      </w:r>
      <w:r>
        <w:rPr>
          <w:rFonts w:ascii="宋体" w:hAnsi="宋体" w:eastAsia="宋体" w:cs="宋体"/>
          <w:color w:val="auto"/>
          <w:spacing w:val="22"/>
          <w:sz w:val="24"/>
          <w:szCs w:val="24"/>
          <w:highlight w:val="none"/>
        </w:rPr>
        <w:t>），</w:t>
      </w:r>
      <w:r>
        <w:rPr>
          <w:rFonts w:ascii="宋体" w:hAnsi="宋体" w:eastAsia="宋体" w:cs="宋体"/>
          <w:color w:val="auto"/>
          <w:spacing w:val="1"/>
          <w:sz w:val="24"/>
          <w:szCs w:val="24"/>
          <w:highlight w:val="none"/>
        </w:rPr>
        <w:t>即包括“项目名称</w:t>
      </w:r>
      <w:r>
        <w:rPr>
          <w:rFonts w:ascii="宋体" w:hAnsi="宋体" w:eastAsia="宋体" w:cs="宋体"/>
          <w:color w:val="auto"/>
          <w:spacing w:val="-83"/>
          <w:sz w:val="24"/>
          <w:szCs w:val="24"/>
          <w:highlight w:val="none"/>
        </w:rPr>
        <w:t xml:space="preserve"> </w:t>
      </w:r>
      <w:r>
        <w:rPr>
          <w:rFonts w:ascii="宋体" w:hAnsi="宋体" w:eastAsia="宋体" w:cs="宋体"/>
          <w:color w:val="auto"/>
          <w:spacing w:val="1"/>
          <w:sz w:val="24"/>
          <w:szCs w:val="24"/>
          <w:highlight w:val="none"/>
        </w:rPr>
        <w:t>”、“标段类型</w:t>
      </w:r>
      <w:r>
        <w:rPr>
          <w:rFonts w:ascii="宋体" w:hAnsi="宋体" w:eastAsia="宋体" w:cs="宋体"/>
          <w:color w:val="auto"/>
          <w:spacing w:val="-83"/>
          <w:sz w:val="24"/>
          <w:szCs w:val="24"/>
          <w:highlight w:val="none"/>
        </w:rPr>
        <w:t xml:space="preserve"> </w:t>
      </w:r>
      <w:r>
        <w:rPr>
          <w:rFonts w:ascii="宋体" w:hAnsi="宋体" w:eastAsia="宋体" w:cs="宋体"/>
          <w:color w:val="auto"/>
          <w:spacing w:val="1"/>
          <w:sz w:val="24"/>
          <w:szCs w:val="24"/>
          <w:highlight w:val="none"/>
        </w:rPr>
        <w:t>”、“合同价</w:t>
      </w:r>
      <w:r>
        <w:rPr>
          <w:rFonts w:ascii="宋体" w:hAnsi="宋体" w:eastAsia="宋体" w:cs="宋体"/>
          <w:color w:val="auto"/>
          <w:spacing w:val="-81"/>
          <w:sz w:val="24"/>
          <w:szCs w:val="24"/>
          <w:highlight w:val="none"/>
        </w:rPr>
        <w:t xml:space="preserve"> </w:t>
      </w:r>
      <w:r>
        <w:rPr>
          <w:rFonts w:ascii="宋体" w:hAnsi="宋体" w:eastAsia="宋体" w:cs="宋体"/>
          <w:color w:val="auto"/>
          <w:spacing w:val="1"/>
          <w:sz w:val="24"/>
          <w:szCs w:val="24"/>
          <w:highlight w:val="none"/>
        </w:rPr>
        <w:t>”、“主要工程量</w:t>
      </w:r>
      <w:r>
        <w:rPr>
          <w:rFonts w:ascii="宋体" w:hAnsi="宋体" w:eastAsia="宋体" w:cs="宋体"/>
          <w:color w:val="auto"/>
          <w:spacing w:val="-83"/>
          <w:sz w:val="24"/>
          <w:szCs w:val="24"/>
          <w:highlight w:val="none"/>
        </w:rPr>
        <w:t xml:space="preserve"> </w:t>
      </w:r>
      <w:r>
        <w:rPr>
          <w:rFonts w:ascii="宋体" w:hAnsi="宋体" w:eastAsia="宋体" w:cs="宋体"/>
          <w:color w:val="auto"/>
          <w:spacing w:val="1"/>
          <w:sz w:val="24"/>
          <w:szCs w:val="24"/>
          <w:highlight w:val="none"/>
        </w:rPr>
        <w:t>”等栏目在内</w:t>
      </w:r>
      <w:r>
        <w:rPr>
          <w:rFonts w:ascii="宋体" w:hAnsi="宋体" w:eastAsia="宋体" w:cs="宋体"/>
          <w:color w:val="auto"/>
          <w:sz w:val="24"/>
          <w:szCs w:val="24"/>
          <w:highlight w:val="none"/>
        </w:rPr>
        <w:t>的项目</w:t>
      </w:r>
      <w:r>
        <w:rPr>
          <w:rFonts w:ascii="宋体" w:hAnsi="宋体" w:eastAsia="宋体" w:cs="宋体"/>
          <w:color w:val="auto"/>
          <w:spacing w:val="-1"/>
          <w:sz w:val="24"/>
          <w:szCs w:val="24"/>
          <w:highlight w:val="none"/>
        </w:rPr>
        <w:t>详细信息网页截图扫描件（或网页打印件）。</w:t>
      </w:r>
      <w:r>
        <w:rPr>
          <w:rFonts w:ascii="宋体" w:hAnsi="宋体" w:eastAsia="宋体" w:cs="宋体"/>
          <w:color w:val="auto"/>
          <w:spacing w:val="-2"/>
          <w:sz w:val="24"/>
          <w:szCs w:val="24"/>
          <w:highlight w:val="none"/>
        </w:rPr>
        <w:t>除网页截图扫描件（或网页打印件）外，</w:t>
      </w:r>
      <w:r>
        <w:rPr>
          <w:rFonts w:ascii="宋体" w:hAnsi="宋体" w:eastAsia="宋体" w:cs="宋体"/>
          <w:color w:val="auto"/>
          <w:spacing w:val="-1"/>
          <w:sz w:val="24"/>
          <w:szCs w:val="24"/>
          <w:highlight w:val="none"/>
        </w:rPr>
        <w:t>投标人无需再提供任何业绩证明材料。</w:t>
      </w:r>
    </w:p>
    <w:p w14:paraId="70A2CD1D">
      <w:pPr>
        <w:spacing w:before="2" w:line="358" w:lineRule="auto"/>
        <w:ind w:left="9" w:right="163" w:firstLine="482"/>
        <w:jc w:val="both"/>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如投标人未提供相关项目网页截图扫描件或相关项目网页截图中的信息无法证实投标人满足招标文件规定的资格审查条件（业绩最低要求）或评标办法评</w:t>
      </w:r>
      <w:r>
        <w:rPr>
          <w:rFonts w:ascii="宋体" w:hAnsi="宋体" w:eastAsia="宋体" w:cs="宋体"/>
          <w:color w:val="auto"/>
          <w:spacing w:val="4"/>
          <w:sz w:val="24"/>
          <w:szCs w:val="24"/>
          <w:highlight w:val="none"/>
        </w:rPr>
        <w:t>分标准（如</w:t>
      </w:r>
      <w:r>
        <w:rPr>
          <w:rFonts w:ascii="宋体" w:hAnsi="宋体" w:eastAsia="宋体" w:cs="宋体"/>
          <w:color w:val="auto"/>
          <w:spacing w:val="-3"/>
          <w:sz w:val="24"/>
          <w:szCs w:val="24"/>
          <w:highlight w:val="none"/>
        </w:rPr>
        <w:t>有</w:t>
      </w:r>
      <w:r>
        <w:rPr>
          <w:rFonts w:ascii="宋体" w:hAnsi="宋体" w:eastAsia="宋体" w:cs="宋体"/>
          <w:color w:val="auto"/>
          <w:spacing w:val="12"/>
          <w:sz w:val="24"/>
          <w:szCs w:val="24"/>
          <w:highlight w:val="none"/>
        </w:rPr>
        <w:t>），</w:t>
      </w:r>
      <w:r>
        <w:rPr>
          <w:rFonts w:ascii="宋体" w:hAnsi="宋体" w:eastAsia="宋体" w:cs="宋体"/>
          <w:color w:val="auto"/>
          <w:spacing w:val="-3"/>
          <w:sz w:val="24"/>
          <w:szCs w:val="24"/>
          <w:highlight w:val="none"/>
        </w:rPr>
        <w:t>则该项目业绩不予认定。</w:t>
      </w:r>
    </w:p>
    <w:p w14:paraId="2B9B14B5">
      <w:pPr>
        <w:spacing w:line="360" w:lineRule="auto"/>
        <w:ind w:left="11" w:right="163" w:firstLine="480"/>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如近年来，投标人法人机构发生合法变更或重组或法人名称变更时，应提供相关</w:t>
      </w:r>
      <w:r>
        <w:rPr>
          <w:rFonts w:ascii="宋体" w:hAnsi="宋体" w:eastAsia="宋体" w:cs="宋体"/>
          <w:color w:val="auto"/>
          <w:spacing w:val="-1"/>
          <w:sz w:val="24"/>
          <w:szCs w:val="24"/>
          <w:highlight w:val="none"/>
        </w:rPr>
        <w:t>部门的合法批件或其他相关证明材料来证明其所附业绩的继承性。</w:t>
      </w:r>
    </w:p>
    <w:p w14:paraId="30190C73">
      <w:pPr>
        <w:spacing w:line="359" w:lineRule="auto"/>
        <w:ind w:left="9" w:right="163" w:firstLine="483"/>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3.5.2</w:t>
      </w:r>
      <w:r>
        <w:rPr>
          <w:color w:val="auto"/>
          <w:highlight w:val="none"/>
        </w:rPr>
        <w:fldChar w:fldCharType="begin"/>
      </w:r>
      <w:r>
        <w:rPr>
          <w:color w:val="auto"/>
          <w:highlight w:val="none"/>
        </w:rPr>
        <w:instrText xml:space="preserve"> HYPERLINK \l "bookmark105" </w:instrText>
      </w:r>
      <w:r>
        <w:rPr>
          <w:color w:val="auto"/>
          <w:highlight w:val="none"/>
        </w:rPr>
        <w:fldChar w:fldCharType="separate"/>
      </w:r>
      <w:r>
        <w:rPr>
          <w:rFonts w:ascii="宋体" w:hAnsi="宋体" w:eastAsia="宋体" w:cs="宋体"/>
          <w:color w:val="auto"/>
          <w:spacing w:val="3"/>
          <w:position w:val="10"/>
          <w:sz w:val="10"/>
          <w:szCs w:val="10"/>
          <w:highlight w:val="none"/>
        </w:rPr>
        <w:t>③</w:t>
      </w:r>
      <w:r>
        <w:rPr>
          <w:rFonts w:ascii="宋体" w:hAnsi="宋体" w:eastAsia="宋体" w:cs="宋体"/>
          <w:color w:val="auto"/>
          <w:spacing w:val="3"/>
          <w:position w:val="10"/>
          <w:sz w:val="10"/>
          <w:szCs w:val="10"/>
          <w:highlight w:val="none"/>
        </w:rPr>
        <w:fldChar w:fldCharType="end"/>
      </w:r>
      <w:r>
        <w:rPr>
          <w:rFonts w:ascii="宋体" w:hAnsi="宋体" w:eastAsia="宋体" w:cs="宋体"/>
          <w:color w:val="auto"/>
          <w:spacing w:val="3"/>
          <w:sz w:val="20"/>
          <w:szCs w:val="20"/>
          <w:highlight w:val="none"/>
        </w:rPr>
        <w:t>(B)</w:t>
      </w:r>
      <w:r>
        <w:rPr>
          <w:rFonts w:ascii="宋体" w:hAnsi="宋体" w:eastAsia="宋体" w:cs="宋体"/>
          <w:color w:val="auto"/>
          <w:spacing w:val="3"/>
          <w:sz w:val="24"/>
          <w:szCs w:val="24"/>
          <w:highlight w:val="none"/>
        </w:rPr>
        <w:t>“近年完成的类似项目</w:t>
      </w:r>
      <w:r>
        <w:rPr>
          <w:rFonts w:ascii="宋体" w:hAnsi="宋体" w:eastAsia="宋体" w:cs="宋体"/>
          <w:color w:val="auto"/>
          <w:spacing w:val="-84"/>
          <w:sz w:val="24"/>
          <w:szCs w:val="24"/>
          <w:highlight w:val="none"/>
        </w:rPr>
        <w:t xml:space="preserve"> </w:t>
      </w:r>
      <w:r>
        <w:rPr>
          <w:rFonts w:ascii="宋体" w:hAnsi="宋体" w:eastAsia="宋体" w:cs="宋体"/>
          <w:color w:val="auto"/>
          <w:spacing w:val="3"/>
          <w:sz w:val="24"/>
          <w:szCs w:val="24"/>
          <w:highlight w:val="none"/>
        </w:rPr>
        <w:t>”</w:t>
      </w:r>
      <w:r>
        <w:rPr>
          <w:rFonts w:ascii="宋体" w:hAnsi="宋体" w:eastAsia="宋体" w:cs="宋体"/>
          <w:color w:val="auto"/>
          <w:spacing w:val="2"/>
          <w:sz w:val="24"/>
          <w:szCs w:val="24"/>
          <w:highlight w:val="none"/>
        </w:rPr>
        <w:t>应是已列入交通运输主管部门“公路建设市场</w:t>
      </w:r>
      <w:r>
        <w:rPr>
          <w:rFonts w:ascii="宋体" w:hAnsi="宋体" w:eastAsia="宋体" w:cs="宋体"/>
          <w:color w:val="auto"/>
          <w:spacing w:val="-2"/>
          <w:sz w:val="24"/>
          <w:szCs w:val="24"/>
          <w:highlight w:val="none"/>
        </w:rPr>
        <w:t>监督管理系统</w:t>
      </w:r>
      <w:r>
        <w:rPr>
          <w:rFonts w:ascii="宋体" w:hAnsi="宋体" w:eastAsia="宋体" w:cs="宋体"/>
          <w:color w:val="auto"/>
          <w:spacing w:val="-72"/>
          <w:sz w:val="24"/>
          <w:szCs w:val="24"/>
          <w:highlight w:val="none"/>
        </w:rPr>
        <w:t xml:space="preserve"> </w:t>
      </w:r>
      <w:r>
        <w:rPr>
          <w:rFonts w:ascii="宋体" w:hAnsi="宋体" w:eastAsia="宋体" w:cs="宋体"/>
          <w:color w:val="auto"/>
          <w:spacing w:val="-2"/>
          <w:sz w:val="24"/>
          <w:szCs w:val="24"/>
          <w:highlight w:val="none"/>
        </w:rPr>
        <w:t>”并公开的业绩，具体时间要求见投标人须知前附表。</w:t>
      </w:r>
    </w:p>
    <w:p w14:paraId="26ECF7FF">
      <w:pPr>
        <w:spacing w:before="3" w:line="359" w:lineRule="auto"/>
        <w:ind w:left="8" w:firstLine="468"/>
        <w:jc w:val="both"/>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“近年完成的类似项目情况表</w:t>
      </w:r>
      <w:r>
        <w:rPr>
          <w:rFonts w:ascii="宋体" w:hAnsi="宋体" w:eastAsia="宋体" w:cs="宋体"/>
          <w:color w:val="auto"/>
          <w:spacing w:val="-67"/>
          <w:sz w:val="24"/>
          <w:szCs w:val="24"/>
          <w:highlight w:val="none"/>
        </w:rPr>
        <w:t xml:space="preserve"> </w:t>
      </w:r>
      <w:r>
        <w:rPr>
          <w:rFonts w:ascii="宋体" w:hAnsi="宋体" w:eastAsia="宋体" w:cs="宋体"/>
          <w:color w:val="auto"/>
          <w:spacing w:val="4"/>
          <w:sz w:val="24"/>
          <w:szCs w:val="24"/>
          <w:highlight w:val="none"/>
        </w:rPr>
        <w:t>”应附在交通运输部“全国公路建设市场监督管理</w:t>
      </w:r>
      <w:r>
        <w:rPr>
          <w:rFonts w:ascii="宋体" w:hAnsi="宋体" w:eastAsia="宋体" w:cs="宋体"/>
          <w:color w:val="auto"/>
          <w:spacing w:val="3"/>
          <w:sz w:val="24"/>
          <w:szCs w:val="24"/>
          <w:highlight w:val="none"/>
        </w:rPr>
        <w:t>系统</w:t>
      </w:r>
      <w:r>
        <w:rPr>
          <w:rFonts w:ascii="宋体" w:hAnsi="宋体" w:eastAsia="宋体" w:cs="宋体"/>
          <w:color w:val="auto"/>
          <w:spacing w:val="-81"/>
          <w:sz w:val="24"/>
          <w:szCs w:val="24"/>
          <w:highlight w:val="none"/>
        </w:rPr>
        <w:t xml:space="preserve"> </w:t>
      </w:r>
      <w:r>
        <w:rPr>
          <w:rFonts w:ascii="宋体" w:hAnsi="宋体" w:eastAsia="宋体" w:cs="宋体"/>
          <w:color w:val="auto"/>
          <w:spacing w:val="3"/>
          <w:sz w:val="24"/>
          <w:szCs w:val="24"/>
          <w:highlight w:val="none"/>
        </w:rPr>
        <w:t>”中查询到的企业“业绩信息</w:t>
      </w:r>
      <w:r>
        <w:rPr>
          <w:rFonts w:ascii="宋体" w:hAnsi="宋体" w:eastAsia="宋体" w:cs="宋体"/>
          <w:color w:val="auto"/>
          <w:spacing w:val="-83"/>
          <w:sz w:val="24"/>
          <w:szCs w:val="24"/>
          <w:highlight w:val="none"/>
        </w:rPr>
        <w:t xml:space="preserve"> </w:t>
      </w:r>
      <w:r>
        <w:rPr>
          <w:rFonts w:ascii="宋体" w:hAnsi="宋体" w:eastAsia="宋体" w:cs="宋体"/>
          <w:color w:val="auto"/>
          <w:spacing w:val="3"/>
          <w:sz w:val="24"/>
          <w:szCs w:val="24"/>
          <w:highlight w:val="none"/>
        </w:rPr>
        <w:t>”相关项目网页截图扫描件（或网页</w:t>
      </w:r>
      <w:r>
        <w:rPr>
          <w:rFonts w:ascii="宋体" w:hAnsi="宋体" w:eastAsia="宋体" w:cs="宋体"/>
          <w:color w:val="auto"/>
          <w:spacing w:val="2"/>
          <w:sz w:val="24"/>
          <w:szCs w:val="24"/>
          <w:highlight w:val="none"/>
        </w:rPr>
        <w:t>打印件）。即</w:t>
      </w:r>
      <w:r>
        <w:rPr>
          <w:rFonts w:ascii="宋体" w:hAnsi="宋体" w:eastAsia="宋体" w:cs="宋体"/>
          <w:color w:val="auto"/>
          <w:spacing w:val="1"/>
          <w:sz w:val="24"/>
          <w:szCs w:val="24"/>
          <w:highlight w:val="none"/>
        </w:rPr>
        <w:t>包括“项目名称</w:t>
      </w:r>
      <w:r>
        <w:rPr>
          <w:rFonts w:ascii="宋体" w:hAnsi="宋体" w:eastAsia="宋体" w:cs="宋体"/>
          <w:color w:val="auto"/>
          <w:spacing w:val="-83"/>
          <w:sz w:val="24"/>
          <w:szCs w:val="24"/>
          <w:highlight w:val="none"/>
        </w:rPr>
        <w:t xml:space="preserve"> </w:t>
      </w:r>
      <w:r>
        <w:rPr>
          <w:rFonts w:ascii="宋体" w:hAnsi="宋体" w:eastAsia="宋体" w:cs="宋体"/>
          <w:color w:val="auto"/>
          <w:spacing w:val="1"/>
          <w:sz w:val="24"/>
          <w:szCs w:val="24"/>
          <w:highlight w:val="none"/>
        </w:rPr>
        <w:t>”、“标段类型</w:t>
      </w:r>
      <w:r>
        <w:rPr>
          <w:rFonts w:ascii="宋体" w:hAnsi="宋体" w:eastAsia="宋体" w:cs="宋体"/>
          <w:color w:val="auto"/>
          <w:spacing w:val="-83"/>
          <w:sz w:val="24"/>
          <w:szCs w:val="24"/>
          <w:highlight w:val="none"/>
        </w:rPr>
        <w:t xml:space="preserve"> </w:t>
      </w:r>
      <w:r>
        <w:rPr>
          <w:rFonts w:ascii="宋体" w:hAnsi="宋体" w:eastAsia="宋体" w:cs="宋体"/>
          <w:color w:val="auto"/>
          <w:spacing w:val="1"/>
          <w:sz w:val="24"/>
          <w:szCs w:val="24"/>
          <w:highlight w:val="none"/>
        </w:rPr>
        <w:t>”、“合同价</w:t>
      </w:r>
      <w:r>
        <w:rPr>
          <w:rFonts w:ascii="宋体" w:hAnsi="宋体" w:eastAsia="宋体" w:cs="宋体"/>
          <w:color w:val="auto"/>
          <w:spacing w:val="-81"/>
          <w:sz w:val="24"/>
          <w:szCs w:val="24"/>
          <w:highlight w:val="none"/>
        </w:rPr>
        <w:t xml:space="preserve"> </w:t>
      </w:r>
      <w:r>
        <w:rPr>
          <w:rFonts w:ascii="宋体" w:hAnsi="宋体" w:eastAsia="宋体" w:cs="宋体"/>
          <w:color w:val="auto"/>
          <w:spacing w:val="1"/>
          <w:sz w:val="24"/>
          <w:szCs w:val="24"/>
          <w:highlight w:val="none"/>
        </w:rPr>
        <w:t>”、“主要工程量</w:t>
      </w:r>
      <w:r>
        <w:rPr>
          <w:rFonts w:ascii="宋体" w:hAnsi="宋体" w:eastAsia="宋体" w:cs="宋体"/>
          <w:color w:val="auto"/>
          <w:spacing w:val="-83"/>
          <w:sz w:val="24"/>
          <w:szCs w:val="24"/>
          <w:highlight w:val="none"/>
        </w:rPr>
        <w:t xml:space="preserve"> </w:t>
      </w:r>
      <w:r>
        <w:rPr>
          <w:rFonts w:ascii="宋体" w:hAnsi="宋体" w:eastAsia="宋体" w:cs="宋体"/>
          <w:color w:val="auto"/>
          <w:spacing w:val="1"/>
          <w:sz w:val="24"/>
          <w:szCs w:val="24"/>
          <w:highlight w:val="none"/>
        </w:rPr>
        <w:t>”等栏目在内</w:t>
      </w:r>
      <w:r>
        <w:rPr>
          <w:rFonts w:ascii="宋体" w:hAnsi="宋体" w:eastAsia="宋体" w:cs="宋体"/>
          <w:color w:val="auto"/>
          <w:sz w:val="24"/>
          <w:szCs w:val="24"/>
          <w:highlight w:val="none"/>
        </w:rPr>
        <w:t>的项目</w:t>
      </w:r>
      <w:r>
        <w:rPr>
          <w:rFonts w:ascii="宋体" w:hAnsi="宋体" w:eastAsia="宋体" w:cs="宋体"/>
          <w:color w:val="auto"/>
          <w:spacing w:val="5"/>
          <w:sz w:val="24"/>
          <w:szCs w:val="24"/>
          <w:highlight w:val="none"/>
        </w:rPr>
        <w:t>详细信息网页截图扫描件（或网页打印件）。在交通运输部“全国公路建设</w:t>
      </w:r>
      <w:r>
        <w:rPr>
          <w:rFonts w:ascii="宋体" w:hAnsi="宋体" w:eastAsia="宋体" w:cs="宋体"/>
          <w:color w:val="auto"/>
          <w:spacing w:val="4"/>
          <w:sz w:val="24"/>
          <w:szCs w:val="24"/>
          <w:highlight w:val="none"/>
        </w:rPr>
        <w:t>市场监督</w:t>
      </w:r>
      <w:r>
        <w:rPr>
          <w:rFonts w:ascii="宋体" w:hAnsi="宋体" w:eastAsia="宋体" w:cs="宋体"/>
          <w:color w:val="auto"/>
          <w:spacing w:val="1"/>
          <w:sz w:val="24"/>
          <w:szCs w:val="24"/>
          <w:highlight w:val="none"/>
        </w:rPr>
        <w:t>管理系统</w:t>
      </w:r>
      <w:r>
        <w:rPr>
          <w:rFonts w:ascii="宋体" w:hAnsi="宋体" w:eastAsia="宋体" w:cs="宋体"/>
          <w:color w:val="auto"/>
          <w:spacing w:val="-86"/>
          <w:sz w:val="24"/>
          <w:szCs w:val="24"/>
          <w:highlight w:val="none"/>
        </w:rPr>
        <w:t xml:space="preserve"> </w:t>
      </w:r>
      <w:r>
        <w:rPr>
          <w:rFonts w:ascii="宋体" w:hAnsi="宋体" w:eastAsia="宋体" w:cs="宋体"/>
          <w:color w:val="auto"/>
          <w:spacing w:val="1"/>
          <w:sz w:val="24"/>
          <w:szCs w:val="24"/>
          <w:highlight w:val="none"/>
        </w:rPr>
        <w:t>”中无法查询，但可在省级交通运输主管部门“公路建设市场监督管理系统</w:t>
      </w:r>
      <w:r>
        <w:rPr>
          <w:rFonts w:ascii="宋体" w:hAnsi="宋体" w:eastAsia="宋体" w:cs="宋体"/>
          <w:color w:val="auto"/>
          <w:spacing w:val="-88"/>
          <w:sz w:val="24"/>
          <w:szCs w:val="24"/>
          <w:highlight w:val="none"/>
        </w:rPr>
        <w:t xml:space="preserve"> </w:t>
      </w:r>
      <w:r>
        <w:rPr>
          <w:rFonts w:ascii="宋体" w:hAnsi="宋体" w:eastAsia="宋体" w:cs="宋体"/>
          <w:color w:val="auto"/>
          <w:spacing w:val="1"/>
          <w:sz w:val="24"/>
          <w:szCs w:val="24"/>
          <w:highlight w:val="none"/>
        </w:rPr>
        <w:t>”</w:t>
      </w:r>
      <w:bookmarkStart w:id="131" w:name="bookmark103"/>
      <w:bookmarkEnd w:id="131"/>
      <w:bookmarkStart w:id="132" w:name="bookmark104"/>
      <w:bookmarkEnd w:id="132"/>
      <w:bookmarkStart w:id="133" w:name="bookmark105"/>
      <w:bookmarkEnd w:id="133"/>
      <w:r>
        <w:rPr>
          <w:rFonts w:ascii="宋体" w:hAnsi="宋体" w:eastAsia="宋体" w:cs="宋体"/>
          <w:color w:val="auto"/>
          <w:spacing w:val="4"/>
          <w:sz w:val="24"/>
          <w:szCs w:val="24"/>
          <w:highlight w:val="none"/>
        </w:rPr>
        <w:t>中查询的，应附省级交通运输主管部门“公路建设市场监督管理系统</w:t>
      </w:r>
      <w:r>
        <w:rPr>
          <w:rFonts w:ascii="宋体" w:hAnsi="宋体" w:eastAsia="宋体" w:cs="宋体"/>
          <w:color w:val="auto"/>
          <w:spacing w:val="-83"/>
          <w:sz w:val="24"/>
          <w:szCs w:val="24"/>
          <w:highlight w:val="none"/>
        </w:rPr>
        <w:t xml:space="preserve"> </w:t>
      </w:r>
      <w:r>
        <w:rPr>
          <w:rFonts w:ascii="宋体" w:hAnsi="宋体" w:eastAsia="宋体" w:cs="宋体"/>
          <w:color w:val="auto"/>
          <w:spacing w:val="4"/>
          <w:sz w:val="24"/>
          <w:szCs w:val="24"/>
          <w:highlight w:val="none"/>
        </w:rPr>
        <w:t>”中查</w:t>
      </w:r>
      <w:r>
        <w:rPr>
          <w:rFonts w:ascii="宋体" w:hAnsi="宋体" w:eastAsia="宋体" w:cs="宋体"/>
          <w:color w:val="auto"/>
          <w:spacing w:val="3"/>
          <w:sz w:val="24"/>
          <w:szCs w:val="24"/>
          <w:highlight w:val="none"/>
        </w:rPr>
        <w:t>询到以上</w:t>
      </w:r>
    </w:p>
    <w:p w14:paraId="5830A668">
      <w:pPr>
        <w:spacing w:line="276" w:lineRule="auto"/>
        <w:rPr>
          <w:rFonts w:ascii="Arial"/>
          <w:color w:val="auto"/>
          <w:sz w:val="21"/>
          <w:highlight w:val="none"/>
        </w:rPr>
      </w:pPr>
      <w:r>
        <w:rPr>
          <w:color w:val="auto"/>
          <w:highlight w:val="none"/>
        </w:rPr>
        <w:pict>
          <v:shape id="_x0000_s1064" o:spid="_x0000_s1064" style="position:absolute;left:0pt;margin-left:0pt;margin-top:9.4pt;height:0pt;width:144pt;z-index:251677696;mso-width-relative:page;mso-height-relative:page;" filled="f" stroked="t" coordsize="2880,0" path="m0,0l2880,0e">
            <v:fill on="f" focussize="0,0"/>
            <v:stroke weight="0pt" color="#000000" miterlimit="0" joinstyle="bevel" endcap="square"/>
            <v:imagedata o:title=""/>
            <o:lock v:ext="edit"/>
          </v:shape>
        </w:pict>
      </w:r>
    </w:p>
    <w:p w14:paraId="20D69021">
      <w:pPr>
        <w:spacing w:before="59" w:line="217" w:lineRule="auto"/>
        <w:ind w:left="5"/>
        <w:rPr>
          <w:rFonts w:ascii="宋体" w:hAnsi="宋体" w:eastAsia="宋体" w:cs="宋体"/>
          <w:color w:val="auto"/>
          <w:sz w:val="18"/>
          <w:szCs w:val="18"/>
          <w:highlight w:val="none"/>
        </w:rPr>
      </w:pPr>
      <w:r>
        <w:rPr>
          <w:rFonts w:ascii="宋体" w:hAnsi="宋体" w:eastAsia="宋体" w:cs="宋体"/>
          <w:color w:val="auto"/>
          <w:sz w:val="18"/>
          <w:szCs w:val="18"/>
          <w:highlight w:val="none"/>
        </w:rPr>
        <w:t>① 不适用于房建工程施工监理单独进行招标以及资质最低要求为省级相关部门许可资质的监</w:t>
      </w:r>
      <w:r>
        <w:rPr>
          <w:rFonts w:ascii="宋体" w:hAnsi="宋体" w:eastAsia="宋体" w:cs="宋体"/>
          <w:color w:val="auto"/>
          <w:spacing w:val="-1"/>
          <w:sz w:val="18"/>
          <w:szCs w:val="18"/>
          <w:highlight w:val="none"/>
        </w:rPr>
        <w:t>理企业的情形。</w:t>
      </w:r>
    </w:p>
    <w:p w14:paraId="76C4075C">
      <w:pPr>
        <w:spacing w:before="139" w:line="217" w:lineRule="auto"/>
        <w:ind w:left="4"/>
        <w:rPr>
          <w:rFonts w:ascii="宋体" w:hAnsi="宋体" w:eastAsia="宋体" w:cs="宋体"/>
          <w:color w:val="auto"/>
          <w:sz w:val="18"/>
          <w:szCs w:val="18"/>
          <w:highlight w:val="none"/>
        </w:rPr>
      </w:pPr>
      <w:r>
        <w:rPr>
          <w:rFonts w:ascii="宋体" w:hAnsi="宋体" w:eastAsia="宋体" w:cs="宋体"/>
          <w:color w:val="auto"/>
          <w:spacing w:val="-1"/>
          <w:sz w:val="18"/>
          <w:szCs w:val="18"/>
          <w:highlight w:val="none"/>
        </w:rPr>
        <w:t>②</w:t>
      </w:r>
      <w:r>
        <w:rPr>
          <w:rFonts w:ascii="宋体" w:hAnsi="宋体" w:eastAsia="宋体" w:cs="宋体"/>
          <w:color w:val="auto"/>
          <w:spacing w:val="70"/>
          <w:sz w:val="18"/>
          <w:szCs w:val="18"/>
          <w:highlight w:val="none"/>
        </w:rPr>
        <w:t xml:space="preserve"> </w:t>
      </w:r>
      <w:r>
        <w:rPr>
          <w:rFonts w:ascii="宋体" w:hAnsi="宋体" w:eastAsia="宋体" w:cs="宋体"/>
          <w:color w:val="auto"/>
          <w:spacing w:val="-1"/>
          <w:sz w:val="18"/>
          <w:szCs w:val="18"/>
          <w:highlight w:val="none"/>
        </w:rPr>
        <w:t>适用于资质最低要求为国家相关部门许可资质的监理企业的情形。</w:t>
      </w:r>
    </w:p>
    <w:p w14:paraId="6AA9CAFA">
      <w:pPr>
        <w:spacing w:before="139" w:line="217" w:lineRule="auto"/>
        <w:ind w:left="4"/>
        <w:rPr>
          <w:rFonts w:ascii="宋体" w:hAnsi="宋体" w:eastAsia="宋体" w:cs="宋体"/>
          <w:color w:val="auto"/>
          <w:sz w:val="18"/>
          <w:szCs w:val="18"/>
          <w:highlight w:val="none"/>
        </w:rPr>
      </w:pPr>
      <w:r>
        <w:rPr>
          <w:rFonts w:ascii="宋体" w:hAnsi="宋体" w:eastAsia="宋体" w:cs="宋体"/>
          <w:color w:val="auto"/>
          <w:sz w:val="18"/>
          <w:szCs w:val="18"/>
          <w:highlight w:val="none"/>
        </w:rPr>
        <w:t>③ 适用于资质最低要求为省级相关部门许可资质的监理</w:t>
      </w:r>
      <w:r>
        <w:rPr>
          <w:rFonts w:ascii="宋体" w:hAnsi="宋体" w:eastAsia="宋体" w:cs="宋体"/>
          <w:color w:val="auto"/>
          <w:spacing w:val="-1"/>
          <w:sz w:val="18"/>
          <w:szCs w:val="18"/>
          <w:highlight w:val="none"/>
        </w:rPr>
        <w:t>企业的情形。</w:t>
      </w:r>
    </w:p>
    <w:p w14:paraId="533527E3">
      <w:pPr>
        <w:spacing w:line="217" w:lineRule="auto"/>
        <w:rPr>
          <w:rFonts w:ascii="宋体" w:hAnsi="宋体" w:eastAsia="宋体" w:cs="宋体"/>
          <w:color w:val="auto"/>
          <w:sz w:val="18"/>
          <w:szCs w:val="18"/>
          <w:highlight w:val="none"/>
        </w:rPr>
        <w:sectPr>
          <w:footerReference r:id="rId35" w:type="default"/>
          <w:pgSz w:w="11906" w:h="16839"/>
          <w:pgMar w:top="1323" w:right="1255" w:bottom="1297" w:left="1417" w:header="0" w:footer="1065" w:gutter="0"/>
          <w:pgNumType w:fmt="decimal"/>
          <w:cols w:space="720" w:num="1"/>
        </w:sectPr>
      </w:pPr>
    </w:p>
    <w:p w14:paraId="3A45CF4C">
      <w:pPr>
        <w:spacing w:before="48" w:line="359" w:lineRule="auto"/>
        <w:ind w:left="16" w:hanging="5"/>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信息的网页截图扫描件（或网页打印件）并注明查询路径。除网页截图扫描</w:t>
      </w:r>
      <w:r>
        <w:rPr>
          <w:rFonts w:ascii="宋体" w:hAnsi="宋体" w:eastAsia="宋体" w:cs="宋体"/>
          <w:color w:val="auto"/>
          <w:spacing w:val="4"/>
          <w:sz w:val="24"/>
          <w:szCs w:val="24"/>
          <w:highlight w:val="none"/>
        </w:rPr>
        <w:t>件（或网</w:t>
      </w:r>
      <w:r>
        <w:rPr>
          <w:rFonts w:ascii="宋体" w:hAnsi="宋体" w:eastAsia="宋体" w:cs="宋体"/>
          <w:color w:val="auto"/>
          <w:spacing w:val="-1"/>
          <w:sz w:val="24"/>
          <w:szCs w:val="24"/>
          <w:highlight w:val="none"/>
        </w:rPr>
        <w:t>页打印件）外，投标人无须再提供任何业绩证明材料。</w:t>
      </w:r>
    </w:p>
    <w:p w14:paraId="27ED8DF9">
      <w:pPr>
        <w:spacing w:before="2" w:line="358" w:lineRule="auto"/>
        <w:ind w:left="14" w:firstLine="480"/>
        <w:jc w:val="both"/>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如投标人未提供相关项目网页截图扫描件（或网页打印件</w:t>
      </w:r>
      <w:r>
        <w:rPr>
          <w:rFonts w:ascii="宋体" w:hAnsi="宋体" w:eastAsia="宋体" w:cs="宋体"/>
          <w:color w:val="auto"/>
          <w:spacing w:val="22"/>
          <w:sz w:val="24"/>
          <w:szCs w:val="24"/>
          <w:highlight w:val="none"/>
        </w:rPr>
        <w:t>），</w:t>
      </w:r>
      <w:r>
        <w:rPr>
          <w:rFonts w:ascii="宋体" w:hAnsi="宋体" w:eastAsia="宋体" w:cs="宋体"/>
          <w:color w:val="auto"/>
          <w:spacing w:val="4"/>
          <w:sz w:val="24"/>
          <w:szCs w:val="24"/>
          <w:highlight w:val="none"/>
        </w:rPr>
        <w:t>或网页截图扫描件</w:t>
      </w:r>
      <w:r>
        <w:rPr>
          <w:rFonts w:ascii="宋体" w:hAnsi="宋体" w:eastAsia="宋体" w:cs="宋体"/>
          <w:color w:val="auto"/>
          <w:spacing w:val="5"/>
          <w:sz w:val="24"/>
          <w:szCs w:val="24"/>
          <w:highlight w:val="none"/>
        </w:rPr>
        <w:t>（或网页打印件）中的信息无法证实投标人满足招标文件规定的资格</w:t>
      </w:r>
      <w:r>
        <w:rPr>
          <w:rFonts w:ascii="宋体" w:hAnsi="宋体" w:eastAsia="宋体" w:cs="宋体"/>
          <w:color w:val="auto"/>
          <w:spacing w:val="4"/>
          <w:sz w:val="24"/>
          <w:szCs w:val="24"/>
          <w:highlight w:val="none"/>
        </w:rPr>
        <w:t>审查条件（业绩</w:t>
      </w:r>
      <w:r>
        <w:rPr>
          <w:rFonts w:ascii="宋体" w:hAnsi="宋体" w:eastAsia="宋体" w:cs="宋体"/>
          <w:color w:val="auto"/>
          <w:spacing w:val="-1"/>
          <w:sz w:val="24"/>
          <w:szCs w:val="24"/>
          <w:highlight w:val="none"/>
        </w:rPr>
        <w:t>最低要求）或评标办法评分标准（如有</w:t>
      </w:r>
      <w:r>
        <w:rPr>
          <w:rFonts w:ascii="宋体" w:hAnsi="宋体" w:eastAsia="宋体" w:cs="宋体"/>
          <w:color w:val="auto"/>
          <w:spacing w:val="7"/>
          <w:sz w:val="24"/>
          <w:szCs w:val="24"/>
          <w:highlight w:val="none"/>
        </w:rPr>
        <w:t>），</w:t>
      </w:r>
      <w:r>
        <w:rPr>
          <w:rFonts w:ascii="宋体" w:hAnsi="宋体" w:eastAsia="宋体" w:cs="宋体"/>
          <w:color w:val="auto"/>
          <w:spacing w:val="-1"/>
          <w:sz w:val="24"/>
          <w:szCs w:val="24"/>
          <w:highlight w:val="none"/>
        </w:rPr>
        <w:t>则该项目业绩不予认定。</w:t>
      </w:r>
    </w:p>
    <w:p w14:paraId="50879F4E">
      <w:pPr>
        <w:spacing w:line="359" w:lineRule="auto"/>
        <w:ind w:left="14" w:firstLine="480"/>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如近年来，投标人法人机构发生合法变更或重组或法人名称变更时，应提供相关</w:t>
      </w:r>
      <w:r>
        <w:rPr>
          <w:rFonts w:ascii="宋体" w:hAnsi="宋体" w:eastAsia="宋体" w:cs="宋体"/>
          <w:color w:val="auto"/>
          <w:spacing w:val="-1"/>
          <w:sz w:val="24"/>
          <w:szCs w:val="24"/>
          <w:highlight w:val="none"/>
        </w:rPr>
        <w:t>部门的合法批件或其他相关证明材料来证明其所附业绩的继承性。</w:t>
      </w:r>
    </w:p>
    <w:p w14:paraId="7C772CBE">
      <w:pPr>
        <w:spacing w:line="212" w:lineRule="auto"/>
        <w:ind w:left="496"/>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3.5.2</w:t>
      </w:r>
      <w:r>
        <w:rPr>
          <w:color w:val="auto"/>
          <w:highlight w:val="none"/>
        </w:rPr>
        <w:fldChar w:fldCharType="begin"/>
      </w:r>
      <w:r>
        <w:rPr>
          <w:color w:val="auto"/>
          <w:highlight w:val="none"/>
        </w:rPr>
        <w:instrText xml:space="preserve"> HYPERLINK \l "bookmark106" </w:instrText>
      </w:r>
      <w:r>
        <w:rPr>
          <w:color w:val="auto"/>
          <w:highlight w:val="none"/>
        </w:rPr>
        <w:fldChar w:fldCharType="separate"/>
      </w:r>
      <w:r>
        <w:rPr>
          <w:rFonts w:ascii="宋体" w:hAnsi="宋体" w:eastAsia="宋体" w:cs="宋体"/>
          <w:color w:val="auto"/>
          <w:spacing w:val="-1"/>
          <w:position w:val="10"/>
          <w:sz w:val="10"/>
          <w:szCs w:val="10"/>
          <w:highlight w:val="none"/>
        </w:rPr>
        <w:t>①</w:t>
      </w:r>
      <w:r>
        <w:rPr>
          <w:rFonts w:ascii="宋体" w:hAnsi="宋体" w:eastAsia="宋体" w:cs="宋体"/>
          <w:color w:val="auto"/>
          <w:spacing w:val="-1"/>
          <w:position w:val="10"/>
          <w:sz w:val="10"/>
          <w:szCs w:val="10"/>
          <w:highlight w:val="none"/>
        </w:rPr>
        <w:fldChar w:fldCharType="end"/>
      </w:r>
      <w:r>
        <w:rPr>
          <w:rFonts w:ascii="宋体" w:hAnsi="宋体" w:eastAsia="宋体" w:cs="宋体"/>
          <w:color w:val="auto"/>
          <w:spacing w:val="-1"/>
          <w:sz w:val="24"/>
          <w:szCs w:val="24"/>
          <w:highlight w:val="none"/>
        </w:rPr>
        <w:t>(C)“近年完成的类似项目</w:t>
      </w:r>
      <w:r>
        <w:rPr>
          <w:rFonts w:ascii="宋体" w:hAnsi="宋体" w:eastAsia="宋体" w:cs="宋体"/>
          <w:color w:val="auto"/>
          <w:spacing w:val="-88"/>
          <w:sz w:val="24"/>
          <w:szCs w:val="24"/>
          <w:highlight w:val="none"/>
        </w:rPr>
        <w:t xml:space="preserve"> </w:t>
      </w:r>
      <w:r>
        <w:rPr>
          <w:rFonts w:ascii="宋体" w:hAnsi="宋体" w:eastAsia="宋体" w:cs="宋体"/>
          <w:color w:val="auto"/>
          <w:spacing w:val="-1"/>
          <w:sz w:val="24"/>
          <w:szCs w:val="24"/>
          <w:highlight w:val="none"/>
        </w:rPr>
        <w:t>”具体时间要求见投标人</w:t>
      </w:r>
      <w:r>
        <w:rPr>
          <w:rFonts w:ascii="宋体" w:hAnsi="宋体" w:eastAsia="宋体" w:cs="宋体"/>
          <w:color w:val="auto"/>
          <w:spacing w:val="-2"/>
          <w:sz w:val="24"/>
          <w:szCs w:val="24"/>
          <w:highlight w:val="none"/>
        </w:rPr>
        <w:t>须知前附表。</w:t>
      </w:r>
    </w:p>
    <w:p w14:paraId="606CD6C6">
      <w:pPr>
        <w:spacing w:before="192" w:line="359" w:lineRule="auto"/>
        <w:ind w:left="10" w:firstLine="709"/>
        <w:jc w:val="both"/>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“近年完成的类似项目情况表</w:t>
      </w:r>
      <w:r>
        <w:rPr>
          <w:rFonts w:ascii="宋体" w:hAnsi="宋体" w:eastAsia="宋体" w:cs="宋体"/>
          <w:color w:val="auto"/>
          <w:spacing w:val="-63"/>
          <w:sz w:val="24"/>
          <w:szCs w:val="24"/>
          <w:highlight w:val="none"/>
        </w:rPr>
        <w:t xml:space="preserve"> </w:t>
      </w:r>
      <w:r>
        <w:rPr>
          <w:rFonts w:ascii="宋体" w:hAnsi="宋体" w:eastAsia="宋体" w:cs="宋体"/>
          <w:color w:val="auto"/>
          <w:spacing w:val="4"/>
          <w:sz w:val="24"/>
          <w:szCs w:val="24"/>
          <w:highlight w:val="none"/>
        </w:rPr>
        <w:t>”应同时附合同协议书、项目已交（竣）工证明</w:t>
      </w:r>
      <w:r>
        <w:rPr>
          <w:rFonts w:ascii="宋体" w:hAnsi="宋体" w:eastAsia="宋体" w:cs="宋体"/>
          <w:color w:val="auto"/>
          <w:spacing w:val="5"/>
          <w:sz w:val="24"/>
          <w:szCs w:val="24"/>
          <w:highlight w:val="none"/>
        </w:rPr>
        <w:t>文件（交工验收证书或竣工验收备案表或竣工验收证明材料或建设单位出具的</w:t>
      </w:r>
      <w:r>
        <w:rPr>
          <w:rFonts w:ascii="宋体" w:hAnsi="宋体" w:eastAsia="宋体" w:cs="宋体"/>
          <w:color w:val="auto"/>
          <w:spacing w:val="4"/>
          <w:sz w:val="24"/>
          <w:szCs w:val="24"/>
          <w:highlight w:val="none"/>
        </w:rPr>
        <w:t>完工证</w:t>
      </w:r>
      <w:r>
        <w:rPr>
          <w:rFonts w:ascii="宋体" w:hAnsi="宋体" w:eastAsia="宋体" w:cs="宋体"/>
          <w:color w:val="auto"/>
          <w:spacing w:val="5"/>
          <w:sz w:val="24"/>
          <w:szCs w:val="24"/>
          <w:highlight w:val="none"/>
        </w:rPr>
        <w:t>明或完工验收鉴定书等）扫描件；如果投标人提供的上述证明材料均无法体现</w:t>
      </w:r>
      <w:r>
        <w:rPr>
          <w:rFonts w:ascii="宋体" w:hAnsi="宋体" w:eastAsia="宋体" w:cs="宋体"/>
          <w:color w:val="auto"/>
          <w:spacing w:val="4"/>
          <w:sz w:val="24"/>
          <w:szCs w:val="24"/>
          <w:highlight w:val="none"/>
        </w:rPr>
        <w:t>投标人</w:t>
      </w:r>
      <w:r>
        <w:rPr>
          <w:rFonts w:ascii="宋体" w:hAnsi="宋体" w:eastAsia="宋体" w:cs="宋体"/>
          <w:color w:val="auto"/>
          <w:spacing w:val="5"/>
          <w:sz w:val="24"/>
          <w:szCs w:val="24"/>
          <w:highlight w:val="none"/>
        </w:rPr>
        <w:t>满足招标文件规定的资格审查条件（业绩最低要求）或评标办法评分标准</w:t>
      </w:r>
      <w:r>
        <w:rPr>
          <w:rFonts w:ascii="宋体" w:hAnsi="宋体" w:eastAsia="宋体" w:cs="宋体"/>
          <w:color w:val="auto"/>
          <w:spacing w:val="4"/>
          <w:sz w:val="24"/>
          <w:szCs w:val="24"/>
          <w:highlight w:val="none"/>
        </w:rPr>
        <w:t>（如有</w:t>
      </w:r>
      <w:r>
        <w:rPr>
          <w:rFonts w:ascii="宋体" w:hAnsi="宋体" w:eastAsia="宋体" w:cs="宋体"/>
          <w:color w:val="auto"/>
          <w:spacing w:val="5"/>
          <w:sz w:val="24"/>
          <w:szCs w:val="24"/>
          <w:highlight w:val="none"/>
        </w:rPr>
        <w:t>），则投标人还应提供项目业主（或其上级单位）或行业主管部门出具的证明材料</w:t>
      </w:r>
      <w:r>
        <w:rPr>
          <w:rFonts w:ascii="宋体" w:hAnsi="宋体" w:eastAsia="宋体" w:cs="宋体"/>
          <w:color w:val="auto"/>
          <w:spacing w:val="4"/>
          <w:sz w:val="24"/>
          <w:szCs w:val="24"/>
          <w:highlight w:val="none"/>
        </w:rPr>
        <w:t>的扫描</w:t>
      </w:r>
      <w:r>
        <w:rPr>
          <w:rFonts w:ascii="宋体" w:hAnsi="宋体" w:eastAsia="宋体" w:cs="宋体"/>
          <w:color w:val="auto"/>
          <w:spacing w:val="-5"/>
          <w:sz w:val="24"/>
          <w:szCs w:val="24"/>
          <w:highlight w:val="none"/>
        </w:rPr>
        <w:t>件。</w:t>
      </w:r>
    </w:p>
    <w:p w14:paraId="7C3FD191">
      <w:pPr>
        <w:spacing w:line="359" w:lineRule="auto"/>
        <w:ind w:left="14" w:firstLine="480"/>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如投标人未提供证明材料或证明材料无法证实投标人满足招标文件规定的资格审</w:t>
      </w:r>
      <w:r>
        <w:rPr>
          <w:rFonts w:ascii="宋体" w:hAnsi="宋体" w:eastAsia="宋体" w:cs="宋体"/>
          <w:color w:val="auto"/>
          <w:spacing w:val="-1"/>
          <w:sz w:val="24"/>
          <w:szCs w:val="24"/>
          <w:highlight w:val="none"/>
        </w:rPr>
        <w:t>查条件（业绩最低要求）或评标办法评分标准（如有</w:t>
      </w:r>
      <w:r>
        <w:rPr>
          <w:rFonts w:ascii="宋体" w:hAnsi="宋体" w:eastAsia="宋体" w:cs="宋体"/>
          <w:color w:val="auto"/>
          <w:spacing w:val="10"/>
          <w:sz w:val="24"/>
          <w:szCs w:val="24"/>
          <w:highlight w:val="none"/>
        </w:rPr>
        <w:t>），</w:t>
      </w:r>
      <w:r>
        <w:rPr>
          <w:rFonts w:ascii="宋体" w:hAnsi="宋体" w:eastAsia="宋体" w:cs="宋体"/>
          <w:color w:val="auto"/>
          <w:spacing w:val="-1"/>
          <w:sz w:val="24"/>
          <w:szCs w:val="24"/>
          <w:highlight w:val="none"/>
        </w:rPr>
        <w:t>则该项目业绩不予认定。</w:t>
      </w:r>
    </w:p>
    <w:p w14:paraId="4414F44B">
      <w:pPr>
        <w:spacing w:line="359" w:lineRule="auto"/>
        <w:ind w:left="14" w:firstLine="480"/>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如近年来，投标人法人机构发生合法变更或重组或法人名称变更时，应提供相关</w:t>
      </w:r>
      <w:r>
        <w:rPr>
          <w:rFonts w:ascii="宋体" w:hAnsi="宋体" w:eastAsia="宋体" w:cs="宋体"/>
          <w:color w:val="auto"/>
          <w:spacing w:val="-1"/>
          <w:sz w:val="24"/>
          <w:szCs w:val="24"/>
          <w:highlight w:val="none"/>
        </w:rPr>
        <w:t>部门的合法批件或其他相关证明材料来证明其所附业绩的继承性。</w:t>
      </w:r>
    </w:p>
    <w:p w14:paraId="7C8721D6">
      <w:pPr>
        <w:spacing w:before="2" w:line="312" w:lineRule="auto"/>
        <w:ind w:left="10" w:firstLine="485"/>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3.5.3 “投标人的信誉情况</w:t>
      </w:r>
      <w:r>
        <w:rPr>
          <w:rFonts w:ascii="宋体" w:hAnsi="宋体" w:eastAsia="宋体" w:cs="宋体"/>
          <w:color w:val="auto"/>
          <w:spacing w:val="-81"/>
          <w:sz w:val="24"/>
          <w:szCs w:val="24"/>
          <w:highlight w:val="none"/>
        </w:rPr>
        <w:t xml:space="preserve"> </w:t>
      </w:r>
      <w:r>
        <w:rPr>
          <w:rFonts w:ascii="宋体" w:hAnsi="宋体" w:eastAsia="宋体" w:cs="宋体"/>
          <w:color w:val="auto"/>
          <w:spacing w:val="4"/>
          <w:sz w:val="24"/>
          <w:szCs w:val="24"/>
          <w:highlight w:val="none"/>
        </w:rPr>
        <w:t>”应附投标人在国</w:t>
      </w:r>
      <w:r>
        <w:rPr>
          <w:rFonts w:ascii="宋体" w:hAnsi="宋体" w:eastAsia="宋体" w:cs="宋体"/>
          <w:color w:val="auto"/>
          <w:spacing w:val="3"/>
          <w:sz w:val="24"/>
          <w:szCs w:val="24"/>
          <w:highlight w:val="none"/>
        </w:rPr>
        <w:t>家企业信用信息公示系统中未被列</w:t>
      </w:r>
      <w:r>
        <w:rPr>
          <w:rFonts w:ascii="宋体" w:hAnsi="宋体" w:eastAsia="宋体" w:cs="宋体"/>
          <w:color w:val="auto"/>
          <w:spacing w:val="2"/>
          <w:sz w:val="24"/>
          <w:szCs w:val="24"/>
          <w:highlight w:val="none"/>
        </w:rPr>
        <w:t>入严重违法失信企业名单、在“信用中国</w:t>
      </w:r>
      <w:r>
        <w:rPr>
          <w:rFonts w:ascii="宋体" w:hAnsi="宋体" w:eastAsia="宋体" w:cs="宋体"/>
          <w:color w:val="auto"/>
          <w:spacing w:val="-83"/>
          <w:sz w:val="24"/>
          <w:szCs w:val="24"/>
          <w:highlight w:val="none"/>
        </w:rPr>
        <w:t xml:space="preserve"> </w:t>
      </w:r>
      <w:r>
        <w:rPr>
          <w:rFonts w:ascii="宋体" w:hAnsi="宋体" w:eastAsia="宋体" w:cs="宋体"/>
          <w:color w:val="auto"/>
          <w:spacing w:val="2"/>
          <w:sz w:val="24"/>
          <w:szCs w:val="24"/>
          <w:highlight w:val="none"/>
        </w:rPr>
        <w:t>”或“</w:t>
      </w:r>
      <w:r>
        <w:rPr>
          <w:rFonts w:ascii="宋体" w:hAnsi="宋体" w:eastAsia="宋体" w:cs="宋体"/>
          <w:color w:val="auto"/>
          <w:spacing w:val="-84"/>
          <w:sz w:val="24"/>
          <w:szCs w:val="24"/>
          <w:highlight w:val="none"/>
        </w:rPr>
        <w:t xml:space="preserve"> </w:t>
      </w:r>
      <w:r>
        <w:rPr>
          <w:rFonts w:ascii="宋体" w:hAnsi="宋体" w:eastAsia="宋体" w:cs="宋体"/>
          <w:color w:val="auto"/>
          <w:spacing w:val="2"/>
          <w:sz w:val="24"/>
          <w:szCs w:val="24"/>
          <w:highlight w:val="none"/>
        </w:rPr>
        <w:t>中国执行信息公开网站</w:t>
      </w:r>
      <w:r>
        <w:rPr>
          <w:rFonts w:ascii="宋体" w:hAnsi="宋体" w:eastAsia="宋体" w:cs="宋体"/>
          <w:color w:val="auto"/>
          <w:spacing w:val="-83"/>
          <w:sz w:val="24"/>
          <w:szCs w:val="24"/>
          <w:highlight w:val="none"/>
        </w:rPr>
        <w:t xml:space="preserve"> </w:t>
      </w:r>
      <w:r>
        <w:rPr>
          <w:rFonts w:ascii="宋体" w:hAnsi="宋体" w:eastAsia="宋体" w:cs="宋体"/>
          <w:color w:val="auto"/>
          <w:spacing w:val="2"/>
          <w:sz w:val="24"/>
          <w:szCs w:val="24"/>
          <w:highlight w:val="none"/>
        </w:rPr>
        <w:t>”网站中</w:t>
      </w:r>
      <w:r>
        <w:rPr>
          <w:rFonts w:ascii="宋体" w:hAnsi="宋体" w:eastAsia="宋体" w:cs="宋体"/>
          <w:color w:val="auto"/>
          <w:spacing w:val="1"/>
          <w:sz w:val="24"/>
          <w:szCs w:val="24"/>
          <w:highlight w:val="none"/>
        </w:rPr>
        <w:t>未被</w:t>
      </w:r>
      <w:r>
        <w:rPr>
          <w:rFonts w:ascii="宋体" w:hAnsi="宋体" w:eastAsia="宋体" w:cs="宋体"/>
          <w:color w:val="auto"/>
          <w:spacing w:val="-1"/>
          <w:sz w:val="24"/>
          <w:szCs w:val="24"/>
          <w:highlight w:val="none"/>
        </w:rPr>
        <w:t>列入失信被执行人名单的网页截图扫描件。</w:t>
      </w:r>
    </w:p>
    <w:p w14:paraId="7502C474">
      <w:pPr>
        <w:spacing w:before="164" w:line="334" w:lineRule="auto"/>
        <w:ind w:firstLine="496"/>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3.5.4</w:t>
      </w:r>
      <w:r>
        <w:rPr>
          <w:color w:val="auto"/>
          <w:highlight w:val="none"/>
        </w:rPr>
        <w:fldChar w:fldCharType="begin"/>
      </w:r>
      <w:r>
        <w:rPr>
          <w:color w:val="auto"/>
          <w:highlight w:val="none"/>
        </w:rPr>
        <w:instrText xml:space="preserve"> HYPERLINK \l "bookmark107" </w:instrText>
      </w:r>
      <w:r>
        <w:rPr>
          <w:color w:val="auto"/>
          <w:highlight w:val="none"/>
        </w:rPr>
        <w:fldChar w:fldCharType="separate"/>
      </w:r>
      <w:r>
        <w:rPr>
          <w:rFonts w:ascii="宋体" w:hAnsi="宋体" w:eastAsia="宋体" w:cs="宋体"/>
          <w:color w:val="auto"/>
          <w:spacing w:val="1"/>
          <w:position w:val="12"/>
          <w:sz w:val="12"/>
          <w:szCs w:val="12"/>
          <w:highlight w:val="none"/>
        </w:rPr>
        <w:t>②</w:t>
      </w:r>
      <w:r>
        <w:rPr>
          <w:rFonts w:ascii="宋体" w:hAnsi="宋体" w:eastAsia="宋体" w:cs="宋体"/>
          <w:color w:val="auto"/>
          <w:spacing w:val="1"/>
          <w:position w:val="12"/>
          <w:sz w:val="12"/>
          <w:szCs w:val="12"/>
          <w:highlight w:val="none"/>
        </w:rPr>
        <w:fldChar w:fldCharType="end"/>
      </w:r>
      <w:r>
        <w:rPr>
          <w:rFonts w:ascii="宋体" w:hAnsi="宋体" w:eastAsia="宋体" w:cs="宋体"/>
          <w:color w:val="auto"/>
          <w:spacing w:val="1"/>
          <w:sz w:val="24"/>
          <w:szCs w:val="24"/>
          <w:highlight w:val="none"/>
        </w:rPr>
        <w:t>(A)“拟委任的总监理工程师或驻</w:t>
      </w:r>
      <w:r>
        <w:rPr>
          <w:rFonts w:ascii="宋体" w:hAnsi="宋体" w:eastAsia="宋体" w:cs="宋体"/>
          <w:color w:val="auto"/>
          <w:sz w:val="24"/>
          <w:szCs w:val="24"/>
          <w:highlight w:val="none"/>
        </w:rPr>
        <w:t>地监理工程师资历表</w:t>
      </w:r>
      <w:r>
        <w:rPr>
          <w:rFonts w:ascii="宋体" w:hAnsi="宋体" w:eastAsia="宋体" w:cs="宋体"/>
          <w:color w:val="auto"/>
          <w:spacing w:val="-86"/>
          <w:sz w:val="24"/>
          <w:szCs w:val="24"/>
          <w:highlight w:val="none"/>
        </w:rPr>
        <w:t xml:space="preserve"> </w:t>
      </w:r>
      <w:r>
        <w:rPr>
          <w:rFonts w:ascii="宋体" w:hAnsi="宋体" w:eastAsia="宋体" w:cs="宋体"/>
          <w:color w:val="auto"/>
          <w:sz w:val="24"/>
          <w:szCs w:val="24"/>
          <w:highlight w:val="none"/>
        </w:rPr>
        <w:t>”应同时附：①交通</w:t>
      </w:r>
      <w:r>
        <w:rPr>
          <w:rFonts w:ascii="宋体" w:hAnsi="宋体" w:eastAsia="宋体" w:cs="宋体"/>
          <w:color w:val="auto"/>
          <w:spacing w:val="4"/>
          <w:sz w:val="24"/>
          <w:szCs w:val="24"/>
          <w:highlight w:val="none"/>
        </w:rPr>
        <w:t>运输部“全国公路建设市场监督管理系统</w:t>
      </w:r>
      <w:r>
        <w:rPr>
          <w:rFonts w:ascii="宋体" w:hAnsi="宋体" w:eastAsia="宋体" w:cs="宋体"/>
          <w:color w:val="auto"/>
          <w:spacing w:val="-75"/>
          <w:sz w:val="24"/>
          <w:szCs w:val="24"/>
          <w:highlight w:val="none"/>
        </w:rPr>
        <w:t xml:space="preserve"> </w:t>
      </w:r>
      <w:r>
        <w:rPr>
          <w:rFonts w:ascii="宋体" w:hAnsi="宋体" w:eastAsia="宋体" w:cs="宋体"/>
          <w:color w:val="auto"/>
          <w:spacing w:val="4"/>
          <w:sz w:val="24"/>
          <w:szCs w:val="24"/>
          <w:highlight w:val="none"/>
        </w:rPr>
        <w:t>”中查询到的企业人员信息相关网页截图扫</w:t>
      </w:r>
      <w:r>
        <w:rPr>
          <w:rFonts w:ascii="宋体" w:hAnsi="宋体" w:eastAsia="宋体" w:cs="宋体"/>
          <w:color w:val="auto"/>
          <w:spacing w:val="1"/>
          <w:sz w:val="24"/>
          <w:szCs w:val="24"/>
          <w:highlight w:val="none"/>
        </w:rPr>
        <w:t>描件（网页打印件</w:t>
      </w:r>
      <w:r>
        <w:rPr>
          <w:rFonts w:ascii="宋体" w:hAnsi="宋体" w:eastAsia="宋体" w:cs="宋体"/>
          <w:color w:val="auto"/>
          <w:spacing w:val="25"/>
          <w:sz w:val="24"/>
          <w:szCs w:val="24"/>
          <w:highlight w:val="none"/>
        </w:rPr>
        <w:t>），</w:t>
      </w:r>
      <w:r>
        <w:rPr>
          <w:rFonts w:ascii="宋体" w:hAnsi="宋体" w:eastAsia="宋体" w:cs="宋体"/>
          <w:color w:val="auto"/>
          <w:spacing w:val="1"/>
          <w:sz w:val="24"/>
          <w:szCs w:val="24"/>
          <w:highlight w:val="none"/>
        </w:rPr>
        <w:t>即包括人员的“基本信息</w:t>
      </w:r>
      <w:r>
        <w:rPr>
          <w:rFonts w:ascii="宋体" w:hAnsi="宋体" w:eastAsia="宋体" w:cs="宋体"/>
          <w:color w:val="auto"/>
          <w:spacing w:val="-83"/>
          <w:sz w:val="24"/>
          <w:szCs w:val="24"/>
          <w:highlight w:val="none"/>
        </w:rPr>
        <w:t xml:space="preserve"> </w:t>
      </w:r>
      <w:r>
        <w:rPr>
          <w:rFonts w:ascii="宋体" w:hAnsi="宋体" w:eastAsia="宋体" w:cs="宋体"/>
          <w:color w:val="auto"/>
          <w:spacing w:val="1"/>
          <w:sz w:val="24"/>
          <w:szCs w:val="24"/>
          <w:highlight w:val="none"/>
        </w:rPr>
        <w:t>”、“职称信息</w:t>
      </w:r>
      <w:r>
        <w:rPr>
          <w:rFonts w:ascii="宋体" w:hAnsi="宋体" w:eastAsia="宋体" w:cs="宋体"/>
          <w:color w:val="auto"/>
          <w:spacing w:val="-86"/>
          <w:sz w:val="24"/>
          <w:szCs w:val="24"/>
          <w:highlight w:val="none"/>
        </w:rPr>
        <w:t xml:space="preserve"> </w:t>
      </w:r>
      <w:r>
        <w:rPr>
          <w:rFonts w:ascii="宋体" w:hAnsi="宋体" w:eastAsia="宋体" w:cs="宋体"/>
          <w:color w:val="auto"/>
          <w:spacing w:val="1"/>
          <w:sz w:val="24"/>
          <w:szCs w:val="24"/>
          <w:highlight w:val="none"/>
        </w:rPr>
        <w:t>”、“执业资格</w:t>
      </w:r>
      <w:r>
        <w:rPr>
          <w:rFonts w:ascii="宋体" w:hAnsi="宋体" w:eastAsia="宋体" w:cs="宋体"/>
          <w:color w:val="auto"/>
          <w:spacing w:val="-83"/>
          <w:sz w:val="24"/>
          <w:szCs w:val="24"/>
          <w:highlight w:val="none"/>
        </w:rPr>
        <w:t xml:space="preserve"> </w:t>
      </w:r>
      <w:r>
        <w:rPr>
          <w:rFonts w:ascii="宋体" w:hAnsi="宋体" w:eastAsia="宋体" w:cs="宋体"/>
          <w:color w:val="auto"/>
          <w:spacing w:val="1"/>
          <w:sz w:val="24"/>
          <w:szCs w:val="24"/>
          <w:highlight w:val="none"/>
        </w:rPr>
        <w:t>”、</w:t>
      </w:r>
      <w:r>
        <w:rPr>
          <w:rFonts w:ascii="宋体" w:hAnsi="宋体" w:eastAsia="宋体" w:cs="宋体"/>
          <w:color w:val="auto"/>
          <w:sz w:val="24"/>
          <w:szCs w:val="24"/>
          <w:highlight w:val="none"/>
        </w:rPr>
        <w:t xml:space="preserve"> </w:t>
      </w:r>
      <w:r>
        <w:rPr>
          <w:rFonts w:ascii="宋体" w:hAnsi="宋体" w:eastAsia="宋体" w:cs="宋体"/>
          <w:color w:val="auto"/>
          <w:spacing w:val="4"/>
          <w:sz w:val="24"/>
          <w:szCs w:val="24"/>
          <w:highlight w:val="none"/>
        </w:rPr>
        <w:t>“个人业绩</w:t>
      </w:r>
      <w:r>
        <w:rPr>
          <w:rFonts w:ascii="宋体" w:hAnsi="宋体" w:eastAsia="宋体" w:cs="宋体"/>
          <w:color w:val="auto"/>
          <w:spacing w:val="-75"/>
          <w:sz w:val="24"/>
          <w:szCs w:val="24"/>
          <w:highlight w:val="none"/>
        </w:rPr>
        <w:t xml:space="preserve"> </w:t>
      </w:r>
      <w:r>
        <w:rPr>
          <w:rFonts w:ascii="宋体" w:hAnsi="宋体" w:eastAsia="宋体" w:cs="宋体"/>
          <w:color w:val="auto"/>
          <w:spacing w:val="4"/>
          <w:sz w:val="24"/>
          <w:szCs w:val="24"/>
          <w:highlight w:val="none"/>
        </w:rPr>
        <w:t>”等栏目在内）的网页截图扫描件（或网页打印件）。②交通运输工程监</w:t>
      </w:r>
      <w:r>
        <w:rPr>
          <w:rFonts w:ascii="宋体" w:hAnsi="宋体" w:eastAsia="宋体" w:cs="宋体"/>
          <w:color w:val="auto"/>
          <w:sz w:val="24"/>
          <w:szCs w:val="24"/>
          <w:highlight w:val="none"/>
        </w:rPr>
        <w:t>理工程师注册服务系统截图。</w:t>
      </w:r>
    </w:p>
    <w:p w14:paraId="7BB68C38">
      <w:pPr>
        <w:spacing w:before="181" w:line="362" w:lineRule="auto"/>
        <w:ind w:left="23" w:firstLine="472"/>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如投标人未提供相关网页截图扫描件（或网页打印件</w:t>
      </w:r>
      <w:r>
        <w:rPr>
          <w:rFonts w:ascii="宋体" w:hAnsi="宋体" w:eastAsia="宋体" w:cs="宋体"/>
          <w:color w:val="auto"/>
          <w:spacing w:val="22"/>
          <w:sz w:val="24"/>
          <w:szCs w:val="24"/>
          <w:highlight w:val="none"/>
        </w:rPr>
        <w:t>），</w:t>
      </w:r>
      <w:r>
        <w:rPr>
          <w:rFonts w:ascii="宋体" w:hAnsi="宋体" w:eastAsia="宋体" w:cs="宋体"/>
          <w:color w:val="auto"/>
          <w:spacing w:val="4"/>
          <w:sz w:val="24"/>
          <w:szCs w:val="24"/>
          <w:highlight w:val="none"/>
        </w:rPr>
        <w:t>或相关网页截图扫描件</w:t>
      </w:r>
      <w:bookmarkStart w:id="134" w:name="bookmark106"/>
      <w:bookmarkEnd w:id="134"/>
      <w:bookmarkStart w:id="135" w:name="bookmark107"/>
      <w:bookmarkEnd w:id="135"/>
      <w:r>
        <w:rPr>
          <w:rFonts w:ascii="宋体" w:hAnsi="宋体" w:eastAsia="宋体" w:cs="宋体"/>
          <w:color w:val="auto"/>
          <w:spacing w:val="5"/>
          <w:sz w:val="24"/>
          <w:szCs w:val="24"/>
          <w:highlight w:val="none"/>
        </w:rPr>
        <w:t>（或网页打印件）中的信息无法证实投标人满足</w:t>
      </w:r>
      <w:r>
        <w:rPr>
          <w:rFonts w:ascii="宋体" w:hAnsi="宋体" w:eastAsia="宋体" w:cs="宋体"/>
          <w:color w:val="auto"/>
          <w:spacing w:val="4"/>
          <w:sz w:val="24"/>
          <w:szCs w:val="24"/>
          <w:highlight w:val="none"/>
        </w:rPr>
        <w:t>招标文件规定的资格审查条件（人员</w:t>
      </w:r>
    </w:p>
    <w:p w14:paraId="3B757BB8">
      <w:pPr>
        <w:spacing w:line="391" w:lineRule="auto"/>
        <w:rPr>
          <w:rFonts w:ascii="Arial"/>
          <w:color w:val="auto"/>
          <w:sz w:val="21"/>
          <w:highlight w:val="none"/>
        </w:rPr>
      </w:pPr>
      <w:r>
        <w:rPr>
          <w:color w:val="auto"/>
          <w:highlight w:val="none"/>
        </w:rPr>
        <w:pict>
          <v:shape id="_x0000_s1065" o:spid="_x0000_s1065" style="position:absolute;left:0pt;margin-left:0.15pt;margin-top:15.05pt;height:0pt;width:144pt;z-index:251678720;mso-width-relative:page;mso-height-relative:page;" filled="f" stroked="t" coordsize="2880,0" path="m0,0l2880,0e">
            <v:fill on="f" focussize="0,0"/>
            <v:stroke weight="0pt" color="#000000" miterlimit="0" joinstyle="bevel" endcap="square"/>
            <v:imagedata o:title=""/>
            <o:lock v:ext="edit"/>
          </v:shape>
        </w:pict>
      </w:r>
    </w:p>
    <w:p w14:paraId="4A440A31">
      <w:pPr>
        <w:spacing w:before="59" w:line="217" w:lineRule="auto"/>
        <w:ind w:left="8"/>
        <w:rPr>
          <w:rFonts w:ascii="宋体" w:hAnsi="宋体" w:eastAsia="宋体" w:cs="宋体"/>
          <w:color w:val="auto"/>
          <w:sz w:val="18"/>
          <w:szCs w:val="18"/>
          <w:highlight w:val="none"/>
        </w:rPr>
      </w:pPr>
      <w:r>
        <w:rPr>
          <w:rFonts w:ascii="宋体" w:hAnsi="宋体" w:eastAsia="宋体" w:cs="宋体"/>
          <w:color w:val="auto"/>
          <w:spacing w:val="-1"/>
          <w:sz w:val="18"/>
          <w:szCs w:val="18"/>
          <w:highlight w:val="none"/>
        </w:rPr>
        <w:t>① 适用于房建监理单独招标的情形。</w:t>
      </w:r>
    </w:p>
    <w:p w14:paraId="2BB9AB8C">
      <w:pPr>
        <w:spacing w:before="18" w:line="220" w:lineRule="auto"/>
        <w:ind w:left="8"/>
        <w:rPr>
          <w:rFonts w:ascii="宋体" w:hAnsi="宋体" w:eastAsia="宋体" w:cs="宋体"/>
          <w:color w:val="auto"/>
          <w:sz w:val="18"/>
          <w:szCs w:val="18"/>
          <w:highlight w:val="none"/>
        </w:rPr>
      </w:pPr>
      <w:r>
        <w:rPr>
          <w:rFonts w:ascii="宋体" w:hAnsi="宋体" w:eastAsia="宋体" w:cs="宋体"/>
          <w:color w:val="auto"/>
          <w:sz w:val="18"/>
          <w:szCs w:val="18"/>
          <w:highlight w:val="none"/>
        </w:rPr>
        <w:t>② 适用于资质最低要求为国家相关部门许可资质的监理</w:t>
      </w:r>
      <w:r>
        <w:rPr>
          <w:rFonts w:ascii="宋体" w:hAnsi="宋体" w:eastAsia="宋体" w:cs="宋体"/>
          <w:color w:val="auto"/>
          <w:spacing w:val="-1"/>
          <w:sz w:val="18"/>
          <w:szCs w:val="18"/>
          <w:highlight w:val="none"/>
        </w:rPr>
        <w:t>企业的情形。</w:t>
      </w:r>
    </w:p>
    <w:p w14:paraId="720B27F4">
      <w:pPr>
        <w:spacing w:line="220" w:lineRule="auto"/>
        <w:rPr>
          <w:rFonts w:ascii="宋体" w:hAnsi="宋体" w:eastAsia="宋体" w:cs="宋体"/>
          <w:color w:val="auto"/>
          <w:sz w:val="18"/>
          <w:szCs w:val="18"/>
          <w:highlight w:val="none"/>
        </w:rPr>
        <w:sectPr>
          <w:footerReference r:id="rId36" w:type="default"/>
          <w:pgSz w:w="11906" w:h="16839"/>
          <w:pgMar w:top="1405" w:right="1417" w:bottom="1297" w:left="1413" w:header="0" w:footer="1067" w:gutter="0"/>
          <w:pgNumType w:fmt="decimal"/>
          <w:cols w:space="720" w:num="1"/>
        </w:sectPr>
      </w:pPr>
    </w:p>
    <w:p w14:paraId="435C5BBC">
      <w:pPr>
        <w:spacing w:before="48" w:line="219" w:lineRule="auto"/>
        <w:ind w:left="11"/>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最低要求）或评标办法评分标准（如有</w:t>
      </w:r>
      <w:r>
        <w:rPr>
          <w:rFonts w:ascii="宋体" w:hAnsi="宋体" w:eastAsia="宋体" w:cs="宋体"/>
          <w:color w:val="auto"/>
          <w:spacing w:val="8"/>
          <w:sz w:val="24"/>
          <w:szCs w:val="24"/>
          <w:highlight w:val="none"/>
        </w:rPr>
        <w:t>），</w:t>
      </w:r>
      <w:r>
        <w:rPr>
          <w:rFonts w:ascii="宋体" w:hAnsi="宋体" w:eastAsia="宋体" w:cs="宋体"/>
          <w:color w:val="auto"/>
          <w:spacing w:val="-1"/>
          <w:sz w:val="24"/>
          <w:szCs w:val="24"/>
          <w:highlight w:val="none"/>
        </w:rPr>
        <w:t>则该人员相应信息不予认定。</w:t>
      </w:r>
    </w:p>
    <w:p w14:paraId="4D574CF7">
      <w:pPr>
        <w:spacing w:before="180" w:line="359" w:lineRule="auto"/>
        <w:ind w:left="8" w:right="8" w:firstLine="478"/>
        <w:jc w:val="both"/>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③投标人所属社保机构出具的拟委任的总监理工程师（以及备选人，如有）或驻地监理工程师（以及备选人，如有）的社保缴费证明或其他有效社保证明材</w:t>
      </w:r>
      <w:r>
        <w:rPr>
          <w:rFonts w:ascii="宋体" w:hAnsi="宋体" w:eastAsia="宋体" w:cs="宋体"/>
          <w:color w:val="auto"/>
          <w:spacing w:val="4"/>
          <w:sz w:val="24"/>
          <w:szCs w:val="24"/>
          <w:highlight w:val="none"/>
        </w:rPr>
        <w:t>料扫描件</w:t>
      </w:r>
      <w:r>
        <w:rPr>
          <w:rFonts w:ascii="宋体" w:hAnsi="宋体" w:eastAsia="宋体" w:cs="宋体"/>
          <w:color w:val="auto"/>
          <w:spacing w:val="5"/>
          <w:sz w:val="24"/>
          <w:szCs w:val="24"/>
          <w:highlight w:val="none"/>
        </w:rPr>
        <w:t>（社保时段为投标文件递交截止日前半年时间内连续不少于三个月，总公司</w:t>
      </w:r>
      <w:r>
        <w:rPr>
          <w:rFonts w:ascii="宋体" w:hAnsi="宋体" w:eastAsia="宋体" w:cs="宋体"/>
          <w:color w:val="auto"/>
          <w:spacing w:val="4"/>
          <w:sz w:val="24"/>
          <w:szCs w:val="24"/>
          <w:highlight w:val="none"/>
        </w:rPr>
        <w:t>参与投标</w:t>
      </w:r>
      <w:r>
        <w:rPr>
          <w:rFonts w:ascii="宋体" w:hAnsi="宋体" w:eastAsia="宋体" w:cs="宋体"/>
          <w:color w:val="auto"/>
          <w:spacing w:val="-1"/>
          <w:sz w:val="24"/>
          <w:szCs w:val="24"/>
          <w:highlight w:val="none"/>
        </w:rPr>
        <w:t>的，提供的分公司人员的社保也视为有效）。</w:t>
      </w:r>
    </w:p>
    <w:p w14:paraId="78B59FAD">
      <w:pPr>
        <w:spacing w:line="218" w:lineRule="auto"/>
        <w:ind w:left="502"/>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除上述资料外，投标人无需再提供任何证明</w:t>
      </w:r>
      <w:r>
        <w:rPr>
          <w:rFonts w:ascii="宋体" w:hAnsi="宋体" w:eastAsia="宋体" w:cs="宋体"/>
          <w:color w:val="auto"/>
          <w:spacing w:val="-2"/>
          <w:sz w:val="24"/>
          <w:szCs w:val="24"/>
          <w:highlight w:val="none"/>
        </w:rPr>
        <w:t>材料。</w:t>
      </w:r>
    </w:p>
    <w:p w14:paraId="61AB58C4">
      <w:pPr>
        <w:spacing w:before="182" w:line="359" w:lineRule="auto"/>
        <w:ind w:left="12" w:right="8" w:firstLine="480"/>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如总监理工程师（以及备选人，如有）或驻地监</w:t>
      </w:r>
      <w:r>
        <w:rPr>
          <w:rFonts w:ascii="宋体" w:hAnsi="宋体" w:eastAsia="宋体" w:cs="宋体"/>
          <w:color w:val="auto"/>
          <w:spacing w:val="4"/>
          <w:sz w:val="24"/>
          <w:szCs w:val="24"/>
          <w:highlight w:val="none"/>
        </w:rPr>
        <w:t>理工程师（以及备选人，如有）</w:t>
      </w:r>
      <w:r>
        <w:rPr>
          <w:rFonts w:ascii="宋体" w:hAnsi="宋体" w:eastAsia="宋体" w:cs="宋体"/>
          <w:color w:val="auto"/>
          <w:spacing w:val="5"/>
          <w:sz w:val="24"/>
          <w:szCs w:val="24"/>
          <w:highlight w:val="none"/>
        </w:rPr>
        <w:t>目前仍在其他项目上任职，则投标人应按投标函的格式承诺上述人</w:t>
      </w:r>
      <w:r>
        <w:rPr>
          <w:rFonts w:ascii="宋体" w:hAnsi="宋体" w:eastAsia="宋体" w:cs="宋体"/>
          <w:color w:val="auto"/>
          <w:spacing w:val="4"/>
          <w:sz w:val="24"/>
          <w:szCs w:val="24"/>
          <w:highlight w:val="none"/>
        </w:rPr>
        <w:t>员能够从该项目撤</w:t>
      </w:r>
      <w:r>
        <w:rPr>
          <w:rFonts w:ascii="宋体" w:hAnsi="宋体" w:eastAsia="宋体" w:cs="宋体"/>
          <w:color w:val="auto"/>
          <w:spacing w:val="-5"/>
          <w:sz w:val="24"/>
          <w:szCs w:val="24"/>
          <w:highlight w:val="none"/>
        </w:rPr>
        <w:t>离）。</w:t>
      </w:r>
    </w:p>
    <w:p w14:paraId="5E343F59">
      <w:pPr>
        <w:spacing w:before="3" w:line="331" w:lineRule="auto"/>
        <w:ind w:left="8" w:firstLine="484"/>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3.5.4</w:t>
      </w:r>
      <w:r>
        <w:rPr>
          <w:color w:val="auto"/>
          <w:highlight w:val="none"/>
        </w:rPr>
        <w:fldChar w:fldCharType="begin"/>
      </w:r>
      <w:r>
        <w:rPr>
          <w:color w:val="auto"/>
          <w:highlight w:val="none"/>
        </w:rPr>
        <w:instrText xml:space="preserve"> HYPERLINK \l "bookmark108" </w:instrText>
      </w:r>
      <w:r>
        <w:rPr>
          <w:color w:val="auto"/>
          <w:highlight w:val="none"/>
        </w:rPr>
        <w:fldChar w:fldCharType="separate"/>
      </w:r>
      <w:r>
        <w:rPr>
          <w:rFonts w:ascii="宋体" w:hAnsi="宋体" w:eastAsia="宋体" w:cs="宋体"/>
          <w:color w:val="auto"/>
          <w:spacing w:val="4"/>
          <w:position w:val="10"/>
          <w:sz w:val="10"/>
          <w:szCs w:val="10"/>
          <w:highlight w:val="none"/>
        </w:rPr>
        <w:t>①</w:t>
      </w:r>
      <w:r>
        <w:rPr>
          <w:rFonts w:ascii="宋体" w:hAnsi="宋体" w:eastAsia="宋体" w:cs="宋体"/>
          <w:color w:val="auto"/>
          <w:spacing w:val="4"/>
          <w:position w:val="10"/>
          <w:sz w:val="10"/>
          <w:szCs w:val="10"/>
          <w:highlight w:val="none"/>
        </w:rPr>
        <w:fldChar w:fldCharType="end"/>
      </w:r>
      <w:r>
        <w:rPr>
          <w:rFonts w:ascii="宋体" w:hAnsi="宋体" w:eastAsia="宋体" w:cs="宋体"/>
          <w:color w:val="auto"/>
          <w:spacing w:val="4"/>
          <w:sz w:val="24"/>
          <w:szCs w:val="24"/>
          <w:highlight w:val="none"/>
        </w:rPr>
        <w:t>(B) “拟委任的总监理工程师或驻地监理工程师资历表</w:t>
      </w:r>
      <w:r>
        <w:rPr>
          <w:rFonts w:ascii="宋体" w:hAnsi="宋体" w:eastAsia="宋体" w:cs="宋体"/>
          <w:color w:val="auto"/>
          <w:spacing w:val="-81"/>
          <w:sz w:val="24"/>
          <w:szCs w:val="24"/>
          <w:highlight w:val="none"/>
        </w:rPr>
        <w:t xml:space="preserve"> </w:t>
      </w:r>
      <w:r>
        <w:rPr>
          <w:rFonts w:ascii="宋体" w:hAnsi="宋体" w:eastAsia="宋体" w:cs="宋体"/>
          <w:color w:val="auto"/>
          <w:spacing w:val="4"/>
          <w:sz w:val="24"/>
          <w:szCs w:val="24"/>
          <w:highlight w:val="none"/>
        </w:rPr>
        <w:t>”应同时附</w:t>
      </w:r>
      <w:r>
        <w:rPr>
          <w:rFonts w:ascii="宋体" w:hAnsi="宋体" w:eastAsia="宋体" w:cs="宋体"/>
          <w:color w:val="auto"/>
          <w:spacing w:val="3"/>
          <w:sz w:val="24"/>
          <w:szCs w:val="24"/>
          <w:highlight w:val="none"/>
        </w:rPr>
        <w:t>：①总</w:t>
      </w:r>
      <w:r>
        <w:rPr>
          <w:rFonts w:ascii="宋体" w:hAnsi="宋体" w:eastAsia="宋体" w:cs="宋体"/>
          <w:color w:val="auto"/>
          <w:spacing w:val="-1"/>
          <w:sz w:val="24"/>
          <w:szCs w:val="24"/>
          <w:highlight w:val="none"/>
        </w:rPr>
        <w:t>监理工程师（以及备选人，如有）或驻地监理工程师（以</w:t>
      </w:r>
      <w:r>
        <w:rPr>
          <w:rFonts w:ascii="宋体" w:hAnsi="宋体" w:eastAsia="宋体" w:cs="宋体"/>
          <w:color w:val="auto"/>
          <w:spacing w:val="-2"/>
          <w:sz w:val="24"/>
          <w:szCs w:val="24"/>
          <w:highlight w:val="none"/>
        </w:rPr>
        <w:t>及备选人，如有）的身份证、</w:t>
      </w:r>
      <w:r>
        <w:rPr>
          <w:rFonts w:ascii="宋体" w:hAnsi="宋体" w:eastAsia="宋体" w:cs="宋体"/>
          <w:color w:val="auto"/>
          <w:spacing w:val="10"/>
          <w:sz w:val="24"/>
          <w:szCs w:val="24"/>
          <w:highlight w:val="none"/>
        </w:rPr>
        <w:t>职称资格证书（如职称证书不能体现专业类型的，还应提供最高学历证书）</w:t>
      </w:r>
      <w:r>
        <w:rPr>
          <w:rFonts w:ascii="宋体" w:hAnsi="宋体" w:eastAsia="宋体" w:cs="宋体"/>
          <w:color w:val="auto"/>
          <w:spacing w:val="-59"/>
          <w:sz w:val="24"/>
          <w:szCs w:val="24"/>
          <w:highlight w:val="none"/>
        </w:rPr>
        <w:t xml:space="preserve"> </w:t>
      </w:r>
      <w:r>
        <w:rPr>
          <w:rFonts w:ascii="宋体" w:hAnsi="宋体" w:eastAsia="宋体" w:cs="宋体"/>
          <w:color w:val="auto"/>
          <w:spacing w:val="10"/>
          <w:sz w:val="24"/>
          <w:szCs w:val="24"/>
          <w:highlight w:val="none"/>
        </w:rPr>
        <w:t>、注册</w:t>
      </w:r>
      <w:r>
        <w:rPr>
          <w:rFonts w:ascii="宋体" w:hAnsi="宋体" w:eastAsia="宋体" w:cs="宋体"/>
          <w:color w:val="auto"/>
          <w:spacing w:val="5"/>
          <w:sz w:val="24"/>
          <w:szCs w:val="24"/>
          <w:highlight w:val="none"/>
        </w:rPr>
        <w:t>（或从业登记）截图和资格审查条件所要求的其他相关证书（如公路工程监</w:t>
      </w:r>
      <w:r>
        <w:rPr>
          <w:rFonts w:ascii="宋体" w:hAnsi="宋体" w:eastAsia="宋体" w:cs="宋体"/>
          <w:color w:val="auto"/>
          <w:spacing w:val="4"/>
          <w:sz w:val="24"/>
          <w:szCs w:val="24"/>
          <w:highlight w:val="none"/>
        </w:rPr>
        <w:t>理工程师</w:t>
      </w:r>
      <w:r>
        <w:rPr>
          <w:rFonts w:ascii="宋体" w:hAnsi="宋体" w:eastAsia="宋体" w:cs="宋体"/>
          <w:color w:val="auto"/>
          <w:spacing w:val="-2"/>
          <w:sz w:val="24"/>
          <w:szCs w:val="24"/>
          <w:highlight w:val="none"/>
        </w:rPr>
        <w:t>证书）扫描件。</w:t>
      </w:r>
    </w:p>
    <w:p w14:paraId="7835EEC1">
      <w:pPr>
        <w:spacing w:before="180" w:line="324" w:lineRule="auto"/>
        <w:ind w:left="8" w:right="8" w:firstLine="478"/>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②投标人所属社保机构出具的拟委任的总监理工程师（以及备选人，如有）或驻地监理工程师（以及备选人，如有）的社保缴费证明或其他有效社保证明材</w:t>
      </w:r>
      <w:r>
        <w:rPr>
          <w:rFonts w:ascii="宋体" w:hAnsi="宋体" w:eastAsia="宋体" w:cs="宋体"/>
          <w:color w:val="auto"/>
          <w:spacing w:val="4"/>
          <w:sz w:val="24"/>
          <w:szCs w:val="24"/>
          <w:highlight w:val="none"/>
        </w:rPr>
        <w:t>料扫描件</w:t>
      </w:r>
      <w:r>
        <w:rPr>
          <w:rFonts w:ascii="宋体" w:hAnsi="宋体" w:eastAsia="宋体" w:cs="宋体"/>
          <w:color w:val="auto"/>
          <w:spacing w:val="5"/>
          <w:sz w:val="24"/>
          <w:szCs w:val="24"/>
          <w:highlight w:val="none"/>
        </w:rPr>
        <w:t>或扫描件（社保时段为投标文件递交截止日前半年时间内连续不少于三个月</w:t>
      </w:r>
      <w:r>
        <w:rPr>
          <w:rFonts w:ascii="宋体" w:hAnsi="宋体" w:eastAsia="宋体" w:cs="宋体"/>
          <w:color w:val="auto"/>
          <w:spacing w:val="4"/>
          <w:sz w:val="24"/>
          <w:szCs w:val="24"/>
          <w:highlight w:val="none"/>
        </w:rPr>
        <w:t>，总公司</w:t>
      </w:r>
      <w:r>
        <w:rPr>
          <w:rFonts w:ascii="宋体" w:hAnsi="宋体" w:eastAsia="宋体" w:cs="宋体"/>
          <w:color w:val="auto"/>
          <w:spacing w:val="-1"/>
          <w:sz w:val="24"/>
          <w:szCs w:val="24"/>
          <w:highlight w:val="none"/>
        </w:rPr>
        <w:t>参与投标的，提供的分公司人员的社保也视为有效）。</w:t>
      </w:r>
    </w:p>
    <w:p w14:paraId="728FC4E2">
      <w:pPr>
        <w:spacing w:before="187" w:line="339" w:lineRule="auto"/>
        <w:ind w:left="7" w:firstLine="479"/>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③交通运输部“全国公路建设市场监督管理系统</w:t>
      </w:r>
      <w:r>
        <w:rPr>
          <w:rFonts w:ascii="宋体" w:hAnsi="宋体" w:eastAsia="宋体" w:cs="宋体"/>
          <w:color w:val="auto"/>
          <w:spacing w:val="-77"/>
          <w:sz w:val="24"/>
          <w:szCs w:val="24"/>
          <w:highlight w:val="none"/>
        </w:rPr>
        <w:t xml:space="preserve"> </w:t>
      </w:r>
      <w:r>
        <w:rPr>
          <w:rFonts w:ascii="宋体" w:hAnsi="宋体" w:eastAsia="宋体" w:cs="宋体"/>
          <w:color w:val="auto"/>
          <w:spacing w:val="4"/>
          <w:sz w:val="24"/>
          <w:szCs w:val="24"/>
          <w:highlight w:val="none"/>
        </w:rPr>
        <w:t>”中载明的、能够证明总监理工</w:t>
      </w:r>
      <w:r>
        <w:rPr>
          <w:rFonts w:ascii="宋体" w:hAnsi="宋体" w:eastAsia="宋体" w:cs="宋体"/>
          <w:color w:val="auto"/>
          <w:spacing w:val="5"/>
          <w:sz w:val="24"/>
          <w:szCs w:val="24"/>
          <w:highlight w:val="none"/>
        </w:rPr>
        <w:t>程师或驻地监理工程师具有相关业绩的网页截图。在交通运输部“全国公路建设市场</w:t>
      </w:r>
      <w:r>
        <w:rPr>
          <w:rFonts w:ascii="宋体" w:hAnsi="宋体" w:eastAsia="宋体" w:cs="宋体"/>
          <w:color w:val="auto"/>
          <w:spacing w:val="4"/>
          <w:sz w:val="24"/>
          <w:szCs w:val="24"/>
          <w:highlight w:val="none"/>
        </w:rPr>
        <w:t>监督管理系统</w:t>
      </w:r>
      <w:r>
        <w:rPr>
          <w:rFonts w:ascii="宋体" w:hAnsi="宋体" w:eastAsia="宋体" w:cs="宋体"/>
          <w:color w:val="auto"/>
          <w:spacing w:val="-83"/>
          <w:sz w:val="24"/>
          <w:szCs w:val="24"/>
          <w:highlight w:val="none"/>
        </w:rPr>
        <w:t xml:space="preserve"> </w:t>
      </w:r>
      <w:r>
        <w:rPr>
          <w:rFonts w:ascii="宋体" w:hAnsi="宋体" w:eastAsia="宋体" w:cs="宋体"/>
          <w:color w:val="auto"/>
          <w:spacing w:val="4"/>
          <w:sz w:val="24"/>
          <w:szCs w:val="24"/>
          <w:highlight w:val="none"/>
        </w:rPr>
        <w:t>”中无法查询的，但可在省级交通运输主管部门“公路建设市场</w:t>
      </w:r>
      <w:r>
        <w:rPr>
          <w:rFonts w:ascii="宋体" w:hAnsi="宋体" w:eastAsia="宋体" w:cs="宋体"/>
          <w:color w:val="auto"/>
          <w:spacing w:val="3"/>
          <w:sz w:val="24"/>
          <w:szCs w:val="24"/>
          <w:highlight w:val="none"/>
        </w:rPr>
        <w:t>监督管理系统</w:t>
      </w:r>
      <w:r>
        <w:rPr>
          <w:rFonts w:ascii="宋体" w:hAnsi="宋体" w:eastAsia="宋体" w:cs="宋体"/>
          <w:color w:val="auto"/>
          <w:spacing w:val="-81"/>
          <w:sz w:val="24"/>
          <w:szCs w:val="24"/>
          <w:highlight w:val="none"/>
        </w:rPr>
        <w:t xml:space="preserve"> </w:t>
      </w:r>
      <w:r>
        <w:rPr>
          <w:rFonts w:ascii="宋体" w:hAnsi="宋体" w:eastAsia="宋体" w:cs="宋体"/>
          <w:color w:val="auto"/>
          <w:spacing w:val="3"/>
          <w:sz w:val="24"/>
          <w:szCs w:val="24"/>
          <w:highlight w:val="none"/>
        </w:rPr>
        <w:t>”中查询的，应附省级交通运输主管部门“公路建设市场监督</w:t>
      </w:r>
      <w:r>
        <w:rPr>
          <w:rFonts w:ascii="宋体" w:hAnsi="宋体" w:eastAsia="宋体" w:cs="宋体"/>
          <w:color w:val="auto"/>
          <w:spacing w:val="2"/>
          <w:sz w:val="24"/>
          <w:szCs w:val="24"/>
          <w:highlight w:val="none"/>
        </w:rPr>
        <w:t>管理系统</w:t>
      </w:r>
      <w:r>
        <w:rPr>
          <w:rFonts w:ascii="宋体" w:hAnsi="宋体" w:eastAsia="宋体" w:cs="宋体"/>
          <w:color w:val="auto"/>
          <w:spacing w:val="-81"/>
          <w:sz w:val="24"/>
          <w:szCs w:val="24"/>
          <w:highlight w:val="none"/>
        </w:rPr>
        <w:t xml:space="preserve"> </w:t>
      </w:r>
      <w:r>
        <w:rPr>
          <w:rFonts w:ascii="宋体" w:hAnsi="宋体" w:eastAsia="宋体" w:cs="宋体"/>
          <w:color w:val="auto"/>
          <w:spacing w:val="2"/>
          <w:sz w:val="24"/>
          <w:szCs w:val="24"/>
          <w:highlight w:val="none"/>
        </w:rPr>
        <w:t>”中查</w:t>
      </w:r>
      <w:r>
        <w:rPr>
          <w:rFonts w:ascii="宋体" w:hAnsi="宋体" w:eastAsia="宋体" w:cs="宋体"/>
          <w:color w:val="auto"/>
          <w:spacing w:val="5"/>
          <w:sz w:val="24"/>
          <w:szCs w:val="24"/>
          <w:highlight w:val="none"/>
        </w:rPr>
        <w:t>询到的网页截图。除网页截图外，投标人无需再提供任何业绩证明材料。如投</w:t>
      </w:r>
      <w:r>
        <w:rPr>
          <w:rFonts w:ascii="宋体" w:hAnsi="宋体" w:eastAsia="宋体" w:cs="宋体"/>
          <w:color w:val="auto"/>
          <w:spacing w:val="4"/>
          <w:sz w:val="24"/>
          <w:szCs w:val="24"/>
          <w:highlight w:val="none"/>
        </w:rPr>
        <w:t>标人未</w:t>
      </w:r>
      <w:r>
        <w:rPr>
          <w:rFonts w:ascii="宋体" w:hAnsi="宋体" w:eastAsia="宋体" w:cs="宋体"/>
          <w:color w:val="auto"/>
          <w:spacing w:val="5"/>
          <w:sz w:val="24"/>
          <w:szCs w:val="24"/>
          <w:highlight w:val="none"/>
        </w:rPr>
        <w:t>提供相关业绩网页截图或相关业绩网页截图中的信息无法证实投标人满足招标</w:t>
      </w:r>
      <w:r>
        <w:rPr>
          <w:rFonts w:ascii="宋体" w:hAnsi="宋体" w:eastAsia="宋体" w:cs="宋体"/>
          <w:color w:val="auto"/>
          <w:spacing w:val="4"/>
          <w:sz w:val="24"/>
          <w:szCs w:val="24"/>
          <w:highlight w:val="none"/>
        </w:rPr>
        <w:t>文件规</w:t>
      </w:r>
      <w:r>
        <w:rPr>
          <w:rFonts w:ascii="宋体" w:hAnsi="宋体" w:eastAsia="宋体" w:cs="宋体"/>
          <w:color w:val="auto"/>
          <w:spacing w:val="-2"/>
          <w:sz w:val="24"/>
          <w:szCs w:val="24"/>
          <w:highlight w:val="none"/>
        </w:rPr>
        <w:t>定的资格审查条件（总监理工程师或驻地监理工程师最低要求</w:t>
      </w:r>
      <w:r>
        <w:rPr>
          <w:rFonts w:ascii="宋体" w:hAnsi="宋体" w:eastAsia="宋体" w:cs="宋体"/>
          <w:color w:val="auto"/>
          <w:spacing w:val="11"/>
          <w:sz w:val="24"/>
          <w:szCs w:val="24"/>
          <w:highlight w:val="none"/>
        </w:rPr>
        <w:t>），</w:t>
      </w:r>
      <w:r>
        <w:rPr>
          <w:rFonts w:ascii="宋体" w:hAnsi="宋体" w:eastAsia="宋体" w:cs="宋体"/>
          <w:color w:val="auto"/>
          <w:spacing w:val="-2"/>
          <w:sz w:val="24"/>
          <w:szCs w:val="24"/>
          <w:highlight w:val="none"/>
        </w:rPr>
        <w:t>则该业绩不予认定。</w:t>
      </w:r>
    </w:p>
    <w:p w14:paraId="67C6C74D">
      <w:pPr>
        <w:spacing w:before="180" w:line="219" w:lineRule="auto"/>
        <w:ind w:left="502"/>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除上述资料外，投标人无需再提供任何证明</w:t>
      </w:r>
      <w:r>
        <w:rPr>
          <w:rFonts w:ascii="宋体" w:hAnsi="宋体" w:eastAsia="宋体" w:cs="宋体"/>
          <w:color w:val="auto"/>
          <w:spacing w:val="-2"/>
          <w:sz w:val="24"/>
          <w:szCs w:val="24"/>
          <w:highlight w:val="none"/>
        </w:rPr>
        <w:t>材料。</w:t>
      </w:r>
    </w:p>
    <w:p w14:paraId="646AB528">
      <w:pPr>
        <w:spacing w:before="180" w:line="361" w:lineRule="auto"/>
        <w:ind w:left="12" w:right="8" w:firstLine="480"/>
        <w:rPr>
          <w:rFonts w:ascii="宋体" w:hAnsi="宋体" w:eastAsia="宋体" w:cs="宋体"/>
          <w:color w:val="auto"/>
          <w:sz w:val="24"/>
          <w:szCs w:val="24"/>
          <w:highlight w:val="none"/>
        </w:rPr>
      </w:pPr>
      <w:r>
        <w:rPr>
          <w:color w:val="auto"/>
          <w:highlight w:val="none"/>
        </w:rPr>
        <w:pict>
          <v:shape id="_x0000_s1066" o:spid="_x0000_s1066" style="position:absolute;left:0pt;margin-left:0pt;margin-top:76.95pt;height:0pt;width:144pt;z-index:251679744;mso-width-relative:page;mso-height-relative:page;" filled="f" stroked="t" coordsize="2880,0" path="m0,0l2880,0e">
            <v:fill on="f" focussize="0,0"/>
            <v:stroke weight="0pt" color="#000000" miterlimit="0" joinstyle="bevel" endcap="square"/>
            <v:imagedata o:title=""/>
            <o:lock v:ext="edit"/>
          </v:shape>
        </w:pict>
      </w:r>
      <w:r>
        <w:rPr>
          <w:rFonts w:ascii="宋体" w:hAnsi="宋体" w:eastAsia="宋体" w:cs="宋体"/>
          <w:color w:val="auto"/>
          <w:spacing w:val="5"/>
          <w:sz w:val="24"/>
          <w:szCs w:val="24"/>
          <w:highlight w:val="none"/>
        </w:rPr>
        <w:t>如总监理工程师（以及备选人，如有）或驻地监</w:t>
      </w:r>
      <w:r>
        <w:rPr>
          <w:rFonts w:ascii="宋体" w:hAnsi="宋体" w:eastAsia="宋体" w:cs="宋体"/>
          <w:color w:val="auto"/>
          <w:spacing w:val="4"/>
          <w:sz w:val="24"/>
          <w:szCs w:val="24"/>
          <w:highlight w:val="none"/>
        </w:rPr>
        <w:t>理工程师（以及备选人，如有）</w:t>
      </w:r>
      <w:r>
        <w:rPr>
          <w:rFonts w:ascii="宋体" w:hAnsi="宋体" w:eastAsia="宋体" w:cs="宋体"/>
          <w:color w:val="auto"/>
          <w:spacing w:val="5"/>
          <w:sz w:val="24"/>
          <w:szCs w:val="24"/>
          <w:highlight w:val="none"/>
        </w:rPr>
        <w:t>目前仍在其他项目上任职，则投标人应按投标函的格式承诺上述人</w:t>
      </w:r>
      <w:r>
        <w:rPr>
          <w:rFonts w:ascii="宋体" w:hAnsi="宋体" w:eastAsia="宋体" w:cs="宋体"/>
          <w:color w:val="auto"/>
          <w:spacing w:val="4"/>
          <w:sz w:val="24"/>
          <w:szCs w:val="24"/>
          <w:highlight w:val="none"/>
        </w:rPr>
        <w:t>员能够从该项目撤</w:t>
      </w:r>
      <w:bookmarkStart w:id="136" w:name="bookmark108"/>
      <w:bookmarkEnd w:id="136"/>
      <w:r>
        <w:rPr>
          <w:rFonts w:ascii="宋体" w:hAnsi="宋体" w:eastAsia="宋体" w:cs="宋体"/>
          <w:color w:val="auto"/>
          <w:spacing w:val="-5"/>
          <w:sz w:val="24"/>
          <w:szCs w:val="24"/>
          <w:highlight w:val="none"/>
        </w:rPr>
        <w:t>离）。</w:t>
      </w:r>
    </w:p>
    <w:p w14:paraId="4FFB4279">
      <w:pPr>
        <w:spacing w:before="102" w:line="217" w:lineRule="auto"/>
        <w:ind w:left="5"/>
        <w:rPr>
          <w:rFonts w:ascii="宋体" w:hAnsi="宋体" w:eastAsia="宋体" w:cs="宋体"/>
          <w:color w:val="auto"/>
          <w:sz w:val="18"/>
          <w:szCs w:val="18"/>
          <w:highlight w:val="none"/>
        </w:rPr>
      </w:pPr>
      <w:r>
        <w:rPr>
          <w:rFonts w:ascii="宋体" w:hAnsi="宋体" w:eastAsia="宋体" w:cs="宋体"/>
          <w:color w:val="auto"/>
          <w:spacing w:val="-1"/>
          <w:sz w:val="18"/>
          <w:szCs w:val="18"/>
          <w:highlight w:val="none"/>
        </w:rPr>
        <w:t>①</w:t>
      </w:r>
      <w:r>
        <w:rPr>
          <w:rFonts w:ascii="宋体" w:hAnsi="宋体" w:eastAsia="宋体" w:cs="宋体"/>
          <w:color w:val="auto"/>
          <w:spacing w:val="69"/>
          <w:sz w:val="18"/>
          <w:szCs w:val="18"/>
          <w:highlight w:val="none"/>
        </w:rPr>
        <w:t xml:space="preserve"> </w:t>
      </w:r>
      <w:r>
        <w:rPr>
          <w:rFonts w:ascii="宋体" w:hAnsi="宋体" w:eastAsia="宋体" w:cs="宋体"/>
          <w:color w:val="auto"/>
          <w:spacing w:val="-1"/>
          <w:sz w:val="18"/>
          <w:szCs w:val="18"/>
          <w:highlight w:val="none"/>
        </w:rPr>
        <w:t>适用于资质最低要求为省级相关部门许可资质的监理企业的情形。</w:t>
      </w:r>
    </w:p>
    <w:p w14:paraId="36D5B1A5">
      <w:pPr>
        <w:spacing w:line="217" w:lineRule="auto"/>
        <w:rPr>
          <w:rFonts w:ascii="宋体" w:hAnsi="宋体" w:eastAsia="宋体" w:cs="宋体"/>
          <w:color w:val="auto"/>
          <w:sz w:val="18"/>
          <w:szCs w:val="18"/>
          <w:highlight w:val="none"/>
        </w:rPr>
        <w:sectPr>
          <w:footerReference r:id="rId37" w:type="default"/>
          <w:pgSz w:w="11906" w:h="16839"/>
          <w:pgMar w:top="1405" w:right="1409" w:bottom="1297" w:left="1417" w:header="0" w:footer="1067" w:gutter="0"/>
          <w:pgNumType w:fmt="decimal"/>
          <w:cols w:space="720" w:num="1"/>
        </w:sectPr>
      </w:pPr>
    </w:p>
    <w:p w14:paraId="7447E68C">
      <w:pPr>
        <w:spacing w:before="47" w:line="331" w:lineRule="auto"/>
        <w:ind w:left="8" w:firstLine="484"/>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3.5.4</w:t>
      </w:r>
      <w:r>
        <w:rPr>
          <w:color w:val="auto"/>
          <w:highlight w:val="none"/>
        </w:rPr>
        <w:fldChar w:fldCharType="begin"/>
      </w:r>
      <w:r>
        <w:rPr>
          <w:color w:val="auto"/>
          <w:highlight w:val="none"/>
        </w:rPr>
        <w:instrText xml:space="preserve"> HYPERLINK \l "bookmark109" </w:instrText>
      </w:r>
      <w:r>
        <w:rPr>
          <w:color w:val="auto"/>
          <w:highlight w:val="none"/>
        </w:rPr>
        <w:fldChar w:fldCharType="separate"/>
      </w:r>
      <w:r>
        <w:rPr>
          <w:rFonts w:ascii="宋体" w:hAnsi="宋体" w:eastAsia="宋体" w:cs="宋体"/>
          <w:color w:val="auto"/>
          <w:spacing w:val="2"/>
          <w:position w:val="10"/>
          <w:sz w:val="10"/>
          <w:szCs w:val="10"/>
          <w:highlight w:val="none"/>
        </w:rPr>
        <w:t>①</w:t>
      </w:r>
      <w:r>
        <w:rPr>
          <w:rFonts w:ascii="宋体" w:hAnsi="宋体" w:eastAsia="宋体" w:cs="宋体"/>
          <w:color w:val="auto"/>
          <w:spacing w:val="2"/>
          <w:position w:val="10"/>
          <w:sz w:val="10"/>
          <w:szCs w:val="10"/>
          <w:highlight w:val="none"/>
        </w:rPr>
        <w:fldChar w:fldCharType="end"/>
      </w:r>
      <w:r>
        <w:rPr>
          <w:rFonts w:ascii="宋体" w:hAnsi="宋体" w:eastAsia="宋体" w:cs="宋体"/>
          <w:color w:val="auto"/>
          <w:spacing w:val="2"/>
          <w:sz w:val="24"/>
          <w:szCs w:val="24"/>
          <w:highlight w:val="none"/>
        </w:rPr>
        <w:t>(C)</w:t>
      </w:r>
      <w:r>
        <w:rPr>
          <w:rFonts w:ascii="宋体" w:hAnsi="宋体" w:eastAsia="宋体" w:cs="宋体"/>
          <w:color w:val="auto"/>
          <w:spacing w:val="2"/>
          <w:sz w:val="20"/>
          <w:szCs w:val="20"/>
          <w:highlight w:val="none"/>
        </w:rPr>
        <w:t>“</w:t>
      </w:r>
      <w:r>
        <w:rPr>
          <w:rFonts w:ascii="宋体" w:hAnsi="宋体" w:eastAsia="宋体" w:cs="宋体"/>
          <w:color w:val="auto"/>
          <w:spacing w:val="2"/>
          <w:sz w:val="24"/>
          <w:szCs w:val="24"/>
          <w:highlight w:val="none"/>
        </w:rPr>
        <w:t>拟委任的总监理工程师或驻地监理工程师资历表</w:t>
      </w:r>
      <w:r>
        <w:rPr>
          <w:rFonts w:ascii="宋体" w:hAnsi="宋体" w:eastAsia="宋体" w:cs="宋体"/>
          <w:color w:val="auto"/>
          <w:spacing w:val="-81"/>
          <w:sz w:val="24"/>
          <w:szCs w:val="24"/>
          <w:highlight w:val="none"/>
        </w:rPr>
        <w:t xml:space="preserve"> </w:t>
      </w:r>
      <w:r>
        <w:rPr>
          <w:rFonts w:ascii="宋体" w:hAnsi="宋体" w:eastAsia="宋体" w:cs="宋体"/>
          <w:color w:val="auto"/>
          <w:spacing w:val="2"/>
          <w:sz w:val="24"/>
          <w:szCs w:val="24"/>
          <w:highlight w:val="none"/>
        </w:rPr>
        <w:t>”应同时附：①总监</w:t>
      </w:r>
      <w:r>
        <w:rPr>
          <w:rFonts w:ascii="宋体" w:hAnsi="宋体" w:eastAsia="宋体" w:cs="宋体"/>
          <w:color w:val="auto"/>
          <w:spacing w:val="5"/>
          <w:sz w:val="24"/>
          <w:szCs w:val="24"/>
          <w:highlight w:val="none"/>
        </w:rPr>
        <w:t>理工程师（以及备选人，如有）或驻地监理工程师（以及备选人，如有）的身份证、</w:t>
      </w:r>
      <w:r>
        <w:rPr>
          <w:rFonts w:ascii="宋体" w:hAnsi="宋体" w:eastAsia="宋体" w:cs="宋体"/>
          <w:color w:val="auto"/>
          <w:spacing w:val="10"/>
          <w:sz w:val="24"/>
          <w:szCs w:val="24"/>
          <w:highlight w:val="none"/>
        </w:rPr>
        <w:t>职称资格证书（如职称证书不能体现专业类型的，还应提供最高学历证书）</w:t>
      </w:r>
      <w:r>
        <w:rPr>
          <w:rFonts w:ascii="宋体" w:hAnsi="宋体" w:eastAsia="宋体" w:cs="宋体"/>
          <w:color w:val="auto"/>
          <w:spacing w:val="-59"/>
          <w:sz w:val="24"/>
          <w:szCs w:val="24"/>
          <w:highlight w:val="none"/>
        </w:rPr>
        <w:t xml:space="preserve"> </w:t>
      </w:r>
      <w:r>
        <w:rPr>
          <w:rFonts w:ascii="宋体" w:hAnsi="宋体" w:eastAsia="宋体" w:cs="宋体"/>
          <w:color w:val="auto"/>
          <w:spacing w:val="10"/>
          <w:sz w:val="24"/>
          <w:szCs w:val="24"/>
          <w:highlight w:val="none"/>
        </w:rPr>
        <w:t>、注册</w:t>
      </w:r>
      <w:r>
        <w:rPr>
          <w:rFonts w:ascii="宋体" w:hAnsi="宋体" w:eastAsia="宋体" w:cs="宋体"/>
          <w:color w:val="auto"/>
          <w:spacing w:val="5"/>
          <w:sz w:val="24"/>
          <w:szCs w:val="24"/>
          <w:highlight w:val="none"/>
        </w:rPr>
        <w:t>（或从业登记）截图和资格审查条件所要求的其他相关证书（如公路工程监</w:t>
      </w:r>
      <w:r>
        <w:rPr>
          <w:rFonts w:ascii="宋体" w:hAnsi="宋体" w:eastAsia="宋体" w:cs="宋体"/>
          <w:color w:val="auto"/>
          <w:spacing w:val="4"/>
          <w:sz w:val="24"/>
          <w:szCs w:val="24"/>
          <w:highlight w:val="none"/>
        </w:rPr>
        <w:t>理工程师</w:t>
      </w:r>
      <w:r>
        <w:rPr>
          <w:rFonts w:ascii="宋体" w:hAnsi="宋体" w:eastAsia="宋体" w:cs="宋体"/>
          <w:color w:val="auto"/>
          <w:spacing w:val="-2"/>
          <w:sz w:val="24"/>
          <w:szCs w:val="24"/>
          <w:highlight w:val="none"/>
        </w:rPr>
        <w:t>证书）扫描件；</w:t>
      </w:r>
    </w:p>
    <w:p w14:paraId="2D0AC975">
      <w:pPr>
        <w:spacing w:before="182" w:line="324" w:lineRule="auto"/>
        <w:ind w:left="8" w:right="2" w:firstLine="478"/>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②投标人所属社保机构出具的拟委任的总监理工程师（以及备选人，如有）或驻地监理工程师（以及备选人，如有）的社保缴费证明或其他有效社保证明材</w:t>
      </w:r>
      <w:r>
        <w:rPr>
          <w:rFonts w:ascii="宋体" w:hAnsi="宋体" w:eastAsia="宋体" w:cs="宋体"/>
          <w:color w:val="auto"/>
          <w:spacing w:val="4"/>
          <w:sz w:val="24"/>
          <w:szCs w:val="24"/>
          <w:highlight w:val="none"/>
        </w:rPr>
        <w:t>料扫描件</w:t>
      </w:r>
      <w:r>
        <w:rPr>
          <w:rFonts w:ascii="宋体" w:hAnsi="宋体" w:eastAsia="宋体" w:cs="宋体"/>
          <w:color w:val="auto"/>
          <w:spacing w:val="5"/>
          <w:sz w:val="24"/>
          <w:szCs w:val="24"/>
          <w:highlight w:val="none"/>
        </w:rPr>
        <w:t>（社保时段为投标文件递交截止日前半年时间内连续不少于三个月，总公司</w:t>
      </w:r>
      <w:r>
        <w:rPr>
          <w:rFonts w:ascii="宋体" w:hAnsi="宋体" w:eastAsia="宋体" w:cs="宋体"/>
          <w:color w:val="auto"/>
          <w:spacing w:val="4"/>
          <w:sz w:val="24"/>
          <w:szCs w:val="24"/>
          <w:highlight w:val="none"/>
        </w:rPr>
        <w:t>参与投标</w:t>
      </w:r>
      <w:r>
        <w:rPr>
          <w:rFonts w:ascii="宋体" w:hAnsi="宋体" w:eastAsia="宋体" w:cs="宋体"/>
          <w:color w:val="auto"/>
          <w:spacing w:val="-1"/>
          <w:sz w:val="24"/>
          <w:szCs w:val="24"/>
          <w:highlight w:val="none"/>
        </w:rPr>
        <w:t>的，提供的分公司人员的社保也视为有效）。</w:t>
      </w:r>
    </w:p>
    <w:p w14:paraId="32E8ABAA">
      <w:pPr>
        <w:spacing w:before="182" w:line="312" w:lineRule="auto"/>
        <w:ind w:left="7" w:right="2" w:firstLine="479"/>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③相关业绩证明材料（业绩证明材料应是合同协议书、项目已交（竣）工证明文件（交工验收证书或竣工验收备案表或竣工验收证明材料或建设单位出具的完</w:t>
      </w:r>
      <w:r>
        <w:rPr>
          <w:rFonts w:ascii="宋体" w:hAnsi="宋体" w:eastAsia="宋体" w:cs="宋体"/>
          <w:color w:val="auto"/>
          <w:spacing w:val="4"/>
          <w:sz w:val="24"/>
          <w:szCs w:val="24"/>
          <w:highlight w:val="none"/>
        </w:rPr>
        <w:t>工证明</w:t>
      </w:r>
      <w:r>
        <w:rPr>
          <w:rFonts w:ascii="宋体" w:hAnsi="宋体" w:eastAsia="宋体" w:cs="宋体"/>
          <w:color w:val="auto"/>
          <w:spacing w:val="-1"/>
          <w:sz w:val="24"/>
          <w:szCs w:val="24"/>
          <w:highlight w:val="none"/>
        </w:rPr>
        <w:t>或完工验收鉴定书等）扫描件）。</w:t>
      </w:r>
    </w:p>
    <w:p w14:paraId="69592BE1">
      <w:pPr>
        <w:spacing w:before="184" w:line="359" w:lineRule="auto"/>
        <w:ind w:left="9" w:right="2" w:firstLine="482"/>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如投标人提供的上述资料无法证实投标人满足招标文件规定的资格审查条件（总</w:t>
      </w:r>
      <w:r>
        <w:rPr>
          <w:rFonts w:ascii="宋体" w:hAnsi="宋体" w:eastAsia="宋体" w:cs="宋体"/>
          <w:color w:val="auto"/>
          <w:spacing w:val="-1"/>
          <w:sz w:val="24"/>
          <w:szCs w:val="24"/>
          <w:highlight w:val="none"/>
        </w:rPr>
        <w:t>监理工程师或驻地监理工程师最低要求</w:t>
      </w:r>
      <w:r>
        <w:rPr>
          <w:rFonts w:ascii="宋体" w:hAnsi="宋体" w:eastAsia="宋体" w:cs="宋体"/>
          <w:color w:val="auto"/>
          <w:spacing w:val="7"/>
          <w:sz w:val="24"/>
          <w:szCs w:val="24"/>
          <w:highlight w:val="none"/>
        </w:rPr>
        <w:t>），</w:t>
      </w:r>
      <w:r>
        <w:rPr>
          <w:rFonts w:ascii="宋体" w:hAnsi="宋体" w:eastAsia="宋体" w:cs="宋体"/>
          <w:color w:val="auto"/>
          <w:spacing w:val="-1"/>
          <w:sz w:val="24"/>
          <w:szCs w:val="24"/>
          <w:highlight w:val="none"/>
        </w:rPr>
        <w:t>则该业绩不予认定。</w:t>
      </w:r>
    </w:p>
    <w:p w14:paraId="2C8486D8">
      <w:pPr>
        <w:spacing w:before="2" w:line="358" w:lineRule="auto"/>
        <w:ind w:left="12" w:right="2" w:firstLine="480"/>
        <w:jc w:val="both"/>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如总监理工程师（以及备选人，如有）或驻地监</w:t>
      </w:r>
      <w:r>
        <w:rPr>
          <w:rFonts w:ascii="宋体" w:hAnsi="宋体" w:eastAsia="宋体" w:cs="宋体"/>
          <w:color w:val="auto"/>
          <w:spacing w:val="4"/>
          <w:sz w:val="24"/>
          <w:szCs w:val="24"/>
          <w:highlight w:val="none"/>
        </w:rPr>
        <w:t>理工程师（以及备选人，如有）</w:t>
      </w:r>
      <w:r>
        <w:rPr>
          <w:rFonts w:ascii="宋体" w:hAnsi="宋体" w:eastAsia="宋体" w:cs="宋体"/>
          <w:color w:val="auto"/>
          <w:spacing w:val="5"/>
          <w:sz w:val="24"/>
          <w:szCs w:val="24"/>
          <w:highlight w:val="none"/>
        </w:rPr>
        <w:t>目前仍在其他项目上任职，则投标人应按投标函的格式承诺上述人</w:t>
      </w:r>
      <w:r>
        <w:rPr>
          <w:rFonts w:ascii="宋体" w:hAnsi="宋体" w:eastAsia="宋体" w:cs="宋体"/>
          <w:color w:val="auto"/>
          <w:spacing w:val="4"/>
          <w:sz w:val="24"/>
          <w:szCs w:val="24"/>
          <w:highlight w:val="none"/>
        </w:rPr>
        <w:t>员能够从该项目撤</w:t>
      </w:r>
      <w:r>
        <w:rPr>
          <w:rFonts w:ascii="宋体" w:hAnsi="宋体" w:eastAsia="宋体" w:cs="宋体"/>
          <w:color w:val="auto"/>
          <w:spacing w:val="-5"/>
          <w:sz w:val="24"/>
          <w:szCs w:val="24"/>
          <w:highlight w:val="none"/>
        </w:rPr>
        <w:t>离）。</w:t>
      </w:r>
    </w:p>
    <w:p w14:paraId="7543C55C">
      <w:pPr>
        <w:spacing w:before="7" w:line="335" w:lineRule="auto"/>
        <w:ind w:left="7" w:firstLine="485"/>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3.5.5 “拟委任的其他主要监理人员汇总表</w:t>
      </w:r>
      <w:r>
        <w:rPr>
          <w:rFonts w:ascii="宋体" w:hAnsi="宋体" w:eastAsia="宋体" w:cs="宋体"/>
          <w:color w:val="auto"/>
          <w:spacing w:val="-81"/>
          <w:sz w:val="24"/>
          <w:szCs w:val="24"/>
          <w:highlight w:val="none"/>
        </w:rPr>
        <w:t xml:space="preserve"> </w:t>
      </w:r>
      <w:r>
        <w:rPr>
          <w:rFonts w:ascii="宋体" w:hAnsi="宋体" w:eastAsia="宋体" w:cs="宋体"/>
          <w:color w:val="auto"/>
          <w:spacing w:val="4"/>
          <w:sz w:val="24"/>
          <w:szCs w:val="24"/>
          <w:highlight w:val="none"/>
        </w:rPr>
        <w:t>”</w:t>
      </w:r>
      <w:r>
        <w:rPr>
          <w:rFonts w:ascii="宋体" w:hAnsi="宋体" w:eastAsia="宋体" w:cs="宋体"/>
          <w:color w:val="auto"/>
          <w:spacing w:val="3"/>
          <w:sz w:val="24"/>
          <w:szCs w:val="24"/>
          <w:highlight w:val="none"/>
        </w:rPr>
        <w:t>（如有）应填报满足投标人须知前</w:t>
      </w:r>
      <w:r>
        <w:rPr>
          <w:rFonts w:ascii="宋体" w:hAnsi="宋体" w:eastAsia="宋体" w:cs="宋体"/>
          <w:color w:val="auto"/>
          <w:spacing w:val="4"/>
          <w:sz w:val="24"/>
          <w:szCs w:val="24"/>
          <w:highlight w:val="none"/>
        </w:rPr>
        <w:t>附表附录</w:t>
      </w:r>
      <w:r>
        <w:rPr>
          <w:rFonts w:ascii="宋体" w:hAnsi="宋体" w:eastAsia="宋体" w:cs="宋体"/>
          <w:color w:val="auto"/>
          <w:spacing w:val="-41"/>
          <w:sz w:val="24"/>
          <w:szCs w:val="24"/>
          <w:highlight w:val="none"/>
        </w:rPr>
        <w:t xml:space="preserve"> </w:t>
      </w:r>
      <w:r>
        <w:rPr>
          <w:rFonts w:ascii="宋体" w:hAnsi="宋体" w:eastAsia="宋体" w:cs="宋体"/>
          <w:color w:val="auto"/>
          <w:spacing w:val="4"/>
          <w:sz w:val="24"/>
          <w:szCs w:val="24"/>
          <w:highlight w:val="none"/>
        </w:rPr>
        <w:t>5</w:t>
      </w:r>
      <w:r>
        <w:rPr>
          <w:rFonts w:ascii="宋体" w:hAnsi="宋体" w:eastAsia="宋体" w:cs="宋体"/>
          <w:color w:val="auto"/>
          <w:spacing w:val="-45"/>
          <w:sz w:val="24"/>
          <w:szCs w:val="24"/>
          <w:highlight w:val="none"/>
        </w:rPr>
        <w:t xml:space="preserve"> </w:t>
      </w:r>
      <w:r>
        <w:rPr>
          <w:rFonts w:ascii="宋体" w:hAnsi="宋体" w:eastAsia="宋体" w:cs="宋体"/>
          <w:color w:val="auto"/>
          <w:spacing w:val="4"/>
          <w:sz w:val="24"/>
          <w:szCs w:val="24"/>
          <w:highlight w:val="none"/>
        </w:rPr>
        <w:t>规定的其他主要监理人员的相关信息。“拟委任的其他主要监理人员资历表</w:t>
      </w:r>
      <w:r>
        <w:rPr>
          <w:rFonts w:ascii="宋体" w:hAnsi="宋体" w:eastAsia="宋体" w:cs="宋体"/>
          <w:color w:val="auto"/>
          <w:spacing w:val="-84"/>
          <w:sz w:val="24"/>
          <w:szCs w:val="24"/>
          <w:highlight w:val="none"/>
        </w:rPr>
        <w:t xml:space="preserve"> </w:t>
      </w:r>
      <w:r>
        <w:rPr>
          <w:rFonts w:ascii="宋体" w:hAnsi="宋体" w:eastAsia="宋体" w:cs="宋体"/>
          <w:color w:val="auto"/>
          <w:spacing w:val="4"/>
          <w:sz w:val="24"/>
          <w:szCs w:val="24"/>
          <w:highlight w:val="none"/>
        </w:rPr>
        <w:t>”（如有）中相关人员应附身份证、职称资格证书和资格审查条件所要求的其他相</w:t>
      </w:r>
      <w:r>
        <w:rPr>
          <w:rFonts w:ascii="宋体" w:hAnsi="宋体" w:eastAsia="宋体" w:cs="宋体"/>
          <w:color w:val="auto"/>
          <w:spacing w:val="5"/>
          <w:sz w:val="24"/>
          <w:szCs w:val="24"/>
          <w:highlight w:val="none"/>
        </w:rPr>
        <w:t>关证书（如公路工程监理工程师证书等）的扫描件，相关业绩证明材料扫描件</w:t>
      </w:r>
      <w:r>
        <w:rPr>
          <w:rFonts w:ascii="宋体" w:hAnsi="宋体" w:eastAsia="宋体" w:cs="宋体"/>
          <w:color w:val="auto"/>
          <w:spacing w:val="4"/>
          <w:sz w:val="24"/>
          <w:szCs w:val="24"/>
          <w:highlight w:val="none"/>
        </w:rPr>
        <w:t>，以及</w:t>
      </w:r>
      <w:r>
        <w:rPr>
          <w:rFonts w:ascii="宋体" w:hAnsi="宋体" w:eastAsia="宋体" w:cs="宋体"/>
          <w:color w:val="auto"/>
          <w:spacing w:val="5"/>
          <w:sz w:val="24"/>
          <w:szCs w:val="24"/>
          <w:highlight w:val="none"/>
        </w:rPr>
        <w:t>投标人所属社保机构出具的社保缴费证明或其他能够证明其参加社保的有效证</w:t>
      </w:r>
      <w:r>
        <w:rPr>
          <w:rFonts w:ascii="宋体" w:hAnsi="宋体" w:eastAsia="宋体" w:cs="宋体"/>
          <w:color w:val="auto"/>
          <w:spacing w:val="4"/>
          <w:sz w:val="24"/>
          <w:szCs w:val="24"/>
          <w:highlight w:val="none"/>
        </w:rPr>
        <w:t>明材料</w:t>
      </w:r>
      <w:r>
        <w:rPr>
          <w:rFonts w:ascii="宋体" w:hAnsi="宋体" w:eastAsia="宋体" w:cs="宋体"/>
          <w:color w:val="auto"/>
          <w:spacing w:val="-3"/>
          <w:sz w:val="24"/>
          <w:szCs w:val="24"/>
          <w:highlight w:val="none"/>
        </w:rPr>
        <w:t>扫描件。</w:t>
      </w:r>
    </w:p>
    <w:p w14:paraId="73731359">
      <w:pPr>
        <w:spacing w:before="182" w:line="290" w:lineRule="auto"/>
        <w:ind w:left="9" w:right="2" w:firstLine="483"/>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3.5.6 投标人须知前附表规定接受联合体投标的，本章第</w:t>
      </w:r>
      <w:r>
        <w:rPr>
          <w:rFonts w:ascii="宋体" w:hAnsi="宋体" w:eastAsia="宋体" w:cs="宋体"/>
          <w:color w:val="auto"/>
          <w:spacing w:val="-27"/>
          <w:sz w:val="24"/>
          <w:szCs w:val="24"/>
          <w:highlight w:val="none"/>
        </w:rPr>
        <w:t xml:space="preserve"> </w:t>
      </w:r>
      <w:r>
        <w:rPr>
          <w:rFonts w:ascii="宋体" w:hAnsi="宋体" w:eastAsia="宋体" w:cs="宋体"/>
          <w:color w:val="auto"/>
          <w:spacing w:val="2"/>
          <w:sz w:val="24"/>
          <w:szCs w:val="24"/>
          <w:highlight w:val="none"/>
        </w:rPr>
        <w:t>3.5.1</w:t>
      </w:r>
      <w:r>
        <w:rPr>
          <w:rFonts w:ascii="宋体" w:hAnsi="宋体" w:eastAsia="宋体" w:cs="宋体"/>
          <w:color w:val="auto"/>
          <w:spacing w:val="-40"/>
          <w:sz w:val="24"/>
          <w:szCs w:val="24"/>
          <w:highlight w:val="none"/>
        </w:rPr>
        <w:t xml:space="preserve"> </w:t>
      </w:r>
      <w:r>
        <w:rPr>
          <w:rFonts w:ascii="宋体" w:hAnsi="宋体" w:eastAsia="宋体" w:cs="宋体"/>
          <w:color w:val="auto"/>
          <w:spacing w:val="2"/>
          <w:sz w:val="24"/>
          <w:szCs w:val="24"/>
          <w:highlight w:val="none"/>
        </w:rPr>
        <w:t>项至第</w:t>
      </w:r>
      <w:r>
        <w:rPr>
          <w:rFonts w:ascii="宋体" w:hAnsi="宋体" w:eastAsia="宋体" w:cs="宋体"/>
          <w:color w:val="auto"/>
          <w:spacing w:val="-41"/>
          <w:sz w:val="24"/>
          <w:szCs w:val="24"/>
          <w:highlight w:val="none"/>
        </w:rPr>
        <w:t xml:space="preserve"> </w:t>
      </w:r>
      <w:r>
        <w:rPr>
          <w:rFonts w:ascii="宋体" w:hAnsi="宋体" w:eastAsia="宋体" w:cs="宋体"/>
          <w:color w:val="auto"/>
          <w:spacing w:val="2"/>
          <w:sz w:val="24"/>
          <w:szCs w:val="24"/>
          <w:highlight w:val="none"/>
        </w:rPr>
        <w:t>3.5.5</w:t>
      </w:r>
      <w:r>
        <w:rPr>
          <w:rFonts w:ascii="宋体" w:hAnsi="宋体" w:eastAsia="宋体" w:cs="宋体"/>
          <w:color w:val="auto"/>
          <w:spacing w:val="-40"/>
          <w:sz w:val="24"/>
          <w:szCs w:val="24"/>
          <w:highlight w:val="none"/>
        </w:rPr>
        <w:t xml:space="preserve"> </w:t>
      </w:r>
      <w:r>
        <w:rPr>
          <w:rFonts w:ascii="宋体" w:hAnsi="宋体" w:eastAsia="宋体" w:cs="宋体"/>
          <w:color w:val="auto"/>
          <w:spacing w:val="2"/>
          <w:sz w:val="24"/>
          <w:szCs w:val="24"/>
          <w:highlight w:val="none"/>
        </w:rPr>
        <w:t>项</w:t>
      </w:r>
      <w:r>
        <w:rPr>
          <w:rFonts w:ascii="宋体" w:hAnsi="宋体" w:eastAsia="宋体" w:cs="宋体"/>
          <w:color w:val="auto"/>
          <w:spacing w:val="-1"/>
          <w:sz w:val="24"/>
          <w:szCs w:val="24"/>
          <w:highlight w:val="none"/>
        </w:rPr>
        <w:t>规定的表格和资料应包括联合体各方相关情况。</w:t>
      </w:r>
    </w:p>
    <w:p w14:paraId="71977A5F">
      <w:pPr>
        <w:spacing w:before="180" w:line="289" w:lineRule="auto"/>
        <w:ind w:left="11" w:right="2" w:firstLine="481"/>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3.5.7 除合同条款约定的特殊情形外，投标人在</w:t>
      </w:r>
      <w:r>
        <w:rPr>
          <w:rFonts w:ascii="宋体" w:hAnsi="宋体" w:eastAsia="宋体" w:cs="宋体"/>
          <w:color w:val="auto"/>
          <w:spacing w:val="4"/>
          <w:sz w:val="24"/>
          <w:szCs w:val="24"/>
          <w:highlight w:val="none"/>
        </w:rPr>
        <w:t>投标文件中填报的总监理工程师</w:t>
      </w:r>
      <w:r>
        <w:rPr>
          <w:rFonts w:ascii="宋体" w:hAnsi="宋体" w:eastAsia="宋体" w:cs="宋体"/>
          <w:color w:val="auto"/>
          <w:spacing w:val="-1"/>
          <w:sz w:val="24"/>
          <w:szCs w:val="24"/>
          <w:highlight w:val="none"/>
        </w:rPr>
        <w:t>或驻地监理工程师不允许更换。</w:t>
      </w:r>
    </w:p>
    <w:p w14:paraId="558E8327">
      <w:pPr>
        <w:spacing w:before="182" w:line="289" w:lineRule="auto"/>
        <w:ind w:left="8" w:right="2" w:firstLine="484"/>
        <w:rPr>
          <w:rFonts w:ascii="宋体" w:hAnsi="宋体" w:eastAsia="宋体" w:cs="宋体"/>
          <w:color w:val="auto"/>
          <w:sz w:val="24"/>
          <w:szCs w:val="24"/>
          <w:highlight w:val="none"/>
        </w:rPr>
      </w:pPr>
      <w:r>
        <w:rPr>
          <w:color w:val="auto"/>
          <w:highlight w:val="none"/>
        </w:rPr>
        <w:pict>
          <v:shape id="_x0000_s1067" o:spid="_x0000_s1067" style="position:absolute;left:0pt;margin-left:0pt;margin-top:53.65pt;height:0pt;width:144pt;z-index:251680768;mso-width-relative:page;mso-height-relative:page;" filled="f" stroked="t" coordsize="2880,0" path="m0,0l2880,0e">
            <v:fill on="f" focussize="0,0"/>
            <v:stroke weight="0pt" color="#000000" miterlimit="0" joinstyle="bevel" endcap="square"/>
            <v:imagedata o:title=""/>
            <o:lock v:ext="edit"/>
          </v:shape>
        </w:pict>
      </w:r>
      <w:r>
        <w:rPr>
          <w:rFonts w:ascii="宋体" w:hAnsi="宋体" w:eastAsia="宋体" w:cs="宋体"/>
          <w:color w:val="auto"/>
          <w:spacing w:val="5"/>
          <w:sz w:val="24"/>
          <w:szCs w:val="24"/>
          <w:highlight w:val="none"/>
        </w:rPr>
        <w:t>3.5.8 投标人在投标文件中填报的资质、业绩、</w:t>
      </w:r>
      <w:r>
        <w:rPr>
          <w:rFonts w:ascii="宋体" w:hAnsi="宋体" w:eastAsia="宋体" w:cs="宋体"/>
          <w:color w:val="auto"/>
          <w:spacing w:val="4"/>
          <w:sz w:val="24"/>
          <w:szCs w:val="24"/>
          <w:highlight w:val="none"/>
        </w:rPr>
        <w:t>主要人员资历和目前在岗情况、</w:t>
      </w:r>
      <w:bookmarkStart w:id="137" w:name="bookmark109"/>
      <w:bookmarkEnd w:id="137"/>
      <w:r>
        <w:rPr>
          <w:rFonts w:ascii="宋体" w:hAnsi="宋体" w:eastAsia="宋体" w:cs="宋体"/>
          <w:color w:val="auto"/>
          <w:spacing w:val="4"/>
          <w:sz w:val="24"/>
          <w:szCs w:val="24"/>
          <w:highlight w:val="none"/>
        </w:rPr>
        <w:t>信用等级等信息，应与其在交通运输主管部门“公路建设市场监督管理</w:t>
      </w:r>
      <w:r>
        <w:rPr>
          <w:rFonts w:ascii="宋体" w:hAnsi="宋体" w:eastAsia="宋体" w:cs="宋体"/>
          <w:color w:val="auto"/>
          <w:spacing w:val="3"/>
          <w:sz w:val="24"/>
          <w:szCs w:val="24"/>
          <w:highlight w:val="none"/>
        </w:rPr>
        <w:t>系统</w:t>
      </w:r>
      <w:r>
        <w:rPr>
          <w:rFonts w:ascii="宋体" w:hAnsi="宋体" w:eastAsia="宋体" w:cs="宋体"/>
          <w:color w:val="auto"/>
          <w:spacing w:val="-81"/>
          <w:sz w:val="24"/>
          <w:szCs w:val="24"/>
          <w:highlight w:val="none"/>
        </w:rPr>
        <w:t xml:space="preserve"> </w:t>
      </w:r>
      <w:r>
        <w:rPr>
          <w:rFonts w:ascii="宋体" w:hAnsi="宋体" w:eastAsia="宋体" w:cs="宋体"/>
          <w:color w:val="auto"/>
          <w:spacing w:val="3"/>
          <w:sz w:val="24"/>
          <w:szCs w:val="24"/>
          <w:highlight w:val="none"/>
        </w:rPr>
        <w:t>”上填报</w:t>
      </w:r>
    </w:p>
    <w:p w14:paraId="2A5E188B">
      <w:pPr>
        <w:spacing w:before="290" w:line="217" w:lineRule="auto"/>
        <w:ind w:left="5"/>
        <w:rPr>
          <w:rFonts w:ascii="宋体" w:hAnsi="宋体" w:eastAsia="宋体" w:cs="宋体"/>
          <w:color w:val="auto"/>
          <w:sz w:val="18"/>
          <w:szCs w:val="18"/>
          <w:highlight w:val="none"/>
        </w:rPr>
      </w:pPr>
      <w:r>
        <w:rPr>
          <w:rFonts w:ascii="宋体" w:hAnsi="宋体" w:eastAsia="宋体" w:cs="宋体"/>
          <w:color w:val="auto"/>
          <w:spacing w:val="-1"/>
          <w:sz w:val="18"/>
          <w:szCs w:val="18"/>
          <w:highlight w:val="none"/>
        </w:rPr>
        <w:t>① 仅适用于房建工程施工监理单独招标。</w:t>
      </w:r>
    </w:p>
    <w:p w14:paraId="6F39CEFB">
      <w:pPr>
        <w:spacing w:line="217" w:lineRule="auto"/>
        <w:rPr>
          <w:rFonts w:ascii="宋体" w:hAnsi="宋体" w:eastAsia="宋体" w:cs="宋体"/>
          <w:color w:val="auto"/>
          <w:sz w:val="18"/>
          <w:szCs w:val="18"/>
          <w:highlight w:val="none"/>
        </w:rPr>
        <w:sectPr>
          <w:footerReference r:id="rId38" w:type="default"/>
          <w:pgSz w:w="11906" w:h="16839"/>
          <w:pgMar w:top="1405" w:right="1415" w:bottom="1297" w:left="1417" w:header="0" w:footer="1066" w:gutter="0"/>
          <w:pgNumType w:fmt="decimal"/>
          <w:cols w:space="720" w:num="1"/>
        </w:sectPr>
      </w:pPr>
    </w:p>
    <w:p w14:paraId="0A7C1E5A">
      <w:pPr>
        <w:spacing w:before="94" w:line="316" w:lineRule="auto"/>
        <w:ind w:left="7" w:right="128" w:firstLine="6"/>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并发布的相关信息一致</w:t>
      </w:r>
      <w:r>
        <w:rPr>
          <w:color w:val="auto"/>
          <w:highlight w:val="none"/>
        </w:rPr>
        <w:fldChar w:fldCharType="begin"/>
      </w:r>
      <w:r>
        <w:rPr>
          <w:color w:val="auto"/>
          <w:highlight w:val="none"/>
        </w:rPr>
        <w:instrText xml:space="preserve"> HYPERLINK \l "bookmark110" </w:instrText>
      </w:r>
      <w:r>
        <w:rPr>
          <w:color w:val="auto"/>
          <w:highlight w:val="none"/>
        </w:rPr>
        <w:fldChar w:fldCharType="separate"/>
      </w:r>
      <w:r>
        <w:rPr>
          <w:rFonts w:ascii="宋体" w:hAnsi="宋体" w:eastAsia="宋体" w:cs="宋体"/>
          <w:color w:val="auto"/>
          <w:spacing w:val="1"/>
          <w:position w:val="12"/>
          <w:sz w:val="12"/>
          <w:szCs w:val="12"/>
          <w:highlight w:val="none"/>
        </w:rPr>
        <w:t>①</w:t>
      </w:r>
      <w:r>
        <w:rPr>
          <w:rFonts w:ascii="宋体" w:hAnsi="宋体" w:eastAsia="宋体" w:cs="宋体"/>
          <w:color w:val="auto"/>
          <w:spacing w:val="1"/>
          <w:position w:val="12"/>
          <w:sz w:val="12"/>
          <w:szCs w:val="12"/>
          <w:highlight w:val="none"/>
        </w:rPr>
        <w:fldChar w:fldCharType="end"/>
      </w:r>
      <w:r>
        <w:rPr>
          <w:rFonts w:ascii="宋体" w:hAnsi="宋体" w:eastAsia="宋体" w:cs="宋体"/>
          <w:color w:val="auto"/>
          <w:spacing w:val="-25"/>
          <w:position w:val="12"/>
          <w:sz w:val="12"/>
          <w:szCs w:val="12"/>
          <w:highlight w:val="none"/>
        </w:rPr>
        <w:t xml:space="preserve"> </w:t>
      </w:r>
      <w:r>
        <w:rPr>
          <w:rFonts w:ascii="宋体" w:hAnsi="宋体" w:eastAsia="宋体" w:cs="宋体"/>
          <w:color w:val="auto"/>
          <w:spacing w:val="1"/>
          <w:sz w:val="24"/>
          <w:szCs w:val="24"/>
          <w:highlight w:val="none"/>
        </w:rPr>
        <w:t>。投标人应根据本单</w:t>
      </w:r>
      <w:r>
        <w:rPr>
          <w:rFonts w:ascii="宋体" w:hAnsi="宋体" w:eastAsia="宋体" w:cs="宋体"/>
          <w:color w:val="auto"/>
          <w:sz w:val="24"/>
          <w:szCs w:val="24"/>
          <w:highlight w:val="none"/>
        </w:rPr>
        <w:t>位实际情况及时完成相关信息的申报、录</w:t>
      </w:r>
      <w:r>
        <w:rPr>
          <w:rFonts w:ascii="宋体" w:hAnsi="宋体" w:eastAsia="宋体" w:cs="宋体"/>
          <w:color w:val="auto"/>
          <w:spacing w:val="-1"/>
          <w:sz w:val="24"/>
          <w:szCs w:val="24"/>
          <w:highlight w:val="none"/>
        </w:rPr>
        <w:t>入和动态更新，并对相关信息的真实性、完整性和准确性负责。</w:t>
      </w:r>
    </w:p>
    <w:p w14:paraId="1CFD400F">
      <w:pPr>
        <w:spacing w:before="147" w:line="359" w:lineRule="auto"/>
        <w:ind w:left="7" w:right="128" w:firstLine="485"/>
        <w:jc w:val="both"/>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3.5.9 招标人有权核查投标人在资格预审申请文</w:t>
      </w:r>
      <w:r>
        <w:rPr>
          <w:rFonts w:ascii="宋体" w:hAnsi="宋体" w:eastAsia="宋体" w:cs="宋体"/>
          <w:color w:val="auto"/>
          <w:spacing w:val="4"/>
          <w:sz w:val="24"/>
          <w:szCs w:val="24"/>
          <w:highlight w:val="none"/>
        </w:rPr>
        <w:t>件和投标文件中提供的资料，若</w:t>
      </w:r>
      <w:r>
        <w:rPr>
          <w:rFonts w:ascii="宋体" w:hAnsi="宋体" w:eastAsia="宋体" w:cs="宋体"/>
          <w:color w:val="auto"/>
          <w:spacing w:val="5"/>
          <w:sz w:val="24"/>
          <w:szCs w:val="24"/>
          <w:highlight w:val="none"/>
        </w:rPr>
        <w:t>在评标期间发现投标人提供了虚假资料，其投标将被否决；若在签订合同前发</w:t>
      </w:r>
      <w:r>
        <w:rPr>
          <w:rFonts w:ascii="宋体" w:hAnsi="宋体" w:eastAsia="宋体" w:cs="宋体"/>
          <w:color w:val="auto"/>
          <w:spacing w:val="4"/>
          <w:sz w:val="24"/>
          <w:szCs w:val="24"/>
          <w:highlight w:val="none"/>
        </w:rPr>
        <w:t>现作为</w:t>
      </w:r>
      <w:r>
        <w:rPr>
          <w:rFonts w:ascii="宋体" w:hAnsi="宋体" w:eastAsia="宋体" w:cs="宋体"/>
          <w:color w:val="auto"/>
          <w:spacing w:val="5"/>
          <w:sz w:val="24"/>
          <w:szCs w:val="24"/>
          <w:highlight w:val="none"/>
        </w:rPr>
        <w:t>中标候选人的投标人提供了虚假资料，招标人有权取消其中标资格；若在合同</w:t>
      </w:r>
      <w:r>
        <w:rPr>
          <w:rFonts w:ascii="宋体" w:hAnsi="宋体" w:eastAsia="宋体" w:cs="宋体"/>
          <w:color w:val="auto"/>
          <w:spacing w:val="4"/>
          <w:sz w:val="24"/>
          <w:szCs w:val="24"/>
          <w:highlight w:val="none"/>
        </w:rPr>
        <w:t>实施期</w:t>
      </w:r>
      <w:r>
        <w:rPr>
          <w:rFonts w:ascii="宋体" w:hAnsi="宋体" w:eastAsia="宋体" w:cs="宋体"/>
          <w:color w:val="auto"/>
          <w:spacing w:val="2"/>
          <w:sz w:val="24"/>
          <w:szCs w:val="24"/>
          <w:highlight w:val="none"/>
        </w:rPr>
        <w:t>间发现投标人提供了虚假资料，招标人有权从合同价款或履约保证金中扣除不超过</w:t>
      </w:r>
      <w:r>
        <w:rPr>
          <w:rFonts w:ascii="宋体" w:hAnsi="宋体" w:eastAsia="宋体" w:cs="宋体"/>
          <w:color w:val="auto"/>
          <w:spacing w:val="-46"/>
          <w:sz w:val="24"/>
          <w:szCs w:val="24"/>
          <w:highlight w:val="none"/>
        </w:rPr>
        <w:t xml:space="preserve"> </w:t>
      </w:r>
      <w:r>
        <w:rPr>
          <w:rFonts w:ascii="宋体" w:hAnsi="宋体" w:eastAsia="宋体" w:cs="宋体"/>
          <w:color w:val="auto"/>
          <w:spacing w:val="2"/>
          <w:sz w:val="24"/>
          <w:szCs w:val="24"/>
          <w:highlight w:val="none"/>
        </w:rPr>
        <w:t>5%</w:t>
      </w:r>
      <w:r>
        <w:rPr>
          <w:rFonts w:ascii="宋体" w:hAnsi="宋体" w:eastAsia="宋体" w:cs="宋体"/>
          <w:color w:val="auto"/>
          <w:spacing w:val="5"/>
          <w:sz w:val="24"/>
          <w:szCs w:val="24"/>
          <w:highlight w:val="none"/>
        </w:rPr>
        <w:t>签约合同价的金额作为违约金。同时招标人将投标人上述弄虚作假行为上报省</w:t>
      </w:r>
      <w:r>
        <w:rPr>
          <w:rFonts w:ascii="宋体" w:hAnsi="宋体" w:eastAsia="宋体" w:cs="宋体"/>
          <w:color w:val="auto"/>
          <w:spacing w:val="4"/>
          <w:sz w:val="24"/>
          <w:szCs w:val="24"/>
          <w:highlight w:val="none"/>
        </w:rPr>
        <w:t>级交通</w:t>
      </w:r>
      <w:r>
        <w:rPr>
          <w:rFonts w:ascii="宋体" w:hAnsi="宋体" w:eastAsia="宋体" w:cs="宋体"/>
          <w:color w:val="auto"/>
          <w:spacing w:val="-1"/>
          <w:sz w:val="24"/>
          <w:szCs w:val="24"/>
          <w:highlight w:val="none"/>
        </w:rPr>
        <w:t>运输主管部门，作为不良记录纳入公路建设市场监督管理系统。</w:t>
      </w:r>
    </w:p>
    <w:p w14:paraId="14D01D26">
      <w:pPr>
        <w:spacing w:line="220" w:lineRule="auto"/>
        <w:ind w:left="13"/>
        <w:outlineLvl w:val="1"/>
        <w:rPr>
          <w:rFonts w:ascii="宋体" w:hAnsi="宋体" w:eastAsia="宋体" w:cs="宋体"/>
          <w:color w:val="auto"/>
          <w:sz w:val="24"/>
          <w:szCs w:val="24"/>
          <w:highlight w:val="none"/>
        </w:rPr>
      </w:pPr>
      <w:bookmarkStart w:id="138" w:name="_Toc29492"/>
      <w:bookmarkStart w:id="139" w:name="_Toc32348"/>
      <w:bookmarkStart w:id="140" w:name="_Toc19853"/>
      <w:r>
        <w:rPr>
          <w:rFonts w:ascii="宋体" w:hAnsi="宋体" w:eastAsia="宋体" w:cs="宋体"/>
          <w:b/>
          <w:bCs/>
          <w:color w:val="auto"/>
          <w:spacing w:val="-3"/>
          <w:sz w:val="24"/>
          <w:szCs w:val="24"/>
          <w:highlight w:val="none"/>
        </w:rPr>
        <w:t>3.6</w:t>
      </w:r>
      <w:r>
        <w:rPr>
          <w:rFonts w:ascii="宋体" w:hAnsi="宋体" w:eastAsia="宋体" w:cs="宋体"/>
          <w:color w:val="auto"/>
          <w:spacing w:val="-3"/>
          <w:sz w:val="24"/>
          <w:szCs w:val="24"/>
          <w:highlight w:val="none"/>
        </w:rPr>
        <w:t xml:space="preserve"> </w:t>
      </w:r>
      <w:r>
        <w:rPr>
          <w:rFonts w:ascii="宋体" w:hAnsi="宋体" w:eastAsia="宋体" w:cs="宋体"/>
          <w:b/>
          <w:bCs/>
          <w:color w:val="auto"/>
          <w:spacing w:val="-3"/>
          <w:sz w:val="24"/>
          <w:szCs w:val="24"/>
          <w:highlight w:val="none"/>
        </w:rPr>
        <w:t>备选投标方案</w:t>
      </w:r>
      <w:bookmarkEnd w:id="138"/>
      <w:bookmarkEnd w:id="139"/>
      <w:bookmarkEnd w:id="140"/>
    </w:p>
    <w:p w14:paraId="25668672">
      <w:pPr>
        <w:spacing w:before="178" w:line="290" w:lineRule="auto"/>
        <w:ind w:left="11" w:right="128" w:firstLine="481"/>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3.6.1 除投标人须知前附表规定允许外，投标人</w:t>
      </w:r>
      <w:r>
        <w:rPr>
          <w:rFonts w:ascii="宋体" w:hAnsi="宋体" w:eastAsia="宋体" w:cs="宋体"/>
          <w:color w:val="auto"/>
          <w:spacing w:val="4"/>
          <w:sz w:val="24"/>
          <w:szCs w:val="24"/>
          <w:highlight w:val="none"/>
        </w:rPr>
        <w:t>不得递交备选投标方案，否则其</w:t>
      </w:r>
      <w:r>
        <w:rPr>
          <w:rFonts w:ascii="宋体" w:hAnsi="宋体" w:eastAsia="宋体" w:cs="宋体"/>
          <w:color w:val="auto"/>
          <w:spacing w:val="-2"/>
          <w:sz w:val="24"/>
          <w:szCs w:val="24"/>
          <w:highlight w:val="none"/>
        </w:rPr>
        <w:t>投标将被否决。</w:t>
      </w:r>
    </w:p>
    <w:p w14:paraId="2F0A03B6">
      <w:pPr>
        <w:spacing w:before="181" w:line="313" w:lineRule="auto"/>
        <w:ind w:left="9" w:right="128" w:firstLine="483"/>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3.6.2 允许投标人递交备选投标方案的，只有中</w:t>
      </w:r>
      <w:r>
        <w:rPr>
          <w:rFonts w:ascii="宋体" w:hAnsi="宋体" w:eastAsia="宋体" w:cs="宋体"/>
          <w:color w:val="auto"/>
          <w:spacing w:val="4"/>
          <w:sz w:val="24"/>
          <w:szCs w:val="24"/>
          <w:highlight w:val="none"/>
        </w:rPr>
        <w:t>标人所递交的备选投标方案方可</w:t>
      </w:r>
      <w:r>
        <w:rPr>
          <w:rFonts w:ascii="宋体" w:hAnsi="宋体" w:eastAsia="宋体" w:cs="宋体"/>
          <w:color w:val="auto"/>
          <w:spacing w:val="5"/>
          <w:sz w:val="24"/>
          <w:szCs w:val="24"/>
          <w:highlight w:val="none"/>
        </w:rPr>
        <w:t>予以考虑。评标委员会认为中标人的备选投标方案优于其按照招标文件要</w:t>
      </w:r>
      <w:r>
        <w:rPr>
          <w:rFonts w:ascii="宋体" w:hAnsi="宋体" w:eastAsia="宋体" w:cs="宋体"/>
          <w:color w:val="auto"/>
          <w:spacing w:val="4"/>
          <w:sz w:val="24"/>
          <w:szCs w:val="24"/>
          <w:highlight w:val="none"/>
        </w:rPr>
        <w:t>求编制的投</w:t>
      </w:r>
      <w:r>
        <w:rPr>
          <w:rFonts w:ascii="宋体" w:hAnsi="宋体" w:eastAsia="宋体" w:cs="宋体"/>
          <w:color w:val="auto"/>
          <w:spacing w:val="-1"/>
          <w:sz w:val="24"/>
          <w:szCs w:val="24"/>
          <w:highlight w:val="none"/>
        </w:rPr>
        <w:t>标方案的，招标人可以接受该备选投标方案。</w:t>
      </w:r>
    </w:p>
    <w:p w14:paraId="198806EE">
      <w:pPr>
        <w:spacing w:before="180" w:line="289" w:lineRule="auto"/>
        <w:ind w:left="31" w:right="128" w:firstLine="461"/>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3.6.3 投标人提供两个或两个以上投标报价，或</w:t>
      </w:r>
      <w:r>
        <w:rPr>
          <w:rFonts w:ascii="宋体" w:hAnsi="宋体" w:eastAsia="宋体" w:cs="宋体"/>
          <w:color w:val="auto"/>
          <w:spacing w:val="4"/>
          <w:sz w:val="24"/>
          <w:szCs w:val="24"/>
          <w:highlight w:val="none"/>
        </w:rPr>
        <w:t>在投标文件中提供一个报价，但</w:t>
      </w:r>
      <w:r>
        <w:rPr>
          <w:rFonts w:ascii="宋体" w:hAnsi="宋体" w:eastAsia="宋体" w:cs="宋体"/>
          <w:color w:val="auto"/>
          <w:spacing w:val="-2"/>
          <w:sz w:val="24"/>
          <w:szCs w:val="24"/>
          <w:highlight w:val="none"/>
        </w:rPr>
        <w:t>同时提供两个或两个以上监理方案的，视为提供备选方案。</w:t>
      </w:r>
    </w:p>
    <w:p w14:paraId="0C4F9A27">
      <w:pPr>
        <w:spacing w:before="182" w:line="219" w:lineRule="auto"/>
        <w:ind w:left="13"/>
        <w:outlineLvl w:val="1"/>
        <w:rPr>
          <w:rFonts w:ascii="宋体" w:hAnsi="宋体" w:eastAsia="宋体" w:cs="宋体"/>
          <w:color w:val="auto"/>
          <w:sz w:val="24"/>
          <w:szCs w:val="24"/>
          <w:highlight w:val="none"/>
        </w:rPr>
      </w:pPr>
      <w:bookmarkStart w:id="141" w:name="_Toc2102"/>
      <w:bookmarkStart w:id="142" w:name="_Toc32084"/>
      <w:bookmarkStart w:id="143" w:name="_Toc26079"/>
      <w:r>
        <w:rPr>
          <w:rFonts w:ascii="宋体" w:hAnsi="宋体" w:eastAsia="宋体" w:cs="宋体"/>
          <w:b/>
          <w:bCs/>
          <w:color w:val="auto"/>
          <w:spacing w:val="-3"/>
          <w:sz w:val="24"/>
          <w:szCs w:val="24"/>
          <w:highlight w:val="none"/>
        </w:rPr>
        <w:t>3.7</w:t>
      </w:r>
      <w:r>
        <w:rPr>
          <w:rFonts w:ascii="宋体" w:hAnsi="宋体" w:eastAsia="宋体" w:cs="宋体"/>
          <w:color w:val="auto"/>
          <w:spacing w:val="-3"/>
          <w:sz w:val="24"/>
          <w:szCs w:val="24"/>
          <w:highlight w:val="none"/>
        </w:rPr>
        <w:t xml:space="preserve"> </w:t>
      </w:r>
      <w:r>
        <w:rPr>
          <w:rFonts w:ascii="宋体" w:hAnsi="宋体" w:eastAsia="宋体" w:cs="宋体"/>
          <w:b/>
          <w:bCs/>
          <w:color w:val="auto"/>
          <w:spacing w:val="-3"/>
          <w:sz w:val="24"/>
          <w:szCs w:val="24"/>
          <w:highlight w:val="none"/>
        </w:rPr>
        <w:t>投标文件的编制</w:t>
      </w:r>
      <w:bookmarkEnd w:id="141"/>
      <w:bookmarkEnd w:id="142"/>
      <w:bookmarkEnd w:id="143"/>
    </w:p>
    <w:p w14:paraId="102D1C11">
      <w:pPr>
        <w:spacing w:before="180" w:line="290" w:lineRule="auto"/>
        <w:ind w:left="14" w:right="128" w:firstLine="479"/>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3.7.1 投标文件应按第七章“投标文件格式</w:t>
      </w:r>
      <w:r>
        <w:rPr>
          <w:rFonts w:ascii="宋体" w:hAnsi="宋体" w:eastAsia="宋体" w:cs="宋体"/>
          <w:color w:val="auto"/>
          <w:spacing w:val="-81"/>
          <w:sz w:val="24"/>
          <w:szCs w:val="24"/>
          <w:highlight w:val="none"/>
        </w:rPr>
        <w:t xml:space="preserve"> </w:t>
      </w:r>
      <w:r>
        <w:rPr>
          <w:rFonts w:ascii="宋体" w:hAnsi="宋体" w:eastAsia="宋体" w:cs="宋体"/>
          <w:color w:val="auto"/>
          <w:spacing w:val="4"/>
          <w:sz w:val="24"/>
          <w:szCs w:val="24"/>
          <w:highlight w:val="none"/>
        </w:rPr>
        <w:t>”</w:t>
      </w:r>
      <w:r>
        <w:rPr>
          <w:rFonts w:ascii="宋体" w:hAnsi="宋体" w:eastAsia="宋体" w:cs="宋体"/>
          <w:color w:val="auto"/>
          <w:spacing w:val="3"/>
          <w:sz w:val="24"/>
          <w:szCs w:val="24"/>
          <w:highlight w:val="none"/>
        </w:rPr>
        <w:t>进行编写，如有必要，可以增加附</w:t>
      </w:r>
      <w:r>
        <w:rPr>
          <w:rFonts w:ascii="宋体" w:hAnsi="宋体" w:eastAsia="宋体" w:cs="宋体"/>
          <w:color w:val="auto"/>
          <w:spacing w:val="-2"/>
          <w:sz w:val="24"/>
          <w:szCs w:val="24"/>
          <w:highlight w:val="none"/>
        </w:rPr>
        <w:t>页，作为投标文件的组成部分。</w:t>
      </w:r>
    </w:p>
    <w:p w14:paraId="239E1353">
      <w:pPr>
        <w:spacing w:before="182" w:line="289" w:lineRule="auto"/>
        <w:ind w:left="54" w:right="128" w:firstLine="438"/>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3.7.2 投标文件应对招标文件有关监理服务期限</w:t>
      </w:r>
      <w:r>
        <w:rPr>
          <w:rFonts w:ascii="宋体" w:hAnsi="宋体" w:eastAsia="宋体" w:cs="宋体"/>
          <w:color w:val="auto"/>
          <w:spacing w:val="4"/>
          <w:sz w:val="24"/>
          <w:szCs w:val="24"/>
          <w:highlight w:val="none"/>
        </w:rPr>
        <w:t>、投标有效期、质量要求、安全</w:t>
      </w:r>
      <w:r>
        <w:rPr>
          <w:rFonts w:ascii="宋体" w:hAnsi="宋体" w:eastAsia="宋体" w:cs="宋体"/>
          <w:color w:val="auto"/>
          <w:spacing w:val="-3"/>
          <w:sz w:val="24"/>
          <w:szCs w:val="24"/>
          <w:highlight w:val="none"/>
        </w:rPr>
        <w:t>目标、委托人要求、招标范围等实质性内容作出响应。</w:t>
      </w:r>
    </w:p>
    <w:p w14:paraId="446F38E7">
      <w:pPr>
        <w:spacing w:before="183" w:line="219" w:lineRule="auto"/>
        <w:ind w:left="493"/>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3.7.3  投标文件的制作应满足以下规定：</w:t>
      </w:r>
    </w:p>
    <w:p w14:paraId="4BD5EDE2">
      <w:pPr>
        <w:spacing w:before="182" w:line="290" w:lineRule="auto"/>
        <w:ind w:left="10" w:right="128" w:firstLine="489"/>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（1）投标文件由投标人使用“</w:t>
      </w:r>
      <w:r>
        <w:rPr>
          <w:rFonts w:ascii="宋体" w:hAnsi="宋体" w:eastAsia="宋体" w:cs="宋体"/>
          <w:color w:val="auto"/>
          <w:spacing w:val="-65"/>
          <w:sz w:val="24"/>
          <w:szCs w:val="24"/>
          <w:highlight w:val="none"/>
        </w:rPr>
        <w:t xml:space="preserve"> </w:t>
      </w:r>
      <w:r>
        <w:rPr>
          <w:rFonts w:ascii="宋体" w:hAnsi="宋体" w:eastAsia="宋体" w:cs="宋体"/>
          <w:color w:val="auto"/>
          <w:spacing w:val="-2"/>
          <w:sz w:val="24"/>
          <w:szCs w:val="24"/>
          <w:highlight w:val="none"/>
        </w:rPr>
        <w:t>电子交易平台</w:t>
      </w:r>
      <w:r>
        <w:rPr>
          <w:rFonts w:ascii="宋体" w:hAnsi="宋体" w:eastAsia="宋体" w:cs="宋体"/>
          <w:color w:val="auto"/>
          <w:spacing w:val="-85"/>
          <w:sz w:val="24"/>
          <w:szCs w:val="24"/>
          <w:highlight w:val="none"/>
        </w:rPr>
        <w:t xml:space="preserve"> </w:t>
      </w:r>
      <w:r>
        <w:rPr>
          <w:rFonts w:ascii="宋体" w:hAnsi="宋体" w:eastAsia="宋体" w:cs="宋体"/>
          <w:color w:val="auto"/>
          <w:spacing w:val="-2"/>
          <w:sz w:val="24"/>
          <w:szCs w:val="24"/>
          <w:highlight w:val="none"/>
        </w:rPr>
        <w:t>”自带的“投标文件制作工具</w:t>
      </w:r>
      <w:r>
        <w:rPr>
          <w:rFonts w:ascii="宋体" w:hAnsi="宋体" w:eastAsia="宋体" w:cs="宋体"/>
          <w:color w:val="auto"/>
          <w:spacing w:val="-88"/>
          <w:sz w:val="24"/>
          <w:szCs w:val="24"/>
          <w:highlight w:val="none"/>
        </w:rPr>
        <w:t xml:space="preserve"> </w:t>
      </w:r>
      <w:r>
        <w:rPr>
          <w:rFonts w:ascii="宋体" w:hAnsi="宋体" w:eastAsia="宋体" w:cs="宋体"/>
          <w:color w:val="auto"/>
          <w:spacing w:val="-2"/>
          <w:sz w:val="24"/>
          <w:szCs w:val="24"/>
          <w:highlight w:val="none"/>
        </w:rPr>
        <w:t>”制作</w:t>
      </w:r>
      <w:r>
        <w:rPr>
          <w:rFonts w:ascii="宋体" w:hAnsi="宋体" w:eastAsia="宋体" w:cs="宋体"/>
          <w:color w:val="auto"/>
          <w:spacing w:val="-4"/>
          <w:sz w:val="24"/>
          <w:szCs w:val="24"/>
          <w:highlight w:val="none"/>
        </w:rPr>
        <w:t>生成。</w:t>
      </w:r>
    </w:p>
    <w:p w14:paraId="4632CFA0">
      <w:pPr>
        <w:spacing w:before="181" w:line="219" w:lineRule="auto"/>
        <w:ind w:left="499"/>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（2）投标人在编制投标文件时应建立分级目录，并按照标签提示导入相关内容。</w:t>
      </w:r>
    </w:p>
    <w:p w14:paraId="083E5592">
      <w:pPr>
        <w:spacing w:before="180" w:line="289" w:lineRule="auto"/>
        <w:ind w:left="8" w:right="128" w:firstLine="491"/>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（3）投标文件中的已标价报价清单数据文件应与招标人提供的报价清单数据文件</w:t>
      </w:r>
      <w:r>
        <w:rPr>
          <w:rFonts w:ascii="宋体" w:hAnsi="宋体" w:eastAsia="宋体" w:cs="宋体"/>
          <w:color w:val="auto"/>
          <w:spacing w:val="-2"/>
          <w:sz w:val="24"/>
          <w:szCs w:val="24"/>
          <w:highlight w:val="none"/>
        </w:rPr>
        <w:t>格式一致。</w:t>
      </w:r>
    </w:p>
    <w:p w14:paraId="55DE501A">
      <w:pPr>
        <w:spacing w:before="182" w:line="289" w:lineRule="auto"/>
        <w:ind w:left="12" w:firstLine="487"/>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（4）投标文件中需签名(签字)的，投标人应按要求使用个人电子签名章进行签名。</w:t>
      </w:r>
      <w:bookmarkStart w:id="144" w:name="bookmark110"/>
      <w:bookmarkEnd w:id="144"/>
      <w:r>
        <w:rPr>
          <w:rFonts w:ascii="宋体" w:hAnsi="宋体" w:eastAsia="宋体" w:cs="宋体"/>
          <w:color w:val="auto"/>
          <w:spacing w:val="5"/>
          <w:sz w:val="24"/>
          <w:szCs w:val="24"/>
          <w:highlight w:val="none"/>
        </w:rPr>
        <w:t>如投标人法定代表人或其委托代理人或总监理工程师（含备选，如</w:t>
      </w:r>
      <w:r>
        <w:rPr>
          <w:rFonts w:ascii="宋体" w:hAnsi="宋体" w:eastAsia="宋体" w:cs="宋体"/>
          <w:color w:val="auto"/>
          <w:spacing w:val="4"/>
          <w:sz w:val="24"/>
          <w:szCs w:val="24"/>
          <w:highlight w:val="none"/>
        </w:rPr>
        <w:t>有）或驻地监理工</w:t>
      </w:r>
    </w:p>
    <w:p w14:paraId="2E4F83B6">
      <w:pPr>
        <w:spacing w:line="343" w:lineRule="auto"/>
        <w:rPr>
          <w:rFonts w:ascii="Arial"/>
          <w:color w:val="auto"/>
          <w:sz w:val="21"/>
          <w:highlight w:val="none"/>
        </w:rPr>
      </w:pPr>
      <w:r>
        <w:rPr>
          <w:color w:val="auto"/>
          <w:highlight w:val="none"/>
        </w:rPr>
        <w:pict>
          <v:shape id="_x0000_s1068" o:spid="_x0000_s1068" style="position:absolute;left:0pt;margin-left:0pt;margin-top:12.8pt;height:0pt;width:144pt;z-index:251681792;mso-width-relative:page;mso-height-relative:page;" filled="f" stroked="t" coordsize="2880,0" path="m0,0l2880,0e">
            <v:fill on="f" focussize="0,0"/>
            <v:stroke weight="0pt" color="#000000" miterlimit="0" joinstyle="bevel" endcap="square"/>
            <v:imagedata o:title=""/>
            <o:lock v:ext="edit"/>
          </v:shape>
        </w:pict>
      </w:r>
    </w:p>
    <w:p w14:paraId="71FC6C49">
      <w:pPr>
        <w:spacing w:before="60" w:line="220" w:lineRule="auto"/>
        <w:ind w:left="5"/>
        <w:rPr>
          <w:rFonts w:ascii="宋体" w:hAnsi="宋体" w:eastAsia="宋体" w:cs="宋体"/>
          <w:color w:val="auto"/>
          <w:sz w:val="18"/>
          <w:szCs w:val="18"/>
          <w:highlight w:val="none"/>
        </w:rPr>
      </w:pPr>
      <w:r>
        <w:rPr>
          <w:rFonts w:ascii="宋体" w:hAnsi="宋体" w:eastAsia="宋体" w:cs="宋体"/>
          <w:color w:val="auto"/>
          <w:spacing w:val="-1"/>
          <w:sz w:val="18"/>
          <w:szCs w:val="18"/>
          <w:highlight w:val="none"/>
        </w:rPr>
        <w:t>① 本项仅适用于采用交通运输主管部门“公路建设市场监督管理系统</w:t>
      </w:r>
      <w:r>
        <w:rPr>
          <w:rFonts w:ascii="宋体" w:hAnsi="宋体" w:eastAsia="宋体" w:cs="宋体"/>
          <w:color w:val="auto"/>
          <w:spacing w:val="-53"/>
          <w:sz w:val="18"/>
          <w:szCs w:val="18"/>
          <w:highlight w:val="none"/>
        </w:rPr>
        <w:t xml:space="preserve"> </w:t>
      </w:r>
      <w:r>
        <w:rPr>
          <w:rFonts w:ascii="宋体" w:hAnsi="宋体" w:eastAsia="宋体" w:cs="宋体"/>
          <w:color w:val="auto"/>
          <w:spacing w:val="-1"/>
          <w:sz w:val="18"/>
          <w:szCs w:val="18"/>
          <w:highlight w:val="none"/>
        </w:rPr>
        <w:t>”截图作为证明材料的情形。</w:t>
      </w:r>
    </w:p>
    <w:p w14:paraId="1ABB78EB">
      <w:pPr>
        <w:spacing w:line="220" w:lineRule="auto"/>
        <w:rPr>
          <w:rFonts w:ascii="宋体" w:hAnsi="宋体" w:eastAsia="宋体" w:cs="宋体"/>
          <w:color w:val="auto"/>
          <w:sz w:val="18"/>
          <w:szCs w:val="18"/>
          <w:highlight w:val="none"/>
        </w:rPr>
        <w:sectPr>
          <w:footerReference r:id="rId39" w:type="default"/>
          <w:pgSz w:w="11906" w:h="16839"/>
          <w:pgMar w:top="1323" w:right="1289" w:bottom="1297" w:left="1417" w:header="0" w:footer="1067" w:gutter="0"/>
          <w:pgNumType w:fmt="decimal"/>
          <w:cols w:space="720" w:num="1"/>
        </w:sectPr>
      </w:pPr>
    </w:p>
    <w:p w14:paraId="68D37F14">
      <w:pPr>
        <w:spacing w:before="48" w:line="359" w:lineRule="auto"/>
        <w:ind w:left="1" w:right="173" w:hanging="1"/>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程师（含备选，如有）未办理个人电子签名章的，投标人应打印需要签名的相关页面，</w:t>
      </w:r>
      <w:r>
        <w:rPr>
          <w:rFonts w:ascii="宋体" w:hAnsi="宋体" w:eastAsia="宋体" w:cs="宋体"/>
          <w:color w:val="auto"/>
          <w:spacing w:val="-1"/>
          <w:sz w:val="24"/>
          <w:szCs w:val="24"/>
          <w:highlight w:val="none"/>
        </w:rPr>
        <w:t>本人亲笔签名后扫描上传至投标文件相应位置中。</w:t>
      </w:r>
    </w:p>
    <w:p w14:paraId="24A3479D">
      <w:pPr>
        <w:spacing w:line="359" w:lineRule="auto"/>
        <w:ind w:left="4" w:right="113" w:firstLine="488"/>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（5）投标文件制作完成后，投标人应使用</w:t>
      </w:r>
      <w:r>
        <w:rPr>
          <w:rFonts w:ascii="宋体" w:hAnsi="宋体" w:eastAsia="宋体" w:cs="宋体"/>
          <w:color w:val="auto"/>
          <w:spacing w:val="-53"/>
          <w:sz w:val="24"/>
          <w:szCs w:val="24"/>
          <w:highlight w:val="none"/>
        </w:rPr>
        <w:t xml:space="preserve"> </w:t>
      </w:r>
      <w:r>
        <w:rPr>
          <w:rFonts w:ascii="宋体" w:hAnsi="宋体" w:eastAsia="宋体" w:cs="宋体"/>
          <w:color w:val="auto"/>
          <w:spacing w:val="-2"/>
          <w:sz w:val="24"/>
          <w:szCs w:val="24"/>
          <w:highlight w:val="none"/>
        </w:rPr>
        <w:t>CA 数字证书</w:t>
      </w:r>
      <w:r>
        <w:rPr>
          <w:rFonts w:ascii="宋体" w:hAnsi="宋体" w:eastAsia="宋体" w:cs="宋体"/>
          <w:color w:val="auto"/>
          <w:spacing w:val="-3"/>
          <w:sz w:val="24"/>
          <w:szCs w:val="24"/>
          <w:highlight w:val="none"/>
        </w:rPr>
        <w:t>对投标文件进行文件加密，</w:t>
      </w:r>
      <w:r>
        <w:rPr>
          <w:rFonts w:ascii="宋体" w:hAnsi="宋体" w:eastAsia="宋体" w:cs="宋体"/>
          <w:color w:val="auto"/>
          <w:spacing w:val="-2"/>
          <w:sz w:val="24"/>
          <w:szCs w:val="24"/>
          <w:highlight w:val="none"/>
        </w:rPr>
        <w:t>形成加密的投标文件。</w:t>
      </w:r>
    </w:p>
    <w:p w14:paraId="065AD396">
      <w:pPr>
        <w:spacing w:line="360" w:lineRule="auto"/>
        <w:ind w:right="163" w:firstLine="485"/>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3.7.4</w:t>
      </w:r>
      <w:r>
        <w:rPr>
          <w:rFonts w:ascii="宋体" w:hAnsi="宋体" w:eastAsia="宋体" w:cs="宋体"/>
          <w:color w:val="auto"/>
          <w:spacing w:val="35"/>
          <w:sz w:val="24"/>
          <w:szCs w:val="24"/>
          <w:highlight w:val="none"/>
        </w:rPr>
        <w:t xml:space="preserve"> </w:t>
      </w:r>
      <w:r>
        <w:rPr>
          <w:rFonts w:ascii="宋体" w:hAnsi="宋体" w:eastAsia="宋体" w:cs="宋体"/>
          <w:color w:val="auto"/>
          <w:spacing w:val="2"/>
          <w:sz w:val="24"/>
          <w:szCs w:val="24"/>
          <w:highlight w:val="none"/>
        </w:rPr>
        <w:t>因投标人自身原因而导致投标文件</w:t>
      </w:r>
      <w:r>
        <w:rPr>
          <w:rFonts w:ascii="宋体" w:hAnsi="宋体" w:eastAsia="宋体" w:cs="宋体"/>
          <w:color w:val="auto"/>
          <w:spacing w:val="1"/>
          <w:sz w:val="24"/>
          <w:szCs w:val="24"/>
          <w:highlight w:val="none"/>
        </w:rPr>
        <w:t>无法导入“</w:t>
      </w:r>
      <w:r>
        <w:rPr>
          <w:rFonts w:ascii="宋体" w:hAnsi="宋体" w:eastAsia="宋体" w:cs="宋体"/>
          <w:color w:val="auto"/>
          <w:spacing w:val="-75"/>
          <w:sz w:val="24"/>
          <w:szCs w:val="24"/>
          <w:highlight w:val="none"/>
        </w:rPr>
        <w:t xml:space="preserve"> </w:t>
      </w:r>
      <w:r>
        <w:rPr>
          <w:rFonts w:ascii="宋体" w:hAnsi="宋体" w:eastAsia="宋体" w:cs="宋体"/>
          <w:color w:val="auto"/>
          <w:spacing w:val="1"/>
          <w:sz w:val="24"/>
          <w:szCs w:val="24"/>
          <w:highlight w:val="none"/>
        </w:rPr>
        <w:t>电子交易平台</w:t>
      </w:r>
      <w:r>
        <w:rPr>
          <w:rFonts w:ascii="宋体" w:hAnsi="宋体" w:eastAsia="宋体" w:cs="宋体"/>
          <w:color w:val="auto"/>
          <w:spacing w:val="-81"/>
          <w:sz w:val="24"/>
          <w:szCs w:val="24"/>
          <w:highlight w:val="none"/>
        </w:rPr>
        <w:t xml:space="preserve"> </w:t>
      </w:r>
      <w:r>
        <w:rPr>
          <w:rFonts w:ascii="宋体" w:hAnsi="宋体" w:eastAsia="宋体" w:cs="宋体"/>
          <w:color w:val="auto"/>
          <w:spacing w:val="1"/>
          <w:sz w:val="24"/>
          <w:szCs w:val="24"/>
          <w:highlight w:val="none"/>
        </w:rPr>
        <w:t>”电子开标、</w:t>
      </w:r>
      <w:r>
        <w:rPr>
          <w:rFonts w:ascii="宋体" w:hAnsi="宋体" w:eastAsia="宋体" w:cs="宋体"/>
          <w:color w:val="auto"/>
          <w:spacing w:val="5"/>
          <w:sz w:val="24"/>
          <w:szCs w:val="24"/>
          <w:highlight w:val="none"/>
        </w:rPr>
        <w:t>评标系统，该投标视为无效投标，投标人自行承担由此导致的全部责任。投标</w:t>
      </w:r>
      <w:r>
        <w:rPr>
          <w:rFonts w:ascii="宋体" w:hAnsi="宋体" w:eastAsia="宋体" w:cs="宋体"/>
          <w:color w:val="auto"/>
          <w:spacing w:val="4"/>
          <w:sz w:val="24"/>
          <w:szCs w:val="24"/>
          <w:highlight w:val="none"/>
        </w:rPr>
        <w:t>文件其</w:t>
      </w:r>
      <w:r>
        <w:rPr>
          <w:rFonts w:ascii="宋体" w:hAnsi="宋体" w:eastAsia="宋体" w:cs="宋体"/>
          <w:color w:val="auto"/>
          <w:spacing w:val="-1"/>
          <w:sz w:val="24"/>
          <w:szCs w:val="24"/>
          <w:highlight w:val="none"/>
        </w:rPr>
        <w:t>他要求见投标人须知前附表。</w:t>
      </w:r>
    </w:p>
    <w:p w14:paraId="27BBBC64">
      <w:pPr>
        <w:spacing w:before="1" w:line="221" w:lineRule="auto"/>
        <w:ind w:left="2"/>
        <w:outlineLvl w:val="0"/>
        <w:rPr>
          <w:rFonts w:ascii="宋体" w:hAnsi="宋体" w:eastAsia="宋体" w:cs="宋体"/>
          <w:color w:val="auto"/>
          <w:sz w:val="28"/>
          <w:szCs w:val="28"/>
          <w:highlight w:val="none"/>
        </w:rPr>
      </w:pPr>
      <w:bookmarkStart w:id="145" w:name="_Toc18435"/>
      <w:r>
        <w:rPr>
          <w:rFonts w:ascii="宋体" w:hAnsi="宋体" w:eastAsia="宋体" w:cs="宋体"/>
          <w:b/>
          <w:bCs/>
          <w:color w:val="auto"/>
          <w:spacing w:val="-9"/>
          <w:sz w:val="28"/>
          <w:szCs w:val="28"/>
          <w:highlight w:val="none"/>
        </w:rPr>
        <w:t>4.</w:t>
      </w:r>
      <w:r>
        <w:rPr>
          <w:rFonts w:ascii="宋体" w:hAnsi="宋体" w:eastAsia="宋体" w:cs="宋体"/>
          <w:color w:val="auto"/>
          <w:spacing w:val="17"/>
          <w:sz w:val="28"/>
          <w:szCs w:val="28"/>
          <w:highlight w:val="none"/>
        </w:rPr>
        <w:t xml:space="preserve"> </w:t>
      </w:r>
      <w:r>
        <w:rPr>
          <w:rFonts w:ascii="宋体" w:hAnsi="宋体" w:eastAsia="宋体" w:cs="宋体"/>
          <w:b/>
          <w:bCs/>
          <w:color w:val="auto"/>
          <w:spacing w:val="-9"/>
          <w:sz w:val="28"/>
          <w:szCs w:val="28"/>
          <w:highlight w:val="none"/>
        </w:rPr>
        <w:t>投标</w:t>
      </w:r>
      <w:bookmarkEnd w:id="145"/>
    </w:p>
    <w:p w14:paraId="0533DCD8">
      <w:pPr>
        <w:spacing w:before="202" w:line="219" w:lineRule="auto"/>
        <w:outlineLvl w:val="1"/>
        <w:rPr>
          <w:rFonts w:ascii="宋体" w:hAnsi="宋体" w:eastAsia="宋体" w:cs="宋体"/>
          <w:color w:val="auto"/>
          <w:sz w:val="24"/>
          <w:szCs w:val="24"/>
          <w:highlight w:val="none"/>
        </w:rPr>
      </w:pPr>
      <w:bookmarkStart w:id="146" w:name="_Toc4788"/>
      <w:bookmarkStart w:id="147" w:name="_Toc12674"/>
      <w:bookmarkStart w:id="148" w:name="_Toc508"/>
      <w:r>
        <w:rPr>
          <w:rFonts w:ascii="宋体" w:hAnsi="宋体" w:eastAsia="宋体" w:cs="宋体"/>
          <w:b/>
          <w:bCs/>
          <w:color w:val="auto"/>
          <w:spacing w:val="-3"/>
          <w:sz w:val="24"/>
          <w:szCs w:val="24"/>
          <w:highlight w:val="none"/>
        </w:rPr>
        <w:t>4.1</w:t>
      </w:r>
      <w:r>
        <w:rPr>
          <w:rFonts w:ascii="宋体" w:hAnsi="宋体" w:eastAsia="宋体" w:cs="宋体"/>
          <w:color w:val="auto"/>
          <w:spacing w:val="-3"/>
          <w:sz w:val="24"/>
          <w:szCs w:val="24"/>
          <w:highlight w:val="none"/>
        </w:rPr>
        <w:t xml:space="preserve"> </w:t>
      </w:r>
      <w:r>
        <w:rPr>
          <w:rFonts w:ascii="宋体" w:hAnsi="宋体" w:eastAsia="宋体" w:cs="宋体"/>
          <w:b/>
          <w:bCs/>
          <w:color w:val="auto"/>
          <w:spacing w:val="-3"/>
          <w:sz w:val="24"/>
          <w:szCs w:val="24"/>
          <w:highlight w:val="none"/>
        </w:rPr>
        <w:t>投标文件的加密</w:t>
      </w:r>
      <w:bookmarkEnd w:id="146"/>
      <w:bookmarkEnd w:id="147"/>
      <w:bookmarkEnd w:id="148"/>
    </w:p>
    <w:p w14:paraId="477C5EC8">
      <w:pPr>
        <w:spacing w:before="183" w:line="359" w:lineRule="auto"/>
        <w:ind w:left="2" w:right="163" w:firstLine="481"/>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投标文件应按照本章第</w:t>
      </w:r>
      <w:r>
        <w:rPr>
          <w:rFonts w:ascii="宋体" w:hAnsi="宋体" w:eastAsia="宋体" w:cs="宋体"/>
          <w:color w:val="auto"/>
          <w:spacing w:val="-38"/>
          <w:sz w:val="24"/>
          <w:szCs w:val="24"/>
          <w:highlight w:val="none"/>
        </w:rPr>
        <w:t xml:space="preserve"> </w:t>
      </w:r>
      <w:r>
        <w:rPr>
          <w:rFonts w:ascii="宋体" w:hAnsi="宋体" w:eastAsia="宋体" w:cs="宋体"/>
          <w:color w:val="auto"/>
          <w:spacing w:val="4"/>
          <w:sz w:val="24"/>
          <w:szCs w:val="24"/>
          <w:highlight w:val="none"/>
        </w:rPr>
        <w:t>3.7.3</w:t>
      </w:r>
      <w:r>
        <w:rPr>
          <w:rFonts w:ascii="宋体" w:hAnsi="宋体" w:eastAsia="宋体" w:cs="宋体"/>
          <w:color w:val="auto"/>
          <w:spacing w:val="-40"/>
          <w:sz w:val="24"/>
          <w:szCs w:val="24"/>
          <w:highlight w:val="none"/>
        </w:rPr>
        <w:t xml:space="preserve"> </w:t>
      </w:r>
      <w:r>
        <w:rPr>
          <w:rFonts w:ascii="宋体" w:hAnsi="宋体" w:eastAsia="宋体" w:cs="宋体"/>
          <w:color w:val="auto"/>
          <w:spacing w:val="4"/>
          <w:sz w:val="24"/>
          <w:szCs w:val="24"/>
          <w:highlight w:val="none"/>
        </w:rPr>
        <w:t>项要求制作并加密，未</w:t>
      </w:r>
      <w:r>
        <w:rPr>
          <w:rFonts w:ascii="宋体" w:hAnsi="宋体" w:eastAsia="宋体" w:cs="宋体"/>
          <w:color w:val="auto"/>
          <w:spacing w:val="3"/>
          <w:sz w:val="24"/>
          <w:szCs w:val="24"/>
          <w:highlight w:val="none"/>
        </w:rPr>
        <w:t>按要求加密的投标文件，招</w:t>
      </w:r>
      <w:r>
        <w:rPr>
          <w:rFonts w:ascii="宋体" w:hAnsi="宋体" w:eastAsia="宋体" w:cs="宋体"/>
          <w:color w:val="auto"/>
          <w:spacing w:val="-6"/>
          <w:sz w:val="24"/>
          <w:szCs w:val="24"/>
          <w:highlight w:val="none"/>
        </w:rPr>
        <w:t>标人（</w:t>
      </w:r>
      <w:r>
        <w:rPr>
          <w:rFonts w:ascii="宋体" w:hAnsi="宋体" w:eastAsia="宋体" w:cs="宋体"/>
          <w:color w:val="auto"/>
          <w:spacing w:val="-75"/>
          <w:sz w:val="24"/>
          <w:szCs w:val="24"/>
          <w:highlight w:val="none"/>
        </w:rPr>
        <w:t xml:space="preserve"> </w:t>
      </w:r>
      <w:r>
        <w:rPr>
          <w:rFonts w:ascii="宋体" w:hAnsi="宋体" w:eastAsia="宋体" w:cs="宋体"/>
          <w:color w:val="auto"/>
          <w:spacing w:val="-6"/>
          <w:sz w:val="24"/>
          <w:szCs w:val="24"/>
          <w:highlight w:val="none"/>
        </w:rPr>
        <w:t>“</w:t>
      </w:r>
      <w:r>
        <w:rPr>
          <w:rFonts w:ascii="宋体" w:hAnsi="宋体" w:eastAsia="宋体" w:cs="宋体"/>
          <w:color w:val="auto"/>
          <w:spacing w:val="-83"/>
          <w:sz w:val="24"/>
          <w:szCs w:val="24"/>
          <w:highlight w:val="none"/>
        </w:rPr>
        <w:t xml:space="preserve"> </w:t>
      </w:r>
      <w:r>
        <w:rPr>
          <w:rFonts w:ascii="宋体" w:hAnsi="宋体" w:eastAsia="宋体" w:cs="宋体"/>
          <w:color w:val="auto"/>
          <w:spacing w:val="-6"/>
          <w:sz w:val="24"/>
          <w:szCs w:val="24"/>
          <w:highlight w:val="none"/>
        </w:rPr>
        <w:t>电子交易平台</w:t>
      </w:r>
      <w:r>
        <w:rPr>
          <w:rFonts w:ascii="宋体" w:hAnsi="宋体" w:eastAsia="宋体" w:cs="宋体"/>
          <w:color w:val="auto"/>
          <w:spacing w:val="-88"/>
          <w:sz w:val="24"/>
          <w:szCs w:val="24"/>
          <w:highlight w:val="none"/>
        </w:rPr>
        <w:t xml:space="preserve"> </w:t>
      </w:r>
      <w:r>
        <w:rPr>
          <w:rFonts w:ascii="宋体" w:hAnsi="宋体" w:eastAsia="宋体" w:cs="宋体"/>
          <w:color w:val="auto"/>
          <w:spacing w:val="-6"/>
          <w:sz w:val="24"/>
          <w:szCs w:val="24"/>
          <w:highlight w:val="none"/>
        </w:rPr>
        <w:t>”）将拒绝接收并提示。</w:t>
      </w:r>
    </w:p>
    <w:p w14:paraId="6BE86B85">
      <w:pPr>
        <w:spacing w:before="1" w:line="219" w:lineRule="auto"/>
        <w:outlineLvl w:val="1"/>
        <w:rPr>
          <w:rFonts w:ascii="宋体" w:hAnsi="宋体" w:eastAsia="宋体" w:cs="宋体"/>
          <w:color w:val="auto"/>
          <w:sz w:val="24"/>
          <w:szCs w:val="24"/>
          <w:highlight w:val="none"/>
        </w:rPr>
      </w:pPr>
      <w:bookmarkStart w:id="149" w:name="_Toc18438"/>
      <w:bookmarkStart w:id="150" w:name="_Toc22522"/>
      <w:bookmarkStart w:id="151" w:name="_Toc13592"/>
      <w:r>
        <w:rPr>
          <w:rFonts w:ascii="宋体" w:hAnsi="宋体" w:eastAsia="宋体" w:cs="宋体"/>
          <w:b/>
          <w:bCs/>
          <w:color w:val="auto"/>
          <w:spacing w:val="-4"/>
          <w:sz w:val="24"/>
          <w:szCs w:val="24"/>
          <w:highlight w:val="none"/>
        </w:rPr>
        <w:t>4.2</w:t>
      </w:r>
      <w:r>
        <w:rPr>
          <w:rFonts w:ascii="宋体" w:hAnsi="宋体" w:eastAsia="宋体" w:cs="宋体"/>
          <w:color w:val="auto"/>
          <w:spacing w:val="70"/>
          <w:sz w:val="24"/>
          <w:szCs w:val="24"/>
          <w:highlight w:val="none"/>
        </w:rPr>
        <w:t xml:space="preserve"> </w:t>
      </w:r>
      <w:r>
        <w:rPr>
          <w:rFonts w:ascii="宋体" w:hAnsi="宋体" w:eastAsia="宋体" w:cs="宋体"/>
          <w:b/>
          <w:bCs/>
          <w:color w:val="auto"/>
          <w:spacing w:val="-4"/>
          <w:sz w:val="24"/>
          <w:szCs w:val="24"/>
          <w:highlight w:val="none"/>
        </w:rPr>
        <w:t>投标文件的递交</w:t>
      </w:r>
      <w:bookmarkEnd w:id="149"/>
      <w:bookmarkEnd w:id="150"/>
      <w:bookmarkEnd w:id="151"/>
    </w:p>
    <w:p w14:paraId="3956E8F1">
      <w:pPr>
        <w:spacing w:before="181" w:line="312" w:lineRule="auto"/>
        <w:ind w:right="160"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4.2.1 投标人应在第一章“招标公告 ”规定的投标截止时间前，通过互联网使用CA 数字证书登录“ 电子交易平台 ”，将加密的投标文件上传，并保存上传成功后系统自动生成的电子签收凭证，递交时间即为电子签收凭证时间。</w:t>
      </w:r>
    </w:p>
    <w:p w14:paraId="12AA52C8">
      <w:pPr>
        <w:spacing w:before="181" w:line="312" w:lineRule="auto"/>
        <w:ind w:right="160"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4.2.2 投标人应充分考虑上传文件时的不可预见因素，未在投标截止时间前完成电子投标文件上传的，视为逾期送达，招标人（ “ 电子交易平台 ”）将拒绝接收。</w:t>
      </w:r>
    </w:p>
    <w:p w14:paraId="247639DC">
      <w:pPr>
        <w:spacing w:before="181" w:line="312" w:lineRule="auto"/>
        <w:ind w:right="160"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4.2.3 投标人所递交的电子投标文件不予退还。</w:t>
      </w:r>
    </w:p>
    <w:p w14:paraId="01F77726">
      <w:pPr>
        <w:spacing w:before="181" w:line="312" w:lineRule="auto"/>
        <w:ind w:right="160"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4.2.4 逾期到达或者未到达的投标文件视为放弃本次投标。</w:t>
      </w:r>
    </w:p>
    <w:p w14:paraId="4FF22D0D">
      <w:pPr>
        <w:spacing w:before="181" w:line="312" w:lineRule="auto"/>
        <w:ind w:right="160"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4.2.5 在特殊情况下，招标人如果决定延后投标截止时间，应在“ 电子交易平台 ”</w:t>
      </w:r>
    </w:p>
    <w:p w14:paraId="4F039708">
      <w:pPr>
        <w:spacing w:before="181" w:line="312" w:lineRule="auto"/>
        <w:ind w:right="160" w:firstLine="480"/>
        <w:rPr>
          <w:rFonts w:ascii="宋体" w:hAnsi="宋体" w:eastAsia="宋体" w:cs="宋体"/>
          <w:color w:val="auto"/>
          <w:sz w:val="24"/>
          <w:szCs w:val="24"/>
          <w:highlight w:val="none"/>
        </w:rPr>
      </w:pPr>
      <w:r>
        <w:rPr>
          <w:rFonts w:ascii="宋体" w:hAnsi="宋体" w:eastAsia="宋体" w:cs="宋体"/>
          <w:color w:val="auto"/>
          <w:sz w:val="24"/>
          <w:szCs w:val="24"/>
          <w:highlight w:val="none"/>
        </w:rPr>
        <w:t>以补遗书的形式通知所有投标人延后投标截止时间。在此情况下，招标人和投标人的权利和义务相应延后至新的投标截止时间。</w:t>
      </w:r>
    </w:p>
    <w:p w14:paraId="2BBDCBFD">
      <w:pPr>
        <w:spacing w:before="1" w:line="219" w:lineRule="auto"/>
        <w:outlineLvl w:val="1"/>
        <w:rPr>
          <w:rFonts w:ascii="宋体" w:hAnsi="宋体" w:eastAsia="宋体" w:cs="宋体"/>
          <w:color w:val="auto"/>
          <w:sz w:val="24"/>
          <w:szCs w:val="24"/>
          <w:highlight w:val="none"/>
        </w:rPr>
      </w:pPr>
      <w:bookmarkStart w:id="152" w:name="_Toc6890"/>
      <w:bookmarkStart w:id="153" w:name="_Toc3282"/>
      <w:bookmarkStart w:id="154" w:name="_Toc21494"/>
      <w:r>
        <w:rPr>
          <w:rFonts w:ascii="宋体" w:hAnsi="宋体" w:eastAsia="宋体" w:cs="宋体"/>
          <w:b/>
          <w:bCs/>
          <w:color w:val="auto"/>
          <w:spacing w:val="-2"/>
          <w:sz w:val="24"/>
          <w:szCs w:val="24"/>
          <w:highlight w:val="none"/>
        </w:rPr>
        <w:t>4.3</w:t>
      </w:r>
      <w:r>
        <w:rPr>
          <w:rFonts w:ascii="宋体" w:hAnsi="宋体" w:eastAsia="宋体" w:cs="宋体"/>
          <w:color w:val="auto"/>
          <w:spacing w:val="-2"/>
          <w:sz w:val="24"/>
          <w:szCs w:val="24"/>
          <w:highlight w:val="none"/>
        </w:rPr>
        <w:t xml:space="preserve"> </w:t>
      </w:r>
      <w:r>
        <w:rPr>
          <w:rFonts w:ascii="宋体" w:hAnsi="宋体" w:eastAsia="宋体" w:cs="宋体"/>
          <w:b/>
          <w:bCs/>
          <w:color w:val="auto"/>
          <w:spacing w:val="-2"/>
          <w:sz w:val="24"/>
          <w:szCs w:val="24"/>
          <w:highlight w:val="none"/>
        </w:rPr>
        <w:t>投标文件的修改与撤回</w:t>
      </w:r>
      <w:bookmarkEnd w:id="152"/>
      <w:bookmarkEnd w:id="153"/>
      <w:bookmarkEnd w:id="154"/>
    </w:p>
    <w:p w14:paraId="7DF219D3">
      <w:pPr>
        <w:spacing w:before="181" w:line="312" w:lineRule="auto"/>
        <w:ind w:right="160" w:firstLine="480"/>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4.3.1 在本章第</w:t>
      </w:r>
      <w:r>
        <w:rPr>
          <w:rFonts w:ascii="宋体" w:hAnsi="宋体" w:eastAsia="宋体" w:cs="宋体"/>
          <w:color w:val="auto"/>
          <w:spacing w:val="-47"/>
          <w:sz w:val="24"/>
          <w:szCs w:val="24"/>
          <w:highlight w:val="none"/>
        </w:rPr>
        <w:t xml:space="preserve"> </w:t>
      </w:r>
      <w:r>
        <w:rPr>
          <w:rFonts w:ascii="宋体" w:hAnsi="宋体" w:eastAsia="宋体" w:cs="宋体"/>
          <w:color w:val="auto"/>
          <w:spacing w:val="4"/>
          <w:sz w:val="24"/>
          <w:szCs w:val="24"/>
          <w:highlight w:val="none"/>
        </w:rPr>
        <w:t>4.2.1</w:t>
      </w:r>
      <w:r>
        <w:rPr>
          <w:rFonts w:ascii="宋体" w:hAnsi="宋体" w:eastAsia="宋体" w:cs="宋体"/>
          <w:color w:val="auto"/>
          <w:spacing w:val="-39"/>
          <w:sz w:val="24"/>
          <w:szCs w:val="24"/>
          <w:highlight w:val="none"/>
        </w:rPr>
        <w:t xml:space="preserve"> </w:t>
      </w:r>
      <w:r>
        <w:rPr>
          <w:rFonts w:ascii="宋体" w:hAnsi="宋体" w:eastAsia="宋体" w:cs="宋体"/>
          <w:color w:val="auto"/>
          <w:spacing w:val="4"/>
          <w:sz w:val="24"/>
          <w:szCs w:val="24"/>
          <w:highlight w:val="none"/>
        </w:rPr>
        <w:t>项规定的投标截止时间前，投</w:t>
      </w:r>
      <w:r>
        <w:rPr>
          <w:rFonts w:ascii="宋体" w:hAnsi="宋体" w:eastAsia="宋体" w:cs="宋体"/>
          <w:color w:val="auto"/>
          <w:spacing w:val="3"/>
          <w:sz w:val="24"/>
          <w:szCs w:val="24"/>
          <w:highlight w:val="none"/>
        </w:rPr>
        <w:t>标人可以修改或撤回已递交的投标文件。投标人对加密的投标文件进行撤回的，应在“</w:t>
      </w:r>
      <w:r>
        <w:rPr>
          <w:rFonts w:ascii="宋体" w:hAnsi="宋体" w:eastAsia="宋体" w:cs="宋体"/>
          <w:color w:val="auto"/>
          <w:spacing w:val="-78"/>
          <w:sz w:val="24"/>
          <w:szCs w:val="24"/>
          <w:highlight w:val="none"/>
        </w:rPr>
        <w:t xml:space="preserve"> </w:t>
      </w:r>
      <w:r>
        <w:rPr>
          <w:rFonts w:ascii="宋体" w:hAnsi="宋体" w:eastAsia="宋体" w:cs="宋体"/>
          <w:color w:val="auto"/>
          <w:spacing w:val="3"/>
          <w:sz w:val="24"/>
          <w:szCs w:val="24"/>
          <w:highlight w:val="none"/>
        </w:rPr>
        <w:t>电子交易平台</w:t>
      </w:r>
      <w:r>
        <w:rPr>
          <w:rFonts w:ascii="宋体" w:hAnsi="宋体" w:eastAsia="宋体" w:cs="宋体"/>
          <w:color w:val="auto"/>
          <w:spacing w:val="-84"/>
          <w:sz w:val="24"/>
          <w:szCs w:val="24"/>
          <w:highlight w:val="none"/>
        </w:rPr>
        <w:t xml:space="preserve"> </w:t>
      </w:r>
      <w:r>
        <w:rPr>
          <w:rFonts w:ascii="宋体" w:hAnsi="宋体" w:eastAsia="宋体" w:cs="宋体"/>
          <w:color w:val="auto"/>
          <w:spacing w:val="2"/>
          <w:sz w:val="24"/>
          <w:szCs w:val="24"/>
          <w:highlight w:val="none"/>
        </w:rPr>
        <w:t>”直接进行</w:t>
      </w:r>
      <w:r>
        <w:rPr>
          <w:rFonts w:ascii="宋体" w:hAnsi="宋体" w:eastAsia="宋体" w:cs="宋体"/>
          <w:color w:val="auto"/>
          <w:sz w:val="24"/>
          <w:szCs w:val="24"/>
          <w:highlight w:val="none"/>
        </w:rPr>
        <w:t>撤回操作；投标人对加密的投标文件进行修改的，应在投标</w:t>
      </w:r>
      <w:r>
        <w:rPr>
          <w:rFonts w:ascii="宋体" w:hAnsi="宋体" w:eastAsia="宋体" w:cs="宋体"/>
          <w:color w:val="auto"/>
          <w:spacing w:val="-1"/>
          <w:sz w:val="24"/>
          <w:szCs w:val="24"/>
          <w:highlight w:val="none"/>
        </w:rPr>
        <w:t>截止时间前完成上传。</w:t>
      </w:r>
    </w:p>
    <w:p w14:paraId="5FAB7298">
      <w:pPr>
        <w:spacing w:before="185" w:line="312" w:lineRule="auto"/>
        <w:ind w:right="163" w:firstLine="480"/>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4.3.2</w:t>
      </w:r>
      <w:r>
        <w:rPr>
          <w:rFonts w:ascii="宋体" w:hAnsi="宋体" w:eastAsia="宋体" w:cs="宋体"/>
          <w:color w:val="auto"/>
          <w:spacing w:val="-48"/>
          <w:sz w:val="24"/>
          <w:szCs w:val="24"/>
          <w:highlight w:val="none"/>
        </w:rPr>
        <w:t xml:space="preserve"> </w:t>
      </w:r>
      <w:r>
        <w:rPr>
          <w:rFonts w:ascii="宋体" w:hAnsi="宋体" w:eastAsia="宋体" w:cs="宋体"/>
          <w:color w:val="auto"/>
          <w:spacing w:val="-1"/>
          <w:sz w:val="24"/>
          <w:szCs w:val="24"/>
          <w:highlight w:val="none"/>
        </w:rPr>
        <w:t>投标人修改投标文件的，应使用“投标文件制作工具</w:t>
      </w:r>
      <w:r>
        <w:rPr>
          <w:rFonts w:ascii="宋体" w:hAnsi="宋体" w:eastAsia="宋体" w:cs="宋体"/>
          <w:color w:val="auto"/>
          <w:spacing w:val="-86"/>
          <w:sz w:val="24"/>
          <w:szCs w:val="24"/>
          <w:highlight w:val="none"/>
        </w:rPr>
        <w:t xml:space="preserve"> </w:t>
      </w:r>
      <w:r>
        <w:rPr>
          <w:rFonts w:ascii="宋体" w:hAnsi="宋体" w:eastAsia="宋体" w:cs="宋体"/>
          <w:color w:val="auto"/>
          <w:spacing w:val="-1"/>
          <w:sz w:val="24"/>
          <w:szCs w:val="24"/>
          <w:highlight w:val="none"/>
        </w:rPr>
        <w:t>”制作成</w:t>
      </w:r>
      <w:r>
        <w:rPr>
          <w:rFonts w:ascii="宋体" w:hAnsi="宋体" w:eastAsia="宋体" w:cs="宋体"/>
          <w:color w:val="auto"/>
          <w:spacing w:val="-2"/>
          <w:sz w:val="24"/>
          <w:szCs w:val="24"/>
          <w:highlight w:val="none"/>
        </w:rPr>
        <w:t>完整的投标文</w:t>
      </w:r>
      <w:r>
        <w:rPr>
          <w:rFonts w:ascii="宋体" w:hAnsi="宋体" w:eastAsia="宋体" w:cs="宋体"/>
          <w:color w:val="auto"/>
          <w:spacing w:val="3"/>
          <w:sz w:val="24"/>
          <w:szCs w:val="24"/>
          <w:highlight w:val="none"/>
        </w:rPr>
        <w:t>件，并按照本章第</w:t>
      </w:r>
      <w:r>
        <w:rPr>
          <w:rFonts w:ascii="宋体" w:hAnsi="宋体" w:eastAsia="宋体" w:cs="宋体"/>
          <w:color w:val="auto"/>
          <w:spacing w:val="-37"/>
          <w:sz w:val="24"/>
          <w:szCs w:val="24"/>
          <w:highlight w:val="none"/>
        </w:rPr>
        <w:t xml:space="preserve"> </w:t>
      </w:r>
      <w:r>
        <w:rPr>
          <w:rFonts w:ascii="宋体" w:hAnsi="宋体" w:eastAsia="宋体" w:cs="宋体"/>
          <w:color w:val="auto"/>
          <w:spacing w:val="3"/>
          <w:sz w:val="24"/>
          <w:szCs w:val="24"/>
          <w:highlight w:val="none"/>
        </w:rPr>
        <w:t>3</w:t>
      </w:r>
      <w:r>
        <w:rPr>
          <w:rFonts w:ascii="宋体" w:hAnsi="宋体" w:eastAsia="宋体" w:cs="宋体"/>
          <w:color w:val="auto"/>
          <w:spacing w:val="-44"/>
          <w:sz w:val="24"/>
          <w:szCs w:val="24"/>
          <w:highlight w:val="none"/>
        </w:rPr>
        <w:t xml:space="preserve"> </w:t>
      </w:r>
      <w:r>
        <w:rPr>
          <w:rFonts w:ascii="宋体" w:hAnsi="宋体" w:eastAsia="宋体" w:cs="宋体"/>
          <w:color w:val="auto"/>
          <w:spacing w:val="3"/>
          <w:sz w:val="24"/>
          <w:szCs w:val="24"/>
          <w:highlight w:val="none"/>
        </w:rPr>
        <w:t>条、第</w:t>
      </w:r>
      <w:r>
        <w:rPr>
          <w:rFonts w:ascii="宋体" w:hAnsi="宋体" w:eastAsia="宋体" w:cs="宋体"/>
          <w:color w:val="auto"/>
          <w:spacing w:val="-44"/>
          <w:sz w:val="24"/>
          <w:szCs w:val="24"/>
          <w:highlight w:val="none"/>
        </w:rPr>
        <w:t xml:space="preserve"> </w:t>
      </w:r>
      <w:r>
        <w:rPr>
          <w:rFonts w:ascii="宋体" w:hAnsi="宋体" w:eastAsia="宋体" w:cs="宋体"/>
          <w:color w:val="auto"/>
          <w:spacing w:val="3"/>
          <w:sz w:val="24"/>
          <w:szCs w:val="24"/>
          <w:highlight w:val="none"/>
        </w:rPr>
        <w:t>4</w:t>
      </w:r>
      <w:r>
        <w:rPr>
          <w:rFonts w:ascii="宋体" w:hAnsi="宋体" w:eastAsia="宋体" w:cs="宋体"/>
          <w:color w:val="auto"/>
          <w:spacing w:val="-44"/>
          <w:sz w:val="24"/>
          <w:szCs w:val="24"/>
          <w:highlight w:val="none"/>
        </w:rPr>
        <w:t xml:space="preserve"> </w:t>
      </w:r>
      <w:r>
        <w:rPr>
          <w:rFonts w:ascii="宋体" w:hAnsi="宋体" w:eastAsia="宋体" w:cs="宋体"/>
          <w:color w:val="auto"/>
          <w:spacing w:val="3"/>
          <w:sz w:val="24"/>
          <w:szCs w:val="24"/>
          <w:highlight w:val="none"/>
        </w:rPr>
        <w:t>条规定进行编制、加密和递交。对采用网上递交的加密</w:t>
      </w:r>
      <w:r>
        <w:rPr>
          <w:rFonts w:ascii="宋体" w:hAnsi="宋体" w:eastAsia="宋体" w:cs="宋体"/>
          <w:color w:val="auto"/>
          <w:spacing w:val="-1"/>
          <w:sz w:val="24"/>
          <w:szCs w:val="24"/>
          <w:highlight w:val="none"/>
        </w:rPr>
        <w:t>的投标文件，以投标截止时间前最后完成上传的文件为准。</w:t>
      </w:r>
    </w:p>
    <w:p w14:paraId="518B323E">
      <w:pPr>
        <w:spacing w:before="185" w:line="312" w:lineRule="auto"/>
        <w:ind w:right="163" w:firstLine="480"/>
        <w:rPr>
          <w:rFonts w:ascii="宋体" w:hAnsi="宋体" w:eastAsia="宋体" w:cs="宋体"/>
          <w:color w:val="auto"/>
          <w:spacing w:val="-1"/>
          <w:sz w:val="24"/>
          <w:szCs w:val="24"/>
          <w:highlight w:val="none"/>
        </w:rPr>
      </w:pPr>
      <w:r>
        <w:rPr>
          <w:rFonts w:ascii="宋体" w:hAnsi="宋体" w:eastAsia="宋体" w:cs="宋体"/>
          <w:color w:val="auto"/>
          <w:spacing w:val="-1"/>
          <w:sz w:val="24"/>
          <w:szCs w:val="24"/>
          <w:highlight w:val="none"/>
        </w:rPr>
        <w:t>4.3.3 投标人撤回投标文件的，招标人自收到投标人撤回通知之日起 5 日内退还已收取的投标保证金。</w:t>
      </w:r>
    </w:p>
    <w:p w14:paraId="2927A3CC">
      <w:pPr>
        <w:spacing w:before="185" w:line="221" w:lineRule="auto"/>
        <w:ind w:left="8"/>
        <w:outlineLvl w:val="0"/>
        <w:rPr>
          <w:rFonts w:ascii="宋体" w:hAnsi="宋体" w:eastAsia="宋体" w:cs="宋体"/>
          <w:color w:val="auto"/>
          <w:sz w:val="28"/>
          <w:szCs w:val="28"/>
          <w:highlight w:val="none"/>
        </w:rPr>
      </w:pPr>
      <w:bookmarkStart w:id="155" w:name="_Toc24919"/>
      <w:r>
        <w:rPr>
          <w:rFonts w:ascii="宋体" w:hAnsi="宋体" w:eastAsia="宋体" w:cs="宋体"/>
          <w:b/>
          <w:bCs/>
          <w:color w:val="auto"/>
          <w:spacing w:val="-10"/>
          <w:sz w:val="28"/>
          <w:szCs w:val="28"/>
          <w:highlight w:val="none"/>
        </w:rPr>
        <w:t>5.</w:t>
      </w:r>
      <w:r>
        <w:rPr>
          <w:rFonts w:ascii="宋体" w:hAnsi="宋体" w:eastAsia="宋体" w:cs="宋体"/>
          <w:color w:val="auto"/>
          <w:spacing w:val="14"/>
          <w:sz w:val="28"/>
          <w:szCs w:val="28"/>
          <w:highlight w:val="none"/>
        </w:rPr>
        <w:t xml:space="preserve"> </w:t>
      </w:r>
      <w:r>
        <w:rPr>
          <w:rFonts w:ascii="宋体" w:hAnsi="宋体" w:eastAsia="宋体" w:cs="宋体"/>
          <w:b/>
          <w:bCs/>
          <w:color w:val="auto"/>
          <w:spacing w:val="-10"/>
          <w:sz w:val="28"/>
          <w:szCs w:val="28"/>
          <w:highlight w:val="none"/>
        </w:rPr>
        <w:t>开标</w:t>
      </w:r>
      <w:bookmarkEnd w:id="155"/>
    </w:p>
    <w:p w14:paraId="584AB1B0">
      <w:pPr>
        <w:spacing w:before="204" w:line="220" w:lineRule="auto"/>
        <w:ind w:left="5"/>
        <w:outlineLvl w:val="1"/>
        <w:rPr>
          <w:rFonts w:ascii="宋体" w:hAnsi="宋体" w:eastAsia="宋体" w:cs="宋体"/>
          <w:color w:val="auto"/>
          <w:sz w:val="24"/>
          <w:szCs w:val="24"/>
          <w:highlight w:val="none"/>
        </w:rPr>
      </w:pPr>
      <w:bookmarkStart w:id="156" w:name="_Toc18301"/>
      <w:bookmarkStart w:id="157" w:name="_Toc3608"/>
      <w:bookmarkStart w:id="158" w:name="_Toc22703"/>
      <w:r>
        <w:rPr>
          <w:rFonts w:ascii="宋体" w:hAnsi="宋体" w:eastAsia="宋体" w:cs="宋体"/>
          <w:b/>
          <w:bCs/>
          <w:color w:val="auto"/>
          <w:spacing w:val="-3"/>
          <w:sz w:val="24"/>
          <w:szCs w:val="24"/>
          <w:highlight w:val="none"/>
        </w:rPr>
        <w:t>5.1</w:t>
      </w:r>
      <w:r>
        <w:rPr>
          <w:rFonts w:ascii="宋体" w:hAnsi="宋体" w:eastAsia="宋体" w:cs="宋体"/>
          <w:color w:val="auto"/>
          <w:spacing w:val="-3"/>
          <w:sz w:val="24"/>
          <w:szCs w:val="24"/>
          <w:highlight w:val="none"/>
        </w:rPr>
        <w:t xml:space="preserve"> </w:t>
      </w:r>
      <w:r>
        <w:rPr>
          <w:rFonts w:ascii="宋体" w:hAnsi="宋体" w:eastAsia="宋体" w:cs="宋体"/>
          <w:b/>
          <w:bCs/>
          <w:color w:val="auto"/>
          <w:spacing w:val="-3"/>
          <w:sz w:val="24"/>
          <w:szCs w:val="24"/>
          <w:highlight w:val="none"/>
        </w:rPr>
        <w:t>开标时间和地点</w:t>
      </w:r>
      <w:bookmarkEnd w:id="156"/>
      <w:bookmarkEnd w:id="157"/>
      <w:bookmarkEnd w:id="158"/>
    </w:p>
    <w:p w14:paraId="68E7DDD9">
      <w:pPr>
        <w:spacing w:before="181" w:line="359" w:lineRule="auto"/>
        <w:ind w:left="1" w:right="27" w:firstLine="480"/>
        <w:jc w:val="both"/>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招标人在本章第</w:t>
      </w:r>
      <w:r>
        <w:rPr>
          <w:rFonts w:ascii="宋体" w:hAnsi="宋体" w:eastAsia="宋体" w:cs="宋体"/>
          <w:color w:val="auto"/>
          <w:spacing w:val="-44"/>
          <w:sz w:val="24"/>
          <w:szCs w:val="24"/>
          <w:highlight w:val="none"/>
        </w:rPr>
        <w:t xml:space="preserve"> </w:t>
      </w:r>
      <w:r>
        <w:rPr>
          <w:rFonts w:ascii="宋体" w:hAnsi="宋体" w:eastAsia="宋体" w:cs="宋体"/>
          <w:color w:val="auto"/>
          <w:spacing w:val="4"/>
          <w:sz w:val="24"/>
          <w:szCs w:val="24"/>
          <w:highlight w:val="none"/>
        </w:rPr>
        <w:t>4.2.1</w:t>
      </w:r>
      <w:r>
        <w:rPr>
          <w:rFonts w:ascii="宋体" w:hAnsi="宋体" w:eastAsia="宋体" w:cs="宋体"/>
          <w:color w:val="auto"/>
          <w:spacing w:val="-42"/>
          <w:sz w:val="24"/>
          <w:szCs w:val="24"/>
          <w:highlight w:val="none"/>
        </w:rPr>
        <w:t xml:space="preserve"> </w:t>
      </w:r>
      <w:r>
        <w:rPr>
          <w:rFonts w:ascii="宋体" w:hAnsi="宋体" w:eastAsia="宋体" w:cs="宋体"/>
          <w:color w:val="auto"/>
          <w:spacing w:val="4"/>
          <w:sz w:val="24"/>
          <w:szCs w:val="24"/>
          <w:highlight w:val="none"/>
        </w:rPr>
        <w:t>项规定的投标截止时间（开标时间）和投标人须知前</w:t>
      </w:r>
      <w:r>
        <w:rPr>
          <w:rFonts w:ascii="宋体" w:hAnsi="宋体" w:eastAsia="宋体" w:cs="宋体"/>
          <w:color w:val="auto"/>
          <w:spacing w:val="3"/>
          <w:sz w:val="24"/>
          <w:szCs w:val="24"/>
          <w:highlight w:val="none"/>
        </w:rPr>
        <w:t>附表</w:t>
      </w:r>
      <w:r>
        <w:rPr>
          <w:rFonts w:ascii="宋体" w:hAnsi="宋体" w:eastAsia="宋体" w:cs="宋体"/>
          <w:color w:val="auto"/>
          <w:spacing w:val="5"/>
          <w:sz w:val="24"/>
          <w:szCs w:val="24"/>
          <w:highlight w:val="none"/>
        </w:rPr>
        <w:t>规定的地点对收到的投标文件第一个信封（商务及技术文件）公开开标，</w:t>
      </w:r>
      <w:r>
        <w:rPr>
          <w:rFonts w:ascii="宋体" w:hAnsi="宋体" w:eastAsia="宋体" w:cs="宋体"/>
          <w:color w:val="auto"/>
          <w:spacing w:val="4"/>
          <w:sz w:val="24"/>
          <w:szCs w:val="24"/>
          <w:highlight w:val="none"/>
        </w:rPr>
        <w:t>并邀请所有</w:t>
      </w:r>
      <w:r>
        <w:rPr>
          <w:rFonts w:ascii="宋体" w:hAnsi="宋体" w:eastAsia="宋体" w:cs="宋体"/>
          <w:color w:val="auto"/>
          <w:spacing w:val="-1"/>
          <w:sz w:val="24"/>
          <w:szCs w:val="24"/>
          <w:highlight w:val="none"/>
        </w:rPr>
        <w:t>投标人的法定代表人或其委托代理人准时参加。</w:t>
      </w:r>
    </w:p>
    <w:p w14:paraId="349D9477">
      <w:pPr>
        <w:spacing w:line="359" w:lineRule="auto"/>
        <w:ind w:left="8" w:firstLine="473"/>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招标人在投标人须知前附表规定的时间和地点对投标文件第二个信封（报价文件）公开开标，并邀请所有投标人的法定代表人或其委托代理人准时参加。</w:t>
      </w:r>
    </w:p>
    <w:p w14:paraId="7A964F71">
      <w:pPr>
        <w:spacing w:line="359" w:lineRule="auto"/>
        <w:ind w:left="3" w:right="27" w:firstLine="480"/>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投标人若未派法定代表人或委托代理人参加第一个信封（商务及技术文件）开标</w:t>
      </w:r>
      <w:r>
        <w:rPr>
          <w:rFonts w:ascii="宋体" w:hAnsi="宋体" w:eastAsia="宋体" w:cs="宋体"/>
          <w:color w:val="auto"/>
          <w:spacing w:val="-1"/>
          <w:sz w:val="24"/>
          <w:szCs w:val="24"/>
          <w:highlight w:val="none"/>
        </w:rPr>
        <w:t>或第二个信封（报价文件）开标的，视为该投标人默认开标结果。</w:t>
      </w:r>
    </w:p>
    <w:p w14:paraId="6B509D04">
      <w:pPr>
        <w:spacing w:line="220" w:lineRule="auto"/>
        <w:ind w:left="5"/>
        <w:outlineLvl w:val="1"/>
        <w:rPr>
          <w:rFonts w:ascii="宋体" w:hAnsi="宋体" w:eastAsia="宋体" w:cs="宋体"/>
          <w:color w:val="auto"/>
          <w:sz w:val="24"/>
          <w:szCs w:val="24"/>
          <w:highlight w:val="none"/>
        </w:rPr>
      </w:pPr>
      <w:bookmarkStart w:id="159" w:name="_Toc25290"/>
      <w:bookmarkStart w:id="160" w:name="_Toc17559"/>
      <w:bookmarkStart w:id="161" w:name="_Toc8551"/>
      <w:r>
        <w:rPr>
          <w:rFonts w:ascii="宋体" w:hAnsi="宋体" w:eastAsia="宋体" w:cs="宋体"/>
          <w:b/>
          <w:bCs/>
          <w:color w:val="auto"/>
          <w:spacing w:val="-6"/>
          <w:sz w:val="24"/>
          <w:szCs w:val="24"/>
          <w:highlight w:val="none"/>
        </w:rPr>
        <w:t>5.2</w:t>
      </w:r>
      <w:r>
        <w:rPr>
          <w:rFonts w:ascii="宋体" w:hAnsi="宋体" w:eastAsia="宋体" w:cs="宋体"/>
          <w:color w:val="auto"/>
          <w:spacing w:val="16"/>
          <w:sz w:val="24"/>
          <w:szCs w:val="24"/>
          <w:highlight w:val="none"/>
        </w:rPr>
        <w:t xml:space="preserve"> </w:t>
      </w:r>
      <w:r>
        <w:rPr>
          <w:rFonts w:ascii="宋体" w:hAnsi="宋体" w:eastAsia="宋体" w:cs="宋体"/>
          <w:b/>
          <w:bCs/>
          <w:color w:val="auto"/>
          <w:spacing w:val="-6"/>
          <w:sz w:val="24"/>
          <w:szCs w:val="24"/>
          <w:highlight w:val="none"/>
        </w:rPr>
        <w:t>开标程序</w:t>
      </w:r>
      <w:bookmarkEnd w:id="159"/>
      <w:bookmarkEnd w:id="160"/>
      <w:bookmarkEnd w:id="161"/>
    </w:p>
    <w:p w14:paraId="2F825452">
      <w:pPr>
        <w:spacing w:before="182" w:line="359" w:lineRule="auto"/>
        <w:ind w:right="27" w:firstLine="483"/>
        <w:jc w:val="both"/>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投标截止时间前未完成投标文件传输的，或因投标人之外的原因造成投标文件未解密的，均视为投标人撤回其电子投标文件。因投标人原因造成投标文件未解</w:t>
      </w:r>
      <w:r>
        <w:rPr>
          <w:rFonts w:ascii="宋体" w:hAnsi="宋体" w:eastAsia="宋体" w:cs="宋体"/>
          <w:color w:val="auto"/>
          <w:spacing w:val="4"/>
          <w:sz w:val="24"/>
          <w:szCs w:val="24"/>
          <w:highlight w:val="none"/>
        </w:rPr>
        <w:t>密的或</w:t>
      </w:r>
      <w:r>
        <w:rPr>
          <w:rFonts w:ascii="宋体" w:hAnsi="宋体" w:eastAsia="宋体" w:cs="宋体"/>
          <w:color w:val="auto"/>
          <w:spacing w:val="5"/>
          <w:sz w:val="24"/>
          <w:szCs w:val="24"/>
          <w:highlight w:val="none"/>
        </w:rPr>
        <w:t>未在投标截止时间后投标人须知前附表规定的解密时间内解密的，视为撤销其</w:t>
      </w:r>
      <w:r>
        <w:rPr>
          <w:rFonts w:ascii="宋体" w:hAnsi="宋体" w:eastAsia="宋体" w:cs="宋体"/>
          <w:color w:val="auto"/>
          <w:spacing w:val="4"/>
          <w:sz w:val="24"/>
          <w:szCs w:val="24"/>
          <w:highlight w:val="none"/>
        </w:rPr>
        <w:t>投标文</w:t>
      </w:r>
      <w:r>
        <w:rPr>
          <w:rFonts w:ascii="宋体" w:hAnsi="宋体" w:eastAsia="宋体" w:cs="宋体"/>
          <w:color w:val="auto"/>
          <w:spacing w:val="-5"/>
          <w:sz w:val="24"/>
          <w:szCs w:val="24"/>
          <w:highlight w:val="none"/>
        </w:rPr>
        <w:t>件。</w:t>
      </w:r>
    </w:p>
    <w:p w14:paraId="36EB902E">
      <w:pPr>
        <w:spacing w:line="219" w:lineRule="auto"/>
        <w:ind w:left="485"/>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5.2.1</w:t>
      </w:r>
      <w:r>
        <w:rPr>
          <w:rFonts w:ascii="宋体" w:hAnsi="宋体" w:eastAsia="宋体" w:cs="宋体"/>
          <w:color w:val="auto"/>
          <w:spacing w:val="-48"/>
          <w:sz w:val="24"/>
          <w:szCs w:val="24"/>
          <w:highlight w:val="none"/>
        </w:rPr>
        <w:t xml:space="preserve"> </w:t>
      </w:r>
      <w:r>
        <w:rPr>
          <w:rFonts w:ascii="宋体" w:hAnsi="宋体" w:eastAsia="宋体" w:cs="宋体"/>
          <w:color w:val="auto"/>
          <w:spacing w:val="-1"/>
          <w:sz w:val="24"/>
          <w:szCs w:val="24"/>
          <w:highlight w:val="none"/>
        </w:rPr>
        <w:t>投标文件第一个信封（商务及技术文件</w:t>
      </w:r>
      <w:r>
        <w:rPr>
          <w:rFonts w:ascii="宋体" w:hAnsi="宋体" w:eastAsia="宋体" w:cs="宋体"/>
          <w:color w:val="auto"/>
          <w:spacing w:val="-2"/>
          <w:sz w:val="24"/>
          <w:szCs w:val="24"/>
          <w:highlight w:val="none"/>
        </w:rPr>
        <w:t>）开标</w:t>
      </w:r>
    </w:p>
    <w:p w14:paraId="73D85B29">
      <w:pPr>
        <w:spacing w:before="181" w:line="360" w:lineRule="auto"/>
        <w:ind w:left="2" w:right="24" w:firstLine="479"/>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招标人将按照本章第</w:t>
      </w:r>
      <w:r>
        <w:rPr>
          <w:rFonts w:ascii="宋体" w:hAnsi="宋体" w:eastAsia="宋体" w:cs="宋体"/>
          <w:color w:val="auto"/>
          <w:spacing w:val="-39"/>
          <w:sz w:val="24"/>
          <w:szCs w:val="24"/>
          <w:highlight w:val="none"/>
        </w:rPr>
        <w:t xml:space="preserve"> </w:t>
      </w:r>
      <w:r>
        <w:rPr>
          <w:rFonts w:ascii="宋体" w:hAnsi="宋体" w:eastAsia="宋体" w:cs="宋体"/>
          <w:color w:val="auto"/>
          <w:spacing w:val="4"/>
          <w:sz w:val="24"/>
          <w:szCs w:val="24"/>
          <w:highlight w:val="none"/>
        </w:rPr>
        <w:t>5.1</w:t>
      </w:r>
      <w:r>
        <w:rPr>
          <w:rFonts w:ascii="宋体" w:hAnsi="宋体" w:eastAsia="宋体" w:cs="宋体"/>
          <w:color w:val="auto"/>
          <w:spacing w:val="-43"/>
          <w:sz w:val="24"/>
          <w:szCs w:val="24"/>
          <w:highlight w:val="none"/>
        </w:rPr>
        <w:t xml:space="preserve"> </w:t>
      </w:r>
      <w:r>
        <w:rPr>
          <w:rFonts w:ascii="宋体" w:hAnsi="宋体" w:eastAsia="宋体" w:cs="宋体"/>
          <w:color w:val="auto"/>
          <w:spacing w:val="4"/>
          <w:sz w:val="24"/>
          <w:szCs w:val="24"/>
          <w:highlight w:val="none"/>
        </w:rPr>
        <w:t>款规定的时间和地点对投标文件第一个信封（商务及技</w:t>
      </w:r>
      <w:r>
        <w:rPr>
          <w:rFonts w:ascii="宋体" w:hAnsi="宋体" w:eastAsia="宋体" w:cs="宋体"/>
          <w:color w:val="auto"/>
          <w:spacing w:val="-2"/>
          <w:sz w:val="24"/>
          <w:szCs w:val="24"/>
          <w:highlight w:val="none"/>
        </w:rPr>
        <w:t>术文件）进行开标：</w:t>
      </w:r>
    </w:p>
    <w:p w14:paraId="50F7B33A">
      <w:pPr>
        <w:spacing w:before="1" w:line="218" w:lineRule="auto"/>
        <w:ind w:left="492"/>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（1）投标人代表持</w:t>
      </w:r>
      <w:r>
        <w:rPr>
          <w:rFonts w:ascii="宋体" w:hAnsi="宋体" w:eastAsia="宋体" w:cs="宋体"/>
          <w:color w:val="auto"/>
          <w:spacing w:val="-53"/>
          <w:sz w:val="24"/>
          <w:szCs w:val="24"/>
          <w:highlight w:val="none"/>
        </w:rPr>
        <w:t xml:space="preserve"> </w:t>
      </w:r>
      <w:r>
        <w:rPr>
          <w:rFonts w:ascii="宋体" w:hAnsi="宋体" w:eastAsia="宋体" w:cs="宋体"/>
          <w:color w:val="auto"/>
          <w:spacing w:val="-1"/>
          <w:sz w:val="24"/>
          <w:szCs w:val="24"/>
          <w:highlight w:val="none"/>
        </w:rPr>
        <w:t>CA</w:t>
      </w:r>
      <w:r>
        <w:rPr>
          <w:rFonts w:ascii="宋体" w:hAnsi="宋体" w:eastAsia="宋体" w:cs="宋体"/>
          <w:color w:val="auto"/>
          <w:spacing w:val="-48"/>
          <w:sz w:val="24"/>
          <w:szCs w:val="24"/>
          <w:highlight w:val="none"/>
        </w:rPr>
        <w:t xml:space="preserve"> </w:t>
      </w:r>
      <w:r>
        <w:rPr>
          <w:rFonts w:ascii="宋体" w:hAnsi="宋体" w:eastAsia="宋体" w:cs="宋体"/>
          <w:color w:val="auto"/>
          <w:spacing w:val="-1"/>
          <w:sz w:val="24"/>
          <w:szCs w:val="24"/>
          <w:highlight w:val="none"/>
        </w:rPr>
        <w:t>数字证书进入开标现场（投标人也可选择</w:t>
      </w:r>
      <w:r>
        <w:rPr>
          <w:rFonts w:ascii="宋体" w:hAnsi="宋体" w:eastAsia="宋体" w:cs="宋体"/>
          <w:color w:val="auto"/>
          <w:spacing w:val="-2"/>
          <w:sz w:val="24"/>
          <w:szCs w:val="24"/>
          <w:highlight w:val="none"/>
        </w:rPr>
        <w:t>远程解密）。</w:t>
      </w:r>
    </w:p>
    <w:p w14:paraId="60026E66">
      <w:pPr>
        <w:spacing w:before="180" w:line="219" w:lineRule="auto"/>
        <w:ind w:left="492"/>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（2）开标由招标人或其委托的招标代理机构主持，宣布开标纪律。</w:t>
      </w:r>
    </w:p>
    <w:p w14:paraId="38CDFCC2">
      <w:pPr>
        <w:spacing w:before="184" w:line="219" w:lineRule="auto"/>
        <w:ind w:left="492"/>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（3）宣布开标人、唱标人、记录人等有关人员姓名。</w:t>
      </w:r>
    </w:p>
    <w:p w14:paraId="5166E993">
      <w:pPr>
        <w:spacing w:before="181" w:line="219" w:lineRule="auto"/>
        <w:ind w:left="492"/>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（4）宣布开标顺序：按各标段投标文件到达系统的先后顺序。</w:t>
      </w:r>
    </w:p>
    <w:p w14:paraId="6398E198">
      <w:pPr>
        <w:spacing w:before="183" w:line="289" w:lineRule="auto"/>
        <w:ind w:left="4" w:right="27" w:firstLine="487"/>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（5）检查各标段投标文件递交到达的情况。若某标段递交到达投标文件的投标人</w:t>
      </w:r>
      <w:r>
        <w:rPr>
          <w:rFonts w:ascii="宋体" w:hAnsi="宋体" w:eastAsia="宋体" w:cs="宋体"/>
          <w:color w:val="auto"/>
          <w:spacing w:val="-3"/>
          <w:sz w:val="24"/>
          <w:szCs w:val="24"/>
          <w:highlight w:val="none"/>
        </w:rPr>
        <w:t>不足</w:t>
      </w:r>
      <w:r>
        <w:rPr>
          <w:rFonts w:ascii="宋体" w:hAnsi="宋体" w:eastAsia="宋体" w:cs="宋体"/>
          <w:color w:val="auto"/>
          <w:spacing w:val="-42"/>
          <w:sz w:val="24"/>
          <w:szCs w:val="24"/>
          <w:highlight w:val="none"/>
        </w:rPr>
        <w:t xml:space="preserve"> </w:t>
      </w:r>
      <w:r>
        <w:rPr>
          <w:rFonts w:ascii="宋体" w:hAnsi="宋体" w:eastAsia="宋体" w:cs="宋体"/>
          <w:color w:val="auto"/>
          <w:spacing w:val="-3"/>
          <w:sz w:val="24"/>
          <w:szCs w:val="24"/>
          <w:highlight w:val="none"/>
        </w:rPr>
        <w:t>3</w:t>
      </w:r>
      <w:r>
        <w:rPr>
          <w:rFonts w:ascii="宋体" w:hAnsi="宋体" w:eastAsia="宋体" w:cs="宋体"/>
          <w:color w:val="auto"/>
          <w:spacing w:val="-51"/>
          <w:sz w:val="24"/>
          <w:szCs w:val="24"/>
          <w:highlight w:val="none"/>
        </w:rPr>
        <w:t xml:space="preserve"> </w:t>
      </w:r>
      <w:r>
        <w:rPr>
          <w:rFonts w:ascii="宋体" w:hAnsi="宋体" w:eastAsia="宋体" w:cs="宋体"/>
          <w:color w:val="auto"/>
          <w:spacing w:val="-3"/>
          <w:sz w:val="24"/>
          <w:szCs w:val="24"/>
          <w:highlight w:val="none"/>
        </w:rPr>
        <w:t>个，则该标段不予开标。</w:t>
      </w:r>
    </w:p>
    <w:p w14:paraId="1EF5FE4E">
      <w:pPr>
        <w:spacing w:before="183" w:line="324" w:lineRule="auto"/>
        <w:ind w:right="27" w:firstLine="492"/>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（6）投标人解密。招标人应在第一个信封（商务及技术文件）开标现场宣布解密</w:t>
      </w:r>
      <w:r>
        <w:rPr>
          <w:rFonts w:ascii="宋体" w:hAnsi="宋体" w:eastAsia="宋体" w:cs="宋体"/>
          <w:color w:val="auto"/>
          <w:spacing w:val="5"/>
          <w:sz w:val="24"/>
          <w:szCs w:val="24"/>
          <w:highlight w:val="none"/>
        </w:rPr>
        <w:t>的开始时间，投标人应在系统通知解密开始后按投标人须知前附表规定的解密</w:t>
      </w:r>
      <w:r>
        <w:rPr>
          <w:rFonts w:ascii="宋体" w:hAnsi="宋体" w:eastAsia="宋体" w:cs="宋体"/>
          <w:color w:val="auto"/>
          <w:spacing w:val="4"/>
          <w:sz w:val="24"/>
          <w:szCs w:val="24"/>
          <w:highlight w:val="none"/>
        </w:rPr>
        <w:t>时间内</w:t>
      </w:r>
      <w:r>
        <w:rPr>
          <w:rFonts w:ascii="宋体" w:hAnsi="宋体" w:eastAsia="宋体" w:cs="宋体"/>
          <w:color w:val="auto"/>
          <w:spacing w:val="5"/>
          <w:sz w:val="24"/>
          <w:szCs w:val="24"/>
          <w:highlight w:val="none"/>
        </w:rPr>
        <w:t>（解密时长详见投标人须知前附表）对所递交的第一个信封（商务及技术文件</w:t>
      </w:r>
      <w:r>
        <w:rPr>
          <w:rFonts w:ascii="宋体" w:hAnsi="宋体" w:eastAsia="宋体" w:cs="宋体"/>
          <w:color w:val="auto"/>
          <w:spacing w:val="4"/>
          <w:sz w:val="24"/>
          <w:szCs w:val="24"/>
          <w:highlight w:val="none"/>
        </w:rPr>
        <w:t>）进行</w:t>
      </w:r>
      <w:r>
        <w:rPr>
          <w:rFonts w:ascii="宋体" w:hAnsi="宋体" w:eastAsia="宋体" w:cs="宋体"/>
          <w:color w:val="auto"/>
          <w:spacing w:val="-3"/>
          <w:sz w:val="24"/>
          <w:szCs w:val="24"/>
          <w:highlight w:val="none"/>
        </w:rPr>
        <w:t>解密。</w:t>
      </w:r>
    </w:p>
    <w:p w14:paraId="11AF25C1">
      <w:pPr>
        <w:spacing w:before="181" w:line="290" w:lineRule="auto"/>
        <w:ind w:right="27" w:firstLine="491"/>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（7）招标人解密。招标人在投标人解密截止时间后，对投标人解密成功的第一个</w:t>
      </w:r>
      <w:r>
        <w:rPr>
          <w:rFonts w:ascii="宋体" w:hAnsi="宋体" w:eastAsia="宋体" w:cs="宋体"/>
          <w:color w:val="auto"/>
          <w:spacing w:val="-2"/>
          <w:sz w:val="24"/>
          <w:szCs w:val="24"/>
          <w:highlight w:val="none"/>
        </w:rPr>
        <w:t>信封进行解密。</w:t>
      </w:r>
    </w:p>
    <w:p w14:paraId="59243B83">
      <w:pPr>
        <w:spacing w:before="47" w:line="219" w:lineRule="auto"/>
        <w:jc w:val="right"/>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（8）公布投标人名称、投标保证金递交情况、解密情况及其他内容，并记录在案。</w:t>
      </w:r>
    </w:p>
    <w:p w14:paraId="5A502009">
      <w:pPr>
        <w:spacing w:before="182" w:line="289" w:lineRule="auto"/>
        <w:ind w:right="128" w:firstLine="492"/>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（9）投标人代表、招标人、监标人（如有）、见证人（如有）等有关人员在开标</w:t>
      </w:r>
      <w:r>
        <w:rPr>
          <w:rFonts w:ascii="宋体" w:hAnsi="宋体" w:eastAsia="宋体" w:cs="宋体"/>
          <w:color w:val="auto"/>
          <w:spacing w:val="-1"/>
          <w:sz w:val="24"/>
          <w:szCs w:val="24"/>
          <w:highlight w:val="none"/>
        </w:rPr>
        <w:t>记录上签字确认，投标人代表未签字确认的视为默认开标结果。</w:t>
      </w:r>
    </w:p>
    <w:p w14:paraId="05E3AB91">
      <w:pPr>
        <w:spacing w:before="180" w:line="219" w:lineRule="auto"/>
        <w:ind w:left="493"/>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（10）开标会议结束。</w:t>
      </w:r>
    </w:p>
    <w:p w14:paraId="2C585278">
      <w:pPr>
        <w:spacing w:before="183" w:line="289" w:lineRule="auto"/>
        <w:ind w:right="128" w:firstLine="485"/>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5.2.2 投标文件第二个信封（报价文件）在投标</w:t>
      </w:r>
      <w:r>
        <w:rPr>
          <w:rFonts w:ascii="宋体" w:hAnsi="宋体" w:eastAsia="宋体" w:cs="宋体"/>
          <w:color w:val="auto"/>
          <w:spacing w:val="4"/>
          <w:sz w:val="24"/>
          <w:szCs w:val="24"/>
          <w:highlight w:val="none"/>
        </w:rPr>
        <w:t>文件第一个信封（商务及技术文</w:t>
      </w:r>
      <w:r>
        <w:rPr>
          <w:rFonts w:ascii="宋体" w:hAnsi="宋体" w:eastAsia="宋体" w:cs="宋体"/>
          <w:color w:val="auto"/>
          <w:spacing w:val="-3"/>
          <w:sz w:val="24"/>
          <w:szCs w:val="24"/>
          <w:highlight w:val="none"/>
        </w:rPr>
        <w:t>件）完成评审前，“</w:t>
      </w:r>
      <w:r>
        <w:rPr>
          <w:rFonts w:ascii="宋体" w:hAnsi="宋体" w:eastAsia="宋体" w:cs="宋体"/>
          <w:color w:val="auto"/>
          <w:spacing w:val="-72"/>
          <w:sz w:val="24"/>
          <w:szCs w:val="24"/>
          <w:highlight w:val="none"/>
        </w:rPr>
        <w:t xml:space="preserve"> </w:t>
      </w:r>
      <w:r>
        <w:rPr>
          <w:rFonts w:ascii="宋体" w:hAnsi="宋体" w:eastAsia="宋体" w:cs="宋体"/>
          <w:color w:val="auto"/>
          <w:spacing w:val="-3"/>
          <w:sz w:val="24"/>
          <w:szCs w:val="24"/>
          <w:highlight w:val="none"/>
        </w:rPr>
        <w:t>电子交易平台</w:t>
      </w:r>
      <w:r>
        <w:rPr>
          <w:rFonts w:ascii="宋体" w:hAnsi="宋体" w:eastAsia="宋体" w:cs="宋体"/>
          <w:color w:val="auto"/>
          <w:spacing w:val="-88"/>
          <w:sz w:val="24"/>
          <w:szCs w:val="24"/>
          <w:highlight w:val="none"/>
        </w:rPr>
        <w:t xml:space="preserve"> </w:t>
      </w:r>
      <w:r>
        <w:rPr>
          <w:rFonts w:ascii="宋体" w:hAnsi="宋体" w:eastAsia="宋体" w:cs="宋体"/>
          <w:color w:val="auto"/>
          <w:spacing w:val="-3"/>
          <w:sz w:val="24"/>
          <w:szCs w:val="24"/>
          <w:highlight w:val="none"/>
        </w:rPr>
        <w:t>”的开标评标系统将不进行读取。</w:t>
      </w:r>
    </w:p>
    <w:p w14:paraId="35A968A2">
      <w:pPr>
        <w:spacing w:before="182" w:line="218" w:lineRule="auto"/>
        <w:ind w:left="486"/>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5.2.3 投标文件第二个信封（报价文件）进行开标</w:t>
      </w:r>
    </w:p>
    <w:p w14:paraId="73DADAEB">
      <w:pPr>
        <w:spacing w:before="182" w:line="359" w:lineRule="auto"/>
        <w:ind w:right="101" w:firstLine="482"/>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招标人将按照本章第</w:t>
      </w:r>
      <w:r>
        <w:rPr>
          <w:rFonts w:ascii="宋体" w:hAnsi="宋体" w:eastAsia="宋体" w:cs="宋体"/>
          <w:color w:val="auto"/>
          <w:spacing w:val="-29"/>
          <w:sz w:val="24"/>
          <w:szCs w:val="24"/>
          <w:highlight w:val="none"/>
        </w:rPr>
        <w:t xml:space="preserve"> </w:t>
      </w:r>
      <w:r>
        <w:rPr>
          <w:rFonts w:ascii="宋体" w:hAnsi="宋体" w:eastAsia="宋体" w:cs="宋体"/>
          <w:color w:val="auto"/>
          <w:spacing w:val="-2"/>
          <w:sz w:val="24"/>
          <w:szCs w:val="24"/>
          <w:highlight w:val="none"/>
        </w:rPr>
        <w:t>5.1</w:t>
      </w:r>
      <w:r>
        <w:rPr>
          <w:rFonts w:ascii="宋体" w:hAnsi="宋体" w:eastAsia="宋体" w:cs="宋体"/>
          <w:color w:val="auto"/>
          <w:spacing w:val="-50"/>
          <w:sz w:val="24"/>
          <w:szCs w:val="24"/>
          <w:highlight w:val="none"/>
        </w:rPr>
        <w:t xml:space="preserve"> </w:t>
      </w:r>
      <w:r>
        <w:rPr>
          <w:rFonts w:ascii="宋体" w:hAnsi="宋体" w:eastAsia="宋体" w:cs="宋体"/>
          <w:color w:val="auto"/>
          <w:spacing w:val="-2"/>
          <w:sz w:val="24"/>
          <w:szCs w:val="24"/>
          <w:highlight w:val="none"/>
        </w:rPr>
        <w:t>款规定的时间和地点对投标文件第二个信封（报价文件）</w:t>
      </w:r>
      <w:r>
        <w:rPr>
          <w:rFonts w:ascii="宋体" w:hAnsi="宋体" w:eastAsia="宋体" w:cs="宋体"/>
          <w:color w:val="auto"/>
          <w:spacing w:val="-1"/>
          <w:sz w:val="24"/>
          <w:szCs w:val="24"/>
          <w:highlight w:val="none"/>
        </w:rPr>
        <w:t>进行开标。主持人按下列程序进行开标：</w:t>
      </w:r>
    </w:p>
    <w:p w14:paraId="231DC392">
      <w:pPr>
        <w:spacing w:before="1" w:line="218" w:lineRule="auto"/>
        <w:ind w:left="493"/>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（1）投标人代表持</w:t>
      </w:r>
      <w:r>
        <w:rPr>
          <w:rFonts w:ascii="宋体" w:hAnsi="宋体" w:eastAsia="宋体" w:cs="宋体"/>
          <w:color w:val="auto"/>
          <w:spacing w:val="-53"/>
          <w:sz w:val="24"/>
          <w:szCs w:val="24"/>
          <w:highlight w:val="none"/>
        </w:rPr>
        <w:t xml:space="preserve"> </w:t>
      </w:r>
      <w:r>
        <w:rPr>
          <w:rFonts w:ascii="宋体" w:hAnsi="宋体" w:eastAsia="宋体" w:cs="宋体"/>
          <w:color w:val="auto"/>
          <w:spacing w:val="-1"/>
          <w:sz w:val="24"/>
          <w:szCs w:val="24"/>
          <w:highlight w:val="none"/>
        </w:rPr>
        <w:t>CA</w:t>
      </w:r>
      <w:r>
        <w:rPr>
          <w:rFonts w:ascii="宋体" w:hAnsi="宋体" w:eastAsia="宋体" w:cs="宋体"/>
          <w:color w:val="auto"/>
          <w:spacing w:val="-48"/>
          <w:sz w:val="24"/>
          <w:szCs w:val="24"/>
          <w:highlight w:val="none"/>
        </w:rPr>
        <w:t xml:space="preserve"> </w:t>
      </w:r>
      <w:r>
        <w:rPr>
          <w:rFonts w:ascii="宋体" w:hAnsi="宋体" w:eastAsia="宋体" w:cs="宋体"/>
          <w:color w:val="auto"/>
          <w:spacing w:val="-1"/>
          <w:sz w:val="24"/>
          <w:szCs w:val="24"/>
          <w:highlight w:val="none"/>
        </w:rPr>
        <w:t>数字证书进入开标现场（投标人也可选择</w:t>
      </w:r>
      <w:r>
        <w:rPr>
          <w:rFonts w:ascii="宋体" w:hAnsi="宋体" w:eastAsia="宋体" w:cs="宋体"/>
          <w:color w:val="auto"/>
          <w:spacing w:val="-2"/>
          <w:sz w:val="24"/>
          <w:szCs w:val="24"/>
          <w:highlight w:val="none"/>
        </w:rPr>
        <w:t>远程解密）。</w:t>
      </w:r>
    </w:p>
    <w:p w14:paraId="596251FD">
      <w:pPr>
        <w:spacing w:before="184" w:line="219" w:lineRule="auto"/>
        <w:ind w:left="493"/>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（2）宣布开标纪律。</w:t>
      </w:r>
    </w:p>
    <w:p w14:paraId="123C9CCE">
      <w:pPr>
        <w:spacing w:before="180" w:line="290" w:lineRule="auto"/>
        <w:ind w:left="1" w:firstLine="491"/>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（3）摇取下浮率（如需）、评标价</w:t>
      </w:r>
      <w:r>
        <w:rPr>
          <w:rFonts w:ascii="宋体" w:hAnsi="宋体" w:eastAsia="宋体" w:cs="宋体"/>
          <w:color w:val="auto"/>
          <w:spacing w:val="-53"/>
          <w:sz w:val="24"/>
          <w:szCs w:val="24"/>
          <w:highlight w:val="none"/>
        </w:rPr>
        <w:t xml:space="preserve"> </w:t>
      </w:r>
      <w:r>
        <w:rPr>
          <w:rFonts w:ascii="宋体" w:hAnsi="宋体" w:eastAsia="宋体" w:cs="宋体"/>
          <w:color w:val="auto"/>
          <w:spacing w:val="-2"/>
          <w:sz w:val="24"/>
          <w:szCs w:val="24"/>
          <w:highlight w:val="none"/>
        </w:rPr>
        <w:t>E</w:t>
      </w:r>
      <w:r>
        <w:rPr>
          <w:rFonts w:ascii="宋体" w:hAnsi="宋体" w:eastAsia="宋体" w:cs="宋体"/>
          <w:color w:val="auto"/>
          <w:spacing w:val="-51"/>
          <w:sz w:val="24"/>
          <w:szCs w:val="24"/>
          <w:highlight w:val="none"/>
        </w:rPr>
        <w:t xml:space="preserve"> </w:t>
      </w:r>
      <w:r>
        <w:rPr>
          <w:rFonts w:ascii="宋体" w:hAnsi="宋体" w:eastAsia="宋体" w:cs="宋体"/>
          <w:color w:val="auto"/>
          <w:spacing w:val="-2"/>
          <w:sz w:val="24"/>
          <w:szCs w:val="24"/>
          <w:highlight w:val="none"/>
        </w:rPr>
        <w:t>值（</w:t>
      </w:r>
      <w:r>
        <w:rPr>
          <w:rFonts w:ascii="宋体" w:hAnsi="宋体" w:eastAsia="宋体" w:cs="宋体"/>
          <w:color w:val="auto"/>
          <w:spacing w:val="-3"/>
          <w:sz w:val="24"/>
          <w:szCs w:val="24"/>
          <w:highlight w:val="none"/>
        </w:rPr>
        <w:t>如需</w:t>
      </w:r>
      <w:r>
        <w:rPr>
          <w:rFonts w:ascii="宋体" w:hAnsi="宋体" w:eastAsia="宋体" w:cs="宋体"/>
          <w:color w:val="auto"/>
          <w:spacing w:val="4"/>
          <w:sz w:val="24"/>
          <w:szCs w:val="24"/>
          <w:highlight w:val="none"/>
        </w:rPr>
        <w:t>），</w:t>
      </w:r>
      <w:r>
        <w:rPr>
          <w:rFonts w:ascii="宋体" w:hAnsi="宋体" w:eastAsia="宋体" w:cs="宋体"/>
          <w:color w:val="auto"/>
          <w:spacing w:val="-3"/>
          <w:sz w:val="24"/>
          <w:szCs w:val="24"/>
          <w:highlight w:val="none"/>
        </w:rPr>
        <w:t>在开标现场采取摇珠方式确定。</w:t>
      </w:r>
      <w:r>
        <w:rPr>
          <w:rFonts w:ascii="宋体" w:hAnsi="宋体" w:eastAsia="宋体" w:cs="宋体"/>
          <w:color w:val="auto"/>
          <w:spacing w:val="-1"/>
          <w:sz w:val="24"/>
          <w:szCs w:val="24"/>
          <w:highlight w:val="none"/>
        </w:rPr>
        <w:t>摇珠操作办法详见评标办法。</w:t>
      </w:r>
    </w:p>
    <w:p w14:paraId="09180383">
      <w:pPr>
        <w:spacing w:before="182" w:line="313" w:lineRule="auto"/>
        <w:ind w:left="3" w:right="101" w:firstLine="489"/>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（4）招标人或招标代理机构宣布第一个信封（商务及技术文件）评审结果。投标</w:t>
      </w:r>
      <w:r>
        <w:rPr>
          <w:rFonts w:ascii="宋体" w:hAnsi="宋体" w:eastAsia="宋体" w:cs="宋体"/>
          <w:color w:val="auto"/>
          <w:spacing w:val="-1"/>
          <w:sz w:val="24"/>
          <w:szCs w:val="24"/>
          <w:highlight w:val="none"/>
        </w:rPr>
        <w:t>人未通过第一个信封（商务及技术文件）评审的，对应标段的第二个信封（报价文件）</w:t>
      </w:r>
      <w:r>
        <w:rPr>
          <w:rFonts w:ascii="宋体" w:hAnsi="宋体" w:eastAsia="宋体" w:cs="宋体"/>
          <w:color w:val="auto"/>
          <w:spacing w:val="-3"/>
          <w:sz w:val="24"/>
          <w:szCs w:val="24"/>
          <w:highlight w:val="none"/>
        </w:rPr>
        <w:t>不予开标。</w:t>
      </w:r>
    </w:p>
    <w:p w14:paraId="54959A35">
      <w:pPr>
        <w:spacing w:before="179" w:line="219" w:lineRule="auto"/>
        <w:ind w:left="493"/>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（5）宣布开标人、唱标人、记录人等有关人员姓名。</w:t>
      </w:r>
    </w:p>
    <w:p w14:paraId="72F6C428">
      <w:pPr>
        <w:spacing w:before="181" w:line="219" w:lineRule="auto"/>
        <w:ind w:left="493"/>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（6）宣布开标顺序：方法同第一个信封的开标顺序。</w:t>
      </w:r>
    </w:p>
    <w:p w14:paraId="3261D006">
      <w:pPr>
        <w:spacing w:before="184" w:line="312" w:lineRule="auto"/>
        <w:ind w:right="128" w:firstLine="492"/>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（7）投标人解密。招标人宣布第二个信封（报价文件）解密开始时间，投标人应</w:t>
      </w:r>
      <w:r>
        <w:rPr>
          <w:rFonts w:ascii="宋体" w:hAnsi="宋体" w:eastAsia="宋体" w:cs="宋体"/>
          <w:color w:val="auto"/>
          <w:spacing w:val="5"/>
          <w:sz w:val="24"/>
          <w:szCs w:val="24"/>
          <w:highlight w:val="none"/>
        </w:rPr>
        <w:t>在解密时长投标人须知前附表规定的解密时间内，对通过第一个信封（商务及</w:t>
      </w:r>
      <w:r>
        <w:rPr>
          <w:rFonts w:ascii="宋体" w:hAnsi="宋体" w:eastAsia="宋体" w:cs="宋体"/>
          <w:color w:val="auto"/>
          <w:spacing w:val="4"/>
          <w:sz w:val="24"/>
          <w:szCs w:val="24"/>
          <w:highlight w:val="none"/>
        </w:rPr>
        <w:t>技术文</w:t>
      </w:r>
      <w:r>
        <w:rPr>
          <w:rFonts w:ascii="宋体" w:hAnsi="宋体" w:eastAsia="宋体" w:cs="宋体"/>
          <w:color w:val="auto"/>
          <w:spacing w:val="-1"/>
          <w:sz w:val="24"/>
          <w:szCs w:val="24"/>
          <w:highlight w:val="none"/>
        </w:rPr>
        <w:t>件）评审的对应标段的第二个信封（报价文件）进行解密。</w:t>
      </w:r>
    </w:p>
    <w:p w14:paraId="293635DD">
      <w:pPr>
        <w:spacing w:before="184" w:line="289" w:lineRule="auto"/>
        <w:ind w:left="1" w:right="128" w:firstLine="491"/>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（8）招标人解密。招标人在投标人解密截止时间后，对投标人解密成功的第二个</w:t>
      </w:r>
      <w:r>
        <w:rPr>
          <w:rFonts w:ascii="宋体" w:hAnsi="宋体" w:eastAsia="宋体" w:cs="宋体"/>
          <w:color w:val="auto"/>
          <w:spacing w:val="-2"/>
          <w:sz w:val="24"/>
          <w:szCs w:val="24"/>
          <w:highlight w:val="none"/>
        </w:rPr>
        <w:t>信封进行解密。</w:t>
      </w:r>
    </w:p>
    <w:p w14:paraId="15CBFC53">
      <w:pPr>
        <w:spacing w:before="180" w:line="336" w:lineRule="auto"/>
        <w:ind w:right="18" w:firstLine="493"/>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（9）根据解密后的投标文件中的投标函公布投标人名称、投标报价</w:t>
      </w:r>
      <w:r>
        <w:rPr>
          <w:rFonts w:ascii="宋体" w:hAnsi="宋体" w:eastAsia="宋体" w:cs="宋体"/>
          <w:color w:val="auto"/>
          <w:spacing w:val="-3"/>
          <w:sz w:val="24"/>
          <w:szCs w:val="24"/>
          <w:highlight w:val="none"/>
        </w:rPr>
        <w:t>（开标过程中，</w:t>
      </w:r>
      <w:r>
        <w:rPr>
          <w:rFonts w:ascii="宋体" w:hAnsi="宋体" w:eastAsia="宋体" w:cs="宋体"/>
          <w:color w:val="auto"/>
          <w:spacing w:val="5"/>
          <w:sz w:val="24"/>
          <w:szCs w:val="24"/>
          <w:highlight w:val="none"/>
        </w:rPr>
        <w:t>若开标记录表与投标文件投标函大写文字报价不一致时，以投标文件投标函大写</w:t>
      </w:r>
      <w:r>
        <w:rPr>
          <w:rFonts w:ascii="宋体" w:hAnsi="宋体" w:eastAsia="宋体" w:cs="宋体"/>
          <w:color w:val="auto"/>
          <w:spacing w:val="4"/>
          <w:sz w:val="24"/>
          <w:szCs w:val="24"/>
          <w:highlight w:val="none"/>
        </w:rPr>
        <w:t>文字</w:t>
      </w:r>
      <w:r>
        <w:rPr>
          <w:rFonts w:ascii="宋体" w:hAnsi="宋体" w:eastAsia="宋体" w:cs="宋体"/>
          <w:color w:val="auto"/>
          <w:spacing w:val="5"/>
          <w:sz w:val="24"/>
          <w:szCs w:val="24"/>
          <w:highlight w:val="none"/>
        </w:rPr>
        <w:t>报价为准）、解密情况及其他内容，并记录在案。将未通过投标文件第一个信封</w:t>
      </w:r>
      <w:r>
        <w:rPr>
          <w:rFonts w:ascii="宋体" w:hAnsi="宋体" w:eastAsia="宋体" w:cs="宋体"/>
          <w:color w:val="auto"/>
          <w:spacing w:val="4"/>
          <w:sz w:val="24"/>
          <w:szCs w:val="24"/>
          <w:highlight w:val="none"/>
        </w:rPr>
        <w:t>（商务及技术文件）评审的投标文件第二个信封（报价文件）光盘或</w:t>
      </w:r>
      <w:r>
        <w:rPr>
          <w:rFonts w:ascii="宋体" w:hAnsi="宋体" w:eastAsia="宋体" w:cs="宋体"/>
          <w:color w:val="auto"/>
          <w:spacing w:val="-39"/>
          <w:sz w:val="24"/>
          <w:szCs w:val="24"/>
          <w:highlight w:val="none"/>
        </w:rPr>
        <w:t xml:space="preserve"> </w:t>
      </w:r>
      <w:r>
        <w:rPr>
          <w:rFonts w:ascii="宋体" w:hAnsi="宋体" w:eastAsia="宋体" w:cs="宋体"/>
          <w:color w:val="auto"/>
          <w:spacing w:val="4"/>
          <w:sz w:val="24"/>
          <w:szCs w:val="24"/>
          <w:highlight w:val="none"/>
        </w:rPr>
        <w:t>U</w:t>
      </w:r>
      <w:r>
        <w:rPr>
          <w:rFonts w:ascii="宋体" w:hAnsi="宋体" w:eastAsia="宋体" w:cs="宋体"/>
          <w:color w:val="auto"/>
          <w:spacing w:val="-44"/>
          <w:sz w:val="24"/>
          <w:szCs w:val="24"/>
          <w:highlight w:val="none"/>
        </w:rPr>
        <w:t xml:space="preserve"> </w:t>
      </w:r>
      <w:r>
        <w:rPr>
          <w:rFonts w:ascii="宋体" w:hAnsi="宋体" w:eastAsia="宋体" w:cs="宋体"/>
          <w:color w:val="auto"/>
          <w:spacing w:val="4"/>
          <w:sz w:val="24"/>
          <w:szCs w:val="24"/>
          <w:highlight w:val="none"/>
        </w:rPr>
        <w:t>盘（如有）退还给</w:t>
      </w:r>
      <w:r>
        <w:rPr>
          <w:rFonts w:ascii="宋体" w:hAnsi="宋体" w:eastAsia="宋体" w:cs="宋体"/>
          <w:color w:val="auto"/>
          <w:spacing w:val="5"/>
          <w:sz w:val="24"/>
          <w:szCs w:val="24"/>
          <w:highlight w:val="none"/>
        </w:rPr>
        <w:t>投标人。如投标人未参加第二个信封开标的，招标人应当在评标结束后及时将第</w:t>
      </w:r>
      <w:r>
        <w:rPr>
          <w:rFonts w:ascii="宋体" w:hAnsi="宋体" w:eastAsia="宋体" w:cs="宋体"/>
          <w:color w:val="auto"/>
          <w:spacing w:val="4"/>
          <w:sz w:val="24"/>
          <w:szCs w:val="24"/>
          <w:highlight w:val="none"/>
        </w:rPr>
        <w:t>二个</w:t>
      </w:r>
      <w:r>
        <w:rPr>
          <w:rFonts w:ascii="宋体" w:hAnsi="宋体" w:eastAsia="宋体" w:cs="宋体"/>
          <w:color w:val="auto"/>
          <w:spacing w:val="-2"/>
          <w:sz w:val="24"/>
          <w:szCs w:val="24"/>
          <w:highlight w:val="none"/>
        </w:rPr>
        <w:t>信封光盘或</w:t>
      </w:r>
      <w:r>
        <w:rPr>
          <w:rFonts w:ascii="宋体" w:hAnsi="宋体" w:eastAsia="宋体" w:cs="宋体"/>
          <w:color w:val="auto"/>
          <w:spacing w:val="-44"/>
          <w:sz w:val="24"/>
          <w:szCs w:val="24"/>
          <w:highlight w:val="none"/>
        </w:rPr>
        <w:t xml:space="preserve"> </w:t>
      </w:r>
      <w:r>
        <w:rPr>
          <w:rFonts w:ascii="宋体" w:hAnsi="宋体" w:eastAsia="宋体" w:cs="宋体"/>
          <w:color w:val="auto"/>
          <w:spacing w:val="-2"/>
          <w:sz w:val="24"/>
          <w:szCs w:val="24"/>
          <w:highlight w:val="none"/>
        </w:rPr>
        <w:t>U</w:t>
      </w:r>
      <w:r>
        <w:rPr>
          <w:rFonts w:ascii="宋体" w:hAnsi="宋体" w:eastAsia="宋体" w:cs="宋体"/>
          <w:color w:val="auto"/>
          <w:spacing w:val="-51"/>
          <w:sz w:val="24"/>
          <w:szCs w:val="24"/>
          <w:highlight w:val="none"/>
        </w:rPr>
        <w:t xml:space="preserve"> </w:t>
      </w:r>
      <w:r>
        <w:rPr>
          <w:rFonts w:ascii="宋体" w:hAnsi="宋体" w:eastAsia="宋体" w:cs="宋体"/>
          <w:color w:val="auto"/>
          <w:spacing w:val="-2"/>
          <w:sz w:val="24"/>
          <w:szCs w:val="24"/>
          <w:highlight w:val="none"/>
        </w:rPr>
        <w:t>盘（如有）退还投标人。</w:t>
      </w:r>
    </w:p>
    <w:p w14:paraId="703E1B65">
      <w:pPr>
        <w:spacing w:before="180" w:line="336" w:lineRule="auto"/>
        <w:ind w:right="18" w:firstLine="493"/>
        <w:rPr>
          <w:rFonts w:ascii="宋体" w:hAnsi="宋体" w:eastAsia="宋体" w:cs="宋体"/>
          <w:color w:val="auto"/>
          <w:spacing w:val="-2"/>
          <w:sz w:val="24"/>
          <w:szCs w:val="24"/>
          <w:highlight w:val="none"/>
        </w:rPr>
      </w:pPr>
      <w:r>
        <w:rPr>
          <w:rFonts w:ascii="宋体" w:hAnsi="宋体" w:eastAsia="宋体" w:cs="宋体"/>
          <w:color w:val="auto"/>
          <w:spacing w:val="-2"/>
          <w:sz w:val="24"/>
          <w:szCs w:val="24"/>
          <w:highlight w:val="none"/>
        </w:rPr>
        <w:t>（10）投标人代表、招标人、监标人（如有）、见证人（如有）等有关人员在开标记录上进行签字确认，投标人代表未签字确认的视为默认开标结果。如开标过程中出现需更正开标记录表的情况，招标人应通知所有投标人代表知晓，投标人代表、招标人、监标人（如有）、见证人（如有）等有关人员均应在更正后开标记录上进行签字确认，投标人代表未签字确认的视为默认更正结果。</w:t>
      </w:r>
    </w:p>
    <w:p w14:paraId="3724BF5A">
      <w:pPr>
        <w:spacing w:before="180" w:line="336" w:lineRule="auto"/>
        <w:ind w:right="18" w:firstLine="493"/>
        <w:rPr>
          <w:rFonts w:ascii="宋体" w:hAnsi="宋体" w:eastAsia="宋体" w:cs="宋体"/>
          <w:color w:val="auto"/>
          <w:spacing w:val="-2"/>
          <w:sz w:val="24"/>
          <w:szCs w:val="24"/>
          <w:highlight w:val="none"/>
        </w:rPr>
      </w:pPr>
      <w:r>
        <w:rPr>
          <w:rFonts w:ascii="宋体" w:hAnsi="宋体" w:eastAsia="宋体" w:cs="宋体"/>
          <w:color w:val="auto"/>
          <w:spacing w:val="-2"/>
          <w:sz w:val="24"/>
          <w:szCs w:val="24"/>
          <w:highlight w:val="none"/>
        </w:rPr>
        <w:t>（11）投标人对开标有异议的，应当在开标现场提出，招标人应当当场作出答复，并制作记录。未参加开标的投标人，视为对开标过程无异议。</w:t>
      </w:r>
    </w:p>
    <w:p w14:paraId="4451B819">
      <w:pPr>
        <w:spacing w:before="180" w:line="336" w:lineRule="auto"/>
        <w:ind w:right="18" w:firstLine="493"/>
        <w:rPr>
          <w:rFonts w:ascii="宋体" w:hAnsi="宋体" w:eastAsia="宋体" w:cs="宋体"/>
          <w:color w:val="auto"/>
          <w:spacing w:val="-2"/>
          <w:sz w:val="24"/>
          <w:szCs w:val="24"/>
          <w:highlight w:val="none"/>
        </w:rPr>
      </w:pPr>
      <w:r>
        <w:rPr>
          <w:rFonts w:ascii="宋体" w:hAnsi="宋体" w:eastAsia="宋体" w:cs="宋体"/>
          <w:color w:val="auto"/>
          <w:spacing w:val="-2"/>
          <w:sz w:val="24"/>
          <w:szCs w:val="24"/>
          <w:highlight w:val="none"/>
        </w:rPr>
        <w:t>（12）开标会议结束。</w:t>
      </w:r>
    </w:p>
    <w:p w14:paraId="1DC61AC2">
      <w:pPr>
        <w:spacing w:before="182" w:line="359" w:lineRule="auto"/>
        <w:ind w:firstLine="483"/>
        <w:jc w:val="both"/>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5.2.4 在投标文件第二个信封（报价文件）开标</w:t>
      </w:r>
      <w:r>
        <w:rPr>
          <w:rFonts w:ascii="宋体" w:hAnsi="宋体" w:eastAsia="宋体" w:cs="宋体"/>
          <w:color w:val="auto"/>
          <w:spacing w:val="4"/>
          <w:sz w:val="24"/>
          <w:szCs w:val="24"/>
          <w:highlight w:val="none"/>
        </w:rPr>
        <w:t>现场，招标人将按第三章“评标</w:t>
      </w:r>
      <w:r>
        <w:rPr>
          <w:rFonts w:ascii="宋体" w:hAnsi="宋体" w:eastAsia="宋体" w:cs="宋体"/>
          <w:color w:val="auto"/>
          <w:spacing w:val="-2"/>
          <w:sz w:val="24"/>
          <w:szCs w:val="24"/>
          <w:highlight w:val="none"/>
        </w:rPr>
        <w:t>办法</w:t>
      </w:r>
      <w:r>
        <w:rPr>
          <w:rFonts w:ascii="宋体" w:hAnsi="宋体" w:eastAsia="宋体" w:cs="宋体"/>
          <w:color w:val="auto"/>
          <w:spacing w:val="-88"/>
          <w:sz w:val="24"/>
          <w:szCs w:val="24"/>
          <w:highlight w:val="none"/>
        </w:rPr>
        <w:t xml:space="preserve"> </w:t>
      </w:r>
      <w:r>
        <w:rPr>
          <w:rFonts w:ascii="宋体" w:hAnsi="宋体" w:eastAsia="宋体" w:cs="宋体"/>
          <w:color w:val="auto"/>
          <w:spacing w:val="-2"/>
          <w:sz w:val="24"/>
          <w:szCs w:val="24"/>
          <w:highlight w:val="none"/>
        </w:rPr>
        <w:t>”规定的原则计算并宣布评标基准价。若招标</w:t>
      </w:r>
      <w:r>
        <w:rPr>
          <w:rFonts w:ascii="宋体" w:hAnsi="宋体" w:eastAsia="宋体" w:cs="宋体"/>
          <w:color w:val="auto"/>
          <w:spacing w:val="-3"/>
          <w:sz w:val="24"/>
          <w:szCs w:val="24"/>
          <w:highlight w:val="none"/>
        </w:rPr>
        <w:t>人发现投标文件出现以下任一情况，</w:t>
      </w:r>
      <w:r>
        <w:rPr>
          <w:rFonts w:ascii="宋体" w:hAnsi="宋体" w:eastAsia="宋体" w:cs="宋体"/>
          <w:color w:val="auto"/>
          <w:spacing w:val="-1"/>
          <w:sz w:val="24"/>
          <w:szCs w:val="24"/>
          <w:highlight w:val="none"/>
        </w:rPr>
        <w:t>其投标报价将不再参加评标基准价的计算：</w:t>
      </w:r>
    </w:p>
    <w:p w14:paraId="4DB5C05B">
      <w:pPr>
        <w:spacing w:before="1" w:line="217" w:lineRule="auto"/>
        <w:ind w:left="491"/>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（1）未在投标函上填写投标总价；</w:t>
      </w:r>
    </w:p>
    <w:p w14:paraId="316CE9E0">
      <w:pPr>
        <w:spacing w:before="182" w:line="218" w:lineRule="auto"/>
        <w:ind w:left="491"/>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（2）投标总报价超出招标人公布的最高投标限价；</w:t>
      </w:r>
    </w:p>
    <w:p w14:paraId="56B955C2">
      <w:pPr>
        <w:spacing w:before="185" w:line="218" w:lineRule="auto"/>
        <w:ind w:left="491"/>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（3）投标总报价的大写金额无法确定具体数值；</w:t>
      </w:r>
    </w:p>
    <w:p w14:paraId="2E20B44F">
      <w:pPr>
        <w:spacing w:before="185" w:line="220" w:lineRule="auto"/>
        <w:ind w:left="491"/>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（4）投标函上填写的标段号标记错误。</w:t>
      </w:r>
    </w:p>
    <w:p w14:paraId="5066EB2C">
      <w:pPr>
        <w:spacing w:before="178" w:line="359" w:lineRule="auto"/>
        <w:ind w:left="1" w:firstLine="481"/>
        <w:jc w:val="both"/>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如果投标人认为某一标段的评标基准价计算有误，有权在开标现场提出，经招标人当场核实确认之后，可重新宣布评标基准价。开标现场宣布的评标基</w:t>
      </w:r>
      <w:r>
        <w:rPr>
          <w:rFonts w:ascii="宋体" w:hAnsi="宋体" w:eastAsia="宋体" w:cs="宋体"/>
          <w:color w:val="auto"/>
          <w:spacing w:val="4"/>
          <w:sz w:val="24"/>
          <w:szCs w:val="24"/>
          <w:highlight w:val="none"/>
        </w:rPr>
        <w:t>准价除计算有</w:t>
      </w:r>
      <w:r>
        <w:rPr>
          <w:rFonts w:ascii="宋体" w:hAnsi="宋体" w:eastAsia="宋体" w:cs="宋体"/>
          <w:color w:val="auto"/>
          <w:sz w:val="24"/>
          <w:szCs w:val="24"/>
          <w:highlight w:val="none"/>
        </w:rPr>
        <w:t>误经评标委员会修正外，在整个评标期间保持不</w:t>
      </w:r>
      <w:r>
        <w:rPr>
          <w:rFonts w:ascii="宋体" w:hAnsi="宋体" w:eastAsia="宋体" w:cs="宋体"/>
          <w:color w:val="auto"/>
          <w:spacing w:val="-1"/>
          <w:sz w:val="24"/>
          <w:szCs w:val="24"/>
          <w:highlight w:val="none"/>
        </w:rPr>
        <w:t>变，不随任何因素发生变化。</w:t>
      </w:r>
    </w:p>
    <w:p w14:paraId="31AED0F3">
      <w:pPr>
        <w:spacing w:before="5" w:line="359" w:lineRule="auto"/>
        <w:ind w:firstLine="484"/>
        <w:jc w:val="both"/>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5.2.5 在投标文件第一个信封（商务及技术文件</w:t>
      </w:r>
      <w:r>
        <w:rPr>
          <w:rFonts w:ascii="宋体" w:hAnsi="宋体" w:eastAsia="宋体" w:cs="宋体"/>
          <w:color w:val="auto"/>
          <w:spacing w:val="4"/>
          <w:sz w:val="24"/>
          <w:szCs w:val="24"/>
          <w:highlight w:val="none"/>
        </w:rPr>
        <w:t>）或第二个信封（报价文件）开</w:t>
      </w:r>
      <w:r>
        <w:rPr>
          <w:rFonts w:ascii="宋体" w:hAnsi="宋体" w:eastAsia="宋体" w:cs="宋体"/>
          <w:color w:val="auto"/>
          <w:spacing w:val="5"/>
          <w:sz w:val="24"/>
          <w:szCs w:val="24"/>
          <w:highlight w:val="none"/>
        </w:rPr>
        <w:t>标过程中，若招标人宣读的内容与投标文件不符，投标人有权在开标现场提</w:t>
      </w:r>
      <w:r>
        <w:rPr>
          <w:rFonts w:ascii="宋体" w:hAnsi="宋体" w:eastAsia="宋体" w:cs="宋体"/>
          <w:color w:val="auto"/>
          <w:spacing w:val="4"/>
          <w:sz w:val="24"/>
          <w:szCs w:val="24"/>
          <w:highlight w:val="none"/>
        </w:rPr>
        <w:t>出疑问，</w:t>
      </w:r>
      <w:r>
        <w:rPr>
          <w:rFonts w:ascii="宋体" w:hAnsi="宋体" w:eastAsia="宋体" w:cs="宋体"/>
          <w:color w:val="auto"/>
          <w:spacing w:val="5"/>
          <w:sz w:val="24"/>
          <w:szCs w:val="24"/>
          <w:highlight w:val="none"/>
        </w:rPr>
        <w:t>经招标人当场核查确认之后，可重新宣读其投标文件。若投标人现场未提出</w:t>
      </w:r>
      <w:r>
        <w:rPr>
          <w:rFonts w:ascii="宋体" w:hAnsi="宋体" w:eastAsia="宋体" w:cs="宋体"/>
          <w:color w:val="auto"/>
          <w:spacing w:val="4"/>
          <w:sz w:val="24"/>
          <w:szCs w:val="24"/>
          <w:highlight w:val="none"/>
        </w:rPr>
        <w:t>疑问，则</w:t>
      </w:r>
      <w:r>
        <w:rPr>
          <w:rFonts w:ascii="宋体" w:hAnsi="宋体" w:eastAsia="宋体" w:cs="宋体"/>
          <w:color w:val="auto"/>
          <w:spacing w:val="5"/>
          <w:sz w:val="24"/>
          <w:szCs w:val="24"/>
          <w:highlight w:val="none"/>
        </w:rPr>
        <w:t>认为投标人已确认招标人宣读的内容。投标人对开标有异议的，应当在开标</w:t>
      </w:r>
      <w:r>
        <w:rPr>
          <w:rFonts w:ascii="宋体" w:hAnsi="宋体" w:eastAsia="宋体" w:cs="宋体"/>
          <w:color w:val="auto"/>
          <w:spacing w:val="4"/>
          <w:sz w:val="24"/>
          <w:szCs w:val="24"/>
          <w:highlight w:val="none"/>
        </w:rPr>
        <w:t>现场提出（采用电子化开标的可在系统平台提出</w:t>
      </w:r>
      <w:r>
        <w:rPr>
          <w:rFonts w:ascii="宋体" w:hAnsi="宋体" w:eastAsia="宋体" w:cs="宋体"/>
          <w:color w:val="auto"/>
          <w:spacing w:val="20"/>
          <w:sz w:val="24"/>
          <w:szCs w:val="24"/>
          <w:highlight w:val="none"/>
        </w:rPr>
        <w:t>），</w:t>
      </w:r>
      <w:r>
        <w:rPr>
          <w:rFonts w:ascii="宋体" w:hAnsi="宋体" w:eastAsia="宋体" w:cs="宋体"/>
          <w:color w:val="auto"/>
          <w:spacing w:val="4"/>
          <w:sz w:val="24"/>
          <w:szCs w:val="24"/>
          <w:highlight w:val="none"/>
        </w:rPr>
        <w:t>招标人应当当场作出答复（采用电子化开标的可在系统平台答复</w:t>
      </w:r>
      <w:r>
        <w:rPr>
          <w:rFonts w:ascii="宋体" w:hAnsi="宋体" w:eastAsia="宋体" w:cs="宋体"/>
          <w:color w:val="auto"/>
          <w:spacing w:val="20"/>
          <w:sz w:val="24"/>
          <w:szCs w:val="24"/>
          <w:highlight w:val="none"/>
        </w:rPr>
        <w:t>），</w:t>
      </w:r>
      <w:r>
        <w:rPr>
          <w:rFonts w:ascii="宋体" w:hAnsi="宋体" w:eastAsia="宋体" w:cs="宋体"/>
          <w:color w:val="auto"/>
          <w:spacing w:val="4"/>
          <w:sz w:val="24"/>
          <w:szCs w:val="24"/>
          <w:highlight w:val="none"/>
        </w:rPr>
        <w:t>并制作记录。未参加开标的投标人，视为对开标过程无异</w:t>
      </w:r>
      <w:r>
        <w:rPr>
          <w:rFonts w:ascii="宋体" w:hAnsi="宋体" w:eastAsia="宋体" w:cs="宋体"/>
          <w:color w:val="auto"/>
          <w:spacing w:val="-5"/>
          <w:sz w:val="24"/>
          <w:szCs w:val="24"/>
          <w:highlight w:val="none"/>
        </w:rPr>
        <w:t>议。</w:t>
      </w:r>
    </w:p>
    <w:p w14:paraId="3541B631">
      <w:pPr>
        <w:spacing w:line="219" w:lineRule="auto"/>
        <w:ind w:left="4"/>
        <w:outlineLvl w:val="1"/>
        <w:rPr>
          <w:rFonts w:ascii="宋体" w:hAnsi="宋体" w:eastAsia="宋体" w:cs="宋体"/>
          <w:color w:val="auto"/>
          <w:sz w:val="24"/>
          <w:szCs w:val="24"/>
          <w:highlight w:val="none"/>
        </w:rPr>
      </w:pPr>
      <w:bookmarkStart w:id="162" w:name="_Toc17409"/>
      <w:bookmarkStart w:id="163" w:name="_Toc4630"/>
      <w:bookmarkStart w:id="164" w:name="_Toc28310"/>
      <w:r>
        <w:rPr>
          <w:rFonts w:ascii="宋体" w:hAnsi="宋体" w:eastAsia="宋体" w:cs="宋体"/>
          <w:b/>
          <w:bCs/>
          <w:color w:val="auto"/>
          <w:spacing w:val="-6"/>
          <w:sz w:val="24"/>
          <w:szCs w:val="24"/>
          <w:highlight w:val="none"/>
        </w:rPr>
        <w:t>5.3</w:t>
      </w:r>
      <w:r>
        <w:rPr>
          <w:rFonts w:ascii="宋体" w:hAnsi="宋体" w:eastAsia="宋体" w:cs="宋体"/>
          <w:color w:val="auto"/>
          <w:spacing w:val="71"/>
          <w:sz w:val="24"/>
          <w:szCs w:val="24"/>
          <w:highlight w:val="none"/>
        </w:rPr>
        <w:t xml:space="preserve"> </w:t>
      </w:r>
      <w:r>
        <w:rPr>
          <w:rFonts w:ascii="宋体" w:hAnsi="宋体" w:eastAsia="宋体" w:cs="宋体"/>
          <w:b/>
          <w:bCs/>
          <w:color w:val="auto"/>
          <w:spacing w:val="-6"/>
          <w:sz w:val="24"/>
          <w:szCs w:val="24"/>
          <w:highlight w:val="none"/>
        </w:rPr>
        <w:t>开标异议</w:t>
      </w:r>
      <w:bookmarkEnd w:id="162"/>
      <w:bookmarkEnd w:id="163"/>
      <w:bookmarkEnd w:id="164"/>
    </w:p>
    <w:p w14:paraId="61371E09">
      <w:pPr>
        <w:spacing w:before="180" w:line="360" w:lineRule="auto"/>
        <w:ind w:firstLine="480"/>
        <w:jc w:val="both"/>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开标异议投标人对开标有异议的，应在开标现场提出（采用电子化开标的可在系</w:t>
      </w:r>
      <w:r>
        <w:rPr>
          <w:rFonts w:ascii="宋体" w:hAnsi="宋体" w:eastAsia="宋体" w:cs="宋体"/>
          <w:color w:val="auto"/>
          <w:spacing w:val="4"/>
          <w:sz w:val="24"/>
          <w:szCs w:val="24"/>
          <w:highlight w:val="none"/>
        </w:rPr>
        <w:t>统平台提出</w:t>
      </w:r>
      <w:r>
        <w:rPr>
          <w:rFonts w:ascii="宋体" w:hAnsi="宋体" w:eastAsia="宋体" w:cs="宋体"/>
          <w:color w:val="auto"/>
          <w:spacing w:val="14"/>
          <w:sz w:val="24"/>
          <w:szCs w:val="24"/>
          <w:highlight w:val="none"/>
        </w:rPr>
        <w:t>），</w:t>
      </w:r>
      <w:r>
        <w:rPr>
          <w:rFonts w:ascii="宋体" w:hAnsi="宋体" w:eastAsia="宋体" w:cs="宋体"/>
          <w:color w:val="auto"/>
          <w:spacing w:val="4"/>
          <w:sz w:val="24"/>
          <w:szCs w:val="24"/>
          <w:highlight w:val="none"/>
        </w:rPr>
        <w:t>招标人当场作出答复（采用电子化开标</w:t>
      </w:r>
      <w:r>
        <w:rPr>
          <w:rFonts w:ascii="宋体" w:hAnsi="宋体" w:eastAsia="宋体" w:cs="宋体"/>
          <w:color w:val="auto"/>
          <w:spacing w:val="3"/>
          <w:sz w:val="24"/>
          <w:szCs w:val="24"/>
          <w:highlight w:val="none"/>
        </w:rPr>
        <w:t>的可在系统平台答复</w:t>
      </w:r>
      <w:r>
        <w:rPr>
          <w:rFonts w:ascii="宋体" w:hAnsi="宋体" w:eastAsia="宋体" w:cs="宋体"/>
          <w:color w:val="auto"/>
          <w:spacing w:val="14"/>
          <w:sz w:val="24"/>
          <w:szCs w:val="24"/>
          <w:highlight w:val="none"/>
        </w:rPr>
        <w:t>），</w:t>
      </w:r>
      <w:r>
        <w:rPr>
          <w:rFonts w:ascii="宋体" w:hAnsi="宋体" w:eastAsia="宋体" w:cs="宋体"/>
          <w:color w:val="auto"/>
          <w:spacing w:val="3"/>
          <w:sz w:val="24"/>
          <w:szCs w:val="24"/>
          <w:highlight w:val="none"/>
        </w:rPr>
        <w:t>并制</w:t>
      </w:r>
      <w:r>
        <w:rPr>
          <w:rFonts w:ascii="宋体" w:hAnsi="宋体" w:eastAsia="宋体" w:cs="宋体"/>
          <w:color w:val="auto"/>
          <w:spacing w:val="5"/>
          <w:sz w:val="24"/>
          <w:szCs w:val="24"/>
          <w:highlight w:val="none"/>
        </w:rPr>
        <w:t>作记录，有异议的投标人（现场如有）、招标人代表、记录人等有关人员</w:t>
      </w:r>
      <w:r>
        <w:rPr>
          <w:rFonts w:ascii="宋体" w:hAnsi="宋体" w:eastAsia="宋体" w:cs="宋体"/>
          <w:color w:val="auto"/>
          <w:spacing w:val="4"/>
          <w:sz w:val="24"/>
          <w:szCs w:val="24"/>
          <w:highlight w:val="none"/>
        </w:rPr>
        <w:t>在记录上签</w:t>
      </w:r>
      <w:r>
        <w:rPr>
          <w:rFonts w:ascii="宋体" w:hAnsi="宋体" w:eastAsia="宋体" w:cs="宋体"/>
          <w:color w:val="auto"/>
          <w:spacing w:val="-3"/>
          <w:sz w:val="24"/>
          <w:szCs w:val="24"/>
          <w:highlight w:val="none"/>
        </w:rPr>
        <w:t>字确认。</w:t>
      </w:r>
    </w:p>
    <w:p w14:paraId="041A0202">
      <w:pPr>
        <w:spacing w:before="164" w:line="360" w:lineRule="auto"/>
        <w:ind w:left="5"/>
        <w:outlineLvl w:val="1"/>
        <w:rPr>
          <w:rFonts w:ascii="宋体" w:hAnsi="宋体" w:eastAsia="宋体" w:cs="宋体"/>
          <w:color w:val="auto"/>
          <w:sz w:val="24"/>
          <w:szCs w:val="24"/>
          <w:highlight w:val="none"/>
        </w:rPr>
      </w:pPr>
      <w:bookmarkStart w:id="165" w:name="_Toc15478"/>
      <w:bookmarkStart w:id="166" w:name="_Toc293"/>
      <w:bookmarkStart w:id="167" w:name="_Toc15583"/>
      <w:r>
        <w:rPr>
          <w:rFonts w:ascii="宋体" w:hAnsi="宋体" w:eastAsia="宋体" w:cs="宋体"/>
          <w:b/>
          <w:bCs/>
          <w:color w:val="auto"/>
          <w:spacing w:val="-3"/>
          <w:sz w:val="24"/>
          <w:szCs w:val="24"/>
          <w:highlight w:val="none"/>
        </w:rPr>
        <w:t>5.4</w:t>
      </w:r>
      <w:r>
        <w:rPr>
          <w:rFonts w:ascii="宋体" w:hAnsi="宋体" w:eastAsia="宋体" w:cs="宋体"/>
          <w:color w:val="auto"/>
          <w:spacing w:val="-3"/>
          <w:sz w:val="24"/>
          <w:szCs w:val="24"/>
          <w:highlight w:val="none"/>
        </w:rPr>
        <w:t xml:space="preserve"> </w:t>
      </w:r>
      <w:r>
        <w:rPr>
          <w:rFonts w:ascii="宋体" w:hAnsi="宋体" w:eastAsia="宋体" w:cs="宋体"/>
          <w:b/>
          <w:bCs/>
          <w:color w:val="auto"/>
          <w:spacing w:val="-3"/>
          <w:sz w:val="24"/>
          <w:szCs w:val="24"/>
          <w:highlight w:val="none"/>
        </w:rPr>
        <w:t>开标补救措施</w:t>
      </w:r>
      <w:bookmarkEnd w:id="165"/>
      <w:bookmarkEnd w:id="166"/>
      <w:bookmarkEnd w:id="167"/>
    </w:p>
    <w:p w14:paraId="57492F2D">
      <w:pPr>
        <w:spacing w:before="53" w:line="360" w:lineRule="auto"/>
        <w:ind w:left="6" w:right="186" w:firstLine="479"/>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5.4.1 开标过程中因出现以下情况，导致系统无法正常运行，应中止电子开标，</w:t>
      </w:r>
      <w:r>
        <w:rPr>
          <w:rFonts w:ascii="宋体" w:hAnsi="宋体" w:eastAsia="宋体" w:cs="宋体"/>
          <w:color w:val="auto"/>
          <w:spacing w:val="-1"/>
          <w:sz w:val="24"/>
          <w:szCs w:val="24"/>
          <w:highlight w:val="none"/>
        </w:rPr>
        <w:t>并在恢复正常后及时安排时间开标。同时，做好后续开标的前期工作。</w:t>
      </w:r>
    </w:p>
    <w:p w14:paraId="6D7826BA">
      <w:pPr>
        <w:spacing w:line="360" w:lineRule="auto"/>
        <w:ind w:left="523"/>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(1)系统服务器发生故障，无法访问或无法使用</w:t>
      </w:r>
      <w:r>
        <w:rPr>
          <w:rFonts w:ascii="宋体" w:hAnsi="宋体" w:eastAsia="宋体" w:cs="宋体"/>
          <w:color w:val="auto"/>
          <w:spacing w:val="-3"/>
          <w:sz w:val="24"/>
          <w:szCs w:val="24"/>
          <w:highlight w:val="none"/>
        </w:rPr>
        <w:t>系统；</w:t>
      </w:r>
    </w:p>
    <w:p w14:paraId="682E542B">
      <w:pPr>
        <w:spacing w:before="180" w:line="360" w:lineRule="auto"/>
        <w:ind w:left="523"/>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(2)系统的软件或数据库出现错误，不能进行正常操作；</w:t>
      </w:r>
    </w:p>
    <w:p w14:paraId="16118F09">
      <w:pPr>
        <w:spacing w:before="182" w:line="360" w:lineRule="auto"/>
        <w:ind w:left="523"/>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(3)系统发现有安全漏洞，有潜在的泄密危险；</w:t>
      </w:r>
    </w:p>
    <w:p w14:paraId="6481E542">
      <w:pPr>
        <w:spacing w:before="179" w:line="360" w:lineRule="auto"/>
        <w:ind w:left="523"/>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(4)出现断电事故且短时间内无法恢复供电的；</w:t>
      </w:r>
    </w:p>
    <w:p w14:paraId="5F8C2B02">
      <w:pPr>
        <w:spacing w:before="184" w:line="360" w:lineRule="auto"/>
        <w:ind w:left="523"/>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(5)其他无法保证招投标过程正常进行的情形。</w:t>
      </w:r>
    </w:p>
    <w:p w14:paraId="616D6F68">
      <w:pPr>
        <w:spacing w:before="179" w:line="360" w:lineRule="auto"/>
        <w:ind w:left="485"/>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5.4.2 采取补救措施时，必须对原有资料及信息作出妥善保密处理。</w:t>
      </w:r>
    </w:p>
    <w:p w14:paraId="3C55D8C3">
      <w:pPr>
        <w:spacing w:before="189" w:line="360" w:lineRule="auto"/>
        <w:ind w:left="4"/>
        <w:outlineLvl w:val="0"/>
        <w:rPr>
          <w:rFonts w:ascii="宋体" w:hAnsi="宋体" w:eastAsia="宋体" w:cs="宋体"/>
          <w:color w:val="auto"/>
          <w:sz w:val="28"/>
          <w:szCs w:val="28"/>
          <w:highlight w:val="none"/>
        </w:rPr>
      </w:pPr>
      <w:bookmarkStart w:id="168" w:name="_Toc7333"/>
      <w:r>
        <w:rPr>
          <w:rFonts w:ascii="宋体" w:hAnsi="宋体" w:eastAsia="宋体" w:cs="宋体"/>
          <w:b/>
          <w:bCs/>
          <w:color w:val="auto"/>
          <w:spacing w:val="-8"/>
          <w:sz w:val="28"/>
          <w:szCs w:val="28"/>
          <w:highlight w:val="none"/>
        </w:rPr>
        <w:t>6.</w:t>
      </w:r>
      <w:r>
        <w:rPr>
          <w:rFonts w:ascii="宋体" w:hAnsi="宋体" w:eastAsia="宋体" w:cs="宋体"/>
          <w:color w:val="auto"/>
          <w:spacing w:val="10"/>
          <w:sz w:val="28"/>
          <w:szCs w:val="28"/>
          <w:highlight w:val="none"/>
        </w:rPr>
        <w:t xml:space="preserve"> </w:t>
      </w:r>
      <w:r>
        <w:rPr>
          <w:rFonts w:ascii="宋体" w:hAnsi="宋体" w:eastAsia="宋体" w:cs="宋体"/>
          <w:b/>
          <w:bCs/>
          <w:color w:val="auto"/>
          <w:spacing w:val="-8"/>
          <w:sz w:val="28"/>
          <w:szCs w:val="28"/>
          <w:highlight w:val="none"/>
        </w:rPr>
        <w:t>评标</w:t>
      </w:r>
      <w:bookmarkEnd w:id="168"/>
    </w:p>
    <w:p w14:paraId="573943E7">
      <w:pPr>
        <w:spacing w:before="204" w:line="360" w:lineRule="auto"/>
        <w:ind w:left="2"/>
        <w:outlineLvl w:val="1"/>
        <w:rPr>
          <w:rFonts w:ascii="宋体" w:hAnsi="宋体" w:eastAsia="宋体" w:cs="宋体"/>
          <w:color w:val="auto"/>
          <w:sz w:val="24"/>
          <w:szCs w:val="24"/>
          <w:highlight w:val="none"/>
        </w:rPr>
      </w:pPr>
      <w:bookmarkStart w:id="169" w:name="_Toc30028"/>
      <w:bookmarkStart w:id="170" w:name="_Toc17079"/>
      <w:bookmarkStart w:id="171" w:name="_Toc20258"/>
      <w:r>
        <w:rPr>
          <w:rFonts w:ascii="宋体" w:hAnsi="宋体" w:eastAsia="宋体" w:cs="宋体"/>
          <w:b/>
          <w:bCs/>
          <w:color w:val="auto"/>
          <w:spacing w:val="-5"/>
          <w:sz w:val="24"/>
          <w:szCs w:val="24"/>
          <w:highlight w:val="none"/>
        </w:rPr>
        <w:t>6.1</w:t>
      </w:r>
      <w:r>
        <w:rPr>
          <w:rFonts w:ascii="宋体" w:hAnsi="宋体" w:eastAsia="宋体" w:cs="宋体"/>
          <w:color w:val="auto"/>
          <w:spacing w:val="72"/>
          <w:sz w:val="24"/>
          <w:szCs w:val="24"/>
          <w:highlight w:val="none"/>
        </w:rPr>
        <w:t xml:space="preserve"> </w:t>
      </w:r>
      <w:r>
        <w:rPr>
          <w:rFonts w:ascii="宋体" w:hAnsi="宋体" w:eastAsia="宋体" w:cs="宋体"/>
          <w:b/>
          <w:bCs/>
          <w:color w:val="auto"/>
          <w:spacing w:val="-5"/>
          <w:sz w:val="24"/>
          <w:szCs w:val="24"/>
          <w:highlight w:val="none"/>
        </w:rPr>
        <w:t>评标委员会</w:t>
      </w:r>
      <w:bookmarkEnd w:id="169"/>
      <w:bookmarkEnd w:id="170"/>
      <w:bookmarkEnd w:id="171"/>
    </w:p>
    <w:p w14:paraId="23547EEA">
      <w:pPr>
        <w:spacing w:before="183" w:line="360" w:lineRule="auto"/>
        <w:ind w:right="80" w:firstLine="482"/>
        <w:rPr>
          <w:rFonts w:ascii="宋体" w:hAnsi="宋体" w:eastAsia="宋体" w:cs="宋体"/>
          <w:color w:val="auto"/>
          <w:sz w:val="24"/>
          <w:szCs w:val="24"/>
          <w:highlight w:val="none"/>
        </w:rPr>
      </w:pPr>
      <w:r>
        <w:rPr>
          <w:rFonts w:ascii="宋体" w:hAnsi="宋体" w:eastAsia="宋体" w:cs="宋体"/>
          <w:color w:val="auto"/>
          <w:sz w:val="24"/>
          <w:szCs w:val="24"/>
          <w:highlight w:val="none"/>
        </w:rPr>
        <w:t>6.1.1 评标由招标人依法组建的评标委员会负责。评标</w:t>
      </w:r>
      <w:r>
        <w:rPr>
          <w:rFonts w:ascii="宋体" w:hAnsi="宋体" w:eastAsia="宋体" w:cs="宋体"/>
          <w:color w:val="auto"/>
          <w:spacing w:val="-1"/>
          <w:sz w:val="24"/>
          <w:szCs w:val="24"/>
          <w:highlight w:val="none"/>
        </w:rPr>
        <w:t>委员会由招标人(或其委派)</w:t>
      </w:r>
      <w:r>
        <w:rPr>
          <w:rFonts w:ascii="宋体" w:hAnsi="宋体" w:eastAsia="宋体" w:cs="宋体"/>
          <w:color w:val="auto"/>
          <w:sz w:val="24"/>
          <w:szCs w:val="24"/>
          <w:highlight w:val="none"/>
        </w:rPr>
        <w:t>代表(简称“招标人代表</w:t>
      </w:r>
      <w:r>
        <w:rPr>
          <w:rFonts w:ascii="宋体" w:hAnsi="宋体" w:eastAsia="宋体" w:cs="宋体"/>
          <w:color w:val="auto"/>
          <w:spacing w:val="31"/>
          <w:sz w:val="24"/>
          <w:szCs w:val="24"/>
          <w:highlight w:val="none"/>
        </w:rPr>
        <w:t>），</w:t>
      </w:r>
      <w:r>
        <w:rPr>
          <w:rFonts w:ascii="宋体" w:hAnsi="宋体" w:eastAsia="宋体" w:cs="宋体"/>
          <w:color w:val="auto"/>
          <w:sz w:val="24"/>
          <w:szCs w:val="24"/>
          <w:highlight w:val="none"/>
        </w:rPr>
        <w:t>以及有关技术、经济等方面的专家组成。评标委员会成员人数以及技术、经济等方面专家的确定方式</w:t>
      </w:r>
      <w:r>
        <w:rPr>
          <w:rFonts w:ascii="宋体" w:hAnsi="宋体" w:eastAsia="宋体" w:cs="宋体"/>
          <w:color w:val="auto"/>
          <w:spacing w:val="-1"/>
          <w:sz w:val="24"/>
          <w:szCs w:val="24"/>
          <w:highlight w:val="none"/>
        </w:rPr>
        <w:t>见投标人须知前附表。</w:t>
      </w:r>
    </w:p>
    <w:p w14:paraId="791CDD2E">
      <w:pPr>
        <w:spacing w:before="183" w:line="360" w:lineRule="auto"/>
        <w:ind w:left="482"/>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6.1.2 评标委员会成员有下列情形之一的，应主动提出回避：</w:t>
      </w:r>
    </w:p>
    <w:p w14:paraId="756D3EFA">
      <w:pPr>
        <w:spacing w:before="184" w:line="360" w:lineRule="auto"/>
        <w:ind w:left="492"/>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（1）为负责招标项目监督管理的交通运输主管部门的工作人员；</w:t>
      </w:r>
    </w:p>
    <w:p w14:paraId="5BE28534">
      <w:pPr>
        <w:spacing w:before="181" w:line="360" w:lineRule="auto"/>
        <w:ind w:left="492"/>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（2）与投标人法定代表人或其委托代理人有近亲属关系；</w:t>
      </w:r>
    </w:p>
    <w:p w14:paraId="01D3C675">
      <w:pPr>
        <w:spacing w:before="181" w:line="360" w:lineRule="auto"/>
        <w:ind w:left="492"/>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（3）为投标人的工作人员或退休或离职未满</w:t>
      </w:r>
      <w:r>
        <w:rPr>
          <w:rFonts w:ascii="宋体" w:hAnsi="宋体" w:eastAsia="宋体" w:cs="宋体"/>
          <w:color w:val="auto"/>
          <w:spacing w:val="-41"/>
          <w:sz w:val="24"/>
          <w:szCs w:val="24"/>
          <w:highlight w:val="none"/>
        </w:rPr>
        <w:t xml:space="preserve"> </w:t>
      </w:r>
      <w:r>
        <w:rPr>
          <w:rFonts w:ascii="宋体" w:hAnsi="宋体" w:eastAsia="宋体" w:cs="宋体"/>
          <w:color w:val="auto"/>
          <w:spacing w:val="-2"/>
          <w:sz w:val="24"/>
          <w:szCs w:val="24"/>
          <w:highlight w:val="none"/>
        </w:rPr>
        <w:t>3</w:t>
      </w:r>
      <w:r>
        <w:rPr>
          <w:rFonts w:ascii="宋体" w:hAnsi="宋体" w:eastAsia="宋体" w:cs="宋体"/>
          <w:color w:val="auto"/>
          <w:spacing w:val="-49"/>
          <w:sz w:val="24"/>
          <w:szCs w:val="24"/>
          <w:highlight w:val="none"/>
        </w:rPr>
        <w:t xml:space="preserve"> </w:t>
      </w:r>
      <w:r>
        <w:rPr>
          <w:rFonts w:ascii="宋体" w:hAnsi="宋体" w:eastAsia="宋体" w:cs="宋体"/>
          <w:color w:val="auto"/>
          <w:spacing w:val="-2"/>
          <w:sz w:val="24"/>
          <w:szCs w:val="24"/>
          <w:highlight w:val="none"/>
        </w:rPr>
        <w:t>年的人员；</w:t>
      </w:r>
    </w:p>
    <w:p w14:paraId="55832E42">
      <w:pPr>
        <w:spacing w:before="183" w:line="360" w:lineRule="auto"/>
        <w:ind w:left="492"/>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（4）与投标人有其他利害关系，可能影响评标活动公正性；</w:t>
      </w:r>
    </w:p>
    <w:p w14:paraId="69A502AF">
      <w:pPr>
        <w:spacing w:before="182" w:line="360" w:lineRule="auto"/>
        <w:jc w:val="right"/>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（5）在与招标投标有关的活动中有过违法违规行为、曾受过行政处罚或刑事处罚。</w:t>
      </w:r>
    </w:p>
    <w:p w14:paraId="36E57896">
      <w:pPr>
        <w:spacing w:before="178" w:line="360" w:lineRule="auto"/>
        <w:ind w:left="1" w:firstLine="490"/>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（6）招标人及其子公司、招标人下属单位、招标人的上级主管部门或者控股公司、</w:t>
      </w:r>
      <w:r>
        <w:rPr>
          <w:rFonts w:ascii="宋体" w:hAnsi="宋体" w:eastAsia="宋体" w:cs="宋体"/>
          <w:color w:val="auto"/>
          <w:spacing w:val="5"/>
          <w:sz w:val="24"/>
          <w:szCs w:val="24"/>
          <w:highlight w:val="none"/>
        </w:rPr>
        <w:t>招标代理机构的工作人员或者退休人员不得以专家身份参与本单位招标或</w:t>
      </w:r>
      <w:r>
        <w:rPr>
          <w:rFonts w:ascii="宋体" w:hAnsi="宋体" w:eastAsia="宋体" w:cs="宋体"/>
          <w:color w:val="auto"/>
          <w:spacing w:val="4"/>
          <w:sz w:val="24"/>
          <w:szCs w:val="24"/>
          <w:highlight w:val="none"/>
        </w:rPr>
        <w:t>者招标代理</w:t>
      </w:r>
      <w:r>
        <w:rPr>
          <w:rFonts w:ascii="宋体" w:hAnsi="宋体" w:eastAsia="宋体" w:cs="宋体"/>
          <w:color w:val="auto"/>
          <w:spacing w:val="-2"/>
          <w:sz w:val="24"/>
          <w:szCs w:val="24"/>
          <w:highlight w:val="none"/>
        </w:rPr>
        <w:t>项目的评标。</w:t>
      </w:r>
    </w:p>
    <w:p w14:paraId="4D4C5F3D">
      <w:pPr>
        <w:spacing w:before="181" w:line="360" w:lineRule="auto"/>
        <w:ind w:left="2" w:right="128" w:firstLine="480"/>
        <w:jc w:val="both"/>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6.1.3 评标过程中，评标委员会成员有回避事由、擅离</w:t>
      </w:r>
      <w:r>
        <w:rPr>
          <w:rFonts w:ascii="宋体" w:hAnsi="宋体" w:eastAsia="宋体" w:cs="宋体"/>
          <w:color w:val="auto"/>
          <w:spacing w:val="4"/>
          <w:sz w:val="24"/>
          <w:szCs w:val="24"/>
          <w:highlight w:val="none"/>
        </w:rPr>
        <w:t>职守或因健康等原因不能</w:t>
      </w:r>
      <w:r>
        <w:rPr>
          <w:rFonts w:ascii="宋体" w:hAnsi="宋体" w:eastAsia="宋体" w:cs="宋体"/>
          <w:color w:val="auto"/>
          <w:spacing w:val="5"/>
          <w:sz w:val="24"/>
          <w:szCs w:val="24"/>
          <w:highlight w:val="none"/>
        </w:rPr>
        <w:t>继续评标的，招标人有权更换。被更换的评标委员会成员作出的评审结</w:t>
      </w:r>
      <w:r>
        <w:rPr>
          <w:rFonts w:ascii="宋体" w:hAnsi="宋体" w:eastAsia="宋体" w:cs="宋体"/>
          <w:color w:val="auto"/>
          <w:spacing w:val="4"/>
          <w:sz w:val="24"/>
          <w:szCs w:val="24"/>
          <w:highlight w:val="none"/>
        </w:rPr>
        <w:t>论无效，由更</w:t>
      </w:r>
      <w:r>
        <w:rPr>
          <w:rFonts w:ascii="宋体" w:hAnsi="宋体" w:eastAsia="宋体" w:cs="宋体"/>
          <w:color w:val="auto"/>
          <w:spacing w:val="-1"/>
          <w:sz w:val="24"/>
          <w:szCs w:val="24"/>
          <w:highlight w:val="none"/>
        </w:rPr>
        <w:t>换后的评标委员会成员重新进行评审。</w:t>
      </w:r>
    </w:p>
    <w:p w14:paraId="020CE553">
      <w:pPr>
        <w:spacing w:line="360" w:lineRule="auto"/>
        <w:ind w:left="2"/>
        <w:outlineLvl w:val="1"/>
        <w:rPr>
          <w:rFonts w:ascii="宋体" w:hAnsi="宋体" w:eastAsia="宋体" w:cs="宋体"/>
          <w:color w:val="auto"/>
          <w:sz w:val="24"/>
          <w:szCs w:val="24"/>
          <w:highlight w:val="none"/>
        </w:rPr>
      </w:pPr>
      <w:bookmarkStart w:id="172" w:name="_Toc23031"/>
      <w:bookmarkStart w:id="173" w:name="_Toc30971"/>
      <w:bookmarkStart w:id="174" w:name="_Toc27954"/>
      <w:r>
        <w:rPr>
          <w:rFonts w:ascii="宋体" w:hAnsi="宋体" w:eastAsia="宋体" w:cs="宋体"/>
          <w:b/>
          <w:bCs/>
          <w:color w:val="auto"/>
          <w:spacing w:val="-3"/>
          <w:sz w:val="24"/>
          <w:szCs w:val="24"/>
          <w:highlight w:val="none"/>
        </w:rPr>
        <w:t>6.2</w:t>
      </w:r>
      <w:r>
        <w:rPr>
          <w:rFonts w:ascii="宋体" w:hAnsi="宋体" w:eastAsia="宋体" w:cs="宋体"/>
          <w:color w:val="auto"/>
          <w:spacing w:val="-3"/>
          <w:sz w:val="24"/>
          <w:szCs w:val="24"/>
          <w:highlight w:val="none"/>
        </w:rPr>
        <w:t xml:space="preserve"> </w:t>
      </w:r>
      <w:r>
        <w:rPr>
          <w:rFonts w:ascii="宋体" w:hAnsi="宋体" w:eastAsia="宋体" w:cs="宋体"/>
          <w:b/>
          <w:bCs/>
          <w:color w:val="auto"/>
          <w:spacing w:val="-3"/>
          <w:sz w:val="24"/>
          <w:szCs w:val="24"/>
          <w:highlight w:val="none"/>
        </w:rPr>
        <w:t>评标原则</w:t>
      </w:r>
      <w:bookmarkEnd w:id="172"/>
      <w:bookmarkEnd w:id="173"/>
      <w:bookmarkEnd w:id="174"/>
    </w:p>
    <w:p w14:paraId="055AFD0A">
      <w:pPr>
        <w:spacing w:before="182" w:line="360" w:lineRule="auto"/>
        <w:ind w:left="480"/>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评标活动遵循公平、公正、科学和择优的原则。</w:t>
      </w:r>
    </w:p>
    <w:p w14:paraId="1F2D1215">
      <w:pPr>
        <w:spacing w:before="181" w:line="360" w:lineRule="auto"/>
        <w:ind w:left="2"/>
        <w:outlineLvl w:val="1"/>
        <w:rPr>
          <w:rFonts w:ascii="宋体" w:hAnsi="宋体" w:eastAsia="宋体" w:cs="宋体"/>
          <w:color w:val="auto"/>
          <w:sz w:val="24"/>
          <w:szCs w:val="24"/>
          <w:highlight w:val="none"/>
        </w:rPr>
      </w:pPr>
      <w:bookmarkStart w:id="175" w:name="_Toc24144"/>
      <w:bookmarkStart w:id="176" w:name="_Toc12704"/>
      <w:bookmarkStart w:id="177" w:name="_Toc6476"/>
      <w:r>
        <w:rPr>
          <w:rFonts w:ascii="宋体" w:hAnsi="宋体" w:eastAsia="宋体" w:cs="宋体"/>
          <w:b/>
          <w:bCs/>
          <w:color w:val="auto"/>
          <w:spacing w:val="-6"/>
          <w:sz w:val="24"/>
          <w:szCs w:val="24"/>
          <w:highlight w:val="none"/>
        </w:rPr>
        <w:t>6.3</w:t>
      </w:r>
      <w:r>
        <w:rPr>
          <w:rFonts w:ascii="宋体" w:hAnsi="宋体" w:eastAsia="宋体" w:cs="宋体"/>
          <w:color w:val="auto"/>
          <w:spacing w:val="10"/>
          <w:sz w:val="24"/>
          <w:szCs w:val="24"/>
          <w:highlight w:val="none"/>
        </w:rPr>
        <w:t xml:space="preserve"> </w:t>
      </w:r>
      <w:r>
        <w:rPr>
          <w:rFonts w:ascii="宋体" w:hAnsi="宋体" w:eastAsia="宋体" w:cs="宋体"/>
          <w:b/>
          <w:bCs/>
          <w:color w:val="auto"/>
          <w:spacing w:val="-6"/>
          <w:sz w:val="24"/>
          <w:szCs w:val="24"/>
          <w:highlight w:val="none"/>
        </w:rPr>
        <w:t>评标</w:t>
      </w:r>
      <w:bookmarkEnd w:id="175"/>
      <w:bookmarkEnd w:id="176"/>
      <w:bookmarkEnd w:id="177"/>
    </w:p>
    <w:p w14:paraId="032202D6">
      <w:pPr>
        <w:spacing w:line="360" w:lineRule="auto"/>
        <w:ind w:firstLine="482"/>
        <w:rPr>
          <w:rFonts w:ascii="宋体" w:hAnsi="宋体" w:eastAsia="宋体" w:cs="宋体"/>
          <w:color w:val="auto"/>
          <w:spacing w:val="-1"/>
          <w:sz w:val="24"/>
          <w:szCs w:val="24"/>
          <w:highlight w:val="none"/>
        </w:rPr>
      </w:pPr>
      <w:r>
        <w:rPr>
          <w:rFonts w:ascii="宋体" w:hAnsi="宋体" w:eastAsia="宋体" w:cs="宋体"/>
          <w:color w:val="auto"/>
          <w:spacing w:val="-1"/>
          <w:sz w:val="24"/>
          <w:szCs w:val="24"/>
          <w:highlight w:val="none"/>
        </w:rPr>
        <w:t>6.3.1 评标委员会按照第三章“评标办法 ”规定的方法、评审因素、标准和程序</w:t>
      </w:r>
      <w:bookmarkStart w:id="178" w:name="bookmark111"/>
      <w:bookmarkEnd w:id="178"/>
      <w:r>
        <w:rPr>
          <w:rFonts w:ascii="宋体" w:hAnsi="宋体" w:eastAsia="宋体" w:cs="宋体"/>
          <w:color w:val="auto"/>
          <w:spacing w:val="-1"/>
          <w:sz w:val="24"/>
          <w:szCs w:val="24"/>
          <w:highlight w:val="none"/>
        </w:rPr>
        <w:t>对投标文件进行评审。第三章“评标办法 ”没有规定的方法、评审因素和标准，不作为评标依据。</w:t>
      </w:r>
    </w:p>
    <w:p w14:paraId="37412F25">
      <w:pPr>
        <w:keepNext w:val="0"/>
        <w:keepLines w:val="0"/>
        <w:pageBreakBefore w:val="0"/>
        <w:widowControl w:val="0"/>
        <w:kinsoku/>
        <w:wordWrap/>
        <w:overflowPunct/>
        <w:topLinePunct w:val="0"/>
        <w:autoSpaceDE/>
        <w:autoSpaceDN/>
        <w:bidi w:val="0"/>
        <w:adjustRightInd/>
        <w:snapToGrid/>
        <w:spacing w:line="360" w:lineRule="auto"/>
        <w:ind w:firstLine="357" w:firstLineChars="150"/>
        <w:textAlignment w:val="auto"/>
        <w:rPr>
          <w:rFonts w:hint="eastAsia" w:ascii="宋体" w:hAnsi="宋体" w:eastAsia="宋体" w:cs="宋体"/>
          <w:color w:val="auto"/>
          <w:sz w:val="24"/>
          <w:szCs w:val="24"/>
          <w:highlight w:val="none"/>
        </w:rPr>
      </w:pPr>
      <w:r>
        <w:rPr>
          <w:rFonts w:ascii="宋体" w:hAnsi="宋体" w:eastAsia="宋体" w:cs="宋体"/>
          <w:color w:val="auto"/>
          <w:spacing w:val="-1"/>
          <w:sz w:val="24"/>
          <w:szCs w:val="24"/>
          <w:highlight w:val="none"/>
        </w:rPr>
        <w:t>6.3.2 评标完成后，评标委员会应向招标人提交书</w:t>
      </w:r>
      <w:r>
        <w:rPr>
          <w:rFonts w:ascii="宋体" w:hAnsi="宋体" w:eastAsia="宋体" w:cs="宋体"/>
          <w:color w:val="auto"/>
          <w:spacing w:val="-2"/>
          <w:sz w:val="24"/>
          <w:szCs w:val="24"/>
          <w:highlight w:val="none"/>
        </w:rPr>
        <w:t>面评标报告</w:t>
      </w:r>
      <w:r>
        <w:rPr>
          <w:rFonts w:hint="eastAsia" w:ascii="宋体" w:hAnsi="宋体" w:eastAsia="宋体" w:cs="宋体"/>
          <w:color w:val="auto"/>
          <w:spacing w:val="-2"/>
          <w:sz w:val="24"/>
          <w:szCs w:val="24"/>
          <w:highlight w:val="none"/>
          <w:lang w:eastAsia="zh-CN"/>
        </w:rPr>
        <w:t>。</w:t>
      </w:r>
      <w:r>
        <w:rPr>
          <w:rFonts w:hint="eastAsia" w:ascii="宋体" w:hAnsi="宋体" w:eastAsia="宋体" w:cs="宋体"/>
          <w:color w:val="auto"/>
          <w:sz w:val="24"/>
          <w:szCs w:val="24"/>
          <w:highlight w:val="none"/>
        </w:rPr>
        <w:t>评标委员会根据招标文件规定的评分细则，对招标文件中的各评审因素进行评审、比较、打分，将得分前5名不排序（按企业统一社会信用代码后4位大小排位）的投标人作为定标候选人推荐给招标人，并对每个定标候选人的优势、风险等评审情况进行说明。当投标人综合总得分相同时，以报价低为前；当投标人综合总得分相同且报价相同时，由评标委员会投票确定排</w:t>
      </w:r>
      <w:r>
        <w:rPr>
          <w:rFonts w:hint="eastAsia" w:ascii="宋体" w:hAnsi="宋体" w:eastAsia="宋体" w:cs="宋体"/>
          <w:color w:val="auto"/>
          <w:sz w:val="24"/>
          <w:szCs w:val="24"/>
          <w:highlight w:val="none"/>
          <w:lang w:eastAsia="zh-CN"/>
        </w:rPr>
        <w:t>前</w:t>
      </w:r>
      <w:r>
        <w:rPr>
          <w:rFonts w:hint="eastAsia" w:ascii="宋体" w:hAnsi="宋体" w:eastAsia="宋体" w:cs="宋体"/>
          <w:color w:val="auto"/>
          <w:sz w:val="24"/>
          <w:szCs w:val="24"/>
          <w:highlight w:val="none"/>
        </w:rPr>
        <w:t>。</w:t>
      </w:r>
    </w:p>
    <w:p w14:paraId="03AEFAC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定标候选人得分只作为评标委员会的推荐依据，不作为定标委员会对中标候选人排序的依据。</w:t>
      </w:r>
      <w:r>
        <w:rPr>
          <w:rFonts w:hint="eastAsia" w:ascii="宋体" w:hAnsi="宋体" w:eastAsia="宋体" w:cs="宋体"/>
          <w:color w:val="auto"/>
          <w:sz w:val="24"/>
          <w:szCs w:val="24"/>
          <w:highlight w:val="none"/>
          <w:lang w:val="en-US" w:eastAsia="zh-CN"/>
        </w:rPr>
        <w:t>当有效投标人数量不足5名但满足法定要求时，所有通过评审的有效投标人均应作为定标候选人。</w:t>
      </w:r>
    </w:p>
    <w:p w14:paraId="2310F38C">
      <w:pPr>
        <w:spacing w:line="360" w:lineRule="auto"/>
        <w:ind w:firstLine="482"/>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评标委员会推荐中标候选人的人数见投标人须知前附表。</w:t>
      </w:r>
    </w:p>
    <w:p w14:paraId="2D20ECFB">
      <w:pPr>
        <w:spacing w:before="184" w:line="360" w:lineRule="auto"/>
        <w:ind w:left="483"/>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6.3.3</w:t>
      </w:r>
      <w:r>
        <w:rPr>
          <w:rFonts w:ascii="宋体" w:hAnsi="宋体" w:eastAsia="宋体" w:cs="宋体"/>
          <w:color w:val="auto"/>
          <w:spacing w:val="-51"/>
          <w:sz w:val="24"/>
          <w:szCs w:val="24"/>
          <w:highlight w:val="none"/>
        </w:rPr>
        <w:t xml:space="preserve"> </w:t>
      </w:r>
      <w:r>
        <w:rPr>
          <w:rFonts w:ascii="宋体" w:hAnsi="宋体" w:eastAsia="宋体" w:cs="宋体"/>
          <w:color w:val="auto"/>
          <w:spacing w:val="-2"/>
          <w:sz w:val="24"/>
          <w:szCs w:val="24"/>
          <w:highlight w:val="none"/>
        </w:rPr>
        <w:t>评标补救措施</w:t>
      </w:r>
    </w:p>
    <w:p w14:paraId="2344D3A4">
      <w:pPr>
        <w:spacing w:before="182" w:line="360" w:lineRule="auto"/>
        <w:ind w:left="1" w:right="8" w:firstLine="479"/>
        <w:jc w:val="both"/>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评标委员会按照本章第</w:t>
      </w:r>
      <w:r>
        <w:rPr>
          <w:rFonts w:ascii="宋体" w:hAnsi="宋体" w:eastAsia="宋体" w:cs="宋体"/>
          <w:color w:val="auto"/>
          <w:spacing w:val="-41"/>
          <w:sz w:val="24"/>
          <w:szCs w:val="24"/>
          <w:highlight w:val="none"/>
        </w:rPr>
        <w:t xml:space="preserve"> </w:t>
      </w:r>
      <w:r>
        <w:rPr>
          <w:rFonts w:ascii="宋体" w:hAnsi="宋体" w:eastAsia="宋体" w:cs="宋体"/>
          <w:color w:val="auto"/>
          <w:spacing w:val="4"/>
          <w:sz w:val="24"/>
          <w:szCs w:val="24"/>
          <w:highlight w:val="none"/>
        </w:rPr>
        <w:t>6.3.1</w:t>
      </w:r>
      <w:r>
        <w:rPr>
          <w:rFonts w:ascii="宋体" w:hAnsi="宋体" w:eastAsia="宋体" w:cs="宋体"/>
          <w:color w:val="auto"/>
          <w:spacing w:val="-40"/>
          <w:sz w:val="24"/>
          <w:szCs w:val="24"/>
          <w:highlight w:val="none"/>
        </w:rPr>
        <w:t xml:space="preserve"> </w:t>
      </w:r>
      <w:r>
        <w:rPr>
          <w:rFonts w:ascii="宋体" w:hAnsi="宋体" w:eastAsia="宋体" w:cs="宋体"/>
          <w:color w:val="auto"/>
          <w:spacing w:val="4"/>
          <w:sz w:val="24"/>
          <w:szCs w:val="24"/>
          <w:highlight w:val="none"/>
        </w:rPr>
        <w:t>项的规定在电子评标系统上开展评审工</w:t>
      </w:r>
      <w:r>
        <w:rPr>
          <w:rFonts w:ascii="宋体" w:hAnsi="宋体" w:eastAsia="宋体" w:cs="宋体"/>
          <w:color w:val="auto"/>
          <w:spacing w:val="3"/>
          <w:sz w:val="24"/>
          <w:szCs w:val="24"/>
          <w:highlight w:val="none"/>
        </w:rPr>
        <w:t>作。若遇不</w:t>
      </w:r>
      <w:r>
        <w:rPr>
          <w:rFonts w:ascii="宋体" w:hAnsi="宋体" w:eastAsia="宋体" w:cs="宋体"/>
          <w:color w:val="auto"/>
          <w:spacing w:val="4"/>
          <w:sz w:val="24"/>
          <w:szCs w:val="24"/>
          <w:highlight w:val="none"/>
        </w:rPr>
        <w:t>可抗力发生（包括网络瘫痪、服务器损坏、交易系统故障短期无法恢复等因素</w:t>
      </w:r>
      <w:r>
        <w:rPr>
          <w:rFonts w:ascii="宋体" w:hAnsi="宋体" w:eastAsia="宋体" w:cs="宋体"/>
          <w:color w:val="auto"/>
          <w:spacing w:val="20"/>
          <w:sz w:val="24"/>
          <w:szCs w:val="24"/>
          <w:highlight w:val="none"/>
        </w:rPr>
        <w:t>），</w:t>
      </w:r>
      <w:r>
        <w:rPr>
          <w:rFonts w:ascii="宋体" w:hAnsi="宋体" w:eastAsia="宋体" w:cs="宋体"/>
          <w:color w:val="auto"/>
          <w:spacing w:val="4"/>
          <w:sz w:val="24"/>
          <w:szCs w:val="24"/>
          <w:highlight w:val="none"/>
        </w:rPr>
        <w:t>导</w:t>
      </w:r>
      <w:r>
        <w:rPr>
          <w:rFonts w:ascii="宋体" w:hAnsi="宋体" w:eastAsia="宋体" w:cs="宋体"/>
          <w:color w:val="auto"/>
          <w:sz w:val="24"/>
          <w:szCs w:val="24"/>
          <w:highlight w:val="none"/>
        </w:rPr>
        <w:t>致系统无法正常运行，应中止评标，并在恢复正</w:t>
      </w:r>
      <w:r>
        <w:rPr>
          <w:rFonts w:ascii="宋体" w:hAnsi="宋体" w:eastAsia="宋体" w:cs="宋体"/>
          <w:color w:val="auto"/>
          <w:spacing w:val="-1"/>
          <w:sz w:val="24"/>
          <w:szCs w:val="24"/>
          <w:highlight w:val="none"/>
        </w:rPr>
        <w:t>常后及时安排时间评标。</w:t>
      </w:r>
    </w:p>
    <w:p w14:paraId="20A99E7F">
      <w:pPr>
        <w:spacing w:before="2" w:line="360" w:lineRule="auto"/>
        <w:ind w:left="10"/>
        <w:outlineLvl w:val="0"/>
        <w:rPr>
          <w:rFonts w:ascii="宋体" w:hAnsi="宋体" w:eastAsia="宋体" w:cs="宋体"/>
          <w:color w:val="auto"/>
          <w:sz w:val="28"/>
          <w:szCs w:val="28"/>
          <w:highlight w:val="none"/>
        </w:rPr>
      </w:pPr>
      <w:bookmarkStart w:id="179" w:name="_Toc2796"/>
      <w:r>
        <w:rPr>
          <w:rFonts w:ascii="宋体" w:hAnsi="宋体" w:eastAsia="宋体" w:cs="宋体"/>
          <w:b/>
          <w:bCs/>
          <w:color w:val="auto"/>
          <w:spacing w:val="-7"/>
          <w:sz w:val="28"/>
          <w:szCs w:val="28"/>
          <w:highlight w:val="none"/>
        </w:rPr>
        <w:t>7.</w:t>
      </w:r>
      <w:r>
        <w:rPr>
          <w:rFonts w:ascii="宋体" w:hAnsi="宋体" w:eastAsia="宋体" w:cs="宋体"/>
          <w:color w:val="auto"/>
          <w:spacing w:val="12"/>
          <w:sz w:val="28"/>
          <w:szCs w:val="28"/>
          <w:highlight w:val="none"/>
        </w:rPr>
        <w:t xml:space="preserve"> </w:t>
      </w:r>
      <w:r>
        <w:rPr>
          <w:rFonts w:hint="eastAsia" w:ascii="宋体" w:hAnsi="宋体" w:eastAsia="宋体" w:cs="宋体"/>
          <w:b/>
          <w:bCs/>
          <w:color w:val="auto"/>
          <w:spacing w:val="12"/>
          <w:sz w:val="28"/>
          <w:szCs w:val="28"/>
          <w:highlight w:val="none"/>
          <w:lang w:val="en-US" w:eastAsia="zh-CN"/>
        </w:rPr>
        <w:t>定标、中标及</w:t>
      </w:r>
      <w:r>
        <w:rPr>
          <w:rFonts w:ascii="宋体" w:hAnsi="宋体" w:eastAsia="宋体" w:cs="宋体"/>
          <w:b/>
          <w:bCs/>
          <w:color w:val="auto"/>
          <w:spacing w:val="-7"/>
          <w:sz w:val="28"/>
          <w:szCs w:val="28"/>
          <w:highlight w:val="none"/>
        </w:rPr>
        <w:t>合同授予</w:t>
      </w:r>
      <w:bookmarkEnd w:id="179"/>
    </w:p>
    <w:p w14:paraId="2D523338">
      <w:pPr>
        <w:pStyle w:val="24"/>
        <w:pageBreakBefore w:val="0"/>
        <w:numPr>
          <w:ilvl w:val="0"/>
          <w:numId w:val="0"/>
        </w:numPr>
        <w:kinsoku/>
        <w:wordWrap/>
        <w:overflowPunct/>
        <w:topLinePunct w:val="0"/>
        <w:bidi w:val="0"/>
        <w:spacing w:line="360" w:lineRule="auto"/>
        <w:textAlignment w:val="auto"/>
        <w:rPr>
          <w:rFonts w:hint="eastAsia" w:ascii="宋体" w:hAnsi="宋体" w:cs="宋体"/>
          <w:color w:val="auto"/>
          <w:highlight w:val="none"/>
        </w:rPr>
      </w:pPr>
      <w:bookmarkStart w:id="180" w:name="_Toc11047"/>
      <w:bookmarkStart w:id="181" w:name="_Toc7188"/>
      <w:bookmarkStart w:id="182" w:name="_Toc14770"/>
      <w:r>
        <w:rPr>
          <w:rFonts w:hint="eastAsia" w:ascii="宋体" w:hAnsi="宋体" w:cs="宋体"/>
          <w:color w:val="auto"/>
          <w:highlight w:val="none"/>
        </w:rPr>
        <w:t xml:space="preserve">7.1 </w:t>
      </w:r>
      <w:r>
        <w:rPr>
          <w:rFonts w:hint="eastAsia" w:ascii="宋体" w:hAnsi="宋体" w:cs="宋体"/>
          <w:color w:val="auto"/>
          <w:highlight w:val="none"/>
          <w:lang w:val="en-US" w:eastAsia="zh-CN"/>
        </w:rPr>
        <w:t>定标</w:t>
      </w:r>
      <w:r>
        <w:rPr>
          <w:rFonts w:hint="eastAsia" w:ascii="宋体" w:hAnsi="宋体" w:cs="宋体"/>
          <w:color w:val="auto"/>
          <w:highlight w:val="none"/>
        </w:rPr>
        <w:t>候选人公示</w:t>
      </w:r>
      <w:bookmarkEnd w:id="180"/>
      <w:bookmarkEnd w:id="181"/>
      <w:bookmarkEnd w:id="182"/>
    </w:p>
    <w:p w14:paraId="3510E933">
      <w:pPr>
        <w:pStyle w:val="25"/>
        <w:pageBreakBefore w:val="0"/>
        <w:kinsoku/>
        <w:wordWrap/>
        <w:overflowPunct/>
        <w:topLinePunct w:val="0"/>
        <w:bidi w:val="0"/>
        <w:spacing w:line="360" w:lineRule="auto"/>
        <w:ind w:firstLine="480" w:firstLineChars="200"/>
        <w:textAlignment w:val="auto"/>
        <w:rPr>
          <w:rFonts w:hint="eastAsia" w:ascii="宋体" w:hAnsi="宋体" w:cs="宋体"/>
          <w:color w:val="auto"/>
          <w:highlight w:val="none"/>
          <w:lang w:val="en-US" w:eastAsia="zh-CN"/>
        </w:rPr>
      </w:pPr>
      <w:r>
        <w:rPr>
          <w:rFonts w:hint="eastAsia" w:ascii="宋体" w:hAnsi="宋体" w:cs="宋体"/>
          <w:color w:val="auto"/>
          <w:highlight w:val="none"/>
          <w:lang w:val="en-US" w:eastAsia="zh-CN"/>
        </w:rPr>
        <w:t>7.1.1 招标人在收到评标报告之日起3日内，按照投标人须知前附表规定的公示媒介和期限公示定标候选人，公示期不得少于3日，公示内容包括：</w:t>
      </w:r>
    </w:p>
    <w:p w14:paraId="7AB0B927">
      <w:pPr>
        <w:pStyle w:val="25"/>
        <w:pageBreakBefore w:val="0"/>
        <w:kinsoku/>
        <w:wordWrap/>
        <w:overflowPunct/>
        <w:topLinePunct w:val="0"/>
        <w:bidi w:val="0"/>
        <w:spacing w:line="500" w:lineRule="exact"/>
        <w:ind w:firstLine="48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（1）定标候选人排序、名称、投标报价，对监理质量要求、安全目标和监理服务期限的响应情况；</w:t>
      </w:r>
    </w:p>
    <w:p w14:paraId="496E59F3">
      <w:pPr>
        <w:pStyle w:val="25"/>
        <w:pageBreakBefore w:val="0"/>
        <w:kinsoku/>
        <w:wordWrap/>
        <w:overflowPunct/>
        <w:topLinePunct w:val="0"/>
        <w:bidi w:val="0"/>
        <w:spacing w:line="500" w:lineRule="exact"/>
        <w:ind w:firstLine="48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（2）定标候选人在投标文件中承诺的总监理工程师（含备选，如有）或驻地监理工程师（含备选，如有）姓名、个人业绩、相关证书名称和编号；</w:t>
      </w:r>
    </w:p>
    <w:p w14:paraId="1817E5D3">
      <w:pPr>
        <w:pStyle w:val="25"/>
        <w:pageBreakBefore w:val="0"/>
        <w:kinsoku/>
        <w:wordWrap/>
        <w:overflowPunct/>
        <w:topLinePunct w:val="0"/>
        <w:bidi w:val="0"/>
        <w:spacing w:line="500" w:lineRule="exact"/>
        <w:ind w:firstLine="48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（3）定标候选人在投标文件中填报的项目业绩；</w:t>
      </w:r>
    </w:p>
    <w:p w14:paraId="088611F8">
      <w:pPr>
        <w:pStyle w:val="25"/>
        <w:pageBreakBefore w:val="0"/>
        <w:kinsoku/>
        <w:wordWrap/>
        <w:overflowPunct/>
        <w:topLinePunct w:val="0"/>
        <w:bidi w:val="0"/>
        <w:spacing w:line="500" w:lineRule="exact"/>
        <w:ind w:firstLine="48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（4）被否决投标的投标人名称、否决依据和原因；</w:t>
      </w:r>
    </w:p>
    <w:p w14:paraId="193E5908">
      <w:pPr>
        <w:pStyle w:val="25"/>
        <w:pageBreakBefore w:val="0"/>
        <w:kinsoku/>
        <w:wordWrap/>
        <w:overflowPunct/>
        <w:topLinePunct w:val="0"/>
        <w:bidi w:val="0"/>
        <w:spacing w:line="500" w:lineRule="exact"/>
        <w:ind w:firstLine="48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（5）提出异议的渠道和方式；</w:t>
      </w:r>
    </w:p>
    <w:p w14:paraId="401AE36D">
      <w:pPr>
        <w:pStyle w:val="25"/>
        <w:pageBreakBefore w:val="0"/>
        <w:kinsoku/>
        <w:wordWrap/>
        <w:overflowPunct/>
        <w:topLinePunct w:val="0"/>
        <w:bidi w:val="0"/>
        <w:spacing w:line="500" w:lineRule="exact"/>
        <w:ind w:firstLine="48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（6）投标人须知前附表规定公示的其他内容。</w:t>
      </w:r>
    </w:p>
    <w:p w14:paraId="51DEFC29">
      <w:pPr>
        <w:pStyle w:val="24"/>
        <w:pageBreakBefore w:val="0"/>
        <w:numPr>
          <w:ilvl w:val="0"/>
          <w:numId w:val="0"/>
        </w:numPr>
        <w:kinsoku/>
        <w:wordWrap/>
        <w:overflowPunct/>
        <w:topLinePunct w:val="0"/>
        <w:bidi w:val="0"/>
        <w:spacing w:line="500" w:lineRule="exact"/>
        <w:textAlignment w:val="auto"/>
        <w:rPr>
          <w:rFonts w:hint="eastAsia" w:ascii="宋体" w:hAnsi="宋体" w:eastAsia="宋体" w:cs="宋体"/>
          <w:color w:val="auto"/>
          <w:highlight w:val="none"/>
          <w:lang w:val="en-US" w:eastAsia="zh-CN"/>
        </w:rPr>
      </w:pPr>
      <w:bookmarkStart w:id="183" w:name="_Toc22075"/>
      <w:bookmarkStart w:id="184" w:name="_Toc18347"/>
      <w:bookmarkStart w:id="185" w:name="_Toc9144"/>
      <w:r>
        <w:rPr>
          <w:rFonts w:hint="eastAsia" w:ascii="宋体" w:hAnsi="宋体" w:cs="宋体"/>
          <w:color w:val="auto"/>
          <w:highlight w:val="none"/>
        </w:rPr>
        <w:t>7.</w:t>
      </w:r>
      <w:r>
        <w:rPr>
          <w:rFonts w:hint="eastAsia" w:ascii="宋体" w:hAnsi="宋体" w:cs="宋体"/>
          <w:color w:val="auto"/>
          <w:highlight w:val="none"/>
          <w:lang w:val="en-US" w:eastAsia="zh-CN"/>
        </w:rPr>
        <w:t>2 评标</w:t>
      </w:r>
      <w:r>
        <w:rPr>
          <w:rFonts w:hint="eastAsia" w:ascii="宋体" w:hAnsi="宋体" w:cs="宋体"/>
          <w:color w:val="auto"/>
          <w:highlight w:val="none"/>
          <w:lang w:eastAsia="zh-CN"/>
        </w:rPr>
        <w:t>结果异议</w:t>
      </w:r>
      <w:bookmarkEnd w:id="183"/>
    </w:p>
    <w:bookmarkEnd w:id="184"/>
    <w:bookmarkEnd w:id="185"/>
    <w:p w14:paraId="1A7194AE">
      <w:pPr>
        <w:pStyle w:val="25"/>
        <w:pageBreakBefore w:val="0"/>
        <w:kinsoku/>
        <w:wordWrap/>
        <w:overflowPunct/>
        <w:topLinePunct w:val="0"/>
        <w:bidi w:val="0"/>
        <w:spacing w:line="500" w:lineRule="exact"/>
        <w:ind w:firstLine="480" w:firstLineChars="200"/>
        <w:textAlignment w:val="auto"/>
        <w:rPr>
          <w:rFonts w:hint="eastAsia" w:ascii="宋体" w:hAnsi="宋体" w:eastAsia="宋体" w:cs="宋体"/>
          <w:color w:val="auto"/>
          <w:highlight w:val="none"/>
          <w:lang w:val="en-US" w:eastAsia="zh-CN"/>
        </w:rPr>
      </w:pPr>
      <w:r>
        <w:rPr>
          <w:rFonts w:hint="default" w:ascii="宋体" w:hAnsi="宋体" w:eastAsia="宋体" w:cs="宋体"/>
          <w:color w:val="auto"/>
          <w:highlight w:val="none"/>
          <w:lang w:val="en-US" w:eastAsia="zh-CN"/>
        </w:rPr>
        <w:t>投标人或其他利害关系人对依法必须进行招标的项目的评标结果有异议的，应在</w:t>
      </w:r>
      <w:r>
        <w:rPr>
          <w:rFonts w:hint="eastAsia" w:ascii="宋体" w:hAnsi="宋体" w:eastAsia="宋体" w:cs="宋体"/>
          <w:color w:val="auto"/>
          <w:highlight w:val="none"/>
          <w:lang w:val="en-US" w:eastAsia="zh-CN"/>
        </w:rPr>
        <w:t>定</w:t>
      </w:r>
      <w:r>
        <w:rPr>
          <w:rFonts w:hint="default" w:ascii="宋体" w:hAnsi="宋体" w:eastAsia="宋体" w:cs="宋体"/>
          <w:color w:val="auto"/>
          <w:highlight w:val="none"/>
          <w:lang w:val="en-US" w:eastAsia="zh-CN"/>
        </w:rPr>
        <w:t>标候选人公示期间提出。招标人将在收到异议之日起3日内作出答复；作出答复前，将暂停招标投标活动。提出异议与作出答复均应通过</w:t>
      </w:r>
      <w:r>
        <w:rPr>
          <w:rFonts w:hint="eastAsia" w:ascii="宋体" w:hAnsi="宋体" w:eastAsia="宋体" w:cs="宋体"/>
          <w:color w:val="auto"/>
          <w:highlight w:val="none"/>
          <w:lang w:val="en-US" w:eastAsia="zh-CN"/>
        </w:rPr>
        <w:t>建设工程交易系统</w:t>
      </w:r>
      <w:r>
        <w:rPr>
          <w:rFonts w:hint="default" w:ascii="宋体" w:hAnsi="宋体" w:eastAsia="宋体" w:cs="宋体"/>
          <w:color w:val="auto"/>
          <w:highlight w:val="none"/>
          <w:lang w:val="en-US" w:eastAsia="zh-CN"/>
        </w:rPr>
        <w:t>“</w:t>
      </w:r>
      <w:r>
        <w:rPr>
          <w:rFonts w:hint="eastAsia" w:ascii="宋体" w:hAnsi="宋体" w:eastAsia="宋体" w:cs="宋体"/>
          <w:color w:val="auto"/>
          <w:highlight w:val="none"/>
          <w:lang w:val="en-US" w:eastAsia="zh-CN"/>
        </w:rPr>
        <w:t>在线异议</w:t>
      </w:r>
      <w:r>
        <w:rPr>
          <w:rFonts w:hint="default" w:ascii="宋体" w:hAnsi="宋体" w:eastAsia="宋体" w:cs="宋体"/>
          <w:color w:val="auto"/>
          <w:highlight w:val="none"/>
          <w:lang w:val="en-US" w:eastAsia="zh-CN"/>
        </w:rPr>
        <w:t>”</w:t>
      </w:r>
      <w:r>
        <w:rPr>
          <w:rFonts w:hint="eastAsia" w:ascii="宋体" w:hAnsi="宋体" w:eastAsia="宋体" w:cs="宋体"/>
          <w:color w:val="auto"/>
          <w:highlight w:val="none"/>
          <w:lang w:val="en-US" w:eastAsia="zh-CN"/>
        </w:rPr>
        <w:t>以书面形式</w:t>
      </w:r>
      <w:r>
        <w:rPr>
          <w:rFonts w:hint="default" w:ascii="宋体" w:hAnsi="宋体" w:eastAsia="宋体" w:cs="宋体"/>
          <w:color w:val="auto"/>
          <w:highlight w:val="none"/>
          <w:lang w:val="en-US" w:eastAsia="zh-CN"/>
        </w:rPr>
        <w:t>进行。</w:t>
      </w:r>
      <w:r>
        <w:rPr>
          <w:rFonts w:hint="eastAsia" w:ascii="宋体" w:hAnsi="宋体" w:eastAsia="宋体" w:cs="宋体"/>
          <w:color w:val="auto"/>
          <w:highlight w:val="none"/>
          <w:lang w:val="en-US" w:eastAsia="zh-CN"/>
        </w:rPr>
        <w:t>对定标候选人提出异议及投诉的，应依照国家相关法律法规及《韶关市工程建设项目招标投标活动异议和投诉处理办法》处理。</w:t>
      </w:r>
    </w:p>
    <w:p w14:paraId="60342F50">
      <w:pPr>
        <w:pStyle w:val="24"/>
        <w:pageBreakBefore w:val="0"/>
        <w:numPr>
          <w:ilvl w:val="0"/>
          <w:numId w:val="0"/>
        </w:numPr>
        <w:kinsoku/>
        <w:wordWrap/>
        <w:overflowPunct/>
        <w:topLinePunct w:val="0"/>
        <w:bidi w:val="0"/>
        <w:spacing w:line="500" w:lineRule="exact"/>
        <w:textAlignment w:val="auto"/>
        <w:rPr>
          <w:rFonts w:hint="eastAsia" w:ascii="宋体" w:hAnsi="宋体" w:cs="宋体"/>
          <w:color w:val="auto"/>
          <w:highlight w:val="none"/>
        </w:rPr>
      </w:pPr>
      <w:bookmarkStart w:id="186" w:name="_Toc12376"/>
      <w:bookmarkStart w:id="187" w:name="_Toc32558"/>
      <w:bookmarkStart w:id="188" w:name="_Toc11384"/>
      <w:r>
        <w:rPr>
          <w:rFonts w:hint="eastAsia" w:ascii="宋体" w:hAnsi="宋体" w:cs="宋体"/>
          <w:color w:val="auto"/>
          <w:highlight w:val="none"/>
        </w:rPr>
        <w:t>7.</w:t>
      </w:r>
      <w:r>
        <w:rPr>
          <w:rFonts w:hint="eastAsia" w:ascii="宋体" w:hAnsi="宋体" w:cs="宋体"/>
          <w:color w:val="auto"/>
          <w:highlight w:val="none"/>
          <w:lang w:val="en-US" w:eastAsia="zh-CN"/>
        </w:rPr>
        <w:t>3</w:t>
      </w:r>
      <w:r>
        <w:rPr>
          <w:rFonts w:hint="eastAsia" w:ascii="宋体" w:hAnsi="宋体" w:cs="宋体"/>
          <w:color w:val="auto"/>
          <w:highlight w:val="none"/>
        </w:rPr>
        <w:t xml:space="preserve"> 定标</w:t>
      </w:r>
      <w:bookmarkEnd w:id="186"/>
      <w:bookmarkEnd w:id="187"/>
      <w:bookmarkEnd w:id="188"/>
    </w:p>
    <w:p w14:paraId="3751139D">
      <w:pPr>
        <w:pStyle w:val="25"/>
        <w:pageBreakBefore w:val="0"/>
        <w:kinsoku/>
        <w:wordWrap/>
        <w:overflowPunct/>
        <w:topLinePunct w:val="0"/>
        <w:bidi w:val="0"/>
        <w:spacing w:line="500" w:lineRule="exact"/>
        <w:ind w:firstLine="480" w:firstLineChars="200"/>
        <w:textAlignment w:val="auto"/>
        <w:rPr>
          <w:rFonts w:hint="eastAsia" w:ascii="宋体" w:hAnsi="宋体" w:eastAsia="宋体" w:cs="宋体"/>
          <w:color w:val="auto"/>
          <w:highlight w:val="none"/>
          <w:lang w:eastAsia="zh-CN"/>
        </w:rPr>
      </w:pPr>
      <w:r>
        <w:rPr>
          <w:rFonts w:hint="eastAsia" w:ascii="宋体" w:hAnsi="宋体" w:cs="宋体"/>
          <w:color w:val="auto"/>
          <w:highlight w:val="none"/>
        </w:rPr>
        <w:t>7.</w:t>
      </w:r>
      <w:r>
        <w:rPr>
          <w:rFonts w:hint="eastAsia" w:ascii="宋体" w:hAnsi="宋体" w:cs="宋体"/>
          <w:color w:val="auto"/>
          <w:highlight w:val="none"/>
          <w:lang w:val="en-US" w:eastAsia="zh-CN"/>
        </w:rPr>
        <w:t>3</w:t>
      </w:r>
      <w:r>
        <w:rPr>
          <w:rFonts w:hint="eastAsia" w:ascii="宋体" w:hAnsi="宋体" w:cs="宋体"/>
          <w:color w:val="auto"/>
          <w:highlight w:val="none"/>
        </w:rPr>
        <w:t>.1 定标时间</w:t>
      </w:r>
      <w:r>
        <w:rPr>
          <w:rFonts w:hint="eastAsia" w:ascii="宋体" w:hAnsi="宋体" w:cs="宋体"/>
          <w:color w:val="auto"/>
          <w:highlight w:val="none"/>
          <w:lang w:eastAsia="zh-CN"/>
        </w:rPr>
        <w:t>和地点</w:t>
      </w:r>
    </w:p>
    <w:p w14:paraId="7A8CEF0C">
      <w:pPr>
        <w:pStyle w:val="25"/>
        <w:pageBreakBefore w:val="0"/>
        <w:kinsoku/>
        <w:wordWrap/>
        <w:overflowPunct/>
        <w:topLinePunct w:val="0"/>
        <w:bidi w:val="0"/>
        <w:spacing w:line="500" w:lineRule="exact"/>
        <w:ind w:firstLine="480" w:firstLineChars="200"/>
        <w:textAlignment w:val="auto"/>
        <w:rPr>
          <w:rFonts w:hint="eastAsia" w:ascii="宋体" w:hAnsi="宋体" w:cs="宋体"/>
          <w:color w:val="auto"/>
          <w:highlight w:val="none"/>
        </w:rPr>
      </w:pPr>
      <w:r>
        <w:rPr>
          <w:rFonts w:hint="eastAsia" w:ascii="宋体" w:hAnsi="宋体" w:cs="宋体"/>
          <w:color w:val="auto"/>
          <w:highlight w:val="none"/>
        </w:rPr>
        <w:t>招标人</w:t>
      </w:r>
      <w:r>
        <w:rPr>
          <w:rFonts w:hint="eastAsia" w:ascii="宋体" w:hAnsi="宋体" w:cs="宋体"/>
          <w:color w:val="auto"/>
          <w:highlight w:val="none"/>
          <w:lang w:eastAsia="zh-CN"/>
        </w:rPr>
        <w:t>在投标人须知前附规定的时间和地点</w:t>
      </w:r>
      <w:r>
        <w:rPr>
          <w:rFonts w:hint="eastAsia" w:ascii="宋体" w:hAnsi="宋体" w:cs="宋体"/>
          <w:color w:val="auto"/>
          <w:highlight w:val="none"/>
        </w:rPr>
        <w:t>进行定标。招标人需要延期定标的，应通过公共资源交易平台公布延期原因和定标时间。</w:t>
      </w:r>
    </w:p>
    <w:p w14:paraId="20A438D9">
      <w:pPr>
        <w:pStyle w:val="25"/>
        <w:pageBreakBefore w:val="0"/>
        <w:kinsoku/>
        <w:wordWrap/>
        <w:overflowPunct/>
        <w:topLinePunct w:val="0"/>
        <w:bidi w:val="0"/>
        <w:spacing w:line="500" w:lineRule="exact"/>
        <w:ind w:firstLine="480" w:firstLineChars="200"/>
        <w:textAlignment w:val="auto"/>
        <w:rPr>
          <w:rFonts w:hint="eastAsia" w:ascii="宋体" w:hAnsi="宋体" w:cs="宋体"/>
          <w:color w:val="auto"/>
          <w:highlight w:val="none"/>
          <w:lang w:val="en-US" w:eastAsia="zh-CN"/>
        </w:rPr>
      </w:pPr>
      <w:r>
        <w:rPr>
          <w:rFonts w:hint="eastAsia" w:ascii="宋体" w:hAnsi="宋体" w:cs="宋体"/>
          <w:color w:val="auto"/>
          <w:highlight w:val="none"/>
          <w:lang w:val="en-US" w:eastAsia="zh-CN"/>
        </w:rPr>
        <w:t>7.3.2 招标监督小组</w:t>
      </w:r>
    </w:p>
    <w:p w14:paraId="6E2F35E0">
      <w:pPr>
        <w:pStyle w:val="25"/>
        <w:pageBreakBefore w:val="0"/>
        <w:kinsoku/>
        <w:wordWrap/>
        <w:overflowPunct/>
        <w:topLinePunct w:val="0"/>
        <w:bidi w:val="0"/>
        <w:spacing w:line="500" w:lineRule="exact"/>
        <w:ind w:firstLine="480" w:firstLineChars="200"/>
        <w:textAlignment w:val="auto"/>
        <w:rPr>
          <w:rFonts w:hint="eastAsia" w:ascii="宋体" w:hAnsi="宋体" w:cs="宋体"/>
          <w:color w:val="auto"/>
          <w:highlight w:val="none"/>
          <w:lang w:val="en-US" w:eastAsia="zh-CN"/>
        </w:rPr>
      </w:pPr>
      <w:r>
        <w:rPr>
          <w:rFonts w:hint="eastAsia" w:ascii="宋体" w:hAnsi="宋体" w:cs="宋体"/>
          <w:color w:val="auto"/>
          <w:highlight w:val="none"/>
          <w:lang w:val="en-US" w:eastAsia="zh-CN"/>
        </w:rPr>
        <w:t>7.3.2.1 招标监督小组由招标人负责组建，成员人数及确定方式见投标人须知前附表。</w:t>
      </w:r>
    </w:p>
    <w:p w14:paraId="609D76C4">
      <w:pPr>
        <w:pStyle w:val="25"/>
        <w:pageBreakBefore w:val="0"/>
        <w:kinsoku/>
        <w:wordWrap/>
        <w:overflowPunct/>
        <w:topLinePunct w:val="0"/>
        <w:bidi w:val="0"/>
        <w:spacing w:line="500" w:lineRule="exact"/>
        <w:ind w:firstLine="480" w:firstLineChars="200"/>
        <w:textAlignment w:val="auto"/>
        <w:rPr>
          <w:rFonts w:hint="eastAsia" w:ascii="宋体" w:hAnsi="宋体" w:cs="宋体"/>
          <w:color w:val="auto"/>
          <w:highlight w:val="none"/>
        </w:rPr>
      </w:pPr>
      <w:r>
        <w:rPr>
          <w:rFonts w:hint="eastAsia" w:ascii="宋体" w:hAnsi="宋体" w:cs="宋体"/>
          <w:color w:val="auto"/>
          <w:highlight w:val="none"/>
          <w:lang w:val="en-US" w:eastAsia="zh-CN"/>
        </w:rPr>
        <w:t>7.3.2.2 招标监督小组</w:t>
      </w:r>
      <w:r>
        <w:rPr>
          <w:rFonts w:hint="eastAsia" w:ascii="宋体" w:hAnsi="宋体" w:cs="宋体"/>
          <w:color w:val="auto"/>
          <w:highlight w:val="none"/>
        </w:rPr>
        <w:t>成员与定标候选人存在利害关系的，应主动回避，并书面说明回避理由。回避的具体情形应当包括但不限于以下内容：</w:t>
      </w:r>
    </w:p>
    <w:p w14:paraId="6877016B">
      <w:pPr>
        <w:pStyle w:val="25"/>
        <w:pageBreakBefore w:val="0"/>
        <w:kinsoku/>
        <w:wordWrap/>
        <w:overflowPunct/>
        <w:topLinePunct w:val="0"/>
        <w:bidi w:val="0"/>
        <w:spacing w:line="500" w:lineRule="exact"/>
        <w:ind w:firstLine="480" w:firstLineChars="200"/>
        <w:textAlignment w:val="auto"/>
        <w:rPr>
          <w:rFonts w:hint="eastAsia" w:ascii="宋体" w:hAnsi="宋体" w:cs="宋体"/>
          <w:color w:val="auto"/>
          <w:highlight w:val="none"/>
        </w:rPr>
      </w:pPr>
      <w:r>
        <w:rPr>
          <w:rFonts w:hint="eastAsia" w:ascii="宋体" w:hAnsi="宋体" w:cs="宋体"/>
          <w:color w:val="auto"/>
          <w:highlight w:val="none"/>
        </w:rPr>
        <w:t>（1）定标候选人或者定标候选人主要负责人的近亲属；</w:t>
      </w:r>
    </w:p>
    <w:p w14:paraId="0E6919B8">
      <w:pPr>
        <w:pStyle w:val="25"/>
        <w:pageBreakBefore w:val="0"/>
        <w:kinsoku/>
        <w:wordWrap/>
        <w:overflowPunct/>
        <w:topLinePunct w:val="0"/>
        <w:bidi w:val="0"/>
        <w:spacing w:line="500" w:lineRule="exact"/>
        <w:ind w:firstLine="480" w:firstLineChars="200"/>
        <w:textAlignment w:val="auto"/>
        <w:rPr>
          <w:rFonts w:hint="eastAsia" w:ascii="宋体" w:hAnsi="宋体" w:eastAsia="宋体" w:cs="宋体"/>
          <w:color w:val="auto"/>
          <w:highlight w:val="none"/>
          <w:lang w:val="en-US" w:eastAsia="zh-CN"/>
        </w:rPr>
      </w:pPr>
      <w:r>
        <w:rPr>
          <w:rFonts w:hint="eastAsia" w:ascii="宋体" w:hAnsi="宋体" w:cs="宋体"/>
          <w:color w:val="auto"/>
          <w:highlight w:val="none"/>
        </w:rPr>
        <w:t>（2）与定标候选人有直接经济利益关系，可能影响定标公正性的；</w:t>
      </w:r>
    </w:p>
    <w:p w14:paraId="013E43E2">
      <w:pPr>
        <w:pStyle w:val="25"/>
        <w:pageBreakBefore w:val="0"/>
        <w:kinsoku/>
        <w:wordWrap/>
        <w:overflowPunct/>
        <w:topLinePunct w:val="0"/>
        <w:bidi w:val="0"/>
        <w:spacing w:line="500" w:lineRule="exact"/>
        <w:ind w:firstLine="480" w:firstLineChars="200"/>
        <w:textAlignment w:val="auto"/>
        <w:rPr>
          <w:rFonts w:hint="eastAsia" w:ascii="宋体" w:hAnsi="宋体" w:cs="宋体"/>
          <w:color w:val="auto"/>
          <w:highlight w:val="none"/>
        </w:rPr>
      </w:pPr>
      <w:r>
        <w:rPr>
          <w:rFonts w:hint="eastAsia" w:ascii="宋体" w:hAnsi="宋体" w:cs="宋体"/>
          <w:color w:val="auto"/>
          <w:highlight w:val="none"/>
        </w:rPr>
        <w:t>（3）曾在招标投标有关活动中从事违法行为而受过行政处罚或刑事处罚的。</w:t>
      </w:r>
    </w:p>
    <w:p w14:paraId="513D949E">
      <w:pPr>
        <w:pStyle w:val="25"/>
        <w:pageBreakBefore w:val="0"/>
        <w:kinsoku/>
        <w:wordWrap/>
        <w:overflowPunct/>
        <w:topLinePunct w:val="0"/>
        <w:bidi w:val="0"/>
        <w:spacing w:line="500" w:lineRule="exact"/>
        <w:ind w:firstLine="480" w:firstLineChars="200"/>
        <w:textAlignment w:val="auto"/>
        <w:rPr>
          <w:rFonts w:hint="eastAsia" w:ascii="宋体" w:hAnsi="宋体" w:cs="宋体"/>
          <w:color w:val="auto"/>
          <w:highlight w:val="none"/>
        </w:rPr>
      </w:pPr>
      <w:r>
        <w:rPr>
          <w:rFonts w:hint="eastAsia" w:ascii="宋体" w:hAnsi="宋体" w:cs="宋体"/>
          <w:color w:val="auto"/>
          <w:highlight w:val="none"/>
        </w:rPr>
        <w:t>7.</w:t>
      </w:r>
      <w:r>
        <w:rPr>
          <w:rFonts w:hint="eastAsia" w:ascii="宋体" w:hAnsi="宋体" w:cs="宋体"/>
          <w:color w:val="auto"/>
          <w:highlight w:val="none"/>
          <w:lang w:val="en-US" w:eastAsia="zh-CN"/>
        </w:rPr>
        <w:t>3</w:t>
      </w:r>
      <w:r>
        <w:rPr>
          <w:rFonts w:hint="eastAsia" w:ascii="宋体" w:hAnsi="宋体" w:cs="宋体"/>
          <w:color w:val="auto"/>
          <w:highlight w:val="none"/>
        </w:rPr>
        <w:t>.</w:t>
      </w:r>
      <w:r>
        <w:rPr>
          <w:rFonts w:hint="eastAsia" w:ascii="宋体" w:hAnsi="宋体" w:cs="宋体"/>
          <w:color w:val="auto"/>
          <w:highlight w:val="none"/>
          <w:lang w:val="en-US" w:eastAsia="zh-CN"/>
        </w:rPr>
        <w:t>3</w:t>
      </w:r>
      <w:r>
        <w:rPr>
          <w:rFonts w:hint="eastAsia" w:ascii="宋体" w:hAnsi="宋体" w:cs="宋体"/>
          <w:color w:val="auto"/>
          <w:highlight w:val="none"/>
        </w:rPr>
        <w:t xml:space="preserve"> 定标委员会</w:t>
      </w:r>
    </w:p>
    <w:p w14:paraId="45576F4D">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both"/>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7.3.3.1 定标由招标人组建的定标委员会负责。定标委员会由招标人负责组建，招标人可针对项目自行组建定标成员库，定标委员会成员人数以及成员的确定方式见投标人须知前附表。定标委员会应当推荐定标组长，招标人（不含代理机构）的法定代表人或者主要负责人参加定标委员会的，由其直接担任定标委员会组长。定标委员会名单在中标结果公告前应当保密。</w:t>
      </w:r>
    </w:p>
    <w:p w14:paraId="7D3BA7F5">
      <w:pPr>
        <w:pStyle w:val="25"/>
        <w:pageBreakBefore w:val="0"/>
        <w:kinsoku/>
        <w:wordWrap/>
        <w:overflowPunct/>
        <w:topLinePunct w:val="0"/>
        <w:bidi w:val="0"/>
        <w:spacing w:line="500" w:lineRule="exact"/>
        <w:ind w:firstLine="480" w:firstLineChars="200"/>
        <w:textAlignment w:val="auto"/>
        <w:rPr>
          <w:rFonts w:hint="eastAsia" w:ascii="宋体" w:hAnsi="宋体" w:cs="宋体"/>
          <w:color w:val="auto"/>
          <w:highlight w:val="none"/>
        </w:rPr>
      </w:pPr>
      <w:r>
        <w:rPr>
          <w:rFonts w:hint="eastAsia" w:ascii="宋体" w:hAnsi="宋体" w:cs="宋体"/>
          <w:color w:val="auto"/>
          <w:highlight w:val="none"/>
          <w:lang w:val="en-US" w:eastAsia="zh-CN"/>
        </w:rPr>
        <w:t xml:space="preserve">7.3.3.2 </w:t>
      </w:r>
      <w:r>
        <w:rPr>
          <w:rFonts w:hint="eastAsia" w:ascii="宋体" w:hAnsi="宋体" w:cs="宋体"/>
          <w:color w:val="auto"/>
          <w:highlight w:val="none"/>
        </w:rPr>
        <w:t>定标委员会成员与定标候选人存在利害关系的，应主动回避，并书面说明回避理由。回避的具体情形应当包括但不限于以下内容：</w:t>
      </w:r>
    </w:p>
    <w:p w14:paraId="2466D3EB">
      <w:pPr>
        <w:pStyle w:val="25"/>
        <w:pageBreakBefore w:val="0"/>
        <w:kinsoku/>
        <w:wordWrap/>
        <w:overflowPunct/>
        <w:topLinePunct w:val="0"/>
        <w:bidi w:val="0"/>
        <w:spacing w:line="500" w:lineRule="exact"/>
        <w:ind w:firstLine="480" w:firstLineChars="200"/>
        <w:textAlignment w:val="auto"/>
        <w:rPr>
          <w:rFonts w:hint="eastAsia" w:ascii="宋体" w:hAnsi="宋体" w:cs="宋体"/>
          <w:color w:val="auto"/>
          <w:highlight w:val="none"/>
        </w:rPr>
      </w:pPr>
      <w:r>
        <w:rPr>
          <w:rFonts w:hint="eastAsia" w:ascii="宋体" w:hAnsi="宋体" w:cs="宋体"/>
          <w:color w:val="auto"/>
          <w:highlight w:val="none"/>
        </w:rPr>
        <w:t>（1）定标候选人或者定标候选人主要负责人的近亲属；</w:t>
      </w:r>
    </w:p>
    <w:p w14:paraId="7CA012B1">
      <w:pPr>
        <w:pStyle w:val="25"/>
        <w:pageBreakBefore w:val="0"/>
        <w:kinsoku/>
        <w:wordWrap/>
        <w:overflowPunct/>
        <w:topLinePunct w:val="0"/>
        <w:bidi w:val="0"/>
        <w:spacing w:line="500" w:lineRule="exact"/>
        <w:ind w:firstLine="480" w:firstLineChars="200"/>
        <w:textAlignment w:val="auto"/>
        <w:rPr>
          <w:rFonts w:hint="eastAsia" w:ascii="宋体" w:hAnsi="宋体" w:eastAsia="宋体" w:cs="宋体"/>
          <w:color w:val="auto"/>
          <w:highlight w:val="none"/>
          <w:lang w:val="en-US" w:eastAsia="zh-CN"/>
        </w:rPr>
      </w:pPr>
      <w:r>
        <w:rPr>
          <w:rFonts w:hint="eastAsia" w:ascii="宋体" w:hAnsi="宋体" w:cs="宋体"/>
          <w:color w:val="auto"/>
          <w:highlight w:val="none"/>
        </w:rPr>
        <w:t>（2）与定标候选人有直接经济利益关系，可能影响定标公正性的；</w:t>
      </w:r>
    </w:p>
    <w:p w14:paraId="32493DD6">
      <w:pPr>
        <w:pStyle w:val="25"/>
        <w:pageBreakBefore w:val="0"/>
        <w:kinsoku/>
        <w:wordWrap/>
        <w:overflowPunct/>
        <w:topLinePunct w:val="0"/>
        <w:bidi w:val="0"/>
        <w:spacing w:line="500" w:lineRule="exact"/>
        <w:ind w:firstLine="480" w:firstLineChars="200"/>
        <w:textAlignment w:val="auto"/>
        <w:rPr>
          <w:rFonts w:hint="eastAsia" w:ascii="宋体" w:hAnsi="宋体" w:cs="宋体"/>
          <w:color w:val="auto"/>
          <w:highlight w:val="none"/>
        </w:rPr>
      </w:pPr>
      <w:r>
        <w:rPr>
          <w:rFonts w:hint="eastAsia" w:ascii="宋体" w:hAnsi="宋体" w:cs="宋体"/>
          <w:color w:val="auto"/>
          <w:highlight w:val="none"/>
        </w:rPr>
        <w:t>（3）曾在招标投标有关活动中从事违法行为而受过行政处罚或刑事处罚的。</w:t>
      </w:r>
    </w:p>
    <w:p w14:paraId="3F3DF537">
      <w:pPr>
        <w:pStyle w:val="25"/>
        <w:pageBreakBefore w:val="0"/>
        <w:kinsoku/>
        <w:wordWrap/>
        <w:overflowPunct/>
        <w:topLinePunct w:val="0"/>
        <w:bidi w:val="0"/>
        <w:spacing w:line="500" w:lineRule="exact"/>
        <w:ind w:firstLine="480" w:firstLineChars="200"/>
        <w:textAlignment w:val="auto"/>
        <w:rPr>
          <w:rFonts w:hint="eastAsia" w:ascii="宋体" w:hAnsi="宋体" w:cs="宋体"/>
          <w:color w:val="auto"/>
          <w:highlight w:val="none"/>
          <w:lang w:val="en-US" w:eastAsia="zh-CN"/>
        </w:rPr>
      </w:pPr>
      <w:r>
        <w:rPr>
          <w:rFonts w:hint="eastAsia" w:ascii="宋体" w:hAnsi="宋体" w:cs="宋体"/>
          <w:color w:val="auto"/>
          <w:highlight w:val="none"/>
          <w:lang w:val="en-US" w:eastAsia="zh-CN"/>
        </w:rPr>
        <w:t>7.3.4 定标</w:t>
      </w:r>
    </w:p>
    <w:p w14:paraId="723DD7D2">
      <w:pPr>
        <w:pStyle w:val="22"/>
        <w:keepNext w:val="0"/>
        <w:keepLines w:val="0"/>
        <w:pageBreakBefore w:val="0"/>
        <w:widowControl w:val="0"/>
        <w:kinsoku/>
        <w:wordWrap/>
        <w:overflowPunct/>
        <w:topLinePunct w:val="0"/>
        <w:autoSpaceDE/>
        <w:autoSpaceDN/>
        <w:bidi w:val="0"/>
        <w:adjustRightInd/>
        <w:snapToGrid/>
        <w:spacing w:line="500" w:lineRule="exact"/>
        <w:ind w:right="136" w:firstLine="480" w:firstLineChars="200"/>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7.3.4.1 定标委员会按照招标文件第三章“定标办法”规定的方法、定标因素进行定标。</w:t>
      </w:r>
    </w:p>
    <w:p w14:paraId="4633673B">
      <w:pPr>
        <w:pStyle w:val="22"/>
        <w:keepNext w:val="0"/>
        <w:keepLines w:val="0"/>
        <w:pageBreakBefore w:val="0"/>
        <w:widowControl w:val="0"/>
        <w:kinsoku/>
        <w:wordWrap/>
        <w:overflowPunct/>
        <w:topLinePunct w:val="0"/>
        <w:autoSpaceDE/>
        <w:autoSpaceDN/>
        <w:bidi w:val="0"/>
        <w:adjustRightInd/>
        <w:snapToGrid/>
        <w:spacing w:line="500" w:lineRule="exact"/>
        <w:ind w:right="136" w:firstLine="480" w:firstLineChars="200"/>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7.3.4.2 定标完成后，定标委员会向招标人提交书面定标报告和中标候选人名单，定标委员会推荐中标候选人的人数见投标人须知前附表。</w:t>
      </w:r>
    </w:p>
    <w:p w14:paraId="1CC3E551">
      <w:pPr>
        <w:pStyle w:val="22"/>
        <w:keepNext w:val="0"/>
        <w:keepLines w:val="0"/>
        <w:pageBreakBefore w:val="0"/>
        <w:widowControl w:val="0"/>
        <w:kinsoku/>
        <w:wordWrap/>
        <w:overflowPunct/>
        <w:topLinePunct w:val="0"/>
        <w:autoSpaceDE/>
        <w:autoSpaceDN/>
        <w:bidi w:val="0"/>
        <w:adjustRightInd/>
        <w:snapToGrid/>
        <w:spacing w:line="500" w:lineRule="exact"/>
        <w:ind w:right="136" w:firstLine="480" w:firstLineChars="200"/>
        <w:textAlignment w:val="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7.3.4.3定标报告应记录定标委员会成员名单、招标监督小组名单、定标办法、答辩情况（如有）、定标过程、定标工作情况、定标结果等内容。定标委员会所有成员及招标监督小组全部成员应在定标报告上逐页签字。</w:t>
      </w:r>
    </w:p>
    <w:p w14:paraId="32D89D3D">
      <w:pPr>
        <w:pStyle w:val="24"/>
        <w:pageBreakBefore w:val="0"/>
        <w:numPr>
          <w:ilvl w:val="0"/>
          <w:numId w:val="0"/>
        </w:numPr>
        <w:kinsoku/>
        <w:wordWrap/>
        <w:overflowPunct/>
        <w:topLinePunct w:val="0"/>
        <w:bidi w:val="0"/>
        <w:spacing w:line="500" w:lineRule="exact"/>
        <w:textAlignment w:val="auto"/>
        <w:rPr>
          <w:rFonts w:hint="eastAsia" w:ascii="宋体" w:hAnsi="宋体" w:eastAsia="宋体" w:cs="宋体"/>
          <w:color w:val="auto"/>
          <w:highlight w:val="none"/>
        </w:rPr>
      </w:pPr>
      <w:bookmarkStart w:id="189" w:name="_Toc24402"/>
      <w:r>
        <w:rPr>
          <w:rFonts w:hint="eastAsia" w:ascii="宋体" w:hAnsi="宋体" w:eastAsia="宋体" w:cs="宋体"/>
          <w:color w:val="auto"/>
          <w:highlight w:val="none"/>
        </w:rPr>
        <w:t>7.</w:t>
      </w:r>
      <w:r>
        <w:rPr>
          <w:rFonts w:hint="eastAsia" w:ascii="宋体" w:hAnsi="宋体" w:eastAsia="宋体" w:cs="宋体"/>
          <w:color w:val="auto"/>
          <w:highlight w:val="none"/>
          <w:lang w:val="en-US" w:eastAsia="zh-CN"/>
        </w:rPr>
        <w:t xml:space="preserve">4 </w:t>
      </w:r>
      <w:r>
        <w:rPr>
          <w:rFonts w:hint="eastAsia" w:ascii="宋体" w:hAnsi="宋体" w:eastAsia="宋体" w:cs="宋体"/>
          <w:color w:val="auto"/>
          <w:highlight w:val="none"/>
        </w:rPr>
        <w:t>定标结果公示</w:t>
      </w:r>
      <w:bookmarkEnd w:id="189"/>
    </w:p>
    <w:p w14:paraId="07CE95D8">
      <w:pPr>
        <w:pStyle w:val="25"/>
        <w:pageBreakBefore w:val="0"/>
        <w:kinsoku/>
        <w:wordWrap/>
        <w:overflowPunct/>
        <w:topLinePunct w:val="0"/>
        <w:bidi w:val="0"/>
        <w:spacing w:line="500" w:lineRule="exact"/>
        <w:ind w:left="239" w:leftChars="114" w:firstLine="240" w:firstLineChars="100"/>
        <w:textAlignment w:val="auto"/>
        <w:rPr>
          <w:rFonts w:hint="eastAsia" w:ascii="宋体" w:hAnsi="宋体" w:cs="宋体"/>
          <w:color w:val="auto"/>
          <w:highlight w:val="none"/>
        </w:rPr>
      </w:pPr>
      <w:r>
        <w:rPr>
          <w:rFonts w:hint="eastAsia" w:ascii="宋体" w:hAnsi="宋体" w:cs="宋体"/>
          <w:color w:val="auto"/>
          <w:highlight w:val="none"/>
          <w:lang w:val="en-US" w:eastAsia="zh-CN"/>
        </w:rPr>
        <w:t xml:space="preserve">7.4.1 </w:t>
      </w:r>
      <w:r>
        <w:rPr>
          <w:rFonts w:hint="eastAsia" w:ascii="宋体" w:hAnsi="宋体" w:cs="宋体"/>
          <w:color w:val="auto"/>
          <w:highlight w:val="none"/>
        </w:rPr>
        <w:t>招标人应当自收到定标报告之日起3日内，</w:t>
      </w:r>
      <w:r>
        <w:rPr>
          <w:rFonts w:hint="eastAsia" w:ascii="宋体" w:hAnsi="宋体" w:cs="宋体"/>
          <w:color w:val="auto"/>
          <w:highlight w:val="none"/>
          <w:lang w:eastAsia="zh-CN"/>
        </w:rPr>
        <w:t>按照投标人须知前附表规定的公示媒介和期限公示中标候选人，公示期不得少于</w:t>
      </w:r>
      <w:r>
        <w:rPr>
          <w:rFonts w:hint="eastAsia" w:ascii="宋体" w:hAnsi="宋体" w:cs="宋体"/>
          <w:color w:val="auto"/>
          <w:highlight w:val="none"/>
          <w:lang w:val="en-US" w:eastAsia="zh-CN"/>
        </w:rPr>
        <w:t>3日，</w:t>
      </w:r>
      <w:r>
        <w:rPr>
          <w:rFonts w:hint="eastAsia" w:ascii="宋体" w:hAnsi="宋体" w:cs="宋体"/>
          <w:color w:val="auto"/>
          <w:highlight w:val="none"/>
        </w:rPr>
        <w:t>公示内容包括：</w:t>
      </w:r>
    </w:p>
    <w:p w14:paraId="4851AFDD">
      <w:pPr>
        <w:pStyle w:val="25"/>
        <w:pageBreakBefore w:val="0"/>
        <w:kinsoku/>
        <w:wordWrap/>
        <w:overflowPunct/>
        <w:topLinePunct w:val="0"/>
        <w:bidi w:val="0"/>
        <w:spacing w:line="500" w:lineRule="exact"/>
        <w:ind w:left="239" w:leftChars="114" w:firstLine="240" w:firstLineChars="100"/>
        <w:textAlignment w:val="auto"/>
        <w:rPr>
          <w:rFonts w:hint="eastAsia" w:ascii="宋体" w:hAnsi="宋体" w:cs="宋体"/>
          <w:color w:val="auto"/>
          <w:highlight w:val="none"/>
          <w:lang w:eastAsia="zh-CN"/>
        </w:rPr>
      </w:pPr>
      <w:r>
        <w:rPr>
          <w:rFonts w:hint="eastAsia" w:ascii="宋体" w:hAnsi="宋体" w:cs="宋体"/>
          <w:color w:val="auto"/>
          <w:highlight w:val="none"/>
          <w:lang w:eastAsia="zh-CN"/>
        </w:rPr>
        <w:t>（</w:t>
      </w:r>
      <w:r>
        <w:rPr>
          <w:rFonts w:hint="eastAsia" w:ascii="宋体" w:hAnsi="宋体" w:cs="宋体"/>
          <w:color w:val="auto"/>
          <w:highlight w:val="none"/>
          <w:lang w:val="en-US" w:eastAsia="zh-CN"/>
        </w:rPr>
        <w:t>1）</w:t>
      </w:r>
      <w:r>
        <w:rPr>
          <w:rFonts w:hint="eastAsia" w:ascii="宋体" w:hAnsi="宋体" w:cs="宋体"/>
          <w:color w:val="auto"/>
          <w:highlight w:val="none"/>
        </w:rPr>
        <w:t>定标报告（定标成员信息除外）</w:t>
      </w:r>
      <w:r>
        <w:rPr>
          <w:rFonts w:hint="eastAsia" w:ascii="宋体" w:hAnsi="宋体" w:cs="宋体"/>
          <w:color w:val="auto"/>
          <w:highlight w:val="none"/>
          <w:lang w:eastAsia="zh-CN"/>
        </w:rPr>
        <w:t>；</w:t>
      </w:r>
    </w:p>
    <w:p w14:paraId="6057E1EB">
      <w:pPr>
        <w:pStyle w:val="25"/>
        <w:pageBreakBefore w:val="0"/>
        <w:kinsoku/>
        <w:wordWrap/>
        <w:overflowPunct/>
        <w:topLinePunct w:val="0"/>
        <w:bidi w:val="0"/>
        <w:spacing w:line="500" w:lineRule="exact"/>
        <w:ind w:left="239" w:leftChars="114" w:firstLine="240" w:firstLineChars="100"/>
        <w:textAlignment w:val="auto"/>
        <w:rPr>
          <w:rFonts w:hint="eastAsia" w:ascii="宋体" w:hAnsi="宋体" w:cs="宋体"/>
          <w:color w:val="auto"/>
          <w:highlight w:val="none"/>
          <w:lang w:eastAsia="zh-CN"/>
        </w:rPr>
      </w:pPr>
      <w:r>
        <w:rPr>
          <w:rFonts w:hint="eastAsia" w:ascii="宋体" w:hAnsi="宋体" w:cs="宋体"/>
          <w:color w:val="auto"/>
          <w:highlight w:val="none"/>
          <w:lang w:eastAsia="zh-CN"/>
        </w:rPr>
        <w:t>（</w:t>
      </w:r>
      <w:r>
        <w:rPr>
          <w:rFonts w:hint="eastAsia" w:ascii="宋体" w:hAnsi="宋体" w:cs="宋体"/>
          <w:color w:val="auto"/>
          <w:highlight w:val="none"/>
          <w:lang w:val="en-US" w:eastAsia="zh-CN"/>
        </w:rPr>
        <w:t>2</w:t>
      </w:r>
      <w:r>
        <w:rPr>
          <w:rFonts w:hint="eastAsia" w:ascii="宋体" w:hAnsi="宋体" w:cs="宋体"/>
          <w:color w:val="auto"/>
          <w:highlight w:val="none"/>
          <w:lang w:eastAsia="zh-CN"/>
        </w:rPr>
        <w:t>）</w:t>
      </w:r>
      <w:r>
        <w:rPr>
          <w:rFonts w:hint="eastAsia" w:ascii="宋体" w:hAnsi="宋体" w:cs="宋体"/>
          <w:color w:val="auto"/>
          <w:highlight w:val="none"/>
        </w:rPr>
        <w:t>中标候选人名单</w:t>
      </w:r>
      <w:r>
        <w:rPr>
          <w:rFonts w:hint="eastAsia" w:ascii="宋体" w:hAnsi="宋体" w:cs="宋体"/>
          <w:color w:val="auto"/>
          <w:highlight w:val="none"/>
          <w:lang w:eastAsia="zh-CN"/>
        </w:rPr>
        <w:t>；</w:t>
      </w:r>
    </w:p>
    <w:p w14:paraId="7936EC82">
      <w:pPr>
        <w:pStyle w:val="25"/>
        <w:pageBreakBefore w:val="0"/>
        <w:kinsoku/>
        <w:wordWrap/>
        <w:overflowPunct/>
        <w:topLinePunct w:val="0"/>
        <w:bidi w:val="0"/>
        <w:spacing w:line="500" w:lineRule="exact"/>
        <w:ind w:left="239" w:leftChars="114" w:firstLine="240" w:firstLineChars="100"/>
        <w:textAlignment w:val="auto"/>
        <w:rPr>
          <w:rFonts w:hint="eastAsia" w:ascii="宋体" w:hAnsi="宋体" w:cs="宋体"/>
          <w:color w:val="auto"/>
          <w:highlight w:val="none"/>
          <w:lang w:eastAsia="zh-CN"/>
        </w:rPr>
      </w:pPr>
      <w:r>
        <w:rPr>
          <w:rFonts w:hint="eastAsia" w:ascii="宋体" w:hAnsi="宋体" w:cs="宋体"/>
          <w:color w:val="auto"/>
          <w:highlight w:val="none"/>
          <w:lang w:eastAsia="zh-CN"/>
        </w:rPr>
        <w:t>（</w:t>
      </w:r>
      <w:r>
        <w:rPr>
          <w:rFonts w:hint="eastAsia" w:ascii="宋体" w:hAnsi="宋体" w:cs="宋体"/>
          <w:color w:val="auto"/>
          <w:highlight w:val="none"/>
          <w:lang w:val="en-US" w:eastAsia="zh-CN"/>
        </w:rPr>
        <w:t>3</w:t>
      </w:r>
      <w:r>
        <w:rPr>
          <w:rFonts w:hint="eastAsia" w:ascii="宋体" w:hAnsi="宋体" w:cs="宋体"/>
          <w:color w:val="auto"/>
          <w:highlight w:val="none"/>
          <w:lang w:eastAsia="zh-CN"/>
        </w:rPr>
        <w:t>）</w:t>
      </w:r>
      <w:r>
        <w:rPr>
          <w:rFonts w:hint="eastAsia" w:ascii="宋体" w:hAnsi="宋体" w:cs="宋体"/>
          <w:color w:val="auto"/>
          <w:highlight w:val="none"/>
        </w:rPr>
        <w:t>中标价</w:t>
      </w:r>
      <w:r>
        <w:rPr>
          <w:rFonts w:hint="eastAsia" w:ascii="宋体" w:hAnsi="宋体" w:cs="宋体"/>
          <w:color w:val="auto"/>
          <w:highlight w:val="none"/>
          <w:lang w:eastAsia="zh-CN"/>
        </w:rPr>
        <w:t>；</w:t>
      </w:r>
    </w:p>
    <w:p w14:paraId="42F9B26D">
      <w:pPr>
        <w:pStyle w:val="25"/>
        <w:pageBreakBefore w:val="0"/>
        <w:kinsoku/>
        <w:wordWrap/>
        <w:overflowPunct/>
        <w:topLinePunct w:val="0"/>
        <w:bidi w:val="0"/>
        <w:spacing w:line="500" w:lineRule="exact"/>
        <w:ind w:firstLine="480" w:firstLineChars="200"/>
        <w:textAlignment w:val="auto"/>
        <w:rPr>
          <w:rFonts w:hint="eastAsia" w:ascii="宋体" w:hAnsi="宋体" w:eastAsia="宋体" w:cs="宋体"/>
          <w:color w:val="auto"/>
          <w:highlight w:val="none"/>
          <w:lang w:eastAsia="zh-CN"/>
        </w:rPr>
      </w:pPr>
      <w:r>
        <w:rPr>
          <w:rFonts w:hint="eastAsia" w:ascii="宋体" w:hAnsi="宋体" w:cs="宋体"/>
          <w:color w:val="auto"/>
          <w:highlight w:val="none"/>
          <w:lang w:eastAsia="zh-CN"/>
        </w:rPr>
        <w:t>（</w:t>
      </w:r>
      <w:r>
        <w:rPr>
          <w:rFonts w:hint="eastAsia" w:ascii="宋体" w:hAnsi="宋体" w:cs="宋体"/>
          <w:color w:val="auto"/>
          <w:highlight w:val="none"/>
          <w:lang w:val="en-US" w:eastAsia="zh-CN"/>
        </w:rPr>
        <w:t>4</w:t>
      </w:r>
      <w:r>
        <w:rPr>
          <w:rFonts w:hint="eastAsia" w:ascii="宋体" w:hAnsi="宋体" w:cs="宋体"/>
          <w:color w:val="auto"/>
          <w:highlight w:val="none"/>
          <w:lang w:eastAsia="zh-CN"/>
        </w:rPr>
        <w:t>）</w:t>
      </w:r>
      <w:r>
        <w:rPr>
          <w:rFonts w:hint="eastAsia" w:ascii="宋体" w:hAnsi="宋体" w:cs="宋体"/>
          <w:color w:val="auto"/>
          <w:highlight w:val="none"/>
        </w:rPr>
        <w:t>拟投入本项目的项目</w:t>
      </w:r>
      <w:r>
        <w:rPr>
          <w:rFonts w:hint="eastAsia" w:ascii="宋体" w:hAnsi="宋体" w:cs="宋体"/>
          <w:color w:val="auto"/>
          <w:highlight w:val="none"/>
          <w:lang w:val="en-US" w:eastAsia="zh-CN"/>
        </w:rPr>
        <w:t>总监理工程师</w:t>
      </w:r>
      <w:r>
        <w:rPr>
          <w:rFonts w:hint="eastAsia" w:ascii="宋体" w:hAnsi="宋体" w:cs="宋体"/>
          <w:color w:val="auto"/>
          <w:highlight w:val="none"/>
        </w:rPr>
        <w:t>等内容</w:t>
      </w:r>
      <w:r>
        <w:rPr>
          <w:rFonts w:hint="eastAsia" w:ascii="宋体" w:hAnsi="宋体" w:cs="宋体"/>
          <w:color w:val="auto"/>
          <w:highlight w:val="none"/>
          <w:lang w:eastAsia="zh-CN"/>
        </w:rPr>
        <w:t>；</w:t>
      </w:r>
    </w:p>
    <w:p w14:paraId="3ECA2A5B">
      <w:pPr>
        <w:pStyle w:val="25"/>
        <w:pageBreakBefore w:val="0"/>
        <w:kinsoku/>
        <w:wordWrap/>
        <w:overflowPunct/>
        <w:topLinePunct w:val="0"/>
        <w:bidi w:val="0"/>
        <w:spacing w:line="500" w:lineRule="exact"/>
        <w:ind w:firstLine="480" w:firstLineChars="200"/>
        <w:textAlignment w:val="auto"/>
        <w:rPr>
          <w:rFonts w:hint="eastAsia" w:ascii="宋体" w:hAnsi="宋体" w:eastAsia="宋体" w:cs="宋体"/>
          <w:color w:val="auto"/>
          <w:highlight w:val="none"/>
          <w:lang w:eastAsia="zh-CN"/>
        </w:rPr>
      </w:pPr>
      <w:r>
        <w:rPr>
          <w:rFonts w:hint="eastAsia" w:ascii="宋体" w:hAnsi="宋体" w:cs="宋体"/>
          <w:color w:val="auto"/>
          <w:highlight w:val="none"/>
          <w:lang w:eastAsia="zh-CN"/>
        </w:rPr>
        <w:t>（</w:t>
      </w:r>
      <w:r>
        <w:rPr>
          <w:rFonts w:hint="eastAsia" w:ascii="宋体" w:hAnsi="宋体" w:cs="宋体"/>
          <w:color w:val="auto"/>
          <w:highlight w:val="none"/>
          <w:lang w:val="en-US" w:eastAsia="zh-CN"/>
        </w:rPr>
        <w:t>5</w:t>
      </w:r>
      <w:r>
        <w:rPr>
          <w:rFonts w:hint="eastAsia" w:ascii="宋体" w:hAnsi="宋体" w:cs="宋体"/>
          <w:color w:val="auto"/>
          <w:highlight w:val="none"/>
          <w:lang w:eastAsia="zh-CN"/>
        </w:rPr>
        <w:t>）</w:t>
      </w:r>
      <w:r>
        <w:rPr>
          <w:rFonts w:hint="eastAsia" w:ascii="宋体" w:hAnsi="宋体" w:cs="宋体"/>
          <w:color w:val="auto"/>
          <w:highlight w:val="none"/>
          <w:lang w:val="en-US" w:eastAsia="zh-CN"/>
        </w:rPr>
        <w:t>提出异议的渠道和方式。</w:t>
      </w:r>
    </w:p>
    <w:p w14:paraId="3759102F">
      <w:pPr>
        <w:pStyle w:val="25"/>
        <w:pageBreakBefore w:val="0"/>
        <w:kinsoku/>
        <w:wordWrap/>
        <w:overflowPunct/>
        <w:topLinePunct w:val="0"/>
        <w:bidi w:val="0"/>
        <w:spacing w:line="500" w:lineRule="exact"/>
        <w:ind w:firstLine="480" w:firstLineChars="200"/>
        <w:textAlignment w:val="auto"/>
        <w:rPr>
          <w:rFonts w:hint="eastAsia" w:ascii="宋体" w:hAnsi="宋体" w:cs="宋体"/>
          <w:color w:val="auto"/>
          <w:highlight w:val="none"/>
        </w:rPr>
      </w:pPr>
      <w:r>
        <w:rPr>
          <w:rFonts w:hint="eastAsia" w:ascii="宋体" w:hAnsi="宋体" w:eastAsia="宋体" w:cs="宋体"/>
          <w:color w:val="auto"/>
          <w:kern w:val="0"/>
          <w:sz w:val="24"/>
          <w:szCs w:val="24"/>
          <w:highlight w:val="none"/>
          <w:lang w:val="en-US" w:eastAsia="zh-CN" w:bidi="ar-SA"/>
        </w:rPr>
        <w:t xml:space="preserve">7.4.2 </w:t>
      </w:r>
      <w:r>
        <w:rPr>
          <w:rFonts w:hint="eastAsia" w:ascii="宋体" w:hAnsi="宋体" w:eastAsia="宋体" w:cs="宋体"/>
          <w:b w:val="0"/>
          <w:color w:val="auto"/>
          <w:kern w:val="0"/>
          <w:sz w:val="24"/>
          <w:szCs w:val="24"/>
          <w:highlight w:val="none"/>
          <w:lang w:val="en-US" w:eastAsia="zh-CN" w:bidi="ar-SA"/>
        </w:rPr>
        <w:t>投标人或其他利害关系人对定标结果有异议的，应在定标结果公示期间提出。招标人将在收到异议之日起3日内作出答复；作出答复前，将暂停招标投标活动。提出异议与作出答复均应通过建设工程交易系统“在线异议”以书面形式进行。</w:t>
      </w:r>
      <w:r>
        <w:rPr>
          <w:rFonts w:hint="eastAsia" w:ascii="宋体" w:hAnsi="宋体" w:eastAsia="宋体" w:cs="宋体"/>
          <w:color w:val="auto"/>
          <w:highlight w:val="none"/>
          <w:lang w:val="en-US" w:eastAsia="zh-CN"/>
        </w:rPr>
        <w:t>对中标候选人提出异议及投诉的，应依照国家相关法律法规及《韶关市工程建设项目招标投标活动异议和投诉处理办法》处理。</w:t>
      </w:r>
    </w:p>
    <w:p w14:paraId="0A7727EE">
      <w:pPr>
        <w:pStyle w:val="24"/>
        <w:pageBreakBefore w:val="0"/>
        <w:numPr>
          <w:ilvl w:val="0"/>
          <w:numId w:val="0"/>
        </w:numPr>
        <w:kinsoku/>
        <w:wordWrap/>
        <w:overflowPunct/>
        <w:topLinePunct w:val="0"/>
        <w:bidi w:val="0"/>
        <w:spacing w:line="500" w:lineRule="exact"/>
        <w:textAlignment w:val="auto"/>
        <w:rPr>
          <w:rFonts w:hint="eastAsia" w:ascii="宋体" w:hAnsi="宋体" w:cs="宋体"/>
          <w:color w:val="auto"/>
          <w:highlight w:val="none"/>
        </w:rPr>
      </w:pPr>
      <w:bookmarkStart w:id="190" w:name="_Toc19039"/>
      <w:bookmarkStart w:id="191" w:name="_Toc2966"/>
      <w:bookmarkStart w:id="192" w:name="_Toc9592"/>
      <w:bookmarkStart w:id="193" w:name="_Toc12433"/>
      <w:bookmarkStart w:id="194" w:name="_Toc6352"/>
      <w:r>
        <w:rPr>
          <w:rFonts w:hint="eastAsia" w:ascii="宋体" w:hAnsi="宋体" w:cs="宋体"/>
          <w:color w:val="auto"/>
          <w:highlight w:val="none"/>
        </w:rPr>
        <w:t>7.</w:t>
      </w:r>
      <w:r>
        <w:rPr>
          <w:rFonts w:hint="eastAsia" w:ascii="宋体" w:hAnsi="宋体" w:cs="宋体"/>
          <w:color w:val="auto"/>
          <w:highlight w:val="none"/>
          <w:lang w:val="en-US" w:eastAsia="zh-CN"/>
        </w:rPr>
        <w:t>5</w:t>
      </w:r>
      <w:r>
        <w:rPr>
          <w:rFonts w:hint="eastAsia" w:ascii="宋体" w:hAnsi="宋体" w:cs="宋体"/>
          <w:color w:val="auto"/>
          <w:highlight w:val="none"/>
        </w:rPr>
        <w:t xml:space="preserve"> 中标候选人履约能力审查</w:t>
      </w:r>
      <w:bookmarkEnd w:id="190"/>
      <w:bookmarkEnd w:id="191"/>
      <w:bookmarkEnd w:id="192"/>
    </w:p>
    <w:p w14:paraId="039C496F">
      <w:pPr>
        <w:pStyle w:val="25"/>
        <w:pageBreakBefore w:val="0"/>
        <w:kinsoku/>
        <w:wordWrap/>
        <w:overflowPunct/>
        <w:topLinePunct w:val="0"/>
        <w:bidi w:val="0"/>
        <w:spacing w:line="500" w:lineRule="exact"/>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中标候选人的经营、财务状况发生较大变化或存在违法行为，招标人认为可能影响其履约能力的，将在发出中标通知书前提请原评标委员会按照招标文件规定的标准和方法进行审查确认。</w:t>
      </w:r>
    </w:p>
    <w:p w14:paraId="4A449C14">
      <w:pPr>
        <w:pStyle w:val="24"/>
        <w:pageBreakBefore w:val="0"/>
        <w:numPr>
          <w:ilvl w:val="0"/>
          <w:numId w:val="0"/>
        </w:numPr>
        <w:kinsoku/>
        <w:wordWrap/>
        <w:overflowPunct/>
        <w:topLinePunct w:val="0"/>
        <w:bidi w:val="0"/>
        <w:spacing w:line="500" w:lineRule="exact"/>
        <w:textAlignment w:val="auto"/>
        <w:rPr>
          <w:rFonts w:hint="eastAsia" w:ascii="宋体" w:hAnsi="宋体" w:cs="宋体"/>
          <w:color w:val="auto"/>
          <w:highlight w:val="none"/>
        </w:rPr>
      </w:pPr>
      <w:bookmarkStart w:id="195" w:name="_Toc20857"/>
      <w:r>
        <w:rPr>
          <w:rFonts w:hint="eastAsia" w:ascii="宋体" w:hAnsi="宋体" w:cs="宋体"/>
          <w:color w:val="auto"/>
          <w:highlight w:val="none"/>
        </w:rPr>
        <w:t>7.</w:t>
      </w:r>
      <w:r>
        <w:rPr>
          <w:rFonts w:hint="eastAsia" w:ascii="宋体" w:hAnsi="宋体" w:cs="宋体"/>
          <w:color w:val="auto"/>
          <w:highlight w:val="none"/>
          <w:lang w:val="en-US" w:eastAsia="zh-CN"/>
        </w:rPr>
        <w:t>6</w:t>
      </w:r>
      <w:r>
        <w:rPr>
          <w:rFonts w:hint="eastAsia" w:ascii="宋体" w:hAnsi="宋体" w:cs="宋体"/>
          <w:color w:val="auto"/>
          <w:highlight w:val="none"/>
        </w:rPr>
        <w:t xml:space="preserve"> 中标通知</w:t>
      </w:r>
      <w:bookmarkEnd w:id="193"/>
      <w:bookmarkEnd w:id="194"/>
      <w:bookmarkEnd w:id="195"/>
    </w:p>
    <w:p w14:paraId="7443486A">
      <w:pPr>
        <w:pStyle w:val="25"/>
        <w:pageBreakBefore w:val="0"/>
        <w:kinsoku/>
        <w:wordWrap/>
        <w:overflowPunct/>
        <w:topLinePunct w:val="0"/>
        <w:bidi w:val="0"/>
        <w:spacing w:line="500" w:lineRule="exact"/>
        <w:ind w:firstLine="480" w:firstLineChars="200"/>
        <w:textAlignment w:val="auto"/>
        <w:rPr>
          <w:rFonts w:hint="eastAsia" w:ascii="宋体" w:hAnsi="宋体" w:cs="宋体"/>
          <w:color w:val="auto"/>
          <w:highlight w:val="none"/>
        </w:rPr>
      </w:pPr>
      <w:r>
        <w:rPr>
          <w:rFonts w:hint="eastAsia" w:ascii="宋体" w:hAnsi="宋体" w:cs="宋体"/>
          <w:color w:val="auto"/>
          <w:highlight w:val="none"/>
        </w:rPr>
        <w:t>在本章第3.3款规定的投标有效期内，招标人以投标人须知前附表规定的形式向中标人发出中标通知书，同时将中标结果通知未中标的投标人。</w:t>
      </w:r>
    </w:p>
    <w:p w14:paraId="40ECAD9C">
      <w:pPr>
        <w:pStyle w:val="24"/>
        <w:pageBreakBefore w:val="0"/>
        <w:numPr>
          <w:ilvl w:val="0"/>
          <w:numId w:val="0"/>
        </w:numPr>
        <w:kinsoku/>
        <w:wordWrap/>
        <w:overflowPunct/>
        <w:topLinePunct w:val="0"/>
        <w:bidi w:val="0"/>
        <w:spacing w:line="500" w:lineRule="exact"/>
        <w:textAlignment w:val="auto"/>
        <w:rPr>
          <w:rFonts w:hint="eastAsia" w:ascii="宋体" w:hAnsi="宋体" w:cs="宋体"/>
          <w:color w:val="auto"/>
          <w:highlight w:val="none"/>
        </w:rPr>
      </w:pPr>
      <w:bookmarkStart w:id="196" w:name="_Toc25436"/>
      <w:bookmarkStart w:id="197" w:name="_Toc25675"/>
      <w:bookmarkStart w:id="198" w:name="_Toc7550"/>
      <w:r>
        <w:rPr>
          <w:rFonts w:hint="eastAsia" w:ascii="宋体" w:hAnsi="宋体" w:cs="宋体"/>
          <w:color w:val="auto"/>
          <w:highlight w:val="none"/>
        </w:rPr>
        <w:t>7.</w:t>
      </w:r>
      <w:r>
        <w:rPr>
          <w:rFonts w:hint="eastAsia" w:ascii="宋体" w:hAnsi="宋体" w:cs="宋体"/>
          <w:color w:val="auto"/>
          <w:highlight w:val="none"/>
          <w:lang w:val="en-US" w:eastAsia="zh-CN"/>
        </w:rPr>
        <w:t>7</w:t>
      </w:r>
      <w:r>
        <w:rPr>
          <w:rFonts w:hint="eastAsia" w:ascii="宋体" w:hAnsi="宋体" w:cs="宋体"/>
          <w:color w:val="auto"/>
          <w:highlight w:val="none"/>
        </w:rPr>
        <w:t xml:space="preserve"> 中标结果公告</w:t>
      </w:r>
      <w:bookmarkEnd w:id="196"/>
      <w:bookmarkEnd w:id="197"/>
      <w:bookmarkEnd w:id="198"/>
    </w:p>
    <w:p w14:paraId="3F5CEE73">
      <w:pPr>
        <w:pStyle w:val="25"/>
        <w:pageBreakBefore w:val="0"/>
        <w:kinsoku/>
        <w:wordWrap/>
        <w:overflowPunct/>
        <w:topLinePunct w:val="0"/>
        <w:bidi w:val="0"/>
        <w:spacing w:line="500" w:lineRule="exact"/>
        <w:ind w:firstLine="480" w:firstLineChars="200"/>
        <w:textAlignment w:val="auto"/>
        <w:rPr>
          <w:rFonts w:hint="eastAsia" w:ascii="宋体" w:hAnsi="宋体" w:cs="宋体"/>
          <w:color w:val="auto"/>
          <w:highlight w:val="none"/>
        </w:rPr>
      </w:pPr>
      <w:r>
        <w:rPr>
          <w:rFonts w:hint="eastAsia" w:ascii="宋体" w:hAnsi="宋体" w:cs="宋体"/>
          <w:color w:val="auto"/>
          <w:highlight w:val="none"/>
        </w:rPr>
        <w:t>招标人在确定中标人之日起3日内，按照投标人须知前附表规定的公告媒介和期限公告中标结果，公告期不得少于</w:t>
      </w:r>
      <w:r>
        <w:rPr>
          <w:rFonts w:hint="eastAsia" w:ascii="宋体" w:hAnsi="宋体" w:cs="宋体"/>
          <w:color w:val="auto"/>
          <w:highlight w:val="none"/>
          <w:lang w:val="en-US" w:eastAsia="zh-CN"/>
        </w:rPr>
        <w:t>1</w:t>
      </w:r>
      <w:r>
        <w:rPr>
          <w:rFonts w:hint="eastAsia" w:ascii="宋体" w:hAnsi="宋体" w:cs="宋体"/>
          <w:color w:val="auto"/>
          <w:highlight w:val="none"/>
        </w:rPr>
        <w:t>日。公告内容包括中标人名称、中标价。</w:t>
      </w:r>
    </w:p>
    <w:p w14:paraId="187BA948">
      <w:pPr>
        <w:pStyle w:val="24"/>
        <w:pageBreakBefore w:val="0"/>
        <w:numPr>
          <w:ilvl w:val="0"/>
          <w:numId w:val="0"/>
        </w:numPr>
        <w:kinsoku/>
        <w:wordWrap/>
        <w:overflowPunct/>
        <w:topLinePunct w:val="0"/>
        <w:bidi w:val="0"/>
        <w:spacing w:line="500" w:lineRule="exact"/>
        <w:textAlignment w:val="auto"/>
        <w:rPr>
          <w:rFonts w:hint="eastAsia" w:ascii="宋体" w:hAnsi="宋体" w:cs="宋体"/>
          <w:color w:val="auto"/>
          <w:highlight w:val="none"/>
        </w:rPr>
      </w:pPr>
      <w:bookmarkStart w:id="199" w:name="_Toc10013"/>
      <w:bookmarkStart w:id="200" w:name="_Toc20034"/>
      <w:bookmarkStart w:id="201" w:name="_Toc30798"/>
      <w:r>
        <w:rPr>
          <w:rFonts w:hint="eastAsia" w:ascii="宋体" w:hAnsi="宋体" w:cs="宋体"/>
          <w:color w:val="auto"/>
          <w:highlight w:val="none"/>
        </w:rPr>
        <w:t>7.</w:t>
      </w:r>
      <w:r>
        <w:rPr>
          <w:rFonts w:hint="eastAsia" w:ascii="宋体" w:hAnsi="宋体" w:cs="宋体"/>
          <w:color w:val="auto"/>
          <w:highlight w:val="none"/>
          <w:lang w:val="en-US" w:eastAsia="zh-CN"/>
        </w:rPr>
        <w:t>8</w:t>
      </w:r>
      <w:r>
        <w:rPr>
          <w:rFonts w:hint="eastAsia" w:ascii="宋体" w:hAnsi="宋体" w:cs="宋体"/>
          <w:color w:val="auto"/>
          <w:highlight w:val="none"/>
        </w:rPr>
        <w:t xml:space="preserve"> 履约保证金</w:t>
      </w:r>
      <w:bookmarkEnd w:id="199"/>
      <w:bookmarkEnd w:id="200"/>
      <w:bookmarkEnd w:id="201"/>
    </w:p>
    <w:p w14:paraId="739175C5">
      <w:pPr>
        <w:pStyle w:val="25"/>
        <w:pageBreakBefore w:val="0"/>
        <w:kinsoku/>
        <w:wordWrap/>
        <w:overflowPunct/>
        <w:topLinePunct w:val="0"/>
        <w:bidi w:val="0"/>
        <w:spacing w:line="500" w:lineRule="exact"/>
        <w:ind w:firstLine="480" w:firstLineChars="200"/>
        <w:textAlignment w:val="auto"/>
        <w:rPr>
          <w:rFonts w:hint="eastAsia" w:ascii="宋体" w:hAnsi="宋体" w:cs="宋体"/>
          <w:color w:val="auto"/>
          <w:highlight w:val="none"/>
        </w:rPr>
      </w:pPr>
      <w:r>
        <w:rPr>
          <w:rFonts w:hint="eastAsia" w:ascii="宋体" w:hAnsi="宋体" w:cs="宋体"/>
          <w:color w:val="auto"/>
          <w:highlight w:val="none"/>
        </w:rPr>
        <w:t>7.</w:t>
      </w:r>
      <w:r>
        <w:rPr>
          <w:rFonts w:hint="eastAsia" w:ascii="宋体" w:hAnsi="宋体" w:cs="宋体"/>
          <w:color w:val="auto"/>
          <w:highlight w:val="none"/>
          <w:lang w:val="en-US" w:eastAsia="zh-CN"/>
        </w:rPr>
        <w:t>8</w:t>
      </w:r>
      <w:r>
        <w:rPr>
          <w:rFonts w:hint="eastAsia" w:ascii="宋体" w:hAnsi="宋体" w:cs="宋体"/>
          <w:color w:val="auto"/>
          <w:highlight w:val="none"/>
        </w:rPr>
        <w:t>.1</w:t>
      </w:r>
      <w:r>
        <w:rPr>
          <w:rFonts w:hint="eastAsia" w:ascii="宋体" w:hAnsi="宋体" w:cs="宋体"/>
          <w:color w:val="auto"/>
          <w:highlight w:val="none"/>
          <w:lang w:val="en-US" w:eastAsia="zh-CN"/>
        </w:rPr>
        <w:t xml:space="preserve"> </w:t>
      </w:r>
      <w:r>
        <w:rPr>
          <w:rFonts w:hint="eastAsia" w:ascii="宋体" w:hAnsi="宋体" w:cs="宋体"/>
          <w:color w:val="auto"/>
          <w:highlight w:val="none"/>
        </w:rPr>
        <w:t>在签订合同前，中标人应按投标人须知前附表规定的形式、金额和招标文件第四章“合同条款及格式”规定的或事先经过招标人书面认可的履约保证金格式向招标人提交履约保证金。除投标人须知前附表另有规定外，履约保证金为签约合同价的10%。联合体中标的，其履约保证金以联合体各方或联合体中牵头人的名义提交。</w:t>
      </w:r>
    </w:p>
    <w:p w14:paraId="78F5EC33">
      <w:pPr>
        <w:pStyle w:val="25"/>
        <w:pageBreakBefore w:val="0"/>
        <w:kinsoku/>
        <w:wordWrap/>
        <w:overflowPunct/>
        <w:topLinePunct w:val="0"/>
        <w:bidi w:val="0"/>
        <w:spacing w:line="500" w:lineRule="exact"/>
        <w:ind w:firstLine="480" w:firstLineChars="200"/>
        <w:textAlignment w:val="auto"/>
        <w:rPr>
          <w:rFonts w:hint="eastAsia" w:ascii="宋体" w:hAnsi="宋体" w:cs="宋体"/>
          <w:color w:val="auto"/>
          <w:highlight w:val="none"/>
        </w:rPr>
      </w:pPr>
      <w:r>
        <w:rPr>
          <w:rFonts w:hint="eastAsia" w:ascii="宋体" w:hAnsi="宋体" w:cs="宋体"/>
          <w:color w:val="auto"/>
          <w:highlight w:val="none"/>
        </w:rPr>
        <w:t>采用银行保函时，应由符合投标人须知前附表规定级别的银行开具，所需的费用由中标人承担，中标人应保证银行保函有效。</w:t>
      </w:r>
    </w:p>
    <w:p w14:paraId="2DEFBFB3">
      <w:pPr>
        <w:pStyle w:val="25"/>
        <w:pageBreakBefore w:val="0"/>
        <w:widowControl w:val="0"/>
        <w:kinsoku/>
        <w:wordWrap/>
        <w:overflowPunct/>
        <w:topLinePunct w:val="0"/>
        <w:autoSpaceDE w:val="0"/>
        <w:autoSpaceDN w:val="0"/>
        <w:bidi w:val="0"/>
        <w:adjustRightInd w:val="0"/>
        <w:snapToGrid/>
        <w:spacing w:line="460" w:lineRule="exact"/>
        <w:ind w:firstLine="480" w:firstLineChars="200"/>
        <w:textAlignment w:val="auto"/>
        <w:rPr>
          <w:rFonts w:hint="eastAsia" w:ascii="宋体" w:hAnsi="宋体" w:cs="宋体"/>
          <w:color w:val="auto"/>
          <w:highlight w:val="none"/>
        </w:rPr>
      </w:pPr>
      <w:r>
        <w:rPr>
          <w:rFonts w:hint="eastAsia" w:ascii="宋体" w:hAnsi="宋体" w:cs="宋体"/>
          <w:color w:val="auto"/>
          <w:highlight w:val="none"/>
        </w:rPr>
        <w:t>7.</w:t>
      </w:r>
      <w:r>
        <w:rPr>
          <w:rFonts w:hint="eastAsia" w:ascii="宋体" w:hAnsi="宋体" w:cs="宋体"/>
          <w:color w:val="auto"/>
          <w:highlight w:val="none"/>
          <w:lang w:val="en-US" w:eastAsia="zh-CN"/>
        </w:rPr>
        <w:t>8</w:t>
      </w:r>
      <w:r>
        <w:rPr>
          <w:rFonts w:hint="eastAsia" w:ascii="宋体" w:hAnsi="宋体" w:cs="宋体"/>
          <w:color w:val="auto"/>
          <w:highlight w:val="none"/>
        </w:rPr>
        <w:t>.2</w:t>
      </w:r>
      <w:r>
        <w:rPr>
          <w:rFonts w:hint="eastAsia" w:ascii="宋体" w:hAnsi="宋体" w:cs="宋体"/>
          <w:color w:val="auto"/>
          <w:highlight w:val="none"/>
          <w:lang w:val="en-US" w:eastAsia="zh-CN"/>
        </w:rPr>
        <w:t xml:space="preserve"> </w:t>
      </w:r>
      <w:r>
        <w:rPr>
          <w:rFonts w:hint="eastAsia" w:ascii="宋体" w:hAnsi="宋体" w:cs="宋体"/>
          <w:color w:val="auto"/>
          <w:highlight w:val="none"/>
        </w:rPr>
        <w:t>中标人不能按本章第7.</w:t>
      </w:r>
      <w:r>
        <w:rPr>
          <w:rFonts w:hint="eastAsia" w:ascii="宋体" w:hAnsi="宋体" w:cs="宋体"/>
          <w:color w:val="auto"/>
          <w:highlight w:val="none"/>
          <w:lang w:val="en-US" w:eastAsia="zh-CN"/>
        </w:rPr>
        <w:t>8</w:t>
      </w:r>
      <w:r>
        <w:rPr>
          <w:rFonts w:hint="eastAsia" w:ascii="宋体" w:hAnsi="宋体" w:cs="宋体"/>
          <w:color w:val="auto"/>
          <w:highlight w:val="none"/>
        </w:rPr>
        <w:t>.1项要求提交履约保证金的，视为放弃中标，其投标保证金不予退还，给招标人造成的损失超过投标保证金数额的，中标人还应对超过部分予以赔偿。</w:t>
      </w:r>
    </w:p>
    <w:p w14:paraId="02A8DCB7">
      <w:pPr>
        <w:pStyle w:val="24"/>
        <w:pageBreakBefore w:val="0"/>
        <w:widowControl w:val="0"/>
        <w:numPr>
          <w:ilvl w:val="0"/>
          <w:numId w:val="0"/>
        </w:numPr>
        <w:kinsoku/>
        <w:wordWrap/>
        <w:overflowPunct/>
        <w:topLinePunct w:val="0"/>
        <w:autoSpaceDE w:val="0"/>
        <w:autoSpaceDN w:val="0"/>
        <w:bidi w:val="0"/>
        <w:adjustRightInd w:val="0"/>
        <w:snapToGrid/>
        <w:spacing w:line="460" w:lineRule="exact"/>
        <w:textAlignment w:val="auto"/>
        <w:rPr>
          <w:rFonts w:hint="eastAsia" w:ascii="宋体" w:hAnsi="宋体" w:cs="宋体"/>
          <w:color w:val="auto"/>
          <w:highlight w:val="none"/>
        </w:rPr>
      </w:pPr>
      <w:bookmarkStart w:id="202" w:name="_Toc22811"/>
      <w:bookmarkStart w:id="203" w:name="_Toc4886"/>
      <w:bookmarkStart w:id="204" w:name="_Toc27583"/>
      <w:r>
        <w:rPr>
          <w:rFonts w:hint="eastAsia" w:ascii="宋体" w:hAnsi="宋体" w:cs="宋体"/>
          <w:color w:val="auto"/>
          <w:highlight w:val="none"/>
        </w:rPr>
        <w:t>7.</w:t>
      </w:r>
      <w:r>
        <w:rPr>
          <w:rFonts w:hint="eastAsia" w:ascii="宋体" w:hAnsi="宋体" w:cs="宋体"/>
          <w:color w:val="auto"/>
          <w:highlight w:val="none"/>
          <w:lang w:val="en-US" w:eastAsia="zh-CN"/>
        </w:rPr>
        <w:t>9</w:t>
      </w:r>
      <w:r>
        <w:rPr>
          <w:rFonts w:hint="eastAsia" w:ascii="宋体" w:hAnsi="宋体" w:cs="宋体"/>
          <w:color w:val="auto"/>
          <w:highlight w:val="none"/>
        </w:rPr>
        <w:t xml:space="preserve"> 签订合同</w:t>
      </w:r>
      <w:bookmarkEnd w:id="202"/>
      <w:bookmarkEnd w:id="203"/>
      <w:bookmarkEnd w:id="204"/>
    </w:p>
    <w:p w14:paraId="3F6F6C8E">
      <w:pPr>
        <w:pStyle w:val="25"/>
        <w:pageBreakBefore w:val="0"/>
        <w:widowControl w:val="0"/>
        <w:kinsoku/>
        <w:wordWrap/>
        <w:overflowPunct/>
        <w:topLinePunct w:val="0"/>
        <w:autoSpaceDE w:val="0"/>
        <w:autoSpaceDN w:val="0"/>
        <w:bidi w:val="0"/>
        <w:adjustRightInd w:val="0"/>
        <w:snapToGrid/>
        <w:spacing w:line="460" w:lineRule="exact"/>
        <w:ind w:firstLine="480" w:firstLineChars="200"/>
        <w:textAlignment w:val="auto"/>
        <w:rPr>
          <w:rFonts w:hint="eastAsia" w:ascii="宋体" w:hAnsi="宋体" w:cs="宋体"/>
          <w:color w:val="auto"/>
          <w:highlight w:val="none"/>
        </w:rPr>
      </w:pPr>
      <w:r>
        <w:rPr>
          <w:rFonts w:hint="eastAsia" w:ascii="宋体" w:hAnsi="宋体" w:cs="宋体"/>
          <w:color w:val="auto"/>
          <w:highlight w:val="none"/>
        </w:rPr>
        <w:t>7.</w:t>
      </w:r>
      <w:r>
        <w:rPr>
          <w:rFonts w:hint="eastAsia" w:ascii="宋体" w:hAnsi="宋体" w:cs="宋体"/>
          <w:color w:val="auto"/>
          <w:highlight w:val="none"/>
          <w:lang w:val="en-US" w:eastAsia="zh-CN"/>
        </w:rPr>
        <w:t>9</w:t>
      </w:r>
      <w:r>
        <w:rPr>
          <w:rFonts w:hint="eastAsia" w:ascii="宋体" w:hAnsi="宋体" w:cs="宋体"/>
          <w:color w:val="auto"/>
          <w:highlight w:val="none"/>
        </w:rPr>
        <w:t>.1</w:t>
      </w:r>
      <w:r>
        <w:rPr>
          <w:rFonts w:hint="eastAsia" w:ascii="宋体" w:hAnsi="宋体" w:cs="宋体"/>
          <w:color w:val="auto"/>
          <w:highlight w:val="none"/>
          <w:lang w:val="en-US" w:eastAsia="zh-CN"/>
        </w:rPr>
        <w:t xml:space="preserve"> </w:t>
      </w:r>
      <w:r>
        <w:rPr>
          <w:rFonts w:hint="eastAsia" w:ascii="宋体" w:hAnsi="宋体" w:cs="宋体"/>
          <w:color w:val="auto"/>
          <w:highlight w:val="none"/>
        </w:rPr>
        <w:t>根据《公路工程建设项目招标投标管理办法》第57条规定，招标人和中标人应在中标通知书发出之日起30日内，根据招标文件和中标人的投标文件订立合同。中标人无正当理由拒签合同，在签订合同时向招标人提出附加条件，或不按照招标文件要求提交履约保证金的，招标人取消其中标资格，其投标保证金不予退还；给招标人造成的损失超过投标保证金数额的，中标人还应对超过部分予以赔偿。</w:t>
      </w:r>
    </w:p>
    <w:p w14:paraId="4A6F4AAD">
      <w:pPr>
        <w:pStyle w:val="25"/>
        <w:pageBreakBefore w:val="0"/>
        <w:widowControl w:val="0"/>
        <w:kinsoku/>
        <w:wordWrap/>
        <w:overflowPunct/>
        <w:topLinePunct w:val="0"/>
        <w:autoSpaceDE w:val="0"/>
        <w:autoSpaceDN w:val="0"/>
        <w:bidi w:val="0"/>
        <w:adjustRightInd w:val="0"/>
        <w:snapToGrid/>
        <w:spacing w:line="460" w:lineRule="exact"/>
        <w:ind w:firstLine="480" w:firstLineChars="200"/>
        <w:textAlignment w:val="auto"/>
        <w:rPr>
          <w:rFonts w:hint="eastAsia" w:ascii="宋体" w:hAnsi="宋体" w:cs="宋体"/>
          <w:color w:val="auto"/>
          <w:highlight w:val="none"/>
        </w:rPr>
      </w:pPr>
      <w:r>
        <w:rPr>
          <w:rFonts w:hint="eastAsia" w:ascii="宋体" w:hAnsi="宋体" w:cs="宋体"/>
          <w:color w:val="auto"/>
          <w:highlight w:val="none"/>
        </w:rPr>
        <w:t>7.</w:t>
      </w:r>
      <w:r>
        <w:rPr>
          <w:rFonts w:hint="eastAsia" w:ascii="宋体" w:hAnsi="宋体" w:cs="宋体"/>
          <w:color w:val="auto"/>
          <w:highlight w:val="none"/>
          <w:lang w:val="en-US" w:eastAsia="zh-CN"/>
        </w:rPr>
        <w:t>9</w:t>
      </w:r>
      <w:r>
        <w:rPr>
          <w:rFonts w:hint="eastAsia" w:ascii="宋体" w:hAnsi="宋体" w:cs="宋体"/>
          <w:color w:val="auto"/>
          <w:highlight w:val="none"/>
        </w:rPr>
        <w:t>.2</w:t>
      </w:r>
      <w:r>
        <w:rPr>
          <w:rFonts w:hint="eastAsia" w:ascii="宋体" w:hAnsi="宋体" w:cs="宋体"/>
          <w:color w:val="auto"/>
          <w:highlight w:val="none"/>
          <w:lang w:val="en-US" w:eastAsia="zh-CN"/>
        </w:rPr>
        <w:t xml:space="preserve"> </w:t>
      </w:r>
      <w:r>
        <w:rPr>
          <w:rFonts w:hint="eastAsia" w:ascii="宋体" w:hAnsi="宋体" w:cs="宋体"/>
          <w:color w:val="auto"/>
          <w:highlight w:val="none"/>
        </w:rPr>
        <w:t>发出中标通知书后，招标人无正当理由拒签合同，或在签订合同时向中标人提出附加条件的，招标人向中标人退还投标保证金；给中标人造成损失的，还应赔偿损失。</w:t>
      </w:r>
    </w:p>
    <w:p w14:paraId="58F79606">
      <w:pPr>
        <w:pStyle w:val="25"/>
        <w:pageBreakBefore w:val="0"/>
        <w:widowControl w:val="0"/>
        <w:kinsoku/>
        <w:wordWrap/>
        <w:overflowPunct/>
        <w:topLinePunct w:val="0"/>
        <w:autoSpaceDE w:val="0"/>
        <w:autoSpaceDN w:val="0"/>
        <w:bidi w:val="0"/>
        <w:adjustRightInd w:val="0"/>
        <w:snapToGrid/>
        <w:spacing w:line="460" w:lineRule="exact"/>
        <w:ind w:firstLine="480" w:firstLineChars="200"/>
        <w:textAlignment w:val="auto"/>
        <w:rPr>
          <w:rFonts w:hint="eastAsia" w:ascii="宋体" w:hAnsi="宋体" w:cs="宋体"/>
          <w:color w:val="auto"/>
          <w:highlight w:val="none"/>
        </w:rPr>
      </w:pPr>
      <w:r>
        <w:rPr>
          <w:rFonts w:hint="eastAsia" w:ascii="宋体" w:hAnsi="宋体" w:cs="宋体"/>
          <w:color w:val="auto"/>
          <w:highlight w:val="none"/>
        </w:rPr>
        <w:t>7.</w:t>
      </w:r>
      <w:r>
        <w:rPr>
          <w:rFonts w:hint="eastAsia" w:ascii="宋体" w:hAnsi="宋体" w:cs="宋体"/>
          <w:color w:val="auto"/>
          <w:highlight w:val="none"/>
          <w:lang w:val="en-US" w:eastAsia="zh-CN"/>
        </w:rPr>
        <w:t>9</w:t>
      </w:r>
      <w:r>
        <w:rPr>
          <w:rFonts w:hint="eastAsia" w:ascii="宋体" w:hAnsi="宋体" w:cs="宋体"/>
          <w:color w:val="auto"/>
          <w:highlight w:val="none"/>
        </w:rPr>
        <w:t>.3</w:t>
      </w:r>
      <w:r>
        <w:rPr>
          <w:rFonts w:hint="eastAsia" w:ascii="宋体" w:hAnsi="宋体" w:cs="宋体"/>
          <w:color w:val="auto"/>
          <w:highlight w:val="none"/>
          <w:lang w:val="en-US" w:eastAsia="zh-CN"/>
        </w:rPr>
        <w:t xml:space="preserve"> </w:t>
      </w:r>
      <w:r>
        <w:rPr>
          <w:rFonts w:hint="eastAsia" w:ascii="宋体" w:hAnsi="宋体" w:cs="宋体"/>
          <w:color w:val="auto"/>
          <w:highlight w:val="none"/>
        </w:rPr>
        <w:t>签约合同价的确定原则如下：</w:t>
      </w:r>
    </w:p>
    <w:p w14:paraId="3C4EAFBA">
      <w:pPr>
        <w:pStyle w:val="25"/>
        <w:pageBreakBefore w:val="0"/>
        <w:widowControl w:val="0"/>
        <w:kinsoku/>
        <w:wordWrap/>
        <w:overflowPunct/>
        <w:topLinePunct w:val="0"/>
        <w:autoSpaceDE w:val="0"/>
        <w:autoSpaceDN w:val="0"/>
        <w:bidi w:val="0"/>
        <w:adjustRightInd w:val="0"/>
        <w:snapToGrid/>
        <w:spacing w:line="460" w:lineRule="exact"/>
        <w:ind w:firstLine="480" w:firstLineChars="200"/>
        <w:textAlignment w:val="auto"/>
        <w:rPr>
          <w:rFonts w:hint="eastAsia" w:ascii="宋体" w:hAnsi="宋体" w:cs="宋体"/>
          <w:color w:val="auto"/>
          <w:highlight w:val="none"/>
        </w:rPr>
      </w:pPr>
      <w:r>
        <w:rPr>
          <w:rFonts w:hint="eastAsia" w:ascii="宋体" w:hAnsi="宋体" w:cs="宋体"/>
          <w:color w:val="auto"/>
          <w:highlight w:val="none"/>
        </w:rPr>
        <w:t>（1）按照评标办法规定对投标报价进行修正后，若修正后的最终投标报价小于开标时的投标函大写金额报价，则签订合同时以修正后的最终投标报价为准；</w:t>
      </w:r>
    </w:p>
    <w:p w14:paraId="76E10C4E">
      <w:pPr>
        <w:pStyle w:val="25"/>
        <w:pageBreakBefore w:val="0"/>
        <w:widowControl w:val="0"/>
        <w:kinsoku/>
        <w:wordWrap/>
        <w:overflowPunct/>
        <w:topLinePunct w:val="0"/>
        <w:autoSpaceDE w:val="0"/>
        <w:autoSpaceDN w:val="0"/>
        <w:bidi w:val="0"/>
        <w:adjustRightInd w:val="0"/>
        <w:snapToGrid/>
        <w:spacing w:line="460" w:lineRule="exact"/>
        <w:ind w:firstLine="480" w:firstLineChars="200"/>
        <w:textAlignment w:val="auto"/>
        <w:rPr>
          <w:rFonts w:hint="eastAsia" w:ascii="宋体" w:hAnsi="宋体" w:cs="宋体"/>
          <w:color w:val="auto"/>
          <w:highlight w:val="none"/>
        </w:rPr>
      </w:pPr>
      <w:r>
        <w:rPr>
          <w:rFonts w:hint="eastAsia" w:ascii="宋体" w:hAnsi="宋体" w:cs="宋体"/>
          <w:color w:val="auto"/>
          <w:highlight w:val="none"/>
        </w:rPr>
        <w:t>（2）按照评标办法规定对投标报价进行修正后，若修正后的最终投标报价大于开标时的投标函大写金额报价，则签订合同时以开标时的投标函大写金额报价为准，同时按比例修正相应子目的单价或合价。</w:t>
      </w:r>
    </w:p>
    <w:p w14:paraId="3C563443">
      <w:pPr>
        <w:pStyle w:val="25"/>
        <w:pageBreakBefore w:val="0"/>
        <w:widowControl w:val="0"/>
        <w:kinsoku/>
        <w:wordWrap/>
        <w:overflowPunct/>
        <w:topLinePunct w:val="0"/>
        <w:autoSpaceDE w:val="0"/>
        <w:autoSpaceDN w:val="0"/>
        <w:bidi w:val="0"/>
        <w:adjustRightInd w:val="0"/>
        <w:snapToGrid/>
        <w:spacing w:line="460" w:lineRule="exact"/>
        <w:ind w:firstLine="480" w:firstLineChars="200"/>
        <w:textAlignment w:val="auto"/>
        <w:rPr>
          <w:rFonts w:hint="eastAsia" w:ascii="宋体" w:hAnsi="宋体" w:cs="宋体"/>
          <w:color w:val="auto"/>
          <w:highlight w:val="none"/>
        </w:rPr>
      </w:pPr>
      <w:r>
        <w:rPr>
          <w:rFonts w:hint="eastAsia" w:ascii="宋体" w:hAnsi="宋体" w:cs="宋体"/>
          <w:color w:val="auto"/>
          <w:highlight w:val="none"/>
        </w:rPr>
        <w:t>7.</w:t>
      </w:r>
      <w:r>
        <w:rPr>
          <w:rFonts w:hint="eastAsia" w:ascii="宋体" w:hAnsi="宋体" w:cs="宋体"/>
          <w:color w:val="auto"/>
          <w:highlight w:val="none"/>
          <w:lang w:val="en-US" w:eastAsia="zh-CN"/>
        </w:rPr>
        <w:t>9</w:t>
      </w:r>
      <w:r>
        <w:rPr>
          <w:rFonts w:hint="eastAsia" w:ascii="宋体" w:hAnsi="宋体" w:cs="宋体"/>
          <w:color w:val="auto"/>
          <w:highlight w:val="none"/>
        </w:rPr>
        <w:t>.4</w:t>
      </w:r>
      <w:r>
        <w:rPr>
          <w:rFonts w:hint="eastAsia" w:ascii="宋体" w:hAnsi="宋体" w:cs="宋体"/>
          <w:color w:val="auto"/>
          <w:highlight w:val="none"/>
          <w:lang w:val="en-US" w:eastAsia="zh-CN"/>
        </w:rPr>
        <w:t xml:space="preserve"> </w:t>
      </w:r>
      <w:r>
        <w:rPr>
          <w:rFonts w:hint="eastAsia" w:ascii="宋体" w:hAnsi="宋体" w:cs="宋体"/>
          <w:color w:val="auto"/>
          <w:highlight w:val="none"/>
        </w:rPr>
        <w:t>联合体中标的，联合体各方应共同与招标人签订合同，就中标项目向招标人承担连带责任。</w:t>
      </w:r>
    </w:p>
    <w:p w14:paraId="1259B2B1">
      <w:pPr>
        <w:pStyle w:val="25"/>
        <w:pageBreakBefore w:val="0"/>
        <w:widowControl w:val="0"/>
        <w:kinsoku/>
        <w:wordWrap/>
        <w:overflowPunct/>
        <w:topLinePunct w:val="0"/>
        <w:autoSpaceDE w:val="0"/>
        <w:autoSpaceDN w:val="0"/>
        <w:bidi w:val="0"/>
        <w:adjustRightInd w:val="0"/>
        <w:snapToGrid/>
        <w:spacing w:line="460" w:lineRule="exact"/>
        <w:ind w:firstLine="480" w:firstLineChars="200"/>
        <w:textAlignment w:val="auto"/>
        <w:rPr>
          <w:rFonts w:hint="eastAsia" w:ascii="宋体" w:hAnsi="宋体" w:cs="宋体"/>
          <w:color w:val="auto"/>
          <w:highlight w:val="none"/>
        </w:rPr>
      </w:pPr>
      <w:r>
        <w:rPr>
          <w:rFonts w:hint="eastAsia" w:ascii="宋体" w:hAnsi="宋体" w:cs="宋体"/>
          <w:color w:val="auto"/>
          <w:highlight w:val="none"/>
        </w:rPr>
        <w:t>7.</w:t>
      </w:r>
      <w:r>
        <w:rPr>
          <w:rFonts w:hint="eastAsia" w:ascii="宋体" w:hAnsi="宋体" w:cs="宋体"/>
          <w:color w:val="auto"/>
          <w:highlight w:val="none"/>
          <w:lang w:val="en-US" w:eastAsia="zh-CN"/>
        </w:rPr>
        <w:t>9</w:t>
      </w:r>
      <w:r>
        <w:rPr>
          <w:rFonts w:hint="eastAsia" w:ascii="宋体" w:hAnsi="宋体" w:cs="宋体"/>
          <w:color w:val="auto"/>
          <w:highlight w:val="none"/>
        </w:rPr>
        <w:t>.5</w:t>
      </w:r>
      <w:r>
        <w:rPr>
          <w:rFonts w:hint="eastAsia" w:ascii="宋体" w:hAnsi="宋体" w:cs="宋体"/>
          <w:color w:val="auto"/>
          <w:highlight w:val="none"/>
          <w:lang w:val="en-US" w:eastAsia="zh-CN"/>
        </w:rPr>
        <w:t xml:space="preserve"> </w:t>
      </w:r>
      <w:r>
        <w:rPr>
          <w:rFonts w:hint="eastAsia" w:ascii="宋体" w:hAnsi="宋体" w:cs="宋体"/>
          <w:color w:val="auto"/>
          <w:highlight w:val="none"/>
        </w:rPr>
        <w:t>招标人和中标人在签订合同协议书的同时，需按照本招标文件规定的格式和要求签订廉政合同及安全生产合同，明确双方在廉政建设和安全生产方面的权利和义务以及应承担的违约责任。</w:t>
      </w:r>
    </w:p>
    <w:p w14:paraId="34453903">
      <w:pPr>
        <w:pStyle w:val="23"/>
        <w:pageBreakBefore w:val="0"/>
        <w:widowControl w:val="0"/>
        <w:numPr>
          <w:ilvl w:val="0"/>
          <w:numId w:val="0"/>
        </w:numPr>
        <w:kinsoku/>
        <w:wordWrap/>
        <w:overflowPunct/>
        <w:topLinePunct w:val="0"/>
        <w:autoSpaceDE w:val="0"/>
        <w:autoSpaceDN w:val="0"/>
        <w:bidi w:val="0"/>
        <w:adjustRightInd w:val="0"/>
        <w:snapToGrid/>
        <w:spacing w:before="0" w:beforeLines="0" w:after="0" w:afterLines="0" w:line="460" w:lineRule="exact"/>
        <w:ind w:left="0" w:leftChars="0" w:firstLine="0" w:firstLineChars="0"/>
        <w:textAlignment w:val="auto"/>
        <w:rPr>
          <w:rFonts w:hint="eastAsia" w:ascii="宋体" w:hAnsi="宋体" w:eastAsia="宋体" w:cs="宋体"/>
          <w:color w:val="auto"/>
          <w:highlight w:val="none"/>
        </w:rPr>
      </w:pPr>
      <w:bookmarkStart w:id="205" w:name="_Toc6517"/>
      <w:bookmarkStart w:id="206" w:name="_Toc1683"/>
      <w:bookmarkStart w:id="207" w:name="_Toc32608"/>
      <w:bookmarkStart w:id="208" w:name="_Toc17395"/>
      <w:r>
        <w:rPr>
          <w:rFonts w:hint="eastAsia" w:ascii="宋体" w:hAnsi="宋体" w:eastAsia="宋体" w:cs="宋体"/>
          <w:b/>
          <w:bCs/>
          <w:color w:val="auto"/>
          <w:kern w:val="0"/>
          <w:sz w:val="24"/>
          <w:szCs w:val="24"/>
          <w:highlight w:val="none"/>
          <w:lang w:val="en-US" w:eastAsia="zh-CN" w:bidi="ar-SA"/>
        </w:rPr>
        <w:t>8.</w:t>
      </w:r>
      <w:r>
        <w:rPr>
          <w:rFonts w:hint="eastAsia" w:ascii="宋体" w:hAnsi="宋体" w:eastAsia="宋体" w:cs="宋体"/>
          <w:color w:val="auto"/>
          <w:highlight w:val="none"/>
        </w:rPr>
        <w:t>纪律和监督</w:t>
      </w:r>
      <w:bookmarkEnd w:id="205"/>
      <w:bookmarkEnd w:id="206"/>
      <w:bookmarkEnd w:id="207"/>
      <w:bookmarkEnd w:id="208"/>
    </w:p>
    <w:p w14:paraId="0E117F37">
      <w:pPr>
        <w:pStyle w:val="24"/>
        <w:pageBreakBefore w:val="0"/>
        <w:widowControl w:val="0"/>
        <w:numPr>
          <w:ilvl w:val="0"/>
          <w:numId w:val="0"/>
        </w:numPr>
        <w:kinsoku/>
        <w:wordWrap/>
        <w:overflowPunct/>
        <w:topLinePunct w:val="0"/>
        <w:autoSpaceDE w:val="0"/>
        <w:autoSpaceDN w:val="0"/>
        <w:bidi w:val="0"/>
        <w:adjustRightInd w:val="0"/>
        <w:snapToGrid/>
        <w:spacing w:line="460" w:lineRule="exact"/>
        <w:textAlignment w:val="auto"/>
        <w:rPr>
          <w:rFonts w:hint="eastAsia" w:ascii="宋体" w:hAnsi="宋体" w:cs="宋体"/>
          <w:color w:val="auto"/>
          <w:highlight w:val="none"/>
        </w:rPr>
      </w:pPr>
      <w:bookmarkStart w:id="209" w:name="_Toc11026"/>
      <w:bookmarkStart w:id="210" w:name="_Toc19942"/>
      <w:bookmarkStart w:id="211" w:name="_Toc18388"/>
      <w:r>
        <w:rPr>
          <w:rFonts w:hint="eastAsia" w:ascii="宋体" w:hAnsi="宋体" w:cs="宋体"/>
          <w:color w:val="auto"/>
          <w:highlight w:val="none"/>
        </w:rPr>
        <w:t>8.1 对招标人的纪律要求</w:t>
      </w:r>
      <w:bookmarkEnd w:id="209"/>
      <w:bookmarkEnd w:id="210"/>
      <w:bookmarkEnd w:id="211"/>
    </w:p>
    <w:p w14:paraId="6AFA99F7">
      <w:pPr>
        <w:pStyle w:val="20"/>
        <w:pageBreakBefore w:val="0"/>
        <w:widowControl w:val="0"/>
        <w:kinsoku/>
        <w:wordWrap/>
        <w:overflowPunct/>
        <w:topLinePunct w:val="0"/>
        <w:autoSpaceDE w:val="0"/>
        <w:autoSpaceDN w:val="0"/>
        <w:bidi w:val="0"/>
        <w:adjustRightInd w:val="0"/>
        <w:snapToGrid/>
        <w:spacing w:line="460" w:lineRule="exact"/>
        <w:textAlignment w:val="auto"/>
        <w:rPr>
          <w:rFonts w:hint="eastAsia" w:ascii="宋体" w:hAnsi="宋体" w:cs="宋体"/>
          <w:color w:val="auto"/>
          <w:highlight w:val="none"/>
        </w:rPr>
      </w:pPr>
      <w:r>
        <w:rPr>
          <w:rFonts w:hint="eastAsia" w:ascii="宋体" w:hAnsi="宋体" w:cs="宋体"/>
          <w:color w:val="auto"/>
          <w:highlight w:val="none"/>
        </w:rPr>
        <w:t>招标人不得泄露招标投标活动中应保密的情况和资料，不得与投标人串通损害国家利益、社会公共利益或他人合法权益。</w:t>
      </w:r>
    </w:p>
    <w:p w14:paraId="71FE587E">
      <w:pPr>
        <w:pStyle w:val="24"/>
        <w:pageBreakBefore w:val="0"/>
        <w:widowControl w:val="0"/>
        <w:numPr>
          <w:ilvl w:val="0"/>
          <w:numId w:val="0"/>
        </w:numPr>
        <w:kinsoku/>
        <w:wordWrap/>
        <w:overflowPunct/>
        <w:topLinePunct w:val="0"/>
        <w:autoSpaceDE w:val="0"/>
        <w:autoSpaceDN w:val="0"/>
        <w:bidi w:val="0"/>
        <w:adjustRightInd w:val="0"/>
        <w:snapToGrid/>
        <w:spacing w:line="460" w:lineRule="exact"/>
        <w:textAlignment w:val="auto"/>
        <w:rPr>
          <w:rFonts w:hint="eastAsia" w:ascii="宋体" w:hAnsi="宋体" w:cs="宋体"/>
          <w:color w:val="auto"/>
          <w:highlight w:val="none"/>
        </w:rPr>
      </w:pPr>
      <w:bookmarkStart w:id="212" w:name="_Toc19821"/>
      <w:bookmarkStart w:id="213" w:name="_Toc7432"/>
      <w:bookmarkStart w:id="214" w:name="_Toc11030"/>
      <w:r>
        <w:rPr>
          <w:rFonts w:hint="eastAsia" w:ascii="宋体" w:hAnsi="宋体" w:cs="宋体"/>
          <w:color w:val="auto"/>
          <w:highlight w:val="none"/>
        </w:rPr>
        <w:t>8.2 对投标人的纪律要求</w:t>
      </w:r>
      <w:bookmarkEnd w:id="212"/>
      <w:bookmarkEnd w:id="213"/>
      <w:bookmarkEnd w:id="214"/>
    </w:p>
    <w:p w14:paraId="7B8439C0">
      <w:pPr>
        <w:pStyle w:val="20"/>
        <w:pageBreakBefore w:val="0"/>
        <w:widowControl w:val="0"/>
        <w:kinsoku/>
        <w:wordWrap/>
        <w:overflowPunct/>
        <w:topLinePunct w:val="0"/>
        <w:autoSpaceDE w:val="0"/>
        <w:autoSpaceDN w:val="0"/>
        <w:bidi w:val="0"/>
        <w:adjustRightInd w:val="0"/>
        <w:snapToGrid/>
        <w:spacing w:line="460" w:lineRule="exact"/>
        <w:textAlignment w:val="auto"/>
        <w:rPr>
          <w:rFonts w:hint="eastAsia" w:ascii="宋体" w:hAnsi="宋体" w:cs="宋体"/>
          <w:color w:val="auto"/>
          <w:highlight w:val="none"/>
        </w:rPr>
      </w:pPr>
      <w:r>
        <w:rPr>
          <w:rFonts w:hint="eastAsia" w:ascii="宋体" w:hAnsi="宋体" w:cs="宋体"/>
          <w:color w:val="auto"/>
          <w:highlight w:val="none"/>
        </w:rPr>
        <w:t>投标人不得相互串通投标或与招标人串通投标，不得向招标人或评标委员会成员行贿谋取中标，不得以他人名义投标或以其他方式弄虚作假骗取中标；投标人不得以任何方式干扰、影响评标工作。</w:t>
      </w:r>
    </w:p>
    <w:p w14:paraId="3B598EE3">
      <w:pPr>
        <w:pStyle w:val="24"/>
        <w:pageBreakBefore w:val="0"/>
        <w:widowControl w:val="0"/>
        <w:numPr>
          <w:ilvl w:val="0"/>
          <w:numId w:val="0"/>
        </w:numPr>
        <w:kinsoku/>
        <w:wordWrap/>
        <w:overflowPunct/>
        <w:topLinePunct w:val="0"/>
        <w:autoSpaceDE w:val="0"/>
        <w:autoSpaceDN w:val="0"/>
        <w:bidi w:val="0"/>
        <w:adjustRightInd w:val="0"/>
        <w:snapToGrid/>
        <w:spacing w:line="460" w:lineRule="exact"/>
        <w:textAlignment w:val="auto"/>
        <w:rPr>
          <w:rFonts w:hint="eastAsia" w:ascii="宋体" w:hAnsi="宋体" w:cs="宋体"/>
          <w:color w:val="auto"/>
          <w:highlight w:val="none"/>
        </w:rPr>
      </w:pPr>
      <w:bookmarkStart w:id="215" w:name="_Toc13111"/>
      <w:bookmarkStart w:id="216" w:name="_Toc15026"/>
      <w:bookmarkStart w:id="217" w:name="_Toc23985"/>
      <w:r>
        <w:rPr>
          <w:rFonts w:hint="eastAsia" w:ascii="宋体" w:hAnsi="宋体" w:cs="宋体"/>
          <w:color w:val="auto"/>
          <w:highlight w:val="none"/>
        </w:rPr>
        <w:t>8.3 对评标委员会成员的纪律要求</w:t>
      </w:r>
      <w:bookmarkEnd w:id="215"/>
      <w:bookmarkEnd w:id="216"/>
      <w:bookmarkEnd w:id="217"/>
    </w:p>
    <w:p w14:paraId="7635747F">
      <w:pPr>
        <w:pStyle w:val="20"/>
        <w:pageBreakBefore w:val="0"/>
        <w:kinsoku/>
        <w:wordWrap/>
        <w:overflowPunct/>
        <w:topLinePunct w:val="0"/>
        <w:bidi w:val="0"/>
        <w:spacing w:line="500" w:lineRule="exact"/>
        <w:textAlignment w:val="auto"/>
        <w:rPr>
          <w:rFonts w:hint="eastAsia" w:ascii="宋体" w:hAnsi="宋体" w:cs="宋体"/>
          <w:color w:val="auto"/>
          <w:highlight w:val="none"/>
        </w:rPr>
      </w:pPr>
      <w:r>
        <w:rPr>
          <w:rFonts w:hint="eastAsia" w:ascii="宋体" w:hAnsi="宋体" w:cs="宋体"/>
          <w:color w:val="auto"/>
          <w:highlight w:val="none"/>
        </w:rPr>
        <w:t>评标委员会成员不得收受他人的财物或其他好处，不得向他人透露对投标文件的评审和比较、</w:t>
      </w:r>
      <w:r>
        <w:rPr>
          <w:rFonts w:hint="eastAsia" w:ascii="宋体" w:hAnsi="宋体" w:cs="宋体"/>
          <w:color w:val="auto"/>
          <w:highlight w:val="none"/>
          <w:lang w:val="en-US" w:eastAsia="zh-CN"/>
        </w:rPr>
        <w:t>定标</w:t>
      </w:r>
      <w:r>
        <w:rPr>
          <w:rFonts w:hint="eastAsia" w:ascii="宋体" w:hAnsi="宋体" w:cs="宋体"/>
          <w:color w:val="auto"/>
          <w:highlight w:val="none"/>
        </w:rPr>
        <w:t>候选人的推荐情况以及评标有关的其他情况。在评标活动中，评标委员会成员应客观、公正地履行职责，遵守职业道德，不得擅离职守，影响评标程序正常进行，不得使用第三章“评标办法”没有规定的评审因素和标准进行评标。</w:t>
      </w:r>
    </w:p>
    <w:p w14:paraId="73E54CAD">
      <w:pPr>
        <w:pStyle w:val="24"/>
        <w:pageBreakBefore w:val="0"/>
        <w:numPr>
          <w:ilvl w:val="0"/>
          <w:numId w:val="0"/>
        </w:numPr>
        <w:kinsoku/>
        <w:wordWrap/>
        <w:overflowPunct/>
        <w:topLinePunct w:val="0"/>
        <w:bidi w:val="0"/>
        <w:spacing w:line="500" w:lineRule="exact"/>
        <w:textAlignment w:val="auto"/>
        <w:rPr>
          <w:rFonts w:hint="eastAsia" w:ascii="宋体" w:hAnsi="宋体" w:cs="宋体"/>
          <w:color w:val="auto"/>
          <w:highlight w:val="none"/>
        </w:rPr>
      </w:pPr>
      <w:bookmarkStart w:id="218" w:name="_Toc25593"/>
      <w:bookmarkStart w:id="219" w:name="_Toc20211"/>
      <w:bookmarkStart w:id="220" w:name="_Toc31858"/>
      <w:r>
        <w:rPr>
          <w:rFonts w:hint="eastAsia" w:ascii="宋体" w:hAnsi="宋体" w:cs="宋体"/>
          <w:color w:val="auto"/>
          <w:highlight w:val="none"/>
        </w:rPr>
        <w:t>8.</w:t>
      </w:r>
      <w:r>
        <w:rPr>
          <w:rFonts w:hint="eastAsia" w:ascii="宋体" w:hAnsi="宋体" w:cs="宋体"/>
          <w:color w:val="auto"/>
          <w:highlight w:val="none"/>
          <w:lang w:val="en-US" w:eastAsia="zh-CN"/>
        </w:rPr>
        <w:t>4</w:t>
      </w:r>
      <w:r>
        <w:rPr>
          <w:rFonts w:hint="eastAsia" w:ascii="宋体" w:hAnsi="宋体" w:cs="宋体"/>
          <w:color w:val="auto"/>
          <w:highlight w:val="none"/>
        </w:rPr>
        <w:t xml:space="preserve"> 对与评标活动有关的工作人员的纪律要求</w:t>
      </w:r>
      <w:bookmarkEnd w:id="218"/>
      <w:bookmarkEnd w:id="219"/>
      <w:bookmarkEnd w:id="220"/>
    </w:p>
    <w:p w14:paraId="4BFA0A71">
      <w:pPr>
        <w:pStyle w:val="20"/>
        <w:pageBreakBefore w:val="0"/>
        <w:kinsoku/>
        <w:wordWrap/>
        <w:overflowPunct/>
        <w:topLinePunct w:val="0"/>
        <w:bidi w:val="0"/>
        <w:spacing w:line="500" w:lineRule="exact"/>
        <w:textAlignment w:val="auto"/>
        <w:rPr>
          <w:rFonts w:hint="eastAsia" w:ascii="宋体" w:hAnsi="宋体" w:cs="宋体"/>
          <w:color w:val="auto"/>
          <w:highlight w:val="none"/>
        </w:rPr>
      </w:pPr>
      <w:r>
        <w:rPr>
          <w:rFonts w:hint="eastAsia" w:ascii="宋体" w:hAnsi="宋体" w:cs="宋体"/>
          <w:color w:val="auto"/>
          <w:highlight w:val="none"/>
        </w:rPr>
        <w:t>与评标活动有关的工作人员不得收受他人的财物或其他好处，不得向他人透露对投标文件的评审和比较、中标候选人的推荐情况以及评标有关的其他情况。在评标活动中，与评标活动有关的工作人员不得擅离职守，影响评标程序正常进行。</w:t>
      </w:r>
    </w:p>
    <w:p w14:paraId="24AB372D">
      <w:pPr>
        <w:pStyle w:val="20"/>
        <w:pageBreakBefore w:val="0"/>
        <w:kinsoku/>
        <w:wordWrap/>
        <w:overflowPunct/>
        <w:topLinePunct w:val="0"/>
        <w:bidi w:val="0"/>
        <w:spacing w:line="500" w:lineRule="exact"/>
        <w:ind w:left="0" w:leftChars="0" w:firstLine="0" w:firstLineChars="0"/>
        <w:textAlignment w:val="auto"/>
        <w:rPr>
          <w:rFonts w:hint="eastAsia" w:ascii="宋体" w:hAnsi="宋体" w:cs="宋体"/>
          <w:b/>
          <w:bCs/>
          <w:color w:val="auto"/>
          <w:highlight w:val="none"/>
        </w:rPr>
      </w:pPr>
      <w:r>
        <w:rPr>
          <w:rFonts w:hint="eastAsia" w:ascii="宋体" w:hAnsi="宋体" w:cs="宋体"/>
          <w:b/>
          <w:bCs/>
          <w:color w:val="auto"/>
          <w:highlight w:val="none"/>
          <w:lang w:val="en-US" w:eastAsia="zh-CN"/>
        </w:rPr>
        <w:t xml:space="preserve">8.5 </w:t>
      </w:r>
      <w:r>
        <w:rPr>
          <w:rFonts w:hint="eastAsia" w:ascii="宋体" w:hAnsi="宋体" w:cs="宋体"/>
          <w:b/>
          <w:bCs/>
          <w:color w:val="auto"/>
          <w:highlight w:val="none"/>
        </w:rPr>
        <w:t>对</w:t>
      </w:r>
      <w:r>
        <w:rPr>
          <w:rFonts w:hint="eastAsia" w:ascii="宋体" w:hAnsi="宋体" w:cs="宋体"/>
          <w:b/>
          <w:bCs/>
          <w:color w:val="auto"/>
          <w:highlight w:val="none"/>
          <w:lang w:val="en-US" w:eastAsia="zh-CN"/>
        </w:rPr>
        <w:t>定标</w:t>
      </w:r>
      <w:r>
        <w:rPr>
          <w:rFonts w:hint="eastAsia" w:ascii="宋体" w:hAnsi="宋体" w:cs="宋体"/>
          <w:b/>
          <w:bCs/>
          <w:color w:val="auto"/>
          <w:highlight w:val="none"/>
        </w:rPr>
        <w:t>委员会成员的纪律要求</w:t>
      </w:r>
    </w:p>
    <w:p w14:paraId="047BF912">
      <w:pPr>
        <w:pStyle w:val="25"/>
        <w:pageBreakBefore w:val="0"/>
        <w:kinsoku/>
        <w:wordWrap/>
        <w:overflowPunct/>
        <w:topLinePunct w:val="0"/>
        <w:bidi w:val="0"/>
        <w:spacing w:line="500" w:lineRule="exact"/>
        <w:ind w:firstLine="480" w:firstLineChars="200"/>
        <w:textAlignment w:val="auto"/>
        <w:rPr>
          <w:rFonts w:hint="eastAsia" w:ascii="宋体" w:hAnsi="宋体" w:cs="宋体"/>
          <w:strike w:val="0"/>
          <w:dstrike w:val="0"/>
          <w:color w:val="auto"/>
          <w:highlight w:val="none"/>
        </w:rPr>
      </w:pPr>
      <w:r>
        <w:rPr>
          <w:rFonts w:hint="eastAsia" w:ascii="宋体" w:hAnsi="宋体" w:cs="宋体"/>
          <w:strike w:val="0"/>
          <w:dstrike w:val="0"/>
          <w:color w:val="auto"/>
          <w:highlight w:val="none"/>
          <w:lang w:val="en-US" w:eastAsia="zh-CN"/>
        </w:rPr>
        <w:t xml:space="preserve">8.5.1 </w:t>
      </w:r>
      <w:r>
        <w:rPr>
          <w:rFonts w:hint="eastAsia" w:ascii="宋体" w:hAnsi="宋体" w:cs="宋体"/>
          <w:strike w:val="0"/>
          <w:dstrike w:val="0"/>
          <w:color w:val="auto"/>
          <w:highlight w:val="none"/>
        </w:rPr>
        <w:t>定标委员会成员不得与任何定标候选人或者与招标结果有利害关系的人进行私下接触，不得收受定标候选人、中介人、其他利害关系人的财物或者其他好处，不得向招标人征询其确定中标候选人的意向。</w:t>
      </w:r>
    </w:p>
    <w:p w14:paraId="3CF41058">
      <w:pPr>
        <w:pStyle w:val="20"/>
        <w:pageBreakBefore w:val="0"/>
        <w:kinsoku/>
        <w:wordWrap/>
        <w:overflowPunct/>
        <w:topLinePunct w:val="0"/>
        <w:bidi w:val="0"/>
        <w:spacing w:line="500" w:lineRule="exact"/>
        <w:textAlignment w:val="auto"/>
        <w:rPr>
          <w:rFonts w:hint="eastAsia" w:ascii="宋体" w:hAnsi="宋体" w:cs="宋体"/>
          <w:strike w:val="0"/>
          <w:dstrike w:val="0"/>
          <w:color w:val="auto"/>
          <w:highlight w:val="none"/>
        </w:rPr>
      </w:pPr>
      <w:r>
        <w:rPr>
          <w:rFonts w:hint="eastAsia" w:ascii="宋体" w:hAnsi="宋体" w:cs="宋体"/>
          <w:color w:val="auto"/>
          <w:highlight w:val="none"/>
          <w:lang w:val="en-US" w:eastAsia="zh-CN"/>
        </w:rPr>
        <w:t xml:space="preserve">8.5.2 </w:t>
      </w:r>
      <w:r>
        <w:rPr>
          <w:rFonts w:hint="eastAsia" w:ascii="宋体" w:hAnsi="宋体" w:cs="宋体"/>
          <w:color w:val="auto"/>
          <w:highlight w:val="none"/>
        </w:rPr>
        <w:t>在</w:t>
      </w:r>
      <w:r>
        <w:rPr>
          <w:rFonts w:hint="eastAsia" w:ascii="宋体" w:hAnsi="宋体" w:cs="宋体"/>
          <w:color w:val="auto"/>
          <w:highlight w:val="none"/>
          <w:lang w:val="en-US" w:eastAsia="zh-CN"/>
        </w:rPr>
        <w:t>定标</w:t>
      </w:r>
      <w:r>
        <w:rPr>
          <w:rFonts w:hint="eastAsia" w:ascii="宋体" w:hAnsi="宋体" w:cs="宋体"/>
          <w:color w:val="auto"/>
          <w:highlight w:val="none"/>
        </w:rPr>
        <w:t>活动中，</w:t>
      </w:r>
      <w:r>
        <w:rPr>
          <w:rFonts w:hint="eastAsia" w:ascii="宋体" w:hAnsi="宋体" w:cs="宋体"/>
          <w:strike w:val="0"/>
          <w:dstrike w:val="0"/>
          <w:color w:val="auto"/>
          <w:highlight w:val="none"/>
        </w:rPr>
        <w:t>定标委员会成员应客观、公正地履行定标职责，</w:t>
      </w:r>
      <w:r>
        <w:rPr>
          <w:rFonts w:hint="eastAsia" w:ascii="宋体" w:hAnsi="宋体" w:cs="宋体"/>
          <w:color w:val="auto"/>
          <w:highlight w:val="none"/>
        </w:rPr>
        <w:t>不得擅离职守，影响评标程序正常进行，不得使用</w:t>
      </w:r>
      <w:r>
        <w:rPr>
          <w:rFonts w:hint="eastAsia" w:ascii="宋体" w:hAnsi="宋体" w:cs="宋体"/>
          <w:color w:val="auto"/>
          <w:highlight w:val="none"/>
          <w:lang w:val="en-US" w:eastAsia="zh-CN"/>
        </w:rPr>
        <w:t>定标办法</w:t>
      </w:r>
      <w:r>
        <w:rPr>
          <w:rFonts w:hint="eastAsia" w:ascii="宋体" w:hAnsi="宋体" w:cs="宋体"/>
          <w:color w:val="auto"/>
          <w:highlight w:val="none"/>
        </w:rPr>
        <w:t>没有规定的</w:t>
      </w:r>
      <w:r>
        <w:rPr>
          <w:rFonts w:hint="eastAsia" w:ascii="宋体" w:hAnsi="宋体" w:cs="宋体"/>
          <w:color w:val="auto"/>
          <w:highlight w:val="none"/>
          <w:lang w:val="en-US" w:eastAsia="zh-CN"/>
        </w:rPr>
        <w:t>定标</w:t>
      </w:r>
      <w:r>
        <w:rPr>
          <w:rFonts w:hint="eastAsia" w:ascii="宋体" w:hAnsi="宋体" w:cs="宋体"/>
          <w:color w:val="auto"/>
          <w:highlight w:val="none"/>
        </w:rPr>
        <w:t>因素和标准进行</w:t>
      </w:r>
      <w:r>
        <w:rPr>
          <w:rFonts w:hint="eastAsia" w:ascii="宋体" w:hAnsi="宋体" w:cs="宋体"/>
          <w:color w:val="auto"/>
          <w:highlight w:val="none"/>
          <w:lang w:val="en-US" w:eastAsia="zh-CN"/>
        </w:rPr>
        <w:t>定标</w:t>
      </w:r>
      <w:r>
        <w:rPr>
          <w:rFonts w:hint="eastAsia" w:ascii="宋体" w:hAnsi="宋体" w:cs="宋体"/>
          <w:color w:val="auto"/>
          <w:highlight w:val="none"/>
        </w:rPr>
        <w:t>。</w:t>
      </w:r>
      <w:r>
        <w:rPr>
          <w:rFonts w:hint="eastAsia" w:ascii="宋体" w:hAnsi="宋体" w:cs="宋体"/>
          <w:strike w:val="0"/>
          <w:dstrike w:val="0"/>
          <w:color w:val="auto"/>
          <w:highlight w:val="none"/>
        </w:rPr>
        <w:t>在未公示中标结果前，对定标过程和结果严格保密，对所提出的定标意见承担个人责任。</w:t>
      </w:r>
    </w:p>
    <w:p w14:paraId="00C6F1FF">
      <w:pPr>
        <w:pStyle w:val="20"/>
        <w:pageBreakBefore w:val="0"/>
        <w:kinsoku/>
        <w:wordWrap/>
        <w:overflowPunct/>
        <w:topLinePunct w:val="0"/>
        <w:bidi w:val="0"/>
        <w:spacing w:line="500" w:lineRule="exact"/>
        <w:ind w:left="0" w:leftChars="0" w:firstLine="0" w:firstLineChars="0"/>
        <w:textAlignment w:val="auto"/>
        <w:rPr>
          <w:rFonts w:hint="eastAsia" w:ascii="宋体" w:hAnsi="宋体" w:cs="宋体"/>
          <w:b/>
          <w:bCs/>
          <w:color w:val="auto"/>
          <w:highlight w:val="none"/>
        </w:rPr>
      </w:pPr>
      <w:r>
        <w:rPr>
          <w:rFonts w:hint="eastAsia" w:ascii="宋体" w:hAnsi="宋体" w:cs="宋体"/>
          <w:b/>
          <w:bCs/>
          <w:color w:val="auto"/>
          <w:highlight w:val="none"/>
          <w:lang w:val="en-US" w:eastAsia="zh-CN"/>
        </w:rPr>
        <w:t xml:space="preserve">8.6 </w:t>
      </w:r>
      <w:r>
        <w:rPr>
          <w:rFonts w:hint="eastAsia" w:ascii="宋体" w:hAnsi="宋体" w:cs="宋体"/>
          <w:b/>
          <w:bCs/>
          <w:color w:val="auto"/>
          <w:highlight w:val="none"/>
        </w:rPr>
        <w:t>对招标监督小组的纪律要求</w:t>
      </w:r>
    </w:p>
    <w:p w14:paraId="053B50A1">
      <w:pPr>
        <w:pStyle w:val="20"/>
        <w:pageBreakBefore w:val="0"/>
        <w:kinsoku/>
        <w:wordWrap/>
        <w:overflowPunct/>
        <w:topLinePunct w:val="0"/>
        <w:bidi w:val="0"/>
        <w:spacing w:line="500" w:lineRule="exact"/>
        <w:ind w:left="0" w:leftChars="0" w:firstLine="480" w:firstLineChars="200"/>
        <w:textAlignment w:val="auto"/>
        <w:rPr>
          <w:rFonts w:hint="eastAsia"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8.6.1 招标监督小组的职责是对定标委员会的组建、定标过程及招标人在定标前的清标环节（如有）和对定标候选人的考察等进行全程监督，确保定标过程公平、公正。发现异常情况及时提醒、进行纠正，但不得就定标涉及的实质内容发表意见或者参与定标讨论。</w:t>
      </w:r>
    </w:p>
    <w:p w14:paraId="154A799F">
      <w:pPr>
        <w:pStyle w:val="20"/>
        <w:pageBreakBefore w:val="0"/>
        <w:kinsoku/>
        <w:wordWrap/>
        <w:overflowPunct/>
        <w:topLinePunct w:val="0"/>
        <w:bidi w:val="0"/>
        <w:spacing w:line="500" w:lineRule="exact"/>
        <w:textAlignment w:val="auto"/>
        <w:rPr>
          <w:rFonts w:hint="eastAsia"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8.6.2 同一人不得同时担任定标委员会成员和招标监督小组成员中的两个角色。</w:t>
      </w:r>
    </w:p>
    <w:p w14:paraId="589414A3">
      <w:pPr>
        <w:pStyle w:val="20"/>
        <w:pageBreakBefore w:val="0"/>
        <w:kinsoku/>
        <w:wordWrap/>
        <w:overflowPunct/>
        <w:topLinePunct w:val="0"/>
        <w:bidi w:val="0"/>
        <w:spacing w:line="500" w:lineRule="exact"/>
        <w:textAlignment w:val="auto"/>
        <w:rPr>
          <w:rFonts w:hint="default" w:ascii="宋体" w:hAnsi="宋体" w:cs="宋体"/>
          <w:color w:val="auto"/>
          <w:kern w:val="0"/>
          <w:sz w:val="24"/>
          <w:highlight w:val="none"/>
          <w:lang w:val="en-US" w:eastAsia="zh-CN"/>
        </w:rPr>
      </w:pPr>
      <w:r>
        <w:rPr>
          <w:rFonts w:hint="eastAsia" w:ascii="宋体" w:hAnsi="宋体" w:cs="宋体"/>
          <w:color w:val="auto"/>
          <w:highlight w:val="none"/>
          <w:lang w:val="en-US" w:eastAsia="zh-CN"/>
        </w:rPr>
        <w:t>8.6.3 监督小组</w:t>
      </w:r>
      <w:r>
        <w:rPr>
          <w:rFonts w:hint="eastAsia" w:ascii="宋体" w:hAnsi="宋体" w:cs="宋体"/>
          <w:color w:val="auto"/>
          <w:highlight w:val="none"/>
        </w:rPr>
        <w:t>成员不得收受他人的财物或其他好处，不得向他人透露</w:t>
      </w:r>
      <w:r>
        <w:rPr>
          <w:rFonts w:hint="eastAsia" w:ascii="宋体" w:hAnsi="宋体" w:cs="宋体"/>
          <w:color w:val="auto"/>
          <w:highlight w:val="none"/>
          <w:lang w:val="en-US" w:eastAsia="zh-CN"/>
        </w:rPr>
        <w:t>监督过程中的任何</w:t>
      </w:r>
      <w:r>
        <w:rPr>
          <w:rFonts w:hint="eastAsia" w:ascii="宋体" w:hAnsi="宋体" w:cs="宋体"/>
          <w:color w:val="auto"/>
          <w:highlight w:val="none"/>
        </w:rPr>
        <w:t>情况。在</w:t>
      </w:r>
      <w:r>
        <w:rPr>
          <w:rFonts w:hint="eastAsia" w:ascii="宋体" w:hAnsi="宋体" w:cs="宋体"/>
          <w:strike w:val="0"/>
          <w:dstrike w:val="0"/>
          <w:color w:val="auto"/>
          <w:highlight w:val="none"/>
        </w:rPr>
        <w:t>未公示中标结果前，对定标过程和结果严格保密</w:t>
      </w:r>
      <w:r>
        <w:rPr>
          <w:rFonts w:hint="eastAsia" w:ascii="宋体" w:hAnsi="宋体" w:cs="宋体"/>
          <w:color w:val="auto"/>
          <w:highlight w:val="none"/>
        </w:rPr>
        <w:t>。</w:t>
      </w:r>
    </w:p>
    <w:p w14:paraId="05AC4062">
      <w:pPr>
        <w:pStyle w:val="24"/>
        <w:pageBreakBefore w:val="0"/>
        <w:numPr>
          <w:ilvl w:val="0"/>
          <w:numId w:val="0"/>
        </w:numPr>
        <w:kinsoku/>
        <w:wordWrap/>
        <w:overflowPunct/>
        <w:topLinePunct w:val="0"/>
        <w:bidi w:val="0"/>
        <w:spacing w:line="500" w:lineRule="exact"/>
        <w:textAlignment w:val="auto"/>
        <w:rPr>
          <w:rFonts w:hint="eastAsia" w:ascii="宋体" w:hAnsi="宋体" w:cs="宋体"/>
          <w:color w:val="auto"/>
          <w:highlight w:val="none"/>
        </w:rPr>
      </w:pPr>
      <w:bookmarkStart w:id="221" w:name="_Toc4417"/>
      <w:bookmarkStart w:id="222" w:name="_Toc24359"/>
      <w:bookmarkStart w:id="223" w:name="_Toc22887"/>
      <w:r>
        <w:rPr>
          <w:rFonts w:hint="eastAsia" w:ascii="宋体" w:hAnsi="宋体" w:cs="宋体"/>
          <w:color w:val="auto"/>
          <w:highlight w:val="none"/>
        </w:rPr>
        <w:t>8.</w:t>
      </w:r>
      <w:r>
        <w:rPr>
          <w:rFonts w:hint="eastAsia" w:ascii="宋体" w:hAnsi="宋体" w:cs="宋体"/>
          <w:color w:val="auto"/>
          <w:highlight w:val="none"/>
          <w:lang w:val="en-US" w:eastAsia="zh-CN"/>
        </w:rPr>
        <w:t>7</w:t>
      </w:r>
      <w:r>
        <w:rPr>
          <w:rFonts w:hint="eastAsia" w:ascii="宋体" w:hAnsi="宋体" w:cs="宋体"/>
          <w:color w:val="auto"/>
          <w:highlight w:val="none"/>
        </w:rPr>
        <w:t xml:space="preserve"> 投诉</w:t>
      </w:r>
      <w:bookmarkEnd w:id="221"/>
      <w:bookmarkEnd w:id="222"/>
      <w:bookmarkEnd w:id="223"/>
    </w:p>
    <w:p w14:paraId="57106871">
      <w:pPr>
        <w:pStyle w:val="20"/>
        <w:pageBreakBefore w:val="0"/>
        <w:kinsoku/>
        <w:wordWrap/>
        <w:overflowPunct/>
        <w:topLinePunct w:val="0"/>
        <w:bidi w:val="0"/>
        <w:spacing w:line="500" w:lineRule="exact"/>
        <w:textAlignment w:val="auto"/>
        <w:rPr>
          <w:rFonts w:hint="eastAsia" w:ascii="宋体" w:hAnsi="宋体" w:cs="宋体"/>
          <w:color w:val="auto"/>
          <w:highlight w:val="none"/>
        </w:rPr>
      </w:pPr>
      <w:r>
        <w:rPr>
          <w:rFonts w:hint="eastAsia" w:ascii="宋体" w:hAnsi="宋体" w:cs="宋体"/>
          <w:color w:val="auto"/>
          <w:highlight w:val="none"/>
        </w:rPr>
        <w:t>8.</w:t>
      </w:r>
      <w:r>
        <w:rPr>
          <w:rFonts w:hint="eastAsia" w:ascii="宋体" w:hAnsi="宋体" w:cs="宋体"/>
          <w:color w:val="auto"/>
          <w:highlight w:val="none"/>
          <w:lang w:val="en-US" w:eastAsia="zh-CN"/>
        </w:rPr>
        <w:t>7</w:t>
      </w:r>
      <w:r>
        <w:rPr>
          <w:rFonts w:hint="eastAsia" w:ascii="宋体" w:hAnsi="宋体" w:cs="宋体"/>
          <w:color w:val="auto"/>
          <w:highlight w:val="none"/>
        </w:rPr>
        <w:t>.1</w:t>
      </w:r>
      <w:r>
        <w:rPr>
          <w:rFonts w:hint="eastAsia" w:ascii="宋体" w:hAnsi="宋体" w:cs="宋体"/>
          <w:color w:val="auto"/>
          <w:highlight w:val="none"/>
          <w:lang w:val="en-US" w:eastAsia="zh-CN"/>
        </w:rPr>
        <w:t xml:space="preserve"> </w:t>
      </w:r>
      <w:r>
        <w:rPr>
          <w:rFonts w:hint="eastAsia" w:ascii="宋体" w:hAnsi="宋体" w:cs="宋体"/>
          <w:color w:val="auto"/>
          <w:highlight w:val="none"/>
        </w:rPr>
        <w:t>投标人或其他利害关系人认为招标投标活动不符合法律、行政法规规定的，可以自知道或应当知道之日起10日内向有关行政监督部门投诉。对于按法规规定应先提出异议的事项进行投诉的，应当提交已提出异议的证明文件。未按规定提出异议或者未提交已提出异议的证明文件的投诉，行政监督部门可以不予受理。投诉人缺乏事实根据或者法律依据进行投诉的，或者有证据表明投诉人捏造事实、伪造材料的，或者投诉人以非法手段取得证明材料进行投诉的，行政监督部门应当予以驳回，并对恶意投诉按照有关规定追究投诉人责任。行政监督部门处理投诉，有权查阅、复制有关文件、资料，调查有关情况，相关单位和人员应当予以配合。必要时，行政监督部门可以责令暂停招标投标活动。</w:t>
      </w:r>
    </w:p>
    <w:p w14:paraId="6A530C0B">
      <w:pPr>
        <w:pStyle w:val="20"/>
        <w:pageBreakBefore w:val="0"/>
        <w:kinsoku/>
        <w:wordWrap/>
        <w:overflowPunct/>
        <w:topLinePunct w:val="0"/>
        <w:bidi w:val="0"/>
        <w:spacing w:line="500" w:lineRule="exact"/>
        <w:textAlignment w:val="auto"/>
        <w:rPr>
          <w:rFonts w:hint="eastAsia" w:ascii="宋体" w:hAnsi="宋体" w:cs="宋体"/>
          <w:color w:val="auto"/>
          <w:highlight w:val="none"/>
        </w:rPr>
      </w:pPr>
      <w:r>
        <w:rPr>
          <w:rFonts w:hint="eastAsia" w:ascii="宋体" w:hAnsi="宋体" w:cs="宋体"/>
          <w:color w:val="auto"/>
          <w:highlight w:val="none"/>
        </w:rPr>
        <w:t>监督部门的联系方式见投标人须知前附表。</w:t>
      </w:r>
    </w:p>
    <w:p w14:paraId="47C1DDE1">
      <w:pPr>
        <w:pStyle w:val="20"/>
        <w:pageBreakBefore w:val="0"/>
        <w:kinsoku/>
        <w:wordWrap/>
        <w:overflowPunct/>
        <w:topLinePunct w:val="0"/>
        <w:bidi w:val="0"/>
        <w:spacing w:line="500" w:lineRule="exact"/>
        <w:textAlignment w:val="auto"/>
        <w:rPr>
          <w:rFonts w:hint="eastAsia" w:ascii="宋体" w:hAnsi="宋体" w:cs="宋体"/>
          <w:color w:val="auto"/>
          <w:highlight w:val="none"/>
        </w:rPr>
      </w:pPr>
      <w:r>
        <w:rPr>
          <w:rFonts w:hint="eastAsia" w:ascii="宋体" w:hAnsi="宋体" w:cs="宋体"/>
          <w:color w:val="auto"/>
          <w:highlight w:val="none"/>
        </w:rPr>
        <w:t>8.</w:t>
      </w:r>
      <w:r>
        <w:rPr>
          <w:rFonts w:hint="eastAsia" w:ascii="宋体" w:hAnsi="宋体" w:cs="宋体"/>
          <w:color w:val="auto"/>
          <w:highlight w:val="none"/>
          <w:lang w:val="en-US" w:eastAsia="zh-CN"/>
        </w:rPr>
        <w:t>7</w:t>
      </w:r>
      <w:r>
        <w:rPr>
          <w:rFonts w:hint="eastAsia" w:ascii="宋体" w:hAnsi="宋体" w:cs="宋体"/>
          <w:color w:val="auto"/>
          <w:highlight w:val="none"/>
        </w:rPr>
        <w:t>.2</w:t>
      </w:r>
      <w:r>
        <w:rPr>
          <w:rFonts w:hint="eastAsia" w:ascii="宋体" w:hAnsi="宋体" w:cs="宋体"/>
          <w:color w:val="auto"/>
          <w:highlight w:val="none"/>
          <w:lang w:val="en-US" w:eastAsia="zh-CN"/>
        </w:rPr>
        <w:t xml:space="preserve"> </w:t>
      </w:r>
      <w:r>
        <w:rPr>
          <w:rFonts w:hint="eastAsia" w:ascii="宋体" w:hAnsi="宋体" w:cs="宋体"/>
          <w:color w:val="auto"/>
          <w:highlight w:val="none"/>
        </w:rPr>
        <w:t>投标人或其他利害关系人对招标文件、开标和评标结果提出投诉的，应按照本章第2.4款、第5.3款</w:t>
      </w:r>
      <w:r>
        <w:rPr>
          <w:rFonts w:hint="eastAsia" w:ascii="宋体" w:hAnsi="宋体" w:cs="宋体"/>
          <w:color w:val="auto"/>
          <w:highlight w:val="none"/>
          <w:lang w:eastAsia="zh-CN"/>
        </w:rPr>
        <w:t>、</w:t>
      </w:r>
      <w:r>
        <w:rPr>
          <w:rFonts w:hint="eastAsia" w:ascii="宋体" w:hAnsi="宋体" w:cs="宋体"/>
          <w:color w:val="auto"/>
          <w:highlight w:val="none"/>
        </w:rPr>
        <w:t>第7.2款</w:t>
      </w:r>
      <w:r>
        <w:rPr>
          <w:rFonts w:hint="eastAsia" w:ascii="宋体" w:hAnsi="宋体" w:cs="宋体"/>
          <w:color w:val="auto"/>
          <w:highlight w:val="none"/>
          <w:lang w:val="en-US" w:eastAsia="zh-CN"/>
        </w:rPr>
        <w:t>和第</w:t>
      </w:r>
      <w:r>
        <w:rPr>
          <w:rFonts w:hint="eastAsia" w:ascii="宋体" w:hAnsi="宋体" w:cs="宋体"/>
          <w:color w:val="auto"/>
          <w:highlight w:val="none"/>
        </w:rPr>
        <w:t>7.</w:t>
      </w:r>
      <w:r>
        <w:rPr>
          <w:rFonts w:hint="eastAsia" w:ascii="宋体" w:hAnsi="宋体" w:cs="宋体"/>
          <w:color w:val="auto"/>
          <w:highlight w:val="none"/>
          <w:lang w:val="en-US" w:eastAsia="zh-CN"/>
        </w:rPr>
        <w:t>4款</w:t>
      </w:r>
      <w:r>
        <w:rPr>
          <w:rFonts w:hint="eastAsia" w:ascii="宋体" w:hAnsi="宋体" w:cs="宋体"/>
          <w:color w:val="auto"/>
          <w:highlight w:val="none"/>
        </w:rPr>
        <w:t>的规定先向招标人提出异议。异议答复期间不计算在第8.</w:t>
      </w:r>
      <w:r>
        <w:rPr>
          <w:rFonts w:hint="eastAsia" w:ascii="宋体" w:hAnsi="宋体" w:cs="宋体"/>
          <w:color w:val="auto"/>
          <w:highlight w:val="none"/>
          <w:lang w:val="en-US" w:eastAsia="zh-CN"/>
        </w:rPr>
        <w:t>7</w:t>
      </w:r>
      <w:r>
        <w:rPr>
          <w:rFonts w:hint="eastAsia" w:ascii="宋体" w:hAnsi="宋体" w:cs="宋体"/>
          <w:color w:val="auto"/>
          <w:highlight w:val="none"/>
        </w:rPr>
        <w:t>.1项规定的期限内。</w:t>
      </w:r>
    </w:p>
    <w:p w14:paraId="424AA040">
      <w:pPr>
        <w:pStyle w:val="23"/>
        <w:pageBreakBefore w:val="0"/>
        <w:numPr>
          <w:ilvl w:val="0"/>
          <w:numId w:val="0"/>
        </w:numPr>
        <w:kinsoku/>
        <w:wordWrap/>
        <w:overflowPunct/>
        <w:topLinePunct w:val="0"/>
        <w:bidi w:val="0"/>
        <w:spacing w:before="0" w:beforeLines="0" w:after="0" w:afterLines="0" w:line="500" w:lineRule="exact"/>
        <w:ind w:left="0" w:leftChars="0" w:firstLine="0" w:firstLineChars="0"/>
        <w:textAlignment w:val="auto"/>
        <w:rPr>
          <w:rFonts w:hint="eastAsia" w:ascii="宋体" w:hAnsi="宋体" w:eastAsia="宋体" w:cs="宋体"/>
          <w:color w:val="auto"/>
          <w:highlight w:val="none"/>
        </w:rPr>
      </w:pPr>
      <w:bookmarkStart w:id="224" w:name="_Toc16397"/>
      <w:bookmarkStart w:id="225" w:name="_Toc18834"/>
      <w:bookmarkStart w:id="226" w:name="_Toc24583"/>
      <w:bookmarkStart w:id="227" w:name="_Toc22769"/>
      <w:r>
        <w:rPr>
          <w:rFonts w:hint="eastAsia" w:ascii="宋体" w:hAnsi="宋体" w:eastAsia="宋体" w:cs="宋体"/>
          <w:b/>
          <w:bCs/>
          <w:color w:val="auto"/>
          <w:kern w:val="0"/>
          <w:sz w:val="24"/>
          <w:szCs w:val="24"/>
          <w:highlight w:val="none"/>
          <w:lang w:val="en-US" w:eastAsia="zh-CN" w:bidi="ar-SA"/>
        </w:rPr>
        <w:t>9.</w:t>
      </w:r>
      <w:r>
        <w:rPr>
          <w:rFonts w:hint="eastAsia" w:ascii="宋体" w:hAnsi="宋体" w:eastAsia="宋体" w:cs="宋体"/>
          <w:color w:val="auto"/>
          <w:highlight w:val="none"/>
        </w:rPr>
        <w:t>是否采用电子招标投标</w:t>
      </w:r>
      <w:bookmarkEnd w:id="224"/>
      <w:bookmarkEnd w:id="225"/>
      <w:bookmarkEnd w:id="226"/>
      <w:bookmarkEnd w:id="227"/>
    </w:p>
    <w:p w14:paraId="05336FA6">
      <w:pPr>
        <w:pStyle w:val="20"/>
        <w:pageBreakBefore w:val="0"/>
        <w:kinsoku/>
        <w:wordWrap/>
        <w:overflowPunct/>
        <w:topLinePunct w:val="0"/>
        <w:bidi w:val="0"/>
        <w:spacing w:line="500" w:lineRule="exact"/>
        <w:textAlignment w:val="auto"/>
        <w:rPr>
          <w:rFonts w:hint="eastAsia" w:ascii="宋体" w:hAnsi="宋体" w:cs="宋体"/>
          <w:color w:val="auto"/>
          <w:highlight w:val="none"/>
        </w:rPr>
      </w:pPr>
      <w:r>
        <w:rPr>
          <w:rFonts w:hint="eastAsia" w:ascii="宋体" w:hAnsi="宋体" w:cs="宋体"/>
          <w:color w:val="auto"/>
          <w:highlight w:val="none"/>
        </w:rPr>
        <w:t>本招标项目是否采用电子招标投标方式，见投标人须知前附表。</w:t>
      </w:r>
    </w:p>
    <w:p w14:paraId="35D429AA">
      <w:pPr>
        <w:pStyle w:val="23"/>
        <w:pageBreakBefore w:val="0"/>
        <w:numPr>
          <w:ilvl w:val="0"/>
          <w:numId w:val="0"/>
        </w:numPr>
        <w:kinsoku/>
        <w:wordWrap/>
        <w:overflowPunct/>
        <w:topLinePunct w:val="0"/>
        <w:bidi w:val="0"/>
        <w:spacing w:before="0" w:beforeLines="0" w:after="0" w:afterLines="0" w:line="500" w:lineRule="exact"/>
        <w:ind w:left="0" w:leftChars="0" w:firstLine="0" w:firstLineChars="0"/>
        <w:textAlignment w:val="auto"/>
        <w:rPr>
          <w:rFonts w:hint="eastAsia" w:ascii="宋体" w:hAnsi="宋体" w:eastAsia="宋体" w:cs="宋体"/>
          <w:color w:val="auto"/>
          <w:highlight w:val="none"/>
        </w:rPr>
      </w:pPr>
      <w:bookmarkStart w:id="228" w:name="_Toc29544"/>
      <w:bookmarkStart w:id="229" w:name="_Toc22521"/>
      <w:bookmarkStart w:id="230" w:name="_Toc10429"/>
      <w:bookmarkStart w:id="231" w:name="_Toc13438"/>
      <w:r>
        <w:rPr>
          <w:rFonts w:hint="eastAsia" w:ascii="宋体" w:hAnsi="宋体" w:eastAsia="宋体" w:cs="宋体"/>
          <w:b/>
          <w:bCs/>
          <w:color w:val="auto"/>
          <w:kern w:val="0"/>
          <w:sz w:val="24"/>
          <w:szCs w:val="24"/>
          <w:highlight w:val="none"/>
          <w:lang w:val="en-US" w:eastAsia="zh-CN" w:bidi="ar-SA"/>
        </w:rPr>
        <w:t>10.</w:t>
      </w:r>
      <w:r>
        <w:rPr>
          <w:rFonts w:hint="eastAsia" w:ascii="宋体" w:hAnsi="宋体" w:eastAsia="宋体" w:cs="宋体"/>
          <w:color w:val="auto"/>
          <w:highlight w:val="none"/>
        </w:rPr>
        <w:t>需要补充的其他内容</w:t>
      </w:r>
      <w:bookmarkEnd w:id="228"/>
      <w:bookmarkEnd w:id="229"/>
      <w:bookmarkEnd w:id="230"/>
      <w:bookmarkEnd w:id="231"/>
    </w:p>
    <w:p w14:paraId="3F7F0FD3">
      <w:pPr>
        <w:pStyle w:val="20"/>
        <w:pageBreakBefore w:val="0"/>
        <w:kinsoku/>
        <w:wordWrap/>
        <w:overflowPunct/>
        <w:topLinePunct w:val="0"/>
        <w:bidi w:val="0"/>
        <w:spacing w:line="500" w:lineRule="exact"/>
        <w:textAlignment w:val="auto"/>
        <w:rPr>
          <w:rFonts w:hint="eastAsia" w:ascii="宋体" w:hAnsi="宋体" w:cs="宋体"/>
          <w:color w:val="auto"/>
          <w:highlight w:val="none"/>
        </w:rPr>
      </w:pPr>
      <w:r>
        <w:rPr>
          <w:rFonts w:hint="eastAsia" w:ascii="宋体" w:hAnsi="宋体" w:cs="宋体"/>
          <w:color w:val="auto"/>
          <w:highlight w:val="none"/>
        </w:rPr>
        <w:t>10.1自投标登记并获取招标文件之日起，投标人应保证其提供的联系方式（电话、传真、电子邮件）一直有效，以便及时收到招标人发出的函件(招标文件的澄清、修改等)，并应及时向招标人反馈信息，否则招标人不承担由此引起的一切后果。</w:t>
      </w:r>
    </w:p>
    <w:p w14:paraId="33F906A7">
      <w:pPr>
        <w:pStyle w:val="20"/>
        <w:pageBreakBefore w:val="0"/>
        <w:kinsoku/>
        <w:wordWrap/>
        <w:overflowPunct/>
        <w:topLinePunct w:val="0"/>
        <w:bidi w:val="0"/>
        <w:spacing w:line="500" w:lineRule="exact"/>
        <w:textAlignment w:val="auto"/>
        <w:rPr>
          <w:rFonts w:hint="eastAsia" w:ascii="宋体" w:hAnsi="宋体" w:cs="宋体"/>
          <w:color w:val="auto"/>
          <w:highlight w:val="none"/>
        </w:rPr>
      </w:pPr>
    </w:p>
    <w:p w14:paraId="6AF62E3A">
      <w:pPr>
        <w:pStyle w:val="20"/>
        <w:pageBreakBefore w:val="0"/>
        <w:kinsoku/>
        <w:wordWrap/>
        <w:overflowPunct/>
        <w:topLinePunct w:val="0"/>
        <w:bidi w:val="0"/>
        <w:spacing w:line="500" w:lineRule="exact"/>
        <w:textAlignment w:val="auto"/>
        <w:rPr>
          <w:rFonts w:hint="eastAsia" w:ascii="宋体" w:hAnsi="宋体" w:cs="宋体"/>
          <w:color w:val="auto"/>
          <w:highlight w:val="none"/>
        </w:rPr>
      </w:pPr>
      <w:r>
        <w:rPr>
          <w:rFonts w:hint="eastAsia" w:ascii="宋体" w:hAnsi="宋体" w:cs="宋体"/>
          <w:color w:val="auto"/>
          <w:highlight w:val="none"/>
        </w:rPr>
        <w:t>需要补充的其他内容：见投标人须知前附表。</w:t>
      </w:r>
    </w:p>
    <w:p w14:paraId="2D1B11EF">
      <w:pPr>
        <w:spacing w:line="219" w:lineRule="auto"/>
        <w:rPr>
          <w:rFonts w:ascii="宋体" w:hAnsi="宋体" w:eastAsia="宋体" w:cs="宋体"/>
          <w:color w:val="auto"/>
          <w:sz w:val="24"/>
          <w:szCs w:val="24"/>
          <w:highlight w:val="none"/>
        </w:rPr>
        <w:sectPr>
          <w:footerReference r:id="rId40" w:type="default"/>
          <w:pgSz w:w="11906" w:h="16839"/>
          <w:pgMar w:top="1405" w:right="1289" w:bottom="1297" w:left="1423" w:header="0" w:footer="1067" w:gutter="0"/>
          <w:pgNumType w:fmt="decimal"/>
          <w:cols w:space="720" w:num="1"/>
        </w:sectPr>
      </w:pPr>
    </w:p>
    <w:p w14:paraId="7E0E240B">
      <w:pPr>
        <w:spacing w:line="252" w:lineRule="auto"/>
        <w:rPr>
          <w:rFonts w:ascii="Arial"/>
          <w:color w:val="auto"/>
          <w:sz w:val="21"/>
          <w:highlight w:val="none"/>
        </w:rPr>
      </w:pPr>
    </w:p>
    <w:p w14:paraId="15C19017">
      <w:pPr>
        <w:spacing w:line="252" w:lineRule="auto"/>
        <w:rPr>
          <w:rFonts w:ascii="Arial"/>
          <w:color w:val="auto"/>
          <w:sz w:val="21"/>
          <w:highlight w:val="none"/>
        </w:rPr>
      </w:pPr>
    </w:p>
    <w:p w14:paraId="0999875B">
      <w:pPr>
        <w:spacing w:line="252" w:lineRule="auto"/>
        <w:rPr>
          <w:rFonts w:ascii="Arial"/>
          <w:color w:val="auto"/>
          <w:sz w:val="21"/>
          <w:highlight w:val="none"/>
        </w:rPr>
      </w:pPr>
    </w:p>
    <w:p w14:paraId="5B5A5C14">
      <w:pPr>
        <w:spacing w:line="253" w:lineRule="auto"/>
        <w:rPr>
          <w:rFonts w:ascii="Arial"/>
          <w:color w:val="auto"/>
          <w:sz w:val="21"/>
          <w:highlight w:val="none"/>
        </w:rPr>
      </w:pPr>
    </w:p>
    <w:p w14:paraId="7AB7A66E">
      <w:pPr>
        <w:spacing w:line="253" w:lineRule="auto"/>
        <w:rPr>
          <w:rFonts w:ascii="Arial"/>
          <w:color w:val="auto"/>
          <w:sz w:val="21"/>
          <w:highlight w:val="none"/>
        </w:rPr>
      </w:pPr>
    </w:p>
    <w:p w14:paraId="5E2754A4">
      <w:pPr>
        <w:spacing w:line="253" w:lineRule="auto"/>
        <w:rPr>
          <w:rFonts w:ascii="Arial"/>
          <w:color w:val="auto"/>
          <w:sz w:val="21"/>
          <w:highlight w:val="none"/>
        </w:rPr>
      </w:pPr>
    </w:p>
    <w:p w14:paraId="5CE986BC">
      <w:pPr>
        <w:spacing w:line="253" w:lineRule="auto"/>
        <w:rPr>
          <w:rFonts w:ascii="Arial"/>
          <w:color w:val="auto"/>
          <w:sz w:val="21"/>
          <w:highlight w:val="none"/>
        </w:rPr>
      </w:pPr>
    </w:p>
    <w:p w14:paraId="6AEF8E96">
      <w:pPr>
        <w:spacing w:line="253" w:lineRule="auto"/>
        <w:rPr>
          <w:rFonts w:ascii="Arial"/>
          <w:color w:val="auto"/>
          <w:sz w:val="21"/>
          <w:highlight w:val="none"/>
        </w:rPr>
      </w:pPr>
    </w:p>
    <w:p w14:paraId="02986302">
      <w:pPr>
        <w:spacing w:line="253" w:lineRule="auto"/>
        <w:rPr>
          <w:rFonts w:ascii="Arial"/>
          <w:color w:val="auto"/>
          <w:sz w:val="21"/>
          <w:highlight w:val="none"/>
        </w:rPr>
      </w:pPr>
    </w:p>
    <w:p w14:paraId="0D50EC46">
      <w:pPr>
        <w:spacing w:line="253" w:lineRule="auto"/>
        <w:rPr>
          <w:rFonts w:ascii="Arial"/>
          <w:color w:val="auto"/>
          <w:sz w:val="21"/>
          <w:highlight w:val="none"/>
        </w:rPr>
      </w:pPr>
    </w:p>
    <w:p w14:paraId="4920515D">
      <w:pPr>
        <w:spacing w:line="253" w:lineRule="auto"/>
        <w:rPr>
          <w:rFonts w:ascii="Arial"/>
          <w:color w:val="auto"/>
          <w:sz w:val="21"/>
          <w:highlight w:val="none"/>
        </w:rPr>
      </w:pPr>
    </w:p>
    <w:p w14:paraId="1D20F3F9">
      <w:pPr>
        <w:spacing w:line="253" w:lineRule="auto"/>
        <w:rPr>
          <w:rFonts w:ascii="Arial"/>
          <w:color w:val="auto"/>
          <w:sz w:val="21"/>
          <w:highlight w:val="none"/>
        </w:rPr>
      </w:pPr>
    </w:p>
    <w:p w14:paraId="0FD978E9">
      <w:pPr>
        <w:spacing w:line="253" w:lineRule="auto"/>
        <w:rPr>
          <w:rFonts w:ascii="Arial"/>
          <w:color w:val="auto"/>
          <w:sz w:val="21"/>
          <w:highlight w:val="none"/>
        </w:rPr>
      </w:pPr>
    </w:p>
    <w:p w14:paraId="4793216C">
      <w:pPr>
        <w:spacing w:line="253" w:lineRule="auto"/>
        <w:rPr>
          <w:rFonts w:ascii="Arial"/>
          <w:color w:val="auto"/>
          <w:sz w:val="21"/>
          <w:highlight w:val="none"/>
        </w:rPr>
      </w:pPr>
    </w:p>
    <w:p w14:paraId="190A0719">
      <w:pPr>
        <w:spacing w:line="253" w:lineRule="auto"/>
        <w:rPr>
          <w:rFonts w:ascii="Arial"/>
          <w:color w:val="auto"/>
          <w:sz w:val="21"/>
          <w:highlight w:val="none"/>
        </w:rPr>
      </w:pPr>
    </w:p>
    <w:p w14:paraId="781FFAF5">
      <w:pPr>
        <w:spacing w:line="253" w:lineRule="auto"/>
        <w:rPr>
          <w:rFonts w:ascii="Arial"/>
          <w:color w:val="auto"/>
          <w:sz w:val="21"/>
          <w:highlight w:val="none"/>
        </w:rPr>
      </w:pPr>
    </w:p>
    <w:p w14:paraId="342AC5D8">
      <w:pPr>
        <w:spacing w:line="253" w:lineRule="auto"/>
        <w:rPr>
          <w:rFonts w:ascii="Arial"/>
          <w:color w:val="auto"/>
          <w:sz w:val="21"/>
          <w:highlight w:val="none"/>
        </w:rPr>
      </w:pPr>
    </w:p>
    <w:p w14:paraId="5AFF3695">
      <w:pPr>
        <w:spacing w:line="253" w:lineRule="auto"/>
        <w:rPr>
          <w:rFonts w:ascii="Arial"/>
          <w:color w:val="auto"/>
          <w:sz w:val="21"/>
          <w:highlight w:val="none"/>
        </w:rPr>
      </w:pPr>
    </w:p>
    <w:p w14:paraId="213506C5">
      <w:pPr>
        <w:spacing w:before="169" w:line="219" w:lineRule="auto"/>
        <w:jc w:val="center"/>
        <w:outlineLvl w:val="0"/>
        <w:rPr>
          <w:rFonts w:ascii="宋体" w:hAnsi="宋体" w:eastAsia="宋体" w:cs="宋体"/>
          <w:color w:val="auto"/>
          <w:sz w:val="52"/>
          <w:szCs w:val="52"/>
          <w:highlight w:val="none"/>
        </w:rPr>
      </w:pPr>
      <w:bookmarkStart w:id="232" w:name="_Toc626"/>
      <w:r>
        <w:rPr>
          <w:rFonts w:ascii="宋体" w:hAnsi="宋体" w:eastAsia="宋体" w:cs="宋体"/>
          <w:b/>
          <w:bCs/>
          <w:color w:val="auto"/>
          <w:spacing w:val="-5"/>
          <w:sz w:val="52"/>
          <w:szCs w:val="52"/>
          <w:highlight w:val="none"/>
        </w:rPr>
        <w:t>第三章</w:t>
      </w:r>
      <w:r>
        <w:rPr>
          <w:rFonts w:ascii="宋体" w:hAnsi="宋体" w:eastAsia="宋体" w:cs="宋体"/>
          <w:color w:val="auto"/>
          <w:spacing w:val="-5"/>
          <w:sz w:val="52"/>
          <w:szCs w:val="52"/>
          <w:highlight w:val="none"/>
        </w:rPr>
        <w:t xml:space="preserve">  </w:t>
      </w:r>
      <w:r>
        <w:rPr>
          <w:rFonts w:ascii="宋体" w:hAnsi="宋体" w:eastAsia="宋体" w:cs="宋体"/>
          <w:b/>
          <w:bCs/>
          <w:color w:val="auto"/>
          <w:spacing w:val="-5"/>
          <w:sz w:val="52"/>
          <w:szCs w:val="52"/>
          <w:highlight w:val="none"/>
        </w:rPr>
        <w:t>评标办法</w:t>
      </w:r>
      <w:r>
        <w:rPr>
          <w:rFonts w:hint="eastAsia" w:ascii="宋体" w:hAnsi="宋体" w:cs="宋体"/>
          <w:b/>
          <w:bCs/>
          <w:color w:val="auto"/>
          <w:sz w:val="52"/>
          <w:szCs w:val="52"/>
          <w:highlight w:val="none"/>
          <w:lang w:val="en-US" w:eastAsia="zh-CN"/>
        </w:rPr>
        <w:t>及定标办法</w:t>
      </w:r>
      <w:bookmarkEnd w:id="232"/>
    </w:p>
    <w:p w14:paraId="61A8C7BC">
      <w:pPr>
        <w:spacing w:line="219" w:lineRule="auto"/>
        <w:rPr>
          <w:rFonts w:ascii="宋体" w:hAnsi="宋体" w:eastAsia="宋体" w:cs="宋体"/>
          <w:color w:val="auto"/>
          <w:sz w:val="52"/>
          <w:szCs w:val="52"/>
          <w:highlight w:val="none"/>
        </w:rPr>
        <w:sectPr>
          <w:footerReference r:id="rId41" w:type="default"/>
          <w:pgSz w:w="11906" w:h="16839"/>
          <w:pgMar w:top="1431" w:right="1785" w:bottom="1297" w:left="1785" w:header="0" w:footer="1067" w:gutter="0"/>
          <w:pgNumType w:fmt="decimal"/>
          <w:cols w:space="720" w:num="1"/>
        </w:sectPr>
      </w:pPr>
    </w:p>
    <w:p w14:paraId="31FE82D2">
      <w:pPr>
        <w:spacing w:before="64" w:line="223" w:lineRule="auto"/>
        <w:ind w:left="2250"/>
        <w:outlineLvl w:val="0"/>
        <w:rPr>
          <w:rFonts w:ascii="宋体" w:hAnsi="宋体" w:eastAsia="宋体" w:cs="宋体"/>
          <w:color w:val="auto"/>
          <w:sz w:val="31"/>
          <w:szCs w:val="31"/>
          <w:highlight w:val="none"/>
        </w:rPr>
      </w:pPr>
      <w:bookmarkStart w:id="233" w:name="_Toc9790"/>
      <w:r>
        <w:rPr>
          <w:rFonts w:hint="eastAsia" w:ascii="宋体" w:hAnsi="宋体" w:eastAsia="宋体" w:cs="宋体"/>
          <w:b/>
          <w:bCs/>
          <w:color w:val="auto"/>
          <w:spacing w:val="6"/>
          <w:sz w:val="31"/>
          <w:szCs w:val="31"/>
          <w:highlight w:val="none"/>
          <w:lang w:val="en-US" w:eastAsia="zh-CN"/>
        </w:rPr>
        <w:t>第一节</w:t>
      </w:r>
      <w:r>
        <w:rPr>
          <w:rFonts w:ascii="宋体" w:hAnsi="宋体" w:eastAsia="宋体" w:cs="宋体"/>
          <w:color w:val="auto"/>
          <w:spacing w:val="6"/>
          <w:sz w:val="31"/>
          <w:szCs w:val="31"/>
          <w:highlight w:val="none"/>
        </w:rPr>
        <w:t xml:space="preserve">  </w:t>
      </w:r>
      <w:r>
        <w:rPr>
          <w:rFonts w:ascii="宋体" w:hAnsi="宋体" w:eastAsia="宋体" w:cs="宋体"/>
          <w:b/>
          <w:bCs/>
          <w:color w:val="auto"/>
          <w:spacing w:val="6"/>
          <w:sz w:val="31"/>
          <w:szCs w:val="31"/>
          <w:highlight w:val="none"/>
        </w:rPr>
        <w:t>评标办法（综合评估法）</w:t>
      </w:r>
      <w:bookmarkEnd w:id="233"/>
    </w:p>
    <w:p w14:paraId="48C654D5">
      <w:pPr>
        <w:spacing w:line="331" w:lineRule="auto"/>
        <w:rPr>
          <w:rFonts w:ascii="Arial"/>
          <w:color w:val="auto"/>
          <w:sz w:val="21"/>
          <w:highlight w:val="none"/>
        </w:rPr>
      </w:pPr>
    </w:p>
    <w:p w14:paraId="66EB8DEE">
      <w:pPr>
        <w:spacing w:before="78" w:line="233" w:lineRule="auto"/>
        <w:ind w:left="120"/>
        <w:outlineLvl w:val="1"/>
        <w:rPr>
          <w:rFonts w:ascii="宋体" w:hAnsi="宋体" w:eastAsia="宋体" w:cs="宋体"/>
          <w:color w:val="auto"/>
          <w:sz w:val="12"/>
          <w:szCs w:val="12"/>
          <w:highlight w:val="none"/>
        </w:rPr>
      </w:pPr>
      <w:bookmarkStart w:id="234" w:name="_Toc724"/>
      <w:r>
        <w:rPr>
          <w:rFonts w:ascii="宋体" w:hAnsi="宋体" w:eastAsia="宋体" w:cs="宋体"/>
          <w:b/>
          <w:bCs/>
          <w:color w:val="auto"/>
          <w:spacing w:val="-3"/>
          <w:sz w:val="24"/>
          <w:szCs w:val="24"/>
          <w:highlight w:val="none"/>
        </w:rPr>
        <w:t>评标办法前附表</w:t>
      </w:r>
      <w:bookmarkEnd w:id="234"/>
    </w:p>
    <w:p w14:paraId="333DD1A7">
      <w:pPr>
        <w:spacing w:line="16" w:lineRule="exact"/>
        <w:rPr>
          <w:color w:val="auto"/>
          <w:highlight w:val="none"/>
        </w:rPr>
      </w:pPr>
    </w:p>
    <w:tbl>
      <w:tblPr>
        <w:tblStyle w:val="17"/>
        <w:tblW w:w="928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34"/>
        <w:gridCol w:w="1336"/>
        <w:gridCol w:w="6916"/>
      </w:tblGrid>
      <w:tr w14:paraId="29D99A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8" w:hRule="atLeast"/>
        </w:trPr>
        <w:tc>
          <w:tcPr>
            <w:tcW w:w="2370" w:type="dxa"/>
            <w:gridSpan w:val="2"/>
            <w:vAlign w:val="top"/>
          </w:tcPr>
          <w:p w14:paraId="14D8CB9D">
            <w:pPr>
              <w:pStyle w:val="18"/>
              <w:spacing w:before="35" w:line="228" w:lineRule="auto"/>
              <w:ind w:left="877"/>
              <w:rPr>
                <w:color w:val="auto"/>
                <w:highlight w:val="none"/>
              </w:rPr>
            </w:pPr>
            <w:r>
              <w:rPr>
                <w:b/>
                <w:bCs/>
                <w:color w:val="auto"/>
                <w:spacing w:val="5"/>
                <w:highlight w:val="none"/>
              </w:rPr>
              <w:t>条款号</w:t>
            </w:r>
          </w:p>
        </w:tc>
        <w:tc>
          <w:tcPr>
            <w:tcW w:w="6916" w:type="dxa"/>
            <w:vAlign w:val="top"/>
          </w:tcPr>
          <w:p w14:paraId="3F356C5A">
            <w:pPr>
              <w:pStyle w:val="18"/>
              <w:spacing w:before="35" w:line="228" w:lineRule="auto"/>
              <w:ind w:left="2496"/>
              <w:rPr>
                <w:color w:val="auto"/>
                <w:highlight w:val="none"/>
              </w:rPr>
            </w:pPr>
            <w:r>
              <w:rPr>
                <w:b/>
                <w:bCs/>
                <w:color w:val="auto"/>
                <w:spacing w:val="11"/>
                <w:highlight w:val="none"/>
              </w:rPr>
              <w:t>评审因素与评审标准</w:t>
            </w:r>
          </w:p>
        </w:tc>
      </w:tr>
      <w:tr w14:paraId="4E52EE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8" w:hRule="atLeast"/>
        </w:trPr>
        <w:tc>
          <w:tcPr>
            <w:tcW w:w="1034" w:type="dxa"/>
            <w:vAlign w:val="top"/>
          </w:tcPr>
          <w:p w14:paraId="66F005AE">
            <w:pPr>
              <w:spacing w:line="256" w:lineRule="auto"/>
              <w:rPr>
                <w:rFonts w:ascii="Arial"/>
                <w:color w:val="auto"/>
                <w:sz w:val="21"/>
                <w:highlight w:val="none"/>
              </w:rPr>
            </w:pPr>
          </w:p>
          <w:p w14:paraId="692B8268">
            <w:pPr>
              <w:spacing w:line="256" w:lineRule="auto"/>
              <w:rPr>
                <w:rFonts w:ascii="Arial"/>
                <w:color w:val="auto"/>
                <w:sz w:val="21"/>
                <w:highlight w:val="none"/>
              </w:rPr>
            </w:pPr>
          </w:p>
          <w:p w14:paraId="4EA90340">
            <w:pPr>
              <w:spacing w:line="256" w:lineRule="auto"/>
              <w:rPr>
                <w:rFonts w:ascii="Arial"/>
                <w:color w:val="auto"/>
                <w:sz w:val="21"/>
                <w:highlight w:val="none"/>
              </w:rPr>
            </w:pPr>
          </w:p>
          <w:p w14:paraId="6FE33D37">
            <w:pPr>
              <w:spacing w:line="256" w:lineRule="auto"/>
              <w:rPr>
                <w:rFonts w:ascii="Arial"/>
                <w:color w:val="auto"/>
                <w:sz w:val="21"/>
                <w:highlight w:val="none"/>
              </w:rPr>
            </w:pPr>
          </w:p>
          <w:p w14:paraId="17E5C4AD">
            <w:pPr>
              <w:spacing w:line="256" w:lineRule="auto"/>
              <w:rPr>
                <w:rFonts w:ascii="Arial"/>
                <w:color w:val="auto"/>
                <w:sz w:val="21"/>
                <w:highlight w:val="none"/>
              </w:rPr>
            </w:pPr>
          </w:p>
          <w:p w14:paraId="3ED28075">
            <w:pPr>
              <w:spacing w:line="256" w:lineRule="auto"/>
              <w:rPr>
                <w:rFonts w:ascii="Arial"/>
                <w:color w:val="auto"/>
                <w:sz w:val="21"/>
                <w:highlight w:val="none"/>
              </w:rPr>
            </w:pPr>
          </w:p>
          <w:p w14:paraId="10C25127">
            <w:pPr>
              <w:spacing w:line="256" w:lineRule="auto"/>
              <w:rPr>
                <w:rFonts w:ascii="Arial"/>
                <w:color w:val="auto"/>
                <w:sz w:val="21"/>
                <w:highlight w:val="none"/>
              </w:rPr>
            </w:pPr>
          </w:p>
          <w:p w14:paraId="3C604292">
            <w:pPr>
              <w:pStyle w:val="18"/>
              <w:spacing w:before="65" w:line="270" w:lineRule="exact"/>
              <w:ind w:left="485"/>
              <w:rPr>
                <w:color w:val="auto"/>
                <w:highlight w:val="none"/>
              </w:rPr>
            </w:pPr>
            <w:r>
              <w:rPr>
                <w:color w:val="auto"/>
                <w:position w:val="1"/>
                <w:highlight w:val="none"/>
              </w:rPr>
              <w:t>1</w:t>
            </w:r>
          </w:p>
        </w:tc>
        <w:tc>
          <w:tcPr>
            <w:tcW w:w="1336" w:type="dxa"/>
            <w:vAlign w:val="top"/>
          </w:tcPr>
          <w:p w14:paraId="648BA83E">
            <w:pPr>
              <w:spacing w:line="256" w:lineRule="auto"/>
              <w:rPr>
                <w:rFonts w:ascii="Arial"/>
                <w:color w:val="auto"/>
                <w:sz w:val="21"/>
                <w:highlight w:val="none"/>
              </w:rPr>
            </w:pPr>
          </w:p>
          <w:p w14:paraId="70C7A97E">
            <w:pPr>
              <w:spacing w:line="256" w:lineRule="auto"/>
              <w:rPr>
                <w:rFonts w:ascii="Arial"/>
                <w:color w:val="auto"/>
                <w:sz w:val="21"/>
                <w:highlight w:val="none"/>
              </w:rPr>
            </w:pPr>
          </w:p>
          <w:p w14:paraId="3DA9FCF7">
            <w:pPr>
              <w:spacing w:line="256" w:lineRule="auto"/>
              <w:rPr>
                <w:rFonts w:ascii="Arial"/>
                <w:color w:val="auto"/>
                <w:sz w:val="21"/>
                <w:highlight w:val="none"/>
              </w:rPr>
            </w:pPr>
          </w:p>
          <w:p w14:paraId="7C2B1B3E">
            <w:pPr>
              <w:spacing w:line="256" w:lineRule="auto"/>
              <w:rPr>
                <w:rFonts w:ascii="Arial"/>
                <w:color w:val="auto"/>
                <w:sz w:val="21"/>
                <w:highlight w:val="none"/>
              </w:rPr>
            </w:pPr>
          </w:p>
          <w:p w14:paraId="5F16E4D7">
            <w:pPr>
              <w:spacing w:line="256" w:lineRule="auto"/>
              <w:rPr>
                <w:rFonts w:ascii="Arial"/>
                <w:color w:val="auto"/>
                <w:sz w:val="21"/>
                <w:highlight w:val="none"/>
              </w:rPr>
            </w:pPr>
          </w:p>
          <w:p w14:paraId="4FE657C7">
            <w:pPr>
              <w:spacing w:line="256" w:lineRule="auto"/>
              <w:rPr>
                <w:rFonts w:ascii="Arial"/>
                <w:color w:val="auto"/>
                <w:sz w:val="21"/>
                <w:highlight w:val="none"/>
              </w:rPr>
            </w:pPr>
          </w:p>
          <w:p w14:paraId="07B1E0FB">
            <w:pPr>
              <w:spacing w:line="256" w:lineRule="auto"/>
              <w:rPr>
                <w:rFonts w:ascii="Arial"/>
                <w:color w:val="auto"/>
                <w:sz w:val="21"/>
                <w:highlight w:val="none"/>
              </w:rPr>
            </w:pPr>
          </w:p>
          <w:p w14:paraId="1122FE0E">
            <w:pPr>
              <w:pStyle w:val="18"/>
              <w:spacing w:before="65" w:line="228" w:lineRule="auto"/>
              <w:ind w:left="251"/>
              <w:rPr>
                <w:color w:val="auto"/>
                <w:highlight w:val="none"/>
              </w:rPr>
            </w:pPr>
            <w:r>
              <w:rPr>
                <w:color w:val="auto"/>
                <w:spacing w:val="7"/>
                <w:highlight w:val="none"/>
              </w:rPr>
              <w:t>评标方法</w:t>
            </w:r>
          </w:p>
        </w:tc>
        <w:tc>
          <w:tcPr>
            <w:tcW w:w="6916" w:type="dxa"/>
            <w:vAlign w:val="top"/>
          </w:tcPr>
          <w:p w14:paraId="097A3304">
            <w:pPr>
              <w:pStyle w:val="18"/>
              <w:spacing w:before="29" w:line="378" w:lineRule="auto"/>
              <w:ind w:left="116" w:right="106" w:firstLine="288"/>
              <w:rPr>
                <w:color w:val="auto"/>
                <w:highlight w:val="none"/>
              </w:rPr>
            </w:pPr>
            <w:r>
              <w:rPr>
                <w:color w:val="auto"/>
                <w:spacing w:val="13"/>
                <w:highlight w:val="none"/>
              </w:rPr>
              <w:t>综合评分相等时，评标委员会依次按照以下优先顺序推荐</w:t>
            </w:r>
            <w:r>
              <w:rPr>
                <w:rFonts w:hint="eastAsia"/>
                <w:color w:val="auto"/>
                <w:spacing w:val="13"/>
                <w:highlight w:val="none"/>
                <w:lang w:val="en-US" w:eastAsia="zh-CN"/>
              </w:rPr>
              <w:t>定</w:t>
            </w:r>
            <w:r>
              <w:rPr>
                <w:color w:val="auto"/>
                <w:spacing w:val="13"/>
                <w:highlight w:val="none"/>
              </w:rPr>
              <w:t>标候选人</w:t>
            </w:r>
            <w:r>
              <w:rPr>
                <w:color w:val="auto"/>
                <w:spacing w:val="6"/>
                <w:highlight w:val="none"/>
              </w:rPr>
              <w:t>：</w:t>
            </w:r>
          </w:p>
          <w:p w14:paraId="6DD92231">
            <w:pPr>
              <w:pStyle w:val="18"/>
              <w:spacing w:line="226" w:lineRule="auto"/>
              <w:ind w:left="411"/>
              <w:rPr>
                <w:color w:val="auto"/>
                <w:highlight w:val="none"/>
              </w:rPr>
            </w:pPr>
            <w:r>
              <w:rPr>
                <w:color w:val="auto"/>
                <w:spacing w:val="7"/>
                <w:highlight w:val="none"/>
              </w:rPr>
              <w:t>（1）评标价低的投标人优先；</w:t>
            </w:r>
          </w:p>
          <w:p w14:paraId="0DF1C28E">
            <w:pPr>
              <w:pStyle w:val="18"/>
              <w:spacing w:before="164" w:line="347" w:lineRule="auto"/>
              <w:ind w:left="113" w:right="109" w:firstLine="298"/>
              <w:rPr>
                <w:color w:val="auto"/>
                <w:highlight w:val="none"/>
              </w:rPr>
            </w:pPr>
            <w:r>
              <w:rPr>
                <w:color w:val="auto"/>
                <w:spacing w:val="9"/>
                <w:highlight w:val="none"/>
              </w:rPr>
              <w:t>（2）按招标文件规定被认定为广东省交通运输厅最新年度发布的广东</w:t>
            </w:r>
            <w:r>
              <w:rPr>
                <w:color w:val="auto"/>
                <w:spacing w:val="16"/>
                <w:highlight w:val="none"/>
              </w:rPr>
              <w:t>省公路工程从业单位信用等级（监理单位）较高的</w:t>
            </w:r>
            <w:r>
              <w:rPr>
                <w:color w:val="auto"/>
                <w:spacing w:val="15"/>
                <w:highlight w:val="none"/>
              </w:rPr>
              <w:t>投标人优先（采用如</w:t>
            </w:r>
            <w:r>
              <w:rPr>
                <w:color w:val="auto"/>
                <w:spacing w:val="19"/>
                <w:highlight w:val="none"/>
              </w:rPr>
              <w:t>下的优先顺序：承诺使用的</w:t>
            </w:r>
            <w:r>
              <w:rPr>
                <w:color w:val="auto"/>
                <w:highlight w:val="none"/>
              </w:rPr>
              <w:t>AA</w:t>
            </w:r>
            <w:r>
              <w:rPr>
                <w:color w:val="auto"/>
                <w:spacing w:val="-16"/>
                <w:highlight w:val="none"/>
              </w:rPr>
              <w:t xml:space="preserve"> </w:t>
            </w:r>
            <w:r>
              <w:rPr>
                <w:color w:val="auto"/>
                <w:spacing w:val="19"/>
                <w:highlight w:val="none"/>
              </w:rPr>
              <w:t>级投标人、不承诺使用的</w:t>
            </w:r>
            <w:r>
              <w:rPr>
                <w:color w:val="auto"/>
                <w:highlight w:val="none"/>
              </w:rPr>
              <w:t>AA</w:t>
            </w:r>
            <w:r>
              <w:rPr>
                <w:color w:val="auto"/>
                <w:spacing w:val="-29"/>
                <w:highlight w:val="none"/>
              </w:rPr>
              <w:t xml:space="preserve"> </w:t>
            </w:r>
            <w:r>
              <w:rPr>
                <w:color w:val="auto"/>
                <w:spacing w:val="19"/>
                <w:highlight w:val="none"/>
              </w:rPr>
              <w:t>级投标人、</w:t>
            </w:r>
            <w:r>
              <w:rPr>
                <w:color w:val="auto"/>
                <w:spacing w:val="9"/>
                <w:highlight w:val="none"/>
              </w:rPr>
              <w:t>承诺使用的</w:t>
            </w:r>
            <w:r>
              <w:rPr>
                <w:color w:val="auto"/>
                <w:spacing w:val="-46"/>
                <w:highlight w:val="none"/>
              </w:rPr>
              <w:t xml:space="preserve"> </w:t>
            </w:r>
            <w:r>
              <w:rPr>
                <w:color w:val="auto"/>
                <w:spacing w:val="9"/>
                <w:highlight w:val="none"/>
              </w:rPr>
              <w:t>A</w:t>
            </w:r>
            <w:r>
              <w:rPr>
                <w:color w:val="auto"/>
                <w:spacing w:val="-34"/>
                <w:highlight w:val="none"/>
              </w:rPr>
              <w:t xml:space="preserve"> </w:t>
            </w:r>
            <w:r>
              <w:rPr>
                <w:color w:val="auto"/>
                <w:spacing w:val="9"/>
                <w:highlight w:val="none"/>
              </w:rPr>
              <w:t>级投标人、不承诺使用的</w:t>
            </w:r>
            <w:r>
              <w:rPr>
                <w:color w:val="auto"/>
                <w:spacing w:val="-43"/>
                <w:highlight w:val="none"/>
              </w:rPr>
              <w:t xml:space="preserve"> </w:t>
            </w:r>
            <w:r>
              <w:rPr>
                <w:color w:val="auto"/>
                <w:spacing w:val="9"/>
                <w:highlight w:val="none"/>
              </w:rPr>
              <w:t>A</w:t>
            </w:r>
            <w:r>
              <w:rPr>
                <w:color w:val="auto"/>
                <w:spacing w:val="-35"/>
                <w:highlight w:val="none"/>
              </w:rPr>
              <w:t xml:space="preserve"> </w:t>
            </w:r>
            <w:r>
              <w:rPr>
                <w:color w:val="auto"/>
                <w:spacing w:val="9"/>
                <w:highlight w:val="none"/>
              </w:rPr>
              <w:t>级投标人、</w:t>
            </w:r>
            <w:r>
              <w:rPr>
                <w:color w:val="auto"/>
                <w:spacing w:val="8"/>
                <w:highlight w:val="none"/>
              </w:rPr>
              <w:t>B</w:t>
            </w:r>
            <w:r>
              <w:rPr>
                <w:color w:val="auto"/>
                <w:spacing w:val="-35"/>
                <w:highlight w:val="none"/>
              </w:rPr>
              <w:t xml:space="preserve"> </w:t>
            </w:r>
            <w:r>
              <w:rPr>
                <w:color w:val="auto"/>
                <w:spacing w:val="8"/>
                <w:highlight w:val="none"/>
              </w:rPr>
              <w:t>级投标人、未参评</w:t>
            </w:r>
            <w:r>
              <w:rPr>
                <w:color w:val="auto"/>
                <w:spacing w:val="6"/>
                <w:highlight w:val="none"/>
              </w:rPr>
              <w:t>且被确定为</w:t>
            </w:r>
            <w:r>
              <w:rPr>
                <w:color w:val="auto"/>
                <w:spacing w:val="-43"/>
                <w:highlight w:val="none"/>
              </w:rPr>
              <w:t xml:space="preserve"> </w:t>
            </w:r>
            <w:r>
              <w:rPr>
                <w:color w:val="auto"/>
                <w:spacing w:val="6"/>
                <w:highlight w:val="none"/>
              </w:rPr>
              <w:t>B</w:t>
            </w:r>
            <w:r>
              <w:rPr>
                <w:color w:val="auto"/>
                <w:spacing w:val="-35"/>
                <w:highlight w:val="none"/>
              </w:rPr>
              <w:t xml:space="preserve"> </w:t>
            </w:r>
            <w:r>
              <w:rPr>
                <w:color w:val="auto"/>
                <w:spacing w:val="6"/>
                <w:highlight w:val="none"/>
              </w:rPr>
              <w:t>级投标人</w:t>
            </w:r>
            <w:r>
              <w:rPr>
                <w:color w:val="auto"/>
                <w:spacing w:val="3"/>
                <w:highlight w:val="none"/>
              </w:rPr>
              <w:t>）；</w:t>
            </w:r>
          </w:p>
          <w:p w14:paraId="39E957AC">
            <w:pPr>
              <w:pStyle w:val="18"/>
              <w:spacing w:before="160" w:line="228" w:lineRule="auto"/>
              <w:ind w:left="411"/>
              <w:rPr>
                <w:color w:val="auto"/>
                <w:highlight w:val="none"/>
              </w:rPr>
            </w:pPr>
            <w:r>
              <w:rPr>
                <w:color w:val="auto"/>
                <w:spacing w:val="8"/>
                <w:highlight w:val="none"/>
              </w:rPr>
              <w:t>（3）商务和技术得分较高的投标人优先；</w:t>
            </w:r>
          </w:p>
          <w:p w14:paraId="1C495720">
            <w:pPr>
              <w:pStyle w:val="18"/>
              <w:spacing w:before="161" w:line="227" w:lineRule="auto"/>
              <w:ind w:left="411"/>
              <w:rPr>
                <w:color w:val="auto"/>
                <w:highlight w:val="none"/>
              </w:rPr>
            </w:pPr>
            <w:r>
              <w:rPr>
                <w:color w:val="auto"/>
                <w:spacing w:val="8"/>
                <w:highlight w:val="none"/>
              </w:rPr>
              <w:t>（4）评标委员会视投标人情况综合比较，投票确定其名次。</w:t>
            </w:r>
          </w:p>
        </w:tc>
      </w:tr>
      <w:tr w14:paraId="3FCD57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49" w:hRule="atLeast"/>
        </w:trPr>
        <w:tc>
          <w:tcPr>
            <w:tcW w:w="1034" w:type="dxa"/>
            <w:vAlign w:val="top"/>
          </w:tcPr>
          <w:p w14:paraId="7EFA8D2F">
            <w:pPr>
              <w:spacing w:line="251" w:lineRule="auto"/>
              <w:rPr>
                <w:rFonts w:ascii="Arial"/>
                <w:color w:val="auto"/>
                <w:sz w:val="21"/>
                <w:highlight w:val="none"/>
              </w:rPr>
            </w:pPr>
          </w:p>
          <w:p w14:paraId="23BF62B5">
            <w:pPr>
              <w:spacing w:line="251" w:lineRule="auto"/>
              <w:rPr>
                <w:rFonts w:ascii="Arial"/>
                <w:color w:val="auto"/>
                <w:sz w:val="21"/>
                <w:highlight w:val="none"/>
              </w:rPr>
            </w:pPr>
          </w:p>
          <w:p w14:paraId="5E207B4E">
            <w:pPr>
              <w:spacing w:line="251" w:lineRule="auto"/>
              <w:rPr>
                <w:rFonts w:ascii="Arial"/>
                <w:color w:val="auto"/>
                <w:sz w:val="21"/>
                <w:highlight w:val="none"/>
              </w:rPr>
            </w:pPr>
          </w:p>
          <w:p w14:paraId="77F6FBA0">
            <w:pPr>
              <w:spacing w:line="251" w:lineRule="auto"/>
              <w:rPr>
                <w:rFonts w:ascii="Arial"/>
                <w:color w:val="auto"/>
                <w:sz w:val="21"/>
                <w:highlight w:val="none"/>
              </w:rPr>
            </w:pPr>
          </w:p>
          <w:p w14:paraId="562DF45D">
            <w:pPr>
              <w:spacing w:line="251" w:lineRule="auto"/>
              <w:rPr>
                <w:rFonts w:ascii="Arial"/>
                <w:color w:val="auto"/>
                <w:sz w:val="21"/>
                <w:highlight w:val="none"/>
              </w:rPr>
            </w:pPr>
          </w:p>
          <w:p w14:paraId="173AD15B">
            <w:pPr>
              <w:spacing w:line="251" w:lineRule="auto"/>
              <w:rPr>
                <w:rFonts w:ascii="Arial"/>
                <w:color w:val="auto"/>
                <w:sz w:val="21"/>
                <w:highlight w:val="none"/>
              </w:rPr>
            </w:pPr>
          </w:p>
          <w:p w14:paraId="3D933784">
            <w:pPr>
              <w:spacing w:line="251" w:lineRule="auto"/>
              <w:rPr>
                <w:rFonts w:ascii="Arial"/>
                <w:color w:val="auto"/>
                <w:sz w:val="21"/>
                <w:highlight w:val="none"/>
              </w:rPr>
            </w:pPr>
          </w:p>
          <w:p w14:paraId="39453A07">
            <w:pPr>
              <w:spacing w:line="251" w:lineRule="auto"/>
              <w:rPr>
                <w:rFonts w:ascii="Arial"/>
                <w:color w:val="auto"/>
                <w:sz w:val="21"/>
                <w:highlight w:val="none"/>
              </w:rPr>
            </w:pPr>
          </w:p>
          <w:p w14:paraId="71E816A2">
            <w:pPr>
              <w:spacing w:line="251" w:lineRule="auto"/>
              <w:rPr>
                <w:rFonts w:ascii="Arial"/>
                <w:color w:val="auto"/>
                <w:sz w:val="21"/>
                <w:highlight w:val="none"/>
              </w:rPr>
            </w:pPr>
          </w:p>
          <w:p w14:paraId="5ABCF599">
            <w:pPr>
              <w:spacing w:line="251" w:lineRule="auto"/>
              <w:rPr>
                <w:rFonts w:ascii="Arial"/>
                <w:color w:val="auto"/>
                <w:sz w:val="21"/>
                <w:highlight w:val="none"/>
              </w:rPr>
            </w:pPr>
          </w:p>
          <w:p w14:paraId="7DD81669">
            <w:pPr>
              <w:spacing w:line="251" w:lineRule="auto"/>
              <w:rPr>
                <w:rFonts w:ascii="Arial"/>
                <w:color w:val="auto"/>
                <w:sz w:val="21"/>
                <w:highlight w:val="none"/>
              </w:rPr>
            </w:pPr>
          </w:p>
          <w:p w14:paraId="30ED8846">
            <w:pPr>
              <w:spacing w:line="251" w:lineRule="auto"/>
              <w:rPr>
                <w:rFonts w:ascii="Arial"/>
                <w:color w:val="auto"/>
                <w:sz w:val="21"/>
                <w:highlight w:val="none"/>
              </w:rPr>
            </w:pPr>
          </w:p>
          <w:p w14:paraId="6B1E4B8C">
            <w:pPr>
              <w:pStyle w:val="18"/>
              <w:spacing w:before="65" w:line="268" w:lineRule="exact"/>
              <w:ind w:left="261"/>
              <w:rPr>
                <w:color w:val="auto"/>
                <w:highlight w:val="none"/>
              </w:rPr>
            </w:pPr>
            <w:r>
              <w:rPr>
                <w:color w:val="auto"/>
                <w:spacing w:val="2"/>
                <w:position w:val="1"/>
                <w:highlight w:val="none"/>
              </w:rPr>
              <w:t>2.1.1</w:t>
            </w:r>
          </w:p>
          <w:p w14:paraId="33E28E94">
            <w:pPr>
              <w:pStyle w:val="18"/>
              <w:spacing w:before="140" w:line="267" w:lineRule="exact"/>
              <w:ind w:left="261"/>
              <w:rPr>
                <w:color w:val="auto"/>
                <w:highlight w:val="none"/>
              </w:rPr>
            </w:pPr>
            <w:r>
              <w:rPr>
                <w:color w:val="auto"/>
                <w:spacing w:val="2"/>
                <w:position w:val="1"/>
                <w:highlight w:val="none"/>
              </w:rPr>
              <w:t>2.1.3</w:t>
            </w:r>
          </w:p>
        </w:tc>
        <w:tc>
          <w:tcPr>
            <w:tcW w:w="1336" w:type="dxa"/>
            <w:vAlign w:val="top"/>
          </w:tcPr>
          <w:p w14:paraId="2CC63BF3">
            <w:pPr>
              <w:spacing w:line="255" w:lineRule="auto"/>
              <w:rPr>
                <w:rFonts w:ascii="Arial"/>
                <w:color w:val="auto"/>
                <w:sz w:val="21"/>
                <w:highlight w:val="none"/>
              </w:rPr>
            </w:pPr>
          </w:p>
          <w:p w14:paraId="2B45ABE5">
            <w:pPr>
              <w:spacing w:line="255" w:lineRule="auto"/>
              <w:rPr>
                <w:rFonts w:ascii="Arial"/>
                <w:color w:val="auto"/>
                <w:sz w:val="21"/>
                <w:highlight w:val="none"/>
              </w:rPr>
            </w:pPr>
          </w:p>
          <w:p w14:paraId="058EB658">
            <w:pPr>
              <w:spacing w:line="255" w:lineRule="auto"/>
              <w:rPr>
                <w:rFonts w:ascii="Arial"/>
                <w:color w:val="auto"/>
                <w:sz w:val="21"/>
                <w:highlight w:val="none"/>
              </w:rPr>
            </w:pPr>
          </w:p>
          <w:p w14:paraId="1E30C2C6">
            <w:pPr>
              <w:spacing w:line="255" w:lineRule="auto"/>
              <w:rPr>
                <w:rFonts w:ascii="Arial"/>
                <w:color w:val="auto"/>
                <w:sz w:val="21"/>
                <w:highlight w:val="none"/>
              </w:rPr>
            </w:pPr>
          </w:p>
          <w:p w14:paraId="578EE253">
            <w:pPr>
              <w:spacing w:line="255" w:lineRule="auto"/>
              <w:rPr>
                <w:rFonts w:ascii="Arial"/>
                <w:color w:val="auto"/>
                <w:sz w:val="21"/>
                <w:highlight w:val="none"/>
              </w:rPr>
            </w:pPr>
          </w:p>
          <w:p w14:paraId="04D01911">
            <w:pPr>
              <w:spacing w:line="255" w:lineRule="auto"/>
              <w:rPr>
                <w:rFonts w:ascii="Arial"/>
                <w:color w:val="auto"/>
                <w:sz w:val="21"/>
                <w:highlight w:val="none"/>
              </w:rPr>
            </w:pPr>
          </w:p>
          <w:p w14:paraId="30C4098D">
            <w:pPr>
              <w:spacing w:line="256" w:lineRule="auto"/>
              <w:rPr>
                <w:rFonts w:ascii="Arial"/>
                <w:color w:val="auto"/>
                <w:sz w:val="21"/>
                <w:highlight w:val="none"/>
              </w:rPr>
            </w:pPr>
          </w:p>
          <w:p w14:paraId="4BB8DDEC">
            <w:pPr>
              <w:spacing w:line="256" w:lineRule="auto"/>
              <w:rPr>
                <w:rFonts w:ascii="Arial"/>
                <w:color w:val="auto"/>
                <w:sz w:val="21"/>
                <w:highlight w:val="none"/>
              </w:rPr>
            </w:pPr>
          </w:p>
          <w:p w14:paraId="4FFABDF9">
            <w:pPr>
              <w:spacing w:line="256" w:lineRule="auto"/>
              <w:rPr>
                <w:rFonts w:ascii="Arial"/>
                <w:color w:val="auto"/>
                <w:sz w:val="21"/>
                <w:highlight w:val="none"/>
              </w:rPr>
            </w:pPr>
          </w:p>
          <w:p w14:paraId="5964BEB1">
            <w:pPr>
              <w:spacing w:line="256" w:lineRule="auto"/>
              <w:rPr>
                <w:rFonts w:ascii="Arial"/>
                <w:color w:val="auto"/>
                <w:sz w:val="21"/>
                <w:highlight w:val="none"/>
              </w:rPr>
            </w:pPr>
          </w:p>
          <w:p w14:paraId="3496A50A">
            <w:pPr>
              <w:spacing w:line="256" w:lineRule="auto"/>
              <w:rPr>
                <w:rFonts w:ascii="Arial"/>
                <w:color w:val="auto"/>
                <w:sz w:val="21"/>
                <w:highlight w:val="none"/>
              </w:rPr>
            </w:pPr>
          </w:p>
          <w:p w14:paraId="5BEA3204">
            <w:pPr>
              <w:pStyle w:val="18"/>
              <w:spacing w:before="65" w:line="228" w:lineRule="auto"/>
              <w:ind w:left="149"/>
              <w:rPr>
                <w:color w:val="auto"/>
                <w:highlight w:val="none"/>
              </w:rPr>
            </w:pPr>
            <w:r>
              <w:rPr>
                <w:color w:val="auto"/>
                <w:spacing w:val="7"/>
                <w:highlight w:val="none"/>
              </w:rPr>
              <w:t>形式评审与</w:t>
            </w:r>
          </w:p>
          <w:p w14:paraId="0CD9A8D1">
            <w:pPr>
              <w:pStyle w:val="18"/>
              <w:spacing w:before="160" w:line="228" w:lineRule="auto"/>
              <w:ind w:left="157"/>
              <w:rPr>
                <w:color w:val="auto"/>
                <w:highlight w:val="none"/>
              </w:rPr>
            </w:pPr>
            <w:r>
              <w:rPr>
                <w:color w:val="auto"/>
                <w:spacing w:val="6"/>
                <w:highlight w:val="none"/>
              </w:rPr>
              <w:t>响应性评审</w:t>
            </w:r>
          </w:p>
          <w:p w14:paraId="545EC64A">
            <w:pPr>
              <w:pStyle w:val="18"/>
              <w:spacing w:before="143" w:line="265" w:lineRule="exact"/>
              <w:ind w:left="411"/>
              <w:rPr>
                <w:color w:val="auto"/>
                <w:sz w:val="10"/>
                <w:szCs w:val="10"/>
                <w:highlight w:val="none"/>
              </w:rPr>
            </w:pPr>
            <w:r>
              <w:rPr>
                <w:color w:val="auto"/>
                <w:spacing w:val="5"/>
                <w:highlight w:val="none"/>
              </w:rPr>
              <w:t>标准</w:t>
            </w:r>
            <w:r>
              <w:rPr>
                <w:color w:val="auto"/>
                <w:highlight w:val="none"/>
              </w:rPr>
              <w:fldChar w:fldCharType="begin"/>
            </w:r>
            <w:r>
              <w:rPr>
                <w:color w:val="auto"/>
                <w:highlight w:val="none"/>
              </w:rPr>
              <w:instrText xml:space="preserve"> HYPERLINK \l "bookmark113" </w:instrText>
            </w:r>
            <w:r>
              <w:rPr>
                <w:color w:val="auto"/>
                <w:highlight w:val="none"/>
              </w:rPr>
              <w:fldChar w:fldCharType="separate"/>
            </w:r>
            <w:r>
              <w:rPr>
                <w:color w:val="auto"/>
                <w:spacing w:val="5"/>
                <w:position w:val="10"/>
                <w:sz w:val="10"/>
                <w:szCs w:val="10"/>
                <w:highlight w:val="none"/>
              </w:rPr>
              <w:t>②</w:t>
            </w:r>
            <w:r>
              <w:rPr>
                <w:color w:val="auto"/>
                <w:spacing w:val="5"/>
                <w:position w:val="10"/>
                <w:sz w:val="10"/>
                <w:szCs w:val="10"/>
                <w:highlight w:val="none"/>
              </w:rPr>
              <w:fldChar w:fldCharType="end"/>
            </w:r>
          </w:p>
        </w:tc>
        <w:tc>
          <w:tcPr>
            <w:tcW w:w="6916" w:type="dxa"/>
            <w:vAlign w:val="top"/>
          </w:tcPr>
          <w:p w14:paraId="569DD5E0">
            <w:pPr>
              <w:pStyle w:val="18"/>
              <w:spacing w:before="33" w:line="228" w:lineRule="auto"/>
              <w:ind w:left="533"/>
              <w:rPr>
                <w:color w:val="auto"/>
                <w:highlight w:val="none"/>
              </w:rPr>
            </w:pPr>
            <w:r>
              <w:rPr>
                <w:b/>
                <w:bCs/>
                <w:color w:val="auto"/>
                <w:spacing w:val="7"/>
                <w:highlight w:val="none"/>
              </w:rPr>
              <w:t>第一个信封（商务及技术文件）评审标准：</w:t>
            </w:r>
          </w:p>
          <w:p w14:paraId="390BA5C3">
            <w:pPr>
              <w:pStyle w:val="18"/>
              <w:spacing w:before="160" w:line="377" w:lineRule="auto"/>
              <w:ind w:left="114" w:right="106" w:firstLine="429"/>
              <w:rPr>
                <w:color w:val="auto"/>
                <w:highlight w:val="none"/>
              </w:rPr>
            </w:pPr>
            <w:r>
              <w:rPr>
                <w:color w:val="auto"/>
                <w:spacing w:val="16"/>
                <w:highlight w:val="none"/>
              </w:rPr>
              <w:t>（1）</w:t>
            </w:r>
            <w:r>
              <w:rPr>
                <w:color w:val="auto"/>
                <w:spacing w:val="-56"/>
                <w:highlight w:val="none"/>
              </w:rPr>
              <w:t xml:space="preserve"> </w:t>
            </w:r>
            <w:r>
              <w:rPr>
                <w:color w:val="auto"/>
                <w:spacing w:val="16"/>
                <w:highlight w:val="none"/>
              </w:rPr>
              <w:t>投标文件按照招标文件规定的格式、</w:t>
            </w:r>
            <w:r>
              <w:rPr>
                <w:color w:val="auto"/>
                <w:spacing w:val="-49"/>
                <w:highlight w:val="none"/>
              </w:rPr>
              <w:t xml:space="preserve"> </w:t>
            </w:r>
            <w:r>
              <w:rPr>
                <w:color w:val="auto"/>
                <w:spacing w:val="16"/>
                <w:highlight w:val="none"/>
              </w:rPr>
              <w:t>内容填写，字迹清晰可</w:t>
            </w:r>
            <w:r>
              <w:rPr>
                <w:color w:val="auto"/>
                <w:highlight w:val="none"/>
              </w:rPr>
              <w:t>辨：</w:t>
            </w:r>
          </w:p>
          <w:p w14:paraId="1F698DA4">
            <w:pPr>
              <w:pStyle w:val="18"/>
              <w:spacing w:line="303" w:lineRule="auto"/>
              <w:ind w:left="113" w:right="106" w:firstLine="420"/>
              <w:rPr>
                <w:color w:val="auto"/>
                <w:highlight w:val="none"/>
              </w:rPr>
            </w:pPr>
            <w:r>
              <w:rPr>
                <w:color w:val="auto"/>
                <w:spacing w:val="14"/>
                <w:highlight w:val="none"/>
              </w:rPr>
              <w:t>a.投标函按招标文件规定填报了项目名称、标段号（如有）</w:t>
            </w:r>
            <w:r>
              <w:rPr>
                <w:color w:val="auto"/>
                <w:spacing w:val="-52"/>
                <w:highlight w:val="none"/>
              </w:rPr>
              <w:t xml:space="preserve"> </w:t>
            </w:r>
            <w:r>
              <w:rPr>
                <w:color w:val="auto"/>
                <w:spacing w:val="14"/>
                <w:highlight w:val="none"/>
              </w:rPr>
              <w:t>、监理</w:t>
            </w:r>
            <w:r>
              <w:rPr>
                <w:color w:val="auto"/>
                <w:spacing w:val="8"/>
                <w:highlight w:val="none"/>
              </w:rPr>
              <w:t>服务期限、工程质量要求及安全目标；</w:t>
            </w:r>
          </w:p>
          <w:p w14:paraId="0DA867ED">
            <w:pPr>
              <w:pStyle w:val="18"/>
              <w:spacing w:before="160" w:line="228" w:lineRule="auto"/>
              <w:ind w:left="530"/>
              <w:rPr>
                <w:color w:val="auto"/>
                <w:highlight w:val="none"/>
              </w:rPr>
            </w:pPr>
            <w:r>
              <w:rPr>
                <w:color w:val="auto"/>
                <w:spacing w:val="8"/>
                <w:highlight w:val="none"/>
              </w:rPr>
              <w:t>b.投标文件组成齐全完整，内容均按规定填写。</w:t>
            </w:r>
          </w:p>
          <w:p w14:paraId="51402226">
            <w:pPr>
              <w:pStyle w:val="18"/>
              <w:spacing w:before="161" w:line="302" w:lineRule="auto"/>
              <w:ind w:left="121" w:right="109" w:firstLine="422"/>
              <w:rPr>
                <w:color w:val="auto"/>
                <w:highlight w:val="none"/>
              </w:rPr>
            </w:pPr>
            <w:r>
              <w:rPr>
                <w:color w:val="auto"/>
                <w:spacing w:val="12"/>
                <w:highlight w:val="none"/>
              </w:rPr>
              <w:t>（2）投标文件上法定代表人或其委托代理人的签字、投标</w:t>
            </w:r>
            <w:r>
              <w:rPr>
                <w:color w:val="auto"/>
                <w:spacing w:val="11"/>
                <w:highlight w:val="none"/>
              </w:rPr>
              <w:t>人的单位</w:t>
            </w:r>
            <w:r>
              <w:rPr>
                <w:color w:val="auto"/>
                <w:spacing w:val="8"/>
                <w:highlight w:val="none"/>
              </w:rPr>
              <w:t>章盖章齐全，符合招标文件规定。</w:t>
            </w:r>
          </w:p>
          <w:p w14:paraId="051FDA7E">
            <w:pPr>
              <w:pStyle w:val="18"/>
              <w:spacing w:before="162" w:line="227" w:lineRule="auto"/>
              <w:ind w:left="543"/>
              <w:rPr>
                <w:color w:val="auto"/>
                <w:highlight w:val="none"/>
              </w:rPr>
            </w:pPr>
            <w:r>
              <w:rPr>
                <w:color w:val="auto"/>
                <w:spacing w:val="8"/>
                <w:highlight w:val="none"/>
              </w:rPr>
              <w:t>（3） 投标人按照招标文件的规定提供了投标保证金：</w:t>
            </w:r>
          </w:p>
          <w:p w14:paraId="70529188">
            <w:pPr>
              <w:pStyle w:val="18"/>
              <w:spacing w:before="161" w:line="304" w:lineRule="auto"/>
              <w:ind w:left="117" w:right="109" w:firstLine="417"/>
              <w:rPr>
                <w:color w:val="auto"/>
                <w:highlight w:val="none"/>
              </w:rPr>
            </w:pPr>
            <w:r>
              <w:rPr>
                <w:color w:val="auto"/>
                <w:spacing w:val="15"/>
                <w:highlight w:val="none"/>
              </w:rPr>
              <w:t>a.投标保证金金额符合招标文件规定的金额，且投标保证金有效期</w:t>
            </w:r>
            <w:r>
              <w:rPr>
                <w:color w:val="auto"/>
                <w:spacing w:val="7"/>
                <w:highlight w:val="none"/>
              </w:rPr>
              <w:t>不少于投标有效期；</w:t>
            </w:r>
          </w:p>
          <w:p w14:paraId="6D24ACE6">
            <w:pPr>
              <w:pStyle w:val="18"/>
              <w:spacing w:before="162" w:line="327" w:lineRule="auto"/>
              <w:ind w:left="114" w:right="106" w:firstLine="415"/>
              <w:rPr>
                <w:color w:val="auto"/>
                <w:highlight w:val="none"/>
              </w:rPr>
            </w:pPr>
            <w:r>
              <w:rPr>
                <w:color w:val="auto"/>
                <w:spacing w:val="16"/>
                <w:highlight w:val="none"/>
              </w:rPr>
              <w:t>b.若投标保证金采用现金或支票形式提交，</w:t>
            </w:r>
            <w:r>
              <w:rPr>
                <w:color w:val="auto"/>
                <w:spacing w:val="15"/>
                <w:highlight w:val="none"/>
              </w:rPr>
              <w:t>投标人应在招标文件规</w:t>
            </w:r>
            <w:r>
              <w:rPr>
                <w:color w:val="auto"/>
                <w:spacing w:val="16"/>
                <w:highlight w:val="none"/>
              </w:rPr>
              <w:t>定的投标保证金递交截止时间之前，将投标保证金由</w:t>
            </w:r>
            <w:r>
              <w:rPr>
                <w:color w:val="auto"/>
                <w:spacing w:val="15"/>
                <w:highlight w:val="none"/>
              </w:rPr>
              <w:t>投标人的基本账户</w:t>
            </w:r>
            <w:r>
              <w:rPr>
                <w:color w:val="auto"/>
                <w:spacing w:val="7"/>
                <w:highlight w:val="none"/>
              </w:rPr>
              <w:t>转入招标人指定账户；</w:t>
            </w:r>
          </w:p>
          <w:p w14:paraId="046900D6">
            <w:pPr>
              <w:pStyle w:val="18"/>
              <w:spacing w:before="163" w:line="302" w:lineRule="auto"/>
              <w:ind w:left="114" w:right="106" w:firstLine="423"/>
              <w:rPr>
                <w:color w:val="auto"/>
                <w:highlight w:val="none"/>
              </w:rPr>
            </w:pPr>
            <w:r>
              <w:rPr>
                <w:color w:val="auto"/>
                <w:spacing w:val="13"/>
                <w:highlight w:val="none"/>
              </w:rPr>
              <w:t>c.若投标保证金采用银行保函或投标人须知前附表</w:t>
            </w:r>
            <w:r>
              <w:rPr>
                <w:color w:val="auto"/>
                <w:spacing w:val="-24"/>
                <w:highlight w:val="none"/>
              </w:rPr>
              <w:t xml:space="preserve"> </w:t>
            </w:r>
            <w:r>
              <w:rPr>
                <w:color w:val="auto"/>
                <w:spacing w:val="13"/>
                <w:highlight w:val="none"/>
              </w:rPr>
              <w:t>3.4.1</w:t>
            </w:r>
            <w:r>
              <w:rPr>
                <w:color w:val="auto"/>
                <w:spacing w:val="-27"/>
                <w:highlight w:val="none"/>
              </w:rPr>
              <w:t xml:space="preserve"> </w:t>
            </w:r>
            <w:r>
              <w:rPr>
                <w:color w:val="auto"/>
                <w:spacing w:val="13"/>
                <w:highlight w:val="none"/>
              </w:rPr>
              <w:t>项规定的</w:t>
            </w:r>
            <w:r>
              <w:rPr>
                <w:color w:val="auto"/>
                <w:spacing w:val="8"/>
                <w:highlight w:val="none"/>
              </w:rPr>
              <w:t>其他形式提交，应满足招标文件要求。</w:t>
            </w:r>
          </w:p>
          <w:p w14:paraId="508144B6">
            <w:pPr>
              <w:pStyle w:val="18"/>
              <w:spacing w:before="161" w:line="228" w:lineRule="auto"/>
              <w:ind w:left="543"/>
              <w:rPr>
                <w:color w:val="auto"/>
                <w:highlight w:val="none"/>
              </w:rPr>
            </w:pPr>
            <w:r>
              <w:rPr>
                <w:color w:val="auto"/>
                <w:spacing w:val="12"/>
                <w:highlight w:val="none"/>
              </w:rPr>
              <w:t>（4）投标人法定代表人授权委托代理人签署投标文件的，</w:t>
            </w:r>
            <w:r>
              <w:rPr>
                <w:color w:val="auto"/>
                <w:spacing w:val="11"/>
                <w:highlight w:val="none"/>
              </w:rPr>
              <w:t>须提交授</w:t>
            </w:r>
          </w:p>
        </w:tc>
      </w:tr>
    </w:tbl>
    <w:p w14:paraId="0E25F585">
      <w:pPr>
        <w:spacing w:line="404" w:lineRule="auto"/>
        <w:rPr>
          <w:rFonts w:ascii="Arial"/>
          <w:color w:val="auto"/>
          <w:sz w:val="21"/>
          <w:highlight w:val="none"/>
        </w:rPr>
      </w:pPr>
      <w:r>
        <w:rPr>
          <w:color w:val="auto"/>
          <w:highlight w:val="none"/>
        </w:rPr>
        <w:pict>
          <v:shape id="_x0000_s1069" o:spid="_x0000_s1069" style="position:absolute;left:0pt;margin-left:5.6pt;margin-top:15.85pt;height:0pt;width:144pt;z-index:251682816;mso-width-relative:page;mso-height-relative:page;" filled="f" stroked="t" coordsize="2880,0" path="m0,0l2880,0e">
            <v:fill on="f" focussize="0,0"/>
            <v:stroke weight="0pt" color="#000000" miterlimit="0" joinstyle="bevel" endcap="square"/>
            <v:imagedata o:title=""/>
            <o:lock v:ext="edit"/>
          </v:shape>
        </w:pict>
      </w:r>
    </w:p>
    <w:p w14:paraId="402E6D3A">
      <w:pPr>
        <w:spacing w:before="58" w:line="230" w:lineRule="auto"/>
        <w:ind w:left="120" w:right="313" w:hanging="2"/>
        <w:rPr>
          <w:rFonts w:ascii="宋体" w:hAnsi="宋体" w:eastAsia="宋体" w:cs="宋体"/>
          <w:color w:val="auto"/>
          <w:sz w:val="18"/>
          <w:szCs w:val="18"/>
          <w:highlight w:val="none"/>
        </w:rPr>
      </w:pPr>
      <w:bookmarkStart w:id="235" w:name="bookmark112"/>
      <w:bookmarkEnd w:id="235"/>
      <w:r>
        <w:rPr>
          <w:rFonts w:ascii="宋体" w:hAnsi="宋体" w:eastAsia="宋体" w:cs="宋体"/>
          <w:color w:val="auto"/>
          <w:spacing w:val="-1"/>
          <w:sz w:val="18"/>
          <w:szCs w:val="18"/>
          <w:highlight w:val="none"/>
        </w:rPr>
        <w:t>① “评标办法前附表</w:t>
      </w:r>
      <w:r>
        <w:rPr>
          <w:rFonts w:ascii="宋体" w:hAnsi="宋体" w:eastAsia="宋体" w:cs="宋体"/>
          <w:color w:val="auto"/>
          <w:spacing w:val="-66"/>
          <w:sz w:val="18"/>
          <w:szCs w:val="18"/>
          <w:highlight w:val="none"/>
        </w:rPr>
        <w:t xml:space="preserve"> </w:t>
      </w:r>
      <w:r>
        <w:rPr>
          <w:rFonts w:ascii="宋体" w:hAnsi="宋体" w:eastAsia="宋体" w:cs="宋体"/>
          <w:color w:val="auto"/>
          <w:spacing w:val="-1"/>
          <w:sz w:val="18"/>
          <w:szCs w:val="18"/>
          <w:highlight w:val="none"/>
        </w:rPr>
        <w:t>”用于明确评标的方法、因素、</w:t>
      </w:r>
      <w:r>
        <w:rPr>
          <w:rFonts w:ascii="宋体" w:hAnsi="宋体" w:eastAsia="宋体" w:cs="宋体"/>
          <w:color w:val="auto"/>
          <w:spacing w:val="-2"/>
          <w:sz w:val="18"/>
          <w:szCs w:val="18"/>
          <w:highlight w:val="none"/>
        </w:rPr>
        <w:t>标准和程序。招标人应根据招标项目具体特点和实际需要，</w:t>
      </w:r>
      <w:bookmarkStart w:id="236" w:name="bookmark113"/>
      <w:bookmarkEnd w:id="236"/>
      <w:r>
        <w:rPr>
          <w:rFonts w:ascii="宋体" w:hAnsi="宋体" w:eastAsia="宋体" w:cs="宋体"/>
          <w:color w:val="auto"/>
          <w:sz w:val="18"/>
          <w:szCs w:val="18"/>
          <w:highlight w:val="none"/>
        </w:rPr>
        <w:t>详细列明全部评审因素、标准，没有列明的因素和标</w:t>
      </w:r>
      <w:r>
        <w:rPr>
          <w:rFonts w:ascii="宋体" w:hAnsi="宋体" w:eastAsia="宋体" w:cs="宋体"/>
          <w:color w:val="auto"/>
          <w:spacing w:val="-1"/>
          <w:sz w:val="18"/>
          <w:szCs w:val="18"/>
          <w:highlight w:val="none"/>
        </w:rPr>
        <w:t>准不得作为评标的依据。</w:t>
      </w:r>
    </w:p>
    <w:p w14:paraId="7893F3F9">
      <w:pPr>
        <w:spacing w:before="19" w:line="229" w:lineRule="auto"/>
        <w:ind w:left="120" w:right="223" w:hanging="3"/>
        <w:rPr>
          <w:rFonts w:ascii="宋体" w:hAnsi="宋体" w:eastAsia="宋体" w:cs="宋体"/>
          <w:color w:val="auto"/>
          <w:sz w:val="18"/>
          <w:szCs w:val="18"/>
          <w:highlight w:val="none"/>
        </w:rPr>
      </w:pPr>
      <w:r>
        <w:rPr>
          <w:rFonts w:ascii="宋体" w:hAnsi="宋体" w:eastAsia="宋体" w:cs="宋体"/>
          <w:color w:val="auto"/>
          <w:sz w:val="18"/>
          <w:szCs w:val="18"/>
          <w:highlight w:val="none"/>
        </w:rPr>
        <w:t>②</w:t>
      </w:r>
      <w:r>
        <w:rPr>
          <w:rFonts w:ascii="宋体" w:hAnsi="宋体" w:eastAsia="宋体" w:cs="宋体"/>
          <w:color w:val="auto"/>
          <w:spacing w:val="53"/>
          <w:sz w:val="18"/>
          <w:szCs w:val="18"/>
          <w:highlight w:val="none"/>
        </w:rPr>
        <w:t xml:space="preserve"> </w:t>
      </w:r>
      <w:r>
        <w:rPr>
          <w:rFonts w:ascii="宋体" w:hAnsi="宋体" w:eastAsia="宋体" w:cs="宋体"/>
          <w:color w:val="auto"/>
          <w:sz w:val="18"/>
          <w:szCs w:val="18"/>
          <w:highlight w:val="none"/>
        </w:rPr>
        <w:t>评标委员应严格按照招标文件规定的条款进行评审，对投标文件中非实质性错误</w:t>
      </w:r>
      <w:r>
        <w:rPr>
          <w:rFonts w:ascii="宋体" w:hAnsi="宋体" w:eastAsia="宋体" w:cs="宋体"/>
          <w:color w:val="auto"/>
          <w:spacing w:val="-1"/>
          <w:sz w:val="18"/>
          <w:szCs w:val="18"/>
          <w:highlight w:val="none"/>
        </w:rPr>
        <w:t>应谨慎区分细微偏差和重大偏差，严禁以非实质性的细微偏差否决投标文件。</w:t>
      </w:r>
    </w:p>
    <w:p w14:paraId="50E5704B">
      <w:pPr>
        <w:spacing w:line="229" w:lineRule="auto"/>
        <w:rPr>
          <w:rFonts w:ascii="宋体" w:hAnsi="宋体" w:eastAsia="宋体" w:cs="宋体"/>
          <w:color w:val="auto"/>
          <w:sz w:val="18"/>
          <w:szCs w:val="18"/>
          <w:highlight w:val="none"/>
        </w:rPr>
        <w:sectPr>
          <w:footerReference r:id="rId42" w:type="default"/>
          <w:pgSz w:w="11906" w:h="16839"/>
          <w:pgMar w:top="1403" w:right="1310" w:bottom="1297" w:left="1304" w:header="0" w:footer="1069" w:gutter="0"/>
          <w:pgNumType w:fmt="decimal"/>
          <w:cols w:space="720" w:num="1"/>
        </w:sectPr>
      </w:pPr>
    </w:p>
    <w:tbl>
      <w:tblPr>
        <w:tblStyle w:val="17"/>
        <w:tblW w:w="928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34"/>
        <w:gridCol w:w="1336"/>
        <w:gridCol w:w="6916"/>
      </w:tblGrid>
      <w:tr w14:paraId="53B51D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8" w:hRule="atLeast"/>
        </w:trPr>
        <w:tc>
          <w:tcPr>
            <w:tcW w:w="2370" w:type="dxa"/>
            <w:gridSpan w:val="2"/>
            <w:vAlign w:val="top"/>
          </w:tcPr>
          <w:p w14:paraId="007FE832">
            <w:pPr>
              <w:pStyle w:val="18"/>
              <w:spacing w:before="35" w:line="228" w:lineRule="auto"/>
              <w:ind w:left="877"/>
              <w:rPr>
                <w:color w:val="auto"/>
                <w:highlight w:val="none"/>
              </w:rPr>
            </w:pPr>
            <w:r>
              <w:rPr>
                <w:b/>
                <w:bCs/>
                <w:color w:val="auto"/>
                <w:spacing w:val="5"/>
                <w:highlight w:val="none"/>
              </w:rPr>
              <w:t>条款号</w:t>
            </w:r>
          </w:p>
        </w:tc>
        <w:tc>
          <w:tcPr>
            <w:tcW w:w="6916" w:type="dxa"/>
            <w:vAlign w:val="top"/>
          </w:tcPr>
          <w:p w14:paraId="5580B414">
            <w:pPr>
              <w:pStyle w:val="18"/>
              <w:spacing w:before="35" w:line="228" w:lineRule="auto"/>
              <w:ind w:left="2496"/>
              <w:rPr>
                <w:color w:val="auto"/>
                <w:highlight w:val="none"/>
              </w:rPr>
            </w:pPr>
            <w:r>
              <w:rPr>
                <w:b/>
                <w:bCs/>
                <w:color w:val="auto"/>
                <w:spacing w:val="11"/>
                <w:highlight w:val="none"/>
              </w:rPr>
              <w:t>评审因素与评审标准</w:t>
            </w:r>
          </w:p>
        </w:tc>
      </w:tr>
      <w:tr w14:paraId="033E1E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40" w:hRule="atLeast"/>
        </w:trPr>
        <w:tc>
          <w:tcPr>
            <w:tcW w:w="1034" w:type="dxa"/>
            <w:vAlign w:val="top"/>
          </w:tcPr>
          <w:p w14:paraId="436F13A4">
            <w:pPr>
              <w:rPr>
                <w:rFonts w:ascii="Arial"/>
                <w:color w:val="auto"/>
                <w:sz w:val="21"/>
                <w:highlight w:val="none"/>
              </w:rPr>
            </w:pPr>
          </w:p>
        </w:tc>
        <w:tc>
          <w:tcPr>
            <w:tcW w:w="1336" w:type="dxa"/>
            <w:vAlign w:val="top"/>
          </w:tcPr>
          <w:p w14:paraId="4700CA86">
            <w:pPr>
              <w:rPr>
                <w:rFonts w:ascii="Arial"/>
                <w:color w:val="auto"/>
                <w:sz w:val="21"/>
                <w:highlight w:val="none"/>
              </w:rPr>
            </w:pPr>
          </w:p>
        </w:tc>
        <w:tc>
          <w:tcPr>
            <w:tcW w:w="6916" w:type="dxa"/>
            <w:vAlign w:val="top"/>
          </w:tcPr>
          <w:p w14:paraId="46382149">
            <w:pPr>
              <w:pStyle w:val="18"/>
              <w:spacing w:before="30" w:line="378" w:lineRule="auto"/>
              <w:ind w:left="112" w:right="106"/>
              <w:rPr>
                <w:color w:val="auto"/>
                <w:highlight w:val="none"/>
              </w:rPr>
            </w:pPr>
            <w:r>
              <w:rPr>
                <w:color w:val="auto"/>
                <w:spacing w:val="16"/>
                <w:highlight w:val="none"/>
              </w:rPr>
              <w:t>权委托书，且授权人和被授权人均在授权委托书上使用个</w:t>
            </w:r>
            <w:r>
              <w:rPr>
                <w:color w:val="auto"/>
                <w:spacing w:val="15"/>
                <w:highlight w:val="none"/>
              </w:rPr>
              <w:t>人电子签名章</w:t>
            </w:r>
            <w:r>
              <w:rPr>
                <w:color w:val="auto"/>
                <w:spacing w:val="8"/>
                <w:highlight w:val="none"/>
              </w:rPr>
              <w:t>进行签名或亲笔签名。</w:t>
            </w:r>
          </w:p>
          <w:p w14:paraId="26E9D79B">
            <w:pPr>
              <w:pStyle w:val="18"/>
              <w:spacing w:before="3" w:line="326" w:lineRule="auto"/>
              <w:ind w:left="113" w:right="106" w:firstLine="430"/>
              <w:rPr>
                <w:color w:val="auto"/>
                <w:highlight w:val="none"/>
              </w:rPr>
            </w:pPr>
            <w:r>
              <w:rPr>
                <w:color w:val="auto"/>
                <w:spacing w:val="12"/>
                <w:highlight w:val="none"/>
              </w:rPr>
              <w:t>（5）投标人法定代表人亲自签署投标文件的，提供了法定</w:t>
            </w:r>
            <w:r>
              <w:rPr>
                <w:color w:val="auto"/>
                <w:spacing w:val="11"/>
                <w:highlight w:val="none"/>
              </w:rPr>
              <w:t>代表人身</w:t>
            </w:r>
            <w:r>
              <w:rPr>
                <w:color w:val="auto"/>
                <w:spacing w:val="16"/>
                <w:highlight w:val="none"/>
              </w:rPr>
              <w:t>份证明，且法定代表人在法定代表人身份证明上使用个</w:t>
            </w:r>
            <w:r>
              <w:rPr>
                <w:color w:val="auto"/>
                <w:spacing w:val="15"/>
                <w:highlight w:val="none"/>
              </w:rPr>
              <w:t>人电子签名章进</w:t>
            </w:r>
            <w:r>
              <w:rPr>
                <w:color w:val="auto"/>
                <w:spacing w:val="7"/>
                <w:highlight w:val="none"/>
              </w:rPr>
              <w:t>行签名或亲笔签名。</w:t>
            </w:r>
          </w:p>
          <w:p w14:paraId="77622824">
            <w:pPr>
              <w:pStyle w:val="18"/>
              <w:spacing w:before="160" w:line="378" w:lineRule="auto"/>
              <w:ind w:left="114" w:right="109" w:firstLine="421"/>
              <w:rPr>
                <w:color w:val="auto"/>
                <w:highlight w:val="none"/>
              </w:rPr>
            </w:pPr>
            <w:r>
              <w:rPr>
                <w:color w:val="auto"/>
                <w:spacing w:val="9"/>
                <w:highlight w:val="none"/>
              </w:rPr>
              <w:t>（6）投标人未以联合体形式投标。</w:t>
            </w:r>
          </w:p>
          <w:p w14:paraId="283484D7">
            <w:pPr>
              <w:pStyle w:val="18"/>
              <w:spacing w:line="302" w:lineRule="auto"/>
              <w:ind w:left="114" w:right="109" w:firstLine="429"/>
              <w:rPr>
                <w:color w:val="auto"/>
                <w:highlight w:val="none"/>
              </w:rPr>
            </w:pPr>
            <w:r>
              <w:rPr>
                <w:color w:val="auto"/>
                <w:spacing w:val="10"/>
                <w:highlight w:val="none"/>
              </w:rPr>
              <w:t>（7）</w:t>
            </w:r>
            <w:r>
              <w:rPr>
                <w:color w:val="auto"/>
                <w:spacing w:val="-44"/>
                <w:highlight w:val="none"/>
              </w:rPr>
              <w:t xml:space="preserve"> </w:t>
            </w:r>
            <w:r>
              <w:rPr>
                <w:color w:val="auto"/>
                <w:spacing w:val="10"/>
                <w:highlight w:val="none"/>
              </w:rPr>
              <w:t>同一投标人未提交两个以上不同的投标文件，但招标文件要求</w:t>
            </w:r>
            <w:r>
              <w:rPr>
                <w:color w:val="auto"/>
                <w:spacing w:val="7"/>
                <w:highlight w:val="none"/>
              </w:rPr>
              <w:t>提交备选投标的除外。</w:t>
            </w:r>
          </w:p>
          <w:p w14:paraId="425F0A36">
            <w:pPr>
              <w:pStyle w:val="18"/>
              <w:spacing w:before="161" w:line="226" w:lineRule="auto"/>
              <w:ind w:left="543"/>
              <w:rPr>
                <w:color w:val="auto"/>
                <w:highlight w:val="none"/>
              </w:rPr>
            </w:pPr>
            <w:r>
              <w:rPr>
                <w:color w:val="auto"/>
                <w:spacing w:val="8"/>
                <w:highlight w:val="none"/>
              </w:rPr>
              <w:t>（8）投标文件中未出现有关投标报价的内容。</w:t>
            </w:r>
          </w:p>
          <w:p w14:paraId="6BA4A479">
            <w:pPr>
              <w:pStyle w:val="18"/>
              <w:spacing w:before="162" w:line="304" w:lineRule="auto"/>
              <w:ind w:left="128" w:right="106" w:firstLine="415"/>
              <w:rPr>
                <w:color w:val="auto"/>
                <w:highlight w:val="none"/>
              </w:rPr>
            </w:pPr>
            <w:r>
              <w:rPr>
                <w:color w:val="auto"/>
                <w:spacing w:val="18"/>
                <w:highlight w:val="none"/>
              </w:rPr>
              <w:t>（9）</w:t>
            </w:r>
            <w:r>
              <w:rPr>
                <w:color w:val="auto"/>
                <w:spacing w:val="-55"/>
                <w:highlight w:val="none"/>
              </w:rPr>
              <w:t xml:space="preserve"> </w:t>
            </w:r>
            <w:r>
              <w:rPr>
                <w:color w:val="auto"/>
                <w:spacing w:val="18"/>
                <w:highlight w:val="none"/>
              </w:rPr>
              <w:t>投标文件载明的招标项目完成期限未超过</w:t>
            </w:r>
            <w:r>
              <w:rPr>
                <w:color w:val="auto"/>
                <w:spacing w:val="17"/>
                <w:highlight w:val="none"/>
              </w:rPr>
              <w:t>招标文件规定的时</w:t>
            </w:r>
            <w:r>
              <w:rPr>
                <w:color w:val="auto"/>
                <w:spacing w:val="-7"/>
                <w:highlight w:val="none"/>
              </w:rPr>
              <w:t>限。</w:t>
            </w:r>
          </w:p>
          <w:p w14:paraId="4FB66C41">
            <w:pPr>
              <w:pStyle w:val="18"/>
              <w:spacing w:before="160" w:line="228" w:lineRule="auto"/>
              <w:ind w:left="543"/>
              <w:rPr>
                <w:color w:val="auto"/>
                <w:highlight w:val="none"/>
              </w:rPr>
            </w:pPr>
            <w:r>
              <w:rPr>
                <w:color w:val="auto"/>
                <w:spacing w:val="8"/>
                <w:highlight w:val="none"/>
              </w:rPr>
              <w:t>（10）投标文件对招标文件的实质性要求和条件作出响应。</w:t>
            </w:r>
          </w:p>
          <w:p w14:paraId="5D5A87DC">
            <w:pPr>
              <w:pStyle w:val="18"/>
              <w:spacing w:before="161" w:line="228" w:lineRule="auto"/>
              <w:ind w:left="543"/>
              <w:rPr>
                <w:color w:val="auto"/>
                <w:highlight w:val="none"/>
              </w:rPr>
            </w:pPr>
            <w:r>
              <w:rPr>
                <w:color w:val="auto"/>
                <w:spacing w:val="7"/>
                <w:highlight w:val="none"/>
              </w:rPr>
              <w:t>（11）权利义务符合招标文件规定：</w:t>
            </w:r>
          </w:p>
          <w:p w14:paraId="7226C8C6">
            <w:pPr>
              <w:pStyle w:val="18"/>
              <w:spacing w:before="162" w:line="303" w:lineRule="auto"/>
              <w:ind w:left="116" w:right="109" w:firstLine="418"/>
              <w:rPr>
                <w:color w:val="auto"/>
                <w:highlight w:val="none"/>
              </w:rPr>
            </w:pPr>
            <w:r>
              <w:rPr>
                <w:color w:val="auto"/>
                <w:spacing w:val="15"/>
                <w:highlight w:val="none"/>
              </w:rPr>
              <w:t>a.投标人应接受招标文件规定的风险划分原则，未提出新的风险划</w:t>
            </w:r>
            <w:r>
              <w:rPr>
                <w:color w:val="auto"/>
                <w:spacing w:val="4"/>
                <w:highlight w:val="none"/>
              </w:rPr>
              <w:t>分办法；</w:t>
            </w:r>
          </w:p>
          <w:p w14:paraId="4ACE4E1E">
            <w:pPr>
              <w:pStyle w:val="18"/>
              <w:spacing w:before="161" w:line="228" w:lineRule="auto"/>
              <w:ind w:left="530"/>
              <w:rPr>
                <w:color w:val="auto"/>
                <w:highlight w:val="none"/>
              </w:rPr>
            </w:pPr>
            <w:r>
              <w:rPr>
                <w:color w:val="auto"/>
                <w:spacing w:val="9"/>
                <w:highlight w:val="none"/>
              </w:rPr>
              <w:t>b.投标人未增加委托人的责任范围，或减少投标人</w:t>
            </w:r>
            <w:r>
              <w:rPr>
                <w:color w:val="auto"/>
                <w:spacing w:val="8"/>
                <w:highlight w:val="none"/>
              </w:rPr>
              <w:t>义务；</w:t>
            </w:r>
          </w:p>
          <w:p w14:paraId="3A3BF832">
            <w:pPr>
              <w:pStyle w:val="18"/>
              <w:spacing w:before="161" w:line="228" w:lineRule="auto"/>
              <w:ind w:left="537"/>
              <w:rPr>
                <w:color w:val="auto"/>
                <w:highlight w:val="none"/>
              </w:rPr>
            </w:pPr>
            <w:r>
              <w:rPr>
                <w:color w:val="auto"/>
                <w:spacing w:val="7"/>
                <w:highlight w:val="none"/>
              </w:rPr>
              <w:t>c.投标人未提出不同的支付办法；</w:t>
            </w:r>
          </w:p>
          <w:p w14:paraId="44AFDAFB">
            <w:pPr>
              <w:pStyle w:val="18"/>
              <w:spacing w:before="161" w:line="228" w:lineRule="auto"/>
              <w:ind w:left="537"/>
              <w:rPr>
                <w:color w:val="auto"/>
                <w:highlight w:val="none"/>
              </w:rPr>
            </w:pPr>
            <w:r>
              <w:rPr>
                <w:color w:val="auto"/>
                <w:spacing w:val="8"/>
                <w:highlight w:val="none"/>
              </w:rPr>
              <w:t>d.投标人对合同纠纷、事故处理办法未提出异议；</w:t>
            </w:r>
          </w:p>
          <w:p w14:paraId="27968CED">
            <w:pPr>
              <w:pStyle w:val="18"/>
              <w:spacing w:before="161" w:line="228" w:lineRule="auto"/>
              <w:ind w:left="538"/>
              <w:rPr>
                <w:color w:val="auto"/>
                <w:highlight w:val="none"/>
              </w:rPr>
            </w:pPr>
            <w:r>
              <w:rPr>
                <w:color w:val="auto"/>
                <w:spacing w:val="7"/>
                <w:highlight w:val="none"/>
              </w:rPr>
              <w:t>e.投标人在投标活动中无欺诈行为；</w:t>
            </w:r>
          </w:p>
          <w:p w14:paraId="3F115D12">
            <w:pPr>
              <w:pStyle w:val="18"/>
              <w:spacing w:before="161" w:line="228" w:lineRule="auto"/>
              <w:ind w:left="537"/>
              <w:rPr>
                <w:color w:val="auto"/>
                <w:highlight w:val="none"/>
              </w:rPr>
            </w:pPr>
            <w:r>
              <w:rPr>
                <w:color w:val="auto"/>
                <w:spacing w:val="7"/>
                <w:highlight w:val="none"/>
              </w:rPr>
              <w:t>f.投标人未对合同条款有重要保留。</w:t>
            </w:r>
          </w:p>
          <w:p w14:paraId="1521452F">
            <w:pPr>
              <w:spacing w:line="251" w:lineRule="auto"/>
              <w:rPr>
                <w:rFonts w:ascii="Arial"/>
                <w:color w:val="auto"/>
                <w:sz w:val="21"/>
                <w:highlight w:val="none"/>
              </w:rPr>
            </w:pPr>
          </w:p>
          <w:p w14:paraId="54BFF9BD">
            <w:pPr>
              <w:spacing w:line="252" w:lineRule="auto"/>
              <w:rPr>
                <w:rFonts w:ascii="Arial"/>
                <w:color w:val="auto"/>
                <w:sz w:val="21"/>
                <w:highlight w:val="none"/>
              </w:rPr>
            </w:pPr>
          </w:p>
          <w:p w14:paraId="4B1C4854">
            <w:pPr>
              <w:pStyle w:val="18"/>
              <w:spacing w:before="66" w:line="226" w:lineRule="auto"/>
              <w:ind w:left="533"/>
              <w:rPr>
                <w:color w:val="auto"/>
                <w:highlight w:val="none"/>
              </w:rPr>
            </w:pPr>
            <w:r>
              <w:rPr>
                <w:b/>
                <w:bCs/>
                <w:color w:val="auto"/>
                <w:spacing w:val="7"/>
                <w:highlight w:val="none"/>
              </w:rPr>
              <w:t>第二个信封（报价文件）评审标准：</w:t>
            </w:r>
          </w:p>
          <w:p w14:paraId="3A7E56B3">
            <w:pPr>
              <w:pStyle w:val="18"/>
              <w:spacing w:before="162" w:line="378" w:lineRule="auto"/>
              <w:ind w:left="114" w:right="106" w:firstLine="429"/>
              <w:rPr>
                <w:color w:val="auto"/>
                <w:highlight w:val="none"/>
              </w:rPr>
            </w:pPr>
            <w:r>
              <w:rPr>
                <w:color w:val="auto"/>
                <w:spacing w:val="16"/>
                <w:highlight w:val="none"/>
              </w:rPr>
              <w:t>（1）</w:t>
            </w:r>
            <w:r>
              <w:rPr>
                <w:color w:val="auto"/>
                <w:spacing w:val="-56"/>
                <w:highlight w:val="none"/>
              </w:rPr>
              <w:t xml:space="preserve"> </w:t>
            </w:r>
            <w:r>
              <w:rPr>
                <w:color w:val="auto"/>
                <w:spacing w:val="16"/>
                <w:highlight w:val="none"/>
              </w:rPr>
              <w:t>投标文件按照招标文件规定的格式、</w:t>
            </w:r>
            <w:r>
              <w:rPr>
                <w:color w:val="auto"/>
                <w:spacing w:val="-49"/>
                <w:highlight w:val="none"/>
              </w:rPr>
              <w:t xml:space="preserve"> </w:t>
            </w:r>
            <w:r>
              <w:rPr>
                <w:color w:val="auto"/>
                <w:spacing w:val="16"/>
                <w:highlight w:val="none"/>
              </w:rPr>
              <w:t>内容填写，字迹清晰可</w:t>
            </w:r>
            <w:r>
              <w:rPr>
                <w:color w:val="auto"/>
                <w:spacing w:val="2"/>
                <w:highlight w:val="none"/>
              </w:rPr>
              <w:t>辨，</w:t>
            </w:r>
            <w:r>
              <w:rPr>
                <w:color w:val="auto"/>
                <w:spacing w:val="-51"/>
                <w:highlight w:val="none"/>
              </w:rPr>
              <w:t xml:space="preserve"> </w:t>
            </w:r>
            <w:r>
              <w:rPr>
                <w:color w:val="auto"/>
                <w:spacing w:val="2"/>
                <w:highlight w:val="none"/>
              </w:rPr>
              <w:t>内容齐全完整：</w:t>
            </w:r>
          </w:p>
          <w:p w14:paraId="1DB4E8C5">
            <w:pPr>
              <w:pStyle w:val="18"/>
              <w:spacing w:before="1" w:line="301" w:lineRule="auto"/>
              <w:ind w:left="119" w:right="106" w:firstLine="415"/>
              <w:rPr>
                <w:color w:val="auto"/>
                <w:highlight w:val="none"/>
              </w:rPr>
            </w:pPr>
            <w:r>
              <w:rPr>
                <w:color w:val="auto"/>
                <w:spacing w:val="14"/>
                <w:highlight w:val="none"/>
              </w:rPr>
              <w:t>a.投标函按招标文件规定填报了项目名称、标段号（如有）</w:t>
            </w:r>
            <w:r>
              <w:rPr>
                <w:color w:val="auto"/>
                <w:spacing w:val="-52"/>
                <w:highlight w:val="none"/>
              </w:rPr>
              <w:t xml:space="preserve"> </w:t>
            </w:r>
            <w:r>
              <w:rPr>
                <w:color w:val="auto"/>
                <w:spacing w:val="14"/>
                <w:highlight w:val="none"/>
              </w:rPr>
              <w:t>、投标</w:t>
            </w:r>
            <w:r>
              <w:rPr>
                <w:color w:val="auto"/>
                <w:spacing w:val="9"/>
                <w:highlight w:val="none"/>
              </w:rPr>
              <w:t>总报价（包括大写金额和小写金额</w:t>
            </w:r>
            <w:r>
              <w:rPr>
                <w:color w:val="auto"/>
                <w:highlight w:val="none"/>
              </w:rPr>
              <w:t>）；</w:t>
            </w:r>
          </w:p>
          <w:p w14:paraId="55656DD1">
            <w:pPr>
              <w:pStyle w:val="18"/>
              <w:spacing w:before="163" w:line="302" w:lineRule="auto"/>
              <w:ind w:left="121" w:right="109" w:firstLine="409"/>
              <w:rPr>
                <w:color w:val="auto"/>
                <w:highlight w:val="none"/>
              </w:rPr>
            </w:pPr>
            <w:r>
              <w:rPr>
                <w:color w:val="auto"/>
                <w:spacing w:val="16"/>
                <w:highlight w:val="none"/>
              </w:rPr>
              <w:t>b.已标价报价清单说明文字与招标文件规定</w:t>
            </w:r>
            <w:r>
              <w:rPr>
                <w:color w:val="auto"/>
                <w:spacing w:val="15"/>
                <w:highlight w:val="none"/>
              </w:rPr>
              <w:t>一致，未进行实质性修</w:t>
            </w:r>
            <w:r>
              <w:rPr>
                <w:color w:val="auto"/>
                <w:spacing w:val="4"/>
                <w:highlight w:val="none"/>
              </w:rPr>
              <w:t>改和删减；</w:t>
            </w:r>
          </w:p>
          <w:p w14:paraId="119153E2">
            <w:pPr>
              <w:pStyle w:val="18"/>
              <w:spacing w:before="65" w:line="228" w:lineRule="auto"/>
              <w:ind w:left="537"/>
              <w:rPr>
                <w:color w:val="auto"/>
                <w:highlight w:val="none"/>
              </w:rPr>
            </w:pPr>
            <w:r>
              <w:rPr>
                <w:color w:val="auto"/>
                <w:spacing w:val="8"/>
                <w:highlight w:val="none"/>
              </w:rPr>
              <w:t>c.投标文件组成齐全完整，内容均按规定填写。</w:t>
            </w:r>
          </w:p>
        </w:tc>
      </w:tr>
    </w:tbl>
    <w:p w14:paraId="2C8A8241">
      <w:pPr>
        <w:spacing w:line="361" w:lineRule="auto"/>
        <w:rPr>
          <w:rFonts w:ascii="Arial"/>
          <w:color w:val="auto"/>
          <w:sz w:val="21"/>
          <w:highlight w:val="none"/>
        </w:rPr>
      </w:pPr>
    </w:p>
    <w:tbl>
      <w:tblPr>
        <w:tblStyle w:val="17"/>
        <w:tblW w:w="928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34"/>
        <w:gridCol w:w="1336"/>
        <w:gridCol w:w="6916"/>
      </w:tblGrid>
      <w:tr w14:paraId="35C780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8" w:hRule="atLeast"/>
        </w:trPr>
        <w:tc>
          <w:tcPr>
            <w:tcW w:w="2370" w:type="dxa"/>
            <w:gridSpan w:val="2"/>
            <w:vAlign w:val="top"/>
          </w:tcPr>
          <w:p w14:paraId="5ADD0663">
            <w:pPr>
              <w:pStyle w:val="18"/>
              <w:spacing w:before="35" w:line="228" w:lineRule="auto"/>
              <w:ind w:left="877"/>
              <w:rPr>
                <w:color w:val="auto"/>
                <w:highlight w:val="none"/>
              </w:rPr>
            </w:pPr>
            <w:bookmarkStart w:id="237" w:name="bookmark114"/>
            <w:bookmarkEnd w:id="237"/>
            <w:r>
              <w:rPr>
                <w:b/>
                <w:bCs/>
                <w:color w:val="auto"/>
                <w:spacing w:val="5"/>
                <w:highlight w:val="none"/>
              </w:rPr>
              <w:t>条款号</w:t>
            </w:r>
          </w:p>
        </w:tc>
        <w:tc>
          <w:tcPr>
            <w:tcW w:w="6916" w:type="dxa"/>
            <w:vAlign w:val="top"/>
          </w:tcPr>
          <w:p w14:paraId="7BE55075">
            <w:pPr>
              <w:pStyle w:val="18"/>
              <w:spacing w:before="35" w:line="228" w:lineRule="auto"/>
              <w:ind w:left="2496"/>
              <w:rPr>
                <w:color w:val="auto"/>
                <w:highlight w:val="none"/>
              </w:rPr>
            </w:pPr>
            <w:r>
              <w:rPr>
                <w:b/>
                <w:bCs/>
                <w:color w:val="auto"/>
                <w:spacing w:val="11"/>
                <w:highlight w:val="none"/>
              </w:rPr>
              <w:t>评审因素与评审标准</w:t>
            </w:r>
          </w:p>
        </w:tc>
      </w:tr>
      <w:tr w14:paraId="746DCE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5" w:hRule="atLeast"/>
        </w:trPr>
        <w:tc>
          <w:tcPr>
            <w:tcW w:w="1034" w:type="dxa"/>
            <w:vAlign w:val="top"/>
          </w:tcPr>
          <w:p w14:paraId="64A471E8">
            <w:pPr>
              <w:rPr>
                <w:rFonts w:ascii="Arial"/>
                <w:color w:val="auto"/>
                <w:sz w:val="21"/>
                <w:highlight w:val="none"/>
              </w:rPr>
            </w:pPr>
          </w:p>
        </w:tc>
        <w:tc>
          <w:tcPr>
            <w:tcW w:w="1336" w:type="dxa"/>
            <w:vAlign w:val="top"/>
          </w:tcPr>
          <w:p w14:paraId="7AC9A1DE">
            <w:pPr>
              <w:rPr>
                <w:rFonts w:ascii="Arial"/>
                <w:color w:val="auto"/>
                <w:sz w:val="21"/>
                <w:highlight w:val="none"/>
              </w:rPr>
            </w:pPr>
          </w:p>
        </w:tc>
        <w:tc>
          <w:tcPr>
            <w:tcW w:w="6916" w:type="dxa"/>
            <w:vAlign w:val="top"/>
          </w:tcPr>
          <w:p w14:paraId="04093777">
            <w:pPr>
              <w:pStyle w:val="18"/>
              <w:spacing w:before="30" w:line="302" w:lineRule="auto"/>
              <w:ind w:left="121" w:right="109" w:firstLine="422"/>
              <w:rPr>
                <w:color w:val="auto"/>
                <w:highlight w:val="none"/>
              </w:rPr>
            </w:pPr>
            <w:r>
              <w:rPr>
                <w:color w:val="auto"/>
                <w:spacing w:val="12"/>
                <w:highlight w:val="none"/>
              </w:rPr>
              <w:t>（2）投标文件上法定代表人或其委托代理人的签字、投标</w:t>
            </w:r>
            <w:r>
              <w:rPr>
                <w:color w:val="auto"/>
                <w:spacing w:val="11"/>
                <w:highlight w:val="none"/>
              </w:rPr>
              <w:t>人的单位</w:t>
            </w:r>
            <w:r>
              <w:rPr>
                <w:color w:val="auto"/>
                <w:spacing w:val="8"/>
                <w:highlight w:val="none"/>
              </w:rPr>
              <w:t>章盖章齐全，符合招标文件规定。</w:t>
            </w:r>
          </w:p>
          <w:p w14:paraId="4AD849DF">
            <w:pPr>
              <w:pStyle w:val="18"/>
              <w:spacing w:before="164" w:line="226" w:lineRule="auto"/>
              <w:ind w:left="543"/>
              <w:rPr>
                <w:color w:val="auto"/>
                <w:highlight w:val="none"/>
              </w:rPr>
            </w:pPr>
            <w:r>
              <w:rPr>
                <w:color w:val="auto"/>
                <w:spacing w:val="8"/>
                <w:highlight w:val="none"/>
              </w:rPr>
              <w:t>（3）投标报价未超过招标文件设定的最高投标限价（如有）。</w:t>
            </w:r>
          </w:p>
          <w:p w14:paraId="3E871E43">
            <w:pPr>
              <w:pStyle w:val="18"/>
              <w:spacing w:before="163" w:line="226" w:lineRule="auto"/>
              <w:ind w:left="543"/>
              <w:rPr>
                <w:color w:val="auto"/>
                <w:highlight w:val="none"/>
              </w:rPr>
            </w:pPr>
            <w:r>
              <w:rPr>
                <w:color w:val="auto"/>
                <w:spacing w:val="8"/>
                <w:highlight w:val="none"/>
              </w:rPr>
              <w:t>（4）投标总报价的大写金额能够确定具体数值。</w:t>
            </w:r>
          </w:p>
          <w:p w14:paraId="0A7347FF">
            <w:pPr>
              <w:pStyle w:val="18"/>
              <w:spacing w:before="163" w:line="302" w:lineRule="auto"/>
              <w:ind w:left="114" w:right="109" w:firstLine="429"/>
              <w:rPr>
                <w:color w:val="auto"/>
                <w:highlight w:val="none"/>
              </w:rPr>
            </w:pPr>
            <w:r>
              <w:rPr>
                <w:color w:val="auto"/>
                <w:spacing w:val="10"/>
                <w:highlight w:val="none"/>
              </w:rPr>
              <w:t>（5）</w:t>
            </w:r>
            <w:r>
              <w:rPr>
                <w:color w:val="auto"/>
                <w:spacing w:val="-44"/>
                <w:highlight w:val="none"/>
              </w:rPr>
              <w:t xml:space="preserve"> </w:t>
            </w:r>
            <w:r>
              <w:rPr>
                <w:color w:val="auto"/>
                <w:spacing w:val="10"/>
                <w:highlight w:val="none"/>
              </w:rPr>
              <w:t>同一投标人未提交两个以上不同的投标报价，但招标文件要求</w:t>
            </w:r>
            <w:r>
              <w:rPr>
                <w:color w:val="auto"/>
                <w:spacing w:val="7"/>
                <w:highlight w:val="none"/>
              </w:rPr>
              <w:t>提交备选投标的除外。</w:t>
            </w:r>
          </w:p>
        </w:tc>
      </w:tr>
      <w:tr w14:paraId="5FF5F4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42" w:hRule="atLeast"/>
        </w:trPr>
        <w:tc>
          <w:tcPr>
            <w:tcW w:w="1034" w:type="dxa"/>
            <w:vAlign w:val="top"/>
          </w:tcPr>
          <w:p w14:paraId="37F86B85">
            <w:pPr>
              <w:spacing w:line="251" w:lineRule="auto"/>
              <w:rPr>
                <w:rFonts w:ascii="Arial"/>
                <w:color w:val="auto"/>
                <w:sz w:val="21"/>
                <w:highlight w:val="none"/>
              </w:rPr>
            </w:pPr>
          </w:p>
          <w:p w14:paraId="62A5E610">
            <w:pPr>
              <w:spacing w:line="251" w:lineRule="auto"/>
              <w:rPr>
                <w:rFonts w:ascii="Arial"/>
                <w:color w:val="auto"/>
                <w:sz w:val="21"/>
                <w:highlight w:val="none"/>
              </w:rPr>
            </w:pPr>
          </w:p>
          <w:p w14:paraId="64230BA0">
            <w:pPr>
              <w:spacing w:line="251" w:lineRule="auto"/>
              <w:rPr>
                <w:rFonts w:ascii="Arial"/>
                <w:color w:val="auto"/>
                <w:sz w:val="21"/>
                <w:highlight w:val="none"/>
              </w:rPr>
            </w:pPr>
          </w:p>
          <w:p w14:paraId="3864FE32">
            <w:pPr>
              <w:spacing w:line="251" w:lineRule="auto"/>
              <w:rPr>
                <w:rFonts w:ascii="Arial"/>
                <w:color w:val="auto"/>
                <w:sz w:val="21"/>
                <w:highlight w:val="none"/>
              </w:rPr>
            </w:pPr>
          </w:p>
          <w:p w14:paraId="1402FF9D">
            <w:pPr>
              <w:spacing w:line="251" w:lineRule="auto"/>
              <w:rPr>
                <w:rFonts w:ascii="Arial"/>
                <w:color w:val="auto"/>
                <w:sz w:val="21"/>
                <w:highlight w:val="none"/>
              </w:rPr>
            </w:pPr>
          </w:p>
          <w:p w14:paraId="6AFD9F1E">
            <w:pPr>
              <w:spacing w:line="251" w:lineRule="auto"/>
              <w:rPr>
                <w:rFonts w:ascii="Arial"/>
                <w:color w:val="auto"/>
                <w:sz w:val="21"/>
                <w:highlight w:val="none"/>
              </w:rPr>
            </w:pPr>
          </w:p>
          <w:p w14:paraId="4F1C067D">
            <w:pPr>
              <w:spacing w:line="251" w:lineRule="auto"/>
              <w:rPr>
                <w:rFonts w:ascii="Arial"/>
                <w:color w:val="auto"/>
                <w:sz w:val="21"/>
                <w:highlight w:val="none"/>
              </w:rPr>
            </w:pPr>
          </w:p>
          <w:p w14:paraId="15B415C2">
            <w:pPr>
              <w:spacing w:line="251" w:lineRule="auto"/>
              <w:rPr>
                <w:rFonts w:ascii="Arial"/>
                <w:color w:val="auto"/>
                <w:sz w:val="21"/>
                <w:highlight w:val="none"/>
              </w:rPr>
            </w:pPr>
          </w:p>
          <w:p w14:paraId="24605BEC">
            <w:pPr>
              <w:spacing w:line="251" w:lineRule="auto"/>
              <w:rPr>
                <w:rFonts w:ascii="Arial"/>
                <w:color w:val="auto"/>
                <w:sz w:val="21"/>
                <w:highlight w:val="none"/>
              </w:rPr>
            </w:pPr>
          </w:p>
          <w:p w14:paraId="49BA3175">
            <w:pPr>
              <w:spacing w:line="251" w:lineRule="auto"/>
              <w:rPr>
                <w:rFonts w:ascii="Arial"/>
                <w:color w:val="auto"/>
                <w:sz w:val="21"/>
                <w:highlight w:val="none"/>
              </w:rPr>
            </w:pPr>
          </w:p>
          <w:p w14:paraId="46454CB4">
            <w:pPr>
              <w:spacing w:line="251" w:lineRule="auto"/>
              <w:rPr>
                <w:rFonts w:ascii="Arial"/>
                <w:color w:val="auto"/>
                <w:sz w:val="21"/>
                <w:highlight w:val="none"/>
              </w:rPr>
            </w:pPr>
          </w:p>
          <w:p w14:paraId="3F9D13BA">
            <w:pPr>
              <w:spacing w:line="251" w:lineRule="auto"/>
              <w:rPr>
                <w:rFonts w:ascii="Arial"/>
                <w:color w:val="auto"/>
                <w:sz w:val="21"/>
                <w:highlight w:val="none"/>
              </w:rPr>
            </w:pPr>
          </w:p>
          <w:p w14:paraId="23DC0928">
            <w:pPr>
              <w:pStyle w:val="18"/>
              <w:spacing w:before="65" w:line="267" w:lineRule="exact"/>
              <w:ind w:left="261"/>
              <w:rPr>
                <w:color w:val="auto"/>
                <w:highlight w:val="none"/>
              </w:rPr>
            </w:pPr>
            <w:r>
              <w:rPr>
                <w:color w:val="auto"/>
                <w:spacing w:val="2"/>
                <w:position w:val="1"/>
                <w:highlight w:val="none"/>
              </w:rPr>
              <w:t>2.1.2</w:t>
            </w:r>
          </w:p>
        </w:tc>
        <w:tc>
          <w:tcPr>
            <w:tcW w:w="1336" w:type="dxa"/>
            <w:vAlign w:val="top"/>
          </w:tcPr>
          <w:p w14:paraId="429A0335">
            <w:pPr>
              <w:spacing w:line="255" w:lineRule="auto"/>
              <w:rPr>
                <w:rFonts w:ascii="Arial"/>
                <w:color w:val="auto"/>
                <w:sz w:val="21"/>
                <w:highlight w:val="none"/>
              </w:rPr>
            </w:pPr>
          </w:p>
          <w:p w14:paraId="432928E5">
            <w:pPr>
              <w:spacing w:line="255" w:lineRule="auto"/>
              <w:rPr>
                <w:rFonts w:ascii="Arial"/>
                <w:color w:val="auto"/>
                <w:sz w:val="21"/>
                <w:highlight w:val="none"/>
              </w:rPr>
            </w:pPr>
          </w:p>
          <w:p w14:paraId="40C3EDAC">
            <w:pPr>
              <w:spacing w:line="255" w:lineRule="auto"/>
              <w:rPr>
                <w:rFonts w:ascii="Arial"/>
                <w:color w:val="auto"/>
                <w:sz w:val="21"/>
                <w:highlight w:val="none"/>
              </w:rPr>
            </w:pPr>
          </w:p>
          <w:p w14:paraId="1A2FD52D">
            <w:pPr>
              <w:spacing w:line="255" w:lineRule="auto"/>
              <w:rPr>
                <w:rFonts w:ascii="Arial"/>
                <w:color w:val="auto"/>
                <w:sz w:val="21"/>
                <w:highlight w:val="none"/>
              </w:rPr>
            </w:pPr>
          </w:p>
          <w:p w14:paraId="2BBEFE5A">
            <w:pPr>
              <w:spacing w:line="255" w:lineRule="auto"/>
              <w:rPr>
                <w:rFonts w:ascii="Arial"/>
                <w:color w:val="auto"/>
                <w:sz w:val="21"/>
                <w:highlight w:val="none"/>
              </w:rPr>
            </w:pPr>
          </w:p>
          <w:p w14:paraId="6828CAFA">
            <w:pPr>
              <w:spacing w:line="255" w:lineRule="auto"/>
              <w:rPr>
                <w:rFonts w:ascii="Arial"/>
                <w:color w:val="auto"/>
                <w:sz w:val="21"/>
                <w:highlight w:val="none"/>
              </w:rPr>
            </w:pPr>
          </w:p>
          <w:p w14:paraId="6DCEC86A">
            <w:pPr>
              <w:spacing w:line="255" w:lineRule="auto"/>
              <w:rPr>
                <w:rFonts w:ascii="Arial"/>
                <w:color w:val="auto"/>
                <w:sz w:val="21"/>
                <w:highlight w:val="none"/>
              </w:rPr>
            </w:pPr>
          </w:p>
          <w:p w14:paraId="3ACC687D">
            <w:pPr>
              <w:spacing w:line="255" w:lineRule="auto"/>
              <w:rPr>
                <w:rFonts w:ascii="Arial"/>
                <w:color w:val="auto"/>
                <w:sz w:val="21"/>
                <w:highlight w:val="none"/>
              </w:rPr>
            </w:pPr>
          </w:p>
          <w:p w14:paraId="0B36D4A7">
            <w:pPr>
              <w:spacing w:line="256" w:lineRule="auto"/>
              <w:rPr>
                <w:rFonts w:ascii="Arial"/>
                <w:color w:val="auto"/>
                <w:sz w:val="21"/>
                <w:highlight w:val="none"/>
              </w:rPr>
            </w:pPr>
          </w:p>
          <w:p w14:paraId="03428B0B">
            <w:pPr>
              <w:spacing w:line="256" w:lineRule="auto"/>
              <w:rPr>
                <w:rFonts w:ascii="Arial"/>
                <w:color w:val="auto"/>
                <w:sz w:val="21"/>
                <w:highlight w:val="none"/>
              </w:rPr>
            </w:pPr>
          </w:p>
          <w:p w14:paraId="7970616A">
            <w:pPr>
              <w:spacing w:line="256" w:lineRule="auto"/>
              <w:rPr>
                <w:rFonts w:ascii="Arial"/>
                <w:color w:val="auto"/>
                <w:sz w:val="21"/>
                <w:highlight w:val="none"/>
              </w:rPr>
            </w:pPr>
          </w:p>
          <w:p w14:paraId="7EAF9C39">
            <w:pPr>
              <w:pStyle w:val="18"/>
              <w:spacing w:before="65" w:line="379" w:lineRule="auto"/>
              <w:ind w:left="567" w:right="143" w:hanging="412"/>
              <w:rPr>
                <w:color w:val="auto"/>
                <w:highlight w:val="none"/>
              </w:rPr>
            </w:pPr>
            <w:r>
              <w:rPr>
                <w:color w:val="auto"/>
                <w:spacing w:val="6"/>
                <w:highlight w:val="none"/>
              </w:rPr>
              <w:t>资格评审标</w:t>
            </w:r>
            <w:r>
              <w:rPr>
                <w:color w:val="auto"/>
                <w:highlight w:val="none"/>
              </w:rPr>
              <w:t>准</w:t>
            </w:r>
          </w:p>
        </w:tc>
        <w:tc>
          <w:tcPr>
            <w:tcW w:w="6916" w:type="dxa"/>
            <w:vAlign w:val="top"/>
          </w:tcPr>
          <w:p w14:paraId="5634A4F1">
            <w:pPr>
              <w:pStyle w:val="18"/>
              <w:spacing w:before="34" w:line="339" w:lineRule="auto"/>
              <w:ind w:left="115" w:right="106" w:firstLine="428"/>
              <w:rPr>
                <w:color w:val="auto"/>
                <w:highlight w:val="none"/>
              </w:rPr>
            </w:pPr>
            <w:r>
              <w:rPr>
                <w:color w:val="auto"/>
                <w:spacing w:val="12"/>
                <w:highlight w:val="none"/>
              </w:rPr>
              <w:t>（1）投标人具备有效的营业执照、监理资质证书和基本账</w:t>
            </w:r>
            <w:r>
              <w:rPr>
                <w:color w:val="auto"/>
                <w:spacing w:val="11"/>
                <w:highlight w:val="none"/>
              </w:rPr>
              <w:t>户开户许</w:t>
            </w:r>
            <w:r>
              <w:rPr>
                <w:color w:val="auto"/>
                <w:spacing w:val="23"/>
                <w:highlight w:val="none"/>
              </w:rPr>
              <w:t>可证（如企业所在地已取消企业银行账户许可而无法提供开户</w:t>
            </w:r>
            <w:r>
              <w:rPr>
                <w:color w:val="auto"/>
                <w:spacing w:val="22"/>
                <w:highlight w:val="none"/>
              </w:rPr>
              <w:t>许可证</w:t>
            </w:r>
            <w:r>
              <w:rPr>
                <w:color w:val="auto"/>
                <w:spacing w:val="14"/>
                <w:highlight w:val="none"/>
              </w:rPr>
              <w:t>的，则需附上开户银行出具的“基本存款账户信息</w:t>
            </w:r>
            <w:r>
              <w:rPr>
                <w:color w:val="auto"/>
                <w:spacing w:val="-47"/>
                <w:highlight w:val="none"/>
              </w:rPr>
              <w:t xml:space="preserve"> </w:t>
            </w:r>
            <w:r>
              <w:rPr>
                <w:color w:val="auto"/>
                <w:spacing w:val="14"/>
                <w:highlight w:val="none"/>
              </w:rPr>
              <w:t>”或“人民银行账户</w:t>
            </w:r>
            <w:r>
              <w:rPr>
                <w:color w:val="auto"/>
                <w:spacing w:val="7"/>
                <w:highlight w:val="none"/>
              </w:rPr>
              <w:t>管理系统查询的基本账户信息截图</w:t>
            </w:r>
            <w:r>
              <w:rPr>
                <w:color w:val="auto"/>
                <w:spacing w:val="-73"/>
                <w:highlight w:val="none"/>
              </w:rPr>
              <w:t xml:space="preserve"> </w:t>
            </w:r>
            <w:r>
              <w:rPr>
                <w:color w:val="auto"/>
                <w:spacing w:val="7"/>
                <w:highlight w:val="none"/>
              </w:rPr>
              <w:t>”）。</w:t>
            </w:r>
          </w:p>
          <w:p w14:paraId="54998F96">
            <w:pPr>
              <w:pStyle w:val="18"/>
              <w:spacing w:before="161" w:line="228" w:lineRule="auto"/>
              <w:ind w:left="543"/>
              <w:rPr>
                <w:color w:val="auto"/>
                <w:highlight w:val="none"/>
              </w:rPr>
            </w:pPr>
            <w:r>
              <w:rPr>
                <w:color w:val="auto"/>
                <w:spacing w:val="8"/>
                <w:highlight w:val="none"/>
              </w:rPr>
              <w:t>（2）投标人的资质等级符合招标文件规定。</w:t>
            </w:r>
          </w:p>
          <w:p w14:paraId="301FDA1F">
            <w:pPr>
              <w:pStyle w:val="18"/>
              <w:spacing w:before="161" w:line="228" w:lineRule="auto"/>
              <w:ind w:left="543"/>
              <w:rPr>
                <w:color w:val="auto"/>
                <w:highlight w:val="none"/>
              </w:rPr>
            </w:pPr>
            <w:r>
              <w:rPr>
                <w:color w:val="auto"/>
                <w:spacing w:val="8"/>
                <w:highlight w:val="none"/>
              </w:rPr>
              <w:t>（3）投标人的类似工程业绩符合招标文件规定。</w:t>
            </w:r>
          </w:p>
          <w:p w14:paraId="4FE64C51">
            <w:pPr>
              <w:pStyle w:val="18"/>
              <w:spacing w:before="163" w:line="227" w:lineRule="auto"/>
              <w:ind w:left="543"/>
              <w:rPr>
                <w:color w:val="auto"/>
                <w:highlight w:val="none"/>
              </w:rPr>
            </w:pPr>
            <w:r>
              <w:rPr>
                <w:color w:val="auto"/>
                <w:spacing w:val="8"/>
                <w:highlight w:val="none"/>
              </w:rPr>
              <w:t>（4）投标人的信誉符合招标文件规定。</w:t>
            </w:r>
          </w:p>
          <w:p w14:paraId="768B1A8A">
            <w:pPr>
              <w:pStyle w:val="18"/>
              <w:spacing w:before="162" w:line="302" w:lineRule="auto"/>
              <w:ind w:left="122" w:right="127" w:firstLine="421"/>
              <w:rPr>
                <w:color w:val="auto"/>
                <w:highlight w:val="none"/>
              </w:rPr>
            </w:pPr>
            <w:r>
              <w:rPr>
                <w:color w:val="auto"/>
                <w:spacing w:val="11"/>
                <w:highlight w:val="none"/>
              </w:rPr>
              <w:t>（5）投标人的总监理工程师或驻地监理工程师（含备选人，如有）</w:t>
            </w:r>
            <w:r>
              <w:rPr>
                <w:color w:val="auto"/>
                <w:spacing w:val="9"/>
                <w:highlight w:val="none"/>
              </w:rPr>
              <w:t>资格、在岗情况符合招标文件规定，并按规定在投标文件中签字确认。</w:t>
            </w:r>
          </w:p>
          <w:p w14:paraId="2AA5534D">
            <w:pPr>
              <w:pStyle w:val="18"/>
              <w:spacing w:before="130" w:line="408" w:lineRule="exact"/>
              <w:ind w:left="543"/>
              <w:rPr>
                <w:color w:val="auto"/>
                <w:sz w:val="10"/>
                <w:szCs w:val="10"/>
                <w:highlight w:val="none"/>
              </w:rPr>
            </w:pPr>
            <w:r>
              <w:rPr>
                <w:color w:val="auto"/>
                <w:spacing w:val="8"/>
                <w:position w:val="4"/>
                <w:highlight w:val="none"/>
              </w:rPr>
              <w:t>（6）投标人的其他要求符合招标文件规定。</w:t>
            </w:r>
          </w:p>
          <w:p w14:paraId="3456DE35">
            <w:pPr>
              <w:pStyle w:val="18"/>
              <w:spacing w:before="34" w:line="302" w:lineRule="auto"/>
              <w:ind w:left="114" w:right="109" w:firstLine="429"/>
              <w:rPr>
                <w:color w:val="auto"/>
                <w:highlight w:val="none"/>
              </w:rPr>
            </w:pPr>
            <w:r>
              <w:rPr>
                <w:color w:val="auto"/>
                <w:spacing w:val="7"/>
                <w:highlight w:val="none"/>
              </w:rPr>
              <w:t>（7）投标人不存在第二章“投标人须知</w:t>
            </w:r>
            <w:r>
              <w:rPr>
                <w:color w:val="auto"/>
                <w:spacing w:val="-68"/>
                <w:highlight w:val="none"/>
              </w:rPr>
              <w:t xml:space="preserve"> </w:t>
            </w:r>
            <w:r>
              <w:rPr>
                <w:color w:val="auto"/>
                <w:spacing w:val="7"/>
                <w:highlight w:val="none"/>
              </w:rPr>
              <w:t>”第</w:t>
            </w:r>
            <w:r>
              <w:rPr>
                <w:color w:val="auto"/>
                <w:spacing w:val="-21"/>
                <w:highlight w:val="none"/>
              </w:rPr>
              <w:t xml:space="preserve"> </w:t>
            </w:r>
            <w:r>
              <w:rPr>
                <w:color w:val="auto"/>
                <w:spacing w:val="7"/>
                <w:highlight w:val="none"/>
              </w:rPr>
              <w:t>1.4.3</w:t>
            </w:r>
            <w:r>
              <w:rPr>
                <w:color w:val="auto"/>
                <w:spacing w:val="-30"/>
                <w:highlight w:val="none"/>
              </w:rPr>
              <w:t xml:space="preserve"> </w:t>
            </w:r>
            <w:r>
              <w:rPr>
                <w:color w:val="auto"/>
                <w:spacing w:val="6"/>
                <w:highlight w:val="none"/>
              </w:rPr>
              <w:t>项或第</w:t>
            </w:r>
            <w:r>
              <w:rPr>
                <w:color w:val="auto"/>
                <w:spacing w:val="-21"/>
                <w:highlight w:val="none"/>
              </w:rPr>
              <w:t xml:space="preserve"> </w:t>
            </w:r>
            <w:r>
              <w:rPr>
                <w:color w:val="auto"/>
                <w:spacing w:val="6"/>
                <w:highlight w:val="none"/>
              </w:rPr>
              <w:t>1.4.4</w:t>
            </w:r>
            <w:r>
              <w:rPr>
                <w:color w:val="auto"/>
                <w:spacing w:val="-33"/>
                <w:highlight w:val="none"/>
              </w:rPr>
              <w:t xml:space="preserve"> </w:t>
            </w:r>
            <w:r>
              <w:rPr>
                <w:color w:val="auto"/>
                <w:spacing w:val="6"/>
                <w:highlight w:val="none"/>
              </w:rPr>
              <w:t>项</w:t>
            </w:r>
            <w:r>
              <w:rPr>
                <w:color w:val="auto"/>
                <w:spacing w:val="7"/>
                <w:highlight w:val="none"/>
              </w:rPr>
              <w:t>规定的任何一种情形。</w:t>
            </w:r>
          </w:p>
          <w:p w14:paraId="53EB67F1">
            <w:pPr>
              <w:pStyle w:val="18"/>
              <w:spacing w:before="130" w:line="408" w:lineRule="exact"/>
              <w:ind w:left="543"/>
              <w:rPr>
                <w:color w:val="auto"/>
                <w:sz w:val="10"/>
                <w:szCs w:val="10"/>
                <w:highlight w:val="none"/>
              </w:rPr>
            </w:pPr>
            <w:r>
              <w:rPr>
                <w:color w:val="auto"/>
                <w:spacing w:val="6"/>
                <w:position w:val="4"/>
                <w:highlight w:val="none"/>
              </w:rPr>
              <w:t>（8）投标人符合第二章“投标人须知</w:t>
            </w:r>
            <w:r>
              <w:rPr>
                <w:color w:val="auto"/>
                <w:spacing w:val="-72"/>
                <w:position w:val="4"/>
                <w:highlight w:val="none"/>
              </w:rPr>
              <w:t xml:space="preserve"> </w:t>
            </w:r>
            <w:r>
              <w:rPr>
                <w:color w:val="auto"/>
                <w:spacing w:val="6"/>
                <w:position w:val="4"/>
                <w:highlight w:val="none"/>
              </w:rPr>
              <w:t>”第</w:t>
            </w:r>
            <w:r>
              <w:rPr>
                <w:color w:val="auto"/>
                <w:spacing w:val="-24"/>
                <w:position w:val="4"/>
                <w:highlight w:val="none"/>
              </w:rPr>
              <w:t xml:space="preserve"> </w:t>
            </w:r>
            <w:r>
              <w:rPr>
                <w:color w:val="auto"/>
                <w:spacing w:val="6"/>
                <w:position w:val="4"/>
                <w:highlight w:val="none"/>
              </w:rPr>
              <w:t>1.4.5</w:t>
            </w:r>
            <w:r>
              <w:rPr>
                <w:color w:val="auto"/>
                <w:spacing w:val="-34"/>
                <w:position w:val="4"/>
                <w:highlight w:val="none"/>
              </w:rPr>
              <w:t xml:space="preserve"> </w:t>
            </w:r>
            <w:r>
              <w:rPr>
                <w:color w:val="auto"/>
                <w:spacing w:val="6"/>
                <w:position w:val="4"/>
                <w:highlight w:val="none"/>
              </w:rPr>
              <w:t>项规</w:t>
            </w:r>
            <w:r>
              <w:rPr>
                <w:color w:val="auto"/>
                <w:spacing w:val="5"/>
                <w:position w:val="4"/>
                <w:highlight w:val="none"/>
              </w:rPr>
              <w:t>定。</w:t>
            </w:r>
          </w:p>
          <w:p w14:paraId="662B51A9">
            <w:pPr>
              <w:pStyle w:val="18"/>
              <w:spacing w:before="31" w:line="366" w:lineRule="auto"/>
              <w:ind w:left="115" w:right="106" w:firstLine="428"/>
              <w:rPr>
                <w:color w:val="auto"/>
                <w:highlight w:val="none"/>
              </w:rPr>
            </w:pPr>
          </w:p>
        </w:tc>
      </w:tr>
    </w:tbl>
    <w:p w14:paraId="0BECB225">
      <w:pPr>
        <w:spacing w:line="259" w:lineRule="auto"/>
        <w:rPr>
          <w:rFonts w:ascii="Arial"/>
          <w:color w:val="auto"/>
          <w:sz w:val="21"/>
          <w:highlight w:val="none"/>
        </w:rPr>
      </w:pPr>
    </w:p>
    <w:p w14:paraId="740B6CAC">
      <w:pPr>
        <w:spacing w:line="259" w:lineRule="auto"/>
        <w:rPr>
          <w:rFonts w:ascii="Arial"/>
          <w:color w:val="auto"/>
          <w:sz w:val="21"/>
          <w:highlight w:val="none"/>
        </w:rPr>
      </w:pPr>
    </w:p>
    <w:p w14:paraId="7066767D">
      <w:pPr>
        <w:spacing w:line="259" w:lineRule="auto"/>
        <w:rPr>
          <w:rFonts w:ascii="Arial"/>
          <w:color w:val="auto"/>
          <w:sz w:val="21"/>
          <w:highlight w:val="none"/>
        </w:rPr>
      </w:pPr>
    </w:p>
    <w:p w14:paraId="4EE90EFB">
      <w:pPr>
        <w:spacing w:line="260" w:lineRule="auto"/>
        <w:rPr>
          <w:rFonts w:ascii="Arial"/>
          <w:color w:val="auto"/>
          <w:sz w:val="21"/>
          <w:highlight w:val="none"/>
        </w:rPr>
      </w:pPr>
    </w:p>
    <w:p w14:paraId="5A116456">
      <w:pPr>
        <w:spacing w:line="260" w:lineRule="auto"/>
        <w:rPr>
          <w:rFonts w:ascii="Arial"/>
          <w:color w:val="auto"/>
          <w:sz w:val="21"/>
          <w:highlight w:val="none"/>
        </w:rPr>
      </w:pPr>
    </w:p>
    <w:p w14:paraId="297292C9">
      <w:pPr>
        <w:spacing w:line="260" w:lineRule="auto"/>
        <w:rPr>
          <w:rFonts w:ascii="Arial"/>
          <w:color w:val="auto"/>
          <w:sz w:val="21"/>
          <w:highlight w:val="none"/>
        </w:rPr>
      </w:pPr>
    </w:p>
    <w:p w14:paraId="65F8ABED">
      <w:pPr>
        <w:spacing w:line="260" w:lineRule="auto"/>
        <w:rPr>
          <w:rFonts w:ascii="Arial"/>
          <w:color w:val="auto"/>
          <w:sz w:val="21"/>
          <w:highlight w:val="none"/>
        </w:rPr>
      </w:pPr>
    </w:p>
    <w:p w14:paraId="64A4CD23">
      <w:pPr>
        <w:spacing w:line="260" w:lineRule="auto"/>
        <w:rPr>
          <w:rFonts w:ascii="Arial"/>
          <w:color w:val="auto"/>
          <w:sz w:val="21"/>
          <w:highlight w:val="none"/>
        </w:rPr>
      </w:pPr>
    </w:p>
    <w:p w14:paraId="5D583FE4">
      <w:pPr>
        <w:spacing w:line="260" w:lineRule="auto"/>
        <w:rPr>
          <w:rFonts w:ascii="Arial"/>
          <w:color w:val="auto"/>
          <w:sz w:val="21"/>
          <w:highlight w:val="none"/>
        </w:rPr>
      </w:pPr>
    </w:p>
    <w:p w14:paraId="29089F62">
      <w:pPr>
        <w:spacing w:line="260" w:lineRule="auto"/>
        <w:rPr>
          <w:rFonts w:ascii="Arial"/>
          <w:color w:val="auto"/>
          <w:sz w:val="21"/>
          <w:highlight w:val="none"/>
        </w:rPr>
      </w:pPr>
    </w:p>
    <w:p w14:paraId="2452881F">
      <w:pPr>
        <w:spacing w:line="260" w:lineRule="auto"/>
        <w:rPr>
          <w:rFonts w:ascii="Arial"/>
          <w:color w:val="auto"/>
          <w:sz w:val="21"/>
          <w:highlight w:val="none"/>
        </w:rPr>
      </w:pPr>
    </w:p>
    <w:p w14:paraId="26617CB6">
      <w:pPr>
        <w:spacing w:line="260" w:lineRule="auto"/>
        <w:rPr>
          <w:rFonts w:ascii="Arial"/>
          <w:color w:val="auto"/>
          <w:sz w:val="21"/>
          <w:highlight w:val="none"/>
        </w:rPr>
      </w:pPr>
    </w:p>
    <w:p w14:paraId="38AEC4A8">
      <w:pPr>
        <w:spacing w:line="220" w:lineRule="auto"/>
        <w:rPr>
          <w:rFonts w:ascii="宋体" w:hAnsi="宋体" w:eastAsia="宋体" w:cs="宋体"/>
          <w:color w:val="auto"/>
          <w:sz w:val="18"/>
          <w:szCs w:val="18"/>
          <w:highlight w:val="none"/>
        </w:rPr>
        <w:sectPr>
          <w:footerReference r:id="rId43" w:type="default"/>
          <w:pgSz w:w="11906" w:h="16839"/>
          <w:pgMar w:top="1416" w:right="1310" w:bottom="1297" w:left="1304" w:header="0" w:footer="1067" w:gutter="0"/>
          <w:pgNumType w:fmt="decimal"/>
          <w:cols w:space="720" w:num="1"/>
        </w:sectPr>
      </w:pPr>
    </w:p>
    <w:p w14:paraId="042FAA0B">
      <w:pPr>
        <w:spacing w:before="41" w:line="222" w:lineRule="auto"/>
        <w:jc w:val="right"/>
        <w:rPr>
          <w:rFonts w:ascii="宋体" w:hAnsi="宋体" w:eastAsia="宋体" w:cs="宋体"/>
          <w:color w:val="auto"/>
          <w:sz w:val="20"/>
          <w:szCs w:val="20"/>
          <w:highlight w:val="none"/>
        </w:rPr>
      </w:pPr>
      <w:r>
        <w:rPr>
          <w:rFonts w:ascii="宋体" w:hAnsi="宋体" w:eastAsia="宋体" w:cs="宋体"/>
          <w:b/>
          <w:bCs/>
          <w:color w:val="auto"/>
          <w:spacing w:val="7"/>
          <w:sz w:val="20"/>
          <w:szCs w:val="20"/>
          <w:highlight w:val="none"/>
        </w:rPr>
        <w:t>续上表</w:t>
      </w:r>
    </w:p>
    <w:tbl>
      <w:tblPr>
        <w:tblStyle w:val="17"/>
        <w:tblW w:w="889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36"/>
        <w:gridCol w:w="1336"/>
        <w:gridCol w:w="6623"/>
      </w:tblGrid>
      <w:tr w14:paraId="1EC91A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 w:hRule="atLeast"/>
        </w:trPr>
        <w:tc>
          <w:tcPr>
            <w:tcW w:w="936" w:type="dxa"/>
            <w:vAlign w:val="top"/>
          </w:tcPr>
          <w:p w14:paraId="6FD6AD10">
            <w:pPr>
              <w:pStyle w:val="18"/>
              <w:spacing w:before="143" w:line="217" w:lineRule="auto"/>
              <w:ind w:left="159"/>
              <w:rPr>
                <w:color w:val="auto"/>
                <w:highlight w:val="none"/>
              </w:rPr>
            </w:pPr>
            <w:r>
              <w:rPr>
                <w:b/>
                <w:bCs/>
                <w:color w:val="auto"/>
                <w:spacing w:val="5"/>
                <w:highlight w:val="none"/>
              </w:rPr>
              <w:t>条款号</w:t>
            </w:r>
          </w:p>
        </w:tc>
        <w:tc>
          <w:tcPr>
            <w:tcW w:w="1336" w:type="dxa"/>
            <w:vAlign w:val="top"/>
          </w:tcPr>
          <w:p w14:paraId="30A92472">
            <w:pPr>
              <w:pStyle w:val="18"/>
              <w:spacing w:before="143" w:line="217" w:lineRule="auto"/>
              <w:ind w:left="253"/>
              <w:rPr>
                <w:color w:val="auto"/>
                <w:highlight w:val="none"/>
              </w:rPr>
            </w:pPr>
            <w:r>
              <w:rPr>
                <w:b/>
                <w:bCs/>
                <w:color w:val="auto"/>
                <w:spacing w:val="6"/>
                <w:highlight w:val="none"/>
              </w:rPr>
              <w:t>条款内容</w:t>
            </w:r>
          </w:p>
        </w:tc>
        <w:tc>
          <w:tcPr>
            <w:tcW w:w="6623" w:type="dxa"/>
            <w:vAlign w:val="top"/>
          </w:tcPr>
          <w:p w14:paraId="72877AD6">
            <w:pPr>
              <w:pStyle w:val="18"/>
              <w:spacing w:before="143" w:line="217" w:lineRule="auto"/>
              <w:ind w:left="2896"/>
              <w:rPr>
                <w:color w:val="auto"/>
                <w:highlight w:val="none"/>
              </w:rPr>
            </w:pPr>
            <w:r>
              <w:rPr>
                <w:b/>
                <w:bCs/>
                <w:color w:val="auto"/>
                <w:spacing w:val="6"/>
                <w:highlight w:val="none"/>
              </w:rPr>
              <w:t>编列内容</w:t>
            </w:r>
          </w:p>
        </w:tc>
      </w:tr>
      <w:tr w14:paraId="35A451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4" w:hRule="atLeast"/>
        </w:trPr>
        <w:tc>
          <w:tcPr>
            <w:tcW w:w="936" w:type="dxa"/>
            <w:vAlign w:val="top"/>
          </w:tcPr>
          <w:p w14:paraId="6337EFB5">
            <w:pPr>
              <w:spacing w:line="249" w:lineRule="auto"/>
              <w:rPr>
                <w:rFonts w:ascii="Arial"/>
                <w:color w:val="auto"/>
                <w:sz w:val="21"/>
                <w:highlight w:val="none"/>
              </w:rPr>
            </w:pPr>
          </w:p>
          <w:p w14:paraId="526F2ECE">
            <w:pPr>
              <w:spacing w:line="249" w:lineRule="auto"/>
              <w:rPr>
                <w:rFonts w:ascii="Arial"/>
                <w:color w:val="auto"/>
                <w:sz w:val="21"/>
                <w:highlight w:val="none"/>
              </w:rPr>
            </w:pPr>
          </w:p>
          <w:p w14:paraId="39880AB1">
            <w:pPr>
              <w:spacing w:line="249" w:lineRule="auto"/>
              <w:rPr>
                <w:rFonts w:ascii="Arial"/>
                <w:color w:val="auto"/>
                <w:sz w:val="21"/>
                <w:highlight w:val="none"/>
              </w:rPr>
            </w:pPr>
          </w:p>
          <w:p w14:paraId="574B7AD4">
            <w:pPr>
              <w:spacing w:line="249" w:lineRule="auto"/>
              <w:rPr>
                <w:rFonts w:ascii="Arial"/>
                <w:color w:val="auto"/>
                <w:sz w:val="21"/>
                <w:highlight w:val="none"/>
              </w:rPr>
            </w:pPr>
          </w:p>
          <w:p w14:paraId="3C4C0731">
            <w:pPr>
              <w:spacing w:line="250" w:lineRule="auto"/>
              <w:rPr>
                <w:rFonts w:ascii="Arial"/>
                <w:color w:val="auto"/>
                <w:sz w:val="21"/>
                <w:highlight w:val="none"/>
              </w:rPr>
            </w:pPr>
          </w:p>
          <w:p w14:paraId="59903A10">
            <w:pPr>
              <w:spacing w:line="250" w:lineRule="auto"/>
              <w:rPr>
                <w:rFonts w:ascii="Arial"/>
                <w:color w:val="auto"/>
                <w:sz w:val="21"/>
                <w:highlight w:val="none"/>
              </w:rPr>
            </w:pPr>
          </w:p>
          <w:p w14:paraId="0214AE9C">
            <w:pPr>
              <w:pStyle w:val="18"/>
              <w:spacing w:before="65" w:line="268" w:lineRule="exact"/>
              <w:ind w:left="213"/>
              <w:rPr>
                <w:color w:val="auto"/>
                <w:highlight w:val="none"/>
              </w:rPr>
            </w:pPr>
            <w:r>
              <w:rPr>
                <w:color w:val="auto"/>
                <w:spacing w:val="2"/>
                <w:position w:val="1"/>
                <w:highlight w:val="none"/>
              </w:rPr>
              <w:t>2.2.1</w:t>
            </w:r>
          </w:p>
        </w:tc>
        <w:tc>
          <w:tcPr>
            <w:tcW w:w="1336" w:type="dxa"/>
            <w:vAlign w:val="top"/>
          </w:tcPr>
          <w:p w14:paraId="480B83B1">
            <w:pPr>
              <w:spacing w:line="279" w:lineRule="auto"/>
              <w:rPr>
                <w:rFonts w:ascii="Arial"/>
                <w:color w:val="auto"/>
                <w:sz w:val="21"/>
                <w:highlight w:val="none"/>
              </w:rPr>
            </w:pPr>
          </w:p>
          <w:p w14:paraId="36C87A9D">
            <w:pPr>
              <w:spacing w:line="279" w:lineRule="auto"/>
              <w:rPr>
                <w:rFonts w:ascii="Arial"/>
                <w:color w:val="auto"/>
                <w:sz w:val="21"/>
                <w:highlight w:val="none"/>
              </w:rPr>
            </w:pPr>
          </w:p>
          <w:p w14:paraId="47198BB2">
            <w:pPr>
              <w:spacing w:line="279" w:lineRule="auto"/>
              <w:rPr>
                <w:rFonts w:ascii="Arial"/>
                <w:color w:val="auto"/>
                <w:sz w:val="21"/>
                <w:highlight w:val="none"/>
              </w:rPr>
            </w:pPr>
          </w:p>
          <w:p w14:paraId="34F0854B">
            <w:pPr>
              <w:spacing w:line="280" w:lineRule="auto"/>
              <w:rPr>
                <w:rFonts w:ascii="Arial"/>
                <w:color w:val="auto"/>
                <w:sz w:val="21"/>
                <w:highlight w:val="none"/>
              </w:rPr>
            </w:pPr>
          </w:p>
          <w:p w14:paraId="3231652B">
            <w:pPr>
              <w:pStyle w:val="18"/>
              <w:spacing w:before="65" w:line="228" w:lineRule="auto"/>
              <w:ind w:left="254"/>
              <w:rPr>
                <w:color w:val="auto"/>
                <w:highlight w:val="none"/>
              </w:rPr>
            </w:pPr>
            <w:r>
              <w:rPr>
                <w:color w:val="auto"/>
                <w:spacing w:val="6"/>
                <w:highlight w:val="none"/>
              </w:rPr>
              <w:t>分值构成</w:t>
            </w:r>
          </w:p>
          <w:p w14:paraId="3163372C">
            <w:pPr>
              <w:pStyle w:val="18"/>
              <w:spacing w:before="135" w:line="228" w:lineRule="auto"/>
              <w:ind w:left="182"/>
              <w:rPr>
                <w:color w:val="auto"/>
                <w:highlight w:val="none"/>
              </w:rPr>
            </w:pPr>
            <w:r>
              <w:rPr>
                <w:color w:val="auto"/>
                <w:highlight w:val="none"/>
              </w:rPr>
              <w:t>（总分</w:t>
            </w:r>
            <w:r>
              <w:rPr>
                <w:color w:val="auto"/>
                <w:spacing w:val="-22"/>
                <w:highlight w:val="none"/>
              </w:rPr>
              <w:t xml:space="preserve"> </w:t>
            </w:r>
            <w:r>
              <w:rPr>
                <w:color w:val="auto"/>
                <w:highlight w:val="none"/>
              </w:rPr>
              <w:t>100</w:t>
            </w:r>
          </w:p>
          <w:p w14:paraId="6836A5E4">
            <w:pPr>
              <w:pStyle w:val="18"/>
              <w:spacing w:before="132" w:line="228" w:lineRule="auto"/>
              <w:ind w:left="465"/>
              <w:rPr>
                <w:color w:val="auto"/>
                <w:highlight w:val="none"/>
              </w:rPr>
            </w:pPr>
            <w:r>
              <w:rPr>
                <w:color w:val="auto"/>
                <w:spacing w:val="-1"/>
                <w:highlight w:val="none"/>
              </w:rPr>
              <w:t>分）</w:t>
            </w:r>
          </w:p>
        </w:tc>
        <w:tc>
          <w:tcPr>
            <w:tcW w:w="6623" w:type="dxa"/>
            <w:vAlign w:val="top"/>
          </w:tcPr>
          <w:p w14:paraId="2A99D1E7">
            <w:pPr>
              <w:pStyle w:val="18"/>
              <w:spacing w:before="101" w:line="267" w:lineRule="exact"/>
              <w:ind w:left="533"/>
              <w:rPr>
                <w:color w:val="auto"/>
                <w:highlight w:val="none"/>
              </w:rPr>
            </w:pPr>
            <w:r>
              <w:rPr>
                <w:b/>
                <w:bCs/>
                <w:color w:val="auto"/>
                <w:spacing w:val="7"/>
                <w:highlight w:val="none"/>
              </w:rPr>
              <w:t>第一个信封（商务及技术文件）评分分值构成:</w:t>
            </w:r>
          </w:p>
          <w:p w14:paraId="4805BC38">
            <w:pPr>
              <w:pStyle w:val="18"/>
              <w:spacing w:before="113" w:line="228" w:lineRule="auto"/>
              <w:ind w:left="534"/>
              <w:rPr>
                <w:color w:val="auto"/>
                <w:highlight w:val="none"/>
              </w:rPr>
            </w:pPr>
            <w:r>
              <w:rPr>
                <w:b/>
                <w:bCs/>
                <w:color w:val="auto"/>
                <w:spacing w:val="5"/>
                <w:highlight w:val="none"/>
              </w:rPr>
              <w:t>方案一</w:t>
            </w:r>
          </w:p>
          <w:p w14:paraId="2965F79E">
            <w:pPr>
              <w:pStyle w:val="18"/>
              <w:spacing w:before="112" w:line="227" w:lineRule="auto"/>
              <w:ind w:left="534"/>
              <w:rPr>
                <w:color w:val="auto"/>
                <w:highlight w:val="none"/>
              </w:rPr>
            </w:pPr>
            <w:r>
              <w:rPr>
                <w:color w:val="auto"/>
                <w:spacing w:val="6"/>
                <w:highlight w:val="none"/>
              </w:rPr>
              <w:t>技术建议书：30</w:t>
            </w:r>
            <w:r>
              <w:rPr>
                <w:color w:val="auto"/>
                <w:spacing w:val="-30"/>
                <w:highlight w:val="none"/>
              </w:rPr>
              <w:t xml:space="preserve"> </w:t>
            </w:r>
            <w:r>
              <w:rPr>
                <w:color w:val="auto"/>
                <w:spacing w:val="6"/>
                <w:highlight w:val="none"/>
              </w:rPr>
              <w:t>分</w:t>
            </w:r>
          </w:p>
          <w:p w14:paraId="78E9D767">
            <w:pPr>
              <w:pStyle w:val="18"/>
              <w:spacing w:before="114" w:line="228" w:lineRule="auto"/>
              <w:ind w:left="535"/>
              <w:rPr>
                <w:color w:val="auto"/>
                <w:highlight w:val="none"/>
              </w:rPr>
            </w:pPr>
            <w:r>
              <w:rPr>
                <w:color w:val="auto"/>
                <w:spacing w:val="6"/>
                <w:highlight w:val="none"/>
              </w:rPr>
              <w:t>主要人员：20</w:t>
            </w:r>
            <w:r>
              <w:rPr>
                <w:color w:val="auto"/>
                <w:spacing w:val="-38"/>
                <w:highlight w:val="none"/>
              </w:rPr>
              <w:t xml:space="preserve"> </w:t>
            </w:r>
            <w:r>
              <w:rPr>
                <w:color w:val="auto"/>
                <w:spacing w:val="6"/>
                <w:highlight w:val="none"/>
              </w:rPr>
              <w:t>分</w:t>
            </w:r>
          </w:p>
          <w:p w14:paraId="43B9DA0F">
            <w:pPr>
              <w:pStyle w:val="18"/>
              <w:spacing w:before="112" w:line="228" w:lineRule="auto"/>
              <w:ind w:left="534"/>
              <w:rPr>
                <w:color w:val="auto"/>
                <w:highlight w:val="none"/>
              </w:rPr>
            </w:pPr>
            <w:r>
              <w:rPr>
                <w:color w:val="auto"/>
                <w:spacing w:val="6"/>
                <w:highlight w:val="none"/>
              </w:rPr>
              <w:t>技术能力：0</w:t>
            </w:r>
            <w:r>
              <w:rPr>
                <w:color w:val="auto"/>
                <w:spacing w:val="-35"/>
                <w:highlight w:val="none"/>
              </w:rPr>
              <w:t xml:space="preserve"> </w:t>
            </w:r>
            <w:r>
              <w:rPr>
                <w:color w:val="auto"/>
                <w:spacing w:val="6"/>
                <w:highlight w:val="none"/>
              </w:rPr>
              <w:t>分</w:t>
            </w:r>
          </w:p>
          <w:p w14:paraId="4CB392F8">
            <w:pPr>
              <w:pStyle w:val="18"/>
              <w:spacing w:before="113" w:line="228" w:lineRule="auto"/>
              <w:ind w:left="532"/>
              <w:rPr>
                <w:color w:val="auto"/>
                <w:highlight w:val="none"/>
              </w:rPr>
            </w:pPr>
            <w:r>
              <w:rPr>
                <w:color w:val="auto"/>
                <w:spacing w:val="5"/>
                <w:highlight w:val="none"/>
              </w:rPr>
              <w:t>业绩：25</w:t>
            </w:r>
            <w:r>
              <w:rPr>
                <w:color w:val="auto"/>
                <w:spacing w:val="-35"/>
                <w:highlight w:val="none"/>
              </w:rPr>
              <w:t xml:space="preserve"> </w:t>
            </w:r>
            <w:r>
              <w:rPr>
                <w:color w:val="auto"/>
                <w:spacing w:val="5"/>
                <w:highlight w:val="none"/>
              </w:rPr>
              <w:t>分</w:t>
            </w:r>
          </w:p>
          <w:p w14:paraId="0B431919">
            <w:pPr>
              <w:pStyle w:val="18"/>
              <w:spacing w:before="113" w:line="227" w:lineRule="auto"/>
              <w:ind w:left="536"/>
              <w:rPr>
                <w:color w:val="auto"/>
                <w:highlight w:val="none"/>
              </w:rPr>
            </w:pPr>
            <w:r>
              <w:rPr>
                <w:color w:val="auto"/>
                <w:spacing w:val="6"/>
                <w:highlight w:val="none"/>
              </w:rPr>
              <w:t>履约信誉：15</w:t>
            </w:r>
            <w:r>
              <w:rPr>
                <w:color w:val="auto"/>
                <w:spacing w:val="-38"/>
                <w:highlight w:val="none"/>
              </w:rPr>
              <w:t xml:space="preserve"> </w:t>
            </w:r>
            <w:r>
              <w:rPr>
                <w:color w:val="auto"/>
                <w:spacing w:val="6"/>
                <w:highlight w:val="none"/>
              </w:rPr>
              <w:t>分</w:t>
            </w:r>
          </w:p>
          <w:p w14:paraId="1BBE8E99">
            <w:pPr>
              <w:pStyle w:val="18"/>
              <w:spacing w:before="114" w:line="226" w:lineRule="auto"/>
              <w:ind w:left="533"/>
              <w:rPr>
                <w:color w:val="auto"/>
                <w:highlight w:val="none"/>
              </w:rPr>
            </w:pPr>
            <w:r>
              <w:rPr>
                <w:b/>
                <w:bCs/>
                <w:color w:val="auto"/>
                <w:spacing w:val="7"/>
                <w:highlight w:val="none"/>
              </w:rPr>
              <w:t>第二个信封（报价文件）评分分值构成：</w:t>
            </w:r>
          </w:p>
          <w:p w14:paraId="3DD31205">
            <w:pPr>
              <w:pStyle w:val="18"/>
              <w:spacing w:before="115" w:line="215" w:lineRule="auto"/>
              <w:ind w:left="532"/>
              <w:rPr>
                <w:color w:val="auto"/>
                <w:highlight w:val="none"/>
              </w:rPr>
            </w:pPr>
            <w:r>
              <w:rPr>
                <w:color w:val="auto"/>
                <w:spacing w:val="6"/>
                <w:highlight w:val="none"/>
              </w:rPr>
              <w:t>评标价：10</w:t>
            </w:r>
            <w:r>
              <w:rPr>
                <w:color w:val="auto"/>
                <w:spacing w:val="-38"/>
                <w:highlight w:val="none"/>
              </w:rPr>
              <w:t xml:space="preserve"> </w:t>
            </w:r>
            <w:r>
              <w:rPr>
                <w:color w:val="auto"/>
                <w:spacing w:val="6"/>
                <w:highlight w:val="none"/>
              </w:rPr>
              <w:t>分</w:t>
            </w:r>
          </w:p>
        </w:tc>
      </w:tr>
      <w:tr w14:paraId="49EFA0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5" w:hRule="atLeast"/>
        </w:trPr>
        <w:tc>
          <w:tcPr>
            <w:tcW w:w="936" w:type="dxa"/>
            <w:vAlign w:val="top"/>
          </w:tcPr>
          <w:p w14:paraId="19DB00B7">
            <w:pPr>
              <w:spacing w:line="242" w:lineRule="auto"/>
              <w:rPr>
                <w:rFonts w:ascii="Arial"/>
                <w:color w:val="auto"/>
                <w:sz w:val="21"/>
                <w:highlight w:val="none"/>
              </w:rPr>
            </w:pPr>
          </w:p>
          <w:p w14:paraId="4F6E4A71">
            <w:pPr>
              <w:spacing w:line="242" w:lineRule="auto"/>
              <w:rPr>
                <w:rFonts w:ascii="Arial"/>
                <w:color w:val="auto"/>
                <w:sz w:val="21"/>
                <w:highlight w:val="none"/>
              </w:rPr>
            </w:pPr>
          </w:p>
          <w:p w14:paraId="1C4A39E0">
            <w:pPr>
              <w:spacing w:line="242" w:lineRule="auto"/>
              <w:rPr>
                <w:rFonts w:ascii="Arial"/>
                <w:color w:val="auto"/>
                <w:sz w:val="21"/>
                <w:highlight w:val="none"/>
              </w:rPr>
            </w:pPr>
          </w:p>
          <w:p w14:paraId="5E06337D">
            <w:pPr>
              <w:spacing w:line="242" w:lineRule="auto"/>
              <w:rPr>
                <w:rFonts w:ascii="Arial"/>
                <w:color w:val="auto"/>
                <w:sz w:val="21"/>
                <w:highlight w:val="none"/>
              </w:rPr>
            </w:pPr>
          </w:p>
          <w:p w14:paraId="05554022">
            <w:pPr>
              <w:spacing w:line="242" w:lineRule="auto"/>
              <w:rPr>
                <w:rFonts w:ascii="Arial"/>
                <w:color w:val="auto"/>
                <w:sz w:val="21"/>
                <w:highlight w:val="none"/>
              </w:rPr>
            </w:pPr>
          </w:p>
          <w:p w14:paraId="59F29D0C">
            <w:pPr>
              <w:spacing w:line="242" w:lineRule="auto"/>
              <w:rPr>
                <w:rFonts w:ascii="Arial"/>
                <w:color w:val="auto"/>
                <w:sz w:val="21"/>
                <w:highlight w:val="none"/>
              </w:rPr>
            </w:pPr>
          </w:p>
          <w:p w14:paraId="7333AA0A">
            <w:pPr>
              <w:spacing w:line="242" w:lineRule="auto"/>
              <w:rPr>
                <w:rFonts w:ascii="Arial"/>
                <w:color w:val="auto"/>
                <w:sz w:val="21"/>
                <w:highlight w:val="none"/>
              </w:rPr>
            </w:pPr>
          </w:p>
          <w:p w14:paraId="653882F8">
            <w:pPr>
              <w:spacing w:line="242" w:lineRule="auto"/>
              <w:rPr>
                <w:rFonts w:ascii="Arial"/>
                <w:color w:val="auto"/>
                <w:sz w:val="21"/>
                <w:highlight w:val="none"/>
              </w:rPr>
            </w:pPr>
          </w:p>
          <w:p w14:paraId="616CCFB0">
            <w:pPr>
              <w:spacing w:line="242" w:lineRule="auto"/>
              <w:rPr>
                <w:rFonts w:ascii="Arial"/>
                <w:color w:val="auto"/>
                <w:sz w:val="21"/>
                <w:highlight w:val="none"/>
              </w:rPr>
            </w:pPr>
          </w:p>
          <w:p w14:paraId="33A57265">
            <w:pPr>
              <w:spacing w:line="242" w:lineRule="auto"/>
              <w:rPr>
                <w:rFonts w:ascii="Arial"/>
                <w:color w:val="auto"/>
                <w:sz w:val="21"/>
                <w:highlight w:val="none"/>
              </w:rPr>
            </w:pPr>
          </w:p>
          <w:p w14:paraId="1A76935E">
            <w:pPr>
              <w:spacing w:line="242" w:lineRule="auto"/>
              <w:rPr>
                <w:rFonts w:ascii="Arial"/>
                <w:color w:val="auto"/>
                <w:sz w:val="21"/>
                <w:highlight w:val="none"/>
              </w:rPr>
            </w:pPr>
          </w:p>
          <w:p w14:paraId="1123985D">
            <w:pPr>
              <w:spacing w:line="242" w:lineRule="auto"/>
              <w:rPr>
                <w:rFonts w:ascii="Arial"/>
                <w:color w:val="auto"/>
                <w:sz w:val="21"/>
                <w:highlight w:val="none"/>
              </w:rPr>
            </w:pPr>
          </w:p>
          <w:p w14:paraId="2CFE8E08">
            <w:pPr>
              <w:spacing w:line="242" w:lineRule="auto"/>
              <w:rPr>
                <w:rFonts w:ascii="Arial"/>
                <w:color w:val="auto"/>
                <w:sz w:val="21"/>
                <w:highlight w:val="none"/>
              </w:rPr>
            </w:pPr>
          </w:p>
          <w:p w14:paraId="62388783">
            <w:pPr>
              <w:spacing w:line="242" w:lineRule="auto"/>
              <w:rPr>
                <w:rFonts w:ascii="Arial"/>
                <w:color w:val="auto"/>
                <w:sz w:val="21"/>
                <w:highlight w:val="none"/>
              </w:rPr>
            </w:pPr>
          </w:p>
          <w:p w14:paraId="0B3D4915">
            <w:pPr>
              <w:spacing w:line="242" w:lineRule="auto"/>
              <w:rPr>
                <w:rFonts w:ascii="Arial"/>
                <w:color w:val="auto"/>
                <w:sz w:val="21"/>
                <w:highlight w:val="none"/>
              </w:rPr>
            </w:pPr>
          </w:p>
          <w:p w14:paraId="0D8C3F99">
            <w:pPr>
              <w:spacing w:line="243" w:lineRule="auto"/>
              <w:rPr>
                <w:rFonts w:ascii="Arial"/>
                <w:color w:val="auto"/>
                <w:sz w:val="21"/>
                <w:highlight w:val="none"/>
              </w:rPr>
            </w:pPr>
          </w:p>
          <w:p w14:paraId="5ECECB0A">
            <w:pPr>
              <w:spacing w:line="243" w:lineRule="auto"/>
              <w:rPr>
                <w:rFonts w:ascii="Arial"/>
                <w:color w:val="auto"/>
                <w:sz w:val="21"/>
                <w:highlight w:val="none"/>
              </w:rPr>
            </w:pPr>
          </w:p>
          <w:p w14:paraId="05F908A4">
            <w:pPr>
              <w:spacing w:line="243" w:lineRule="auto"/>
              <w:rPr>
                <w:rFonts w:ascii="Arial"/>
                <w:color w:val="auto"/>
                <w:sz w:val="21"/>
                <w:highlight w:val="none"/>
              </w:rPr>
            </w:pPr>
          </w:p>
          <w:p w14:paraId="6C6E7C9A">
            <w:pPr>
              <w:pStyle w:val="18"/>
              <w:spacing w:before="65" w:line="268" w:lineRule="exact"/>
              <w:ind w:left="213"/>
              <w:rPr>
                <w:color w:val="auto"/>
                <w:highlight w:val="none"/>
              </w:rPr>
            </w:pPr>
            <w:r>
              <w:rPr>
                <w:color w:val="auto"/>
                <w:spacing w:val="2"/>
                <w:position w:val="1"/>
                <w:highlight w:val="none"/>
              </w:rPr>
              <w:t>2.2.2</w:t>
            </w:r>
          </w:p>
        </w:tc>
        <w:tc>
          <w:tcPr>
            <w:tcW w:w="1336" w:type="dxa"/>
            <w:vAlign w:val="top"/>
          </w:tcPr>
          <w:p w14:paraId="08F7FCC1">
            <w:pPr>
              <w:spacing w:line="245" w:lineRule="auto"/>
              <w:rPr>
                <w:rFonts w:ascii="Arial"/>
                <w:color w:val="auto"/>
                <w:sz w:val="21"/>
                <w:highlight w:val="none"/>
              </w:rPr>
            </w:pPr>
          </w:p>
          <w:p w14:paraId="78CF2755">
            <w:pPr>
              <w:spacing w:line="245" w:lineRule="auto"/>
              <w:rPr>
                <w:rFonts w:ascii="Arial"/>
                <w:color w:val="auto"/>
                <w:sz w:val="21"/>
                <w:highlight w:val="none"/>
              </w:rPr>
            </w:pPr>
          </w:p>
          <w:p w14:paraId="3C62AC1C">
            <w:pPr>
              <w:spacing w:line="245" w:lineRule="auto"/>
              <w:rPr>
                <w:rFonts w:ascii="Arial"/>
                <w:color w:val="auto"/>
                <w:sz w:val="21"/>
                <w:highlight w:val="none"/>
              </w:rPr>
            </w:pPr>
          </w:p>
          <w:p w14:paraId="570AEA39">
            <w:pPr>
              <w:spacing w:line="245" w:lineRule="auto"/>
              <w:rPr>
                <w:rFonts w:ascii="Arial"/>
                <w:color w:val="auto"/>
                <w:sz w:val="21"/>
                <w:highlight w:val="none"/>
              </w:rPr>
            </w:pPr>
          </w:p>
          <w:p w14:paraId="431AB6F5">
            <w:pPr>
              <w:spacing w:line="245" w:lineRule="auto"/>
              <w:rPr>
                <w:rFonts w:ascii="Arial"/>
                <w:color w:val="auto"/>
                <w:sz w:val="21"/>
                <w:highlight w:val="none"/>
              </w:rPr>
            </w:pPr>
          </w:p>
          <w:p w14:paraId="55026D77">
            <w:pPr>
              <w:spacing w:line="245" w:lineRule="auto"/>
              <w:rPr>
                <w:rFonts w:ascii="Arial"/>
                <w:color w:val="auto"/>
                <w:sz w:val="21"/>
                <w:highlight w:val="none"/>
              </w:rPr>
            </w:pPr>
          </w:p>
          <w:p w14:paraId="39E4DB43">
            <w:pPr>
              <w:spacing w:line="245" w:lineRule="auto"/>
              <w:rPr>
                <w:rFonts w:ascii="Arial"/>
                <w:color w:val="auto"/>
                <w:sz w:val="21"/>
                <w:highlight w:val="none"/>
              </w:rPr>
            </w:pPr>
          </w:p>
          <w:p w14:paraId="124AED33">
            <w:pPr>
              <w:spacing w:line="245" w:lineRule="auto"/>
              <w:rPr>
                <w:rFonts w:ascii="Arial"/>
                <w:color w:val="auto"/>
                <w:sz w:val="21"/>
                <w:highlight w:val="none"/>
              </w:rPr>
            </w:pPr>
          </w:p>
          <w:p w14:paraId="13C099A1">
            <w:pPr>
              <w:spacing w:line="245" w:lineRule="auto"/>
              <w:rPr>
                <w:rFonts w:ascii="Arial"/>
                <w:color w:val="auto"/>
                <w:sz w:val="21"/>
                <w:highlight w:val="none"/>
              </w:rPr>
            </w:pPr>
          </w:p>
          <w:p w14:paraId="0645D051">
            <w:pPr>
              <w:spacing w:line="245" w:lineRule="auto"/>
              <w:rPr>
                <w:rFonts w:ascii="Arial"/>
                <w:color w:val="auto"/>
                <w:sz w:val="21"/>
                <w:highlight w:val="none"/>
              </w:rPr>
            </w:pPr>
          </w:p>
          <w:p w14:paraId="5628D377">
            <w:pPr>
              <w:spacing w:line="246" w:lineRule="auto"/>
              <w:rPr>
                <w:rFonts w:ascii="Arial"/>
                <w:color w:val="auto"/>
                <w:sz w:val="21"/>
                <w:highlight w:val="none"/>
              </w:rPr>
            </w:pPr>
          </w:p>
          <w:p w14:paraId="79BEBCEE">
            <w:pPr>
              <w:spacing w:line="246" w:lineRule="auto"/>
              <w:rPr>
                <w:rFonts w:ascii="Arial"/>
                <w:color w:val="auto"/>
                <w:sz w:val="21"/>
                <w:highlight w:val="none"/>
              </w:rPr>
            </w:pPr>
          </w:p>
          <w:p w14:paraId="0D50E047">
            <w:pPr>
              <w:spacing w:line="246" w:lineRule="auto"/>
              <w:rPr>
                <w:rFonts w:ascii="Arial"/>
                <w:color w:val="auto"/>
                <w:sz w:val="21"/>
                <w:highlight w:val="none"/>
              </w:rPr>
            </w:pPr>
          </w:p>
          <w:p w14:paraId="16B2B16D">
            <w:pPr>
              <w:spacing w:line="246" w:lineRule="auto"/>
              <w:rPr>
                <w:rFonts w:ascii="Arial"/>
                <w:color w:val="auto"/>
                <w:sz w:val="21"/>
                <w:highlight w:val="none"/>
              </w:rPr>
            </w:pPr>
          </w:p>
          <w:p w14:paraId="41C34F7C">
            <w:pPr>
              <w:spacing w:line="246" w:lineRule="auto"/>
              <w:rPr>
                <w:rFonts w:ascii="Arial"/>
                <w:color w:val="auto"/>
                <w:sz w:val="21"/>
                <w:highlight w:val="none"/>
              </w:rPr>
            </w:pPr>
          </w:p>
          <w:p w14:paraId="7D05A9AE">
            <w:pPr>
              <w:spacing w:line="246" w:lineRule="auto"/>
              <w:rPr>
                <w:rFonts w:ascii="Arial"/>
                <w:color w:val="auto"/>
                <w:sz w:val="21"/>
                <w:highlight w:val="none"/>
              </w:rPr>
            </w:pPr>
          </w:p>
          <w:p w14:paraId="0787A5D3">
            <w:pPr>
              <w:spacing w:line="246" w:lineRule="auto"/>
              <w:rPr>
                <w:rFonts w:ascii="Arial"/>
                <w:color w:val="auto"/>
                <w:sz w:val="21"/>
                <w:highlight w:val="none"/>
              </w:rPr>
            </w:pPr>
          </w:p>
          <w:p w14:paraId="4F309A05">
            <w:pPr>
              <w:pStyle w:val="18"/>
              <w:spacing w:before="65" w:line="351" w:lineRule="auto"/>
              <w:ind w:left="251" w:right="144" w:hanging="106"/>
              <w:rPr>
                <w:color w:val="auto"/>
                <w:highlight w:val="none"/>
              </w:rPr>
            </w:pPr>
            <w:r>
              <w:rPr>
                <w:color w:val="auto"/>
                <w:spacing w:val="8"/>
                <w:highlight w:val="none"/>
              </w:rPr>
              <w:t>评标基准价</w:t>
            </w:r>
            <w:r>
              <w:rPr>
                <w:color w:val="auto"/>
                <w:spacing w:val="7"/>
                <w:highlight w:val="none"/>
              </w:rPr>
              <w:t>计算方法</w:t>
            </w:r>
          </w:p>
        </w:tc>
        <w:tc>
          <w:tcPr>
            <w:tcW w:w="6623" w:type="dxa"/>
            <w:vAlign w:val="top"/>
          </w:tcPr>
          <w:p w14:paraId="73ACE6C2">
            <w:pPr>
              <w:pStyle w:val="18"/>
              <w:spacing w:before="122" w:line="226" w:lineRule="auto"/>
              <w:ind w:left="532"/>
              <w:rPr>
                <w:color w:val="auto"/>
                <w:highlight w:val="none"/>
              </w:rPr>
            </w:pPr>
            <w:r>
              <w:rPr>
                <w:color w:val="auto"/>
                <w:spacing w:val="7"/>
                <w:highlight w:val="none"/>
              </w:rPr>
              <w:t>评标基准价的计算：</w:t>
            </w:r>
          </w:p>
          <w:p w14:paraId="11B35FCF">
            <w:pPr>
              <w:pStyle w:val="18"/>
              <w:spacing w:before="115" w:line="226" w:lineRule="auto"/>
              <w:ind w:left="532"/>
              <w:rPr>
                <w:color w:val="auto"/>
                <w:highlight w:val="none"/>
              </w:rPr>
            </w:pPr>
            <w:r>
              <w:rPr>
                <w:color w:val="auto"/>
                <w:spacing w:val="9"/>
                <w:highlight w:val="none"/>
              </w:rPr>
              <w:t>在开标现场，招标人将当场计算并宣布评标基准价。</w:t>
            </w:r>
          </w:p>
          <w:p w14:paraId="68FAE547">
            <w:pPr>
              <w:pStyle w:val="18"/>
              <w:spacing w:before="115" w:line="226" w:lineRule="auto"/>
              <w:ind w:left="543"/>
              <w:rPr>
                <w:color w:val="auto"/>
                <w:highlight w:val="none"/>
              </w:rPr>
            </w:pPr>
            <w:r>
              <w:rPr>
                <w:color w:val="auto"/>
                <w:spacing w:val="6"/>
                <w:highlight w:val="none"/>
              </w:rPr>
              <w:t>（1）评标价的确定：</w:t>
            </w:r>
          </w:p>
          <w:p w14:paraId="2F0DF5E5">
            <w:pPr>
              <w:pStyle w:val="18"/>
              <w:spacing w:before="115" w:line="226" w:lineRule="auto"/>
              <w:ind w:left="532"/>
              <w:rPr>
                <w:color w:val="auto"/>
                <w:highlight w:val="none"/>
              </w:rPr>
            </w:pPr>
            <w:r>
              <w:rPr>
                <w:color w:val="auto"/>
                <w:spacing w:val="9"/>
                <w:highlight w:val="none"/>
              </w:rPr>
              <w:t>评标价＝投标函文字报价</w:t>
            </w:r>
          </w:p>
          <w:p w14:paraId="3BB0914F">
            <w:pPr>
              <w:pStyle w:val="18"/>
              <w:spacing w:before="115" w:line="294" w:lineRule="auto"/>
              <w:ind w:left="113" w:right="109" w:firstLine="430"/>
              <w:rPr>
                <w:color w:val="auto"/>
                <w:sz w:val="10"/>
                <w:szCs w:val="10"/>
                <w:highlight w:val="none"/>
              </w:rPr>
            </w:pPr>
            <w:r>
              <w:rPr>
                <w:color w:val="auto"/>
                <w:spacing w:val="10"/>
                <w:highlight w:val="none"/>
              </w:rPr>
              <w:t>（2）</w:t>
            </w:r>
            <w:r>
              <w:rPr>
                <w:color w:val="auto"/>
                <w:spacing w:val="10"/>
                <w:highlight w:val="none"/>
                <w:u w:val="single" w:color="auto"/>
              </w:rPr>
              <w:t>评标价的平均值或最高评标限价的计算</w:t>
            </w:r>
            <w:r>
              <w:rPr>
                <w:color w:val="auto"/>
                <w:spacing w:val="-3"/>
                <w:highlight w:val="none"/>
              </w:rPr>
              <w:t>：（</w:t>
            </w:r>
            <w:r>
              <w:rPr>
                <w:color w:val="auto"/>
                <w:spacing w:val="10"/>
                <w:highlight w:val="none"/>
              </w:rPr>
              <w:t>三个方案选择一</w:t>
            </w:r>
            <w:r>
              <w:rPr>
                <w:color w:val="auto"/>
                <w:spacing w:val="5"/>
                <w:position w:val="-1"/>
                <w:highlight w:val="none"/>
              </w:rPr>
              <w:t>个）</w:t>
            </w:r>
          </w:p>
          <w:p w14:paraId="7F3DAC85">
            <w:pPr>
              <w:pStyle w:val="18"/>
              <w:spacing w:before="82" w:line="228" w:lineRule="auto"/>
              <w:ind w:left="534"/>
              <w:rPr>
                <w:color w:val="auto"/>
                <w:highlight w:val="none"/>
              </w:rPr>
            </w:pPr>
            <w:r>
              <w:rPr>
                <w:b/>
                <w:bCs/>
                <w:color w:val="auto"/>
                <w:spacing w:val="3"/>
                <w:highlight w:val="none"/>
              </w:rPr>
              <w:t>方案一</w:t>
            </w:r>
            <w:r>
              <w:rPr>
                <w:color w:val="auto"/>
                <w:spacing w:val="3"/>
                <w:highlight w:val="none"/>
              </w:rPr>
              <w:t>：</w:t>
            </w:r>
          </w:p>
          <w:p w14:paraId="428A6602">
            <w:pPr>
              <w:pStyle w:val="18"/>
              <w:spacing w:before="113" w:line="225" w:lineRule="auto"/>
              <w:ind w:left="532"/>
              <w:rPr>
                <w:color w:val="auto"/>
                <w:highlight w:val="none"/>
              </w:rPr>
            </w:pPr>
            <w:r>
              <w:rPr>
                <w:color w:val="auto"/>
                <w:spacing w:val="9"/>
                <w:highlight w:val="none"/>
              </w:rPr>
              <w:t>①最高投标限价下浮率的确定</w:t>
            </w:r>
          </w:p>
          <w:p w14:paraId="2ADCD401">
            <w:pPr>
              <w:pStyle w:val="18"/>
              <w:spacing w:before="117" w:line="326" w:lineRule="auto"/>
              <w:ind w:left="113" w:right="107" w:firstLine="426"/>
              <w:rPr>
                <w:color w:val="auto"/>
                <w:highlight w:val="none"/>
              </w:rPr>
            </w:pPr>
            <w:r>
              <w:rPr>
                <w:color w:val="auto"/>
                <w:spacing w:val="13"/>
                <w:highlight w:val="none"/>
              </w:rPr>
              <w:t>下浮率在第二个信封（报价文件）开标前在开标现场采取摇珠方</w:t>
            </w:r>
            <w:r>
              <w:rPr>
                <w:color w:val="auto"/>
                <w:spacing w:val="9"/>
                <w:highlight w:val="none"/>
              </w:rPr>
              <w:t>式确定。摇珠操作办法如下：在下浮率摇珠范围内，</w:t>
            </w:r>
            <w:r>
              <w:rPr>
                <w:color w:val="auto"/>
                <w:spacing w:val="-57"/>
                <w:highlight w:val="none"/>
              </w:rPr>
              <w:t xml:space="preserve"> </w:t>
            </w:r>
            <w:r>
              <w:rPr>
                <w:color w:val="auto"/>
                <w:spacing w:val="9"/>
                <w:highlight w:val="none"/>
              </w:rPr>
              <w:t>以</w:t>
            </w:r>
            <w:r>
              <w:rPr>
                <w:color w:val="auto"/>
                <w:spacing w:val="-37"/>
                <w:highlight w:val="none"/>
              </w:rPr>
              <w:t xml:space="preserve"> </w:t>
            </w:r>
            <w:r>
              <w:rPr>
                <w:color w:val="auto"/>
                <w:spacing w:val="9"/>
                <w:highlight w:val="none"/>
              </w:rPr>
              <w:t>0.1%为一档次</w:t>
            </w:r>
            <w:r>
              <w:rPr>
                <w:color w:val="auto"/>
                <w:spacing w:val="5"/>
                <w:highlight w:val="none"/>
              </w:rPr>
              <w:t>增序确定摇珠号码，</w:t>
            </w:r>
            <w:r>
              <w:rPr>
                <w:color w:val="auto"/>
                <w:spacing w:val="5"/>
                <w:highlight w:val="none"/>
                <w:u w:val="single" w:color="auto"/>
              </w:rPr>
              <w:t xml:space="preserve"> </w:t>
            </w:r>
            <w:r>
              <w:rPr>
                <w:rFonts w:hint="eastAsia"/>
                <w:color w:val="auto"/>
                <w:spacing w:val="5"/>
                <w:highlight w:val="none"/>
                <w:u w:val="single" w:color="auto"/>
                <w:lang w:val="en-US" w:eastAsia="zh-CN"/>
              </w:rPr>
              <w:t>31</w:t>
            </w:r>
            <w:r>
              <w:rPr>
                <w:color w:val="auto"/>
                <w:spacing w:val="5"/>
                <w:highlight w:val="none"/>
                <w:u w:val="single" w:color="auto"/>
              </w:rPr>
              <w:t xml:space="preserve"> </w:t>
            </w:r>
            <w:r>
              <w:rPr>
                <w:color w:val="auto"/>
                <w:spacing w:val="-77"/>
                <w:highlight w:val="none"/>
              </w:rPr>
              <w:t xml:space="preserve"> </w:t>
            </w:r>
            <w:r>
              <w:rPr>
                <w:color w:val="auto"/>
                <w:spacing w:val="5"/>
                <w:highlight w:val="none"/>
              </w:rPr>
              <w:t>个球</w:t>
            </w:r>
            <w:r>
              <w:rPr>
                <w:color w:val="auto"/>
                <w:spacing w:val="-25"/>
                <w:position w:val="10"/>
                <w:sz w:val="10"/>
                <w:szCs w:val="10"/>
                <w:highlight w:val="none"/>
              </w:rPr>
              <w:t xml:space="preserve"> </w:t>
            </w:r>
            <w:r>
              <w:rPr>
                <w:color w:val="auto"/>
                <w:spacing w:val="5"/>
                <w:highlight w:val="none"/>
              </w:rPr>
              <w:t>,</w:t>
            </w:r>
            <w:r>
              <w:rPr>
                <w:color w:val="auto"/>
                <w:spacing w:val="61"/>
                <w:highlight w:val="none"/>
              </w:rPr>
              <w:t xml:space="preserve"> </w:t>
            </w:r>
            <w:r>
              <w:rPr>
                <w:color w:val="auto"/>
                <w:spacing w:val="5"/>
                <w:highlight w:val="none"/>
              </w:rPr>
              <w:t>每个标段各一次性摇取</w:t>
            </w:r>
            <w:r>
              <w:rPr>
                <w:color w:val="auto"/>
                <w:spacing w:val="-35"/>
                <w:highlight w:val="none"/>
              </w:rPr>
              <w:t xml:space="preserve"> </w:t>
            </w:r>
            <w:r>
              <w:rPr>
                <w:color w:val="auto"/>
                <w:spacing w:val="5"/>
                <w:highlight w:val="none"/>
              </w:rPr>
              <w:t>3</w:t>
            </w:r>
            <w:r>
              <w:rPr>
                <w:color w:val="auto"/>
                <w:spacing w:val="-38"/>
                <w:highlight w:val="none"/>
              </w:rPr>
              <w:t xml:space="preserve"> </w:t>
            </w:r>
            <w:r>
              <w:rPr>
                <w:color w:val="auto"/>
                <w:spacing w:val="5"/>
                <w:highlight w:val="none"/>
              </w:rPr>
              <w:t>个球（摇出的</w:t>
            </w:r>
            <w:r>
              <w:rPr>
                <w:color w:val="auto"/>
                <w:spacing w:val="11"/>
                <w:highlight w:val="none"/>
              </w:rPr>
              <w:t>球不放回</w:t>
            </w:r>
            <w:r>
              <w:rPr>
                <w:color w:val="auto"/>
                <w:spacing w:val="4"/>
                <w:highlight w:val="none"/>
              </w:rPr>
              <w:t>）</w:t>
            </w:r>
            <w:r>
              <w:rPr>
                <w:color w:val="auto"/>
                <w:spacing w:val="-57"/>
                <w:highlight w:val="none"/>
              </w:rPr>
              <w:t xml:space="preserve"> </w:t>
            </w:r>
            <w:r>
              <w:rPr>
                <w:color w:val="auto"/>
                <w:spacing w:val="4"/>
                <w:highlight w:val="none"/>
              </w:rPr>
              <w:t>，</w:t>
            </w:r>
            <w:r>
              <w:rPr>
                <w:color w:val="auto"/>
                <w:spacing w:val="11"/>
                <w:highlight w:val="none"/>
              </w:rPr>
              <w:t>摇出</w:t>
            </w:r>
            <w:r>
              <w:rPr>
                <w:color w:val="auto"/>
                <w:spacing w:val="-30"/>
                <w:highlight w:val="none"/>
              </w:rPr>
              <w:t xml:space="preserve"> </w:t>
            </w:r>
            <w:r>
              <w:rPr>
                <w:color w:val="auto"/>
                <w:spacing w:val="11"/>
                <w:highlight w:val="none"/>
              </w:rPr>
              <w:t>3</w:t>
            </w:r>
            <w:r>
              <w:rPr>
                <w:color w:val="auto"/>
                <w:spacing w:val="-35"/>
                <w:highlight w:val="none"/>
              </w:rPr>
              <w:t xml:space="preserve"> </w:t>
            </w:r>
            <w:r>
              <w:rPr>
                <w:color w:val="auto"/>
                <w:spacing w:val="11"/>
                <w:highlight w:val="none"/>
              </w:rPr>
              <w:t>个球对应的下浮率的平均值即为本标段招标的下浮率。（注：下浮率摇珠区间</w:t>
            </w:r>
            <w:r>
              <w:rPr>
                <w:rFonts w:hint="eastAsia" w:ascii="宋体" w:hAnsi="宋体" w:cs="宋体"/>
                <w:color w:val="auto"/>
                <w:szCs w:val="21"/>
                <w:highlight w:val="none"/>
              </w:rPr>
              <w:t>为0</w:t>
            </w:r>
            <w:r>
              <w:rPr>
                <w:rFonts w:hint="eastAsia" w:ascii="宋体" w:hAnsi="宋体" w:cs="宋体"/>
                <w:color w:val="auto"/>
                <w:szCs w:val="21"/>
                <w:highlight w:val="none"/>
                <w:lang w:val="en-US" w:eastAsia="zh-CN"/>
              </w:rPr>
              <w:t>.0</w:t>
            </w:r>
            <w:r>
              <w:rPr>
                <w:rFonts w:hint="eastAsia" w:ascii="宋体" w:hAnsi="宋体" w:cs="宋体"/>
                <w:color w:val="auto"/>
                <w:szCs w:val="21"/>
                <w:highlight w:val="none"/>
              </w:rPr>
              <w:t>%</w:t>
            </w:r>
            <w:r>
              <w:rPr>
                <w:rFonts w:hint="eastAsia" w:ascii="宋体" w:hAnsi="宋体" w:eastAsia="宋体" w:cs="宋体"/>
                <w:color w:val="auto"/>
                <w:szCs w:val="21"/>
                <w:highlight w:val="none"/>
              </w:rPr>
              <w:t>～</w:t>
            </w:r>
            <w:r>
              <w:rPr>
                <w:rFonts w:hint="eastAsia" w:ascii="宋体" w:hAnsi="宋体" w:cs="宋体"/>
                <w:color w:val="auto"/>
                <w:szCs w:val="21"/>
                <w:highlight w:val="none"/>
              </w:rPr>
              <w:t>3</w:t>
            </w:r>
            <w:r>
              <w:rPr>
                <w:rFonts w:hint="eastAsia" w:ascii="宋体" w:hAnsi="宋体" w:cs="宋体"/>
                <w:color w:val="auto"/>
                <w:szCs w:val="21"/>
                <w:highlight w:val="none"/>
                <w:lang w:val="en-US" w:eastAsia="zh-CN"/>
              </w:rPr>
              <w:t>.0</w:t>
            </w:r>
            <w:r>
              <w:rPr>
                <w:rFonts w:hint="eastAsia" w:ascii="宋体" w:hAnsi="宋体" w:cs="宋体"/>
                <w:color w:val="auto"/>
                <w:szCs w:val="21"/>
                <w:highlight w:val="none"/>
              </w:rPr>
              <w:t>%</w:t>
            </w:r>
            <w:r>
              <w:rPr>
                <w:color w:val="auto"/>
                <w:spacing w:val="10"/>
                <w:highlight w:val="none"/>
              </w:rPr>
              <w:t>，摇出三个</w:t>
            </w:r>
            <w:r>
              <w:rPr>
                <w:color w:val="auto"/>
                <w:spacing w:val="6"/>
                <w:highlight w:val="none"/>
              </w:rPr>
              <w:t>下浮率的平均值四舍五入取整到</w:t>
            </w:r>
            <w:r>
              <w:rPr>
                <w:color w:val="auto"/>
                <w:spacing w:val="-21"/>
                <w:highlight w:val="none"/>
              </w:rPr>
              <w:t xml:space="preserve"> </w:t>
            </w:r>
            <w:r>
              <w:rPr>
                <w:color w:val="auto"/>
                <w:spacing w:val="6"/>
                <w:highlight w:val="none"/>
              </w:rPr>
              <w:t>0.001%）。</w:t>
            </w:r>
          </w:p>
          <w:p w14:paraId="6C266AEB">
            <w:pPr>
              <w:pStyle w:val="18"/>
              <w:spacing w:before="40" w:line="225" w:lineRule="auto"/>
              <w:ind w:left="531"/>
              <w:rPr>
                <w:color w:val="auto"/>
                <w:highlight w:val="none"/>
              </w:rPr>
            </w:pPr>
            <w:r>
              <w:rPr>
                <w:color w:val="auto"/>
                <w:spacing w:val="9"/>
                <w:highlight w:val="none"/>
              </w:rPr>
              <w:t>②最高评标限价=最高投标限价×（1-最高投标限</w:t>
            </w:r>
            <w:r>
              <w:rPr>
                <w:color w:val="auto"/>
                <w:spacing w:val="8"/>
                <w:highlight w:val="none"/>
              </w:rPr>
              <w:t>价下浮率）</w:t>
            </w:r>
          </w:p>
          <w:p w14:paraId="4F712481">
            <w:pPr>
              <w:pStyle w:val="18"/>
              <w:spacing w:before="116" w:line="332" w:lineRule="auto"/>
              <w:ind w:left="114" w:right="141" w:firstLine="420"/>
              <w:rPr>
                <w:color w:val="auto"/>
                <w:spacing w:val="12"/>
                <w:highlight w:val="none"/>
              </w:rPr>
            </w:pPr>
            <w:r>
              <w:rPr>
                <w:color w:val="auto"/>
                <w:spacing w:val="12"/>
                <w:highlight w:val="none"/>
              </w:rPr>
              <w:t>有效评标价范围：不大于最高评标限价的评标价为有效评标价。</w:t>
            </w:r>
            <w:r>
              <w:rPr>
                <w:color w:val="auto"/>
                <w:spacing w:val="10"/>
                <w:highlight w:val="none"/>
              </w:rPr>
              <w:t>若大于最高评标限价的评标价，其评标价得分为0</w:t>
            </w:r>
            <w:r>
              <w:rPr>
                <w:color w:val="auto"/>
                <w:spacing w:val="-21"/>
                <w:highlight w:val="none"/>
              </w:rPr>
              <w:t xml:space="preserve"> </w:t>
            </w:r>
            <w:r>
              <w:rPr>
                <w:color w:val="auto"/>
                <w:spacing w:val="10"/>
                <w:highlight w:val="none"/>
              </w:rPr>
              <w:t>分。</w:t>
            </w:r>
          </w:p>
          <w:p w14:paraId="664B54F6">
            <w:pPr>
              <w:pStyle w:val="18"/>
              <w:spacing w:line="360" w:lineRule="exact"/>
              <w:ind w:left="543"/>
              <w:rPr>
                <w:color w:val="auto"/>
                <w:sz w:val="10"/>
                <w:szCs w:val="10"/>
                <w:highlight w:val="none"/>
              </w:rPr>
            </w:pPr>
            <w:r>
              <w:rPr>
                <w:color w:val="auto"/>
                <w:spacing w:val="10"/>
                <w:position w:val="3"/>
                <w:highlight w:val="none"/>
              </w:rPr>
              <w:t>（3）评标基准价的确定</w:t>
            </w:r>
            <w:r>
              <w:rPr>
                <w:color w:val="auto"/>
                <w:spacing w:val="-5"/>
                <w:position w:val="3"/>
                <w:highlight w:val="none"/>
              </w:rPr>
              <w:t>：</w:t>
            </w:r>
          </w:p>
          <w:p w14:paraId="0C251870">
            <w:pPr>
              <w:pStyle w:val="18"/>
              <w:spacing w:before="105" w:line="327" w:lineRule="auto"/>
              <w:ind w:left="132" w:right="107" w:firstLine="402"/>
              <w:rPr>
                <w:color w:val="auto"/>
                <w:highlight w:val="none"/>
              </w:rPr>
            </w:pPr>
            <w:r>
              <w:rPr>
                <w:b/>
                <w:bCs/>
                <w:color w:val="auto"/>
                <w:spacing w:val="15"/>
                <w:highlight w:val="none"/>
              </w:rPr>
              <w:t>方法一：</w:t>
            </w:r>
            <w:r>
              <w:rPr>
                <w:color w:val="auto"/>
                <w:spacing w:val="15"/>
                <w:highlight w:val="none"/>
              </w:rPr>
              <w:t>最高评标限价下浮</w:t>
            </w:r>
            <w:r>
              <w:rPr>
                <w:color w:val="auto"/>
                <w:spacing w:val="-72"/>
                <w:highlight w:val="none"/>
              </w:rPr>
              <w:t xml:space="preserve"> </w:t>
            </w:r>
            <w:r>
              <w:rPr>
                <w:color w:val="auto"/>
                <w:spacing w:val="12"/>
                <w:highlight w:val="none"/>
                <w:u w:val="single" w:color="auto"/>
              </w:rPr>
              <w:t xml:space="preserve"> </w:t>
            </w:r>
            <w:r>
              <w:rPr>
                <w:rFonts w:hint="eastAsia"/>
                <w:color w:val="auto"/>
                <w:spacing w:val="12"/>
                <w:highlight w:val="none"/>
                <w:u w:val="single" w:color="auto"/>
                <w:lang w:val="en-US" w:eastAsia="zh-CN"/>
              </w:rPr>
              <w:t>1.0</w:t>
            </w:r>
            <w:r>
              <w:rPr>
                <w:color w:val="auto"/>
                <w:spacing w:val="12"/>
                <w:highlight w:val="none"/>
                <w:u w:val="single" w:color="auto"/>
              </w:rPr>
              <w:t xml:space="preserve"> </w:t>
            </w:r>
            <w:r>
              <w:rPr>
                <w:color w:val="auto"/>
                <w:spacing w:val="-99"/>
                <w:highlight w:val="none"/>
              </w:rPr>
              <w:t xml:space="preserve"> </w:t>
            </w:r>
            <w:r>
              <w:rPr>
                <w:rFonts w:ascii="MingLiU-ExtB" w:hAnsi="MingLiU-ExtB" w:eastAsia="MingLiU-ExtB" w:cs="MingLiU-ExtB"/>
                <w:color w:val="auto"/>
                <w:spacing w:val="15"/>
                <w:highlight w:val="none"/>
              </w:rPr>
              <w:t>%</w:t>
            </w:r>
            <w:r>
              <w:rPr>
                <w:color w:val="auto"/>
                <w:spacing w:val="15"/>
                <w:highlight w:val="none"/>
              </w:rPr>
              <w:t>，作为评标基准价。</w:t>
            </w:r>
          </w:p>
          <w:p w14:paraId="581F3758">
            <w:pPr>
              <w:pStyle w:val="18"/>
              <w:spacing w:before="3" w:line="304" w:lineRule="auto"/>
              <w:ind w:left="115" w:right="107" w:firstLine="416"/>
              <w:jc w:val="both"/>
              <w:rPr>
                <w:color w:val="auto"/>
                <w:highlight w:val="none"/>
              </w:rPr>
            </w:pPr>
            <w:r>
              <w:rPr>
                <w:color w:val="auto"/>
                <w:spacing w:val="13"/>
                <w:highlight w:val="none"/>
              </w:rPr>
              <w:t>在评标过程中，评标委员会应对招标人计算的评标基准价进行复</w:t>
            </w:r>
            <w:r>
              <w:rPr>
                <w:color w:val="auto"/>
                <w:spacing w:val="19"/>
                <w:highlight w:val="none"/>
              </w:rPr>
              <w:t>核，存在计算错误的应予以修正并在评标报告中作出说明</w:t>
            </w:r>
            <w:r>
              <w:rPr>
                <w:color w:val="auto"/>
                <w:spacing w:val="-57"/>
                <w:highlight w:val="none"/>
              </w:rPr>
              <w:t xml:space="preserve"> </w:t>
            </w:r>
            <w:r>
              <w:rPr>
                <w:color w:val="auto"/>
                <w:spacing w:val="19"/>
                <w:highlight w:val="none"/>
              </w:rPr>
              <w:t>。除此之</w:t>
            </w:r>
            <w:r>
              <w:rPr>
                <w:color w:val="auto"/>
                <w:spacing w:val="9"/>
                <w:highlight w:val="none"/>
              </w:rPr>
              <w:t>外，评标基准价在整个评标期间保持不变，不随任何因素发生变化。</w:t>
            </w:r>
          </w:p>
          <w:p w14:paraId="0AF2D3CB">
            <w:pPr>
              <w:pStyle w:val="18"/>
              <w:spacing w:before="2" w:line="270" w:lineRule="auto"/>
              <w:ind w:left="113" w:right="107" w:firstLine="420"/>
              <w:jc w:val="both"/>
              <w:rPr>
                <w:color w:val="auto"/>
                <w:highlight w:val="none"/>
              </w:rPr>
            </w:pPr>
            <w:r>
              <w:rPr>
                <w:color w:val="auto"/>
                <w:spacing w:val="13"/>
                <w:highlight w:val="none"/>
              </w:rPr>
              <w:t>注：评标价平均值、最高评标限价、评标基准价均四舍五入至个</w:t>
            </w:r>
            <w:r>
              <w:rPr>
                <w:color w:val="auto"/>
                <w:spacing w:val="5"/>
                <w:highlight w:val="none"/>
              </w:rPr>
              <w:t>位整数。</w:t>
            </w:r>
          </w:p>
        </w:tc>
      </w:tr>
      <w:tr w14:paraId="06E4E8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3" w:hRule="atLeast"/>
        </w:trPr>
        <w:tc>
          <w:tcPr>
            <w:tcW w:w="936" w:type="dxa"/>
            <w:vAlign w:val="top"/>
          </w:tcPr>
          <w:p w14:paraId="55D15474">
            <w:pPr>
              <w:spacing w:line="455" w:lineRule="auto"/>
              <w:rPr>
                <w:rFonts w:ascii="Arial"/>
                <w:color w:val="auto"/>
                <w:sz w:val="21"/>
                <w:highlight w:val="none"/>
              </w:rPr>
            </w:pPr>
            <w:bookmarkStart w:id="238" w:name="bookmark119"/>
            <w:bookmarkEnd w:id="238"/>
            <w:bookmarkStart w:id="239" w:name="bookmark118"/>
            <w:bookmarkEnd w:id="239"/>
          </w:p>
          <w:p w14:paraId="4505C890">
            <w:pPr>
              <w:pStyle w:val="18"/>
              <w:spacing w:before="65" w:line="268" w:lineRule="exact"/>
              <w:ind w:left="213" w:leftChars="0"/>
              <w:rPr>
                <w:rFonts w:ascii="Arial"/>
                <w:color w:val="auto"/>
                <w:sz w:val="21"/>
                <w:highlight w:val="none"/>
              </w:rPr>
            </w:pPr>
            <w:r>
              <w:rPr>
                <w:color w:val="auto"/>
                <w:spacing w:val="2"/>
                <w:position w:val="1"/>
                <w:highlight w:val="none"/>
              </w:rPr>
              <w:t>2.2.3</w:t>
            </w:r>
          </w:p>
        </w:tc>
        <w:tc>
          <w:tcPr>
            <w:tcW w:w="1336" w:type="dxa"/>
            <w:vAlign w:val="top"/>
          </w:tcPr>
          <w:p w14:paraId="6FDC5007">
            <w:pPr>
              <w:pStyle w:val="18"/>
              <w:spacing w:before="144" w:line="226" w:lineRule="auto"/>
              <w:ind w:left="145"/>
              <w:rPr>
                <w:color w:val="auto"/>
                <w:highlight w:val="none"/>
              </w:rPr>
            </w:pPr>
            <w:r>
              <w:rPr>
                <w:color w:val="auto"/>
                <w:spacing w:val="8"/>
                <w:highlight w:val="none"/>
              </w:rPr>
              <w:t>评标价的偏</w:t>
            </w:r>
          </w:p>
          <w:p w14:paraId="70C33B4C">
            <w:pPr>
              <w:pStyle w:val="18"/>
              <w:spacing w:before="134" w:line="284" w:lineRule="auto"/>
              <w:ind w:left="569" w:leftChars="0" w:right="144" w:rightChars="0" w:hanging="421" w:firstLineChars="0"/>
              <w:rPr>
                <w:rFonts w:ascii="Arial"/>
                <w:color w:val="auto"/>
                <w:sz w:val="21"/>
                <w:highlight w:val="none"/>
              </w:rPr>
            </w:pPr>
            <w:r>
              <w:rPr>
                <w:color w:val="auto"/>
                <w:spacing w:val="7"/>
                <w:highlight w:val="none"/>
              </w:rPr>
              <w:t>差率计算公</w:t>
            </w:r>
            <w:r>
              <w:rPr>
                <w:color w:val="auto"/>
                <w:highlight w:val="none"/>
              </w:rPr>
              <w:t>式</w:t>
            </w:r>
          </w:p>
        </w:tc>
        <w:tc>
          <w:tcPr>
            <w:tcW w:w="6623" w:type="dxa"/>
            <w:vAlign w:val="top"/>
          </w:tcPr>
          <w:p w14:paraId="46795B62">
            <w:pPr>
              <w:pStyle w:val="18"/>
              <w:spacing w:before="154" w:line="226" w:lineRule="auto"/>
              <w:ind w:left="533"/>
              <w:rPr>
                <w:color w:val="auto"/>
                <w:highlight w:val="none"/>
              </w:rPr>
            </w:pPr>
            <w:r>
              <w:rPr>
                <w:color w:val="auto"/>
                <w:spacing w:val="7"/>
                <w:highlight w:val="none"/>
              </w:rPr>
              <w:t>偏差率=100%</w:t>
            </w:r>
            <w:r>
              <w:rPr>
                <w:color w:val="auto"/>
                <w:spacing w:val="51"/>
                <w:highlight w:val="none"/>
              </w:rPr>
              <w:t xml:space="preserve"> </w:t>
            </w:r>
            <w:r>
              <w:rPr>
                <w:color w:val="auto"/>
                <w:spacing w:val="7"/>
                <w:highlight w:val="none"/>
              </w:rPr>
              <w:t>×（投标人评标价－评标基准价）/评标基准价</w:t>
            </w:r>
          </w:p>
          <w:p w14:paraId="4FF0DF48">
            <w:pPr>
              <w:pStyle w:val="18"/>
              <w:spacing w:before="113" w:line="289" w:lineRule="auto"/>
              <w:ind w:left="113" w:leftChars="0" w:right="158" w:rightChars="0" w:firstLine="420" w:firstLineChars="0"/>
              <w:rPr>
                <w:color w:val="auto"/>
                <w:spacing w:val="13"/>
                <w:highlight w:val="none"/>
              </w:rPr>
            </w:pPr>
            <w:r>
              <w:rPr>
                <w:color w:val="auto"/>
                <w:spacing w:val="11"/>
                <w:highlight w:val="none"/>
              </w:rPr>
              <w:t>注：偏差率保留百分比后四位小数，小数点后第五位四舍五入，</w:t>
            </w:r>
            <w:r>
              <w:rPr>
                <w:color w:val="auto"/>
                <w:spacing w:val="2"/>
                <w:highlight w:val="none"/>
              </w:rPr>
              <w:t>例如</w:t>
            </w:r>
            <w:r>
              <w:rPr>
                <w:color w:val="auto"/>
                <w:spacing w:val="-24"/>
                <w:highlight w:val="none"/>
              </w:rPr>
              <w:t xml:space="preserve"> </w:t>
            </w:r>
            <w:r>
              <w:rPr>
                <w:color w:val="auto"/>
                <w:spacing w:val="2"/>
                <w:highlight w:val="none"/>
              </w:rPr>
              <w:t>1.2345%。</w:t>
            </w:r>
          </w:p>
        </w:tc>
      </w:tr>
    </w:tbl>
    <w:p w14:paraId="133F172B">
      <w:pPr>
        <w:spacing w:line="259" w:lineRule="auto"/>
        <w:rPr>
          <w:rFonts w:ascii="Arial"/>
          <w:color w:val="auto"/>
          <w:sz w:val="21"/>
          <w:highlight w:val="none"/>
        </w:rPr>
      </w:pPr>
    </w:p>
    <w:p w14:paraId="259FE523">
      <w:pPr>
        <w:rPr>
          <w:rFonts w:ascii="Arial"/>
          <w:color w:val="auto"/>
          <w:sz w:val="21"/>
          <w:highlight w:val="none"/>
        </w:rPr>
      </w:pPr>
      <w:bookmarkStart w:id="240" w:name="bookmark121"/>
      <w:bookmarkEnd w:id="240"/>
    </w:p>
    <w:p w14:paraId="779451B6">
      <w:pPr>
        <w:spacing w:before="41" w:line="222" w:lineRule="auto"/>
        <w:jc w:val="right"/>
        <w:rPr>
          <w:rFonts w:ascii="宋体" w:hAnsi="宋体" w:eastAsia="宋体" w:cs="宋体"/>
          <w:color w:val="auto"/>
          <w:sz w:val="20"/>
          <w:szCs w:val="20"/>
          <w:highlight w:val="none"/>
        </w:rPr>
      </w:pPr>
      <w:r>
        <w:rPr>
          <w:rFonts w:ascii="宋体" w:hAnsi="宋体" w:eastAsia="宋体" w:cs="宋体"/>
          <w:color w:val="auto"/>
          <w:spacing w:val="8"/>
          <w:sz w:val="20"/>
          <w:szCs w:val="20"/>
          <w:highlight w:val="none"/>
        </w:rPr>
        <w:t>续上表</w:t>
      </w:r>
    </w:p>
    <w:tbl>
      <w:tblPr>
        <w:tblStyle w:val="17"/>
        <w:tblW w:w="889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7"/>
        <w:gridCol w:w="1172"/>
        <w:gridCol w:w="919"/>
        <w:gridCol w:w="946"/>
        <w:gridCol w:w="600"/>
        <w:gridCol w:w="1181"/>
        <w:gridCol w:w="3150"/>
      </w:tblGrid>
      <w:tr w14:paraId="3641C1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 w:hRule="atLeast"/>
        </w:trPr>
        <w:tc>
          <w:tcPr>
            <w:tcW w:w="4564" w:type="dxa"/>
            <w:gridSpan w:val="5"/>
            <w:vAlign w:val="top"/>
          </w:tcPr>
          <w:p w14:paraId="76B90721">
            <w:pPr>
              <w:pStyle w:val="18"/>
              <w:spacing w:before="126" w:line="233" w:lineRule="auto"/>
              <w:ind w:left="1287"/>
              <w:rPr>
                <w:color w:val="auto"/>
                <w:sz w:val="10"/>
                <w:szCs w:val="10"/>
                <w:highlight w:val="none"/>
              </w:rPr>
            </w:pPr>
            <w:r>
              <w:rPr>
                <w:b/>
                <w:bCs/>
                <w:color w:val="auto"/>
                <w:spacing w:val="7"/>
                <w:highlight w:val="none"/>
              </w:rPr>
              <w:t>评分因素与权重分值</w:t>
            </w:r>
          </w:p>
        </w:tc>
        <w:tc>
          <w:tcPr>
            <w:tcW w:w="4331" w:type="dxa"/>
            <w:gridSpan w:val="2"/>
            <w:vMerge w:val="restart"/>
            <w:tcBorders>
              <w:bottom w:val="nil"/>
            </w:tcBorders>
            <w:vAlign w:val="top"/>
          </w:tcPr>
          <w:p w14:paraId="1634390E">
            <w:pPr>
              <w:spacing w:line="316" w:lineRule="auto"/>
              <w:rPr>
                <w:rFonts w:ascii="Arial"/>
                <w:color w:val="auto"/>
                <w:sz w:val="21"/>
                <w:highlight w:val="none"/>
              </w:rPr>
            </w:pPr>
          </w:p>
          <w:p w14:paraId="5D2421A9">
            <w:pPr>
              <w:spacing w:line="317" w:lineRule="auto"/>
              <w:rPr>
                <w:rFonts w:ascii="Arial"/>
                <w:color w:val="auto"/>
                <w:sz w:val="21"/>
                <w:highlight w:val="none"/>
              </w:rPr>
            </w:pPr>
          </w:p>
          <w:p w14:paraId="27D9E4FA">
            <w:pPr>
              <w:pStyle w:val="18"/>
              <w:spacing w:before="65" w:line="264" w:lineRule="exact"/>
              <w:ind w:left="1694"/>
              <w:rPr>
                <w:color w:val="auto"/>
                <w:sz w:val="10"/>
                <w:szCs w:val="10"/>
                <w:highlight w:val="none"/>
              </w:rPr>
            </w:pPr>
            <w:r>
              <w:rPr>
                <w:b/>
                <w:bCs/>
                <w:color w:val="auto"/>
                <w:spacing w:val="6"/>
                <w:highlight w:val="none"/>
              </w:rPr>
              <w:t>评分标准</w:t>
            </w:r>
          </w:p>
        </w:tc>
      </w:tr>
      <w:tr w14:paraId="6575BB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4" w:hRule="atLeast"/>
        </w:trPr>
        <w:tc>
          <w:tcPr>
            <w:tcW w:w="927" w:type="dxa"/>
            <w:vAlign w:val="top"/>
          </w:tcPr>
          <w:p w14:paraId="309A54EC">
            <w:pPr>
              <w:spacing w:line="451" w:lineRule="auto"/>
              <w:rPr>
                <w:rFonts w:ascii="Arial"/>
                <w:color w:val="auto"/>
                <w:sz w:val="21"/>
                <w:highlight w:val="none"/>
              </w:rPr>
            </w:pPr>
          </w:p>
          <w:p w14:paraId="548A6996">
            <w:pPr>
              <w:pStyle w:val="18"/>
              <w:spacing w:before="65" w:line="228" w:lineRule="auto"/>
              <w:ind w:left="155"/>
              <w:rPr>
                <w:color w:val="auto"/>
                <w:highlight w:val="none"/>
              </w:rPr>
            </w:pPr>
            <w:r>
              <w:rPr>
                <w:b/>
                <w:bCs/>
                <w:color w:val="auto"/>
                <w:spacing w:val="5"/>
                <w:highlight w:val="none"/>
              </w:rPr>
              <w:t>条款号</w:t>
            </w:r>
          </w:p>
        </w:tc>
        <w:tc>
          <w:tcPr>
            <w:tcW w:w="1172" w:type="dxa"/>
            <w:vAlign w:val="top"/>
          </w:tcPr>
          <w:p w14:paraId="56AEC4DE">
            <w:pPr>
              <w:spacing w:line="451" w:lineRule="auto"/>
              <w:rPr>
                <w:rFonts w:ascii="Arial"/>
                <w:color w:val="auto"/>
                <w:sz w:val="21"/>
                <w:highlight w:val="none"/>
              </w:rPr>
            </w:pPr>
          </w:p>
          <w:p w14:paraId="225EFDD5">
            <w:pPr>
              <w:pStyle w:val="18"/>
              <w:spacing w:before="65" w:line="228" w:lineRule="auto"/>
              <w:ind w:left="168"/>
              <w:rPr>
                <w:color w:val="auto"/>
                <w:highlight w:val="none"/>
              </w:rPr>
            </w:pPr>
            <w:r>
              <w:rPr>
                <w:b/>
                <w:bCs/>
                <w:color w:val="auto"/>
                <w:spacing w:val="6"/>
                <w:highlight w:val="none"/>
              </w:rPr>
              <w:t>评分因素</w:t>
            </w:r>
          </w:p>
        </w:tc>
        <w:tc>
          <w:tcPr>
            <w:tcW w:w="919" w:type="dxa"/>
            <w:vAlign w:val="top"/>
          </w:tcPr>
          <w:p w14:paraId="38E4C79E">
            <w:pPr>
              <w:spacing w:line="264" w:lineRule="auto"/>
              <w:rPr>
                <w:rFonts w:ascii="Arial"/>
                <w:color w:val="auto"/>
                <w:sz w:val="21"/>
                <w:highlight w:val="none"/>
              </w:rPr>
            </w:pPr>
          </w:p>
          <w:p w14:paraId="2E7462A3">
            <w:pPr>
              <w:pStyle w:val="18"/>
              <w:spacing w:before="65" w:line="351" w:lineRule="auto"/>
              <w:ind w:left="43" w:right="35"/>
              <w:rPr>
                <w:color w:val="auto"/>
                <w:highlight w:val="none"/>
              </w:rPr>
            </w:pPr>
            <w:r>
              <w:rPr>
                <w:b/>
                <w:bCs/>
                <w:color w:val="auto"/>
                <w:spacing w:val="6"/>
                <w:highlight w:val="none"/>
              </w:rPr>
              <w:t>评分因素权重分值</w:t>
            </w:r>
          </w:p>
        </w:tc>
        <w:tc>
          <w:tcPr>
            <w:tcW w:w="946" w:type="dxa"/>
            <w:vAlign w:val="top"/>
          </w:tcPr>
          <w:p w14:paraId="74E510CE">
            <w:pPr>
              <w:pStyle w:val="18"/>
              <w:spacing w:before="141" w:line="228" w:lineRule="auto"/>
              <w:ind w:left="164"/>
              <w:rPr>
                <w:color w:val="auto"/>
                <w:highlight w:val="none"/>
              </w:rPr>
            </w:pPr>
            <w:r>
              <w:rPr>
                <w:b/>
                <w:bCs/>
                <w:color w:val="auto"/>
                <w:spacing w:val="4"/>
                <w:highlight w:val="none"/>
              </w:rPr>
              <w:t>各评分</w:t>
            </w:r>
          </w:p>
          <w:p w14:paraId="235B2B21">
            <w:pPr>
              <w:pStyle w:val="18"/>
              <w:spacing w:before="132" w:line="283" w:lineRule="auto"/>
              <w:ind w:left="269" w:right="156" w:hanging="91"/>
              <w:rPr>
                <w:color w:val="auto"/>
                <w:highlight w:val="none"/>
              </w:rPr>
            </w:pPr>
            <w:r>
              <w:rPr>
                <w:b/>
                <w:bCs/>
                <w:color w:val="auto"/>
                <w:highlight w:val="none"/>
              </w:rPr>
              <w:t>因素细</w:t>
            </w:r>
            <w:r>
              <w:rPr>
                <w:b/>
                <w:bCs/>
                <w:color w:val="auto"/>
                <w:spacing w:val="2"/>
                <w:highlight w:val="none"/>
              </w:rPr>
              <w:t>分项</w:t>
            </w:r>
          </w:p>
        </w:tc>
        <w:tc>
          <w:tcPr>
            <w:tcW w:w="600" w:type="dxa"/>
            <w:textDirection w:val="tbRlV"/>
            <w:vAlign w:val="top"/>
          </w:tcPr>
          <w:p w14:paraId="2C59B362">
            <w:pPr>
              <w:pStyle w:val="18"/>
              <w:spacing w:before="193" w:line="216" w:lineRule="auto"/>
              <w:ind w:left="330"/>
              <w:rPr>
                <w:color w:val="auto"/>
                <w:highlight w:val="none"/>
              </w:rPr>
            </w:pPr>
            <w:r>
              <w:rPr>
                <w:b/>
                <w:bCs/>
                <w:color w:val="auto"/>
                <w:spacing w:val="6"/>
                <w:highlight w:val="none"/>
              </w:rPr>
              <w:t>分</w:t>
            </w:r>
            <w:r>
              <w:rPr>
                <w:color w:val="auto"/>
                <w:spacing w:val="70"/>
                <w:highlight w:val="none"/>
              </w:rPr>
              <w:t xml:space="preserve"> </w:t>
            </w:r>
            <w:r>
              <w:rPr>
                <w:b/>
                <w:bCs/>
                <w:color w:val="auto"/>
                <w:spacing w:val="6"/>
                <w:highlight w:val="none"/>
              </w:rPr>
              <w:t>值</w:t>
            </w:r>
          </w:p>
        </w:tc>
        <w:tc>
          <w:tcPr>
            <w:tcW w:w="4331" w:type="dxa"/>
            <w:gridSpan w:val="2"/>
            <w:vMerge w:val="continue"/>
            <w:tcBorders>
              <w:top w:val="nil"/>
            </w:tcBorders>
            <w:vAlign w:val="top"/>
          </w:tcPr>
          <w:p w14:paraId="74CF3AEB">
            <w:pPr>
              <w:rPr>
                <w:rFonts w:ascii="Arial"/>
                <w:color w:val="auto"/>
                <w:sz w:val="21"/>
                <w:highlight w:val="none"/>
              </w:rPr>
            </w:pPr>
          </w:p>
        </w:tc>
      </w:tr>
      <w:tr w14:paraId="3D5C56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3" w:hRule="atLeast"/>
        </w:trPr>
        <w:tc>
          <w:tcPr>
            <w:tcW w:w="927" w:type="dxa"/>
            <w:vMerge w:val="restart"/>
            <w:tcBorders>
              <w:bottom w:val="nil"/>
            </w:tcBorders>
            <w:vAlign w:val="top"/>
          </w:tcPr>
          <w:p w14:paraId="78E344A2">
            <w:pPr>
              <w:rPr>
                <w:rFonts w:ascii="Arial"/>
                <w:color w:val="auto"/>
                <w:sz w:val="21"/>
                <w:highlight w:val="none"/>
              </w:rPr>
            </w:pPr>
          </w:p>
          <w:p w14:paraId="5BA9F485">
            <w:pPr>
              <w:rPr>
                <w:rFonts w:ascii="Arial"/>
                <w:color w:val="auto"/>
                <w:sz w:val="21"/>
                <w:highlight w:val="none"/>
              </w:rPr>
            </w:pPr>
          </w:p>
          <w:p w14:paraId="1F6F51E9">
            <w:pPr>
              <w:rPr>
                <w:rFonts w:ascii="Arial"/>
                <w:color w:val="auto"/>
                <w:sz w:val="21"/>
                <w:highlight w:val="none"/>
              </w:rPr>
            </w:pPr>
          </w:p>
          <w:p w14:paraId="29FBA743">
            <w:pPr>
              <w:rPr>
                <w:rFonts w:ascii="Arial"/>
                <w:color w:val="auto"/>
                <w:sz w:val="21"/>
                <w:highlight w:val="none"/>
              </w:rPr>
            </w:pPr>
          </w:p>
          <w:p w14:paraId="1C03624D">
            <w:pPr>
              <w:rPr>
                <w:rFonts w:ascii="Arial"/>
                <w:color w:val="auto"/>
                <w:sz w:val="21"/>
                <w:highlight w:val="none"/>
              </w:rPr>
            </w:pPr>
          </w:p>
          <w:p w14:paraId="2F68B77C">
            <w:pPr>
              <w:rPr>
                <w:rFonts w:ascii="Arial"/>
                <w:color w:val="auto"/>
                <w:sz w:val="21"/>
                <w:highlight w:val="none"/>
              </w:rPr>
            </w:pPr>
          </w:p>
          <w:p w14:paraId="05EAF4C7">
            <w:pPr>
              <w:rPr>
                <w:rFonts w:ascii="Arial"/>
                <w:color w:val="auto"/>
                <w:sz w:val="21"/>
                <w:highlight w:val="none"/>
              </w:rPr>
            </w:pPr>
          </w:p>
          <w:p w14:paraId="040FDF2C">
            <w:pPr>
              <w:rPr>
                <w:rFonts w:ascii="Arial"/>
                <w:color w:val="auto"/>
                <w:sz w:val="21"/>
                <w:highlight w:val="none"/>
              </w:rPr>
            </w:pPr>
          </w:p>
          <w:p w14:paraId="0B64EFCB">
            <w:pPr>
              <w:rPr>
                <w:rFonts w:ascii="Arial"/>
                <w:color w:val="auto"/>
                <w:sz w:val="21"/>
                <w:highlight w:val="none"/>
              </w:rPr>
            </w:pPr>
          </w:p>
          <w:p w14:paraId="56EECB12">
            <w:pPr>
              <w:rPr>
                <w:rFonts w:ascii="Arial"/>
                <w:color w:val="auto"/>
                <w:sz w:val="21"/>
                <w:highlight w:val="none"/>
              </w:rPr>
            </w:pPr>
          </w:p>
          <w:p w14:paraId="7C73C973">
            <w:pPr>
              <w:spacing w:line="241" w:lineRule="auto"/>
              <w:rPr>
                <w:rFonts w:ascii="Arial"/>
                <w:color w:val="auto"/>
                <w:sz w:val="21"/>
                <w:highlight w:val="none"/>
              </w:rPr>
            </w:pPr>
          </w:p>
          <w:p w14:paraId="3FF29443">
            <w:pPr>
              <w:spacing w:line="241" w:lineRule="auto"/>
              <w:rPr>
                <w:rFonts w:ascii="Arial"/>
                <w:color w:val="auto"/>
                <w:sz w:val="21"/>
                <w:highlight w:val="none"/>
              </w:rPr>
            </w:pPr>
          </w:p>
          <w:p w14:paraId="2A8E9492">
            <w:pPr>
              <w:spacing w:line="241" w:lineRule="auto"/>
              <w:rPr>
                <w:rFonts w:ascii="Arial"/>
                <w:color w:val="auto"/>
                <w:sz w:val="21"/>
                <w:highlight w:val="none"/>
              </w:rPr>
            </w:pPr>
          </w:p>
          <w:p w14:paraId="59EFA551">
            <w:pPr>
              <w:spacing w:line="241" w:lineRule="auto"/>
              <w:rPr>
                <w:rFonts w:ascii="Arial"/>
                <w:color w:val="auto"/>
                <w:sz w:val="21"/>
                <w:highlight w:val="none"/>
              </w:rPr>
            </w:pPr>
          </w:p>
          <w:p w14:paraId="2CE00BA6">
            <w:pPr>
              <w:spacing w:line="241" w:lineRule="auto"/>
              <w:rPr>
                <w:rFonts w:ascii="Arial"/>
                <w:color w:val="auto"/>
                <w:sz w:val="21"/>
                <w:highlight w:val="none"/>
              </w:rPr>
            </w:pPr>
          </w:p>
          <w:p w14:paraId="5700ADD9">
            <w:pPr>
              <w:spacing w:line="241" w:lineRule="auto"/>
              <w:rPr>
                <w:rFonts w:ascii="Arial"/>
                <w:color w:val="auto"/>
                <w:sz w:val="21"/>
                <w:highlight w:val="none"/>
              </w:rPr>
            </w:pPr>
          </w:p>
          <w:p w14:paraId="5991F8F1">
            <w:pPr>
              <w:spacing w:line="241" w:lineRule="auto"/>
              <w:rPr>
                <w:rFonts w:ascii="Arial"/>
                <w:color w:val="auto"/>
                <w:sz w:val="21"/>
                <w:highlight w:val="none"/>
              </w:rPr>
            </w:pPr>
          </w:p>
          <w:p w14:paraId="342FD5E1">
            <w:pPr>
              <w:spacing w:line="241" w:lineRule="auto"/>
              <w:rPr>
                <w:rFonts w:ascii="Arial"/>
                <w:color w:val="auto"/>
                <w:sz w:val="21"/>
                <w:highlight w:val="none"/>
              </w:rPr>
            </w:pPr>
          </w:p>
          <w:p w14:paraId="26161825">
            <w:pPr>
              <w:spacing w:line="241" w:lineRule="auto"/>
              <w:rPr>
                <w:rFonts w:ascii="Arial"/>
                <w:color w:val="auto"/>
                <w:sz w:val="21"/>
                <w:highlight w:val="none"/>
              </w:rPr>
            </w:pPr>
          </w:p>
          <w:p w14:paraId="05BB1E66">
            <w:pPr>
              <w:spacing w:line="241" w:lineRule="auto"/>
              <w:rPr>
                <w:rFonts w:ascii="Arial"/>
                <w:color w:val="auto"/>
                <w:sz w:val="21"/>
                <w:highlight w:val="none"/>
              </w:rPr>
            </w:pPr>
          </w:p>
          <w:p w14:paraId="5EFD85AA">
            <w:pPr>
              <w:pStyle w:val="18"/>
              <w:spacing w:before="65" w:line="268" w:lineRule="exact"/>
              <w:ind w:left="208"/>
              <w:rPr>
                <w:color w:val="auto"/>
                <w:highlight w:val="none"/>
              </w:rPr>
            </w:pPr>
            <w:r>
              <w:rPr>
                <w:color w:val="auto"/>
                <w:spacing w:val="2"/>
                <w:position w:val="1"/>
                <w:highlight w:val="none"/>
              </w:rPr>
              <w:t>2.2.4</w:t>
            </w:r>
          </w:p>
          <w:p w14:paraId="48D273D7">
            <w:pPr>
              <w:pStyle w:val="18"/>
              <w:spacing w:before="113" w:line="231" w:lineRule="auto"/>
              <w:ind w:left="348"/>
              <w:rPr>
                <w:color w:val="auto"/>
                <w:highlight w:val="none"/>
              </w:rPr>
            </w:pPr>
            <w:r>
              <w:rPr>
                <w:color w:val="auto"/>
                <w:spacing w:val="-10"/>
                <w:highlight w:val="none"/>
              </w:rPr>
              <w:t>(1)</w:t>
            </w:r>
          </w:p>
        </w:tc>
        <w:tc>
          <w:tcPr>
            <w:tcW w:w="1172" w:type="dxa"/>
            <w:vMerge w:val="restart"/>
            <w:tcBorders>
              <w:bottom w:val="nil"/>
            </w:tcBorders>
            <w:vAlign w:val="top"/>
          </w:tcPr>
          <w:p w14:paraId="30D1E96D">
            <w:pPr>
              <w:rPr>
                <w:rFonts w:ascii="Arial"/>
                <w:color w:val="auto"/>
                <w:sz w:val="21"/>
                <w:highlight w:val="none"/>
              </w:rPr>
            </w:pPr>
          </w:p>
          <w:p w14:paraId="1B85DBE5">
            <w:pPr>
              <w:rPr>
                <w:rFonts w:ascii="Arial"/>
                <w:color w:val="auto"/>
                <w:sz w:val="21"/>
                <w:highlight w:val="none"/>
              </w:rPr>
            </w:pPr>
          </w:p>
          <w:p w14:paraId="299D67E5">
            <w:pPr>
              <w:rPr>
                <w:rFonts w:ascii="Arial"/>
                <w:color w:val="auto"/>
                <w:sz w:val="21"/>
                <w:highlight w:val="none"/>
              </w:rPr>
            </w:pPr>
          </w:p>
          <w:p w14:paraId="7A0A808D">
            <w:pPr>
              <w:rPr>
                <w:rFonts w:ascii="Arial"/>
                <w:color w:val="auto"/>
                <w:sz w:val="21"/>
                <w:highlight w:val="none"/>
              </w:rPr>
            </w:pPr>
          </w:p>
          <w:p w14:paraId="70892EF2">
            <w:pPr>
              <w:rPr>
                <w:rFonts w:ascii="Arial"/>
                <w:color w:val="auto"/>
                <w:sz w:val="21"/>
                <w:highlight w:val="none"/>
              </w:rPr>
            </w:pPr>
          </w:p>
          <w:p w14:paraId="763AC55D">
            <w:pPr>
              <w:rPr>
                <w:rFonts w:ascii="Arial"/>
                <w:color w:val="auto"/>
                <w:sz w:val="21"/>
                <w:highlight w:val="none"/>
              </w:rPr>
            </w:pPr>
          </w:p>
          <w:p w14:paraId="17307B8E">
            <w:pPr>
              <w:rPr>
                <w:rFonts w:ascii="Arial"/>
                <w:color w:val="auto"/>
                <w:sz w:val="21"/>
                <w:highlight w:val="none"/>
              </w:rPr>
            </w:pPr>
          </w:p>
          <w:p w14:paraId="22CE2140">
            <w:pPr>
              <w:rPr>
                <w:rFonts w:ascii="Arial"/>
                <w:color w:val="auto"/>
                <w:sz w:val="21"/>
                <w:highlight w:val="none"/>
              </w:rPr>
            </w:pPr>
          </w:p>
          <w:p w14:paraId="584DF0BB">
            <w:pPr>
              <w:rPr>
                <w:rFonts w:ascii="Arial"/>
                <w:color w:val="auto"/>
                <w:sz w:val="21"/>
                <w:highlight w:val="none"/>
              </w:rPr>
            </w:pPr>
          </w:p>
          <w:p w14:paraId="2E7C5F22">
            <w:pPr>
              <w:spacing w:line="241" w:lineRule="auto"/>
              <w:rPr>
                <w:rFonts w:ascii="Arial"/>
                <w:color w:val="auto"/>
                <w:sz w:val="21"/>
                <w:highlight w:val="none"/>
              </w:rPr>
            </w:pPr>
          </w:p>
          <w:p w14:paraId="79F9049E">
            <w:pPr>
              <w:spacing w:line="241" w:lineRule="auto"/>
              <w:rPr>
                <w:rFonts w:ascii="Arial"/>
                <w:color w:val="auto"/>
                <w:sz w:val="21"/>
                <w:highlight w:val="none"/>
              </w:rPr>
            </w:pPr>
          </w:p>
          <w:p w14:paraId="74102EEE">
            <w:pPr>
              <w:spacing w:line="241" w:lineRule="auto"/>
              <w:rPr>
                <w:rFonts w:ascii="Arial"/>
                <w:color w:val="auto"/>
                <w:sz w:val="21"/>
                <w:highlight w:val="none"/>
              </w:rPr>
            </w:pPr>
          </w:p>
          <w:p w14:paraId="37FDD55D">
            <w:pPr>
              <w:spacing w:line="241" w:lineRule="auto"/>
              <w:rPr>
                <w:rFonts w:ascii="Arial"/>
                <w:color w:val="auto"/>
                <w:sz w:val="21"/>
                <w:highlight w:val="none"/>
              </w:rPr>
            </w:pPr>
          </w:p>
          <w:p w14:paraId="6342EDFF">
            <w:pPr>
              <w:spacing w:line="241" w:lineRule="auto"/>
              <w:rPr>
                <w:rFonts w:ascii="Arial"/>
                <w:color w:val="auto"/>
                <w:sz w:val="21"/>
                <w:highlight w:val="none"/>
              </w:rPr>
            </w:pPr>
          </w:p>
          <w:p w14:paraId="25573A39">
            <w:pPr>
              <w:spacing w:line="241" w:lineRule="auto"/>
              <w:rPr>
                <w:rFonts w:ascii="Arial"/>
                <w:color w:val="auto"/>
                <w:sz w:val="21"/>
                <w:highlight w:val="none"/>
              </w:rPr>
            </w:pPr>
          </w:p>
          <w:p w14:paraId="6EB7E3DD">
            <w:pPr>
              <w:spacing w:line="241" w:lineRule="auto"/>
              <w:rPr>
                <w:rFonts w:ascii="Arial"/>
                <w:color w:val="auto"/>
                <w:sz w:val="21"/>
                <w:highlight w:val="none"/>
              </w:rPr>
            </w:pPr>
          </w:p>
          <w:p w14:paraId="5C0A7113">
            <w:pPr>
              <w:spacing w:line="241" w:lineRule="auto"/>
              <w:rPr>
                <w:rFonts w:ascii="Arial"/>
                <w:color w:val="auto"/>
                <w:sz w:val="21"/>
                <w:highlight w:val="none"/>
              </w:rPr>
            </w:pPr>
          </w:p>
          <w:p w14:paraId="7DAF3416">
            <w:pPr>
              <w:spacing w:line="241" w:lineRule="auto"/>
              <w:rPr>
                <w:rFonts w:ascii="Arial"/>
                <w:color w:val="auto"/>
                <w:sz w:val="21"/>
                <w:highlight w:val="none"/>
              </w:rPr>
            </w:pPr>
          </w:p>
          <w:p w14:paraId="53062308">
            <w:pPr>
              <w:spacing w:line="241" w:lineRule="auto"/>
              <w:rPr>
                <w:rFonts w:ascii="Arial"/>
                <w:color w:val="auto"/>
                <w:sz w:val="21"/>
                <w:highlight w:val="none"/>
              </w:rPr>
            </w:pPr>
          </w:p>
          <w:p w14:paraId="5B48CE2D">
            <w:pPr>
              <w:spacing w:line="241" w:lineRule="auto"/>
              <w:rPr>
                <w:rFonts w:ascii="Arial"/>
                <w:color w:val="auto"/>
                <w:sz w:val="21"/>
                <w:highlight w:val="none"/>
              </w:rPr>
            </w:pPr>
          </w:p>
          <w:p w14:paraId="670144B4">
            <w:pPr>
              <w:pStyle w:val="18"/>
              <w:spacing w:before="65" w:line="347" w:lineRule="auto"/>
              <w:ind w:left="437" w:right="167" w:hanging="267"/>
              <w:rPr>
                <w:color w:val="auto"/>
                <w:sz w:val="10"/>
                <w:szCs w:val="10"/>
                <w:highlight w:val="none"/>
              </w:rPr>
            </w:pPr>
            <w:r>
              <w:rPr>
                <w:color w:val="auto"/>
                <w:spacing w:val="7"/>
                <w:highlight w:val="none"/>
              </w:rPr>
              <w:t>技术建议</w:t>
            </w:r>
            <w:r>
              <w:rPr>
                <w:color w:val="auto"/>
                <w:spacing w:val="1"/>
                <w:position w:val="-2"/>
                <w:highlight w:val="none"/>
              </w:rPr>
              <w:t>书</w:t>
            </w:r>
          </w:p>
        </w:tc>
        <w:tc>
          <w:tcPr>
            <w:tcW w:w="919" w:type="dxa"/>
            <w:vMerge w:val="restart"/>
            <w:tcBorders>
              <w:bottom w:val="nil"/>
            </w:tcBorders>
            <w:vAlign w:val="top"/>
          </w:tcPr>
          <w:p w14:paraId="4985599A">
            <w:pPr>
              <w:spacing w:line="250" w:lineRule="auto"/>
              <w:rPr>
                <w:rFonts w:ascii="Arial"/>
                <w:color w:val="auto"/>
                <w:sz w:val="21"/>
                <w:highlight w:val="none"/>
              </w:rPr>
            </w:pPr>
          </w:p>
          <w:p w14:paraId="214CB130">
            <w:pPr>
              <w:spacing w:line="250" w:lineRule="auto"/>
              <w:rPr>
                <w:rFonts w:ascii="Arial"/>
                <w:color w:val="auto"/>
                <w:sz w:val="21"/>
                <w:highlight w:val="none"/>
              </w:rPr>
            </w:pPr>
          </w:p>
          <w:p w14:paraId="75377FD3">
            <w:pPr>
              <w:spacing w:line="250" w:lineRule="auto"/>
              <w:rPr>
                <w:rFonts w:ascii="Arial"/>
                <w:color w:val="auto"/>
                <w:sz w:val="21"/>
                <w:highlight w:val="none"/>
              </w:rPr>
            </w:pPr>
          </w:p>
          <w:p w14:paraId="0F8A6645">
            <w:pPr>
              <w:spacing w:line="250" w:lineRule="auto"/>
              <w:rPr>
                <w:rFonts w:ascii="Arial"/>
                <w:color w:val="auto"/>
                <w:sz w:val="21"/>
                <w:highlight w:val="none"/>
              </w:rPr>
            </w:pPr>
          </w:p>
          <w:p w14:paraId="5C56D366">
            <w:pPr>
              <w:spacing w:line="250" w:lineRule="auto"/>
              <w:rPr>
                <w:rFonts w:ascii="Arial"/>
                <w:color w:val="auto"/>
                <w:sz w:val="21"/>
                <w:highlight w:val="none"/>
              </w:rPr>
            </w:pPr>
          </w:p>
          <w:p w14:paraId="42342C9F">
            <w:pPr>
              <w:spacing w:line="250" w:lineRule="auto"/>
              <w:rPr>
                <w:rFonts w:ascii="Arial"/>
                <w:color w:val="auto"/>
                <w:sz w:val="21"/>
                <w:highlight w:val="none"/>
              </w:rPr>
            </w:pPr>
          </w:p>
          <w:p w14:paraId="474ECD55">
            <w:pPr>
              <w:spacing w:line="250" w:lineRule="auto"/>
              <w:rPr>
                <w:rFonts w:ascii="Arial"/>
                <w:color w:val="auto"/>
                <w:sz w:val="21"/>
                <w:highlight w:val="none"/>
              </w:rPr>
            </w:pPr>
          </w:p>
          <w:p w14:paraId="005E2A52">
            <w:pPr>
              <w:spacing w:line="250" w:lineRule="auto"/>
              <w:rPr>
                <w:rFonts w:ascii="Arial"/>
                <w:color w:val="auto"/>
                <w:sz w:val="21"/>
                <w:highlight w:val="none"/>
              </w:rPr>
            </w:pPr>
          </w:p>
          <w:p w14:paraId="63110A75">
            <w:pPr>
              <w:spacing w:line="250" w:lineRule="auto"/>
              <w:rPr>
                <w:rFonts w:ascii="Arial"/>
                <w:color w:val="auto"/>
                <w:sz w:val="21"/>
                <w:highlight w:val="none"/>
              </w:rPr>
            </w:pPr>
          </w:p>
          <w:p w14:paraId="3CE097EF">
            <w:pPr>
              <w:spacing w:line="250" w:lineRule="auto"/>
              <w:rPr>
                <w:rFonts w:ascii="Arial"/>
                <w:color w:val="auto"/>
                <w:sz w:val="21"/>
                <w:highlight w:val="none"/>
              </w:rPr>
            </w:pPr>
          </w:p>
          <w:p w14:paraId="204368F9">
            <w:pPr>
              <w:spacing w:line="250" w:lineRule="auto"/>
              <w:rPr>
                <w:rFonts w:ascii="Arial"/>
                <w:color w:val="auto"/>
                <w:sz w:val="21"/>
                <w:highlight w:val="none"/>
              </w:rPr>
            </w:pPr>
          </w:p>
          <w:p w14:paraId="3688CCCD">
            <w:pPr>
              <w:spacing w:line="250" w:lineRule="auto"/>
              <w:rPr>
                <w:rFonts w:ascii="Arial"/>
                <w:color w:val="auto"/>
                <w:sz w:val="21"/>
                <w:highlight w:val="none"/>
              </w:rPr>
            </w:pPr>
          </w:p>
          <w:p w14:paraId="2B4ACE54">
            <w:pPr>
              <w:spacing w:line="250" w:lineRule="auto"/>
              <w:rPr>
                <w:rFonts w:ascii="Arial"/>
                <w:color w:val="auto"/>
                <w:sz w:val="21"/>
                <w:highlight w:val="none"/>
              </w:rPr>
            </w:pPr>
          </w:p>
          <w:p w14:paraId="27E8E10B">
            <w:pPr>
              <w:spacing w:line="250" w:lineRule="auto"/>
              <w:rPr>
                <w:rFonts w:ascii="Arial"/>
                <w:color w:val="auto"/>
                <w:sz w:val="21"/>
                <w:highlight w:val="none"/>
              </w:rPr>
            </w:pPr>
          </w:p>
          <w:p w14:paraId="734E8F39">
            <w:pPr>
              <w:spacing w:line="250" w:lineRule="auto"/>
              <w:rPr>
                <w:rFonts w:ascii="Arial"/>
                <w:color w:val="auto"/>
                <w:sz w:val="21"/>
                <w:highlight w:val="none"/>
              </w:rPr>
            </w:pPr>
          </w:p>
          <w:p w14:paraId="4C15E887">
            <w:pPr>
              <w:spacing w:line="250" w:lineRule="auto"/>
              <w:rPr>
                <w:rFonts w:ascii="Arial"/>
                <w:color w:val="auto"/>
                <w:sz w:val="21"/>
                <w:highlight w:val="none"/>
              </w:rPr>
            </w:pPr>
          </w:p>
          <w:p w14:paraId="7AC0B24E">
            <w:pPr>
              <w:spacing w:line="250" w:lineRule="auto"/>
              <w:rPr>
                <w:rFonts w:ascii="Arial"/>
                <w:color w:val="auto"/>
                <w:sz w:val="21"/>
                <w:highlight w:val="none"/>
              </w:rPr>
            </w:pPr>
          </w:p>
          <w:p w14:paraId="4012AF05">
            <w:pPr>
              <w:spacing w:line="250" w:lineRule="auto"/>
              <w:rPr>
                <w:rFonts w:ascii="Arial"/>
                <w:color w:val="auto"/>
                <w:sz w:val="21"/>
                <w:highlight w:val="none"/>
              </w:rPr>
            </w:pPr>
          </w:p>
          <w:p w14:paraId="21AEB175">
            <w:pPr>
              <w:spacing w:line="250" w:lineRule="auto"/>
              <w:rPr>
                <w:rFonts w:ascii="Arial"/>
                <w:color w:val="auto"/>
                <w:sz w:val="21"/>
                <w:highlight w:val="none"/>
              </w:rPr>
            </w:pPr>
          </w:p>
          <w:p w14:paraId="04821AFF">
            <w:pPr>
              <w:spacing w:line="251" w:lineRule="auto"/>
              <w:rPr>
                <w:rFonts w:ascii="Arial"/>
                <w:color w:val="auto"/>
                <w:sz w:val="21"/>
                <w:highlight w:val="none"/>
              </w:rPr>
            </w:pPr>
          </w:p>
          <w:p w14:paraId="61456C7C">
            <w:pPr>
              <w:pStyle w:val="18"/>
              <w:spacing w:before="65" w:line="228" w:lineRule="auto"/>
              <w:ind w:left="232"/>
              <w:rPr>
                <w:color w:val="auto"/>
                <w:highlight w:val="none"/>
              </w:rPr>
            </w:pPr>
            <w:r>
              <w:rPr>
                <w:color w:val="auto"/>
                <w:spacing w:val="-1"/>
                <w:highlight w:val="none"/>
              </w:rPr>
              <w:t>30</w:t>
            </w:r>
            <w:r>
              <w:rPr>
                <w:color w:val="auto"/>
                <w:spacing w:val="-38"/>
                <w:highlight w:val="none"/>
              </w:rPr>
              <w:t xml:space="preserve"> </w:t>
            </w:r>
            <w:r>
              <w:rPr>
                <w:color w:val="auto"/>
                <w:spacing w:val="-1"/>
                <w:highlight w:val="none"/>
              </w:rPr>
              <w:t>分</w:t>
            </w:r>
          </w:p>
        </w:tc>
        <w:tc>
          <w:tcPr>
            <w:tcW w:w="946" w:type="dxa"/>
            <w:vMerge w:val="restart"/>
            <w:tcBorders>
              <w:bottom w:val="nil"/>
            </w:tcBorders>
            <w:vAlign w:val="top"/>
          </w:tcPr>
          <w:p w14:paraId="5FFAFC02">
            <w:pPr>
              <w:spacing w:line="249" w:lineRule="auto"/>
              <w:rPr>
                <w:rFonts w:ascii="Arial"/>
                <w:color w:val="auto"/>
                <w:sz w:val="21"/>
                <w:highlight w:val="none"/>
              </w:rPr>
            </w:pPr>
          </w:p>
          <w:p w14:paraId="15ECF909">
            <w:pPr>
              <w:spacing w:line="249" w:lineRule="auto"/>
              <w:rPr>
                <w:rFonts w:ascii="Arial"/>
                <w:color w:val="auto"/>
                <w:sz w:val="21"/>
                <w:highlight w:val="none"/>
              </w:rPr>
            </w:pPr>
          </w:p>
          <w:p w14:paraId="536FE172">
            <w:pPr>
              <w:spacing w:line="249" w:lineRule="auto"/>
              <w:rPr>
                <w:rFonts w:ascii="Arial"/>
                <w:color w:val="auto"/>
                <w:sz w:val="21"/>
                <w:highlight w:val="none"/>
              </w:rPr>
            </w:pPr>
          </w:p>
          <w:p w14:paraId="369E21FA">
            <w:pPr>
              <w:spacing w:line="249" w:lineRule="auto"/>
              <w:rPr>
                <w:rFonts w:ascii="Arial"/>
                <w:color w:val="auto"/>
                <w:sz w:val="21"/>
                <w:highlight w:val="none"/>
              </w:rPr>
            </w:pPr>
          </w:p>
          <w:p w14:paraId="22EB317A">
            <w:pPr>
              <w:spacing w:line="249" w:lineRule="auto"/>
              <w:rPr>
                <w:rFonts w:ascii="Arial"/>
                <w:color w:val="auto"/>
                <w:sz w:val="21"/>
                <w:highlight w:val="none"/>
              </w:rPr>
            </w:pPr>
          </w:p>
          <w:p w14:paraId="79468215">
            <w:pPr>
              <w:spacing w:line="250" w:lineRule="auto"/>
              <w:rPr>
                <w:rFonts w:ascii="Arial"/>
                <w:color w:val="auto"/>
                <w:sz w:val="21"/>
                <w:highlight w:val="none"/>
              </w:rPr>
            </w:pPr>
          </w:p>
          <w:p w14:paraId="1365F1CC">
            <w:pPr>
              <w:spacing w:line="250" w:lineRule="auto"/>
              <w:rPr>
                <w:rFonts w:ascii="Arial"/>
                <w:color w:val="auto"/>
                <w:sz w:val="21"/>
                <w:highlight w:val="none"/>
              </w:rPr>
            </w:pPr>
          </w:p>
          <w:p w14:paraId="5D3516E9">
            <w:pPr>
              <w:spacing w:line="250" w:lineRule="auto"/>
              <w:rPr>
                <w:rFonts w:ascii="Arial"/>
                <w:color w:val="auto"/>
                <w:sz w:val="21"/>
                <w:highlight w:val="none"/>
              </w:rPr>
            </w:pPr>
          </w:p>
          <w:p w14:paraId="778B549C">
            <w:pPr>
              <w:spacing w:line="250" w:lineRule="auto"/>
              <w:rPr>
                <w:rFonts w:ascii="Arial"/>
                <w:color w:val="auto"/>
                <w:sz w:val="21"/>
                <w:highlight w:val="none"/>
              </w:rPr>
            </w:pPr>
          </w:p>
          <w:p w14:paraId="5BD6FF92">
            <w:pPr>
              <w:spacing w:line="250" w:lineRule="auto"/>
              <w:rPr>
                <w:rFonts w:ascii="Arial"/>
                <w:color w:val="auto"/>
                <w:sz w:val="21"/>
                <w:highlight w:val="none"/>
              </w:rPr>
            </w:pPr>
          </w:p>
          <w:p w14:paraId="05B44080">
            <w:pPr>
              <w:spacing w:line="250" w:lineRule="auto"/>
              <w:rPr>
                <w:rFonts w:ascii="Arial"/>
                <w:color w:val="auto"/>
                <w:sz w:val="21"/>
                <w:highlight w:val="none"/>
              </w:rPr>
            </w:pPr>
          </w:p>
          <w:p w14:paraId="75322E0E">
            <w:pPr>
              <w:spacing w:line="250" w:lineRule="auto"/>
              <w:rPr>
                <w:rFonts w:ascii="Arial"/>
                <w:color w:val="auto"/>
                <w:sz w:val="21"/>
                <w:highlight w:val="none"/>
              </w:rPr>
            </w:pPr>
          </w:p>
          <w:p w14:paraId="07410A44">
            <w:pPr>
              <w:spacing w:line="250" w:lineRule="auto"/>
              <w:rPr>
                <w:rFonts w:ascii="Arial"/>
                <w:color w:val="auto"/>
                <w:sz w:val="21"/>
                <w:highlight w:val="none"/>
              </w:rPr>
            </w:pPr>
          </w:p>
          <w:p w14:paraId="38061259">
            <w:pPr>
              <w:spacing w:line="250" w:lineRule="auto"/>
              <w:rPr>
                <w:rFonts w:ascii="Arial"/>
                <w:color w:val="auto"/>
                <w:sz w:val="21"/>
                <w:highlight w:val="none"/>
              </w:rPr>
            </w:pPr>
          </w:p>
          <w:p w14:paraId="5E744A20">
            <w:pPr>
              <w:spacing w:line="250" w:lineRule="auto"/>
              <w:rPr>
                <w:rFonts w:ascii="Arial"/>
                <w:color w:val="auto"/>
                <w:sz w:val="21"/>
                <w:highlight w:val="none"/>
              </w:rPr>
            </w:pPr>
          </w:p>
          <w:p w14:paraId="51959AB0">
            <w:pPr>
              <w:spacing w:line="250" w:lineRule="auto"/>
              <w:rPr>
                <w:rFonts w:ascii="Arial"/>
                <w:color w:val="auto"/>
                <w:sz w:val="21"/>
                <w:highlight w:val="none"/>
              </w:rPr>
            </w:pPr>
          </w:p>
          <w:p w14:paraId="1B38BE95">
            <w:pPr>
              <w:spacing w:line="250" w:lineRule="auto"/>
              <w:rPr>
                <w:rFonts w:ascii="Arial"/>
                <w:color w:val="auto"/>
                <w:sz w:val="21"/>
                <w:highlight w:val="none"/>
              </w:rPr>
            </w:pPr>
          </w:p>
          <w:p w14:paraId="33275072">
            <w:pPr>
              <w:pStyle w:val="18"/>
              <w:spacing w:before="65" w:line="228" w:lineRule="auto"/>
              <w:ind w:left="162"/>
              <w:rPr>
                <w:color w:val="auto"/>
                <w:highlight w:val="none"/>
              </w:rPr>
            </w:pPr>
            <w:r>
              <w:rPr>
                <w:color w:val="auto"/>
                <w:spacing w:val="6"/>
                <w:highlight w:val="none"/>
              </w:rPr>
              <w:t>监理大</w:t>
            </w:r>
          </w:p>
          <w:p w14:paraId="528452EF">
            <w:pPr>
              <w:pStyle w:val="18"/>
              <w:spacing w:before="131" w:line="231" w:lineRule="auto"/>
              <w:ind w:left="165"/>
              <w:rPr>
                <w:color w:val="auto"/>
                <w:highlight w:val="none"/>
              </w:rPr>
            </w:pPr>
            <w:r>
              <w:rPr>
                <w:color w:val="auto"/>
                <w:spacing w:val="5"/>
                <w:highlight w:val="none"/>
              </w:rPr>
              <w:t>纲（或</w:t>
            </w:r>
          </w:p>
          <w:p w14:paraId="7669B691">
            <w:pPr>
              <w:pStyle w:val="18"/>
              <w:spacing w:before="131" w:line="229" w:lineRule="auto"/>
              <w:ind w:left="162"/>
              <w:rPr>
                <w:color w:val="auto"/>
                <w:highlight w:val="none"/>
              </w:rPr>
            </w:pPr>
            <w:r>
              <w:rPr>
                <w:color w:val="auto"/>
                <w:spacing w:val="6"/>
                <w:highlight w:val="none"/>
              </w:rPr>
              <w:t>监理方</w:t>
            </w:r>
          </w:p>
          <w:p w14:paraId="51BCDABB">
            <w:pPr>
              <w:pStyle w:val="18"/>
              <w:spacing w:before="131" w:line="228" w:lineRule="auto"/>
              <w:ind w:left="163"/>
              <w:rPr>
                <w:color w:val="auto"/>
                <w:highlight w:val="none"/>
              </w:rPr>
            </w:pPr>
            <w:r>
              <w:rPr>
                <w:color w:val="auto"/>
                <w:spacing w:val="6"/>
                <w:highlight w:val="none"/>
              </w:rPr>
              <w:t>案）和</w:t>
            </w:r>
          </w:p>
          <w:p w14:paraId="579CA5A0">
            <w:pPr>
              <w:pStyle w:val="18"/>
              <w:spacing w:before="132" w:line="228" w:lineRule="auto"/>
              <w:ind w:left="267"/>
              <w:rPr>
                <w:color w:val="auto"/>
                <w:highlight w:val="none"/>
              </w:rPr>
            </w:pPr>
            <w:r>
              <w:rPr>
                <w:color w:val="auto"/>
                <w:spacing w:val="4"/>
                <w:highlight w:val="none"/>
              </w:rPr>
              <w:t>措施</w:t>
            </w:r>
          </w:p>
        </w:tc>
        <w:tc>
          <w:tcPr>
            <w:tcW w:w="600" w:type="dxa"/>
            <w:vMerge w:val="restart"/>
            <w:tcBorders>
              <w:bottom w:val="nil"/>
            </w:tcBorders>
            <w:vAlign w:val="top"/>
          </w:tcPr>
          <w:p w14:paraId="5DFFE602">
            <w:pPr>
              <w:rPr>
                <w:rFonts w:ascii="Arial"/>
                <w:color w:val="auto"/>
                <w:sz w:val="21"/>
                <w:highlight w:val="none"/>
              </w:rPr>
            </w:pPr>
          </w:p>
          <w:p w14:paraId="06A2C09D">
            <w:pPr>
              <w:rPr>
                <w:rFonts w:ascii="Arial"/>
                <w:color w:val="auto"/>
                <w:sz w:val="21"/>
                <w:highlight w:val="none"/>
              </w:rPr>
            </w:pPr>
          </w:p>
          <w:p w14:paraId="67FC2DBB">
            <w:pPr>
              <w:rPr>
                <w:rFonts w:ascii="Arial"/>
                <w:color w:val="auto"/>
                <w:sz w:val="21"/>
                <w:highlight w:val="none"/>
              </w:rPr>
            </w:pPr>
          </w:p>
          <w:p w14:paraId="3C89B89C">
            <w:pPr>
              <w:rPr>
                <w:rFonts w:ascii="Arial"/>
                <w:color w:val="auto"/>
                <w:sz w:val="21"/>
                <w:highlight w:val="none"/>
              </w:rPr>
            </w:pPr>
          </w:p>
          <w:p w14:paraId="6CBAF2B9">
            <w:pPr>
              <w:rPr>
                <w:rFonts w:ascii="Arial"/>
                <w:color w:val="auto"/>
                <w:sz w:val="21"/>
                <w:highlight w:val="none"/>
              </w:rPr>
            </w:pPr>
          </w:p>
          <w:p w14:paraId="30D83C73">
            <w:pPr>
              <w:rPr>
                <w:rFonts w:ascii="Arial"/>
                <w:color w:val="auto"/>
                <w:sz w:val="21"/>
                <w:highlight w:val="none"/>
              </w:rPr>
            </w:pPr>
          </w:p>
          <w:p w14:paraId="1D9C0F7D">
            <w:pPr>
              <w:rPr>
                <w:rFonts w:ascii="Arial"/>
                <w:color w:val="auto"/>
                <w:sz w:val="21"/>
                <w:highlight w:val="none"/>
              </w:rPr>
            </w:pPr>
          </w:p>
          <w:p w14:paraId="4A2094B2">
            <w:pPr>
              <w:rPr>
                <w:rFonts w:ascii="Arial"/>
                <w:color w:val="auto"/>
                <w:sz w:val="21"/>
                <w:highlight w:val="none"/>
              </w:rPr>
            </w:pPr>
          </w:p>
          <w:p w14:paraId="643C7FF1">
            <w:pPr>
              <w:rPr>
                <w:rFonts w:ascii="Arial"/>
                <w:color w:val="auto"/>
                <w:sz w:val="21"/>
                <w:highlight w:val="none"/>
              </w:rPr>
            </w:pPr>
          </w:p>
          <w:p w14:paraId="1329160A">
            <w:pPr>
              <w:rPr>
                <w:rFonts w:ascii="Arial"/>
                <w:color w:val="auto"/>
                <w:sz w:val="21"/>
                <w:highlight w:val="none"/>
              </w:rPr>
            </w:pPr>
          </w:p>
          <w:p w14:paraId="760A5D13">
            <w:pPr>
              <w:spacing w:line="241" w:lineRule="auto"/>
              <w:rPr>
                <w:rFonts w:ascii="Arial"/>
                <w:color w:val="auto"/>
                <w:sz w:val="21"/>
                <w:highlight w:val="none"/>
              </w:rPr>
            </w:pPr>
          </w:p>
          <w:p w14:paraId="05541B06">
            <w:pPr>
              <w:spacing w:line="241" w:lineRule="auto"/>
              <w:rPr>
                <w:rFonts w:ascii="Arial"/>
                <w:color w:val="auto"/>
                <w:sz w:val="21"/>
                <w:highlight w:val="none"/>
              </w:rPr>
            </w:pPr>
          </w:p>
          <w:p w14:paraId="328BF995">
            <w:pPr>
              <w:spacing w:line="241" w:lineRule="auto"/>
              <w:rPr>
                <w:rFonts w:ascii="Arial"/>
                <w:color w:val="auto"/>
                <w:sz w:val="21"/>
                <w:highlight w:val="none"/>
              </w:rPr>
            </w:pPr>
          </w:p>
          <w:p w14:paraId="7DDEA6E4">
            <w:pPr>
              <w:spacing w:line="241" w:lineRule="auto"/>
              <w:rPr>
                <w:rFonts w:ascii="Arial"/>
                <w:color w:val="auto"/>
                <w:sz w:val="21"/>
                <w:highlight w:val="none"/>
              </w:rPr>
            </w:pPr>
          </w:p>
          <w:p w14:paraId="063920BD">
            <w:pPr>
              <w:spacing w:line="241" w:lineRule="auto"/>
              <w:rPr>
                <w:rFonts w:ascii="Arial"/>
                <w:color w:val="auto"/>
                <w:sz w:val="21"/>
                <w:highlight w:val="none"/>
              </w:rPr>
            </w:pPr>
          </w:p>
          <w:p w14:paraId="461997EE">
            <w:pPr>
              <w:spacing w:line="241" w:lineRule="auto"/>
              <w:rPr>
                <w:rFonts w:ascii="Arial"/>
                <w:color w:val="auto"/>
                <w:sz w:val="21"/>
                <w:highlight w:val="none"/>
              </w:rPr>
            </w:pPr>
          </w:p>
          <w:p w14:paraId="52C1D2CF">
            <w:pPr>
              <w:spacing w:line="241" w:lineRule="auto"/>
              <w:rPr>
                <w:rFonts w:ascii="Arial"/>
                <w:color w:val="auto"/>
                <w:sz w:val="21"/>
                <w:highlight w:val="none"/>
              </w:rPr>
            </w:pPr>
          </w:p>
          <w:p w14:paraId="7530B0BC">
            <w:pPr>
              <w:spacing w:line="241" w:lineRule="auto"/>
              <w:rPr>
                <w:rFonts w:ascii="Arial"/>
                <w:color w:val="auto"/>
                <w:sz w:val="21"/>
                <w:highlight w:val="none"/>
              </w:rPr>
            </w:pPr>
          </w:p>
          <w:p w14:paraId="2775B30D">
            <w:pPr>
              <w:spacing w:line="241" w:lineRule="auto"/>
              <w:rPr>
                <w:rFonts w:ascii="Arial"/>
                <w:color w:val="auto"/>
                <w:sz w:val="21"/>
                <w:highlight w:val="none"/>
              </w:rPr>
            </w:pPr>
          </w:p>
          <w:p w14:paraId="7871A2EB">
            <w:pPr>
              <w:spacing w:line="241" w:lineRule="auto"/>
              <w:rPr>
                <w:rFonts w:ascii="Arial"/>
                <w:color w:val="auto"/>
                <w:sz w:val="21"/>
                <w:highlight w:val="none"/>
              </w:rPr>
            </w:pPr>
          </w:p>
          <w:p w14:paraId="53493FB9">
            <w:pPr>
              <w:pStyle w:val="18"/>
              <w:spacing w:before="65" w:line="354" w:lineRule="auto"/>
              <w:ind w:left="202" w:right="193" w:firstLine="12"/>
              <w:rPr>
                <w:color w:val="auto"/>
                <w:highlight w:val="none"/>
              </w:rPr>
            </w:pPr>
            <w:r>
              <w:rPr>
                <w:color w:val="auto"/>
                <w:spacing w:val="-7"/>
                <w:highlight w:val="none"/>
                <w:u w:val="single" w:color="auto"/>
              </w:rPr>
              <w:t>15</w:t>
            </w:r>
            <w:r>
              <w:rPr>
                <w:color w:val="auto"/>
                <w:spacing w:val="-2"/>
                <w:highlight w:val="none"/>
              </w:rPr>
              <w:t>分</w:t>
            </w:r>
          </w:p>
        </w:tc>
        <w:tc>
          <w:tcPr>
            <w:tcW w:w="1181" w:type="dxa"/>
            <w:vAlign w:val="top"/>
          </w:tcPr>
          <w:p w14:paraId="20EC51A6">
            <w:pPr>
              <w:spacing w:line="265" w:lineRule="auto"/>
              <w:rPr>
                <w:rFonts w:ascii="Arial"/>
                <w:color w:val="auto"/>
                <w:sz w:val="21"/>
                <w:highlight w:val="none"/>
              </w:rPr>
            </w:pPr>
          </w:p>
          <w:p w14:paraId="3598BE23">
            <w:pPr>
              <w:spacing w:line="265" w:lineRule="auto"/>
              <w:rPr>
                <w:rFonts w:ascii="Arial"/>
                <w:color w:val="auto"/>
                <w:sz w:val="21"/>
                <w:highlight w:val="none"/>
              </w:rPr>
            </w:pPr>
          </w:p>
          <w:p w14:paraId="4BB0F252">
            <w:pPr>
              <w:spacing w:line="265" w:lineRule="auto"/>
              <w:rPr>
                <w:rFonts w:ascii="Arial"/>
                <w:color w:val="auto"/>
                <w:sz w:val="21"/>
                <w:highlight w:val="none"/>
              </w:rPr>
            </w:pPr>
          </w:p>
          <w:p w14:paraId="0F8EF130">
            <w:pPr>
              <w:spacing w:line="266" w:lineRule="auto"/>
              <w:rPr>
                <w:rFonts w:ascii="Arial"/>
                <w:color w:val="auto"/>
                <w:sz w:val="21"/>
                <w:highlight w:val="none"/>
              </w:rPr>
            </w:pPr>
          </w:p>
          <w:p w14:paraId="054217C9">
            <w:pPr>
              <w:pStyle w:val="18"/>
              <w:spacing w:before="65" w:line="228" w:lineRule="auto"/>
              <w:ind w:left="176"/>
              <w:rPr>
                <w:color w:val="auto"/>
                <w:highlight w:val="none"/>
              </w:rPr>
            </w:pPr>
            <w:r>
              <w:rPr>
                <w:color w:val="auto"/>
                <w:spacing w:val="7"/>
                <w:highlight w:val="none"/>
              </w:rPr>
              <w:t>质量和安</w:t>
            </w:r>
          </w:p>
          <w:p w14:paraId="5BF742C0">
            <w:pPr>
              <w:pStyle w:val="18"/>
              <w:spacing w:before="52" w:line="236" w:lineRule="auto"/>
              <w:ind w:left="281"/>
              <w:rPr>
                <w:color w:val="auto"/>
                <w:highlight w:val="none"/>
              </w:rPr>
            </w:pPr>
            <w:r>
              <w:rPr>
                <w:color w:val="auto"/>
                <w:spacing w:val="6"/>
                <w:highlight w:val="none"/>
              </w:rPr>
              <w:t>全监理</w:t>
            </w:r>
          </w:p>
          <w:p w14:paraId="38E2F8C9">
            <w:pPr>
              <w:pStyle w:val="18"/>
              <w:spacing w:before="45" w:line="228" w:lineRule="auto"/>
              <w:ind w:left="212"/>
              <w:rPr>
                <w:color w:val="auto"/>
                <w:highlight w:val="none"/>
              </w:rPr>
            </w:pPr>
            <w:r>
              <w:rPr>
                <w:color w:val="auto"/>
                <w:spacing w:val="-2"/>
                <w:highlight w:val="none"/>
              </w:rPr>
              <w:t>（</w:t>
            </w:r>
            <w:r>
              <w:rPr>
                <w:color w:val="auto"/>
                <w:spacing w:val="-2"/>
                <w:highlight w:val="none"/>
                <w:u w:val="single" w:color="auto"/>
              </w:rPr>
              <w:t>5</w:t>
            </w:r>
            <w:r>
              <w:rPr>
                <w:color w:val="auto"/>
                <w:spacing w:val="-36"/>
                <w:highlight w:val="none"/>
                <w:u w:val="single" w:color="auto"/>
              </w:rPr>
              <w:t xml:space="preserve"> </w:t>
            </w:r>
            <w:r>
              <w:rPr>
                <w:color w:val="auto"/>
                <w:spacing w:val="-2"/>
                <w:highlight w:val="none"/>
              </w:rPr>
              <w:t>分）</w:t>
            </w:r>
          </w:p>
        </w:tc>
        <w:tc>
          <w:tcPr>
            <w:tcW w:w="3150" w:type="dxa"/>
            <w:vAlign w:val="top"/>
          </w:tcPr>
          <w:p w14:paraId="6EFD7248">
            <w:pPr>
              <w:pStyle w:val="18"/>
              <w:spacing w:before="144" w:line="331" w:lineRule="auto"/>
              <w:ind w:left="114" w:right="107" w:firstLine="1"/>
              <w:rPr>
                <w:color w:val="auto"/>
                <w:highlight w:val="none"/>
              </w:rPr>
            </w:pPr>
            <w:r>
              <w:rPr>
                <w:color w:val="auto"/>
                <w:spacing w:val="21"/>
                <w:highlight w:val="none"/>
              </w:rPr>
              <w:t>质量和安全监理目标明确</w:t>
            </w:r>
            <w:r>
              <w:rPr>
                <w:color w:val="auto"/>
                <w:spacing w:val="-53"/>
                <w:highlight w:val="none"/>
              </w:rPr>
              <w:t xml:space="preserve"> </w:t>
            </w:r>
            <w:r>
              <w:rPr>
                <w:color w:val="auto"/>
                <w:spacing w:val="21"/>
                <w:highlight w:val="none"/>
              </w:rPr>
              <w:t>，且</w:t>
            </w:r>
            <w:r>
              <w:rPr>
                <w:color w:val="auto"/>
                <w:spacing w:val="24"/>
                <w:highlight w:val="none"/>
              </w:rPr>
              <w:t>完全响应广东省施工标准化和</w:t>
            </w:r>
            <w:r>
              <w:rPr>
                <w:color w:val="auto"/>
                <w:spacing w:val="15"/>
                <w:highlight w:val="none"/>
              </w:rPr>
              <w:t>安全标准化指南的得</w:t>
            </w:r>
            <w:r>
              <w:rPr>
                <w:color w:val="auto"/>
                <w:spacing w:val="-15"/>
                <w:highlight w:val="none"/>
              </w:rPr>
              <w:t xml:space="preserve"> </w:t>
            </w:r>
            <w:r>
              <w:rPr>
                <w:color w:val="auto"/>
                <w:spacing w:val="15"/>
                <w:highlight w:val="none"/>
                <w:u w:val="single" w:color="auto"/>
              </w:rPr>
              <w:t>3.0</w:t>
            </w:r>
            <w:r>
              <w:rPr>
                <w:color w:val="auto"/>
                <w:spacing w:val="-18"/>
                <w:highlight w:val="none"/>
                <w:u w:val="single" w:color="auto"/>
              </w:rPr>
              <w:t xml:space="preserve"> </w:t>
            </w:r>
            <w:r>
              <w:rPr>
                <w:color w:val="auto"/>
                <w:spacing w:val="15"/>
                <w:highlight w:val="none"/>
              </w:rPr>
              <w:t>分</w:t>
            </w:r>
            <w:r>
              <w:rPr>
                <w:color w:val="auto"/>
                <w:spacing w:val="-55"/>
                <w:highlight w:val="none"/>
              </w:rPr>
              <w:t xml:space="preserve"> </w:t>
            </w:r>
            <w:r>
              <w:rPr>
                <w:color w:val="auto"/>
                <w:spacing w:val="15"/>
                <w:highlight w:val="none"/>
              </w:rPr>
              <w:t>；</w:t>
            </w:r>
            <w:r>
              <w:rPr>
                <w:color w:val="auto"/>
                <w:spacing w:val="21"/>
                <w:highlight w:val="none"/>
              </w:rPr>
              <w:t>监理措施具体且有效</w:t>
            </w:r>
            <w:r>
              <w:rPr>
                <w:color w:val="auto"/>
                <w:spacing w:val="-51"/>
                <w:highlight w:val="none"/>
              </w:rPr>
              <w:t xml:space="preserve"> </w:t>
            </w:r>
            <w:r>
              <w:rPr>
                <w:color w:val="auto"/>
                <w:spacing w:val="21"/>
                <w:highlight w:val="none"/>
              </w:rPr>
              <w:t>，对质量</w:t>
            </w:r>
            <w:r>
              <w:rPr>
                <w:color w:val="auto"/>
                <w:spacing w:val="24"/>
                <w:highlight w:val="none"/>
              </w:rPr>
              <w:t>和安全问题所采取的对策及预</w:t>
            </w:r>
            <w:r>
              <w:rPr>
                <w:color w:val="auto"/>
                <w:spacing w:val="18"/>
                <w:highlight w:val="none"/>
              </w:rPr>
              <w:t>控方法合理可行的</w:t>
            </w:r>
            <w:r>
              <w:rPr>
                <w:color w:val="auto"/>
                <w:spacing w:val="-54"/>
                <w:highlight w:val="none"/>
              </w:rPr>
              <w:t xml:space="preserve"> </w:t>
            </w:r>
            <w:r>
              <w:rPr>
                <w:color w:val="auto"/>
                <w:spacing w:val="18"/>
                <w:highlight w:val="none"/>
              </w:rPr>
              <w:t>，</w:t>
            </w:r>
            <w:r>
              <w:rPr>
                <w:color w:val="auto"/>
                <w:spacing w:val="-58"/>
                <w:highlight w:val="none"/>
              </w:rPr>
              <w:t xml:space="preserve"> </w:t>
            </w:r>
            <w:r>
              <w:rPr>
                <w:color w:val="auto"/>
                <w:spacing w:val="18"/>
                <w:highlight w:val="none"/>
              </w:rPr>
              <w:t>响应广东</w:t>
            </w:r>
            <w:r>
              <w:rPr>
                <w:color w:val="auto"/>
                <w:spacing w:val="24"/>
                <w:highlight w:val="none"/>
              </w:rPr>
              <w:t>省施工标准化和安全标准化指</w:t>
            </w:r>
            <w:r>
              <w:rPr>
                <w:color w:val="auto"/>
                <w:spacing w:val="5"/>
                <w:highlight w:val="none"/>
              </w:rPr>
              <w:t>南程度，酌情加</w:t>
            </w:r>
            <w:r>
              <w:rPr>
                <w:color w:val="auto"/>
                <w:spacing w:val="-34"/>
                <w:highlight w:val="none"/>
                <w:u w:val="single"/>
              </w:rPr>
              <w:t xml:space="preserve"> </w:t>
            </w:r>
            <w:r>
              <w:rPr>
                <w:color w:val="auto"/>
                <w:spacing w:val="5"/>
                <w:highlight w:val="none"/>
                <w:u w:val="single"/>
              </w:rPr>
              <w:t>0-</w:t>
            </w:r>
            <w:r>
              <w:rPr>
                <w:color w:val="auto"/>
                <w:spacing w:val="5"/>
                <w:highlight w:val="none"/>
                <w:u w:val="single" w:color="auto"/>
              </w:rPr>
              <w:t>2.0</w:t>
            </w:r>
            <w:r>
              <w:rPr>
                <w:color w:val="auto"/>
                <w:spacing w:val="-36"/>
                <w:highlight w:val="none"/>
                <w:u w:val="single" w:color="auto"/>
              </w:rPr>
              <w:t xml:space="preserve"> </w:t>
            </w:r>
            <w:r>
              <w:rPr>
                <w:color w:val="auto"/>
                <w:spacing w:val="5"/>
                <w:highlight w:val="none"/>
              </w:rPr>
              <w:t>分；</w:t>
            </w:r>
          </w:p>
        </w:tc>
      </w:tr>
      <w:tr w14:paraId="6A55BD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25" w:hRule="atLeast"/>
        </w:trPr>
        <w:tc>
          <w:tcPr>
            <w:tcW w:w="927" w:type="dxa"/>
            <w:vMerge w:val="continue"/>
            <w:tcBorders>
              <w:top w:val="nil"/>
              <w:bottom w:val="nil"/>
            </w:tcBorders>
            <w:vAlign w:val="top"/>
          </w:tcPr>
          <w:p w14:paraId="548BD217">
            <w:pPr>
              <w:rPr>
                <w:rFonts w:ascii="Arial"/>
                <w:color w:val="auto"/>
                <w:sz w:val="21"/>
                <w:highlight w:val="none"/>
              </w:rPr>
            </w:pPr>
          </w:p>
        </w:tc>
        <w:tc>
          <w:tcPr>
            <w:tcW w:w="1172" w:type="dxa"/>
            <w:vMerge w:val="continue"/>
            <w:tcBorders>
              <w:top w:val="nil"/>
              <w:bottom w:val="nil"/>
            </w:tcBorders>
            <w:vAlign w:val="top"/>
          </w:tcPr>
          <w:p w14:paraId="417CDD7C">
            <w:pPr>
              <w:rPr>
                <w:rFonts w:ascii="Arial"/>
                <w:color w:val="auto"/>
                <w:sz w:val="21"/>
                <w:highlight w:val="none"/>
              </w:rPr>
            </w:pPr>
          </w:p>
        </w:tc>
        <w:tc>
          <w:tcPr>
            <w:tcW w:w="919" w:type="dxa"/>
            <w:vMerge w:val="continue"/>
            <w:tcBorders>
              <w:top w:val="nil"/>
              <w:bottom w:val="nil"/>
            </w:tcBorders>
            <w:vAlign w:val="top"/>
          </w:tcPr>
          <w:p w14:paraId="569351E8">
            <w:pPr>
              <w:rPr>
                <w:rFonts w:ascii="Arial"/>
                <w:color w:val="auto"/>
                <w:sz w:val="21"/>
                <w:highlight w:val="none"/>
              </w:rPr>
            </w:pPr>
          </w:p>
        </w:tc>
        <w:tc>
          <w:tcPr>
            <w:tcW w:w="946" w:type="dxa"/>
            <w:vMerge w:val="continue"/>
            <w:tcBorders>
              <w:top w:val="nil"/>
              <w:bottom w:val="nil"/>
            </w:tcBorders>
            <w:vAlign w:val="top"/>
          </w:tcPr>
          <w:p w14:paraId="1DC0B128">
            <w:pPr>
              <w:rPr>
                <w:rFonts w:ascii="Arial"/>
                <w:color w:val="auto"/>
                <w:sz w:val="21"/>
                <w:highlight w:val="none"/>
              </w:rPr>
            </w:pPr>
          </w:p>
        </w:tc>
        <w:tc>
          <w:tcPr>
            <w:tcW w:w="600" w:type="dxa"/>
            <w:vMerge w:val="continue"/>
            <w:tcBorders>
              <w:top w:val="nil"/>
              <w:bottom w:val="nil"/>
            </w:tcBorders>
            <w:vAlign w:val="top"/>
          </w:tcPr>
          <w:p w14:paraId="0EAB496D">
            <w:pPr>
              <w:rPr>
                <w:rFonts w:ascii="Arial"/>
                <w:color w:val="auto"/>
                <w:sz w:val="21"/>
                <w:highlight w:val="none"/>
              </w:rPr>
            </w:pPr>
          </w:p>
        </w:tc>
        <w:tc>
          <w:tcPr>
            <w:tcW w:w="1181" w:type="dxa"/>
            <w:vAlign w:val="top"/>
          </w:tcPr>
          <w:p w14:paraId="3BC98DD1">
            <w:pPr>
              <w:spacing w:line="331" w:lineRule="auto"/>
              <w:rPr>
                <w:rFonts w:ascii="Arial"/>
                <w:color w:val="auto"/>
                <w:sz w:val="21"/>
                <w:highlight w:val="none"/>
              </w:rPr>
            </w:pPr>
          </w:p>
          <w:p w14:paraId="0F0F19F5">
            <w:pPr>
              <w:spacing w:line="332" w:lineRule="auto"/>
              <w:rPr>
                <w:rFonts w:ascii="Arial"/>
                <w:color w:val="auto"/>
                <w:sz w:val="21"/>
                <w:highlight w:val="none"/>
              </w:rPr>
            </w:pPr>
          </w:p>
          <w:p w14:paraId="7356813A">
            <w:pPr>
              <w:pStyle w:val="18"/>
              <w:spacing w:before="65" w:line="354" w:lineRule="auto"/>
              <w:ind w:left="212" w:right="170" w:hanging="38"/>
              <w:rPr>
                <w:color w:val="auto"/>
                <w:highlight w:val="none"/>
              </w:rPr>
            </w:pPr>
            <w:r>
              <w:rPr>
                <w:color w:val="auto"/>
                <w:spacing w:val="7"/>
                <w:highlight w:val="none"/>
              </w:rPr>
              <w:t>进度监理</w:t>
            </w:r>
            <w:r>
              <w:rPr>
                <w:color w:val="auto"/>
                <w:spacing w:val="-2"/>
                <w:highlight w:val="none"/>
              </w:rPr>
              <w:t>（</w:t>
            </w:r>
            <w:r>
              <w:rPr>
                <w:color w:val="auto"/>
                <w:spacing w:val="-2"/>
                <w:highlight w:val="none"/>
                <w:u w:val="single" w:color="auto"/>
              </w:rPr>
              <w:t>5</w:t>
            </w:r>
            <w:r>
              <w:rPr>
                <w:color w:val="auto"/>
                <w:spacing w:val="-36"/>
                <w:highlight w:val="none"/>
                <w:u w:val="single" w:color="auto"/>
              </w:rPr>
              <w:t xml:space="preserve"> </w:t>
            </w:r>
            <w:r>
              <w:rPr>
                <w:color w:val="auto"/>
                <w:spacing w:val="-2"/>
                <w:highlight w:val="none"/>
              </w:rPr>
              <w:t>分）</w:t>
            </w:r>
          </w:p>
        </w:tc>
        <w:tc>
          <w:tcPr>
            <w:tcW w:w="3150" w:type="dxa"/>
            <w:vAlign w:val="top"/>
          </w:tcPr>
          <w:p w14:paraId="192674B9">
            <w:pPr>
              <w:pStyle w:val="18"/>
              <w:spacing w:before="165" w:line="323" w:lineRule="auto"/>
              <w:ind w:left="113" w:right="107"/>
              <w:jc w:val="both"/>
              <w:rPr>
                <w:color w:val="auto"/>
                <w:highlight w:val="none"/>
              </w:rPr>
            </w:pPr>
            <w:r>
              <w:rPr>
                <w:color w:val="auto"/>
                <w:spacing w:val="24"/>
                <w:highlight w:val="none"/>
              </w:rPr>
              <w:t>进度监理目标明确并满足招标</w:t>
            </w:r>
            <w:r>
              <w:rPr>
                <w:color w:val="auto"/>
                <w:spacing w:val="15"/>
                <w:highlight w:val="none"/>
              </w:rPr>
              <w:t>文件的要求得</w:t>
            </w:r>
            <w:r>
              <w:rPr>
                <w:color w:val="auto"/>
                <w:spacing w:val="-17"/>
                <w:highlight w:val="none"/>
              </w:rPr>
              <w:t xml:space="preserve"> </w:t>
            </w:r>
            <w:r>
              <w:rPr>
                <w:color w:val="auto"/>
                <w:spacing w:val="15"/>
                <w:highlight w:val="none"/>
                <w:u w:val="single" w:color="auto"/>
              </w:rPr>
              <w:t>3.0</w:t>
            </w:r>
            <w:r>
              <w:rPr>
                <w:color w:val="auto"/>
                <w:spacing w:val="-19"/>
                <w:highlight w:val="none"/>
                <w:u w:val="single" w:color="auto"/>
              </w:rPr>
              <w:t xml:space="preserve"> </w:t>
            </w:r>
            <w:r>
              <w:rPr>
                <w:color w:val="auto"/>
                <w:spacing w:val="15"/>
                <w:highlight w:val="none"/>
              </w:rPr>
              <w:t>分</w:t>
            </w:r>
            <w:r>
              <w:rPr>
                <w:color w:val="auto"/>
                <w:spacing w:val="-55"/>
                <w:highlight w:val="none"/>
              </w:rPr>
              <w:t xml:space="preserve"> </w:t>
            </w:r>
            <w:r>
              <w:rPr>
                <w:color w:val="auto"/>
                <w:spacing w:val="15"/>
                <w:highlight w:val="none"/>
              </w:rPr>
              <w:t>；监理措</w:t>
            </w:r>
            <w:r>
              <w:rPr>
                <w:color w:val="auto"/>
                <w:spacing w:val="21"/>
                <w:highlight w:val="none"/>
              </w:rPr>
              <w:t>施具体且有效</w:t>
            </w:r>
            <w:r>
              <w:rPr>
                <w:color w:val="auto"/>
                <w:spacing w:val="-51"/>
                <w:highlight w:val="none"/>
              </w:rPr>
              <w:t xml:space="preserve"> </w:t>
            </w:r>
            <w:r>
              <w:rPr>
                <w:color w:val="auto"/>
                <w:spacing w:val="21"/>
                <w:highlight w:val="none"/>
              </w:rPr>
              <w:t>，对保证工期所</w:t>
            </w:r>
            <w:r>
              <w:rPr>
                <w:color w:val="auto"/>
                <w:spacing w:val="24"/>
                <w:highlight w:val="none"/>
              </w:rPr>
              <w:t>采取的对策及预控方法合理可</w:t>
            </w:r>
            <w:r>
              <w:rPr>
                <w:color w:val="auto"/>
                <w:spacing w:val="5"/>
                <w:highlight w:val="none"/>
              </w:rPr>
              <w:t>行的，酌情加</w:t>
            </w:r>
            <w:r>
              <w:rPr>
                <w:color w:val="auto"/>
                <w:spacing w:val="-38"/>
                <w:highlight w:val="none"/>
              </w:rPr>
              <w:t xml:space="preserve"> </w:t>
            </w:r>
            <w:r>
              <w:rPr>
                <w:color w:val="auto"/>
                <w:spacing w:val="5"/>
                <w:highlight w:val="none"/>
                <w:u w:val="single" w:color="auto"/>
              </w:rPr>
              <w:t>0-2.0</w:t>
            </w:r>
            <w:r>
              <w:rPr>
                <w:color w:val="auto"/>
                <w:spacing w:val="-38"/>
                <w:highlight w:val="none"/>
                <w:u w:val="single" w:color="auto"/>
              </w:rPr>
              <w:t xml:space="preserve"> </w:t>
            </w:r>
            <w:r>
              <w:rPr>
                <w:color w:val="auto"/>
                <w:spacing w:val="5"/>
                <w:highlight w:val="none"/>
              </w:rPr>
              <w:t>分。</w:t>
            </w:r>
          </w:p>
        </w:tc>
      </w:tr>
      <w:tr w14:paraId="59D2E3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4" w:hRule="atLeast"/>
        </w:trPr>
        <w:tc>
          <w:tcPr>
            <w:tcW w:w="927" w:type="dxa"/>
            <w:vMerge w:val="continue"/>
            <w:tcBorders>
              <w:top w:val="nil"/>
              <w:bottom w:val="nil"/>
            </w:tcBorders>
            <w:vAlign w:val="top"/>
          </w:tcPr>
          <w:p w14:paraId="68872099">
            <w:pPr>
              <w:rPr>
                <w:rFonts w:ascii="Arial"/>
                <w:color w:val="auto"/>
                <w:sz w:val="21"/>
                <w:highlight w:val="none"/>
              </w:rPr>
            </w:pPr>
          </w:p>
        </w:tc>
        <w:tc>
          <w:tcPr>
            <w:tcW w:w="1172" w:type="dxa"/>
            <w:vMerge w:val="continue"/>
            <w:tcBorders>
              <w:top w:val="nil"/>
              <w:bottom w:val="nil"/>
            </w:tcBorders>
            <w:vAlign w:val="top"/>
          </w:tcPr>
          <w:p w14:paraId="4E3224B7">
            <w:pPr>
              <w:rPr>
                <w:rFonts w:ascii="Arial"/>
                <w:color w:val="auto"/>
                <w:sz w:val="21"/>
                <w:highlight w:val="none"/>
              </w:rPr>
            </w:pPr>
          </w:p>
        </w:tc>
        <w:tc>
          <w:tcPr>
            <w:tcW w:w="919" w:type="dxa"/>
            <w:vMerge w:val="continue"/>
            <w:tcBorders>
              <w:top w:val="nil"/>
              <w:bottom w:val="nil"/>
            </w:tcBorders>
            <w:vAlign w:val="top"/>
          </w:tcPr>
          <w:p w14:paraId="12D5CEAF">
            <w:pPr>
              <w:rPr>
                <w:rFonts w:ascii="Arial"/>
                <w:color w:val="auto"/>
                <w:sz w:val="21"/>
                <w:highlight w:val="none"/>
              </w:rPr>
            </w:pPr>
          </w:p>
        </w:tc>
        <w:tc>
          <w:tcPr>
            <w:tcW w:w="946" w:type="dxa"/>
            <w:vMerge w:val="continue"/>
            <w:tcBorders>
              <w:top w:val="nil"/>
              <w:bottom w:val="nil"/>
            </w:tcBorders>
            <w:vAlign w:val="top"/>
          </w:tcPr>
          <w:p w14:paraId="53651927">
            <w:pPr>
              <w:rPr>
                <w:rFonts w:ascii="Arial"/>
                <w:color w:val="auto"/>
                <w:sz w:val="21"/>
                <w:highlight w:val="none"/>
              </w:rPr>
            </w:pPr>
          </w:p>
        </w:tc>
        <w:tc>
          <w:tcPr>
            <w:tcW w:w="600" w:type="dxa"/>
            <w:vMerge w:val="continue"/>
            <w:tcBorders>
              <w:top w:val="nil"/>
              <w:bottom w:val="nil"/>
            </w:tcBorders>
            <w:vAlign w:val="top"/>
          </w:tcPr>
          <w:p w14:paraId="097D8F11">
            <w:pPr>
              <w:rPr>
                <w:rFonts w:ascii="Arial"/>
                <w:color w:val="auto"/>
                <w:sz w:val="21"/>
                <w:highlight w:val="none"/>
              </w:rPr>
            </w:pPr>
          </w:p>
        </w:tc>
        <w:tc>
          <w:tcPr>
            <w:tcW w:w="1181" w:type="dxa"/>
            <w:vAlign w:val="top"/>
          </w:tcPr>
          <w:p w14:paraId="7C8A3D1D">
            <w:pPr>
              <w:spacing w:line="255" w:lineRule="auto"/>
              <w:rPr>
                <w:rFonts w:ascii="Arial"/>
                <w:color w:val="auto"/>
                <w:sz w:val="21"/>
                <w:highlight w:val="none"/>
              </w:rPr>
            </w:pPr>
          </w:p>
          <w:p w14:paraId="75801373">
            <w:pPr>
              <w:spacing w:line="256" w:lineRule="auto"/>
              <w:rPr>
                <w:rFonts w:ascii="Arial"/>
                <w:color w:val="auto"/>
                <w:sz w:val="21"/>
                <w:highlight w:val="none"/>
              </w:rPr>
            </w:pPr>
          </w:p>
          <w:p w14:paraId="6BAF7806">
            <w:pPr>
              <w:spacing w:line="256" w:lineRule="auto"/>
              <w:rPr>
                <w:rFonts w:ascii="Arial"/>
                <w:color w:val="auto"/>
                <w:sz w:val="21"/>
                <w:highlight w:val="none"/>
              </w:rPr>
            </w:pPr>
          </w:p>
          <w:p w14:paraId="61B48D37">
            <w:pPr>
              <w:spacing w:line="256" w:lineRule="auto"/>
              <w:rPr>
                <w:rFonts w:ascii="Arial"/>
                <w:color w:val="auto"/>
                <w:sz w:val="21"/>
                <w:highlight w:val="none"/>
              </w:rPr>
            </w:pPr>
          </w:p>
          <w:p w14:paraId="755743CB">
            <w:pPr>
              <w:pStyle w:val="18"/>
              <w:spacing w:before="65" w:line="228" w:lineRule="auto"/>
              <w:ind w:left="187"/>
              <w:rPr>
                <w:color w:val="auto"/>
                <w:highlight w:val="none"/>
              </w:rPr>
            </w:pPr>
            <w:r>
              <w:rPr>
                <w:color w:val="auto"/>
                <w:spacing w:val="4"/>
                <w:highlight w:val="none"/>
              </w:rPr>
              <w:t>费用和合</w:t>
            </w:r>
          </w:p>
          <w:p w14:paraId="3548DA2C">
            <w:pPr>
              <w:pStyle w:val="18"/>
              <w:spacing w:before="131" w:line="230" w:lineRule="auto"/>
              <w:ind w:left="301"/>
              <w:rPr>
                <w:color w:val="auto"/>
                <w:highlight w:val="none"/>
              </w:rPr>
            </w:pPr>
            <w:r>
              <w:rPr>
                <w:color w:val="auto"/>
                <w:highlight w:val="none"/>
              </w:rPr>
              <w:t>同监理</w:t>
            </w:r>
          </w:p>
          <w:p w14:paraId="308C5565">
            <w:pPr>
              <w:pStyle w:val="18"/>
              <w:spacing w:before="130" w:line="228" w:lineRule="auto"/>
              <w:ind w:left="212"/>
              <w:rPr>
                <w:color w:val="auto"/>
                <w:highlight w:val="none"/>
              </w:rPr>
            </w:pPr>
            <w:r>
              <w:rPr>
                <w:color w:val="auto"/>
                <w:spacing w:val="-2"/>
                <w:highlight w:val="none"/>
              </w:rPr>
              <w:t>（</w:t>
            </w:r>
            <w:r>
              <w:rPr>
                <w:color w:val="auto"/>
                <w:spacing w:val="-2"/>
                <w:highlight w:val="none"/>
                <w:u w:val="single" w:color="auto"/>
              </w:rPr>
              <w:t>3</w:t>
            </w:r>
            <w:r>
              <w:rPr>
                <w:color w:val="auto"/>
                <w:spacing w:val="-36"/>
                <w:highlight w:val="none"/>
                <w:u w:val="single" w:color="auto"/>
              </w:rPr>
              <w:t xml:space="preserve"> </w:t>
            </w:r>
            <w:r>
              <w:rPr>
                <w:color w:val="auto"/>
                <w:spacing w:val="-2"/>
                <w:highlight w:val="none"/>
              </w:rPr>
              <w:t>分）</w:t>
            </w:r>
          </w:p>
        </w:tc>
        <w:tc>
          <w:tcPr>
            <w:tcW w:w="3150" w:type="dxa"/>
            <w:vAlign w:val="top"/>
          </w:tcPr>
          <w:p w14:paraId="054FAEA4">
            <w:pPr>
              <w:pStyle w:val="18"/>
              <w:spacing w:before="148" w:line="333" w:lineRule="auto"/>
              <w:ind w:left="114" w:right="107" w:firstLine="1"/>
              <w:jc w:val="both"/>
              <w:rPr>
                <w:color w:val="auto"/>
                <w:highlight w:val="none"/>
              </w:rPr>
            </w:pPr>
            <w:r>
              <w:rPr>
                <w:color w:val="auto"/>
                <w:spacing w:val="24"/>
                <w:highlight w:val="none"/>
              </w:rPr>
              <w:t>有工程计量与支付监理方面的具体管理方法和措施具体且有</w:t>
            </w:r>
            <w:r>
              <w:rPr>
                <w:color w:val="auto"/>
                <w:spacing w:val="18"/>
                <w:highlight w:val="none"/>
              </w:rPr>
              <w:t>效</w:t>
            </w:r>
            <w:r>
              <w:rPr>
                <w:color w:val="auto"/>
                <w:spacing w:val="-54"/>
                <w:highlight w:val="none"/>
              </w:rPr>
              <w:t xml:space="preserve"> </w:t>
            </w:r>
            <w:r>
              <w:rPr>
                <w:color w:val="auto"/>
                <w:spacing w:val="18"/>
                <w:highlight w:val="none"/>
              </w:rPr>
              <w:t>，有明确的变更管理</w:t>
            </w:r>
            <w:r>
              <w:rPr>
                <w:color w:val="auto"/>
                <w:spacing w:val="-58"/>
                <w:highlight w:val="none"/>
              </w:rPr>
              <w:t xml:space="preserve"> </w:t>
            </w:r>
            <w:r>
              <w:rPr>
                <w:color w:val="auto"/>
                <w:spacing w:val="18"/>
                <w:highlight w:val="none"/>
              </w:rPr>
              <w:t>、预防</w:t>
            </w:r>
            <w:r>
              <w:rPr>
                <w:color w:val="auto"/>
                <w:spacing w:val="21"/>
                <w:highlight w:val="none"/>
              </w:rPr>
              <w:t>索赔</w:t>
            </w:r>
            <w:r>
              <w:rPr>
                <w:color w:val="auto"/>
                <w:spacing w:val="-51"/>
                <w:highlight w:val="none"/>
              </w:rPr>
              <w:t xml:space="preserve"> </w:t>
            </w:r>
            <w:r>
              <w:rPr>
                <w:color w:val="auto"/>
                <w:spacing w:val="21"/>
                <w:highlight w:val="none"/>
              </w:rPr>
              <w:t>、减少合同纠纷的管理和</w:t>
            </w:r>
            <w:r>
              <w:rPr>
                <w:color w:val="auto"/>
                <w:spacing w:val="13"/>
                <w:highlight w:val="none"/>
              </w:rPr>
              <w:t xml:space="preserve">控制措施得 </w:t>
            </w:r>
            <w:r>
              <w:rPr>
                <w:color w:val="auto"/>
                <w:spacing w:val="13"/>
                <w:highlight w:val="none"/>
                <w:u w:val="single" w:color="auto"/>
              </w:rPr>
              <w:t>1.8</w:t>
            </w:r>
            <w:r>
              <w:rPr>
                <w:color w:val="auto"/>
                <w:spacing w:val="-18"/>
                <w:highlight w:val="none"/>
                <w:u w:val="single" w:color="auto"/>
              </w:rPr>
              <w:t xml:space="preserve"> </w:t>
            </w:r>
            <w:r>
              <w:rPr>
                <w:color w:val="auto"/>
                <w:spacing w:val="13"/>
                <w:highlight w:val="none"/>
              </w:rPr>
              <w:t>分</w:t>
            </w:r>
            <w:r>
              <w:rPr>
                <w:color w:val="auto"/>
                <w:spacing w:val="-55"/>
                <w:highlight w:val="none"/>
              </w:rPr>
              <w:t xml:space="preserve"> </w:t>
            </w:r>
            <w:r>
              <w:rPr>
                <w:color w:val="auto"/>
                <w:spacing w:val="13"/>
                <w:highlight w:val="none"/>
              </w:rPr>
              <w:t>；有合理可</w:t>
            </w:r>
            <w:r>
              <w:rPr>
                <w:color w:val="auto"/>
                <w:spacing w:val="24"/>
                <w:highlight w:val="none"/>
              </w:rPr>
              <w:t>行的控制超计量支付及提前计</w:t>
            </w:r>
            <w:r>
              <w:rPr>
                <w:color w:val="auto"/>
                <w:spacing w:val="21"/>
                <w:highlight w:val="none"/>
              </w:rPr>
              <w:t>量支付的预控方法的</w:t>
            </w:r>
            <w:r>
              <w:rPr>
                <w:color w:val="auto"/>
                <w:spacing w:val="-51"/>
                <w:highlight w:val="none"/>
              </w:rPr>
              <w:t xml:space="preserve"> </w:t>
            </w:r>
            <w:r>
              <w:rPr>
                <w:color w:val="auto"/>
                <w:spacing w:val="21"/>
                <w:highlight w:val="none"/>
              </w:rPr>
              <w:t>，酌情加</w:t>
            </w:r>
            <w:r>
              <w:rPr>
                <w:color w:val="auto"/>
                <w:spacing w:val="-1"/>
                <w:highlight w:val="none"/>
                <w:u w:val="single"/>
              </w:rPr>
              <w:t>0-</w:t>
            </w:r>
            <w:r>
              <w:rPr>
                <w:color w:val="auto"/>
                <w:spacing w:val="27"/>
                <w:highlight w:val="none"/>
                <w:u w:val="single"/>
              </w:rPr>
              <w:t xml:space="preserve"> </w:t>
            </w:r>
            <w:r>
              <w:rPr>
                <w:color w:val="auto"/>
                <w:spacing w:val="-1"/>
                <w:highlight w:val="none"/>
                <w:u w:val="single"/>
              </w:rPr>
              <w:t>1.2</w:t>
            </w:r>
            <w:r>
              <w:rPr>
                <w:color w:val="auto"/>
                <w:spacing w:val="-38"/>
                <w:highlight w:val="none"/>
                <w:u w:val="single"/>
              </w:rPr>
              <w:t xml:space="preserve"> </w:t>
            </w:r>
            <w:r>
              <w:rPr>
                <w:color w:val="auto"/>
                <w:spacing w:val="-1"/>
                <w:highlight w:val="none"/>
              </w:rPr>
              <w:t>分。</w:t>
            </w:r>
          </w:p>
        </w:tc>
      </w:tr>
      <w:tr w14:paraId="11C607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87" w:hRule="atLeast"/>
        </w:trPr>
        <w:tc>
          <w:tcPr>
            <w:tcW w:w="927" w:type="dxa"/>
            <w:vMerge w:val="continue"/>
            <w:tcBorders>
              <w:top w:val="nil"/>
            </w:tcBorders>
            <w:vAlign w:val="top"/>
          </w:tcPr>
          <w:p w14:paraId="71FE8AE3">
            <w:pPr>
              <w:rPr>
                <w:rFonts w:ascii="Arial"/>
                <w:color w:val="auto"/>
                <w:sz w:val="21"/>
                <w:highlight w:val="none"/>
              </w:rPr>
            </w:pPr>
          </w:p>
        </w:tc>
        <w:tc>
          <w:tcPr>
            <w:tcW w:w="1172" w:type="dxa"/>
            <w:vMerge w:val="continue"/>
            <w:tcBorders>
              <w:top w:val="nil"/>
            </w:tcBorders>
            <w:vAlign w:val="top"/>
          </w:tcPr>
          <w:p w14:paraId="30C51625">
            <w:pPr>
              <w:rPr>
                <w:rFonts w:ascii="Arial"/>
                <w:color w:val="auto"/>
                <w:sz w:val="21"/>
                <w:highlight w:val="none"/>
              </w:rPr>
            </w:pPr>
          </w:p>
        </w:tc>
        <w:tc>
          <w:tcPr>
            <w:tcW w:w="919" w:type="dxa"/>
            <w:vMerge w:val="continue"/>
            <w:tcBorders>
              <w:top w:val="nil"/>
            </w:tcBorders>
            <w:vAlign w:val="top"/>
          </w:tcPr>
          <w:p w14:paraId="6065BA9E">
            <w:pPr>
              <w:rPr>
                <w:rFonts w:ascii="Arial"/>
                <w:color w:val="auto"/>
                <w:sz w:val="21"/>
                <w:highlight w:val="none"/>
              </w:rPr>
            </w:pPr>
          </w:p>
        </w:tc>
        <w:tc>
          <w:tcPr>
            <w:tcW w:w="946" w:type="dxa"/>
            <w:vMerge w:val="continue"/>
            <w:tcBorders>
              <w:top w:val="nil"/>
            </w:tcBorders>
            <w:vAlign w:val="top"/>
          </w:tcPr>
          <w:p w14:paraId="7790DDE8">
            <w:pPr>
              <w:rPr>
                <w:rFonts w:ascii="Arial"/>
                <w:color w:val="auto"/>
                <w:sz w:val="21"/>
                <w:highlight w:val="none"/>
              </w:rPr>
            </w:pPr>
          </w:p>
        </w:tc>
        <w:tc>
          <w:tcPr>
            <w:tcW w:w="600" w:type="dxa"/>
            <w:vMerge w:val="continue"/>
            <w:tcBorders>
              <w:top w:val="nil"/>
            </w:tcBorders>
            <w:vAlign w:val="top"/>
          </w:tcPr>
          <w:p w14:paraId="34DD1930">
            <w:pPr>
              <w:rPr>
                <w:rFonts w:ascii="Arial"/>
                <w:color w:val="auto"/>
                <w:sz w:val="21"/>
                <w:highlight w:val="none"/>
              </w:rPr>
            </w:pPr>
          </w:p>
        </w:tc>
        <w:tc>
          <w:tcPr>
            <w:tcW w:w="1181" w:type="dxa"/>
            <w:vAlign w:val="top"/>
          </w:tcPr>
          <w:p w14:paraId="36439EED">
            <w:pPr>
              <w:spacing w:line="323" w:lineRule="auto"/>
              <w:rPr>
                <w:rFonts w:ascii="Arial"/>
                <w:color w:val="auto"/>
                <w:sz w:val="21"/>
                <w:highlight w:val="none"/>
              </w:rPr>
            </w:pPr>
          </w:p>
          <w:p w14:paraId="0C447B57">
            <w:pPr>
              <w:spacing w:line="323" w:lineRule="auto"/>
              <w:rPr>
                <w:rFonts w:ascii="Arial"/>
                <w:color w:val="auto"/>
                <w:sz w:val="21"/>
                <w:highlight w:val="none"/>
              </w:rPr>
            </w:pPr>
          </w:p>
          <w:p w14:paraId="15866A62">
            <w:pPr>
              <w:pStyle w:val="18"/>
              <w:spacing w:before="65" w:line="352" w:lineRule="auto"/>
              <w:ind w:left="175" w:right="170" w:hanging="1"/>
              <w:jc w:val="both"/>
              <w:rPr>
                <w:color w:val="auto"/>
                <w:highlight w:val="none"/>
              </w:rPr>
            </w:pPr>
            <w:r>
              <w:rPr>
                <w:color w:val="auto"/>
                <w:spacing w:val="7"/>
                <w:highlight w:val="none"/>
              </w:rPr>
              <w:t>施工环境保护管理</w:t>
            </w:r>
            <w:r>
              <w:rPr>
                <w:color w:val="auto"/>
                <w:spacing w:val="12"/>
                <w:highlight w:val="none"/>
              </w:rPr>
              <w:t>（</w:t>
            </w:r>
            <w:r>
              <w:rPr>
                <w:color w:val="auto"/>
                <w:spacing w:val="-56"/>
                <w:highlight w:val="none"/>
              </w:rPr>
              <w:t xml:space="preserve"> </w:t>
            </w:r>
            <w:r>
              <w:rPr>
                <w:color w:val="auto"/>
                <w:spacing w:val="12"/>
                <w:highlight w:val="none"/>
                <w:u w:val="single" w:color="auto"/>
              </w:rPr>
              <w:t>2</w:t>
            </w:r>
            <w:r>
              <w:rPr>
                <w:color w:val="auto"/>
                <w:spacing w:val="12"/>
                <w:highlight w:val="none"/>
              </w:rPr>
              <w:t>分）</w:t>
            </w:r>
          </w:p>
        </w:tc>
        <w:tc>
          <w:tcPr>
            <w:tcW w:w="3150" w:type="dxa"/>
            <w:vAlign w:val="top"/>
          </w:tcPr>
          <w:p w14:paraId="7759A8C6">
            <w:pPr>
              <w:pStyle w:val="18"/>
              <w:spacing w:before="145" w:line="328" w:lineRule="auto"/>
              <w:ind w:left="115" w:right="107"/>
              <w:jc w:val="both"/>
              <w:rPr>
                <w:color w:val="auto"/>
                <w:highlight w:val="none"/>
              </w:rPr>
            </w:pPr>
            <w:r>
              <w:rPr>
                <w:color w:val="auto"/>
                <w:spacing w:val="21"/>
                <w:highlight w:val="none"/>
              </w:rPr>
              <w:t>有环保监理措施</w:t>
            </w:r>
            <w:r>
              <w:rPr>
                <w:color w:val="auto"/>
                <w:spacing w:val="-53"/>
                <w:highlight w:val="none"/>
              </w:rPr>
              <w:t xml:space="preserve"> </w:t>
            </w:r>
            <w:r>
              <w:rPr>
                <w:color w:val="auto"/>
                <w:spacing w:val="21"/>
                <w:highlight w:val="none"/>
              </w:rPr>
              <w:t>，且完全响应</w:t>
            </w:r>
            <w:r>
              <w:rPr>
                <w:color w:val="auto"/>
                <w:spacing w:val="24"/>
                <w:highlight w:val="none"/>
              </w:rPr>
              <w:t>广东省施工标准化和安全标准</w:t>
            </w:r>
            <w:r>
              <w:rPr>
                <w:color w:val="auto"/>
                <w:spacing w:val="13"/>
                <w:highlight w:val="none"/>
              </w:rPr>
              <w:t xml:space="preserve">化指南的得 </w:t>
            </w:r>
            <w:r>
              <w:rPr>
                <w:color w:val="auto"/>
                <w:spacing w:val="13"/>
                <w:highlight w:val="none"/>
                <w:u w:val="single" w:color="auto"/>
              </w:rPr>
              <w:t>1.2</w:t>
            </w:r>
            <w:r>
              <w:rPr>
                <w:color w:val="auto"/>
                <w:spacing w:val="-19"/>
                <w:highlight w:val="none"/>
                <w:u w:val="single" w:color="auto"/>
              </w:rPr>
              <w:t xml:space="preserve"> </w:t>
            </w:r>
            <w:r>
              <w:rPr>
                <w:color w:val="auto"/>
                <w:spacing w:val="13"/>
                <w:highlight w:val="none"/>
              </w:rPr>
              <w:t>分</w:t>
            </w:r>
            <w:r>
              <w:rPr>
                <w:color w:val="auto"/>
                <w:spacing w:val="-55"/>
                <w:highlight w:val="none"/>
              </w:rPr>
              <w:t xml:space="preserve"> </w:t>
            </w:r>
            <w:r>
              <w:rPr>
                <w:color w:val="auto"/>
                <w:spacing w:val="13"/>
                <w:highlight w:val="none"/>
              </w:rPr>
              <w:t>；环保监理</w:t>
            </w:r>
            <w:r>
              <w:rPr>
                <w:color w:val="auto"/>
                <w:spacing w:val="18"/>
                <w:highlight w:val="none"/>
              </w:rPr>
              <w:t>措施和方法具体且有效的</w:t>
            </w:r>
            <w:r>
              <w:rPr>
                <w:color w:val="auto"/>
                <w:spacing w:val="-57"/>
                <w:highlight w:val="none"/>
              </w:rPr>
              <w:t xml:space="preserve"> </w:t>
            </w:r>
            <w:r>
              <w:rPr>
                <w:color w:val="auto"/>
                <w:spacing w:val="18"/>
                <w:highlight w:val="none"/>
              </w:rPr>
              <w:t>，</w:t>
            </w:r>
            <w:r>
              <w:rPr>
                <w:color w:val="auto"/>
                <w:spacing w:val="-56"/>
                <w:highlight w:val="none"/>
              </w:rPr>
              <w:t xml:space="preserve"> </w:t>
            </w:r>
            <w:r>
              <w:rPr>
                <w:color w:val="auto"/>
                <w:spacing w:val="18"/>
                <w:highlight w:val="none"/>
              </w:rPr>
              <w:t>响</w:t>
            </w:r>
            <w:r>
              <w:rPr>
                <w:color w:val="auto"/>
                <w:spacing w:val="24"/>
                <w:highlight w:val="none"/>
              </w:rPr>
              <w:t>应广东省施工标准化和安全标</w:t>
            </w:r>
            <w:r>
              <w:rPr>
                <w:color w:val="auto"/>
                <w:spacing w:val="15"/>
                <w:highlight w:val="none"/>
              </w:rPr>
              <w:t>准化指南程度</w:t>
            </w:r>
            <w:r>
              <w:rPr>
                <w:color w:val="auto"/>
                <w:spacing w:val="-38"/>
                <w:highlight w:val="none"/>
              </w:rPr>
              <w:t xml:space="preserve"> </w:t>
            </w:r>
            <w:r>
              <w:rPr>
                <w:color w:val="auto"/>
                <w:spacing w:val="15"/>
                <w:highlight w:val="none"/>
              </w:rPr>
              <w:t>，</w:t>
            </w:r>
            <w:r>
              <w:rPr>
                <w:color w:val="auto"/>
                <w:spacing w:val="-56"/>
                <w:highlight w:val="none"/>
              </w:rPr>
              <w:t xml:space="preserve"> </w:t>
            </w:r>
            <w:r>
              <w:rPr>
                <w:color w:val="auto"/>
                <w:spacing w:val="15"/>
                <w:highlight w:val="none"/>
              </w:rPr>
              <w:t>酌情加</w:t>
            </w:r>
            <w:r>
              <w:rPr>
                <w:color w:val="auto"/>
                <w:spacing w:val="-11"/>
                <w:highlight w:val="none"/>
              </w:rPr>
              <w:t xml:space="preserve"> </w:t>
            </w:r>
            <w:r>
              <w:rPr>
                <w:color w:val="auto"/>
                <w:spacing w:val="15"/>
                <w:highlight w:val="none"/>
                <w:u w:val="single" w:color="auto"/>
              </w:rPr>
              <w:t>0-0.8</w:t>
            </w:r>
          </w:p>
        </w:tc>
      </w:tr>
    </w:tbl>
    <w:p w14:paraId="600E3FF1">
      <w:pPr>
        <w:spacing w:line="228" w:lineRule="auto"/>
        <w:rPr>
          <w:rFonts w:ascii="宋体" w:hAnsi="宋体" w:eastAsia="宋体" w:cs="宋体"/>
          <w:color w:val="auto"/>
          <w:sz w:val="18"/>
          <w:szCs w:val="18"/>
          <w:highlight w:val="none"/>
        </w:rPr>
        <w:sectPr>
          <w:footerReference r:id="rId44" w:type="default"/>
          <w:pgSz w:w="11906" w:h="16839"/>
          <w:pgMar w:top="1406" w:right="1422" w:bottom="1297" w:left="1304" w:header="0" w:footer="1067" w:gutter="0"/>
          <w:pgNumType w:fmt="decimal"/>
          <w:cols w:space="720" w:num="1"/>
        </w:sectPr>
      </w:pPr>
    </w:p>
    <w:tbl>
      <w:tblPr>
        <w:tblStyle w:val="17"/>
        <w:tblW w:w="889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7"/>
        <w:gridCol w:w="1172"/>
        <w:gridCol w:w="919"/>
        <w:gridCol w:w="946"/>
        <w:gridCol w:w="600"/>
        <w:gridCol w:w="1181"/>
        <w:gridCol w:w="3150"/>
      </w:tblGrid>
      <w:tr w14:paraId="1AFCAD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 w:hRule="atLeast"/>
        </w:trPr>
        <w:tc>
          <w:tcPr>
            <w:tcW w:w="4564" w:type="dxa"/>
            <w:gridSpan w:val="5"/>
            <w:vAlign w:val="top"/>
          </w:tcPr>
          <w:p w14:paraId="32C35A6F">
            <w:pPr>
              <w:pStyle w:val="18"/>
              <w:spacing w:before="127" w:line="233" w:lineRule="auto"/>
              <w:ind w:left="1287"/>
              <w:rPr>
                <w:color w:val="auto"/>
                <w:sz w:val="10"/>
                <w:szCs w:val="10"/>
                <w:highlight w:val="none"/>
              </w:rPr>
            </w:pPr>
            <w:r>
              <w:rPr>
                <w:b/>
                <w:bCs/>
                <w:color w:val="auto"/>
                <w:spacing w:val="7"/>
                <w:highlight w:val="none"/>
              </w:rPr>
              <w:t>评分因素与权重分值</w:t>
            </w:r>
          </w:p>
        </w:tc>
        <w:tc>
          <w:tcPr>
            <w:tcW w:w="4331" w:type="dxa"/>
            <w:gridSpan w:val="2"/>
            <w:vMerge w:val="restart"/>
            <w:tcBorders>
              <w:bottom w:val="nil"/>
            </w:tcBorders>
            <w:vAlign w:val="top"/>
          </w:tcPr>
          <w:p w14:paraId="6F65C30C">
            <w:pPr>
              <w:spacing w:line="315" w:lineRule="auto"/>
              <w:rPr>
                <w:rFonts w:ascii="Arial"/>
                <w:color w:val="auto"/>
                <w:sz w:val="21"/>
                <w:highlight w:val="none"/>
              </w:rPr>
            </w:pPr>
          </w:p>
          <w:p w14:paraId="3B29A230">
            <w:pPr>
              <w:spacing w:line="316" w:lineRule="auto"/>
              <w:rPr>
                <w:rFonts w:ascii="Arial"/>
                <w:color w:val="auto"/>
                <w:sz w:val="21"/>
                <w:highlight w:val="none"/>
              </w:rPr>
            </w:pPr>
          </w:p>
          <w:p w14:paraId="365FEBF5">
            <w:pPr>
              <w:pStyle w:val="18"/>
              <w:spacing w:before="65" w:line="267" w:lineRule="exact"/>
              <w:ind w:left="1694"/>
              <w:rPr>
                <w:color w:val="auto"/>
                <w:sz w:val="10"/>
                <w:szCs w:val="10"/>
                <w:highlight w:val="none"/>
              </w:rPr>
            </w:pPr>
            <w:r>
              <w:rPr>
                <w:b/>
                <w:bCs/>
                <w:color w:val="auto"/>
                <w:spacing w:val="6"/>
                <w:highlight w:val="none"/>
              </w:rPr>
              <w:t>评分标准</w:t>
            </w:r>
          </w:p>
        </w:tc>
      </w:tr>
      <w:tr w14:paraId="0FD164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4" w:hRule="atLeast"/>
        </w:trPr>
        <w:tc>
          <w:tcPr>
            <w:tcW w:w="927" w:type="dxa"/>
            <w:vAlign w:val="top"/>
          </w:tcPr>
          <w:p w14:paraId="4C6C25D5">
            <w:pPr>
              <w:spacing w:line="451" w:lineRule="auto"/>
              <w:rPr>
                <w:rFonts w:ascii="Arial"/>
                <w:color w:val="auto"/>
                <w:sz w:val="21"/>
                <w:highlight w:val="none"/>
              </w:rPr>
            </w:pPr>
          </w:p>
          <w:p w14:paraId="71CC6D65">
            <w:pPr>
              <w:pStyle w:val="18"/>
              <w:spacing w:before="65" w:line="228" w:lineRule="auto"/>
              <w:ind w:left="155"/>
              <w:rPr>
                <w:color w:val="auto"/>
                <w:highlight w:val="none"/>
              </w:rPr>
            </w:pPr>
            <w:r>
              <w:rPr>
                <w:b/>
                <w:bCs/>
                <w:color w:val="auto"/>
                <w:spacing w:val="5"/>
                <w:highlight w:val="none"/>
              </w:rPr>
              <w:t>条款号</w:t>
            </w:r>
          </w:p>
        </w:tc>
        <w:tc>
          <w:tcPr>
            <w:tcW w:w="1172" w:type="dxa"/>
            <w:vAlign w:val="top"/>
          </w:tcPr>
          <w:p w14:paraId="1382ECE7">
            <w:pPr>
              <w:spacing w:line="451" w:lineRule="auto"/>
              <w:rPr>
                <w:rFonts w:ascii="Arial"/>
                <w:color w:val="auto"/>
                <w:sz w:val="21"/>
                <w:highlight w:val="none"/>
              </w:rPr>
            </w:pPr>
          </w:p>
          <w:p w14:paraId="6E46AB4C">
            <w:pPr>
              <w:pStyle w:val="18"/>
              <w:spacing w:before="65" w:line="228" w:lineRule="auto"/>
              <w:ind w:left="168"/>
              <w:rPr>
                <w:color w:val="auto"/>
                <w:highlight w:val="none"/>
              </w:rPr>
            </w:pPr>
            <w:r>
              <w:rPr>
                <w:b/>
                <w:bCs/>
                <w:color w:val="auto"/>
                <w:spacing w:val="6"/>
                <w:highlight w:val="none"/>
              </w:rPr>
              <w:t>评分因素</w:t>
            </w:r>
          </w:p>
        </w:tc>
        <w:tc>
          <w:tcPr>
            <w:tcW w:w="919" w:type="dxa"/>
            <w:vAlign w:val="top"/>
          </w:tcPr>
          <w:p w14:paraId="6D612765">
            <w:pPr>
              <w:spacing w:line="264" w:lineRule="auto"/>
              <w:rPr>
                <w:rFonts w:ascii="Arial"/>
                <w:color w:val="auto"/>
                <w:sz w:val="21"/>
                <w:highlight w:val="none"/>
              </w:rPr>
            </w:pPr>
          </w:p>
          <w:p w14:paraId="7DDA1BA3">
            <w:pPr>
              <w:pStyle w:val="18"/>
              <w:spacing w:before="65" w:line="351" w:lineRule="auto"/>
              <w:ind w:left="43" w:right="35"/>
              <w:rPr>
                <w:color w:val="auto"/>
                <w:highlight w:val="none"/>
              </w:rPr>
            </w:pPr>
            <w:r>
              <w:rPr>
                <w:b/>
                <w:bCs/>
                <w:color w:val="auto"/>
                <w:spacing w:val="6"/>
                <w:highlight w:val="none"/>
              </w:rPr>
              <w:t>评分因素权重分值</w:t>
            </w:r>
          </w:p>
        </w:tc>
        <w:tc>
          <w:tcPr>
            <w:tcW w:w="946" w:type="dxa"/>
            <w:vAlign w:val="top"/>
          </w:tcPr>
          <w:p w14:paraId="3ADB96E9">
            <w:pPr>
              <w:pStyle w:val="18"/>
              <w:spacing w:before="140" w:line="228" w:lineRule="auto"/>
              <w:ind w:left="164"/>
              <w:rPr>
                <w:color w:val="auto"/>
                <w:highlight w:val="none"/>
              </w:rPr>
            </w:pPr>
            <w:r>
              <w:rPr>
                <w:b/>
                <w:bCs/>
                <w:color w:val="auto"/>
                <w:spacing w:val="4"/>
                <w:highlight w:val="none"/>
              </w:rPr>
              <w:t>各评分</w:t>
            </w:r>
          </w:p>
          <w:p w14:paraId="3014FBBA">
            <w:pPr>
              <w:pStyle w:val="18"/>
              <w:spacing w:before="130" w:line="284" w:lineRule="auto"/>
              <w:ind w:left="269" w:right="156" w:hanging="91"/>
              <w:rPr>
                <w:color w:val="auto"/>
                <w:highlight w:val="none"/>
              </w:rPr>
            </w:pPr>
            <w:r>
              <w:rPr>
                <w:b/>
                <w:bCs/>
                <w:color w:val="auto"/>
                <w:highlight w:val="none"/>
              </w:rPr>
              <w:t>因素细</w:t>
            </w:r>
            <w:r>
              <w:rPr>
                <w:b/>
                <w:bCs/>
                <w:color w:val="auto"/>
                <w:spacing w:val="2"/>
                <w:highlight w:val="none"/>
              </w:rPr>
              <w:t>分项</w:t>
            </w:r>
          </w:p>
        </w:tc>
        <w:tc>
          <w:tcPr>
            <w:tcW w:w="600" w:type="dxa"/>
            <w:textDirection w:val="tbRlV"/>
            <w:vAlign w:val="top"/>
          </w:tcPr>
          <w:p w14:paraId="3F3BCD12">
            <w:pPr>
              <w:pStyle w:val="18"/>
              <w:spacing w:before="193" w:line="216" w:lineRule="auto"/>
              <w:ind w:left="330"/>
              <w:rPr>
                <w:color w:val="auto"/>
                <w:highlight w:val="none"/>
              </w:rPr>
            </w:pPr>
            <w:r>
              <w:rPr>
                <w:b/>
                <w:bCs/>
                <w:color w:val="auto"/>
                <w:spacing w:val="6"/>
                <w:highlight w:val="none"/>
              </w:rPr>
              <w:t>分</w:t>
            </w:r>
            <w:r>
              <w:rPr>
                <w:color w:val="auto"/>
                <w:spacing w:val="70"/>
                <w:highlight w:val="none"/>
              </w:rPr>
              <w:t xml:space="preserve"> </w:t>
            </w:r>
            <w:r>
              <w:rPr>
                <w:b/>
                <w:bCs/>
                <w:color w:val="auto"/>
                <w:spacing w:val="6"/>
                <w:highlight w:val="none"/>
              </w:rPr>
              <w:t>值</w:t>
            </w:r>
          </w:p>
        </w:tc>
        <w:tc>
          <w:tcPr>
            <w:tcW w:w="4331" w:type="dxa"/>
            <w:gridSpan w:val="2"/>
            <w:vMerge w:val="continue"/>
            <w:tcBorders>
              <w:top w:val="nil"/>
            </w:tcBorders>
            <w:vAlign w:val="top"/>
          </w:tcPr>
          <w:p w14:paraId="37280CB2">
            <w:pPr>
              <w:rPr>
                <w:rFonts w:ascii="Arial"/>
                <w:color w:val="auto"/>
                <w:sz w:val="21"/>
                <w:highlight w:val="none"/>
              </w:rPr>
            </w:pPr>
          </w:p>
        </w:tc>
      </w:tr>
      <w:tr w14:paraId="2BCFA5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trPr>
        <w:tc>
          <w:tcPr>
            <w:tcW w:w="927" w:type="dxa"/>
            <w:vMerge w:val="restart"/>
            <w:tcBorders>
              <w:bottom w:val="nil"/>
            </w:tcBorders>
            <w:vAlign w:val="top"/>
          </w:tcPr>
          <w:p w14:paraId="707FAD37">
            <w:pPr>
              <w:rPr>
                <w:rFonts w:ascii="Arial"/>
                <w:color w:val="auto"/>
                <w:sz w:val="21"/>
                <w:highlight w:val="none"/>
              </w:rPr>
            </w:pPr>
          </w:p>
        </w:tc>
        <w:tc>
          <w:tcPr>
            <w:tcW w:w="1172" w:type="dxa"/>
            <w:vMerge w:val="restart"/>
            <w:tcBorders>
              <w:bottom w:val="nil"/>
            </w:tcBorders>
            <w:vAlign w:val="top"/>
          </w:tcPr>
          <w:p w14:paraId="5BA4F153">
            <w:pPr>
              <w:rPr>
                <w:rFonts w:ascii="Arial"/>
                <w:color w:val="auto"/>
                <w:sz w:val="21"/>
                <w:highlight w:val="none"/>
              </w:rPr>
            </w:pPr>
          </w:p>
        </w:tc>
        <w:tc>
          <w:tcPr>
            <w:tcW w:w="919" w:type="dxa"/>
            <w:vMerge w:val="restart"/>
            <w:tcBorders>
              <w:bottom w:val="nil"/>
            </w:tcBorders>
            <w:vAlign w:val="top"/>
          </w:tcPr>
          <w:p w14:paraId="7F6D9C9E">
            <w:pPr>
              <w:rPr>
                <w:rFonts w:ascii="Arial"/>
                <w:color w:val="auto"/>
                <w:sz w:val="21"/>
                <w:highlight w:val="none"/>
              </w:rPr>
            </w:pPr>
          </w:p>
        </w:tc>
        <w:tc>
          <w:tcPr>
            <w:tcW w:w="946" w:type="dxa"/>
            <w:vAlign w:val="top"/>
          </w:tcPr>
          <w:p w14:paraId="5AE9A37A">
            <w:pPr>
              <w:rPr>
                <w:rFonts w:ascii="Arial"/>
                <w:color w:val="auto"/>
                <w:sz w:val="21"/>
                <w:highlight w:val="none"/>
              </w:rPr>
            </w:pPr>
          </w:p>
        </w:tc>
        <w:tc>
          <w:tcPr>
            <w:tcW w:w="600" w:type="dxa"/>
            <w:vAlign w:val="top"/>
          </w:tcPr>
          <w:p w14:paraId="2499FA55">
            <w:pPr>
              <w:rPr>
                <w:rFonts w:ascii="Arial"/>
                <w:color w:val="auto"/>
                <w:sz w:val="21"/>
                <w:highlight w:val="none"/>
              </w:rPr>
            </w:pPr>
          </w:p>
        </w:tc>
        <w:tc>
          <w:tcPr>
            <w:tcW w:w="1181" w:type="dxa"/>
            <w:vAlign w:val="top"/>
          </w:tcPr>
          <w:p w14:paraId="7DE42388">
            <w:pPr>
              <w:rPr>
                <w:rFonts w:ascii="Arial"/>
                <w:color w:val="auto"/>
                <w:sz w:val="21"/>
                <w:highlight w:val="none"/>
              </w:rPr>
            </w:pPr>
          </w:p>
        </w:tc>
        <w:tc>
          <w:tcPr>
            <w:tcW w:w="3150" w:type="dxa"/>
            <w:vAlign w:val="top"/>
          </w:tcPr>
          <w:p w14:paraId="22C19FB3">
            <w:pPr>
              <w:pStyle w:val="18"/>
              <w:spacing w:before="141" w:line="216" w:lineRule="auto"/>
              <w:ind w:left="118"/>
              <w:rPr>
                <w:color w:val="auto"/>
                <w:highlight w:val="none"/>
              </w:rPr>
            </w:pPr>
            <w:r>
              <w:rPr>
                <w:color w:val="auto"/>
                <w:spacing w:val="-1"/>
                <w:highlight w:val="none"/>
              </w:rPr>
              <w:t>分。</w:t>
            </w:r>
          </w:p>
        </w:tc>
      </w:tr>
      <w:tr w14:paraId="1B7496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4" w:hRule="atLeast"/>
        </w:trPr>
        <w:tc>
          <w:tcPr>
            <w:tcW w:w="927" w:type="dxa"/>
            <w:vMerge w:val="continue"/>
            <w:tcBorders>
              <w:top w:val="nil"/>
              <w:bottom w:val="nil"/>
            </w:tcBorders>
            <w:vAlign w:val="top"/>
          </w:tcPr>
          <w:p w14:paraId="67C8729F">
            <w:pPr>
              <w:rPr>
                <w:rFonts w:ascii="Arial"/>
                <w:color w:val="auto"/>
                <w:sz w:val="21"/>
                <w:highlight w:val="none"/>
              </w:rPr>
            </w:pPr>
          </w:p>
        </w:tc>
        <w:tc>
          <w:tcPr>
            <w:tcW w:w="1172" w:type="dxa"/>
            <w:vMerge w:val="continue"/>
            <w:tcBorders>
              <w:top w:val="nil"/>
              <w:bottom w:val="nil"/>
            </w:tcBorders>
            <w:vAlign w:val="top"/>
          </w:tcPr>
          <w:p w14:paraId="3A950EDF">
            <w:pPr>
              <w:rPr>
                <w:rFonts w:ascii="Arial"/>
                <w:color w:val="auto"/>
                <w:sz w:val="21"/>
                <w:highlight w:val="none"/>
              </w:rPr>
            </w:pPr>
          </w:p>
        </w:tc>
        <w:tc>
          <w:tcPr>
            <w:tcW w:w="919" w:type="dxa"/>
            <w:vMerge w:val="continue"/>
            <w:tcBorders>
              <w:top w:val="nil"/>
              <w:bottom w:val="nil"/>
            </w:tcBorders>
            <w:vAlign w:val="top"/>
          </w:tcPr>
          <w:p w14:paraId="30780C34">
            <w:pPr>
              <w:rPr>
                <w:rFonts w:ascii="Arial"/>
                <w:color w:val="auto"/>
                <w:sz w:val="21"/>
                <w:highlight w:val="none"/>
              </w:rPr>
            </w:pPr>
          </w:p>
        </w:tc>
        <w:tc>
          <w:tcPr>
            <w:tcW w:w="946" w:type="dxa"/>
            <w:vAlign w:val="top"/>
          </w:tcPr>
          <w:p w14:paraId="7F4FA9D1">
            <w:pPr>
              <w:pStyle w:val="18"/>
              <w:spacing w:before="139" w:line="227" w:lineRule="auto"/>
              <w:ind w:left="162"/>
              <w:rPr>
                <w:color w:val="auto"/>
                <w:highlight w:val="none"/>
              </w:rPr>
            </w:pPr>
            <w:r>
              <w:rPr>
                <w:color w:val="auto"/>
                <w:spacing w:val="6"/>
                <w:highlight w:val="none"/>
              </w:rPr>
              <w:t>本工程</w:t>
            </w:r>
          </w:p>
          <w:p w14:paraId="69036229">
            <w:pPr>
              <w:pStyle w:val="18"/>
              <w:spacing w:before="136" w:line="236" w:lineRule="auto"/>
              <w:ind w:left="162"/>
              <w:rPr>
                <w:color w:val="auto"/>
                <w:highlight w:val="none"/>
              </w:rPr>
            </w:pPr>
            <w:r>
              <w:rPr>
                <w:color w:val="auto"/>
                <w:spacing w:val="6"/>
                <w:highlight w:val="none"/>
              </w:rPr>
              <w:t>监理工</w:t>
            </w:r>
          </w:p>
          <w:p w14:paraId="695633A3">
            <w:pPr>
              <w:pStyle w:val="18"/>
              <w:spacing w:before="123" w:line="228" w:lineRule="auto"/>
              <w:ind w:left="162"/>
              <w:rPr>
                <w:color w:val="auto"/>
                <w:highlight w:val="none"/>
              </w:rPr>
            </w:pPr>
            <w:r>
              <w:rPr>
                <w:color w:val="auto"/>
                <w:spacing w:val="6"/>
                <w:highlight w:val="none"/>
              </w:rPr>
              <w:t>作的重</w:t>
            </w:r>
          </w:p>
          <w:p w14:paraId="5A18A5BE">
            <w:pPr>
              <w:pStyle w:val="18"/>
              <w:spacing w:before="131" w:line="229" w:lineRule="auto"/>
              <w:ind w:left="172"/>
              <w:rPr>
                <w:color w:val="auto"/>
                <w:highlight w:val="none"/>
              </w:rPr>
            </w:pPr>
            <w:r>
              <w:rPr>
                <w:color w:val="auto"/>
                <w:spacing w:val="3"/>
                <w:highlight w:val="none"/>
              </w:rPr>
              <w:t>点与难</w:t>
            </w:r>
          </w:p>
          <w:p w14:paraId="5C16B10B">
            <w:pPr>
              <w:pStyle w:val="18"/>
              <w:spacing w:before="133" w:line="215" w:lineRule="auto"/>
              <w:ind w:left="172"/>
              <w:rPr>
                <w:color w:val="auto"/>
                <w:highlight w:val="none"/>
              </w:rPr>
            </w:pPr>
            <w:r>
              <w:rPr>
                <w:color w:val="auto"/>
                <w:spacing w:val="3"/>
                <w:highlight w:val="none"/>
              </w:rPr>
              <w:t>点分析</w:t>
            </w:r>
          </w:p>
        </w:tc>
        <w:tc>
          <w:tcPr>
            <w:tcW w:w="600" w:type="dxa"/>
            <w:vAlign w:val="top"/>
          </w:tcPr>
          <w:p w14:paraId="34009FC3">
            <w:pPr>
              <w:spacing w:line="320" w:lineRule="auto"/>
              <w:rPr>
                <w:rFonts w:ascii="Arial"/>
                <w:color w:val="auto"/>
                <w:sz w:val="21"/>
                <w:highlight w:val="none"/>
              </w:rPr>
            </w:pPr>
          </w:p>
          <w:p w14:paraId="757A1F6E">
            <w:pPr>
              <w:spacing w:line="321" w:lineRule="auto"/>
              <w:rPr>
                <w:rFonts w:ascii="Arial"/>
                <w:color w:val="auto"/>
                <w:sz w:val="21"/>
                <w:highlight w:val="none"/>
              </w:rPr>
            </w:pPr>
          </w:p>
          <w:p w14:paraId="09D0E586">
            <w:pPr>
              <w:pStyle w:val="18"/>
              <w:spacing w:before="65" w:line="352" w:lineRule="auto"/>
              <w:ind w:left="202" w:right="193" w:firstLine="12"/>
              <w:rPr>
                <w:color w:val="auto"/>
                <w:highlight w:val="none"/>
              </w:rPr>
            </w:pPr>
            <w:r>
              <w:rPr>
                <w:color w:val="auto"/>
                <w:spacing w:val="-7"/>
                <w:highlight w:val="none"/>
                <w:u w:val="single" w:color="auto"/>
              </w:rPr>
              <w:t>10</w:t>
            </w:r>
            <w:r>
              <w:rPr>
                <w:color w:val="auto"/>
                <w:spacing w:val="-2"/>
                <w:highlight w:val="none"/>
              </w:rPr>
              <w:t>分</w:t>
            </w:r>
          </w:p>
        </w:tc>
        <w:tc>
          <w:tcPr>
            <w:tcW w:w="4331" w:type="dxa"/>
            <w:gridSpan w:val="2"/>
            <w:vAlign w:val="top"/>
          </w:tcPr>
          <w:p w14:paraId="5CA0E517">
            <w:pPr>
              <w:spacing w:line="243" w:lineRule="auto"/>
              <w:rPr>
                <w:rFonts w:ascii="Arial"/>
                <w:color w:val="auto"/>
                <w:sz w:val="21"/>
                <w:highlight w:val="none"/>
              </w:rPr>
            </w:pPr>
          </w:p>
          <w:p w14:paraId="0034AC1A">
            <w:pPr>
              <w:spacing w:line="244" w:lineRule="auto"/>
              <w:rPr>
                <w:rFonts w:ascii="Arial"/>
                <w:color w:val="auto"/>
                <w:sz w:val="21"/>
                <w:highlight w:val="none"/>
              </w:rPr>
            </w:pPr>
          </w:p>
          <w:p w14:paraId="3F947836">
            <w:pPr>
              <w:pStyle w:val="18"/>
              <w:spacing w:before="65" w:line="289" w:lineRule="auto"/>
              <w:ind w:left="114" w:right="107"/>
              <w:jc w:val="both"/>
              <w:rPr>
                <w:color w:val="auto"/>
                <w:highlight w:val="none"/>
              </w:rPr>
            </w:pPr>
            <w:r>
              <w:rPr>
                <w:color w:val="auto"/>
                <w:spacing w:val="13"/>
                <w:highlight w:val="none"/>
              </w:rPr>
              <w:t>有对工程重点、难点的分析得</w:t>
            </w:r>
            <w:r>
              <w:rPr>
                <w:color w:val="auto"/>
                <w:spacing w:val="-26"/>
                <w:highlight w:val="none"/>
              </w:rPr>
              <w:t xml:space="preserve"> </w:t>
            </w:r>
            <w:r>
              <w:rPr>
                <w:color w:val="auto"/>
                <w:spacing w:val="13"/>
                <w:highlight w:val="none"/>
                <w:u w:val="single" w:color="auto"/>
              </w:rPr>
              <w:t>6.0</w:t>
            </w:r>
            <w:r>
              <w:rPr>
                <w:color w:val="auto"/>
                <w:spacing w:val="-31"/>
                <w:highlight w:val="none"/>
                <w:u w:val="single" w:color="auto"/>
              </w:rPr>
              <w:t xml:space="preserve"> </w:t>
            </w:r>
            <w:r>
              <w:rPr>
                <w:color w:val="auto"/>
                <w:spacing w:val="13"/>
                <w:highlight w:val="none"/>
              </w:rPr>
              <w:t>分；分析</w:t>
            </w:r>
            <w:r>
              <w:rPr>
                <w:color w:val="auto"/>
                <w:spacing w:val="15"/>
                <w:highlight w:val="none"/>
              </w:rPr>
              <w:t>准确，且有合理可行的应对措施的，酌情加</w:t>
            </w:r>
            <w:r>
              <w:rPr>
                <w:color w:val="auto"/>
                <w:spacing w:val="2"/>
                <w:highlight w:val="none"/>
                <w:u w:val="single" w:color="auto"/>
              </w:rPr>
              <w:t>0-4.0</w:t>
            </w:r>
            <w:r>
              <w:rPr>
                <w:color w:val="auto"/>
                <w:spacing w:val="-38"/>
                <w:highlight w:val="none"/>
                <w:u w:val="single" w:color="auto"/>
              </w:rPr>
              <w:t xml:space="preserve"> </w:t>
            </w:r>
            <w:r>
              <w:rPr>
                <w:color w:val="auto"/>
                <w:spacing w:val="2"/>
                <w:highlight w:val="none"/>
              </w:rPr>
              <w:t>分。</w:t>
            </w:r>
          </w:p>
        </w:tc>
      </w:tr>
      <w:tr w14:paraId="02F00C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927" w:type="dxa"/>
            <w:vMerge w:val="continue"/>
            <w:tcBorders>
              <w:top w:val="nil"/>
            </w:tcBorders>
            <w:vAlign w:val="top"/>
          </w:tcPr>
          <w:p w14:paraId="47DB5054">
            <w:pPr>
              <w:rPr>
                <w:rFonts w:ascii="Arial"/>
                <w:color w:val="auto"/>
                <w:sz w:val="21"/>
                <w:highlight w:val="none"/>
              </w:rPr>
            </w:pPr>
          </w:p>
        </w:tc>
        <w:tc>
          <w:tcPr>
            <w:tcW w:w="1172" w:type="dxa"/>
            <w:vMerge w:val="continue"/>
            <w:tcBorders>
              <w:top w:val="nil"/>
            </w:tcBorders>
            <w:vAlign w:val="top"/>
          </w:tcPr>
          <w:p w14:paraId="07BC30A4">
            <w:pPr>
              <w:rPr>
                <w:rFonts w:ascii="Arial"/>
                <w:color w:val="auto"/>
                <w:sz w:val="21"/>
                <w:highlight w:val="none"/>
              </w:rPr>
            </w:pPr>
          </w:p>
        </w:tc>
        <w:tc>
          <w:tcPr>
            <w:tcW w:w="919" w:type="dxa"/>
            <w:vMerge w:val="continue"/>
            <w:tcBorders>
              <w:top w:val="nil"/>
            </w:tcBorders>
            <w:vAlign w:val="top"/>
          </w:tcPr>
          <w:p w14:paraId="61A54CC0">
            <w:pPr>
              <w:rPr>
                <w:rFonts w:ascii="Arial"/>
                <w:color w:val="auto"/>
                <w:sz w:val="21"/>
                <w:highlight w:val="none"/>
              </w:rPr>
            </w:pPr>
          </w:p>
        </w:tc>
        <w:tc>
          <w:tcPr>
            <w:tcW w:w="946" w:type="dxa"/>
            <w:vAlign w:val="top"/>
          </w:tcPr>
          <w:p w14:paraId="37E46CE3">
            <w:pPr>
              <w:pStyle w:val="18"/>
              <w:spacing w:before="196" w:line="227" w:lineRule="auto"/>
              <w:ind w:left="160"/>
              <w:rPr>
                <w:color w:val="auto"/>
                <w:highlight w:val="none"/>
              </w:rPr>
            </w:pPr>
            <w:r>
              <w:rPr>
                <w:color w:val="auto"/>
                <w:spacing w:val="7"/>
                <w:highlight w:val="none"/>
              </w:rPr>
              <w:t>对本工</w:t>
            </w:r>
          </w:p>
          <w:p w14:paraId="401780AC">
            <w:pPr>
              <w:pStyle w:val="18"/>
              <w:spacing w:before="132" w:line="308" w:lineRule="auto"/>
              <w:ind w:left="373" w:right="158" w:hanging="213"/>
              <w:rPr>
                <w:color w:val="auto"/>
                <w:highlight w:val="none"/>
              </w:rPr>
            </w:pPr>
            <w:r>
              <w:rPr>
                <w:color w:val="auto"/>
                <w:spacing w:val="7"/>
                <w:highlight w:val="none"/>
              </w:rPr>
              <w:t>程的建</w:t>
            </w:r>
            <w:r>
              <w:rPr>
                <w:color w:val="auto"/>
                <w:highlight w:val="none"/>
              </w:rPr>
              <w:t>议</w:t>
            </w:r>
          </w:p>
        </w:tc>
        <w:tc>
          <w:tcPr>
            <w:tcW w:w="600" w:type="dxa"/>
            <w:vAlign w:val="top"/>
          </w:tcPr>
          <w:p w14:paraId="17D06623">
            <w:pPr>
              <w:spacing w:line="253" w:lineRule="auto"/>
              <w:rPr>
                <w:rFonts w:ascii="Arial"/>
                <w:color w:val="auto"/>
                <w:sz w:val="21"/>
                <w:highlight w:val="none"/>
              </w:rPr>
            </w:pPr>
          </w:p>
          <w:p w14:paraId="629B63CD">
            <w:pPr>
              <w:spacing w:line="254" w:lineRule="auto"/>
              <w:rPr>
                <w:rFonts w:ascii="Arial"/>
                <w:color w:val="auto"/>
                <w:sz w:val="21"/>
                <w:highlight w:val="none"/>
              </w:rPr>
            </w:pPr>
          </w:p>
          <w:p w14:paraId="6E3D5264">
            <w:pPr>
              <w:pStyle w:val="18"/>
              <w:spacing w:before="65" w:line="228" w:lineRule="auto"/>
              <w:ind w:left="134"/>
              <w:rPr>
                <w:color w:val="auto"/>
                <w:highlight w:val="none"/>
              </w:rPr>
            </w:pPr>
            <w:r>
              <w:rPr>
                <w:color w:val="auto"/>
                <w:spacing w:val="-4"/>
                <w:highlight w:val="none"/>
                <w:u w:val="single" w:color="auto"/>
              </w:rPr>
              <w:t>5</w:t>
            </w:r>
            <w:r>
              <w:rPr>
                <w:color w:val="auto"/>
                <w:spacing w:val="-38"/>
                <w:highlight w:val="none"/>
                <w:u w:val="single" w:color="auto"/>
              </w:rPr>
              <w:t xml:space="preserve"> </w:t>
            </w:r>
            <w:r>
              <w:rPr>
                <w:color w:val="auto"/>
                <w:spacing w:val="-4"/>
                <w:highlight w:val="none"/>
              </w:rPr>
              <w:t>分</w:t>
            </w:r>
          </w:p>
        </w:tc>
        <w:tc>
          <w:tcPr>
            <w:tcW w:w="4331" w:type="dxa"/>
            <w:gridSpan w:val="2"/>
            <w:vAlign w:val="top"/>
          </w:tcPr>
          <w:p w14:paraId="7890EE93">
            <w:pPr>
              <w:pStyle w:val="18"/>
              <w:spacing w:before="71" w:line="270" w:lineRule="auto"/>
              <w:ind w:left="114" w:right="108"/>
              <w:rPr>
                <w:color w:val="auto"/>
                <w:highlight w:val="none"/>
              </w:rPr>
            </w:pPr>
            <w:r>
              <w:rPr>
                <w:color w:val="auto"/>
                <w:spacing w:val="12"/>
                <w:highlight w:val="none"/>
              </w:rPr>
              <w:t>有对本工程的建议的</w:t>
            </w:r>
            <w:r>
              <w:rPr>
                <w:color w:val="auto"/>
                <w:spacing w:val="-10"/>
                <w:highlight w:val="none"/>
              </w:rPr>
              <w:t xml:space="preserve"> </w:t>
            </w:r>
            <w:r>
              <w:rPr>
                <w:color w:val="auto"/>
                <w:spacing w:val="12"/>
                <w:highlight w:val="none"/>
                <w:u w:val="single" w:color="auto"/>
              </w:rPr>
              <w:t>3.0</w:t>
            </w:r>
            <w:r>
              <w:rPr>
                <w:color w:val="auto"/>
                <w:spacing w:val="-28"/>
                <w:highlight w:val="none"/>
                <w:u w:val="single" w:color="auto"/>
              </w:rPr>
              <w:t xml:space="preserve"> </w:t>
            </w:r>
            <w:r>
              <w:rPr>
                <w:color w:val="auto"/>
                <w:spacing w:val="12"/>
                <w:highlight w:val="none"/>
              </w:rPr>
              <w:t>分；对管理模式、</w:t>
            </w:r>
            <w:r>
              <w:rPr>
                <w:color w:val="auto"/>
                <w:spacing w:val="15"/>
                <w:highlight w:val="none"/>
              </w:rPr>
              <w:t>工程质量、进度、投资控制、合同管理等方</w:t>
            </w:r>
            <w:r>
              <w:rPr>
                <w:color w:val="auto"/>
                <w:spacing w:val="1"/>
                <w:highlight w:val="none"/>
              </w:rPr>
              <w:t>面均</w:t>
            </w:r>
            <w:r>
              <w:rPr>
                <w:color w:val="auto"/>
                <w:spacing w:val="-46"/>
                <w:highlight w:val="none"/>
              </w:rPr>
              <w:t xml:space="preserve"> </w:t>
            </w:r>
            <w:r>
              <w:rPr>
                <w:color w:val="auto"/>
                <w:spacing w:val="1"/>
                <w:highlight w:val="none"/>
              </w:rPr>
              <w:t>提</w:t>
            </w:r>
            <w:r>
              <w:rPr>
                <w:color w:val="auto"/>
                <w:spacing w:val="-43"/>
                <w:highlight w:val="none"/>
              </w:rPr>
              <w:t xml:space="preserve"> </w:t>
            </w:r>
            <w:r>
              <w:rPr>
                <w:color w:val="auto"/>
                <w:spacing w:val="1"/>
                <w:highlight w:val="none"/>
              </w:rPr>
              <w:t>出合</w:t>
            </w:r>
            <w:r>
              <w:rPr>
                <w:color w:val="auto"/>
                <w:spacing w:val="-58"/>
                <w:highlight w:val="none"/>
              </w:rPr>
              <w:t xml:space="preserve"> </w:t>
            </w:r>
            <w:r>
              <w:rPr>
                <w:color w:val="auto"/>
                <w:spacing w:val="1"/>
                <w:highlight w:val="none"/>
              </w:rPr>
              <w:t>理</w:t>
            </w:r>
            <w:r>
              <w:rPr>
                <w:color w:val="auto"/>
                <w:spacing w:val="-57"/>
                <w:highlight w:val="none"/>
              </w:rPr>
              <w:t xml:space="preserve"> </w:t>
            </w:r>
            <w:r>
              <w:rPr>
                <w:color w:val="auto"/>
                <w:spacing w:val="1"/>
                <w:highlight w:val="none"/>
              </w:rPr>
              <w:t>可</w:t>
            </w:r>
            <w:r>
              <w:rPr>
                <w:color w:val="auto"/>
                <w:spacing w:val="-57"/>
                <w:highlight w:val="none"/>
              </w:rPr>
              <w:t xml:space="preserve"> </w:t>
            </w:r>
            <w:r>
              <w:rPr>
                <w:color w:val="auto"/>
                <w:spacing w:val="1"/>
                <w:highlight w:val="none"/>
              </w:rPr>
              <w:t>行</w:t>
            </w:r>
            <w:r>
              <w:rPr>
                <w:color w:val="auto"/>
                <w:spacing w:val="-44"/>
                <w:highlight w:val="none"/>
              </w:rPr>
              <w:t xml:space="preserve"> </w:t>
            </w:r>
            <w:r>
              <w:rPr>
                <w:color w:val="auto"/>
                <w:spacing w:val="1"/>
                <w:highlight w:val="none"/>
              </w:rPr>
              <w:t>的</w:t>
            </w:r>
            <w:r>
              <w:rPr>
                <w:color w:val="auto"/>
                <w:spacing w:val="-58"/>
                <w:highlight w:val="none"/>
              </w:rPr>
              <w:t xml:space="preserve"> </w:t>
            </w:r>
            <w:r>
              <w:rPr>
                <w:color w:val="auto"/>
                <w:spacing w:val="1"/>
                <w:highlight w:val="none"/>
              </w:rPr>
              <w:t>建</w:t>
            </w:r>
            <w:r>
              <w:rPr>
                <w:color w:val="auto"/>
                <w:spacing w:val="-57"/>
                <w:highlight w:val="none"/>
              </w:rPr>
              <w:t xml:space="preserve"> </w:t>
            </w:r>
            <w:r>
              <w:rPr>
                <w:color w:val="auto"/>
                <w:spacing w:val="1"/>
                <w:highlight w:val="none"/>
              </w:rPr>
              <w:t>议</w:t>
            </w:r>
            <w:r>
              <w:rPr>
                <w:color w:val="auto"/>
                <w:spacing w:val="-44"/>
                <w:highlight w:val="none"/>
              </w:rPr>
              <w:t xml:space="preserve"> </w:t>
            </w:r>
            <w:r>
              <w:rPr>
                <w:color w:val="auto"/>
                <w:spacing w:val="1"/>
                <w:highlight w:val="none"/>
              </w:rPr>
              <w:t>的</w:t>
            </w:r>
            <w:r>
              <w:rPr>
                <w:color w:val="auto"/>
                <w:spacing w:val="-44"/>
                <w:highlight w:val="none"/>
              </w:rPr>
              <w:t xml:space="preserve"> </w:t>
            </w:r>
            <w:r>
              <w:rPr>
                <w:color w:val="auto"/>
                <w:spacing w:val="1"/>
                <w:highlight w:val="none"/>
              </w:rPr>
              <w:t>，</w:t>
            </w:r>
            <w:r>
              <w:rPr>
                <w:color w:val="auto"/>
                <w:spacing w:val="-51"/>
                <w:highlight w:val="none"/>
              </w:rPr>
              <w:t xml:space="preserve"> </w:t>
            </w:r>
            <w:r>
              <w:rPr>
                <w:color w:val="auto"/>
                <w:spacing w:val="1"/>
                <w:highlight w:val="none"/>
              </w:rPr>
              <w:t>酌</w:t>
            </w:r>
            <w:r>
              <w:rPr>
                <w:color w:val="auto"/>
                <w:spacing w:val="-58"/>
                <w:highlight w:val="none"/>
              </w:rPr>
              <w:t xml:space="preserve"> </w:t>
            </w:r>
            <w:r>
              <w:rPr>
                <w:color w:val="auto"/>
                <w:spacing w:val="1"/>
                <w:highlight w:val="none"/>
              </w:rPr>
              <w:t xml:space="preserve">情加 </w:t>
            </w:r>
            <w:r>
              <w:rPr>
                <w:color w:val="auto"/>
                <w:spacing w:val="1"/>
                <w:highlight w:val="none"/>
                <w:u w:val="single" w:color="auto"/>
              </w:rPr>
              <w:t>0-</w:t>
            </w:r>
            <w:r>
              <w:rPr>
                <w:color w:val="auto"/>
                <w:highlight w:val="none"/>
                <w:u w:val="single" w:color="auto"/>
              </w:rPr>
              <w:t xml:space="preserve"> </w:t>
            </w:r>
            <w:r>
              <w:rPr>
                <w:color w:val="auto"/>
                <w:spacing w:val="1"/>
                <w:highlight w:val="none"/>
                <w:u w:val="single" w:color="auto"/>
              </w:rPr>
              <w:t>2.0</w:t>
            </w:r>
            <w:r>
              <w:rPr>
                <w:color w:val="auto"/>
                <w:spacing w:val="-38"/>
                <w:highlight w:val="none"/>
                <w:u w:val="single" w:color="auto"/>
              </w:rPr>
              <w:t xml:space="preserve"> </w:t>
            </w:r>
            <w:r>
              <w:rPr>
                <w:color w:val="auto"/>
                <w:spacing w:val="1"/>
                <w:highlight w:val="none"/>
              </w:rPr>
              <w:t>分。</w:t>
            </w:r>
          </w:p>
        </w:tc>
      </w:tr>
      <w:tr w14:paraId="382187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64" w:hRule="atLeast"/>
        </w:trPr>
        <w:tc>
          <w:tcPr>
            <w:tcW w:w="927" w:type="dxa"/>
            <w:tcBorders>
              <w:bottom w:val="single" w:color="auto" w:sz="4" w:space="0"/>
            </w:tcBorders>
            <w:vAlign w:val="top"/>
          </w:tcPr>
          <w:p w14:paraId="312F36D1">
            <w:pPr>
              <w:spacing w:line="255" w:lineRule="auto"/>
              <w:rPr>
                <w:rFonts w:ascii="Arial"/>
                <w:color w:val="auto"/>
                <w:sz w:val="21"/>
                <w:highlight w:val="none"/>
              </w:rPr>
            </w:pPr>
          </w:p>
          <w:p w14:paraId="0C605CFE">
            <w:pPr>
              <w:spacing w:line="255" w:lineRule="auto"/>
              <w:rPr>
                <w:rFonts w:ascii="Arial"/>
                <w:color w:val="auto"/>
                <w:sz w:val="21"/>
                <w:highlight w:val="none"/>
              </w:rPr>
            </w:pPr>
          </w:p>
          <w:p w14:paraId="30AEDF74">
            <w:pPr>
              <w:spacing w:line="255" w:lineRule="auto"/>
              <w:rPr>
                <w:rFonts w:ascii="Arial"/>
                <w:color w:val="auto"/>
                <w:sz w:val="21"/>
                <w:highlight w:val="none"/>
              </w:rPr>
            </w:pPr>
          </w:p>
          <w:p w14:paraId="4F164586">
            <w:pPr>
              <w:spacing w:line="255" w:lineRule="auto"/>
              <w:rPr>
                <w:rFonts w:ascii="Arial"/>
                <w:color w:val="auto"/>
                <w:sz w:val="21"/>
                <w:highlight w:val="none"/>
              </w:rPr>
            </w:pPr>
          </w:p>
          <w:p w14:paraId="0BD3CF50">
            <w:pPr>
              <w:pStyle w:val="18"/>
              <w:spacing w:before="65" w:line="268" w:lineRule="exact"/>
              <w:ind w:left="206"/>
              <w:rPr>
                <w:color w:val="auto"/>
                <w:highlight w:val="none"/>
              </w:rPr>
            </w:pPr>
            <w:r>
              <w:rPr>
                <w:color w:val="auto"/>
                <w:spacing w:val="2"/>
                <w:position w:val="1"/>
                <w:highlight w:val="none"/>
              </w:rPr>
              <w:t>2.2.4</w:t>
            </w:r>
          </w:p>
          <w:p w14:paraId="1D262F8C">
            <w:pPr>
              <w:pStyle w:val="18"/>
              <w:spacing w:before="91" w:line="231" w:lineRule="auto"/>
              <w:ind w:left="346"/>
              <w:rPr>
                <w:color w:val="auto"/>
                <w:highlight w:val="none"/>
              </w:rPr>
            </w:pPr>
            <w:r>
              <w:rPr>
                <w:color w:val="auto"/>
                <w:spacing w:val="-10"/>
                <w:highlight w:val="none"/>
              </w:rPr>
              <w:t>(2)</w:t>
            </w:r>
          </w:p>
        </w:tc>
        <w:tc>
          <w:tcPr>
            <w:tcW w:w="1172" w:type="dxa"/>
            <w:tcBorders>
              <w:bottom w:val="single" w:color="auto" w:sz="4" w:space="0"/>
            </w:tcBorders>
            <w:vAlign w:val="top"/>
          </w:tcPr>
          <w:p w14:paraId="489B9BAF">
            <w:pPr>
              <w:spacing w:line="299" w:lineRule="auto"/>
              <w:rPr>
                <w:rFonts w:ascii="Arial"/>
                <w:color w:val="auto"/>
                <w:sz w:val="21"/>
                <w:highlight w:val="none"/>
              </w:rPr>
            </w:pPr>
          </w:p>
          <w:p w14:paraId="3812F2CE">
            <w:pPr>
              <w:spacing w:line="300" w:lineRule="auto"/>
              <w:rPr>
                <w:rFonts w:ascii="Arial"/>
                <w:color w:val="auto"/>
                <w:sz w:val="21"/>
                <w:highlight w:val="none"/>
              </w:rPr>
            </w:pPr>
          </w:p>
          <w:p w14:paraId="079B1835">
            <w:pPr>
              <w:spacing w:line="300" w:lineRule="auto"/>
              <w:rPr>
                <w:rFonts w:ascii="Arial"/>
                <w:color w:val="auto"/>
                <w:sz w:val="21"/>
                <w:highlight w:val="none"/>
              </w:rPr>
            </w:pPr>
          </w:p>
          <w:p w14:paraId="67989C4B">
            <w:pPr>
              <w:spacing w:line="300" w:lineRule="auto"/>
              <w:rPr>
                <w:rFonts w:ascii="Arial"/>
                <w:color w:val="auto"/>
                <w:sz w:val="21"/>
                <w:highlight w:val="none"/>
              </w:rPr>
            </w:pPr>
          </w:p>
          <w:p w14:paraId="60989BE4">
            <w:pPr>
              <w:pStyle w:val="18"/>
              <w:spacing w:before="65" w:line="229" w:lineRule="auto"/>
              <w:ind w:left="171"/>
              <w:rPr>
                <w:color w:val="auto"/>
                <w:highlight w:val="none"/>
              </w:rPr>
            </w:pPr>
            <w:r>
              <w:rPr>
                <w:color w:val="auto"/>
                <w:spacing w:val="6"/>
                <w:highlight w:val="none"/>
              </w:rPr>
              <w:t>主要人员</w:t>
            </w:r>
          </w:p>
        </w:tc>
        <w:tc>
          <w:tcPr>
            <w:tcW w:w="919" w:type="dxa"/>
            <w:tcBorders>
              <w:bottom w:val="single" w:color="auto" w:sz="4" w:space="0"/>
            </w:tcBorders>
            <w:vAlign w:val="top"/>
          </w:tcPr>
          <w:p w14:paraId="0ADF3B5A">
            <w:pPr>
              <w:spacing w:line="298" w:lineRule="auto"/>
              <w:rPr>
                <w:rFonts w:ascii="Arial"/>
                <w:color w:val="auto"/>
                <w:sz w:val="21"/>
                <w:highlight w:val="none"/>
              </w:rPr>
            </w:pPr>
          </w:p>
          <w:p w14:paraId="2F0B8021">
            <w:pPr>
              <w:spacing w:line="298" w:lineRule="auto"/>
              <w:rPr>
                <w:rFonts w:ascii="Arial"/>
                <w:color w:val="auto"/>
                <w:sz w:val="21"/>
                <w:highlight w:val="none"/>
              </w:rPr>
            </w:pPr>
          </w:p>
          <w:p w14:paraId="4147B879">
            <w:pPr>
              <w:spacing w:line="298" w:lineRule="auto"/>
              <w:rPr>
                <w:rFonts w:ascii="Arial"/>
                <w:color w:val="auto"/>
                <w:sz w:val="21"/>
                <w:highlight w:val="none"/>
              </w:rPr>
            </w:pPr>
          </w:p>
          <w:p w14:paraId="008A2634">
            <w:pPr>
              <w:spacing w:line="298" w:lineRule="auto"/>
              <w:rPr>
                <w:rFonts w:ascii="Arial"/>
                <w:color w:val="auto"/>
                <w:sz w:val="21"/>
                <w:highlight w:val="none"/>
              </w:rPr>
            </w:pPr>
          </w:p>
          <w:p w14:paraId="2B470332">
            <w:pPr>
              <w:pStyle w:val="18"/>
              <w:tabs>
                <w:tab w:val="left" w:pos="455"/>
              </w:tabs>
              <w:spacing w:before="65" w:line="244" w:lineRule="auto"/>
              <w:ind w:left="140"/>
              <w:rPr>
                <w:color w:val="auto"/>
                <w:sz w:val="10"/>
                <w:szCs w:val="10"/>
                <w:highlight w:val="none"/>
              </w:rPr>
            </w:pPr>
            <w:r>
              <w:rPr>
                <w:rFonts w:hint="eastAsia"/>
                <w:color w:val="auto"/>
                <w:position w:val="-2"/>
                <w:highlight w:val="none"/>
                <w:u w:val="single" w:color="auto"/>
                <w:lang w:val="en-US" w:eastAsia="zh-CN"/>
              </w:rPr>
              <w:t>20</w:t>
            </w:r>
            <w:r>
              <w:rPr>
                <w:color w:val="auto"/>
                <w:spacing w:val="-89"/>
                <w:position w:val="-2"/>
                <w:highlight w:val="none"/>
              </w:rPr>
              <w:t xml:space="preserve"> </w:t>
            </w:r>
            <w:r>
              <w:rPr>
                <w:color w:val="auto"/>
                <w:spacing w:val="2"/>
                <w:position w:val="-2"/>
                <w:highlight w:val="none"/>
              </w:rPr>
              <w:t>分</w:t>
            </w:r>
          </w:p>
        </w:tc>
        <w:tc>
          <w:tcPr>
            <w:tcW w:w="946" w:type="dxa"/>
            <w:tcBorders>
              <w:bottom w:val="single" w:color="auto" w:sz="4" w:space="0"/>
            </w:tcBorders>
            <w:vAlign w:val="top"/>
          </w:tcPr>
          <w:p w14:paraId="3BDD08F0">
            <w:pPr>
              <w:pStyle w:val="18"/>
              <w:spacing w:before="125" w:line="228" w:lineRule="auto"/>
              <w:ind w:left="164"/>
              <w:rPr>
                <w:rFonts w:ascii="宋体" w:hAnsi="宋体" w:eastAsia="宋体" w:cs="宋体"/>
                <w:color w:val="auto"/>
                <w:spacing w:val="6"/>
                <w:highlight w:val="none"/>
              </w:rPr>
            </w:pPr>
            <w:r>
              <w:rPr>
                <w:rFonts w:ascii="宋体" w:hAnsi="宋体" w:eastAsia="宋体" w:cs="宋体"/>
                <w:color w:val="auto"/>
                <w:spacing w:val="6"/>
                <w:highlight w:val="none"/>
              </w:rPr>
              <w:t>总监理</w:t>
            </w:r>
          </w:p>
          <w:p w14:paraId="1EE4BB6C">
            <w:pPr>
              <w:pStyle w:val="18"/>
              <w:spacing w:before="125" w:line="228" w:lineRule="auto"/>
              <w:ind w:left="164"/>
              <w:rPr>
                <w:rFonts w:ascii="宋体" w:hAnsi="宋体" w:eastAsia="宋体" w:cs="宋体"/>
                <w:color w:val="auto"/>
                <w:spacing w:val="6"/>
                <w:highlight w:val="none"/>
              </w:rPr>
            </w:pPr>
            <w:r>
              <w:rPr>
                <w:rFonts w:ascii="宋体" w:hAnsi="宋体" w:eastAsia="宋体" w:cs="宋体"/>
                <w:color w:val="auto"/>
                <w:spacing w:val="6"/>
                <w:highlight w:val="none"/>
              </w:rPr>
              <w:t>工程师</w:t>
            </w:r>
          </w:p>
          <w:p w14:paraId="16083382">
            <w:pPr>
              <w:pStyle w:val="18"/>
              <w:spacing w:before="125" w:line="228" w:lineRule="auto"/>
              <w:ind w:left="164"/>
              <w:rPr>
                <w:rFonts w:ascii="宋体" w:hAnsi="宋体" w:eastAsia="宋体" w:cs="宋体"/>
                <w:color w:val="auto"/>
                <w:spacing w:val="6"/>
                <w:highlight w:val="none"/>
              </w:rPr>
            </w:pPr>
            <w:r>
              <w:rPr>
                <w:rFonts w:ascii="宋体" w:hAnsi="宋体" w:eastAsia="宋体" w:cs="宋体"/>
                <w:color w:val="auto"/>
                <w:spacing w:val="6"/>
                <w:highlight w:val="none"/>
              </w:rPr>
              <w:t>或驻地</w:t>
            </w:r>
          </w:p>
          <w:p w14:paraId="7350DE85">
            <w:pPr>
              <w:pStyle w:val="18"/>
              <w:spacing w:before="125" w:line="228" w:lineRule="auto"/>
              <w:ind w:left="164"/>
              <w:rPr>
                <w:rFonts w:ascii="宋体" w:hAnsi="宋体" w:eastAsia="宋体" w:cs="宋体"/>
                <w:color w:val="auto"/>
                <w:spacing w:val="6"/>
                <w:highlight w:val="none"/>
              </w:rPr>
            </w:pPr>
            <w:r>
              <w:rPr>
                <w:rFonts w:ascii="宋体" w:hAnsi="宋体" w:eastAsia="宋体" w:cs="宋体"/>
                <w:color w:val="auto"/>
                <w:spacing w:val="6"/>
                <w:highlight w:val="none"/>
              </w:rPr>
              <w:t>监理工</w:t>
            </w:r>
          </w:p>
          <w:p w14:paraId="41577B4C">
            <w:pPr>
              <w:pStyle w:val="18"/>
              <w:spacing w:before="125" w:line="228" w:lineRule="auto"/>
              <w:ind w:left="164"/>
              <w:rPr>
                <w:rFonts w:ascii="宋体" w:hAnsi="宋体" w:eastAsia="宋体" w:cs="宋体"/>
                <w:color w:val="auto"/>
                <w:spacing w:val="6"/>
                <w:highlight w:val="none"/>
              </w:rPr>
            </w:pPr>
            <w:r>
              <w:rPr>
                <w:rFonts w:ascii="宋体" w:hAnsi="宋体" w:eastAsia="宋体" w:cs="宋体"/>
                <w:color w:val="auto"/>
                <w:spacing w:val="6"/>
                <w:highlight w:val="none"/>
              </w:rPr>
              <w:t>程师任</w:t>
            </w:r>
          </w:p>
          <w:p w14:paraId="58327971">
            <w:pPr>
              <w:pStyle w:val="18"/>
              <w:spacing w:before="125" w:line="228" w:lineRule="auto"/>
              <w:ind w:left="164"/>
              <w:rPr>
                <w:rFonts w:ascii="宋体" w:hAnsi="宋体" w:eastAsia="宋体" w:cs="宋体"/>
                <w:color w:val="auto"/>
                <w:spacing w:val="6"/>
                <w:highlight w:val="none"/>
              </w:rPr>
            </w:pPr>
            <w:r>
              <w:rPr>
                <w:rFonts w:ascii="宋体" w:hAnsi="宋体" w:eastAsia="宋体" w:cs="宋体"/>
                <w:color w:val="auto"/>
                <w:spacing w:val="6"/>
                <w:highlight w:val="none"/>
              </w:rPr>
              <w:t>职资格</w:t>
            </w:r>
          </w:p>
          <w:p w14:paraId="6762D2BB">
            <w:pPr>
              <w:pStyle w:val="18"/>
              <w:spacing w:before="125" w:line="228" w:lineRule="auto"/>
              <w:ind w:left="164"/>
              <w:rPr>
                <w:rFonts w:ascii="宋体" w:hAnsi="宋体" w:eastAsia="宋体" w:cs="宋体"/>
                <w:color w:val="auto"/>
                <w:spacing w:val="6"/>
                <w:highlight w:val="none"/>
              </w:rPr>
            </w:pPr>
            <w:r>
              <w:rPr>
                <w:rFonts w:ascii="宋体" w:hAnsi="宋体" w:eastAsia="宋体" w:cs="宋体"/>
                <w:color w:val="auto"/>
                <w:spacing w:val="6"/>
                <w:highlight w:val="none"/>
              </w:rPr>
              <w:t>与业绩</w:t>
            </w:r>
          </w:p>
        </w:tc>
        <w:tc>
          <w:tcPr>
            <w:tcW w:w="600" w:type="dxa"/>
            <w:tcBorders>
              <w:bottom w:val="single" w:color="auto" w:sz="4" w:space="0"/>
            </w:tcBorders>
            <w:vAlign w:val="top"/>
          </w:tcPr>
          <w:p w14:paraId="72512D98">
            <w:pPr>
              <w:pStyle w:val="18"/>
              <w:spacing w:before="125" w:line="228" w:lineRule="auto"/>
              <w:ind w:left="164"/>
              <w:rPr>
                <w:rFonts w:hint="eastAsia" w:ascii="宋体" w:hAnsi="宋体" w:eastAsia="宋体" w:cs="宋体"/>
                <w:color w:val="auto"/>
                <w:spacing w:val="6"/>
                <w:highlight w:val="none"/>
                <w:lang w:val="en-US" w:eastAsia="zh-CN"/>
              </w:rPr>
            </w:pPr>
          </w:p>
          <w:p w14:paraId="36A039A1">
            <w:pPr>
              <w:pStyle w:val="18"/>
              <w:spacing w:before="125" w:line="228" w:lineRule="auto"/>
              <w:ind w:left="164"/>
              <w:rPr>
                <w:rFonts w:hint="eastAsia" w:ascii="宋体" w:hAnsi="宋体" w:eastAsia="宋体" w:cs="宋体"/>
                <w:color w:val="auto"/>
                <w:spacing w:val="6"/>
                <w:highlight w:val="none"/>
                <w:lang w:val="en-US" w:eastAsia="zh-CN"/>
              </w:rPr>
            </w:pPr>
          </w:p>
          <w:p w14:paraId="253158B4">
            <w:pPr>
              <w:pStyle w:val="18"/>
              <w:spacing w:before="125" w:line="228" w:lineRule="auto"/>
              <w:ind w:left="164"/>
              <w:rPr>
                <w:rFonts w:hint="default" w:ascii="宋体" w:hAnsi="宋体" w:eastAsia="宋体" w:cs="宋体"/>
                <w:color w:val="auto"/>
                <w:spacing w:val="6"/>
                <w:highlight w:val="none"/>
                <w:lang w:val="en-US" w:eastAsia="zh-CN"/>
              </w:rPr>
            </w:pPr>
            <w:r>
              <w:rPr>
                <w:rFonts w:hint="eastAsia" w:ascii="宋体" w:hAnsi="宋体" w:eastAsia="宋体" w:cs="宋体"/>
                <w:color w:val="auto"/>
                <w:spacing w:val="6"/>
                <w:highlight w:val="none"/>
                <w:lang w:val="en-US" w:eastAsia="zh-CN"/>
              </w:rPr>
              <w:t>20分</w:t>
            </w:r>
          </w:p>
        </w:tc>
        <w:tc>
          <w:tcPr>
            <w:tcW w:w="4331" w:type="dxa"/>
            <w:gridSpan w:val="2"/>
            <w:tcBorders>
              <w:bottom w:val="single" w:color="auto" w:sz="4" w:space="0"/>
            </w:tcBorders>
            <w:vAlign w:val="top"/>
          </w:tcPr>
          <w:p w14:paraId="695C27FA">
            <w:pPr>
              <w:pStyle w:val="18"/>
              <w:spacing w:before="125" w:line="228" w:lineRule="auto"/>
              <w:ind w:left="164"/>
              <w:rPr>
                <w:rFonts w:ascii="宋体" w:hAnsi="宋体" w:eastAsia="宋体" w:cs="宋体"/>
                <w:color w:val="auto"/>
                <w:spacing w:val="6"/>
                <w:highlight w:val="none"/>
              </w:rPr>
            </w:pPr>
          </w:p>
          <w:p w14:paraId="44439501">
            <w:pPr>
              <w:pStyle w:val="18"/>
              <w:spacing w:before="125" w:line="228" w:lineRule="auto"/>
              <w:ind w:left="164"/>
              <w:rPr>
                <w:rFonts w:ascii="宋体" w:hAnsi="宋体" w:eastAsia="宋体" w:cs="宋体"/>
                <w:color w:val="auto"/>
                <w:spacing w:val="6"/>
                <w:highlight w:val="none"/>
              </w:rPr>
            </w:pPr>
          </w:p>
          <w:p w14:paraId="0319815D">
            <w:pPr>
              <w:pStyle w:val="18"/>
              <w:spacing w:before="125" w:line="228" w:lineRule="auto"/>
              <w:ind w:left="164"/>
              <w:rPr>
                <w:rFonts w:ascii="宋体" w:hAnsi="宋体" w:eastAsia="宋体" w:cs="宋体"/>
                <w:color w:val="auto"/>
                <w:spacing w:val="6"/>
                <w:highlight w:val="none"/>
              </w:rPr>
            </w:pPr>
          </w:p>
          <w:p w14:paraId="0E9FFB94">
            <w:pPr>
              <w:pStyle w:val="18"/>
              <w:spacing w:before="125" w:line="228" w:lineRule="auto"/>
              <w:ind w:left="164"/>
              <w:rPr>
                <w:rFonts w:ascii="宋体" w:hAnsi="宋体" w:eastAsia="宋体" w:cs="宋体"/>
                <w:color w:val="auto"/>
                <w:spacing w:val="6"/>
                <w:highlight w:val="none"/>
              </w:rPr>
            </w:pPr>
            <w:r>
              <w:rPr>
                <w:rFonts w:ascii="宋体" w:hAnsi="宋体" w:eastAsia="宋体" w:cs="宋体"/>
                <w:color w:val="auto"/>
                <w:spacing w:val="6"/>
                <w:highlight w:val="none"/>
              </w:rPr>
              <w:t>监理人员符合资格审查要求的，得满分。</w:t>
            </w:r>
          </w:p>
        </w:tc>
      </w:tr>
      <w:tr w14:paraId="64D000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4" w:hRule="atLeast"/>
        </w:trPr>
        <w:tc>
          <w:tcPr>
            <w:tcW w:w="927" w:type="dxa"/>
            <w:tcBorders>
              <w:top w:val="single" w:color="auto" w:sz="4" w:space="0"/>
              <w:left w:val="single" w:color="auto" w:sz="4" w:space="0"/>
              <w:bottom w:val="single" w:color="auto" w:sz="4" w:space="0"/>
            </w:tcBorders>
            <w:vAlign w:val="top"/>
          </w:tcPr>
          <w:p w14:paraId="780429E7">
            <w:pPr>
              <w:spacing w:line="242" w:lineRule="auto"/>
              <w:rPr>
                <w:rFonts w:ascii="Arial"/>
                <w:color w:val="auto"/>
                <w:sz w:val="21"/>
                <w:highlight w:val="none"/>
              </w:rPr>
            </w:pPr>
          </w:p>
          <w:p w14:paraId="2CA722BE">
            <w:pPr>
              <w:spacing w:line="242" w:lineRule="auto"/>
              <w:rPr>
                <w:rFonts w:ascii="Arial"/>
                <w:color w:val="auto"/>
                <w:sz w:val="21"/>
                <w:highlight w:val="none"/>
              </w:rPr>
            </w:pPr>
          </w:p>
          <w:p w14:paraId="5887A3A4">
            <w:pPr>
              <w:spacing w:line="242" w:lineRule="auto"/>
              <w:rPr>
                <w:rFonts w:ascii="Arial"/>
                <w:color w:val="auto"/>
                <w:sz w:val="21"/>
                <w:highlight w:val="none"/>
              </w:rPr>
            </w:pPr>
          </w:p>
          <w:p w14:paraId="1CC70D09">
            <w:pPr>
              <w:spacing w:line="242" w:lineRule="auto"/>
              <w:rPr>
                <w:rFonts w:ascii="Arial"/>
                <w:color w:val="auto"/>
                <w:sz w:val="21"/>
                <w:highlight w:val="none"/>
              </w:rPr>
            </w:pPr>
          </w:p>
          <w:p w14:paraId="2A65E40E">
            <w:pPr>
              <w:spacing w:line="242" w:lineRule="auto"/>
              <w:rPr>
                <w:rFonts w:ascii="Arial"/>
                <w:color w:val="auto"/>
                <w:sz w:val="21"/>
                <w:highlight w:val="none"/>
              </w:rPr>
            </w:pPr>
          </w:p>
          <w:p w14:paraId="34C99B2B">
            <w:pPr>
              <w:pStyle w:val="18"/>
              <w:spacing w:before="65" w:line="268" w:lineRule="exact"/>
              <w:ind w:left="208"/>
              <w:rPr>
                <w:color w:val="auto"/>
                <w:highlight w:val="none"/>
              </w:rPr>
            </w:pPr>
            <w:r>
              <w:rPr>
                <w:color w:val="auto"/>
                <w:spacing w:val="2"/>
                <w:position w:val="1"/>
                <w:highlight w:val="none"/>
              </w:rPr>
              <w:t>2.2.4</w:t>
            </w:r>
          </w:p>
          <w:p w14:paraId="771AD8EC">
            <w:pPr>
              <w:pStyle w:val="18"/>
              <w:spacing w:before="113" w:line="231" w:lineRule="auto"/>
              <w:ind w:left="348"/>
              <w:rPr>
                <w:color w:val="auto"/>
                <w:highlight w:val="none"/>
              </w:rPr>
            </w:pPr>
            <w:r>
              <w:rPr>
                <w:color w:val="auto"/>
                <w:spacing w:val="-10"/>
                <w:highlight w:val="none"/>
              </w:rPr>
              <w:t>(3)</w:t>
            </w:r>
          </w:p>
        </w:tc>
        <w:tc>
          <w:tcPr>
            <w:tcW w:w="1172" w:type="dxa"/>
            <w:tcBorders>
              <w:top w:val="single" w:color="auto" w:sz="4" w:space="0"/>
              <w:bottom w:val="single" w:color="auto" w:sz="4" w:space="0"/>
            </w:tcBorders>
            <w:vAlign w:val="top"/>
          </w:tcPr>
          <w:p w14:paraId="04DB5E75">
            <w:pPr>
              <w:spacing w:line="265" w:lineRule="auto"/>
              <w:rPr>
                <w:rFonts w:ascii="Arial"/>
                <w:color w:val="auto"/>
                <w:sz w:val="21"/>
                <w:highlight w:val="none"/>
              </w:rPr>
            </w:pPr>
          </w:p>
          <w:p w14:paraId="3530F609">
            <w:pPr>
              <w:spacing w:line="265" w:lineRule="auto"/>
              <w:rPr>
                <w:rFonts w:ascii="Arial"/>
                <w:color w:val="auto"/>
                <w:sz w:val="21"/>
                <w:highlight w:val="none"/>
              </w:rPr>
            </w:pPr>
          </w:p>
          <w:p w14:paraId="5F6600A9">
            <w:pPr>
              <w:spacing w:line="266" w:lineRule="auto"/>
              <w:rPr>
                <w:rFonts w:ascii="Arial"/>
                <w:color w:val="auto"/>
                <w:sz w:val="21"/>
                <w:highlight w:val="none"/>
              </w:rPr>
            </w:pPr>
          </w:p>
          <w:p w14:paraId="25FD790D">
            <w:pPr>
              <w:spacing w:line="266" w:lineRule="auto"/>
              <w:rPr>
                <w:rFonts w:ascii="Arial"/>
                <w:color w:val="auto"/>
                <w:sz w:val="21"/>
                <w:highlight w:val="none"/>
              </w:rPr>
            </w:pPr>
          </w:p>
          <w:p w14:paraId="72052708">
            <w:pPr>
              <w:spacing w:line="266" w:lineRule="auto"/>
              <w:rPr>
                <w:rFonts w:ascii="Arial"/>
                <w:color w:val="auto"/>
                <w:sz w:val="21"/>
                <w:highlight w:val="none"/>
              </w:rPr>
            </w:pPr>
          </w:p>
          <w:p w14:paraId="073C508A">
            <w:pPr>
              <w:pStyle w:val="18"/>
              <w:spacing w:before="65" w:line="226" w:lineRule="auto"/>
              <w:ind w:left="274"/>
              <w:rPr>
                <w:color w:val="auto"/>
                <w:highlight w:val="none"/>
              </w:rPr>
            </w:pPr>
            <w:r>
              <w:rPr>
                <w:color w:val="auto"/>
                <w:spacing w:val="7"/>
                <w:highlight w:val="none"/>
              </w:rPr>
              <w:t>评标价</w:t>
            </w:r>
          </w:p>
        </w:tc>
        <w:tc>
          <w:tcPr>
            <w:tcW w:w="919" w:type="dxa"/>
            <w:tcBorders>
              <w:top w:val="single" w:color="auto" w:sz="4" w:space="0"/>
              <w:bottom w:val="single" w:color="auto" w:sz="4" w:space="0"/>
            </w:tcBorders>
            <w:vAlign w:val="top"/>
          </w:tcPr>
          <w:p w14:paraId="3D9C6A57">
            <w:pPr>
              <w:spacing w:line="261" w:lineRule="auto"/>
              <w:rPr>
                <w:rFonts w:ascii="Arial"/>
                <w:color w:val="auto"/>
                <w:sz w:val="21"/>
                <w:highlight w:val="none"/>
              </w:rPr>
            </w:pPr>
          </w:p>
          <w:p w14:paraId="0E014529">
            <w:pPr>
              <w:spacing w:line="262" w:lineRule="auto"/>
              <w:rPr>
                <w:rFonts w:ascii="Arial"/>
                <w:color w:val="auto"/>
                <w:sz w:val="21"/>
                <w:highlight w:val="none"/>
              </w:rPr>
            </w:pPr>
          </w:p>
          <w:p w14:paraId="079F5A90">
            <w:pPr>
              <w:spacing w:line="262" w:lineRule="auto"/>
              <w:rPr>
                <w:rFonts w:ascii="Arial"/>
                <w:color w:val="auto"/>
                <w:sz w:val="21"/>
                <w:highlight w:val="none"/>
              </w:rPr>
            </w:pPr>
          </w:p>
          <w:p w14:paraId="103CFE08">
            <w:pPr>
              <w:spacing w:line="262" w:lineRule="auto"/>
              <w:rPr>
                <w:rFonts w:ascii="Arial"/>
                <w:color w:val="auto"/>
                <w:sz w:val="21"/>
                <w:highlight w:val="none"/>
              </w:rPr>
            </w:pPr>
          </w:p>
          <w:p w14:paraId="087CB566">
            <w:pPr>
              <w:spacing w:line="262" w:lineRule="auto"/>
              <w:rPr>
                <w:rFonts w:ascii="Arial"/>
                <w:color w:val="auto"/>
                <w:sz w:val="21"/>
                <w:highlight w:val="none"/>
              </w:rPr>
            </w:pPr>
          </w:p>
          <w:p w14:paraId="70639E2D">
            <w:pPr>
              <w:pStyle w:val="18"/>
              <w:spacing w:before="65" w:line="228" w:lineRule="auto"/>
              <w:ind w:left="244"/>
              <w:rPr>
                <w:color w:val="auto"/>
                <w:highlight w:val="none"/>
              </w:rPr>
            </w:pPr>
            <w:r>
              <w:rPr>
                <w:color w:val="auto"/>
                <w:spacing w:val="-5"/>
                <w:highlight w:val="none"/>
              </w:rPr>
              <w:t>10</w:t>
            </w:r>
            <w:r>
              <w:rPr>
                <w:color w:val="auto"/>
                <w:spacing w:val="-38"/>
                <w:highlight w:val="none"/>
              </w:rPr>
              <w:t xml:space="preserve"> </w:t>
            </w:r>
            <w:r>
              <w:rPr>
                <w:color w:val="auto"/>
                <w:spacing w:val="-5"/>
                <w:highlight w:val="none"/>
              </w:rPr>
              <w:t>分</w:t>
            </w:r>
          </w:p>
        </w:tc>
        <w:tc>
          <w:tcPr>
            <w:tcW w:w="5877" w:type="dxa"/>
            <w:gridSpan w:val="4"/>
            <w:tcBorders>
              <w:top w:val="single" w:color="auto" w:sz="4" w:space="0"/>
              <w:bottom w:val="single" w:color="auto" w:sz="4" w:space="0"/>
              <w:right w:val="single" w:color="auto" w:sz="4" w:space="0"/>
            </w:tcBorders>
            <w:vAlign w:val="top"/>
          </w:tcPr>
          <w:p w14:paraId="0E210C3F">
            <w:pPr>
              <w:pStyle w:val="18"/>
              <w:spacing w:before="36" w:line="226" w:lineRule="auto"/>
              <w:ind w:left="112"/>
              <w:rPr>
                <w:color w:val="auto"/>
                <w:highlight w:val="none"/>
              </w:rPr>
            </w:pPr>
            <w:r>
              <w:rPr>
                <w:color w:val="auto"/>
                <w:spacing w:val="8"/>
                <w:highlight w:val="none"/>
              </w:rPr>
              <w:t>评标价得分计算公式示例：</w:t>
            </w:r>
          </w:p>
          <w:p w14:paraId="1C1BBABD">
            <w:pPr>
              <w:pStyle w:val="18"/>
              <w:spacing w:before="163" w:line="306" w:lineRule="auto"/>
              <w:ind w:left="113" w:right="136" w:firstLine="36"/>
              <w:rPr>
                <w:color w:val="auto"/>
                <w:highlight w:val="none"/>
              </w:rPr>
            </w:pPr>
            <w:r>
              <w:rPr>
                <w:color w:val="auto"/>
                <w:spacing w:val="17"/>
                <w:highlight w:val="none"/>
              </w:rPr>
              <w:t>(1)如果投标人的评标价&gt;评标基准价，则</w:t>
            </w:r>
            <w:r>
              <w:rPr>
                <w:color w:val="auto"/>
                <w:spacing w:val="16"/>
                <w:highlight w:val="none"/>
              </w:rPr>
              <w:t>评标价得分＝10-</w:t>
            </w:r>
            <w:r>
              <w:rPr>
                <w:color w:val="auto"/>
                <w:spacing w:val="5"/>
                <w:highlight w:val="none"/>
              </w:rPr>
              <w:t>偏差率×100× E</w:t>
            </w:r>
            <w:r>
              <w:rPr>
                <w:color w:val="auto"/>
                <w:spacing w:val="5"/>
                <w:position w:val="-3"/>
                <w:sz w:val="10"/>
                <w:szCs w:val="10"/>
                <w:highlight w:val="none"/>
              </w:rPr>
              <w:t>1</w:t>
            </w:r>
            <w:r>
              <w:rPr>
                <w:color w:val="auto"/>
                <w:spacing w:val="5"/>
                <w:highlight w:val="none"/>
              </w:rPr>
              <w:t>；</w:t>
            </w:r>
          </w:p>
          <w:p w14:paraId="2F0B3883">
            <w:pPr>
              <w:pStyle w:val="18"/>
              <w:spacing w:before="151" w:line="310" w:lineRule="auto"/>
              <w:ind w:left="113" w:right="136" w:firstLine="36"/>
              <w:rPr>
                <w:color w:val="auto"/>
                <w:highlight w:val="none"/>
              </w:rPr>
            </w:pPr>
            <w:r>
              <w:rPr>
                <w:color w:val="auto"/>
                <w:spacing w:val="13"/>
                <w:highlight w:val="none"/>
              </w:rPr>
              <w:t>(2)如果投标人的评标价≤评标基准价，则评标价得分＝10+</w:t>
            </w:r>
            <w:r>
              <w:rPr>
                <w:color w:val="auto"/>
                <w:spacing w:val="3"/>
                <w:highlight w:val="none"/>
              </w:rPr>
              <w:t>偏差率×</w:t>
            </w:r>
            <w:r>
              <w:rPr>
                <w:color w:val="auto"/>
                <w:spacing w:val="37"/>
                <w:highlight w:val="none"/>
              </w:rPr>
              <w:t xml:space="preserve"> </w:t>
            </w:r>
            <w:r>
              <w:rPr>
                <w:color w:val="auto"/>
                <w:spacing w:val="3"/>
                <w:highlight w:val="none"/>
              </w:rPr>
              <w:t>100× E</w:t>
            </w:r>
            <w:r>
              <w:rPr>
                <w:color w:val="auto"/>
                <w:spacing w:val="3"/>
                <w:position w:val="-2"/>
                <w:sz w:val="10"/>
                <w:szCs w:val="10"/>
                <w:highlight w:val="none"/>
              </w:rPr>
              <w:t>2</w:t>
            </w:r>
            <w:r>
              <w:rPr>
                <w:color w:val="auto"/>
                <w:spacing w:val="3"/>
                <w:highlight w:val="none"/>
              </w:rPr>
              <w:t>。</w:t>
            </w:r>
          </w:p>
          <w:p w14:paraId="36059CAB">
            <w:pPr>
              <w:pStyle w:val="18"/>
              <w:spacing w:before="146" w:line="358" w:lineRule="auto"/>
              <w:ind w:left="103" w:right="107" w:firstLine="10"/>
              <w:rPr>
                <w:color w:val="auto"/>
                <w:highlight w:val="none"/>
              </w:rPr>
            </w:pPr>
            <w:r>
              <w:rPr>
                <w:color w:val="auto"/>
                <w:spacing w:val="22"/>
                <w:highlight w:val="none"/>
              </w:rPr>
              <w:t>注</w:t>
            </w:r>
            <w:r>
              <w:rPr>
                <w:color w:val="auto"/>
                <w:spacing w:val="-45"/>
                <w:highlight w:val="none"/>
              </w:rPr>
              <w:t xml:space="preserve"> </w:t>
            </w:r>
            <w:r>
              <w:rPr>
                <w:color w:val="auto"/>
                <w:spacing w:val="22"/>
                <w:highlight w:val="none"/>
              </w:rPr>
              <w:t>：评标价得分计算保留小数点后四位</w:t>
            </w:r>
            <w:r>
              <w:rPr>
                <w:color w:val="auto"/>
                <w:spacing w:val="-55"/>
                <w:highlight w:val="none"/>
              </w:rPr>
              <w:t xml:space="preserve"> </w:t>
            </w:r>
            <w:r>
              <w:rPr>
                <w:color w:val="auto"/>
                <w:spacing w:val="22"/>
                <w:highlight w:val="none"/>
              </w:rPr>
              <w:t>，小数点后第五位</w:t>
            </w:r>
            <w:r>
              <w:rPr>
                <w:color w:val="auto"/>
                <w:spacing w:val="4"/>
                <w:highlight w:val="none"/>
              </w:rPr>
              <w:t>“</w:t>
            </w:r>
            <w:r>
              <w:rPr>
                <w:color w:val="auto"/>
                <w:spacing w:val="-69"/>
                <w:highlight w:val="none"/>
              </w:rPr>
              <w:t xml:space="preserve"> </w:t>
            </w:r>
            <w:r>
              <w:rPr>
                <w:color w:val="auto"/>
                <w:spacing w:val="4"/>
                <w:highlight w:val="none"/>
              </w:rPr>
              <w:t>四舍五入</w:t>
            </w:r>
            <w:r>
              <w:rPr>
                <w:color w:val="auto"/>
                <w:spacing w:val="-70"/>
                <w:highlight w:val="none"/>
              </w:rPr>
              <w:t xml:space="preserve"> </w:t>
            </w:r>
            <w:r>
              <w:rPr>
                <w:color w:val="auto"/>
                <w:spacing w:val="4"/>
                <w:highlight w:val="none"/>
              </w:rPr>
              <w:t>”。</w:t>
            </w:r>
          </w:p>
        </w:tc>
      </w:tr>
    </w:tbl>
    <w:p w14:paraId="5B7550FE">
      <w:pPr>
        <w:spacing w:line="258" w:lineRule="auto"/>
        <w:rPr>
          <w:rFonts w:ascii="Arial"/>
          <w:color w:val="auto"/>
          <w:sz w:val="21"/>
          <w:highlight w:val="none"/>
        </w:rPr>
      </w:pPr>
    </w:p>
    <w:p w14:paraId="6B24E8A4">
      <w:pPr>
        <w:spacing w:before="21" w:line="232" w:lineRule="auto"/>
        <w:ind w:left="121" w:hanging="3"/>
        <w:rPr>
          <w:rFonts w:ascii="宋体" w:hAnsi="宋体" w:eastAsia="宋体" w:cs="宋体"/>
          <w:color w:val="auto"/>
          <w:sz w:val="18"/>
          <w:szCs w:val="18"/>
          <w:highlight w:val="none"/>
        </w:rPr>
      </w:pPr>
      <w:bookmarkStart w:id="241" w:name="bookmark126"/>
      <w:bookmarkEnd w:id="241"/>
      <w:bookmarkStart w:id="242" w:name="bookmark127"/>
      <w:bookmarkEnd w:id="242"/>
    </w:p>
    <w:p w14:paraId="1B9FC450">
      <w:pPr>
        <w:spacing w:line="232" w:lineRule="auto"/>
        <w:rPr>
          <w:rFonts w:ascii="宋体" w:hAnsi="宋体" w:eastAsia="宋体" w:cs="宋体"/>
          <w:color w:val="auto"/>
          <w:sz w:val="18"/>
          <w:szCs w:val="18"/>
          <w:highlight w:val="none"/>
        </w:rPr>
        <w:sectPr>
          <w:footerReference r:id="rId45" w:type="default"/>
          <w:pgSz w:w="11906" w:h="16839"/>
          <w:pgMar w:top="1416" w:right="1490" w:bottom="1297" w:left="1304" w:header="0" w:footer="1067" w:gutter="0"/>
          <w:pgNumType w:fmt="decimal"/>
          <w:cols w:space="720" w:num="1"/>
        </w:sectPr>
      </w:pPr>
    </w:p>
    <w:tbl>
      <w:tblPr>
        <w:tblStyle w:val="17"/>
        <w:tblW w:w="889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7"/>
        <w:gridCol w:w="655"/>
        <w:gridCol w:w="518"/>
        <w:gridCol w:w="918"/>
        <w:gridCol w:w="946"/>
        <w:gridCol w:w="581"/>
        <w:gridCol w:w="4350"/>
      </w:tblGrid>
      <w:tr w14:paraId="25E858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 w:hRule="atLeast"/>
        </w:trPr>
        <w:tc>
          <w:tcPr>
            <w:tcW w:w="4545" w:type="dxa"/>
            <w:gridSpan w:val="6"/>
            <w:tcBorders>
              <w:bottom w:val="single" w:color="auto" w:sz="4" w:space="0"/>
            </w:tcBorders>
            <w:vAlign w:val="top"/>
          </w:tcPr>
          <w:p w14:paraId="6189074A">
            <w:pPr>
              <w:pStyle w:val="18"/>
              <w:spacing w:before="127" w:line="232" w:lineRule="auto"/>
              <w:ind w:left="1287"/>
              <w:rPr>
                <w:color w:val="auto"/>
                <w:sz w:val="10"/>
                <w:szCs w:val="10"/>
                <w:highlight w:val="none"/>
              </w:rPr>
            </w:pPr>
            <w:r>
              <w:rPr>
                <w:b/>
                <w:bCs/>
                <w:color w:val="auto"/>
                <w:spacing w:val="7"/>
                <w:highlight w:val="none"/>
              </w:rPr>
              <w:t>评分因素与权重分值</w:t>
            </w:r>
          </w:p>
        </w:tc>
        <w:tc>
          <w:tcPr>
            <w:tcW w:w="4350" w:type="dxa"/>
            <w:vMerge w:val="restart"/>
            <w:tcBorders>
              <w:bottom w:val="single" w:color="auto" w:sz="4" w:space="0"/>
              <w:right w:val="single" w:color="auto" w:sz="4" w:space="0"/>
            </w:tcBorders>
            <w:vAlign w:val="top"/>
          </w:tcPr>
          <w:p w14:paraId="5C24E0F0">
            <w:pPr>
              <w:spacing w:line="315" w:lineRule="auto"/>
              <w:rPr>
                <w:rFonts w:ascii="Arial"/>
                <w:color w:val="auto"/>
                <w:sz w:val="21"/>
                <w:highlight w:val="none"/>
              </w:rPr>
            </w:pPr>
          </w:p>
          <w:p w14:paraId="46D5873D">
            <w:pPr>
              <w:spacing w:line="316" w:lineRule="auto"/>
              <w:rPr>
                <w:rFonts w:ascii="Arial"/>
                <w:color w:val="auto"/>
                <w:sz w:val="21"/>
                <w:highlight w:val="none"/>
              </w:rPr>
            </w:pPr>
          </w:p>
          <w:p w14:paraId="1D4FE6BE">
            <w:pPr>
              <w:pStyle w:val="18"/>
              <w:spacing w:before="65" w:line="267" w:lineRule="exact"/>
              <w:ind w:left="1713"/>
              <w:rPr>
                <w:color w:val="auto"/>
                <w:sz w:val="10"/>
                <w:szCs w:val="10"/>
                <w:highlight w:val="none"/>
              </w:rPr>
            </w:pPr>
            <w:r>
              <w:rPr>
                <w:b/>
                <w:bCs/>
                <w:color w:val="auto"/>
                <w:spacing w:val="6"/>
                <w:highlight w:val="none"/>
              </w:rPr>
              <w:t>评分标准</w:t>
            </w:r>
          </w:p>
        </w:tc>
      </w:tr>
      <w:tr w14:paraId="405885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4" w:hRule="atLeast"/>
        </w:trPr>
        <w:tc>
          <w:tcPr>
            <w:tcW w:w="927" w:type="dxa"/>
            <w:tcBorders>
              <w:top w:val="single" w:color="auto" w:sz="4" w:space="0"/>
              <w:left w:val="single" w:color="auto" w:sz="4" w:space="0"/>
              <w:bottom w:val="single" w:color="auto" w:sz="4" w:space="0"/>
              <w:right w:val="single" w:color="auto" w:sz="4" w:space="0"/>
            </w:tcBorders>
            <w:vAlign w:val="top"/>
          </w:tcPr>
          <w:p w14:paraId="1EC38AAC">
            <w:pPr>
              <w:spacing w:line="452" w:lineRule="auto"/>
              <w:rPr>
                <w:rFonts w:ascii="Arial"/>
                <w:color w:val="auto"/>
                <w:sz w:val="21"/>
                <w:highlight w:val="none"/>
              </w:rPr>
            </w:pPr>
          </w:p>
          <w:p w14:paraId="7426FDE6">
            <w:pPr>
              <w:pStyle w:val="18"/>
              <w:spacing w:before="65" w:line="228" w:lineRule="auto"/>
              <w:ind w:left="155"/>
              <w:rPr>
                <w:color w:val="auto"/>
                <w:highlight w:val="none"/>
              </w:rPr>
            </w:pPr>
            <w:r>
              <w:rPr>
                <w:b/>
                <w:bCs/>
                <w:color w:val="auto"/>
                <w:spacing w:val="5"/>
                <w:highlight w:val="none"/>
              </w:rPr>
              <w:t>条款号</w:t>
            </w:r>
          </w:p>
        </w:tc>
        <w:tc>
          <w:tcPr>
            <w:tcW w:w="1173" w:type="dxa"/>
            <w:gridSpan w:val="2"/>
            <w:tcBorders>
              <w:top w:val="single" w:color="auto" w:sz="4" w:space="0"/>
              <w:left w:val="single" w:color="auto" w:sz="4" w:space="0"/>
              <w:bottom w:val="single" w:color="auto" w:sz="4" w:space="0"/>
              <w:right w:val="single" w:color="auto" w:sz="4" w:space="0"/>
            </w:tcBorders>
            <w:vAlign w:val="top"/>
          </w:tcPr>
          <w:p w14:paraId="35DDB37C">
            <w:pPr>
              <w:spacing w:line="452" w:lineRule="auto"/>
              <w:rPr>
                <w:rFonts w:ascii="Arial"/>
                <w:color w:val="auto"/>
                <w:sz w:val="21"/>
                <w:highlight w:val="none"/>
              </w:rPr>
            </w:pPr>
          </w:p>
          <w:p w14:paraId="7D729470">
            <w:pPr>
              <w:pStyle w:val="18"/>
              <w:spacing w:before="65" w:line="228" w:lineRule="auto"/>
              <w:ind w:left="168"/>
              <w:rPr>
                <w:color w:val="auto"/>
                <w:highlight w:val="none"/>
              </w:rPr>
            </w:pPr>
            <w:r>
              <w:rPr>
                <w:b/>
                <w:bCs/>
                <w:color w:val="auto"/>
                <w:spacing w:val="6"/>
                <w:highlight w:val="none"/>
              </w:rPr>
              <w:t>评分因素</w:t>
            </w:r>
          </w:p>
        </w:tc>
        <w:tc>
          <w:tcPr>
            <w:tcW w:w="918" w:type="dxa"/>
            <w:tcBorders>
              <w:top w:val="single" w:color="auto" w:sz="4" w:space="0"/>
              <w:left w:val="single" w:color="auto" w:sz="4" w:space="0"/>
              <w:bottom w:val="single" w:color="auto" w:sz="4" w:space="0"/>
              <w:right w:val="single" w:color="auto" w:sz="4" w:space="0"/>
            </w:tcBorders>
            <w:vAlign w:val="top"/>
          </w:tcPr>
          <w:p w14:paraId="2D347B68">
            <w:pPr>
              <w:spacing w:line="265" w:lineRule="auto"/>
              <w:rPr>
                <w:rFonts w:ascii="Arial"/>
                <w:color w:val="auto"/>
                <w:sz w:val="21"/>
                <w:highlight w:val="none"/>
              </w:rPr>
            </w:pPr>
          </w:p>
          <w:p w14:paraId="1C36916D">
            <w:pPr>
              <w:pStyle w:val="18"/>
              <w:spacing w:before="65" w:line="351" w:lineRule="auto"/>
              <w:ind w:left="42" w:right="35"/>
              <w:rPr>
                <w:color w:val="auto"/>
                <w:highlight w:val="none"/>
              </w:rPr>
            </w:pPr>
            <w:r>
              <w:rPr>
                <w:b/>
                <w:bCs/>
                <w:color w:val="auto"/>
                <w:spacing w:val="6"/>
                <w:highlight w:val="none"/>
              </w:rPr>
              <w:t>评分因素权重分值</w:t>
            </w:r>
          </w:p>
        </w:tc>
        <w:tc>
          <w:tcPr>
            <w:tcW w:w="946" w:type="dxa"/>
            <w:tcBorders>
              <w:top w:val="single" w:color="auto" w:sz="4" w:space="0"/>
              <w:left w:val="single" w:color="auto" w:sz="4" w:space="0"/>
              <w:bottom w:val="single" w:color="auto" w:sz="4" w:space="0"/>
              <w:right w:val="single" w:color="auto" w:sz="4" w:space="0"/>
            </w:tcBorders>
            <w:vAlign w:val="top"/>
          </w:tcPr>
          <w:p w14:paraId="7C16A829">
            <w:pPr>
              <w:pStyle w:val="18"/>
              <w:spacing w:before="141" w:line="228" w:lineRule="auto"/>
              <w:ind w:left="164"/>
              <w:rPr>
                <w:color w:val="auto"/>
                <w:highlight w:val="none"/>
              </w:rPr>
            </w:pPr>
            <w:r>
              <w:rPr>
                <w:b/>
                <w:bCs/>
                <w:color w:val="auto"/>
                <w:spacing w:val="4"/>
                <w:highlight w:val="none"/>
              </w:rPr>
              <w:t>各评分</w:t>
            </w:r>
          </w:p>
          <w:p w14:paraId="4A0A536F">
            <w:pPr>
              <w:pStyle w:val="18"/>
              <w:spacing w:before="131" w:line="283" w:lineRule="auto"/>
              <w:ind w:left="269" w:right="156" w:hanging="91"/>
              <w:rPr>
                <w:color w:val="auto"/>
                <w:highlight w:val="none"/>
              </w:rPr>
            </w:pPr>
            <w:r>
              <w:rPr>
                <w:b/>
                <w:bCs/>
                <w:color w:val="auto"/>
                <w:highlight w:val="none"/>
              </w:rPr>
              <w:t>因素细</w:t>
            </w:r>
            <w:r>
              <w:rPr>
                <w:b/>
                <w:bCs/>
                <w:color w:val="auto"/>
                <w:spacing w:val="2"/>
                <w:highlight w:val="none"/>
              </w:rPr>
              <w:t>分项</w:t>
            </w:r>
          </w:p>
        </w:tc>
        <w:tc>
          <w:tcPr>
            <w:tcW w:w="581" w:type="dxa"/>
            <w:tcBorders>
              <w:top w:val="single" w:color="auto" w:sz="4" w:space="0"/>
              <w:left w:val="single" w:color="auto" w:sz="4" w:space="0"/>
              <w:bottom w:val="single" w:color="auto" w:sz="4" w:space="0"/>
              <w:right w:val="single" w:color="auto" w:sz="4" w:space="0"/>
            </w:tcBorders>
            <w:textDirection w:val="tbRlV"/>
            <w:vAlign w:val="top"/>
          </w:tcPr>
          <w:p w14:paraId="365B2421">
            <w:pPr>
              <w:pStyle w:val="18"/>
              <w:spacing w:before="174" w:line="216" w:lineRule="auto"/>
              <w:ind w:left="331"/>
              <w:rPr>
                <w:color w:val="auto"/>
                <w:highlight w:val="none"/>
              </w:rPr>
            </w:pPr>
            <w:r>
              <w:rPr>
                <w:b/>
                <w:bCs/>
                <w:color w:val="auto"/>
                <w:spacing w:val="6"/>
                <w:highlight w:val="none"/>
              </w:rPr>
              <w:t>分</w:t>
            </w:r>
            <w:r>
              <w:rPr>
                <w:color w:val="auto"/>
                <w:spacing w:val="70"/>
                <w:highlight w:val="none"/>
              </w:rPr>
              <w:t xml:space="preserve"> </w:t>
            </w:r>
            <w:r>
              <w:rPr>
                <w:b/>
                <w:bCs/>
                <w:color w:val="auto"/>
                <w:spacing w:val="6"/>
                <w:highlight w:val="none"/>
              </w:rPr>
              <w:t>值</w:t>
            </w:r>
          </w:p>
        </w:tc>
        <w:tc>
          <w:tcPr>
            <w:tcW w:w="4350" w:type="dxa"/>
            <w:vMerge w:val="continue"/>
            <w:tcBorders>
              <w:top w:val="single" w:color="auto" w:sz="4" w:space="0"/>
              <w:left w:val="single" w:color="auto" w:sz="4" w:space="0"/>
              <w:bottom w:val="single" w:color="auto" w:sz="4" w:space="0"/>
              <w:right w:val="single" w:color="auto" w:sz="4" w:space="0"/>
            </w:tcBorders>
            <w:vAlign w:val="top"/>
          </w:tcPr>
          <w:p w14:paraId="6C53A436">
            <w:pPr>
              <w:rPr>
                <w:rFonts w:ascii="Arial"/>
                <w:color w:val="auto"/>
                <w:sz w:val="21"/>
                <w:highlight w:val="none"/>
              </w:rPr>
            </w:pPr>
          </w:p>
        </w:tc>
      </w:tr>
      <w:tr w14:paraId="373380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27" w:hRule="atLeast"/>
        </w:trPr>
        <w:tc>
          <w:tcPr>
            <w:tcW w:w="927" w:type="dxa"/>
            <w:tcBorders>
              <w:top w:val="single" w:color="auto" w:sz="4" w:space="0"/>
              <w:left w:val="single" w:color="auto" w:sz="4" w:space="0"/>
              <w:bottom w:val="single" w:color="auto" w:sz="4" w:space="0"/>
              <w:right w:val="single" w:color="auto" w:sz="4" w:space="0"/>
            </w:tcBorders>
            <w:vAlign w:val="top"/>
          </w:tcPr>
          <w:p w14:paraId="08DC7AE2">
            <w:pPr>
              <w:rPr>
                <w:rFonts w:ascii="Arial"/>
                <w:color w:val="auto"/>
                <w:sz w:val="21"/>
                <w:highlight w:val="none"/>
              </w:rPr>
            </w:pPr>
          </w:p>
        </w:tc>
        <w:tc>
          <w:tcPr>
            <w:tcW w:w="1173" w:type="dxa"/>
            <w:gridSpan w:val="2"/>
            <w:tcBorders>
              <w:top w:val="single" w:color="auto" w:sz="4" w:space="0"/>
              <w:left w:val="single" w:color="auto" w:sz="4" w:space="0"/>
              <w:bottom w:val="single" w:color="auto" w:sz="4" w:space="0"/>
              <w:right w:val="single" w:color="auto" w:sz="4" w:space="0"/>
            </w:tcBorders>
            <w:vAlign w:val="top"/>
          </w:tcPr>
          <w:p w14:paraId="382F4BE0">
            <w:pPr>
              <w:rPr>
                <w:rFonts w:ascii="Arial"/>
                <w:color w:val="auto"/>
                <w:sz w:val="21"/>
                <w:highlight w:val="none"/>
              </w:rPr>
            </w:pPr>
          </w:p>
        </w:tc>
        <w:tc>
          <w:tcPr>
            <w:tcW w:w="918" w:type="dxa"/>
            <w:tcBorders>
              <w:top w:val="single" w:color="auto" w:sz="4" w:space="0"/>
              <w:left w:val="single" w:color="auto" w:sz="4" w:space="0"/>
              <w:bottom w:val="single" w:color="auto" w:sz="4" w:space="0"/>
              <w:right w:val="single" w:color="auto" w:sz="4" w:space="0"/>
            </w:tcBorders>
            <w:vAlign w:val="top"/>
          </w:tcPr>
          <w:p w14:paraId="292857EE">
            <w:pPr>
              <w:spacing w:line="305" w:lineRule="auto"/>
              <w:rPr>
                <w:rFonts w:ascii="Arial"/>
                <w:color w:val="auto"/>
                <w:sz w:val="21"/>
                <w:highlight w:val="none"/>
              </w:rPr>
            </w:pPr>
          </w:p>
          <w:p w14:paraId="07326678">
            <w:pPr>
              <w:pStyle w:val="18"/>
              <w:spacing w:before="65" w:line="354" w:lineRule="auto"/>
              <w:ind w:left="153" w:right="143" w:firstLine="18"/>
              <w:rPr>
                <w:color w:val="auto"/>
                <w:highlight w:val="none"/>
              </w:rPr>
            </w:pPr>
            <w:r>
              <w:rPr>
                <w:color w:val="auto"/>
                <w:spacing w:val="2"/>
                <w:highlight w:val="none"/>
              </w:rPr>
              <w:t>E</w:t>
            </w:r>
            <w:r>
              <w:rPr>
                <w:color w:val="auto"/>
                <w:spacing w:val="-39"/>
                <w:highlight w:val="none"/>
              </w:rPr>
              <w:t xml:space="preserve"> </w:t>
            </w:r>
            <w:r>
              <w:rPr>
                <w:color w:val="auto"/>
                <w:spacing w:val="2"/>
                <w:highlight w:val="none"/>
              </w:rPr>
              <w:t>值确</w:t>
            </w:r>
            <w:r>
              <w:rPr>
                <w:color w:val="auto"/>
                <w:spacing w:val="5"/>
                <w:highlight w:val="none"/>
              </w:rPr>
              <w:t>定方</w:t>
            </w:r>
          </w:p>
        </w:tc>
        <w:tc>
          <w:tcPr>
            <w:tcW w:w="5877" w:type="dxa"/>
            <w:gridSpan w:val="3"/>
            <w:tcBorders>
              <w:top w:val="single" w:color="auto" w:sz="4" w:space="0"/>
              <w:left w:val="single" w:color="auto" w:sz="4" w:space="0"/>
              <w:bottom w:val="single" w:color="auto" w:sz="4" w:space="0"/>
              <w:right w:val="single" w:color="auto" w:sz="4" w:space="0"/>
            </w:tcBorders>
            <w:vAlign w:val="top"/>
          </w:tcPr>
          <w:p w14:paraId="1DE14275">
            <w:pPr>
              <w:pStyle w:val="18"/>
              <w:spacing w:before="16" w:line="237" w:lineRule="auto"/>
              <w:ind w:left="111"/>
              <w:rPr>
                <w:b/>
                <w:bCs/>
                <w:color w:val="auto"/>
                <w:spacing w:val="8"/>
                <w:highlight w:val="none"/>
              </w:rPr>
            </w:pPr>
          </w:p>
          <w:p w14:paraId="4F82354C">
            <w:pPr>
              <w:pStyle w:val="18"/>
              <w:spacing w:before="16" w:line="237" w:lineRule="auto"/>
              <w:ind w:left="111"/>
              <w:rPr>
                <w:color w:val="auto"/>
                <w:highlight w:val="none"/>
              </w:rPr>
            </w:pPr>
            <w:r>
              <w:rPr>
                <w:b/>
                <w:bCs/>
                <w:color w:val="auto"/>
                <w:spacing w:val="8"/>
                <w:highlight w:val="none"/>
              </w:rPr>
              <w:t>E</w:t>
            </w:r>
            <w:r>
              <w:rPr>
                <w:color w:val="auto"/>
                <w:spacing w:val="-39"/>
                <w:highlight w:val="none"/>
              </w:rPr>
              <w:t xml:space="preserve"> </w:t>
            </w:r>
            <w:r>
              <w:rPr>
                <w:b/>
                <w:bCs/>
                <w:color w:val="auto"/>
                <w:spacing w:val="8"/>
                <w:highlight w:val="none"/>
              </w:rPr>
              <w:t>值确定方式</w:t>
            </w:r>
            <w:r>
              <w:rPr>
                <w:b/>
                <w:bCs/>
                <w:color w:val="auto"/>
                <w:spacing w:val="-5"/>
                <w:highlight w:val="none"/>
              </w:rPr>
              <w:t>：</w:t>
            </w:r>
          </w:p>
          <w:p w14:paraId="5AF20551">
            <w:pPr>
              <w:pStyle w:val="18"/>
              <w:spacing w:line="242" w:lineRule="auto"/>
              <w:ind w:left="114"/>
              <w:rPr>
                <w:b/>
                <w:bCs/>
                <w:color w:val="auto"/>
                <w:spacing w:val="4"/>
                <w:highlight w:val="none"/>
              </w:rPr>
            </w:pPr>
          </w:p>
          <w:p w14:paraId="681F826E">
            <w:pPr>
              <w:pStyle w:val="18"/>
              <w:spacing w:line="242" w:lineRule="auto"/>
              <w:ind w:left="114"/>
              <w:rPr>
                <w:color w:val="auto"/>
                <w:highlight w:val="none"/>
              </w:rPr>
            </w:pPr>
            <w:r>
              <w:rPr>
                <w:b/>
                <w:bCs/>
                <w:color w:val="auto"/>
                <w:spacing w:val="4"/>
                <w:highlight w:val="none"/>
              </w:rPr>
              <w:t>方法二：</w:t>
            </w:r>
            <w:r>
              <w:rPr>
                <w:color w:val="auto"/>
                <w:spacing w:val="4"/>
                <w:highlight w:val="none"/>
              </w:rPr>
              <w:t>E</w:t>
            </w:r>
            <w:r>
              <w:rPr>
                <w:color w:val="auto"/>
                <w:spacing w:val="4"/>
                <w:position w:val="-2"/>
                <w:sz w:val="10"/>
                <w:szCs w:val="10"/>
                <w:highlight w:val="none"/>
              </w:rPr>
              <w:t>1</w:t>
            </w:r>
            <w:r>
              <w:rPr>
                <w:color w:val="auto"/>
                <w:spacing w:val="4"/>
                <w:highlight w:val="none"/>
              </w:rPr>
              <w:t>=1.5，E</w:t>
            </w:r>
            <w:r>
              <w:rPr>
                <w:color w:val="auto"/>
                <w:spacing w:val="4"/>
                <w:position w:val="-2"/>
                <w:sz w:val="10"/>
                <w:szCs w:val="10"/>
                <w:highlight w:val="none"/>
              </w:rPr>
              <w:t>2</w:t>
            </w:r>
            <w:r>
              <w:rPr>
                <w:color w:val="auto"/>
                <w:spacing w:val="4"/>
                <w:highlight w:val="none"/>
              </w:rPr>
              <w:t>=0.5，</w:t>
            </w:r>
          </w:p>
        </w:tc>
      </w:tr>
      <w:tr w14:paraId="374FAE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927" w:type="dxa"/>
            <w:vMerge w:val="restart"/>
            <w:tcBorders>
              <w:top w:val="single" w:color="auto" w:sz="4" w:space="0"/>
              <w:bottom w:val="single" w:color="auto" w:sz="4" w:space="0"/>
            </w:tcBorders>
            <w:vAlign w:val="top"/>
          </w:tcPr>
          <w:p w14:paraId="207BFFBE">
            <w:pPr>
              <w:spacing w:line="251" w:lineRule="auto"/>
              <w:rPr>
                <w:rFonts w:ascii="Arial"/>
                <w:color w:val="auto"/>
                <w:sz w:val="21"/>
                <w:highlight w:val="none"/>
              </w:rPr>
            </w:pPr>
          </w:p>
          <w:p w14:paraId="254E2D41">
            <w:pPr>
              <w:spacing w:line="252" w:lineRule="auto"/>
              <w:rPr>
                <w:rFonts w:ascii="Arial"/>
                <w:color w:val="auto"/>
                <w:sz w:val="21"/>
                <w:highlight w:val="none"/>
              </w:rPr>
            </w:pPr>
          </w:p>
          <w:p w14:paraId="5DA101E3">
            <w:pPr>
              <w:spacing w:line="252" w:lineRule="auto"/>
              <w:rPr>
                <w:rFonts w:ascii="Arial"/>
                <w:color w:val="auto"/>
                <w:sz w:val="21"/>
                <w:highlight w:val="none"/>
              </w:rPr>
            </w:pPr>
          </w:p>
          <w:p w14:paraId="050FA5F4">
            <w:pPr>
              <w:spacing w:line="252" w:lineRule="auto"/>
              <w:rPr>
                <w:rFonts w:ascii="Arial"/>
                <w:color w:val="auto"/>
                <w:sz w:val="21"/>
                <w:highlight w:val="none"/>
              </w:rPr>
            </w:pPr>
          </w:p>
          <w:p w14:paraId="0F23E6D5">
            <w:pPr>
              <w:spacing w:line="252" w:lineRule="auto"/>
              <w:rPr>
                <w:rFonts w:ascii="Arial"/>
                <w:color w:val="auto"/>
                <w:sz w:val="21"/>
                <w:highlight w:val="none"/>
              </w:rPr>
            </w:pPr>
          </w:p>
          <w:p w14:paraId="79A60FF7">
            <w:pPr>
              <w:spacing w:line="252" w:lineRule="auto"/>
              <w:rPr>
                <w:rFonts w:ascii="Arial"/>
                <w:color w:val="auto"/>
                <w:sz w:val="21"/>
                <w:highlight w:val="none"/>
              </w:rPr>
            </w:pPr>
          </w:p>
          <w:p w14:paraId="562BF206">
            <w:pPr>
              <w:spacing w:line="252" w:lineRule="auto"/>
              <w:rPr>
                <w:rFonts w:ascii="Arial"/>
                <w:color w:val="auto"/>
                <w:sz w:val="21"/>
                <w:highlight w:val="none"/>
              </w:rPr>
            </w:pPr>
          </w:p>
          <w:p w14:paraId="5B126E2B">
            <w:pPr>
              <w:spacing w:line="252" w:lineRule="auto"/>
              <w:rPr>
                <w:rFonts w:ascii="Arial"/>
                <w:color w:val="auto"/>
                <w:sz w:val="21"/>
                <w:highlight w:val="none"/>
              </w:rPr>
            </w:pPr>
          </w:p>
          <w:p w14:paraId="105EA5F6">
            <w:pPr>
              <w:spacing w:line="252" w:lineRule="auto"/>
              <w:rPr>
                <w:rFonts w:ascii="Arial"/>
                <w:color w:val="auto"/>
                <w:sz w:val="21"/>
                <w:highlight w:val="none"/>
              </w:rPr>
            </w:pPr>
          </w:p>
          <w:p w14:paraId="5A1C51D0">
            <w:pPr>
              <w:pStyle w:val="18"/>
              <w:spacing w:before="65" w:line="268" w:lineRule="exact"/>
              <w:ind w:left="208"/>
              <w:rPr>
                <w:color w:val="auto"/>
                <w:highlight w:val="none"/>
              </w:rPr>
            </w:pPr>
            <w:r>
              <w:rPr>
                <w:color w:val="auto"/>
                <w:spacing w:val="2"/>
                <w:position w:val="1"/>
                <w:highlight w:val="none"/>
              </w:rPr>
              <w:t>2.2.4</w:t>
            </w:r>
          </w:p>
          <w:p w14:paraId="6130F1E3">
            <w:pPr>
              <w:pStyle w:val="18"/>
              <w:spacing w:before="110" w:line="231" w:lineRule="auto"/>
              <w:ind w:left="348"/>
              <w:rPr>
                <w:color w:val="auto"/>
                <w:highlight w:val="none"/>
              </w:rPr>
            </w:pPr>
            <w:r>
              <w:rPr>
                <w:color w:val="auto"/>
                <w:spacing w:val="-10"/>
                <w:highlight w:val="none"/>
              </w:rPr>
              <w:t>(4)</w:t>
            </w:r>
          </w:p>
        </w:tc>
        <w:tc>
          <w:tcPr>
            <w:tcW w:w="655" w:type="dxa"/>
            <w:vMerge w:val="restart"/>
            <w:tcBorders>
              <w:top w:val="single" w:color="auto" w:sz="4" w:space="0"/>
              <w:bottom w:val="single" w:color="auto" w:sz="4" w:space="0"/>
            </w:tcBorders>
            <w:vAlign w:val="top"/>
          </w:tcPr>
          <w:p w14:paraId="1BE67522">
            <w:pPr>
              <w:spacing w:line="252" w:lineRule="auto"/>
              <w:rPr>
                <w:rFonts w:ascii="Arial"/>
                <w:color w:val="auto"/>
                <w:sz w:val="21"/>
                <w:highlight w:val="none"/>
              </w:rPr>
            </w:pPr>
          </w:p>
          <w:p w14:paraId="4C7287D8">
            <w:pPr>
              <w:spacing w:line="252" w:lineRule="auto"/>
              <w:rPr>
                <w:rFonts w:ascii="Arial"/>
                <w:color w:val="auto"/>
                <w:sz w:val="21"/>
                <w:highlight w:val="none"/>
              </w:rPr>
            </w:pPr>
          </w:p>
          <w:p w14:paraId="03AF8DFF">
            <w:pPr>
              <w:spacing w:line="252" w:lineRule="auto"/>
              <w:rPr>
                <w:rFonts w:ascii="Arial"/>
                <w:color w:val="auto"/>
                <w:sz w:val="21"/>
                <w:highlight w:val="none"/>
              </w:rPr>
            </w:pPr>
          </w:p>
          <w:p w14:paraId="0D31E34B">
            <w:pPr>
              <w:spacing w:line="252" w:lineRule="auto"/>
              <w:rPr>
                <w:rFonts w:ascii="Arial"/>
                <w:color w:val="auto"/>
                <w:sz w:val="21"/>
                <w:highlight w:val="none"/>
              </w:rPr>
            </w:pPr>
          </w:p>
          <w:p w14:paraId="234A286F">
            <w:pPr>
              <w:spacing w:line="252" w:lineRule="auto"/>
              <w:rPr>
                <w:rFonts w:ascii="Arial"/>
                <w:color w:val="auto"/>
                <w:sz w:val="21"/>
                <w:highlight w:val="none"/>
              </w:rPr>
            </w:pPr>
          </w:p>
          <w:p w14:paraId="66628752">
            <w:pPr>
              <w:spacing w:line="252" w:lineRule="auto"/>
              <w:rPr>
                <w:rFonts w:ascii="Arial"/>
                <w:color w:val="auto"/>
                <w:sz w:val="21"/>
                <w:highlight w:val="none"/>
              </w:rPr>
            </w:pPr>
          </w:p>
          <w:p w14:paraId="5C393B27">
            <w:pPr>
              <w:spacing w:line="252" w:lineRule="auto"/>
              <w:rPr>
                <w:rFonts w:ascii="Arial"/>
                <w:color w:val="auto"/>
                <w:sz w:val="21"/>
                <w:highlight w:val="none"/>
              </w:rPr>
            </w:pPr>
          </w:p>
          <w:p w14:paraId="25420CBD">
            <w:pPr>
              <w:spacing w:line="252" w:lineRule="auto"/>
              <w:rPr>
                <w:rFonts w:ascii="Arial"/>
                <w:color w:val="auto"/>
                <w:sz w:val="21"/>
                <w:highlight w:val="none"/>
              </w:rPr>
            </w:pPr>
          </w:p>
          <w:p w14:paraId="0ABC492B">
            <w:pPr>
              <w:spacing w:line="252" w:lineRule="auto"/>
              <w:rPr>
                <w:rFonts w:ascii="Arial"/>
                <w:color w:val="auto"/>
                <w:sz w:val="21"/>
                <w:highlight w:val="none"/>
              </w:rPr>
            </w:pPr>
          </w:p>
          <w:p w14:paraId="6795FD1A">
            <w:pPr>
              <w:pStyle w:val="18"/>
              <w:spacing w:before="65" w:line="351" w:lineRule="auto"/>
              <w:ind w:left="137" w:right="118" w:hanging="15"/>
              <w:rPr>
                <w:color w:val="auto"/>
                <w:highlight w:val="none"/>
              </w:rPr>
            </w:pPr>
            <w:r>
              <w:rPr>
                <w:color w:val="auto"/>
                <w:spacing w:val="4"/>
                <w:highlight w:val="none"/>
              </w:rPr>
              <w:t>其他</w:t>
            </w:r>
            <w:r>
              <w:rPr>
                <w:color w:val="auto"/>
                <w:spacing w:val="-4"/>
                <w:highlight w:val="none"/>
              </w:rPr>
              <w:t>因素</w:t>
            </w:r>
          </w:p>
        </w:tc>
        <w:tc>
          <w:tcPr>
            <w:tcW w:w="518" w:type="dxa"/>
            <w:vMerge w:val="restart"/>
            <w:tcBorders>
              <w:top w:val="single" w:color="auto" w:sz="4" w:space="0"/>
              <w:bottom w:val="single" w:color="auto" w:sz="4" w:space="0"/>
            </w:tcBorders>
            <w:textDirection w:val="tbRlV"/>
            <w:vAlign w:val="top"/>
          </w:tcPr>
          <w:p w14:paraId="0EC2C3CE">
            <w:pPr>
              <w:pStyle w:val="18"/>
              <w:spacing w:before="154" w:line="217" w:lineRule="auto"/>
              <w:ind w:left="2157"/>
              <w:rPr>
                <w:color w:val="auto"/>
                <w:sz w:val="10"/>
                <w:szCs w:val="10"/>
                <w:highlight w:val="none"/>
              </w:rPr>
            </w:pPr>
            <w:r>
              <w:rPr>
                <w:color w:val="auto"/>
                <w:spacing w:val="13"/>
                <w:w w:val="121"/>
                <w:highlight w:val="none"/>
              </w:rPr>
              <w:t>业</w:t>
            </w:r>
            <w:r>
              <w:rPr>
                <w:color w:val="auto"/>
                <w:spacing w:val="70"/>
                <w:highlight w:val="none"/>
              </w:rPr>
              <w:t xml:space="preserve"> </w:t>
            </w:r>
            <w:r>
              <w:rPr>
                <w:color w:val="auto"/>
                <w:spacing w:val="13"/>
                <w:w w:val="121"/>
                <w:highlight w:val="none"/>
              </w:rPr>
              <w:t>绩</w:t>
            </w:r>
            <w:r>
              <w:rPr>
                <w:color w:val="auto"/>
                <w:spacing w:val="-68"/>
                <w:highlight w:val="none"/>
              </w:rPr>
              <w:t xml:space="preserve"> </w:t>
            </w:r>
          </w:p>
        </w:tc>
        <w:tc>
          <w:tcPr>
            <w:tcW w:w="918" w:type="dxa"/>
            <w:vMerge w:val="restart"/>
            <w:tcBorders>
              <w:top w:val="single" w:color="auto" w:sz="4" w:space="0"/>
              <w:bottom w:val="single" w:color="auto" w:sz="4" w:space="0"/>
            </w:tcBorders>
            <w:vAlign w:val="top"/>
          </w:tcPr>
          <w:p w14:paraId="1D233D2D">
            <w:pPr>
              <w:spacing w:line="245" w:lineRule="auto"/>
              <w:rPr>
                <w:rFonts w:ascii="Arial"/>
                <w:color w:val="auto"/>
                <w:sz w:val="21"/>
                <w:highlight w:val="none"/>
              </w:rPr>
            </w:pPr>
          </w:p>
          <w:p w14:paraId="05E565DD">
            <w:pPr>
              <w:spacing w:line="245" w:lineRule="auto"/>
              <w:rPr>
                <w:rFonts w:ascii="Arial"/>
                <w:color w:val="auto"/>
                <w:sz w:val="21"/>
                <w:highlight w:val="none"/>
              </w:rPr>
            </w:pPr>
          </w:p>
          <w:p w14:paraId="5B0904D0">
            <w:pPr>
              <w:spacing w:line="245" w:lineRule="auto"/>
              <w:rPr>
                <w:rFonts w:ascii="Arial"/>
                <w:color w:val="auto"/>
                <w:sz w:val="21"/>
                <w:highlight w:val="none"/>
              </w:rPr>
            </w:pPr>
          </w:p>
          <w:p w14:paraId="1D7B13C7">
            <w:pPr>
              <w:spacing w:line="245" w:lineRule="auto"/>
              <w:rPr>
                <w:rFonts w:ascii="Arial"/>
                <w:color w:val="auto"/>
                <w:sz w:val="21"/>
                <w:highlight w:val="none"/>
              </w:rPr>
            </w:pPr>
          </w:p>
          <w:p w14:paraId="007694E9">
            <w:pPr>
              <w:spacing w:line="246" w:lineRule="auto"/>
              <w:rPr>
                <w:rFonts w:ascii="Arial"/>
                <w:color w:val="auto"/>
                <w:sz w:val="21"/>
                <w:highlight w:val="none"/>
              </w:rPr>
            </w:pPr>
          </w:p>
          <w:p w14:paraId="02E7C21E">
            <w:pPr>
              <w:spacing w:line="246" w:lineRule="auto"/>
              <w:rPr>
                <w:rFonts w:ascii="Arial"/>
                <w:color w:val="auto"/>
                <w:sz w:val="21"/>
                <w:highlight w:val="none"/>
              </w:rPr>
            </w:pPr>
          </w:p>
          <w:p w14:paraId="5B3EC501">
            <w:pPr>
              <w:spacing w:line="246" w:lineRule="auto"/>
              <w:rPr>
                <w:rFonts w:ascii="Arial"/>
                <w:color w:val="auto"/>
                <w:sz w:val="21"/>
                <w:highlight w:val="none"/>
              </w:rPr>
            </w:pPr>
          </w:p>
          <w:p w14:paraId="34030232">
            <w:pPr>
              <w:spacing w:line="246" w:lineRule="auto"/>
              <w:rPr>
                <w:rFonts w:ascii="Arial"/>
                <w:color w:val="auto"/>
                <w:sz w:val="21"/>
                <w:highlight w:val="none"/>
              </w:rPr>
            </w:pPr>
          </w:p>
          <w:p w14:paraId="711E33D3">
            <w:pPr>
              <w:spacing w:line="246" w:lineRule="auto"/>
              <w:rPr>
                <w:rFonts w:ascii="Arial"/>
                <w:color w:val="auto"/>
                <w:sz w:val="21"/>
                <w:highlight w:val="none"/>
              </w:rPr>
            </w:pPr>
          </w:p>
          <w:p w14:paraId="2D095B6E">
            <w:pPr>
              <w:spacing w:line="246" w:lineRule="auto"/>
              <w:rPr>
                <w:rFonts w:ascii="Arial"/>
                <w:color w:val="auto"/>
                <w:sz w:val="21"/>
                <w:highlight w:val="none"/>
              </w:rPr>
            </w:pPr>
          </w:p>
          <w:p w14:paraId="242130E6">
            <w:pPr>
              <w:pStyle w:val="18"/>
              <w:spacing w:before="65" w:line="228" w:lineRule="auto"/>
              <w:ind w:left="230"/>
              <w:rPr>
                <w:color w:val="auto"/>
                <w:highlight w:val="none"/>
              </w:rPr>
            </w:pPr>
            <w:r>
              <w:rPr>
                <w:color w:val="auto"/>
                <w:spacing w:val="-1"/>
                <w:highlight w:val="none"/>
              </w:rPr>
              <w:t>25</w:t>
            </w:r>
            <w:r>
              <w:rPr>
                <w:color w:val="auto"/>
                <w:spacing w:val="-37"/>
                <w:highlight w:val="none"/>
              </w:rPr>
              <w:t xml:space="preserve"> </w:t>
            </w:r>
            <w:r>
              <w:rPr>
                <w:color w:val="auto"/>
                <w:spacing w:val="-1"/>
                <w:highlight w:val="none"/>
              </w:rPr>
              <w:t>分</w:t>
            </w:r>
          </w:p>
        </w:tc>
        <w:tc>
          <w:tcPr>
            <w:tcW w:w="946" w:type="dxa"/>
            <w:tcBorders>
              <w:top w:val="single" w:color="auto" w:sz="4" w:space="0"/>
              <w:bottom w:val="single" w:color="auto" w:sz="4" w:space="0"/>
            </w:tcBorders>
            <w:vAlign w:val="top"/>
          </w:tcPr>
          <w:p w14:paraId="04C3CE68">
            <w:pPr>
              <w:pStyle w:val="18"/>
              <w:spacing w:before="144" w:line="282" w:lineRule="auto"/>
              <w:ind w:left="373" w:right="158" w:hanging="212"/>
              <w:rPr>
                <w:color w:val="auto"/>
                <w:highlight w:val="none"/>
              </w:rPr>
            </w:pPr>
            <w:r>
              <w:rPr>
                <w:color w:val="auto"/>
                <w:spacing w:val="6"/>
                <w:highlight w:val="none"/>
              </w:rPr>
              <w:t>基本要</w:t>
            </w:r>
            <w:r>
              <w:rPr>
                <w:color w:val="auto"/>
                <w:highlight w:val="none"/>
              </w:rPr>
              <w:t>求</w:t>
            </w:r>
          </w:p>
        </w:tc>
        <w:tc>
          <w:tcPr>
            <w:tcW w:w="581" w:type="dxa"/>
            <w:tcBorders>
              <w:top w:val="single" w:color="auto" w:sz="4" w:space="0"/>
              <w:bottom w:val="single" w:color="auto" w:sz="4" w:space="0"/>
            </w:tcBorders>
            <w:vAlign w:val="top"/>
          </w:tcPr>
          <w:p w14:paraId="733E4246">
            <w:pPr>
              <w:pStyle w:val="18"/>
              <w:spacing w:before="144" w:line="282" w:lineRule="auto"/>
              <w:ind w:left="190" w:right="187" w:firstLine="12"/>
              <w:rPr>
                <w:color w:val="auto"/>
                <w:highlight w:val="none"/>
              </w:rPr>
            </w:pPr>
            <w:r>
              <w:rPr>
                <w:color w:val="auto"/>
                <w:spacing w:val="-8"/>
                <w:highlight w:val="none"/>
                <w:u w:val="single" w:color="auto"/>
              </w:rPr>
              <w:t>15</w:t>
            </w:r>
            <w:r>
              <w:rPr>
                <w:color w:val="auto"/>
                <w:spacing w:val="-2"/>
                <w:highlight w:val="none"/>
              </w:rPr>
              <w:t>分</w:t>
            </w:r>
          </w:p>
        </w:tc>
        <w:tc>
          <w:tcPr>
            <w:tcW w:w="4350" w:type="dxa"/>
            <w:tcBorders>
              <w:top w:val="single" w:color="auto" w:sz="4" w:space="0"/>
              <w:bottom w:val="single" w:color="auto" w:sz="4" w:space="0"/>
            </w:tcBorders>
            <w:vAlign w:val="top"/>
          </w:tcPr>
          <w:p w14:paraId="254EAFE5">
            <w:pPr>
              <w:pStyle w:val="18"/>
              <w:spacing w:before="144" w:line="282" w:lineRule="auto"/>
              <w:ind w:left="107" w:right="206" w:hanging="2"/>
              <w:rPr>
                <w:color w:val="auto"/>
                <w:highlight w:val="none"/>
              </w:rPr>
            </w:pPr>
            <w:r>
              <w:rPr>
                <w:color w:val="auto"/>
                <w:spacing w:val="6"/>
                <w:highlight w:val="none"/>
              </w:rPr>
              <w:t>满足招标文件附录</w:t>
            </w:r>
            <w:r>
              <w:rPr>
                <w:color w:val="auto"/>
                <w:spacing w:val="-27"/>
                <w:highlight w:val="none"/>
              </w:rPr>
              <w:t xml:space="preserve"> </w:t>
            </w:r>
            <w:r>
              <w:rPr>
                <w:color w:val="auto"/>
                <w:spacing w:val="6"/>
                <w:highlight w:val="none"/>
              </w:rPr>
              <w:t>2</w:t>
            </w:r>
            <w:r>
              <w:rPr>
                <w:color w:val="auto"/>
                <w:spacing w:val="-38"/>
                <w:highlight w:val="none"/>
              </w:rPr>
              <w:t xml:space="preserve"> </w:t>
            </w:r>
            <w:r>
              <w:rPr>
                <w:color w:val="auto"/>
                <w:spacing w:val="6"/>
                <w:highlight w:val="none"/>
              </w:rPr>
              <w:t>业绩最低要求的，得</w:t>
            </w:r>
            <w:r>
              <w:rPr>
                <w:color w:val="auto"/>
                <w:spacing w:val="-48"/>
                <w:highlight w:val="none"/>
              </w:rPr>
              <w:t xml:space="preserve"> </w:t>
            </w:r>
            <w:r>
              <w:rPr>
                <w:color w:val="auto"/>
                <w:spacing w:val="-76"/>
                <w:highlight w:val="none"/>
                <w:u w:val="single" w:color="auto"/>
              </w:rPr>
              <w:t xml:space="preserve"> </w:t>
            </w:r>
            <w:r>
              <w:rPr>
                <w:color w:val="auto"/>
                <w:spacing w:val="6"/>
                <w:highlight w:val="none"/>
                <w:u w:val="single" w:color="auto"/>
              </w:rPr>
              <w:t>15</w:t>
            </w:r>
            <w:r>
              <w:rPr>
                <w:color w:val="auto"/>
                <w:spacing w:val="-1"/>
                <w:highlight w:val="none"/>
              </w:rPr>
              <w:t>分。</w:t>
            </w:r>
          </w:p>
        </w:tc>
      </w:tr>
      <w:tr w14:paraId="5B9C5D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927" w:type="dxa"/>
            <w:vMerge w:val="continue"/>
            <w:tcBorders>
              <w:top w:val="single" w:color="auto" w:sz="4" w:space="0"/>
              <w:bottom w:val="nil"/>
            </w:tcBorders>
            <w:vAlign w:val="top"/>
          </w:tcPr>
          <w:p w14:paraId="103790AD">
            <w:pPr>
              <w:rPr>
                <w:rFonts w:ascii="Arial"/>
                <w:color w:val="auto"/>
                <w:sz w:val="21"/>
                <w:highlight w:val="none"/>
              </w:rPr>
            </w:pPr>
          </w:p>
        </w:tc>
        <w:tc>
          <w:tcPr>
            <w:tcW w:w="655" w:type="dxa"/>
            <w:vMerge w:val="continue"/>
            <w:tcBorders>
              <w:top w:val="single" w:color="auto" w:sz="4" w:space="0"/>
              <w:bottom w:val="nil"/>
            </w:tcBorders>
            <w:vAlign w:val="top"/>
          </w:tcPr>
          <w:p w14:paraId="742E6D64">
            <w:pPr>
              <w:rPr>
                <w:rFonts w:ascii="Arial"/>
                <w:color w:val="auto"/>
                <w:sz w:val="21"/>
                <w:highlight w:val="none"/>
              </w:rPr>
            </w:pPr>
          </w:p>
        </w:tc>
        <w:tc>
          <w:tcPr>
            <w:tcW w:w="518" w:type="dxa"/>
            <w:vMerge w:val="continue"/>
            <w:tcBorders>
              <w:top w:val="single" w:color="auto" w:sz="4" w:space="0"/>
              <w:bottom w:val="nil"/>
            </w:tcBorders>
            <w:textDirection w:val="tbRlV"/>
            <w:vAlign w:val="top"/>
          </w:tcPr>
          <w:p w14:paraId="32A438CE">
            <w:pPr>
              <w:rPr>
                <w:rFonts w:ascii="Arial"/>
                <w:color w:val="auto"/>
                <w:sz w:val="21"/>
                <w:highlight w:val="none"/>
              </w:rPr>
            </w:pPr>
          </w:p>
        </w:tc>
        <w:tc>
          <w:tcPr>
            <w:tcW w:w="918" w:type="dxa"/>
            <w:vMerge w:val="continue"/>
            <w:tcBorders>
              <w:top w:val="single" w:color="auto" w:sz="4" w:space="0"/>
              <w:bottom w:val="nil"/>
            </w:tcBorders>
            <w:vAlign w:val="top"/>
          </w:tcPr>
          <w:p w14:paraId="2B9BE7F6">
            <w:pPr>
              <w:rPr>
                <w:rFonts w:ascii="Arial"/>
                <w:color w:val="auto"/>
                <w:sz w:val="21"/>
                <w:highlight w:val="none"/>
              </w:rPr>
            </w:pPr>
          </w:p>
        </w:tc>
        <w:tc>
          <w:tcPr>
            <w:tcW w:w="946" w:type="dxa"/>
            <w:tcBorders>
              <w:top w:val="single" w:color="auto" w:sz="4" w:space="0"/>
            </w:tcBorders>
            <w:vAlign w:val="top"/>
          </w:tcPr>
          <w:p w14:paraId="0A8056EE">
            <w:pPr>
              <w:pStyle w:val="18"/>
              <w:spacing w:before="141" w:line="228" w:lineRule="auto"/>
              <w:ind w:left="269"/>
              <w:rPr>
                <w:color w:val="auto"/>
                <w:highlight w:val="none"/>
              </w:rPr>
            </w:pPr>
            <w:r>
              <w:rPr>
                <w:color w:val="auto"/>
                <w:spacing w:val="3"/>
                <w:highlight w:val="none"/>
              </w:rPr>
              <w:t>路基</w:t>
            </w:r>
          </w:p>
          <w:p w14:paraId="78CE210A">
            <w:pPr>
              <w:pStyle w:val="18"/>
              <w:spacing w:before="135" w:line="214" w:lineRule="auto"/>
              <w:ind w:left="269"/>
              <w:rPr>
                <w:color w:val="auto"/>
                <w:highlight w:val="none"/>
              </w:rPr>
            </w:pPr>
            <w:r>
              <w:rPr>
                <w:color w:val="auto"/>
                <w:spacing w:val="3"/>
                <w:highlight w:val="none"/>
              </w:rPr>
              <w:t>工程</w:t>
            </w:r>
          </w:p>
        </w:tc>
        <w:tc>
          <w:tcPr>
            <w:tcW w:w="581" w:type="dxa"/>
            <w:tcBorders>
              <w:top w:val="single" w:color="auto" w:sz="4" w:space="0"/>
            </w:tcBorders>
            <w:vAlign w:val="top"/>
          </w:tcPr>
          <w:p w14:paraId="36B888FE">
            <w:pPr>
              <w:spacing w:line="267" w:lineRule="auto"/>
              <w:rPr>
                <w:rFonts w:ascii="Arial"/>
                <w:color w:val="auto"/>
                <w:sz w:val="21"/>
                <w:highlight w:val="none"/>
              </w:rPr>
            </w:pPr>
          </w:p>
          <w:p w14:paraId="129CAB54">
            <w:pPr>
              <w:pStyle w:val="18"/>
              <w:tabs>
                <w:tab w:val="left" w:pos="221"/>
              </w:tabs>
              <w:spacing w:before="65" w:line="228" w:lineRule="auto"/>
              <w:ind w:left="104"/>
              <w:rPr>
                <w:color w:val="auto"/>
                <w:highlight w:val="none"/>
              </w:rPr>
            </w:pPr>
            <w:r>
              <w:rPr>
                <w:rFonts w:hint="eastAsia"/>
                <w:color w:val="auto"/>
                <w:highlight w:val="none"/>
                <w:u w:val="single" w:color="auto"/>
                <w:lang w:val="en-US" w:eastAsia="zh-CN"/>
              </w:rPr>
              <w:t>4</w:t>
            </w:r>
            <w:r>
              <w:rPr>
                <w:color w:val="auto"/>
                <w:highlight w:val="none"/>
              </w:rPr>
              <w:t>分</w:t>
            </w:r>
          </w:p>
        </w:tc>
        <w:tc>
          <w:tcPr>
            <w:tcW w:w="4350" w:type="dxa"/>
            <w:tcBorders>
              <w:top w:val="single" w:color="auto" w:sz="4" w:space="0"/>
            </w:tcBorders>
            <w:vAlign w:val="top"/>
          </w:tcPr>
          <w:p w14:paraId="10698F99">
            <w:pPr>
              <w:pStyle w:val="18"/>
              <w:spacing w:before="141" w:line="283" w:lineRule="auto"/>
              <w:ind w:left="115" w:right="153" w:hanging="10"/>
              <w:rPr>
                <w:color w:val="auto"/>
                <w:highlight w:val="none"/>
              </w:rPr>
            </w:pPr>
            <w:r>
              <w:rPr>
                <w:color w:val="auto"/>
                <w:spacing w:val="8"/>
                <w:highlight w:val="none"/>
              </w:rPr>
              <w:t>在满足业绩最低要求的基础上，每增加</w:t>
            </w:r>
            <w:r>
              <w:rPr>
                <w:color w:val="auto"/>
                <w:spacing w:val="8"/>
                <w:highlight w:val="none"/>
                <w:u w:val="single" w:color="auto"/>
              </w:rPr>
              <w:t xml:space="preserve"> </w:t>
            </w:r>
            <w:r>
              <w:rPr>
                <w:rFonts w:hint="eastAsia"/>
                <w:color w:val="auto"/>
                <w:spacing w:val="8"/>
                <w:highlight w:val="none"/>
                <w:u w:val="single" w:color="auto"/>
                <w:lang w:val="en-US" w:eastAsia="zh-CN"/>
              </w:rPr>
              <w:t>1</w:t>
            </w:r>
            <w:r>
              <w:rPr>
                <w:color w:val="auto"/>
                <w:spacing w:val="8"/>
                <w:highlight w:val="none"/>
                <w:u w:val="single" w:color="auto"/>
              </w:rPr>
              <w:t xml:space="preserve"> </w:t>
            </w:r>
            <w:r>
              <w:rPr>
                <w:color w:val="auto"/>
                <w:spacing w:val="-76"/>
                <w:highlight w:val="none"/>
              </w:rPr>
              <w:t xml:space="preserve"> </w:t>
            </w:r>
            <w:r>
              <w:rPr>
                <w:color w:val="auto"/>
                <w:highlight w:val="none"/>
              </w:rPr>
              <w:t xml:space="preserve">km </w:t>
            </w:r>
            <w:r>
              <w:rPr>
                <w:color w:val="auto"/>
                <w:spacing w:val="6"/>
                <w:highlight w:val="none"/>
              </w:rPr>
              <w:t>（尾数不计）加</w:t>
            </w:r>
            <w:r>
              <w:rPr>
                <w:color w:val="auto"/>
                <w:spacing w:val="6"/>
                <w:highlight w:val="none"/>
                <w:u w:val="single" w:color="auto"/>
              </w:rPr>
              <w:t xml:space="preserve"> </w:t>
            </w:r>
            <w:r>
              <w:rPr>
                <w:rFonts w:hint="eastAsia"/>
                <w:color w:val="auto"/>
                <w:spacing w:val="6"/>
                <w:highlight w:val="none"/>
                <w:u w:val="single" w:color="auto"/>
                <w:lang w:val="en-US" w:eastAsia="zh-CN"/>
              </w:rPr>
              <w:t>1</w:t>
            </w:r>
            <w:r>
              <w:rPr>
                <w:color w:val="auto"/>
                <w:spacing w:val="-85"/>
                <w:highlight w:val="none"/>
              </w:rPr>
              <w:t xml:space="preserve"> </w:t>
            </w:r>
            <w:r>
              <w:rPr>
                <w:color w:val="auto"/>
                <w:spacing w:val="6"/>
                <w:highlight w:val="none"/>
              </w:rPr>
              <w:t>分，最多加</w:t>
            </w:r>
            <w:r>
              <w:rPr>
                <w:color w:val="auto"/>
                <w:spacing w:val="6"/>
                <w:highlight w:val="none"/>
                <w:u w:val="single" w:color="auto"/>
              </w:rPr>
              <w:t xml:space="preserve"> </w:t>
            </w:r>
            <w:r>
              <w:rPr>
                <w:rFonts w:hint="eastAsia"/>
                <w:color w:val="auto"/>
                <w:spacing w:val="6"/>
                <w:highlight w:val="none"/>
                <w:u w:val="single" w:color="auto"/>
                <w:lang w:val="en-US" w:eastAsia="zh-CN"/>
              </w:rPr>
              <w:t>4</w:t>
            </w:r>
            <w:r>
              <w:rPr>
                <w:color w:val="auto"/>
                <w:spacing w:val="6"/>
                <w:highlight w:val="none"/>
                <w:u w:val="single" w:color="auto"/>
              </w:rPr>
              <w:t xml:space="preserve"> </w:t>
            </w:r>
            <w:r>
              <w:rPr>
                <w:color w:val="auto"/>
                <w:spacing w:val="-89"/>
                <w:highlight w:val="none"/>
              </w:rPr>
              <w:t xml:space="preserve"> </w:t>
            </w:r>
            <w:r>
              <w:rPr>
                <w:color w:val="auto"/>
                <w:spacing w:val="6"/>
                <w:highlight w:val="none"/>
              </w:rPr>
              <w:t>分</w:t>
            </w:r>
          </w:p>
        </w:tc>
      </w:tr>
      <w:tr w14:paraId="4A784A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927" w:type="dxa"/>
            <w:vMerge w:val="continue"/>
            <w:tcBorders>
              <w:top w:val="nil"/>
              <w:bottom w:val="nil"/>
            </w:tcBorders>
            <w:vAlign w:val="top"/>
          </w:tcPr>
          <w:p w14:paraId="44A796F4">
            <w:pPr>
              <w:rPr>
                <w:rFonts w:ascii="Arial"/>
                <w:color w:val="auto"/>
                <w:sz w:val="21"/>
                <w:highlight w:val="none"/>
              </w:rPr>
            </w:pPr>
          </w:p>
        </w:tc>
        <w:tc>
          <w:tcPr>
            <w:tcW w:w="655" w:type="dxa"/>
            <w:vMerge w:val="continue"/>
            <w:tcBorders>
              <w:top w:val="nil"/>
              <w:bottom w:val="nil"/>
            </w:tcBorders>
            <w:vAlign w:val="top"/>
          </w:tcPr>
          <w:p w14:paraId="61FDDE82">
            <w:pPr>
              <w:rPr>
                <w:rFonts w:ascii="Arial"/>
                <w:color w:val="auto"/>
                <w:sz w:val="21"/>
                <w:highlight w:val="none"/>
              </w:rPr>
            </w:pPr>
          </w:p>
        </w:tc>
        <w:tc>
          <w:tcPr>
            <w:tcW w:w="518" w:type="dxa"/>
            <w:vMerge w:val="continue"/>
            <w:tcBorders>
              <w:top w:val="nil"/>
              <w:bottom w:val="nil"/>
            </w:tcBorders>
            <w:textDirection w:val="tbRlV"/>
            <w:vAlign w:val="top"/>
          </w:tcPr>
          <w:p w14:paraId="2B531BB6">
            <w:pPr>
              <w:rPr>
                <w:rFonts w:ascii="Arial"/>
                <w:color w:val="auto"/>
                <w:sz w:val="21"/>
                <w:highlight w:val="none"/>
              </w:rPr>
            </w:pPr>
          </w:p>
        </w:tc>
        <w:tc>
          <w:tcPr>
            <w:tcW w:w="918" w:type="dxa"/>
            <w:vMerge w:val="continue"/>
            <w:tcBorders>
              <w:top w:val="nil"/>
              <w:bottom w:val="nil"/>
            </w:tcBorders>
            <w:vAlign w:val="top"/>
          </w:tcPr>
          <w:p w14:paraId="2A99C16B">
            <w:pPr>
              <w:rPr>
                <w:rFonts w:ascii="Arial"/>
                <w:color w:val="auto"/>
                <w:sz w:val="21"/>
                <w:highlight w:val="none"/>
              </w:rPr>
            </w:pPr>
          </w:p>
        </w:tc>
        <w:tc>
          <w:tcPr>
            <w:tcW w:w="946" w:type="dxa"/>
            <w:vAlign w:val="top"/>
          </w:tcPr>
          <w:p w14:paraId="060404B5">
            <w:pPr>
              <w:pStyle w:val="18"/>
              <w:spacing w:before="141" w:line="228" w:lineRule="auto"/>
              <w:ind w:left="269"/>
              <w:rPr>
                <w:color w:val="auto"/>
                <w:highlight w:val="none"/>
              </w:rPr>
            </w:pPr>
            <w:r>
              <w:rPr>
                <w:color w:val="auto"/>
                <w:spacing w:val="3"/>
                <w:highlight w:val="none"/>
              </w:rPr>
              <w:t>路面</w:t>
            </w:r>
          </w:p>
          <w:p w14:paraId="34025D81">
            <w:pPr>
              <w:pStyle w:val="18"/>
              <w:spacing w:before="134" w:line="214" w:lineRule="auto"/>
              <w:ind w:left="269"/>
              <w:rPr>
                <w:color w:val="auto"/>
                <w:highlight w:val="none"/>
              </w:rPr>
            </w:pPr>
            <w:r>
              <w:rPr>
                <w:color w:val="auto"/>
                <w:spacing w:val="3"/>
                <w:highlight w:val="none"/>
              </w:rPr>
              <w:t>工程</w:t>
            </w:r>
          </w:p>
        </w:tc>
        <w:tc>
          <w:tcPr>
            <w:tcW w:w="581" w:type="dxa"/>
            <w:vAlign w:val="top"/>
          </w:tcPr>
          <w:p w14:paraId="52DC8F04">
            <w:pPr>
              <w:spacing w:line="265" w:lineRule="auto"/>
              <w:rPr>
                <w:rFonts w:ascii="Arial"/>
                <w:color w:val="auto"/>
                <w:sz w:val="21"/>
                <w:highlight w:val="none"/>
              </w:rPr>
            </w:pPr>
          </w:p>
          <w:p w14:paraId="63B97377">
            <w:pPr>
              <w:pStyle w:val="18"/>
              <w:tabs>
                <w:tab w:val="left" w:pos="240"/>
              </w:tabs>
              <w:spacing w:before="65" w:line="228" w:lineRule="auto"/>
              <w:ind w:left="126"/>
              <w:rPr>
                <w:color w:val="auto"/>
                <w:highlight w:val="none"/>
              </w:rPr>
            </w:pPr>
            <w:r>
              <w:rPr>
                <w:rFonts w:hint="eastAsia"/>
                <w:color w:val="auto"/>
                <w:highlight w:val="none"/>
                <w:u w:val="single" w:color="auto"/>
                <w:lang w:val="en-US" w:eastAsia="zh-CN"/>
              </w:rPr>
              <w:t>4</w:t>
            </w:r>
            <w:r>
              <w:rPr>
                <w:color w:val="auto"/>
                <w:highlight w:val="none"/>
              </w:rPr>
              <w:t>分</w:t>
            </w:r>
          </w:p>
        </w:tc>
        <w:tc>
          <w:tcPr>
            <w:tcW w:w="4350" w:type="dxa"/>
            <w:vAlign w:val="top"/>
          </w:tcPr>
          <w:p w14:paraId="39AFE68F">
            <w:pPr>
              <w:pStyle w:val="18"/>
              <w:spacing w:before="141" w:line="283" w:lineRule="auto"/>
              <w:ind w:left="115" w:right="153" w:hanging="10"/>
              <w:rPr>
                <w:color w:val="auto"/>
                <w:highlight w:val="none"/>
              </w:rPr>
            </w:pPr>
            <w:r>
              <w:rPr>
                <w:color w:val="auto"/>
                <w:spacing w:val="8"/>
                <w:highlight w:val="none"/>
              </w:rPr>
              <w:t>在满足业绩最低要求的基础上，每增加</w:t>
            </w:r>
            <w:r>
              <w:rPr>
                <w:color w:val="auto"/>
                <w:spacing w:val="8"/>
                <w:highlight w:val="none"/>
                <w:u w:val="single" w:color="auto"/>
              </w:rPr>
              <w:t xml:space="preserve"> </w:t>
            </w:r>
            <w:r>
              <w:rPr>
                <w:rFonts w:hint="eastAsia"/>
                <w:color w:val="auto"/>
                <w:spacing w:val="8"/>
                <w:highlight w:val="none"/>
                <w:u w:val="single" w:color="auto"/>
                <w:lang w:val="en-US" w:eastAsia="zh-CN"/>
              </w:rPr>
              <w:t>1</w:t>
            </w:r>
            <w:r>
              <w:rPr>
                <w:color w:val="auto"/>
                <w:spacing w:val="8"/>
                <w:highlight w:val="none"/>
                <w:u w:val="single" w:color="auto"/>
              </w:rPr>
              <w:t xml:space="preserve"> </w:t>
            </w:r>
            <w:r>
              <w:rPr>
                <w:color w:val="auto"/>
                <w:highlight w:val="none"/>
              </w:rPr>
              <w:t xml:space="preserve">km </w:t>
            </w:r>
            <w:r>
              <w:rPr>
                <w:color w:val="auto"/>
                <w:spacing w:val="6"/>
                <w:highlight w:val="none"/>
              </w:rPr>
              <w:t>（尾数不计）加</w:t>
            </w:r>
            <w:r>
              <w:rPr>
                <w:color w:val="auto"/>
                <w:spacing w:val="6"/>
                <w:highlight w:val="none"/>
                <w:u w:val="single" w:color="auto"/>
              </w:rPr>
              <w:t xml:space="preserve"> </w:t>
            </w:r>
            <w:r>
              <w:rPr>
                <w:rFonts w:hint="eastAsia"/>
                <w:color w:val="auto"/>
                <w:spacing w:val="6"/>
                <w:highlight w:val="none"/>
                <w:u w:val="single" w:color="auto"/>
                <w:lang w:val="en-US" w:eastAsia="zh-CN"/>
              </w:rPr>
              <w:t>1</w:t>
            </w:r>
            <w:r>
              <w:rPr>
                <w:color w:val="auto"/>
                <w:spacing w:val="6"/>
                <w:highlight w:val="none"/>
                <w:u w:val="single" w:color="auto"/>
              </w:rPr>
              <w:t xml:space="preserve"> </w:t>
            </w:r>
            <w:r>
              <w:rPr>
                <w:color w:val="auto"/>
                <w:spacing w:val="-85"/>
                <w:highlight w:val="none"/>
              </w:rPr>
              <w:t xml:space="preserve"> </w:t>
            </w:r>
            <w:r>
              <w:rPr>
                <w:color w:val="auto"/>
                <w:spacing w:val="6"/>
                <w:highlight w:val="none"/>
              </w:rPr>
              <w:t>分，最多加</w:t>
            </w:r>
            <w:r>
              <w:rPr>
                <w:color w:val="auto"/>
                <w:spacing w:val="6"/>
                <w:highlight w:val="none"/>
                <w:u w:val="single" w:color="auto"/>
              </w:rPr>
              <w:t xml:space="preserve"> </w:t>
            </w:r>
            <w:r>
              <w:rPr>
                <w:rFonts w:hint="eastAsia"/>
                <w:color w:val="auto"/>
                <w:spacing w:val="6"/>
                <w:highlight w:val="none"/>
                <w:u w:val="single" w:color="auto"/>
                <w:lang w:val="en-US" w:eastAsia="zh-CN"/>
              </w:rPr>
              <w:t>4</w:t>
            </w:r>
            <w:r>
              <w:rPr>
                <w:color w:val="auto"/>
                <w:spacing w:val="6"/>
                <w:highlight w:val="none"/>
                <w:u w:val="single" w:color="auto"/>
              </w:rPr>
              <w:t xml:space="preserve"> </w:t>
            </w:r>
            <w:r>
              <w:rPr>
                <w:color w:val="auto"/>
                <w:spacing w:val="-89"/>
                <w:highlight w:val="none"/>
              </w:rPr>
              <w:t xml:space="preserve"> </w:t>
            </w:r>
            <w:r>
              <w:rPr>
                <w:color w:val="auto"/>
                <w:spacing w:val="6"/>
                <w:highlight w:val="none"/>
              </w:rPr>
              <w:t>分</w:t>
            </w:r>
          </w:p>
        </w:tc>
      </w:tr>
      <w:tr w14:paraId="73AF63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5" w:hRule="atLeast"/>
        </w:trPr>
        <w:tc>
          <w:tcPr>
            <w:tcW w:w="927" w:type="dxa"/>
            <w:vMerge w:val="continue"/>
            <w:tcBorders>
              <w:top w:val="nil"/>
            </w:tcBorders>
            <w:vAlign w:val="top"/>
          </w:tcPr>
          <w:p w14:paraId="603E5B05">
            <w:pPr>
              <w:rPr>
                <w:rFonts w:ascii="Arial"/>
                <w:color w:val="auto"/>
                <w:sz w:val="21"/>
                <w:highlight w:val="none"/>
              </w:rPr>
            </w:pPr>
          </w:p>
        </w:tc>
        <w:tc>
          <w:tcPr>
            <w:tcW w:w="655" w:type="dxa"/>
            <w:vMerge w:val="continue"/>
            <w:tcBorders>
              <w:top w:val="nil"/>
            </w:tcBorders>
            <w:vAlign w:val="top"/>
          </w:tcPr>
          <w:p w14:paraId="38A9687E">
            <w:pPr>
              <w:rPr>
                <w:rFonts w:ascii="Arial"/>
                <w:color w:val="auto"/>
                <w:sz w:val="21"/>
                <w:highlight w:val="none"/>
              </w:rPr>
            </w:pPr>
          </w:p>
        </w:tc>
        <w:tc>
          <w:tcPr>
            <w:tcW w:w="518" w:type="dxa"/>
            <w:vMerge w:val="continue"/>
            <w:tcBorders>
              <w:top w:val="nil"/>
            </w:tcBorders>
            <w:textDirection w:val="tbRlV"/>
            <w:vAlign w:val="top"/>
          </w:tcPr>
          <w:p w14:paraId="2E440650">
            <w:pPr>
              <w:rPr>
                <w:rFonts w:ascii="Arial"/>
                <w:color w:val="auto"/>
                <w:sz w:val="21"/>
                <w:highlight w:val="none"/>
              </w:rPr>
            </w:pPr>
          </w:p>
        </w:tc>
        <w:tc>
          <w:tcPr>
            <w:tcW w:w="918" w:type="dxa"/>
            <w:vMerge w:val="continue"/>
            <w:tcBorders>
              <w:top w:val="nil"/>
            </w:tcBorders>
            <w:vAlign w:val="top"/>
          </w:tcPr>
          <w:p w14:paraId="3A99F61E">
            <w:pPr>
              <w:rPr>
                <w:rFonts w:ascii="Arial"/>
                <w:color w:val="auto"/>
                <w:sz w:val="21"/>
                <w:highlight w:val="none"/>
              </w:rPr>
            </w:pPr>
          </w:p>
        </w:tc>
        <w:tc>
          <w:tcPr>
            <w:tcW w:w="946" w:type="dxa"/>
            <w:vAlign w:val="top"/>
          </w:tcPr>
          <w:p w14:paraId="28E1A824">
            <w:pPr>
              <w:spacing w:line="279" w:lineRule="auto"/>
              <w:rPr>
                <w:rFonts w:ascii="Arial"/>
                <w:color w:val="auto"/>
                <w:sz w:val="21"/>
                <w:highlight w:val="none"/>
              </w:rPr>
            </w:pPr>
          </w:p>
          <w:p w14:paraId="1B357847">
            <w:pPr>
              <w:spacing w:line="279" w:lineRule="auto"/>
              <w:rPr>
                <w:rFonts w:ascii="Arial"/>
                <w:color w:val="auto"/>
                <w:sz w:val="21"/>
                <w:highlight w:val="none"/>
              </w:rPr>
            </w:pPr>
          </w:p>
          <w:p w14:paraId="10D73FFA">
            <w:pPr>
              <w:spacing w:line="280" w:lineRule="auto"/>
              <w:rPr>
                <w:rFonts w:ascii="Arial"/>
                <w:color w:val="auto"/>
                <w:sz w:val="21"/>
                <w:highlight w:val="none"/>
              </w:rPr>
            </w:pPr>
          </w:p>
          <w:p w14:paraId="6D9E4E55">
            <w:pPr>
              <w:spacing w:line="280" w:lineRule="auto"/>
              <w:rPr>
                <w:rFonts w:ascii="Arial"/>
                <w:color w:val="auto"/>
                <w:sz w:val="21"/>
                <w:highlight w:val="none"/>
              </w:rPr>
            </w:pPr>
          </w:p>
          <w:p w14:paraId="37A54AD0">
            <w:pPr>
              <w:pStyle w:val="18"/>
              <w:spacing w:before="65" w:line="352" w:lineRule="auto"/>
              <w:ind w:left="269" w:right="264" w:hanging="2"/>
              <w:rPr>
                <w:color w:val="auto"/>
                <w:highlight w:val="none"/>
              </w:rPr>
            </w:pPr>
            <w:r>
              <w:rPr>
                <w:color w:val="auto"/>
                <w:spacing w:val="4"/>
                <w:highlight w:val="none"/>
              </w:rPr>
              <w:t>桥梁</w:t>
            </w:r>
            <w:r>
              <w:rPr>
                <w:color w:val="auto"/>
                <w:spacing w:val="3"/>
                <w:highlight w:val="none"/>
              </w:rPr>
              <w:t>工程</w:t>
            </w:r>
          </w:p>
        </w:tc>
        <w:tc>
          <w:tcPr>
            <w:tcW w:w="581" w:type="dxa"/>
            <w:vAlign w:val="top"/>
          </w:tcPr>
          <w:p w14:paraId="026FC6FA">
            <w:pPr>
              <w:spacing w:line="261" w:lineRule="auto"/>
              <w:rPr>
                <w:rFonts w:ascii="Arial"/>
                <w:color w:val="auto"/>
                <w:sz w:val="21"/>
                <w:highlight w:val="none"/>
              </w:rPr>
            </w:pPr>
          </w:p>
          <w:p w14:paraId="71A50347">
            <w:pPr>
              <w:spacing w:line="261" w:lineRule="auto"/>
              <w:rPr>
                <w:rFonts w:ascii="Arial"/>
                <w:color w:val="auto"/>
                <w:sz w:val="21"/>
                <w:highlight w:val="none"/>
              </w:rPr>
            </w:pPr>
          </w:p>
          <w:p w14:paraId="6FC11E34">
            <w:pPr>
              <w:spacing w:line="261" w:lineRule="auto"/>
              <w:rPr>
                <w:rFonts w:ascii="Arial"/>
                <w:color w:val="auto"/>
                <w:sz w:val="21"/>
                <w:highlight w:val="none"/>
              </w:rPr>
            </w:pPr>
          </w:p>
          <w:p w14:paraId="298D0AD3">
            <w:pPr>
              <w:spacing w:line="262" w:lineRule="auto"/>
              <w:rPr>
                <w:rFonts w:ascii="Arial"/>
                <w:color w:val="auto"/>
                <w:sz w:val="21"/>
                <w:highlight w:val="none"/>
              </w:rPr>
            </w:pPr>
          </w:p>
          <w:p w14:paraId="7CBC6DF4">
            <w:pPr>
              <w:spacing w:line="262" w:lineRule="auto"/>
              <w:rPr>
                <w:rFonts w:ascii="Arial"/>
                <w:color w:val="auto"/>
                <w:sz w:val="21"/>
                <w:highlight w:val="none"/>
              </w:rPr>
            </w:pPr>
          </w:p>
          <w:p w14:paraId="2E919C01">
            <w:pPr>
              <w:pStyle w:val="18"/>
              <w:tabs>
                <w:tab w:val="left" w:pos="240"/>
              </w:tabs>
              <w:spacing w:before="65" w:line="228" w:lineRule="auto"/>
              <w:ind w:left="126"/>
              <w:rPr>
                <w:color w:val="auto"/>
                <w:highlight w:val="none"/>
              </w:rPr>
            </w:pPr>
            <w:r>
              <w:rPr>
                <w:rFonts w:hint="eastAsia"/>
                <w:color w:val="auto"/>
                <w:highlight w:val="none"/>
                <w:u w:val="single" w:color="auto"/>
                <w:lang w:val="en-US" w:eastAsia="zh-CN"/>
              </w:rPr>
              <w:t>/</w:t>
            </w:r>
            <w:r>
              <w:rPr>
                <w:color w:val="auto"/>
                <w:highlight w:val="none"/>
                <w:u w:val="single" w:color="auto"/>
              </w:rPr>
              <w:tab/>
            </w:r>
            <w:r>
              <w:rPr>
                <w:color w:val="auto"/>
                <w:highlight w:val="none"/>
              </w:rPr>
              <w:t>分</w:t>
            </w:r>
          </w:p>
        </w:tc>
        <w:tc>
          <w:tcPr>
            <w:tcW w:w="4350" w:type="dxa"/>
            <w:vAlign w:val="top"/>
          </w:tcPr>
          <w:p w14:paraId="61682289">
            <w:pPr>
              <w:pStyle w:val="18"/>
              <w:spacing w:before="34" w:line="372" w:lineRule="auto"/>
              <w:ind w:left="105" w:right="107"/>
              <w:jc w:val="both"/>
              <w:rPr>
                <w:color w:val="auto"/>
                <w:highlight w:val="none"/>
              </w:rPr>
            </w:pPr>
            <w:r>
              <w:rPr>
                <w:color w:val="auto"/>
                <w:spacing w:val="14"/>
                <w:highlight w:val="none"/>
              </w:rPr>
              <w:t>在满足业绩最低要求的基础上，每增加</w:t>
            </w:r>
            <w:r>
              <w:rPr>
                <w:color w:val="auto"/>
                <w:spacing w:val="-8"/>
                <w:highlight w:val="none"/>
              </w:rPr>
              <w:t xml:space="preserve"> </w:t>
            </w:r>
            <w:r>
              <w:rPr>
                <w:color w:val="auto"/>
                <w:spacing w:val="14"/>
                <w:highlight w:val="none"/>
              </w:rPr>
              <w:t>1</w:t>
            </w:r>
            <w:r>
              <w:rPr>
                <w:color w:val="auto"/>
                <w:spacing w:val="-29"/>
                <w:highlight w:val="none"/>
              </w:rPr>
              <w:t xml:space="preserve"> </w:t>
            </w:r>
            <w:r>
              <w:rPr>
                <w:color w:val="auto"/>
                <w:spacing w:val="14"/>
                <w:highlight w:val="none"/>
              </w:rPr>
              <w:t>座</w:t>
            </w:r>
            <w:r>
              <w:rPr>
                <w:color w:val="auto"/>
                <w:spacing w:val="19"/>
                <w:highlight w:val="none"/>
              </w:rPr>
              <w:t>类似工程</w:t>
            </w:r>
            <w:r>
              <w:rPr>
                <w:rFonts w:hint="eastAsia"/>
                <w:color w:val="auto"/>
                <w:spacing w:val="19"/>
                <w:highlight w:val="none"/>
                <w:u w:val="single"/>
                <w:lang w:val="en-US" w:eastAsia="zh-CN"/>
              </w:rPr>
              <w:t>/</w:t>
            </w:r>
            <w:r>
              <w:rPr>
                <w:color w:val="auto"/>
                <w:spacing w:val="19"/>
                <w:highlight w:val="none"/>
                <w:u w:val="single" w:color="auto"/>
              </w:rPr>
              <w:t>（桥梁规模</w:t>
            </w:r>
            <w:r>
              <w:rPr>
                <w:color w:val="auto"/>
                <w:spacing w:val="-14"/>
                <w:highlight w:val="none"/>
                <w:u w:val="single" w:color="auto"/>
              </w:rPr>
              <w:t>）</w:t>
            </w:r>
            <w:r>
              <w:rPr>
                <w:color w:val="auto"/>
                <w:spacing w:val="-67"/>
                <w:highlight w:val="none"/>
                <w:u w:val="single" w:color="auto"/>
              </w:rPr>
              <w:t xml:space="preserve"> </w:t>
            </w:r>
            <w:r>
              <w:rPr>
                <w:color w:val="auto"/>
                <w:spacing w:val="-14"/>
                <w:highlight w:val="none"/>
                <w:u w:val="single" w:color="auto"/>
              </w:rPr>
              <w:t>（</w:t>
            </w:r>
            <w:r>
              <w:rPr>
                <w:color w:val="auto"/>
                <w:spacing w:val="19"/>
                <w:highlight w:val="none"/>
                <w:u w:val="single" w:color="auto"/>
              </w:rPr>
              <w:t>桥梁类型）</w:t>
            </w:r>
            <w:r>
              <w:rPr>
                <w:color w:val="auto"/>
                <w:spacing w:val="19"/>
                <w:highlight w:val="none"/>
              </w:rPr>
              <w:t>施工监</w:t>
            </w:r>
            <w:r>
              <w:rPr>
                <w:color w:val="auto"/>
                <w:spacing w:val="8"/>
                <w:highlight w:val="none"/>
              </w:rPr>
              <w:t>理任务的加</w:t>
            </w:r>
            <w:r>
              <w:rPr>
                <w:color w:val="auto"/>
                <w:spacing w:val="-91"/>
                <w:highlight w:val="none"/>
              </w:rPr>
              <w:t xml:space="preserve"> </w:t>
            </w:r>
            <w:r>
              <w:rPr>
                <w:color w:val="auto"/>
                <w:spacing w:val="7"/>
                <w:highlight w:val="none"/>
                <w:u w:val="single" w:color="auto"/>
              </w:rPr>
              <w:t xml:space="preserve">  </w:t>
            </w:r>
            <w:r>
              <w:rPr>
                <w:rFonts w:hint="eastAsia"/>
                <w:color w:val="auto"/>
                <w:spacing w:val="7"/>
                <w:highlight w:val="none"/>
                <w:u w:val="single" w:color="auto"/>
                <w:lang w:val="en-US" w:eastAsia="zh-CN"/>
              </w:rPr>
              <w:t>/</w:t>
            </w:r>
            <w:r>
              <w:rPr>
                <w:color w:val="auto"/>
                <w:spacing w:val="7"/>
                <w:highlight w:val="none"/>
                <w:u w:val="single" w:color="auto"/>
              </w:rPr>
              <w:t xml:space="preserve"> </w:t>
            </w:r>
            <w:r>
              <w:rPr>
                <w:color w:val="auto"/>
                <w:spacing w:val="-88"/>
                <w:highlight w:val="none"/>
              </w:rPr>
              <w:t xml:space="preserve"> </w:t>
            </w:r>
            <w:r>
              <w:rPr>
                <w:color w:val="auto"/>
                <w:spacing w:val="8"/>
                <w:highlight w:val="none"/>
              </w:rPr>
              <w:t>分，每增加</w:t>
            </w:r>
            <w:r>
              <w:rPr>
                <w:color w:val="auto"/>
                <w:spacing w:val="-45"/>
                <w:highlight w:val="none"/>
              </w:rPr>
              <w:t xml:space="preserve"> </w:t>
            </w:r>
            <w:r>
              <w:rPr>
                <w:color w:val="auto"/>
                <w:spacing w:val="-77"/>
                <w:highlight w:val="none"/>
                <w:u w:val="single" w:color="auto"/>
              </w:rPr>
              <w:t xml:space="preserve"> </w:t>
            </w:r>
            <w:r>
              <w:rPr>
                <w:color w:val="auto"/>
                <w:spacing w:val="8"/>
                <w:highlight w:val="none"/>
                <w:u w:val="single" w:color="auto"/>
              </w:rPr>
              <w:t>1</w:t>
            </w:r>
            <w:r>
              <w:rPr>
                <w:color w:val="auto"/>
                <w:spacing w:val="-34"/>
                <w:highlight w:val="none"/>
                <w:u w:val="single" w:color="auto"/>
              </w:rPr>
              <w:t xml:space="preserve"> </w:t>
            </w:r>
            <w:r>
              <w:rPr>
                <w:color w:val="auto"/>
                <w:spacing w:val="8"/>
                <w:highlight w:val="none"/>
              </w:rPr>
              <w:t>座桥梁主孔跨径</w:t>
            </w:r>
            <w:r>
              <w:rPr>
                <w:color w:val="auto"/>
                <w:spacing w:val="13"/>
                <w:highlight w:val="none"/>
              </w:rPr>
              <w:t>不小于</w:t>
            </w:r>
            <w:r>
              <w:rPr>
                <w:color w:val="auto"/>
                <w:spacing w:val="-95"/>
                <w:highlight w:val="none"/>
              </w:rPr>
              <w:t xml:space="preserve"> </w:t>
            </w:r>
            <w:r>
              <w:rPr>
                <w:color w:val="auto"/>
                <w:spacing w:val="9"/>
                <w:highlight w:val="none"/>
                <w:u w:val="single" w:color="auto"/>
              </w:rPr>
              <w:t xml:space="preserve">  </w:t>
            </w:r>
            <w:r>
              <w:rPr>
                <w:rFonts w:hint="eastAsia"/>
                <w:color w:val="auto"/>
                <w:spacing w:val="9"/>
                <w:highlight w:val="none"/>
                <w:u w:val="single" w:color="auto"/>
                <w:lang w:val="en-US" w:eastAsia="zh-CN"/>
              </w:rPr>
              <w:t>/</w:t>
            </w:r>
            <w:r>
              <w:rPr>
                <w:color w:val="auto"/>
                <w:spacing w:val="9"/>
                <w:highlight w:val="none"/>
                <w:u w:val="single" w:color="auto"/>
              </w:rPr>
              <w:t xml:space="preserve"> </w:t>
            </w:r>
            <w:r>
              <w:rPr>
                <w:color w:val="auto"/>
                <w:spacing w:val="-95"/>
                <w:highlight w:val="none"/>
              </w:rPr>
              <w:t xml:space="preserve"> </w:t>
            </w:r>
            <w:r>
              <w:rPr>
                <w:color w:val="auto"/>
                <w:spacing w:val="13"/>
                <w:highlight w:val="none"/>
              </w:rPr>
              <w:t>m</w:t>
            </w:r>
            <w:r>
              <w:rPr>
                <w:color w:val="auto"/>
                <w:spacing w:val="-16"/>
                <w:highlight w:val="none"/>
              </w:rPr>
              <w:t xml:space="preserve"> </w:t>
            </w:r>
            <w:r>
              <w:rPr>
                <w:color w:val="auto"/>
                <w:spacing w:val="13"/>
                <w:highlight w:val="none"/>
              </w:rPr>
              <w:t>的类似工程</w:t>
            </w:r>
            <w:r>
              <w:rPr>
                <w:color w:val="auto"/>
                <w:spacing w:val="13"/>
                <w:highlight w:val="none"/>
                <w:u w:val="single" w:color="auto"/>
              </w:rPr>
              <w:t>（桥梁规模</w:t>
            </w:r>
            <w:r>
              <w:rPr>
                <w:color w:val="auto"/>
                <w:spacing w:val="-13"/>
                <w:highlight w:val="none"/>
                <w:u w:val="single" w:color="auto"/>
              </w:rPr>
              <w:t>）</w:t>
            </w:r>
            <w:r>
              <w:rPr>
                <w:color w:val="auto"/>
                <w:spacing w:val="-75"/>
                <w:highlight w:val="none"/>
                <w:u w:val="single" w:color="auto"/>
              </w:rPr>
              <w:t xml:space="preserve"> </w:t>
            </w:r>
            <w:r>
              <w:rPr>
                <w:color w:val="auto"/>
                <w:spacing w:val="-13"/>
                <w:highlight w:val="none"/>
                <w:u w:val="single" w:color="auto"/>
              </w:rPr>
              <w:t>（</w:t>
            </w:r>
            <w:r>
              <w:rPr>
                <w:color w:val="auto"/>
                <w:spacing w:val="13"/>
                <w:highlight w:val="none"/>
                <w:u w:val="single" w:color="auto"/>
              </w:rPr>
              <w:t>桥梁</w:t>
            </w:r>
            <w:r>
              <w:rPr>
                <w:color w:val="auto"/>
                <w:spacing w:val="10"/>
                <w:highlight w:val="none"/>
                <w:u w:val="single" w:color="auto"/>
              </w:rPr>
              <w:t>类型）</w:t>
            </w:r>
            <w:r>
              <w:rPr>
                <w:color w:val="auto"/>
                <w:spacing w:val="10"/>
                <w:highlight w:val="none"/>
              </w:rPr>
              <w:t>施工监理任务加</w:t>
            </w:r>
            <w:r>
              <w:rPr>
                <w:color w:val="auto"/>
                <w:spacing w:val="-85"/>
                <w:highlight w:val="none"/>
              </w:rPr>
              <w:t xml:space="preserve"> </w:t>
            </w:r>
            <w:r>
              <w:rPr>
                <w:color w:val="auto"/>
                <w:spacing w:val="7"/>
                <w:highlight w:val="none"/>
                <w:u w:val="single" w:color="auto"/>
              </w:rPr>
              <w:t xml:space="preserve"> </w:t>
            </w:r>
            <w:r>
              <w:rPr>
                <w:rFonts w:hint="eastAsia"/>
                <w:color w:val="auto"/>
                <w:spacing w:val="7"/>
                <w:highlight w:val="none"/>
                <w:u w:val="single" w:color="auto"/>
                <w:lang w:val="en-US" w:eastAsia="zh-CN"/>
              </w:rPr>
              <w:t>/</w:t>
            </w:r>
            <w:r>
              <w:rPr>
                <w:color w:val="auto"/>
                <w:spacing w:val="7"/>
                <w:highlight w:val="none"/>
                <w:u w:val="single" w:color="auto"/>
              </w:rPr>
              <w:t xml:space="preserve"> </w:t>
            </w:r>
            <w:r>
              <w:rPr>
                <w:color w:val="auto"/>
                <w:spacing w:val="-88"/>
                <w:highlight w:val="none"/>
              </w:rPr>
              <w:t xml:space="preserve"> </w:t>
            </w:r>
            <w:r>
              <w:rPr>
                <w:color w:val="auto"/>
                <w:spacing w:val="10"/>
                <w:highlight w:val="none"/>
              </w:rPr>
              <w:t>分，最高加分不超</w:t>
            </w:r>
            <w:r>
              <w:rPr>
                <w:color w:val="auto"/>
                <w:spacing w:val="13"/>
                <w:highlight w:val="none"/>
              </w:rPr>
              <w:t>过</w:t>
            </w:r>
            <w:r>
              <w:rPr>
                <w:color w:val="auto"/>
                <w:spacing w:val="-86"/>
                <w:highlight w:val="none"/>
              </w:rPr>
              <w:t xml:space="preserve"> </w:t>
            </w:r>
            <w:r>
              <w:rPr>
                <w:color w:val="auto"/>
                <w:spacing w:val="12"/>
                <w:highlight w:val="none"/>
                <w:u w:val="single" w:color="auto"/>
              </w:rPr>
              <w:t xml:space="preserve"> </w:t>
            </w:r>
            <w:r>
              <w:rPr>
                <w:rFonts w:hint="eastAsia"/>
                <w:color w:val="auto"/>
                <w:spacing w:val="12"/>
                <w:highlight w:val="none"/>
                <w:u w:val="single" w:color="auto"/>
                <w:lang w:val="en-US" w:eastAsia="zh-CN"/>
              </w:rPr>
              <w:t>/</w:t>
            </w:r>
            <w:r>
              <w:rPr>
                <w:color w:val="auto"/>
                <w:spacing w:val="12"/>
                <w:highlight w:val="none"/>
                <w:u w:val="single" w:color="auto"/>
              </w:rPr>
              <w:t xml:space="preserve"> </w:t>
            </w:r>
            <w:r>
              <w:rPr>
                <w:color w:val="auto"/>
                <w:spacing w:val="-88"/>
                <w:highlight w:val="none"/>
              </w:rPr>
              <w:t xml:space="preserve"> </w:t>
            </w:r>
            <w:r>
              <w:rPr>
                <w:color w:val="auto"/>
                <w:spacing w:val="13"/>
                <w:highlight w:val="none"/>
              </w:rPr>
              <w:t>分。</w:t>
            </w:r>
            <w:r>
              <w:rPr>
                <w:color w:val="auto"/>
                <w:spacing w:val="-56"/>
                <w:highlight w:val="none"/>
              </w:rPr>
              <w:t xml:space="preserve"> </w:t>
            </w:r>
            <w:r>
              <w:rPr>
                <w:color w:val="auto"/>
                <w:spacing w:val="13"/>
                <w:highlight w:val="none"/>
              </w:rPr>
              <w:t>同一座桥梁按较高分只计取一次分</w:t>
            </w:r>
            <w:r>
              <w:rPr>
                <w:color w:val="auto"/>
                <w:spacing w:val="6"/>
                <w:highlight w:val="none"/>
              </w:rPr>
              <w:t>值，不累计。</w:t>
            </w:r>
          </w:p>
        </w:tc>
      </w:tr>
    </w:tbl>
    <w:p w14:paraId="4FD943EA">
      <w:pPr>
        <w:spacing w:line="241" w:lineRule="auto"/>
        <w:rPr>
          <w:rFonts w:ascii="Arial"/>
          <w:color w:val="auto"/>
          <w:sz w:val="21"/>
          <w:highlight w:val="none"/>
        </w:rPr>
      </w:pPr>
    </w:p>
    <w:p w14:paraId="3FCF5228">
      <w:pPr>
        <w:spacing w:line="241" w:lineRule="auto"/>
        <w:rPr>
          <w:rFonts w:ascii="Arial"/>
          <w:color w:val="auto"/>
          <w:sz w:val="21"/>
          <w:highlight w:val="none"/>
        </w:rPr>
      </w:pPr>
    </w:p>
    <w:p w14:paraId="5A34B7D1">
      <w:pPr>
        <w:spacing w:line="241" w:lineRule="auto"/>
        <w:rPr>
          <w:rFonts w:ascii="Arial"/>
          <w:color w:val="auto"/>
          <w:sz w:val="21"/>
          <w:highlight w:val="none"/>
        </w:rPr>
      </w:pPr>
    </w:p>
    <w:p w14:paraId="7DE50794">
      <w:pPr>
        <w:spacing w:line="242" w:lineRule="auto"/>
        <w:rPr>
          <w:rFonts w:ascii="Arial"/>
          <w:color w:val="auto"/>
          <w:sz w:val="21"/>
          <w:highlight w:val="none"/>
        </w:rPr>
      </w:pPr>
    </w:p>
    <w:p w14:paraId="395A7053">
      <w:pPr>
        <w:spacing w:line="242" w:lineRule="auto"/>
        <w:rPr>
          <w:rFonts w:ascii="Arial"/>
          <w:color w:val="auto"/>
          <w:sz w:val="21"/>
          <w:highlight w:val="none"/>
        </w:rPr>
      </w:pPr>
    </w:p>
    <w:p w14:paraId="63541B67">
      <w:pPr>
        <w:spacing w:line="229" w:lineRule="auto"/>
        <w:rPr>
          <w:rFonts w:ascii="宋体" w:hAnsi="宋体" w:eastAsia="宋体" w:cs="宋体"/>
          <w:color w:val="auto"/>
          <w:sz w:val="18"/>
          <w:szCs w:val="18"/>
          <w:highlight w:val="none"/>
        </w:rPr>
        <w:sectPr>
          <w:footerReference r:id="rId46" w:type="default"/>
          <w:pgSz w:w="11906" w:h="16839"/>
          <w:pgMar w:top="1416" w:right="1578" w:bottom="1297" w:left="1304" w:header="0" w:footer="1067" w:gutter="0"/>
          <w:pgNumType w:fmt="decimal"/>
          <w:cols w:space="720" w:num="1"/>
        </w:sectPr>
      </w:pPr>
      <w:bookmarkStart w:id="243" w:name="bookmark130"/>
      <w:bookmarkEnd w:id="243"/>
      <w:bookmarkStart w:id="244" w:name="bookmark129"/>
      <w:bookmarkEnd w:id="244"/>
    </w:p>
    <w:tbl>
      <w:tblPr>
        <w:tblStyle w:val="17"/>
        <w:tblW w:w="889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8"/>
        <w:gridCol w:w="655"/>
        <w:gridCol w:w="518"/>
        <w:gridCol w:w="919"/>
        <w:gridCol w:w="948"/>
        <w:gridCol w:w="576"/>
        <w:gridCol w:w="4351"/>
      </w:tblGrid>
      <w:tr w14:paraId="014726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 w:hRule="atLeast"/>
        </w:trPr>
        <w:tc>
          <w:tcPr>
            <w:tcW w:w="4544" w:type="dxa"/>
            <w:gridSpan w:val="6"/>
            <w:vAlign w:val="top"/>
          </w:tcPr>
          <w:p w14:paraId="4AD05D36">
            <w:pPr>
              <w:pStyle w:val="18"/>
              <w:spacing w:before="127" w:line="232" w:lineRule="auto"/>
              <w:ind w:left="1287"/>
              <w:rPr>
                <w:color w:val="auto"/>
                <w:sz w:val="10"/>
                <w:szCs w:val="10"/>
                <w:highlight w:val="none"/>
              </w:rPr>
            </w:pPr>
            <w:r>
              <w:rPr>
                <w:b/>
                <w:bCs/>
                <w:color w:val="auto"/>
                <w:spacing w:val="7"/>
                <w:highlight w:val="none"/>
              </w:rPr>
              <w:t>评分因素与权重分值</w:t>
            </w:r>
          </w:p>
        </w:tc>
        <w:tc>
          <w:tcPr>
            <w:tcW w:w="4351" w:type="dxa"/>
            <w:vMerge w:val="restart"/>
            <w:tcBorders>
              <w:bottom w:val="nil"/>
            </w:tcBorders>
            <w:vAlign w:val="top"/>
          </w:tcPr>
          <w:p w14:paraId="3704EC74">
            <w:pPr>
              <w:spacing w:line="315" w:lineRule="auto"/>
              <w:rPr>
                <w:rFonts w:ascii="Arial"/>
                <w:color w:val="auto"/>
                <w:sz w:val="21"/>
                <w:highlight w:val="none"/>
              </w:rPr>
            </w:pPr>
          </w:p>
          <w:p w14:paraId="6D43E0D1">
            <w:pPr>
              <w:spacing w:line="316" w:lineRule="auto"/>
              <w:rPr>
                <w:rFonts w:ascii="Arial"/>
                <w:color w:val="auto"/>
                <w:sz w:val="21"/>
                <w:highlight w:val="none"/>
              </w:rPr>
            </w:pPr>
          </w:p>
          <w:p w14:paraId="0385CD02">
            <w:pPr>
              <w:pStyle w:val="18"/>
              <w:spacing w:before="65" w:line="267" w:lineRule="exact"/>
              <w:ind w:left="1714"/>
              <w:rPr>
                <w:color w:val="auto"/>
                <w:sz w:val="10"/>
                <w:szCs w:val="10"/>
                <w:highlight w:val="none"/>
              </w:rPr>
            </w:pPr>
            <w:r>
              <w:rPr>
                <w:b/>
                <w:bCs/>
                <w:color w:val="auto"/>
                <w:spacing w:val="6"/>
                <w:highlight w:val="none"/>
              </w:rPr>
              <w:t>评分标准</w:t>
            </w:r>
          </w:p>
        </w:tc>
      </w:tr>
      <w:tr w14:paraId="02CC02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4" w:hRule="atLeast"/>
        </w:trPr>
        <w:tc>
          <w:tcPr>
            <w:tcW w:w="928" w:type="dxa"/>
            <w:vAlign w:val="top"/>
          </w:tcPr>
          <w:p w14:paraId="553BEBBF">
            <w:pPr>
              <w:spacing w:line="452" w:lineRule="auto"/>
              <w:rPr>
                <w:rFonts w:ascii="Arial"/>
                <w:color w:val="auto"/>
                <w:sz w:val="21"/>
                <w:highlight w:val="none"/>
              </w:rPr>
            </w:pPr>
          </w:p>
          <w:p w14:paraId="030A4C05">
            <w:pPr>
              <w:pStyle w:val="18"/>
              <w:spacing w:before="65" w:line="228" w:lineRule="auto"/>
              <w:ind w:left="155"/>
              <w:rPr>
                <w:color w:val="auto"/>
                <w:highlight w:val="none"/>
              </w:rPr>
            </w:pPr>
            <w:r>
              <w:rPr>
                <w:b/>
                <w:bCs/>
                <w:color w:val="auto"/>
                <w:spacing w:val="5"/>
                <w:highlight w:val="none"/>
              </w:rPr>
              <w:t>条款号</w:t>
            </w:r>
          </w:p>
        </w:tc>
        <w:tc>
          <w:tcPr>
            <w:tcW w:w="1173" w:type="dxa"/>
            <w:gridSpan w:val="2"/>
            <w:vAlign w:val="top"/>
          </w:tcPr>
          <w:p w14:paraId="16C70E4B">
            <w:pPr>
              <w:spacing w:line="452" w:lineRule="auto"/>
              <w:rPr>
                <w:rFonts w:ascii="Arial"/>
                <w:color w:val="auto"/>
                <w:sz w:val="21"/>
                <w:highlight w:val="none"/>
              </w:rPr>
            </w:pPr>
          </w:p>
          <w:p w14:paraId="128BF79F">
            <w:pPr>
              <w:pStyle w:val="18"/>
              <w:spacing w:before="65" w:line="228" w:lineRule="auto"/>
              <w:ind w:left="167"/>
              <w:rPr>
                <w:color w:val="auto"/>
                <w:highlight w:val="none"/>
              </w:rPr>
            </w:pPr>
            <w:r>
              <w:rPr>
                <w:b/>
                <w:bCs/>
                <w:color w:val="auto"/>
                <w:spacing w:val="6"/>
                <w:highlight w:val="none"/>
              </w:rPr>
              <w:t>评分因素</w:t>
            </w:r>
          </w:p>
        </w:tc>
        <w:tc>
          <w:tcPr>
            <w:tcW w:w="919" w:type="dxa"/>
            <w:vAlign w:val="top"/>
          </w:tcPr>
          <w:p w14:paraId="05D4F71D">
            <w:pPr>
              <w:spacing w:line="265" w:lineRule="auto"/>
              <w:rPr>
                <w:rFonts w:ascii="Arial"/>
                <w:color w:val="auto"/>
                <w:sz w:val="21"/>
                <w:highlight w:val="none"/>
              </w:rPr>
            </w:pPr>
          </w:p>
          <w:p w14:paraId="4155330B">
            <w:pPr>
              <w:pStyle w:val="18"/>
              <w:spacing w:before="65" w:line="351" w:lineRule="auto"/>
              <w:ind w:left="41" w:right="37"/>
              <w:rPr>
                <w:color w:val="auto"/>
                <w:highlight w:val="none"/>
              </w:rPr>
            </w:pPr>
            <w:r>
              <w:rPr>
                <w:b/>
                <w:bCs/>
                <w:color w:val="auto"/>
                <w:spacing w:val="6"/>
                <w:highlight w:val="none"/>
              </w:rPr>
              <w:t>评分因素权重分值</w:t>
            </w:r>
          </w:p>
        </w:tc>
        <w:tc>
          <w:tcPr>
            <w:tcW w:w="948" w:type="dxa"/>
            <w:vAlign w:val="top"/>
          </w:tcPr>
          <w:p w14:paraId="5A6EFE59">
            <w:pPr>
              <w:pStyle w:val="18"/>
              <w:spacing w:before="141" w:line="228" w:lineRule="auto"/>
              <w:ind w:left="162"/>
              <w:rPr>
                <w:color w:val="auto"/>
                <w:highlight w:val="none"/>
              </w:rPr>
            </w:pPr>
            <w:r>
              <w:rPr>
                <w:b/>
                <w:bCs/>
                <w:color w:val="auto"/>
                <w:spacing w:val="4"/>
                <w:highlight w:val="none"/>
              </w:rPr>
              <w:t>各评分</w:t>
            </w:r>
          </w:p>
          <w:p w14:paraId="5A58BF2C">
            <w:pPr>
              <w:pStyle w:val="18"/>
              <w:spacing w:before="131" w:line="283" w:lineRule="auto"/>
              <w:ind w:left="267" w:right="160" w:hanging="91"/>
              <w:rPr>
                <w:color w:val="auto"/>
                <w:highlight w:val="none"/>
              </w:rPr>
            </w:pPr>
            <w:r>
              <w:rPr>
                <w:b/>
                <w:bCs/>
                <w:color w:val="auto"/>
                <w:highlight w:val="none"/>
              </w:rPr>
              <w:t>因素细</w:t>
            </w:r>
            <w:r>
              <w:rPr>
                <w:b/>
                <w:bCs/>
                <w:color w:val="auto"/>
                <w:spacing w:val="2"/>
                <w:highlight w:val="none"/>
              </w:rPr>
              <w:t>分项</w:t>
            </w:r>
          </w:p>
        </w:tc>
        <w:tc>
          <w:tcPr>
            <w:tcW w:w="576" w:type="dxa"/>
            <w:textDirection w:val="tbRlV"/>
            <w:vAlign w:val="top"/>
          </w:tcPr>
          <w:p w14:paraId="6C75B7D8">
            <w:pPr>
              <w:pStyle w:val="18"/>
              <w:spacing w:before="173" w:line="216" w:lineRule="auto"/>
              <w:ind w:left="331"/>
              <w:rPr>
                <w:color w:val="auto"/>
                <w:highlight w:val="none"/>
              </w:rPr>
            </w:pPr>
            <w:r>
              <w:rPr>
                <w:b/>
                <w:bCs/>
                <w:color w:val="auto"/>
                <w:spacing w:val="6"/>
                <w:highlight w:val="none"/>
              </w:rPr>
              <w:t>分</w:t>
            </w:r>
            <w:r>
              <w:rPr>
                <w:color w:val="auto"/>
                <w:spacing w:val="70"/>
                <w:highlight w:val="none"/>
              </w:rPr>
              <w:t xml:space="preserve"> </w:t>
            </w:r>
            <w:r>
              <w:rPr>
                <w:b/>
                <w:bCs/>
                <w:color w:val="auto"/>
                <w:spacing w:val="6"/>
                <w:highlight w:val="none"/>
              </w:rPr>
              <w:t>值</w:t>
            </w:r>
          </w:p>
        </w:tc>
        <w:tc>
          <w:tcPr>
            <w:tcW w:w="4351" w:type="dxa"/>
            <w:vMerge w:val="continue"/>
            <w:tcBorders>
              <w:top w:val="nil"/>
            </w:tcBorders>
            <w:vAlign w:val="top"/>
          </w:tcPr>
          <w:p w14:paraId="57B0ACA4">
            <w:pPr>
              <w:rPr>
                <w:rFonts w:ascii="Arial"/>
                <w:color w:val="auto"/>
                <w:sz w:val="21"/>
                <w:highlight w:val="none"/>
              </w:rPr>
            </w:pPr>
          </w:p>
        </w:tc>
      </w:tr>
      <w:tr w14:paraId="192503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7" w:hRule="atLeast"/>
        </w:trPr>
        <w:tc>
          <w:tcPr>
            <w:tcW w:w="928" w:type="dxa"/>
            <w:vMerge w:val="restart"/>
            <w:tcBorders>
              <w:bottom w:val="nil"/>
            </w:tcBorders>
            <w:vAlign w:val="top"/>
          </w:tcPr>
          <w:p w14:paraId="38CD0D27">
            <w:pPr>
              <w:rPr>
                <w:rFonts w:ascii="Arial"/>
                <w:color w:val="auto"/>
                <w:sz w:val="21"/>
                <w:highlight w:val="none"/>
              </w:rPr>
            </w:pPr>
          </w:p>
        </w:tc>
        <w:tc>
          <w:tcPr>
            <w:tcW w:w="655" w:type="dxa"/>
            <w:vMerge w:val="restart"/>
            <w:tcBorders>
              <w:bottom w:val="nil"/>
            </w:tcBorders>
            <w:vAlign w:val="top"/>
          </w:tcPr>
          <w:p w14:paraId="730DA5BA">
            <w:pPr>
              <w:rPr>
                <w:rFonts w:ascii="Arial"/>
                <w:color w:val="auto"/>
                <w:sz w:val="21"/>
                <w:highlight w:val="none"/>
              </w:rPr>
            </w:pPr>
          </w:p>
        </w:tc>
        <w:tc>
          <w:tcPr>
            <w:tcW w:w="518" w:type="dxa"/>
            <w:vMerge w:val="restart"/>
            <w:tcBorders>
              <w:bottom w:val="nil"/>
            </w:tcBorders>
            <w:vAlign w:val="top"/>
          </w:tcPr>
          <w:p w14:paraId="5CCC4EF8">
            <w:pPr>
              <w:rPr>
                <w:rFonts w:ascii="Arial"/>
                <w:color w:val="auto"/>
                <w:sz w:val="21"/>
                <w:highlight w:val="none"/>
              </w:rPr>
            </w:pPr>
          </w:p>
        </w:tc>
        <w:tc>
          <w:tcPr>
            <w:tcW w:w="919" w:type="dxa"/>
            <w:vMerge w:val="restart"/>
            <w:tcBorders>
              <w:bottom w:val="nil"/>
            </w:tcBorders>
            <w:vAlign w:val="top"/>
          </w:tcPr>
          <w:p w14:paraId="63B6377E">
            <w:pPr>
              <w:rPr>
                <w:rFonts w:ascii="Arial"/>
                <w:color w:val="auto"/>
                <w:sz w:val="21"/>
                <w:highlight w:val="none"/>
              </w:rPr>
            </w:pPr>
          </w:p>
        </w:tc>
        <w:tc>
          <w:tcPr>
            <w:tcW w:w="948" w:type="dxa"/>
            <w:vAlign w:val="top"/>
          </w:tcPr>
          <w:p w14:paraId="350A0E6C">
            <w:pPr>
              <w:pStyle w:val="18"/>
              <w:spacing w:before="168" w:line="230" w:lineRule="auto"/>
              <w:ind w:left="276"/>
              <w:rPr>
                <w:color w:val="auto"/>
                <w:highlight w:val="none"/>
              </w:rPr>
            </w:pPr>
            <w:r>
              <w:rPr>
                <w:color w:val="auto"/>
                <w:spacing w:val="-1"/>
                <w:highlight w:val="none"/>
              </w:rPr>
              <w:t>隧道</w:t>
            </w:r>
          </w:p>
          <w:p w14:paraId="37233E5F">
            <w:pPr>
              <w:pStyle w:val="18"/>
              <w:spacing w:before="132" w:line="228" w:lineRule="auto"/>
              <w:ind w:left="267"/>
              <w:rPr>
                <w:color w:val="auto"/>
                <w:highlight w:val="none"/>
              </w:rPr>
            </w:pPr>
            <w:r>
              <w:rPr>
                <w:color w:val="auto"/>
                <w:spacing w:val="3"/>
                <w:highlight w:val="none"/>
              </w:rPr>
              <w:t>工程</w:t>
            </w:r>
          </w:p>
        </w:tc>
        <w:tc>
          <w:tcPr>
            <w:tcW w:w="576" w:type="dxa"/>
            <w:vAlign w:val="top"/>
          </w:tcPr>
          <w:p w14:paraId="49C80A1A">
            <w:pPr>
              <w:spacing w:line="294" w:lineRule="auto"/>
              <w:rPr>
                <w:rFonts w:ascii="Arial"/>
                <w:color w:val="auto"/>
                <w:sz w:val="21"/>
                <w:highlight w:val="none"/>
              </w:rPr>
            </w:pPr>
          </w:p>
          <w:p w14:paraId="25F5959F">
            <w:pPr>
              <w:pStyle w:val="18"/>
              <w:tabs>
                <w:tab w:val="left" w:pos="217"/>
              </w:tabs>
              <w:spacing w:before="65" w:line="228" w:lineRule="auto"/>
              <w:ind w:left="100"/>
              <w:rPr>
                <w:color w:val="auto"/>
                <w:highlight w:val="none"/>
              </w:rPr>
            </w:pPr>
            <w:r>
              <w:rPr>
                <w:color w:val="auto"/>
                <w:highlight w:val="none"/>
                <w:u w:val="single" w:color="auto"/>
              </w:rPr>
              <w:tab/>
            </w:r>
            <w:r>
              <w:rPr>
                <w:rFonts w:hint="eastAsia"/>
                <w:color w:val="auto"/>
                <w:highlight w:val="none"/>
                <w:u w:val="single" w:color="auto"/>
                <w:lang w:val="en-US" w:eastAsia="zh-CN"/>
              </w:rPr>
              <w:t>/</w:t>
            </w:r>
            <w:r>
              <w:rPr>
                <w:color w:val="auto"/>
                <w:highlight w:val="none"/>
              </w:rPr>
              <w:t>分</w:t>
            </w:r>
          </w:p>
        </w:tc>
        <w:tc>
          <w:tcPr>
            <w:tcW w:w="4351" w:type="dxa"/>
            <w:vAlign w:val="top"/>
          </w:tcPr>
          <w:p w14:paraId="47BDE036">
            <w:pPr>
              <w:pStyle w:val="18"/>
              <w:spacing w:before="33" w:line="235" w:lineRule="auto"/>
              <w:ind w:left="106" w:right="109"/>
              <w:jc w:val="both"/>
              <w:rPr>
                <w:color w:val="auto"/>
                <w:highlight w:val="none"/>
              </w:rPr>
            </w:pPr>
            <w:r>
              <w:rPr>
                <w:color w:val="auto"/>
                <w:spacing w:val="25"/>
                <w:highlight w:val="none"/>
              </w:rPr>
              <w:t>每增加</w:t>
            </w:r>
            <w:r>
              <w:rPr>
                <w:color w:val="auto"/>
                <w:spacing w:val="-77"/>
                <w:highlight w:val="none"/>
              </w:rPr>
              <w:t xml:space="preserve"> </w:t>
            </w:r>
            <w:r>
              <w:rPr>
                <w:color w:val="auto"/>
                <w:spacing w:val="23"/>
                <w:highlight w:val="none"/>
                <w:u w:val="single" w:color="auto"/>
              </w:rPr>
              <w:t xml:space="preserve">  </w:t>
            </w:r>
            <w:r>
              <w:rPr>
                <w:rFonts w:hint="eastAsia"/>
                <w:color w:val="auto"/>
                <w:spacing w:val="23"/>
                <w:highlight w:val="none"/>
                <w:u w:val="single" w:color="auto"/>
                <w:lang w:val="en-US" w:eastAsia="zh-CN"/>
              </w:rPr>
              <w:t>/</w:t>
            </w:r>
            <w:r>
              <w:rPr>
                <w:color w:val="auto"/>
                <w:spacing w:val="23"/>
                <w:highlight w:val="none"/>
                <w:u w:val="single" w:color="auto"/>
              </w:rPr>
              <w:t xml:space="preserve">  </w:t>
            </w:r>
            <w:r>
              <w:rPr>
                <w:color w:val="auto"/>
                <w:spacing w:val="-87"/>
                <w:highlight w:val="none"/>
              </w:rPr>
              <w:t xml:space="preserve"> </w:t>
            </w:r>
            <w:r>
              <w:rPr>
                <w:color w:val="auto"/>
                <w:spacing w:val="25"/>
                <w:highlight w:val="none"/>
              </w:rPr>
              <w:t>座隧道单洞累计（即左洞加右</w:t>
            </w:r>
            <w:r>
              <w:rPr>
                <w:color w:val="auto"/>
                <w:spacing w:val="10"/>
                <w:highlight w:val="none"/>
              </w:rPr>
              <w:t>洞）</w:t>
            </w:r>
            <w:r>
              <w:rPr>
                <w:color w:val="auto"/>
                <w:spacing w:val="10"/>
                <w:highlight w:val="none"/>
                <w:u w:val="single" w:color="auto"/>
              </w:rPr>
              <w:t xml:space="preserve"> </w:t>
            </w:r>
            <w:r>
              <w:rPr>
                <w:rFonts w:hint="eastAsia"/>
                <w:color w:val="auto"/>
                <w:spacing w:val="10"/>
                <w:highlight w:val="none"/>
                <w:u w:val="single" w:color="auto"/>
                <w:lang w:val="en-US" w:eastAsia="zh-CN"/>
              </w:rPr>
              <w:t>/</w:t>
            </w:r>
            <w:r>
              <w:rPr>
                <w:color w:val="auto"/>
                <w:spacing w:val="10"/>
                <w:highlight w:val="none"/>
                <w:u w:val="single" w:color="auto"/>
              </w:rPr>
              <w:t xml:space="preserve"> </w:t>
            </w:r>
            <w:r>
              <w:rPr>
                <w:color w:val="auto"/>
                <w:spacing w:val="-83"/>
                <w:highlight w:val="none"/>
              </w:rPr>
              <w:t xml:space="preserve"> </w:t>
            </w:r>
            <w:r>
              <w:rPr>
                <w:color w:val="auto"/>
                <w:spacing w:val="10"/>
                <w:highlight w:val="none"/>
              </w:rPr>
              <w:t>m</w:t>
            </w:r>
            <w:r>
              <w:rPr>
                <w:color w:val="auto"/>
                <w:spacing w:val="-37"/>
                <w:highlight w:val="none"/>
              </w:rPr>
              <w:t xml:space="preserve"> </w:t>
            </w:r>
            <w:r>
              <w:rPr>
                <w:color w:val="auto"/>
                <w:spacing w:val="10"/>
                <w:highlight w:val="none"/>
              </w:rPr>
              <w:t>及以上，加</w:t>
            </w:r>
            <w:r>
              <w:rPr>
                <w:color w:val="auto"/>
                <w:spacing w:val="-93"/>
                <w:highlight w:val="none"/>
              </w:rPr>
              <w:t xml:space="preserve"> </w:t>
            </w:r>
            <w:r>
              <w:rPr>
                <w:color w:val="auto"/>
                <w:spacing w:val="9"/>
                <w:highlight w:val="none"/>
                <w:u w:val="single" w:color="auto"/>
              </w:rPr>
              <w:t xml:space="preserve">  </w:t>
            </w:r>
            <w:r>
              <w:rPr>
                <w:rFonts w:hint="eastAsia"/>
                <w:color w:val="auto"/>
                <w:spacing w:val="9"/>
                <w:highlight w:val="none"/>
                <w:u w:val="single" w:color="auto"/>
                <w:lang w:val="en-US" w:eastAsia="zh-CN"/>
              </w:rPr>
              <w:t>/</w:t>
            </w:r>
            <w:r>
              <w:rPr>
                <w:color w:val="auto"/>
                <w:spacing w:val="9"/>
                <w:highlight w:val="none"/>
                <w:u w:val="single" w:color="auto"/>
              </w:rPr>
              <w:t xml:space="preserve">  </w:t>
            </w:r>
            <w:r>
              <w:rPr>
                <w:color w:val="auto"/>
                <w:spacing w:val="-86"/>
                <w:highlight w:val="none"/>
              </w:rPr>
              <w:t xml:space="preserve"> </w:t>
            </w:r>
            <w:r>
              <w:rPr>
                <w:color w:val="auto"/>
                <w:spacing w:val="10"/>
                <w:highlight w:val="none"/>
              </w:rPr>
              <w:t>分，最高加分不超</w:t>
            </w:r>
            <w:r>
              <w:rPr>
                <w:color w:val="auto"/>
                <w:spacing w:val="-1"/>
                <w:highlight w:val="none"/>
              </w:rPr>
              <w:t>过</w:t>
            </w:r>
            <w:r>
              <w:rPr>
                <w:color w:val="auto"/>
                <w:spacing w:val="7"/>
                <w:highlight w:val="none"/>
              </w:rPr>
              <w:t xml:space="preserve">    </w:t>
            </w:r>
            <w:r>
              <w:rPr>
                <w:color w:val="auto"/>
                <w:spacing w:val="-1"/>
                <w:highlight w:val="none"/>
              </w:rPr>
              <w:t>分。</w:t>
            </w:r>
          </w:p>
        </w:tc>
      </w:tr>
      <w:tr w14:paraId="6AC726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59" w:hRule="atLeast"/>
        </w:trPr>
        <w:tc>
          <w:tcPr>
            <w:tcW w:w="928" w:type="dxa"/>
            <w:vMerge w:val="continue"/>
            <w:tcBorders>
              <w:top w:val="nil"/>
              <w:bottom w:val="nil"/>
            </w:tcBorders>
            <w:vAlign w:val="top"/>
          </w:tcPr>
          <w:p w14:paraId="37F26E52">
            <w:pPr>
              <w:rPr>
                <w:rFonts w:ascii="Arial"/>
                <w:color w:val="auto"/>
                <w:sz w:val="21"/>
                <w:highlight w:val="none"/>
              </w:rPr>
            </w:pPr>
          </w:p>
        </w:tc>
        <w:tc>
          <w:tcPr>
            <w:tcW w:w="655" w:type="dxa"/>
            <w:vMerge w:val="continue"/>
            <w:tcBorders>
              <w:top w:val="nil"/>
              <w:bottom w:val="nil"/>
            </w:tcBorders>
            <w:vAlign w:val="top"/>
          </w:tcPr>
          <w:p w14:paraId="6F7A55C1">
            <w:pPr>
              <w:rPr>
                <w:rFonts w:ascii="Arial"/>
                <w:color w:val="auto"/>
                <w:sz w:val="21"/>
                <w:highlight w:val="none"/>
              </w:rPr>
            </w:pPr>
          </w:p>
        </w:tc>
        <w:tc>
          <w:tcPr>
            <w:tcW w:w="518" w:type="dxa"/>
            <w:vMerge w:val="continue"/>
            <w:tcBorders>
              <w:top w:val="nil"/>
              <w:bottom w:val="nil"/>
            </w:tcBorders>
            <w:vAlign w:val="top"/>
          </w:tcPr>
          <w:p w14:paraId="61E8C7F7">
            <w:pPr>
              <w:rPr>
                <w:rFonts w:ascii="Arial"/>
                <w:color w:val="auto"/>
                <w:sz w:val="21"/>
                <w:highlight w:val="none"/>
              </w:rPr>
            </w:pPr>
          </w:p>
        </w:tc>
        <w:tc>
          <w:tcPr>
            <w:tcW w:w="919" w:type="dxa"/>
            <w:vMerge w:val="continue"/>
            <w:tcBorders>
              <w:top w:val="nil"/>
              <w:bottom w:val="nil"/>
            </w:tcBorders>
            <w:vAlign w:val="top"/>
          </w:tcPr>
          <w:p w14:paraId="2D3C7469">
            <w:pPr>
              <w:rPr>
                <w:rFonts w:ascii="Arial"/>
                <w:color w:val="auto"/>
                <w:sz w:val="21"/>
                <w:highlight w:val="none"/>
              </w:rPr>
            </w:pPr>
          </w:p>
        </w:tc>
        <w:tc>
          <w:tcPr>
            <w:tcW w:w="948" w:type="dxa"/>
            <w:vAlign w:val="top"/>
          </w:tcPr>
          <w:p w14:paraId="520106BF">
            <w:pPr>
              <w:pStyle w:val="18"/>
              <w:spacing w:before="155" w:line="229" w:lineRule="auto"/>
              <w:ind w:left="163"/>
              <w:rPr>
                <w:color w:val="auto"/>
                <w:highlight w:val="none"/>
              </w:rPr>
            </w:pPr>
            <w:r>
              <w:rPr>
                <w:color w:val="auto"/>
                <w:spacing w:val="5"/>
                <w:highlight w:val="none"/>
              </w:rPr>
              <w:t>交通安</w:t>
            </w:r>
          </w:p>
          <w:p w14:paraId="34B5E66E">
            <w:pPr>
              <w:pStyle w:val="18"/>
              <w:spacing w:before="134" w:line="282" w:lineRule="auto"/>
              <w:ind w:left="267" w:right="162" w:hanging="108"/>
              <w:rPr>
                <w:color w:val="auto"/>
                <w:highlight w:val="none"/>
              </w:rPr>
            </w:pPr>
            <w:r>
              <w:rPr>
                <w:color w:val="auto"/>
                <w:spacing w:val="6"/>
                <w:highlight w:val="none"/>
              </w:rPr>
              <w:t>全设施</w:t>
            </w:r>
            <w:r>
              <w:rPr>
                <w:color w:val="auto"/>
                <w:spacing w:val="3"/>
                <w:highlight w:val="none"/>
              </w:rPr>
              <w:t>工程</w:t>
            </w:r>
          </w:p>
        </w:tc>
        <w:tc>
          <w:tcPr>
            <w:tcW w:w="576" w:type="dxa"/>
            <w:vAlign w:val="top"/>
          </w:tcPr>
          <w:p w14:paraId="47FE03FC">
            <w:pPr>
              <w:spacing w:line="469" w:lineRule="auto"/>
              <w:rPr>
                <w:rFonts w:ascii="Arial"/>
                <w:color w:val="auto"/>
                <w:sz w:val="21"/>
                <w:highlight w:val="none"/>
              </w:rPr>
            </w:pPr>
          </w:p>
          <w:p w14:paraId="04EAEE30">
            <w:pPr>
              <w:pStyle w:val="18"/>
              <w:tabs>
                <w:tab w:val="left" w:pos="217"/>
              </w:tabs>
              <w:spacing w:before="65" w:line="228" w:lineRule="auto"/>
              <w:ind w:left="100"/>
              <w:rPr>
                <w:color w:val="auto"/>
                <w:highlight w:val="none"/>
              </w:rPr>
            </w:pPr>
            <w:r>
              <w:rPr>
                <w:rFonts w:hint="eastAsia"/>
                <w:color w:val="auto"/>
                <w:highlight w:val="none"/>
                <w:u w:val="single" w:color="auto"/>
                <w:lang w:val="en-US" w:eastAsia="zh-CN"/>
              </w:rPr>
              <w:t>2</w:t>
            </w:r>
            <w:r>
              <w:rPr>
                <w:color w:val="auto"/>
                <w:highlight w:val="none"/>
              </w:rPr>
              <w:t>分</w:t>
            </w:r>
          </w:p>
        </w:tc>
        <w:tc>
          <w:tcPr>
            <w:tcW w:w="4351" w:type="dxa"/>
            <w:vAlign w:val="top"/>
          </w:tcPr>
          <w:p w14:paraId="0CE4119C">
            <w:pPr>
              <w:spacing w:line="277" w:lineRule="auto"/>
              <w:rPr>
                <w:rFonts w:ascii="Arial"/>
                <w:color w:val="auto"/>
                <w:sz w:val="21"/>
                <w:highlight w:val="none"/>
              </w:rPr>
            </w:pPr>
          </w:p>
          <w:p w14:paraId="29D7E362">
            <w:pPr>
              <w:pStyle w:val="18"/>
              <w:spacing w:before="65" w:line="252" w:lineRule="auto"/>
              <w:ind w:left="116" w:right="108" w:hanging="10"/>
              <w:rPr>
                <w:color w:val="auto"/>
                <w:highlight w:val="none"/>
              </w:rPr>
            </w:pPr>
            <w:r>
              <w:rPr>
                <w:color w:val="auto"/>
                <w:spacing w:val="11"/>
                <w:highlight w:val="none"/>
              </w:rPr>
              <w:t>在满足业绩最低要求的基础上，每增加</w:t>
            </w:r>
            <w:r>
              <w:rPr>
                <w:color w:val="auto"/>
                <w:spacing w:val="-85"/>
                <w:highlight w:val="none"/>
              </w:rPr>
              <w:t xml:space="preserve"> </w:t>
            </w:r>
            <w:r>
              <w:rPr>
                <w:color w:val="auto"/>
                <w:spacing w:val="7"/>
                <w:highlight w:val="none"/>
                <w:u w:val="single" w:color="auto"/>
              </w:rPr>
              <w:t xml:space="preserve"> </w:t>
            </w:r>
            <w:r>
              <w:rPr>
                <w:rFonts w:hint="eastAsia"/>
                <w:color w:val="auto"/>
                <w:spacing w:val="7"/>
                <w:highlight w:val="none"/>
                <w:u w:val="single" w:color="auto"/>
                <w:lang w:val="en-US" w:eastAsia="zh-CN"/>
              </w:rPr>
              <w:t>1</w:t>
            </w:r>
            <w:r>
              <w:rPr>
                <w:color w:val="auto"/>
                <w:spacing w:val="7"/>
                <w:highlight w:val="none"/>
                <w:u w:val="single" w:color="auto"/>
              </w:rPr>
              <w:t xml:space="preserve"> </w:t>
            </w:r>
            <w:r>
              <w:rPr>
                <w:color w:val="auto"/>
                <w:spacing w:val="-93"/>
                <w:highlight w:val="none"/>
              </w:rPr>
              <w:t xml:space="preserve"> </w:t>
            </w:r>
            <w:r>
              <w:rPr>
                <w:color w:val="auto"/>
                <w:highlight w:val="none"/>
              </w:rPr>
              <w:t xml:space="preserve">km </w:t>
            </w:r>
            <w:r>
              <w:rPr>
                <w:color w:val="auto"/>
                <w:spacing w:val="5"/>
                <w:highlight w:val="none"/>
              </w:rPr>
              <w:t>（尾数不计）加</w:t>
            </w:r>
            <w:r>
              <w:rPr>
                <w:color w:val="auto"/>
                <w:spacing w:val="5"/>
                <w:highlight w:val="none"/>
                <w:u w:val="single" w:color="auto"/>
              </w:rPr>
              <w:t xml:space="preserve"> </w:t>
            </w:r>
            <w:r>
              <w:rPr>
                <w:rFonts w:hint="eastAsia"/>
                <w:color w:val="auto"/>
                <w:spacing w:val="5"/>
                <w:highlight w:val="none"/>
                <w:u w:val="single" w:color="auto"/>
                <w:lang w:val="en-US" w:eastAsia="zh-CN"/>
              </w:rPr>
              <w:t>1</w:t>
            </w:r>
            <w:r>
              <w:rPr>
                <w:color w:val="auto"/>
                <w:spacing w:val="5"/>
                <w:highlight w:val="none"/>
                <w:u w:val="single" w:color="auto"/>
              </w:rPr>
              <w:t xml:space="preserve"> </w:t>
            </w:r>
            <w:r>
              <w:rPr>
                <w:color w:val="auto"/>
                <w:spacing w:val="-73"/>
                <w:highlight w:val="none"/>
              </w:rPr>
              <w:t xml:space="preserve"> </w:t>
            </w:r>
            <w:r>
              <w:rPr>
                <w:color w:val="auto"/>
                <w:spacing w:val="5"/>
                <w:highlight w:val="none"/>
              </w:rPr>
              <w:t>分，最多加</w:t>
            </w:r>
            <w:r>
              <w:rPr>
                <w:color w:val="auto"/>
                <w:spacing w:val="5"/>
                <w:highlight w:val="none"/>
                <w:u w:val="single" w:color="auto"/>
              </w:rPr>
              <w:t xml:space="preserve"> </w:t>
            </w:r>
            <w:r>
              <w:rPr>
                <w:rFonts w:hint="eastAsia"/>
                <w:color w:val="auto"/>
                <w:spacing w:val="5"/>
                <w:highlight w:val="none"/>
                <w:u w:val="single" w:color="auto"/>
                <w:lang w:val="en-US" w:eastAsia="zh-CN"/>
              </w:rPr>
              <w:t>2</w:t>
            </w:r>
            <w:r>
              <w:rPr>
                <w:color w:val="auto"/>
                <w:spacing w:val="5"/>
                <w:highlight w:val="none"/>
                <w:u w:val="single" w:color="auto"/>
              </w:rPr>
              <w:t xml:space="preserve"> </w:t>
            </w:r>
            <w:r>
              <w:rPr>
                <w:color w:val="auto"/>
                <w:spacing w:val="-90"/>
                <w:highlight w:val="none"/>
              </w:rPr>
              <w:t xml:space="preserve"> </w:t>
            </w:r>
            <w:r>
              <w:rPr>
                <w:color w:val="auto"/>
                <w:spacing w:val="5"/>
                <w:highlight w:val="none"/>
              </w:rPr>
              <w:t>分。</w:t>
            </w:r>
          </w:p>
        </w:tc>
      </w:tr>
      <w:tr w14:paraId="342C95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928" w:type="dxa"/>
            <w:vMerge w:val="continue"/>
            <w:tcBorders>
              <w:top w:val="nil"/>
              <w:bottom w:val="nil"/>
            </w:tcBorders>
            <w:vAlign w:val="top"/>
          </w:tcPr>
          <w:p w14:paraId="655D7D0B">
            <w:pPr>
              <w:rPr>
                <w:rFonts w:ascii="Arial"/>
                <w:color w:val="auto"/>
                <w:sz w:val="21"/>
                <w:highlight w:val="none"/>
              </w:rPr>
            </w:pPr>
          </w:p>
        </w:tc>
        <w:tc>
          <w:tcPr>
            <w:tcW w:w="655" w:type="dxa"/>
            <w:vMerge w:val="continue"/>
            <w:tcBorders>
              <w:top w:val="nil"/>
              <w:bottom w:val="nil"/>
            </w:tcBorders>
            <w:vAlign w:val="top"/>
          </w:tcPr>
          <w:p w14:paraId="49C6EA69">
            <w:pPr>
              <w:rPr>
                <w:rFonts w:ascii="Arial"/>
                <w:color w:val="auto"/>
                <w:sz w:val="21"/>
                <w:highlight w:val="none"/>
              </w:rPr>
            </w:pPr>
          </w:p>
        </w:tc>
        <w:tc>
          <w:tcPr>
            <w:tcW w:w="518" w:type="dxa"/>
            <w:vMerge w:val="continue"/>
            <w:tcBorders>
              <w:top w:val="nil"/>
              <w:bottom w:val="nil"/>
            </w:tcBorders>
            <w:vAlign w:val="top"/>
          </w:tcPr>
          <w:p w14:paraId="17D6220B">
            <w:pPr>
              <w:rPr>
                <w:rFonts w:ascii="Arial"/>
                <w:color w:val="auto"/>
                <w:sz w:val="21"/>
                <w:highlight w:val="none"/>
              </w:rPr>
            </w:pPr>
          </w:p>
        </w:tc>
        <w:tc>
          <w:tcPr>
            <w:tcW w:w="919" w:type="dxa"/>
            <w:vMerge w:val="continue"/>
            <w:tcBorders>
              <w:top w:val="nil"/>
              <w:bottom w:val="nil"/>
            </w:tcBorders>
            <w:vAlign w:val="top"/>
          </w:tcPr>
          <w:p w14:paraId="6F8375A1">
            <w:pPr>
              <w:rPr>
                <w:rFonts w:ascii="Arial"/>
                <w:color w:val="auto"/>
                <w:sz w:val="21"/>
                <w:highlight w:val="none"/>
              </w:rPr>
            </w:pPr>
          </w:p>
        </w:tc>
        <w:tc>
          <w:tcPr>
            <w:tcW w:w="948" w:type="dxa"/>
            <w:vAlign w:val="top"/>
          </w:tcPr>
          <w:p w14:paraId="0474FDA7">
            <w:pPr>
              <w:pStyle w:val="18"/>
              <w:spacing w:before="141" w:line="227" w:lineRule="auto"/>
              <w:ind w:left="264"/>
              <w:rPr>
                <w:color w:val="auto"/>
                <w:highlight w:val="none"/>
              </w:rPr>
            </w:pPr>
            <w:r>
              <w:rPr>
                <w:color w:val="auto"/>
                <w:spacing w:val="5"/>
                <w:highlight w:val="none"/>
              </w:rPr>
              <w:t>机电</w:t>
            </w:r>
          </w:p>
          <w:p w14:paraId="6D412D02">
            <w:pPr>
              <w:pStyle w:val="18"/>
              <w:spacing w:before="136" w:line="214" w:lineRule="auto"/>
              <w:ind w:left="267"/>
              <w:rPr>
                <w:color w:val="auto"/>
                <w:highlight w:val="none"/>
              </w:rPr>
            </w:pPr>
            <w:r>
              <w:rPr>
                <w:color w:val="auto"/>
                <w:spacing w:val="3"/>
                <w:highlight w:val="none"/>
              </w:rPr>
              <w:t>工程</w:t>
            </w:r>
          </w:p>
        </w:tc>
        <w:tc>
          <w:tcPr>
            <w:tcW w:w="576" w:type="dxa"/>
            <w:vAlign w:val="top"/>
          </w:tcPr>
          <w:p w14:paraId="46FB4027">
            <w:pPr>
              <w:spacing w:line="267" w:lineRule="auto"/>
              <w:rPr>
                <w:rFonts w:ascii="Arial"/>
                <w:color w:val="auto"/>
                <w:sz w:val="21"/>
                <w:highlight w:val="none"/>
              </w:rPr>
            </w:pPr>
          </w:p>
          <w:p w14:paraId="3B937120">
            <w:pPr>
              <w:pStyle w:val="18"/>
              <w:tabs>
                <w:tab w:val="left" w:pos="217"/>
              </w:tabs>
              <w:spacing w:before="65" w:line="228" w:lineRule="auto"/>
              <w:ind w:left="100"/>
              <w:rPr>
                <w:color w:val="auto"/>
                <w:highlight w:val="none"/>
              </w:rPr>
            </w:pPr>
            <w:r>
              <w:rPr>
                <w:color w:val="auto"/>
                <w:highlight w:val="none"/>
                <w:u w:val="single" w:color="auto"/>
              </w:rPr>
              <w:tab/>
            </w:r>
            <w:r>
              <w:rPr>
                <w:rFonts w:hint="eastAsia"/>
                <w:color w:val="auto"/>
                <w:highlight w:val="none"/>
                <w:u w:val="single" w:color="auto"/>
                <w:lang w:val="en-US" w:eastAsia="zh-CN"/>
              </w:rPr>
              <w:t>/</w:t>
            </w:r>
            <w:r>
              <w:rPr>
                <w:color w:val="auto"/>
                <w:highlight w:val="none"/>
              </w:rPr>
              <w:t>分</w:t>
            </w:r>
          </w:p>
        </w:tc>
        <w:tc>
          <w:tcPr>
            <w:tcW w:w="4351" w:type="dxa"/>
            <w:vAlign w:val="top"/>
          </w:tcPr>
          <w:p w14:paraId="2056E120">
            <w:pPr>
              <w:pStyle w:val="18"/>
              <w:spacing w:before="33" w:line="254" w:lineRule="auto"/>
              <w:ind w:left="116" w:right="108" w:hanging="10"/>
              <w:rPr>
                <w:color w:val="auto"/>
                <w:highlight w:val="none"/>
              </w:rPr>
            </w:pPr>
            <w:r>
              <w:rPr>
                <w:color w:val="auto"/>
                <w:spacing w:val="11"/>
                <w:highlight w:val="none"/>
              </w:rPr>
              <w:t>在满足业绩最低要求的基础上，每增加</w:t>
            </w:r>
            <w:r>
              <w:rPr>
                <w:color w:val="auto"/>
                <w:spacing w:val="-85"/>
                <w:highlight w:val="none"/>
              </w:rPr>
              <w:t xml:space="preserve"> </w:t>
            </w:r>
            <w:r>
              <w:rPr>
                <w:color w:val="auto"/>
                <w:spacing w:val="7"/>
                <w:highlight w:val="none"/>
                <w:u w:val="single" w:color="auto"/>
              </w:rPr>
              <w:t xml:space="preserve"> </w:t>
            </w:r>
            <w:r>
              <w:rPr>
                <w:rFonts w:hint="eastAsia"/>
                <w:color w:val="auto"/>
                <w:spacing w:val="7"/>
                <w:highlight w:val="none"/>
                <w:u w:val="single" w:color="auto"/>
                <w:lang w:val="en-US" w:eastAsia="zh-CN"/>
              </w:rPr>
              <w:t>/</w:t>
            </w:r>
            <w:r>
              <w:rPr>
                <w:color w:val="auto"/>
                <w:spacing w:val="7"/>
                <w:highlight w:val="none"/>
                <w:u w:val="single" w:color="auto"/>
              </w:rPr>
              <w:t xml:space="preserve">  </w:t>
            </w:r>
            <w:r>
              <w:rPr>
                <w:color w:val="auto"/>
                <w:spacing w:val="-93"/>
                <w:highlight w:val="none"/>
              </w:rPr>
              <w:t xml:space="preserve"> </w:t>
            </w:r>
            <w:r>
              <w:rPr>
                <w:color w:val="auto"/>
                <w:highlight w:val="none"/>
              </w:rPr>
              <w:t xml:space="preserve">km </w:t>
            </w:r>
            <w:r>
              <w:rPr>
                <w:color w:val="auto"/>
                <w:spacing w:val="5"/>
                <w:highlight w:val="none"/>
              </w:rPr>
              <w:t>（尾数不计）加</w:t>
            </w:r>
            <w:r>
              <w:rPr>
                <w:color w:val="auto"/>
                <w:spacing w:val="5"/>
                <w:highlight w:val="none"/>
                <w:u w:val="single" w:color="auto"/>
              </w:rPr>
              <w:t xml:space="preserve"> </w:t>
            </w:r>
            <w:r>
              <w:rPr>
                <w:rFonts w:hint="eastAsia"/>
                <w:color w:val="auto"/>
                <w:spacing w:val="5"/>
                <w:highlight w:val="none"/>
                <w:u w:val="single" w:color="auto"/>
                <w:lang w:val="en-US" w:eastAsia="zh-CN"/>
              </w:rPr>
              <w:t>/</w:t>
            </w:r>
            <w:r>
              <w:rPr>
                <w:color w:val="auto"/>
                <w:spacing w:val="5"/>
                <w:highlight w:val="none"/>
                <w:u w:val="single" w:color="auto"/>
              </w:rPr>
              <w:t xml:space="preserve"> </w:t>
            </w:r>
            <w:r>
              <w:rPr>
                <w:color w:val="auto"/>
                <w:spacing w:val="-73"/>
                <w:highlight w:val="none"/>
              </w:rPr>
              <w:t xml:space="preserve"> </w:t>
            </w:r>
            <w:r>
              <w:rPr>
                <w:color w:val="auto"/>
                <w:spacing w:val="5"/>
                <w:highlight w:val="none"/>
              </w:rPr>
              <w:t>分，最多加</w:t>
            </w:r>
            <w:r>
              <w:rPr>
                <w:color w:val="auto"/>
                <w:spacing w:val="5"/>
                <w:highlight w:val="none"/>
                <w:u w:val="single" w:color="auto"/>
              </w:rPr>
              <w:t xml:space="preserve"> </w:t>
            </w:r>
            <w:r>
              <w:rPr>
                <w:rFonts w:hint="eastAsia"/>
                <w:color w:val="auto"/>
                <w:spacing w:val="5"/>
                <w:highlight w:val="none"/>
                <w:u w:val="single" w:color="auto"/>
                <w:lang w:val="en-US" w:eastAsia="zh-CN"/>
              </w:rPr>
              <w:t>/</w:t>
            </w:r>
            <w:r>
              <w:rPr>
                <w:color w:val="auto"/>
                <w:spacing w:val="5"/>
                <w:highlight w:val="none"/>
                <w:u w:val="single" w:color="auto"/>
              </w:rPr>
              <w:t xml:space="preserve"> </w:t>
            </w:r>
            <w:r>
              <w:rPr>
                <w:color w:val="auto"/>
                <w:spacing w:val="-90"/>
                <w:highlight w:val="none"/>
              </w:rPr>
              <w:t xml:space="preserve"> </w:t>
            </w:r>
            <w:r>
              <w:rPr>
                <w:color w:val="auto"/>
                <w:spacing w:val="5"/>
                <w:highlight w:val="none"/>
              </w:rPr>
              <w:t>分。</w:t>
            </w:r>
          </w:p>
        </w:tc>
      </w:tr>
      <w:tr w14:paraId="0CEA7A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928" w:type="dxa"/>
            <w:vMerge w:val="continue"/>
            <w:tcBorders>
              <w:top w:val="nil"/>
              <w:bottom w:val="nil"/>
            </w:tcBorders>
            <w:vAlign w:val="top"/>
          </w:tcPr>
          <w:p w14:paraId="745789B8">
            <w:pPr>
              <w:rPr>
                <w:rFonts w:ascii="Arial"/>
                <w:color w:val="auto"/>
                <w:sz w:val="21"/>
                <w:highlight w:val="none"/>
              </w:rPr>
            </w:pPr>
          </w:p>
        </w:tc>
        <w:tc>
          <w:tcPr>
            <w:tcW w:w="655" w:type="dxa"/>
            <w:vMerge w:val="continue"/>
            <w:tcBorders>
              <w:top w:val="nil"/>
              <w:bottom w:val="nil"/>
            </w:tcBorders>
            <w:vAlign w:val="top"/>
          </w:tcPr>
          <w:p w14:paraId="16FCA4B5">
            <w:pPr>
              <w:rPr>
                <w:rFonts w:ascii="Arial"/>
                <w:color w:val="auto"/>
                <w:sz w:val="21"/>
                <w:highlight w:val="none"/>
              </w:rPr>
            </w:pPr>
          </w:p>
        </w:tc>
        <w:tc>
          <w:tcPr>
            <w:tcW w:w="518" w:type="dxa"/>
            <w:vMerge w:val="continue"/>
            <w:tcBorders>
              <w:top w:val="nil"/>
            </w:tcBorders>
            <w:vAlign w:val="top"/>
          </w:tcPr>
          <w:p w14:paraId="28C7A246">
            <w:pPr>
              <w:rPr>
                <w:rFonts w:ascii="Arial"/>
                <w:color w:val="auto"/>
                <w:sz w:val="21"/>
                <w:highlight w:val="none"/>
              </w:rPr>
            </w:pPr>
          </w:p>
        </w:tc>
        <w:tc>
          <w:tcPr>
            <w:tcW w:w="919" w:type="dxa"/>
            <w:vMerge w:val="continue"/>
            <w:tcBorders>
              <w:top w:val="nil"/>
            </w:tcBorders>
            <w:vAlign w:val="top"/>
          </w:tcPr>
          <w:p w14:paraId="15807F21">
            <w:pPr>
              <w:rPr>
                <w:rFonts w:ascii="Arial"/>
                <w:color w:val="auto"/>
                <w:sz w:val="21"/>
                <w:highlight w:val="none"/>
              </w:rPr>
            </w:pPr>
          </w:p>
        </w:tc>
        <w:tc>
          <w:tcPr>
            <w:tcW w:w="948" w:type="dxa"/>
            <w:vAlign w:val="top"/>
          </w:tcPr>
          <w:p w14:paraId="485827E3">
            <w:pPr>
              <w:pStyle w:val="18"/>
              <w:spacing w:before="170" w:line="228" w:lineRule="auto"/>
              <w:ind w:left="266"/>
              <w:rPr>
                <w:color w:val="auto"/>
                <w:highlight w:val="none"/>
              </w:rPr>
            </w:pPr>
            <w:r>
              <w:rPr>
                <w:color w:val="auto"/>
                <w:spacing w:val="4"/>
                <w:highlight w:val="none"/>
              </w:rPr>
              <w:t>房建</w:t>
            </w:r>
          </w:p>
          <w:p w14:paraId="1A9509C6">
            <w:pPr>
              <w:pStyle w:val="18"/>
              <w:spacing w:before="132" w:line="228" w:lineRule="auto"/>
              <w:ind w:left="267"/>
              <w:rPr>
                <w:color w:val="auto"/>
                <w:highlight w:val="none"/>
              </w:rPr>
            </w:pPr>
            <w:r>
              <w:rPr>
                <w:color w:val="auto"/>
                <w:spacing w:val="3"/>
                <w:highlight w:val="none"/>
              </w:rPr>
              <w:t>工程</w:t>
            </w:r>
          </w:p>
        </w:tc>
        <w:tc>
          <w:tcPr>
            <w:tcW w:w="576" w:type="dxa"/>
            <w:vAlign w:val="top"/>
          </w:tcPr>
          <w:p w14:paraId="580176AA">
            <w:pPr>
              <w:spacing w:line="293" w:lineRule="auto"/>
              <w:rPr>
                <w:rFonts w:ascii="Arial"/>
                <w:color w:val="auto"/>
                <w:sz w:val="21"/>
                <w:highlight w:val="none"/>
              </w:rPr>
            </w:pPr>
          </w:p>
          <w:p w14:paraId="1A437CDF">
            <w:pPr>
              <w:pStyle w:val="18"/>
              <w:spacing w:before="65" w:line="228" w:lineRule="auto"/>
              <w:jc w:val="center"/>
              <w:rPr>
                <w:color w:val="auto"/>
                <w:highlight w:val="none"/>
              </w:rPr>
            </w:pPr>
            <w:r>
              <w:rPr>
                <w:rFonts w:hint="eastAsia"/>
                <w:color w:val="auto"/>
                <w:highlight w:val="none"/>
                <w:u w:val="single"/>
                <w:lang w:val="en-US" w:eastAsia="zh-CN"/>
              </w:rPr>
              <w:t>/</w:t>
            </w:r>
            <w:r>
              <w:rPr>
                <w:color w:val="auto"/>
                <w:highlight w:val="none"/>
              </w:rPr>
              <w:t>分</w:t>
            </w:r>
          </w:p>
        </w:tc>
        <w:tc>
          <w:tcPr>
            <w:tcW w:w="4351" w:type="dxa"/>
            <w:vAlign w:val="top"/>
          </w:tcPr>
          <w:p w14:paraId="6EC144B1">
            <w:pPr>
              <w:pStyle w:val="18"/>
              <w:spacing w:before="35" w:line="239" w:lineRule="auto"/>
              <w:ind w:left="106" w:right="109"/>
              <w:jc w:val="both"/>
              <w:rPr>
                <w:color w:val="auto"/>
                <w:highlight w:val="none"/>
              </w:rPr>
            </w:pPr>
            <w:r>
              <w:rPr>
                <w:color w:val="auto"/>
                <w:spacing w:val="9"/>
                <w:highlight w:val="none"/>
              </w:rPr>
              <w:t>在满足业绩最低要求的基础上，每增加</w:t>
            </w:r>
            <w:r>
              <w:rPr>
                <w:color w:val="auto"/>
                <w:spacing w:val="-89"/>
                <w:highlight w:val="none"/>
              </w:rPr>
              <w:t xml:space="preserve"> </w:t>
            </w:r>
            <w:r>
              <w:rPr>
                <w:color w:val="auto"/>
                <w:spacing w:val="7"/>
                <w:highlight w:val="none"/>
                <w:u w:val="single" w:color="auto"/>
              </w:rPr>
              <w:t xml:space="preserve"> </w:t>
            </w:r>
            <w:r>
              <w:rPr>
                <w:rFonts w:hint="eastAsia"/>
                <w:color w:val="auto"/>
                <w:spacing w:val="7"/>
                <w:highlight w:val="none"/>
                <w:u w:val="single" w:color="auto"/>
                <w:lang w:val="en-US" w:eastAsia="zh-CN"/>
              </w:rPr>
              <w:t>/</w:t>
            </w:r>
            <w:r>
              <w:rPr>
                <w:color w:val="auto"/>
                <w:spacing w:val="7"/>
                <w:highlight w:val="none"/>
                <w:u w:val="single" w:color="auto"/>
              </w:rPr>
              <w:t xml:space="preserve">  </w:t>
            </w:r>
            <w:r>
              <w:rPr>
                <w:color w:val="auto"/>
                <w:spacing w:val="-82"/>
                <w:highlight w:val="none"/>
              </w:rPr>
              <w:t xml:space="preserve"> </w:t>
            </w:r>
            <w:r>
              <w:rPr>
                <w:color w:val="auto"/>
                <w:spacing w:val="9"/>
                <w:highlight w:val="none"/>
              </w:rPr>
              <w:t>㎡</w:t>
            </w:r>
            <w:r>
              <w:rPr>
                <w:color w:val="auto"/>
                <w:highlight w:val="none"/>
              </w:rPr>
              <w:t xml:space="preserve"> </w:t>
            </w:r>
            <w:r>
              <w:rPr>
                <w:color w:val="auto"/>
                <w:spacing w:val="14"/>
                <w:highlight w:val="none"/>
              </w:rPr>
              <w:t>（尾数不计）</w:t>
            </w:r>
            <w:r>
              <w:rPr>
                <w:color w:val="auto"/>
                <w:spacing w:val="-38"/>
                <w:highlight w:val="none"/>
              </w:rPr>
              <w:t xml:space="preserve"> </w:t>
            </w:r>
            <w:r>
              <w:rPr>
                <w:color w:val="auto"/>
                <w:spacing w:val="14"/>
                <w:highlight w:val="none"/>
              </w:rPr>
              <w:t>的房建工程（同时含土建和安</w:t>
            </w:r>
            <w:r>
              <w:rPr>
                <w:color w:val="auto"/>
                <w:spacing w:val="6"/>
                <w:highlight w:val="none"/>
              </w:rPr>
              <w:t>装）施工监理加</w:t>
            </w:r>
            <w:r>
              <w:rPr>
                <w:color w:val="auto"/>
                <w:spacing w:val="6"/>
                <w:highlight w:val="none"/>
                <w:u w:val="single" w:color="auto"/>
              </w:rPr>
              <w:t xml:space="preserve"> </w:t>
            </w:r>
            <w:r>
              <w:rPr>
                <w:rFonts w:hint="eastAsia"/>
                <w:color w:val="auto"/>
                <w:spacing w:val="6"/>
                <w:highlight w:val="none"/>
                <w:u w:val="single" w:color="auto"/>
                <w:lang w:val="en-US" w:eastAsia="zh-CN"/>
              </w:rPr>
              <w:t>/</w:t>
            </w:r>
            <w:r>
              <w:rPr>
                <w:color w:val="auto"/>
                <w:spacing w:val="6"/>
                <w:highlight w:val="none"/>
                <w:u w:val="single" w:color="auto"/>
              </w:rPr>
              <w:t xml:space="preserve"> </w:t>
            </w:r>
            <w:r>
              <w:rPr>
                <w:color w:val="auto"/>
                <w:spacing w:val="-82"/>
                <w:highlight w:val="none"/>
              </w:rPr>
              <w:t xml:space="preserve"> </w:t>
            </w:r>
            <w:r>
              <w:rPr>
                <w:color w:val="auto"/>
                <w:spacing w:val="6"/>
                <w:highlight w:val="none"/>
              </w:rPr>
              <w:t>分，最多加</w:t>
            </w:r>
            <w:r>
              <w:rPr>
                <w:color w:val="auto"/>
                <w:spacing w:val="6"/>
                <w:highlight w:val="none"/>
                <w:u w:val="single" w:color="auto"/>
              </w:rPr>
              <w:t xml:space="preserve">  </w:t>
            </w:r>
            <w:r>
              <w:rPr>
                <w:rFonts w:hint="eastAsia"/>
                <w:color w:val="auto"/>
                <w:spacing w:val="6"/>
                <w:highlight w:val="none"/>
                <w:u w:val="single" w:color="auto"/>
                <w:lang w:val="en-US" w:eastAsia="zh-CN"/>
              </w:rPr>
              <w:t>/</w:t>
            </w:r>
            <w:r>
              <w:rPr>
                <w:color w:val="auto"/>
                <w:spacing w:val="6"/>
                <w:highlight w:val="none"/>
                <w:u w:val="single" w:color="auto"/>
              </w:rPr>
              <w:t xml:space="preserve"> </w:t>
            </w:r>
            <w:r>
              <w:rPr>
                <w:color w:val="auto"/>
                <w:spacing w:val="-89"/>
                <w:highlight w:val="none"/>
              </w:rPr>
              <w:t xml:space="preserve"> </w:t>
            </w:r>
            <w:r>
              <w:rPr>
                <w:color w:val="auto"/>
                <w:spacing w:val="6"/>
                <w:highlight w:val="none"/>
              </w:rPr>
              <w:t>分。</w:t>
            </w:r>
          </w:p>
        </w:tc>
      </w:tr>
      <w:tr w14:paraId="4C9129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35" w:hRule="atLeast"/>
        </w:trPr>
        <w:tc>
          <w:tcPr>
            <w:tcW w:w="928" w:type="dxa"/>
            <w:vMerge w:val="continue"/>
            <w:tcBorders>
              <w:top w:val="nil"/>
            </w:tcBorders>
            <w:vAlign w:val="top"/>
          </w:tcPr>
          <w:p w14:paraId="755DA8D8">
            <w:pPr>
              <w:rPr>
                <w:rFonts w:ascii="Arial"/>
                <w:color w:val="auto"/>
                <w:sz w:val="21"/>
                <w:highlight w:val="none"/>
              </w:rPr>
            </w:pPr>
          </w:p>
        </w:tc>
        <w:tc>
          <w:tcPr>
            <w:tcW w:w="655" w:type="dxa"/>
            <w:vMerge w:val="continue"/>
            <w:tcBorders>
              <w:top w:val="nil"/>
            </w:tcBorders>
            <w:vAlign w:val="top"/>
          </w:tcPr>
          <w:p w14:paraId="783AC8FC">
            <w:pPr>
              <w:rPr>
                <w:rFonts w:ascii="Arial"/>
                <w:color w:val="auto"/>
                <w:sz w:val="21"/>
                <w:highlight w:val="none"/>
              </w:rPr>
            </w:pPr>
          </w:p>
        </w:tc>
        <w:tc>
          <w:tcPr>
            <w:tcW w:w="518" w:type="dxa"/>
            <w:textDirection w:val="tbRlV"/>
            <w:vAlign w:val="top"/>
          </w:tcPr>
          <w:p w14:paraId="6C84C0B7">
            <w:pPr>
              <w:pStyle w:val="18"/>
              <w:spacing w:before="154" w:line="216" w:lineRule="auto"/>
              <w:ind w:left="3341"/>
              <w:rPr>
                <w:color w:val="auto"/>
                <w:highlight w:val="none"/>
              </w:rPr>
            </w:pPr>
            <w:r>
              <w:rPr>
                <w:color w:val="auto"/>
                <w:spacing w:val="8"/>
                <w:highlight w:val="none"/>
              </w:rPr>
              <w:t>履</w:t>
            </w:r>
            <w:r>
              <w:rPr>
                <w:color w:val="auto"/>
                <w:spacing w:val="74"/>
                <w:highlight w:val="none"/>
              </w:rPr>
              <w:t xml:space="preserve"> </w:t>
            </w:r>
            <w:r>
              <w:rPr>
                <w:color w:val="auto"/>
                <w:spacing w:val="8"/>
                <w:highlight w:val="none"/>
              </w:rPr>
              <w:t>约</w:t>
            </w:r>
            <w:r>
              <w:rPr>
                <w:color w:val="auto"/>
                <w:spacing w:val="71"/>
                <w:highlight w:val="none"/>
              </w:rPr>
              <w:t xml:space="preserve"> </w:t>
            </w:r>
            <w:r>
              <w:rPr>
                <w:color w:val="auto"/>
                <w:spacing w:val="8"/>
                <w:highlight w:val="none"/>
              </w:rPr>
              <w:t>信</w:t>
            </w:r>
            <w:r>
              <w:rPr>
                <w:color w:val="auto"/>
                <w:spacing w:val="70"/>
                <w:highlight w:val="none"/>
              </w:rPr>
              <w:t xml:space="preserve"> </w:t>
            </w:r>
            <w:r>
              <w:rPr>
                <w:color w:val="auto"/>
                <w:spacing w:val="8"/>
                <w:highlight w:val="none"/>
              </w:rPr>
              <w:t>誉</w:t>
            </w:r>
          </w:p>
        </w:tc>
        <w:tc>
          <w:tcPr>
            <w:tcW w:w="919" w:type="dxa"/>
            <w:vAlign w:val="top"/>
          </w:tcPr>
          <w:p w14:paraId="2AD19071">
            <w:pPr>
              <w:spacing w:line="253" w:lineRule="auto"/>
              <w:rPr>
                <w:rFonts w:ascii="Arial"/>
                <w:color w:val="auto"/>
                <w:sz w:val="21"/>
                <w:highlight w:val="none"/>
              </w:rPr>
            </w:pPr>
          </w:p>
          <w:p w14:paraId="5D97BE8A">
            <w:pPr>
              <w:spacing w:line="253" w:lineRule="auto"/>
              <w:rPr>
                <w:rFonts w:ascii="Arial"/>
                <w:color w:val="auto"/>
                <w:sz w:val="21"/>
                <w:highlight w:val="none"/>
              </w:rPr>
            </w:pPr>
          </w:p>
          <w:p w14:paraId="288FEC56">
            <w:pPr>
              <w:spacing w:line="253" w:lineRule="auto"/>
              <w:rPr>
                <w:rFonts w:ascii="Arial"/>
                <w:color w:val="auto"/>
                <w:sz w:val="21"/>
                <w:highlight w:val="none"/>
              </w:rPr>
            </w:pPr>
          </w:p>
          <w:p w14:paraId="181E1DF9">
            <w:pPr>
              <w:spacing w:line="254" w:lineRule="auto"/>
              <w:rPr>
                <w:rFonts w:ascii="Arial"/>
                <w:color w:val="auto"/>
                <w:sz w:val="21"/>
                <w:highlight w:val="none"/>
              </w:rPr>
            </w:pPr>
          </w:p>
          <w:p w14:paraId="52B103AB">
            <w:pPr>
              <w:spacing w:line="254" w:lineRule="auto"/>
              <w:rPr>
                <w:rFonts w:ascii="Arial"/>
                <w:color w:val="auto"/>
                <w:sz w:val="21"/>
                <w:highlight w:val="none"/>
              </w:rPr>
            </w:pPr>
          </w:p>
          <w:p w14:paraId="18F4C5C1">
            <w:pPr>
              <w:spacing w:line="254" w:lineRule="auto"/>
              <w:rPr>
                <w:rFonts w:ascii="Arial"/>
                <w:color w:val="auto"/>
                <w:sz w:val="21"/>
                <w:highlight w:val="none"/>
              </w:rPr>
            </w:pPr>
          </w:p>
          <w:p w14:paraId="4D1D7911">
            <w:pPr>
              <w:spacing w:line="254" w:lineRule="auto"/>
              <w:rPr>
                <w:rFonts w:ascii="Arial"/>
                <w:color w:val="auto"/>
                <w:sz w:val="21"/>
                <w:highlight w:val="none"/>
              </w:rPr>
            </w:pPr>
          </w:p>
          <w:p w14:paraId="40F85453">
            <w:pPr>
              <w:spacing w:line="254" w:lineRule="auto"/>
              <w:rPr>
                <w:rFonts w:ascii="Arial"/>
                <w:color w:val="auto"/>
                <w:sz w:val="21"/>
                <w:highlight w:val="none"/>
              </w:rPr>
            </w:pPr>
          </w:p>
          <w:p w14:paraId="0AF706D4">
            <w:pPr>
              <w:spacing w:line="254" w:lineRule="auto"/>
              <w:rPr>
                <w:rFonts w:ascii="Arial"/>
                <w:color w:val="auto"/>
                <w:sz w:val="21"/>
                <w:highlight w:val="none"/>
              </w:rPr>
            </w:pPr>
          </w:p>
          <w:p w14:paraId="0D4767B8">
            <w:pPr>
              <w:spacing w:line="254" w:lineRule="auto"/>
              <w:rPr>
                <w:rFonts w:ascii="Arial"/>
                <w:color w:val="auto"/>
                <w:sz w:val="21"/>
                <w:highlight w:val="none"/>
              </w:rPr>
            </w:pPr>
          </w:p>
          <w:p w14:paraId="5439FA1D">
            <w:pPr>
              <w:spacing w:line="254" w:lineRule="auto"/>
              <w:rPr>
                <w:rFonts w:ascii="Arial"/>
                <w:color w:val="auto"/>
                <w:sz w:val="21"/>
                <w:highlight w:val="none"/>
              </w:rPr>
            </w:pPr>
          </w:p>
          <w:p w14:paraId="32DF4AF6">
            <w:pPr>
              <w:spacing w:line="254" w:lineRule="auto"/>
              <w:rPr>
                <w:rFonts w:ascii="Arial"/>
                <w:color w:val="auto"/>
                <w:sz w:val="21"/>
                <w:highlight w:val="none"/>
              </w:rPr>
            </w:pPr>
          </w:p>
          <w:p w14:paraId="2A39E119">
            <w:pPr>
              <w:spacing w:line="254" w:lineRule="auto"/>
              <w:rPr>
                <w:rFonts w:ascii="Arial"/>
                <w:color w:val="auto"/>
                <w:sz w:val="21"/>
                <w:highlight w:val="none"/>
              </w:rPr>
            </w:pPr>
          </w:p>
          <w:p w14:paraId="768F2571">
            <w:pPr>
              <w:spacing w:line="254" w:lineRule="auto"/>
              <w:rPr>
                <w:rFonts w:ascii="Arial"/>
                <w:color w:val="auto"/>
                <w:sz w:val="21"/>
                <w:highlight w:val="none"/>
              </w:rPr>
            </w:pPr>
          </w:p>
          <w:p w14:paraId="11F5FEE0">
            <w:pPr>
              <w:spacing w:line="254" w:lineRule="auto"/>
              <w:rPr>
                <w:rFonts w:ascii="Arial"/>
                <w:color w:val="auto"/>
                <w:sz w:val="21"/>
                <w:highlight w:val="none"/>
              </w:rPr>
            </w:pPr>
          </w:p>
          <w:p w14:paraId="5D50E9F7">
            <w:pPr>
              <w:pStyle w:val="18"/>
              <w:tabs>
                <w:tab w:val="left" w:pos="452"/>
              </w:tabs>
              <w:spacing w:before="65" w:line="244" w:lineRule="auto"/>
              <w:ind w:left="138"/>
              <w:rPr>
                <w:color w:val="auto"/>
                <w:sz w:val="10"/>
                <w:szCs w:val="10"/>
                <w:highlight w:val="none"/>
              </w:rPr>
            </w:pPr>
            <w:r>
              <w:rPr>
                <w:rFonts w:hint="eastAsia"/>
                <w:color w:val="auto"/>
                <w:position w:val="-2"/>
                <w:highlight w:val="none"/>
                <w:u w:val="single" w:color="auto"/>
                <w:lang w:val="en-US" w:eastAsia="zh-CN"/>
              </w:rPr>
              <w:t>15</w:t>
            </w:r>
            <w:r>
              <w:rPr>
                <w:color w:val="auto"/>
                <w:spacing w:val="-89"/>
                <w:position w:val="-2"/>
                <w:highlight w:val="none"/>
              </w:rPr>
              <w:t xml:space="preserve"> </w:t>
            </w:r>
            <w:r>
              <w:rPr>
                <w:color w:val="auto"/>
                <w:spacing w:val="2"/>
                <w:position w:val="-2"/>
                <w:highlight w:val="none"/>
              </w:rPr>
              <w:t>分</w:t>
            </w:r>
          </w:p>
        </w:tc>
        <w:tc>
          <w:tcPr>
            <w:tcW w:w="948" w:type="dxa"/>
            <w:vAlign w:val="top"/>
          </w:tcPr>
          <w:p w14:paraId="3276568E">
            <w:pPr>
              <w:spacing w:line="242" w:lineRule="auto"/>
              <w:rPr>
                <w:rFonts w:ascii="Arial"/>
                <w:color w:val="auto"/>
                <w:sz w:val="21"/>
                <w:highlight w:val="none"/>
              </w:rPr>
            </w:pPr>
          </w:p>
          <w:p w14:paraId="381D30AC">
            <w:pPr>
              <w:spacing w:line="242" w:lineRule="auto"/>
              <w:rPr>
                <w:rFonts w:ascii="Arial"/>
                <w:color w:val="auto"/>
                <w:sz w:val="21"/>
                <w:highlight w:val="none"/>
              </w:rPr>
            </w:pPr>
          </w:p>
          <w:p w14:paraId="573F0FF2">
            <w:pPr>
              <w:spacing w:line="242" w:lineRule="auto"/>
              <w:rPr>
                <w:rFonts w:ascii="Arial"/>
                <w:color w:val="auto"/>
                <w:sz w:val="21"/>
                <w:highlight w:val="none"/>
              </w:rPr>
            </w:pPr>
          </w:p>
          <w:p w14:paraId="43F1FDBF">
            <w:pPr>
              <w:spacing w:line="242" w:lineRule="auto"/>
              <w:rPr>
                <w:rFonts w:ascii="Arial"/>
                <w:color w:val="auto"/>
                <w:sz w:val="21"/>
                <w:highlight w:val="none"/>
              </w:rPr>
            </w:pPr>
          </w:p>
          <w:p w14:paraId="51FB67FA">
            <w:pPr>
              <w:spacing w:line="242" w:lineRule="auto"/>
              <w:rPr>
                <w:rFonts w:ascii="Arial"/>
                <w:color w:val="auto"/>
                <w:sz w:val="21"/>
                <w:highlight w:val="none"/>
              </w:rPr>
            </w:pPr>
          </w:p>
          <w:p w14:paraId="25F3745D">
            <w:pPr>
              <w:spacing w:line="242" w:lineRule="auto"/>
              <w:rPr>
                <w:rFonts w:ascii="Arial"/>
                <w:color w:val="auto"/>
                <w:sz w:val="21"/>
                <w:highlight w:val="none"/>
              </w:rPr>
            </w:pPr>
          </w:p>
          <w:p w14:paraId="67B930B3">
            <w:pPr>
              <w:spacing w:line="242" w:lineRule="auto"/>
              <w:rPr>
                <w:rFonts w:ascii="Arial"/>
                <w:color w:val="auto"/>
                <w:sz w:val="21"/>
                <w:highlight w:val="none"/>
              </w:rPr>
            </w:pPr>
          </w:p>
          <w:p w14:paraId="6A0D59BD">
            <w:pPr>
              <w:spacing w:line="242" w:lineRule="auto"/>
              <w:rPr>
                <w:rFonts w:ascii="Arial"/>
                <w:color w:val="auto"/>
                <w:sz w:val="21"/>
                <w:highlight w:val="none"/>
              </w:rPr>
            </w:pPr>
          </w:p>
          <w:p w14:paraId="7A1AE9E3">
            <w:pPr>
              <w:spacing w:line="242" w:lineRule="auto"/>
              <w:rPr>
                <w:rFonts w:ascii="Arial"/>
                <w:color w:val="auto"/>
                <w:sz w:val="21"/>
                <w:highlight w:val="none"/>
              </w:rPr>
            </w:pPr>
          </w:p>
          <w:p w14:paraId="1366F7D4">
            <w:pPr>
              <w:spacing w:line="243" w:lineRule="auto"/>
              <w:rPr>
                <w:rFonts w:ascii="Arial"/>
                <w:color w:val="auto"/>
                <w:sz w:val="21"/>
                <w:highlight w:val="none"/>
              </w:rPr>
            </w:pPr>
          </w:p>
          <w:p w14:paraId="278A83BC">
            <w:pPr>
              <w:spacing w:line="243" w:lineRule="auto"/>
              <w:rPr>
                <w:rFonts w:ascii="Arial"/>
                <w:color w:val="auto"/>
                <w:sz w:val="21"/>
                <w:highlight w:val="none"/>
              </w:rPr>
            </w:pPr>
          </w:p>
          <w:p w14:paraId="1ED465D8">
            <w:pPr>
              <w:spacing w:line="243" w:lineRule="auto"/>
              <w:rPr>
                <w:rFonts w:ascii="Arial"/>
                <w:color w:val="auto"/>
                <w:sz w:val="21"/>
                <w:highlight w:val="none"/>
              </w:rPr>
            </w:pPr>
          </w:p>
          <w:p w14:paraId="7892A440">
            <w:pPr>
              <w:spacing w:line="243" w:lineRule="auto"/>
              <w:rPr>
                <w:rFonts w:ascii="Arial"/>
                <w:color w:val="auto"/>
                <w:sz w:val="21"/>
                <w:highlight w:val="none"/>
              </w:rPr>
            </w:pPr>
          </w:p>
          <w:p w14:paraId="2B45C763">
            <w:pPr>
              <w:spacing w:line="243" w:lineRule="auto"/>
              <w:rPr>
                <w:rFonts w:ascii="Arial"/>
                <w:color w:val="auto"/>
                <w:sz w:val="21"/>
                <w:highlight w:val="none"/>
              </w:rPr>
            </w:pPr>
          </w:p>
          <w:p w14:paraId="488EB9F1">
            <w:pPr>
              <w:spacing w:line="243" w:lineRule="auto"/>
              <w:rPr>
                <w:rFonts w:ascii="Arial"/>
                <w:color w:val="auto"/>
                <w:sz w:val="21"/>
                <w:highlight w:val="none"/>
              </w:rPr>
            </w:pPr>
          </w:p>
          <w:p w14:paraId="364791DE">
            <w:pPr>
              <w:pStyle w:val="18"/>
              <w:spacing w:before="65" w:line="351" w:lineRule="auto"/>
              <w:ind w:left="265" w:right="268" w:firstLine="3"/>
              <w:rPr>
                <w:color w:val="auto"/>
                <w:highlight w:val="none"/>
              </w:rPr>
            </w:pPr>
            <w:r>
              <w:rPr>
                <w:color w:val="auto"/>
                <w:spacing w:val="3"/>
                <w:highlight w:val="none"/>
              </w:rPr>
              <w:t>履约</w:t>
            </w:r>
            <w:r>
              <w:rPr>
                <w:color w:val="auto"/>
                <w:spacing w:val="4"/>
                <w:highlight w:val="none"/>
              </w:rPr>
              <w:t>信誉</w:t>
            </w:r>
          </w:p>
        </w:tc>
        <w:tc>
          <w:tcPr>
            <w:tcW w:w="576" w:type="dxa"/>
            <w:vAlign w:val="top"/>
          </w:tcPr>
          <w:p w14:paraId="79959AD8">
            <w:pPr>
              <w:spacing w:line="249" w:lineRule="auto"/>
              <w:rPr>
                <w:rFonts w:ascii="Arial"/>
                <w:color w:val="auto"/>
                <w:sz w:val="21"/>
                <w:highlight w:val="none"/>
              </w:rPr>
            </w:pPr>
          </w:p>
          <w:p w14:paraId="66CD3DCA">
            <w:pPr>
              <w:spacing w:line="249" w:lineRule="auto"/>
              <w:rPr>
                <w:rFonts w:ascii="Arial"/>
                <w:color w:val="auto"/>
                <w:sz w:val="21"/>
                <w:highlight w:val="none"/>
              </w:rPr>
            </w:pPr>
          </w:p>
          <w:p w14:paraId="1FA13A2F">
            <w:pPr>
              <w:spacing w:line="249" w:lineRule="auto"/>
              <w:rPr>
                <w:rFonts w:ascii="Arial"/>
                <w:color w:val="auto"/>
                <w:sz w:val="21"/>
                <w:highlight w:val="none"/>
              </w:rPr>
            </w:pPr>
          </w:p>
          <w:p w14:paraId="0654B969">
            <w:pPr>
              <w:spacing w:line="249" w:lineRule="auto"/>
              <w:rPr>
                <w:rFonts w:ascii="Arial"/>
                <w:color w:val="auto"/>
                <w:sz w:val="21"/>
                <w:highlight w:val="none"/>
              </w:rPr>
            </w:pPr>
          </w:p>
          <w:p w14:paraId="35C1967B">
            <w:pPr>
              <w:spacing w:line="249" w:lineRule="auto"/>
              <w:rPr>
                <w:rFonts w:ascii="Arial"/>
                <w:color w:val="auto"/>
                <w:sz w:val="21"/>
                <w:highlight w:val="none"/>
              </w:rPr>
            </w:pPr>
          </w:p>
          <w:p w14:paraId="3F9EEAA0">
            <w:pPr>
              <w:spacing w:line="250" w:lineRule="auto"/>
              <w:rPr>
                <w:rFonts w:ascii="Arial"/>
                <w:color w:val="auto"/>
                <w:sz w:val="21"/>
                <w:highlight w:val="none"/>
              </w:rPr>
            </w:pPr>
          </w:p>
          <w:p w14:paraId="736E77D5">
            <w:pPr>
              <w:spacing w:line="250" w:lineRule="auto"/>
              <w:rPr>
                <w:rFonts w:ascii="Arial"/>
                <w:color w:val="auto"/>
                <w:sz w:val="21"/>
                <w:highlight w:val="none"/>
              </w:rPr>
            </w:pPr>
          </w:p>
          <w:p w14:paraId="2D80BD63">
            <w:pPr>
              <w:spacing w:line="250" w:lineRule="auto"/>
              <w:rPr>
                <w:rFonts w:ascii="Arial"/>
                <w:color w:val="auto"/>
                <w:sz w:val="21"/>
                <w:highlight w:val="none"/>
              </w:rPr>
            </w:pPr>
          </w:p>
          <w:p w14:paraId="359DF33B">
            <w:pPr>
              <w:spacing w:line="250" w:lineRule="auto"/>
              <w:rPr>
                <w:rFonts w:ascii="Arial"/>
                <w:color w:val="auto"/>
                <w:sz w:val="21"/>
                <w:highlight w:val="none"/>
              </w:rPr>
            </w:pPr>
          </w:p>
          <w:p w14:paraId="1E003F23">
            <w:pPr>
              <w:spacing w:line="250" w:lineRule="auto"/>
              <w:rPr>
                <w:rFonts w:ascii="Arial"/>
                <w:color w:val="auto"/>
                <w:sz w:val="21"/>
                <w:highlight w:val="none"/>
              </w:rPr>
            </w:pPr>
          </w:p>
          <w:p w14:paraId="7F619B62">
            <w:pPr>
              <w:spacing w:line="250" w:lineRule="auto"/>
              <w:rPr>
                <w:rFonts w:ascii="Arial"/>
                <w:color w:val="auto"/>
                <w:sz w:val="21"/>
                <w:highlight w:val="none"/>
              </w:rPr>
            </w:pPr>
          </w:p>
          <w:p w14:paraId="6B757E81">
            <w:pPr>
              <w:spacing w:line="250" w:lineRule="auto"/>
              <w:rPr>
                <w:rFonts w:ascii="Arial"/>
                <w:color w:val="auto"/>
                <w:sz w:val="21"/>
                <w:highlight w:val="none"/>
              </w:rPr>
            </w:pPr>
          </w:p>
          <w:p w14:paraId="27905185">
            <w:pPr>
              <w:spacing w:line="250" w:lineRule="auto"/>
              <w:rPr>
                <w:rFonts w:ascii="Arial"/>
                <w:color w:val="auto"/>
                <w:sz w:val="21"/>
                <w:highlight w:val="none"/>
              </w:rPr>
            </w:pPr>
          </w:p>
          <w:p w14:paraId="4B3460BD">
            <w:pPr>
              <w:spacing w:line="250" w:lineRule="auto"/>
              <w:rPr>
                <w:rFonts w:ascii="Arial"/>
                <w:color w:val="auto"/>
                <w:sz w:val="21"/>
                <w:highlight w:val="none"/>
              </w:rPr>
            </w:pPr>
          </w:p>
          <w:p w14:paraId="53A2D0F0">
            <w:pPr>
              <w:spacing w:line="250" w:lineRule="auto"/>
              <w:rPr>
                <w:rFonts w:ascii="Arial"/>
                <w:color w:val="auto"/>
                <w:sz w:val="21"/>
                <w:highlight w:val="none"/>
              </w:rPr>
            </w:pPr>
          </w:p>
          <w:p w14:paraId="443985F8">
            <w:pPr>
              <w:spacing w:line="250" w:lineRule="auto"/>
              <w:rPr>
                <w:color w:val="auto"/>
                <w:sz w:val="10"/>
                <w:szCs w:val="10"/>
                <w:highlight w:val="none"/>
              </w:rPr>
            </w:pPr>
            <w:r>
              <w:rPr>
                <w:rFonts w:hint="eastAsia" w:ascii="宋体" w:hAnsi="宋体" w:eastAsia="宋体" w:cs="宋体"/>
                <w:snapToGrid w:val="0"/>
                <w:color w:val="auto"/>
                <w:kern w:val="0"/>
                <w:position w:val="-2"/>
                <w:sz w:val="20"/>
                <w:szCs w:val="20"/>
                <w:highlight w:val="none"/>
                <w:u w:val="single" w:color="auto"/>
                <w:lang w:val="en-US" w:eastAsia="zh-CN" w:bidi="ar-SA"/>
              </w:rPr>
              <w:t>15分</w:t>
            </w:r>
          </w:p>
        </w:tc>
        <w:tc>
          <w:tcPr>
            <w:tcW w:w="4351" w:type="dxa"/>
            <w:vAlign w:val="top"/>
          </w:tcPr>
          <w:p w14:paraId="76DE3C55">
            <w:pPr>
              <w:pStyle w:val="18"/>
              <w:spacing w:before="112" w:line="332" w:lineRule="auto"/>
              <w:ind w:left="212" w:right="215" w:firstLine="437"/>
              <w:rPr>
                <w:color w:val="auto"/>
                <w:highlight w:val="none"/>
              </w:rPr>
            </w:pPr>
            <w:r>
              <w:rPr>
                <w:color w:val="auto"/>
                <w:spacing w:val="8"/>
                <w:highlight w:val="none"/>
              </w:rPr>
              <w:t>1.信用等级分值（</w:t>
            </w:r>
            <w:r>
              <w:rPr>
                <w:color w:val="auto"/>
                <w:spacing w:val="-39"/>
                <w:highlight w:val="none"/>
              </w:rPr>
              <w:t xml:space="preserve"> </w:t>
            </w:r>
            <w:r>
              <w:rPr>
                <w:color w:val="auto"/>
                <w:spacing w:val="8"/>
                <w:highlight w:val="none"/>
              </w:rPr>
              <w:t>10</w:t>
            </w:r>
            <w:r>
              <w:rPr>
                <w:color w:val="auto"/>
                <w:spacing w:val="-30"/>
                <w:highlight w:val="none"/>
              </w:rPr>
              <w:t xml:space="preserve"> </w:t>
            </w:r>
            <w:r>
              <w:rPr>
                <w:color w:val="auto"/>
                <w:spacing w:val="8"/>
                <w:highlight w:val="none"/>
              </w:rPr>
              <w:t>分</w:t>
            </w:r>
            <w:r>
              <w:rPr>
                <w:color w:val="auto"/>
                <w:spacing w:val="-9"/>
                <w:highlight w:val="none"/>
              </w:rPr>
              <w:t>）</w:t>
            </w:r>
            <w:r>
              <w:rPr>
                <w:color w:val="auto"/>
                <w:spacing w:val="-72"/>
                <w:highlight w:val="none"/>
              </w:rPr>
              <w:t xml:space="preserve"> </w:t>
            </w:r>
          </w:p>
          <w:p w14:paraId="534DAD42">
            <w:pPr>
              <w:pStyle w:val="18"/>
              <w:spacing w:line="332" w:lineRule="auto"/>
              <w:ind w:left="212" w:right="215" w:firstLine="415"/>
              <w:rPr>
                <w:color w:val="auto"/>
                <w:highlight w:val="none"/>
              </w:rPr>
            </w:pPr>
            <w:r>
              <w:rPr>
                <w:color w:val="auto"/>
                <w:highlight w:val="none"/>
              </w:rPr>
              <w:t>AA</w:t>
            </w:r>
            <w:r>
              <w:rPr>
                <w:color w:val="auto"/>
                <w:spacing w:val="20"/>
                <w:highlight w:val="none"/>
              </w:rPr>
              <w:t>、A、B、C</w:t>
            </w:r>
            <w:r>
              <w:rPr>
                <w:color w:val="auto"/>
                <w:spacing w:val="-19"/>
                <w:highlight w:val="none"/>
              </w:rPr>
              <w:t xml:space="preserve"> </w:t>
            </w:r>
            <w:r>
              <w:rPr>
                <w:color w:val="auto"/>
                <w:spacing w:val="20"/>
                <w:highlight w:val="none"/>
              </w:rPr>
              <w:t>级单位的信用等级分得</w:t>
            </w:r>
            <w:r>
              <w:rPr>
                <w:color w:val="auto"/>
                <w:spacing w:val="4"/>
                <w:highlight w:val="none"/>
              </w:rPr>
              <w:t>分分别为</w:t>
            </w:r>
            <w:r>
              <w:rPr>
                <w:color w:val="auto"/>
                <w:spacing w:val="-17"/>
                <w:highlight w:val="none"/>
              </w:rPr>
              <w:t xml:space="preserve"> </w:t>
            </w:r>
            <w:r>
              <w:rPr>
                <w:color w:val="auto"/>
                <w:spacing w:val="4"/>
                <w:highlight w:val="none"/>
              </w:rPr>
              <w:t>10、9.5、8.9、7.3</w:t>
            </w:r>
            <w:r>
              <w:rPr>
                <w:color w:val="auto"/>
                <w:spacing w:val="-35"/>
                <w:highlight w:val="none"/>
              </w:rPr>
              <w:t xml:space="preserve"> </w:t>
            </w:r>
            <w:r>
              <w:rPr>
                <w:color w:val="auto"/>
                <w:spacing w:val="4"/>
                <w:highlight w:val="none"/>
              </w:rPr>
              <w:t>分。</w:t>
            </w:r>
          </w:p>
          <w:p w14:paraId="5271ADDB">
            <w:pPr>
              <w:pStyle w:val="18"/>
              <w:spacing w:before="1" w:line="332" w:lineRule="auto"/>
              <w:ind w:left="211" w:right="212" w:firstLine="423"/>
              <w:jc w:val="both"/>
              <w:rPr>
                <w:color w:val="auto"/>
                <w:highlight w:val="none"/>
              </w:rPr>
            </w:pPr>
            <w:r>
              <w:rPr>
                <w:color w:val="auto"/>
                <w:spacing w:val="18"/>
                <w:highlight w:val="none"/>
              </w:rPr>
              <w:t>注：信用等级的确定原则遵循投标人</w:t>
            </w:r>
            <w:r>
              <w:rPr>
                <w:color w:val="auto"/>
                <w:spacing w:val="8"/>
                <w:highlight w:val="none"/>
              </w:rPr>
              <w:t>须知前附表</w:t>
            </w:r>
            <w:r>
              <w:rPr>
                <w:color w:val="auto"/>
                <w:spacing w:val="-5"/>
                <w:highlight w:val="none"/>
              </w:rPr>
              <w:t xml:space="preserve"> </w:t>
            </w:r>
            <w:r>
              <w:rPr>
                <w:color w:val="auto"/>
                <w:spacing w:val="8"/>
                <w:highlight w:val="none"/>
              </w:rPr>
              <w:t>10.2</w:t>
            </w:r>
            <w:r>
              <w:rPr>
                <w:color w:val="auto"/>
                <w:spacing w:val="-35"/>
                <w:highlight w:val="none"/>
              </w:rPr>
              <w:t xml:space="preserve"> </w:t>
            </w:r>
            <w:r>
              <w:rPr>
                <w:color w:val="auto"/>
                <w:spacing w:val="8"/>
                <w:highlight w:val="none"/>
              </w:rPr>
              <w:t>款的规定。以联合体形式</w:t>
            </w:r>
            <w:r>
              <w:rPr>
                <w:color w:val="auto"/>
                <w:spacing w:val="25"/>
                <w:highlight w:val="none"/>
              </w:rPr>
              <w:t>投标的</w:t>
            </w:r>
            <w:r>
              <w:rPr>
                <w:color w:val="auto"/>
                <w:spacing w:val="-48"/>
                <w:highlight w:val="none"/>
              </w:rPr>
              <w:t xml:space="preserve"> </w:t>
            </w:r>
            <w:r>
              <w:rPr>
                <w:color w:val="auto"/>
                <w:spacing w:val="25"/>
                <w:highlight w:val="none"/>
              </w:rPr>
              <w:t>，</w:t>
            </w:r>
            <w:r>
              <w:rPr>
                <w:color w:val="auto"/>
                <w:spacing w:val="-59"/>
                <w:highlight w:val="none"/>
              </w:rPr>
              <w:t xml:space="preserve"> </w:t>
            </w:r>
            <w:r>
              <w:rPr>
                <w:color w:val="auto"/>
                <w:spacing w:val="25"/>
                <w:highlight w:val="none"/>
              </w:rPr>
              <w:t>按联合体成员中等级较低的计</w:t>
            </w:r>
            <w:r>
              <w:rPr>
                <w:color w:val="auto"/>
                <w:spacing w:val="-1"/>
                <w:highlight w:val="none"/>
              </w:rPr>
              <w:t>算。</w:t>
            </w:r>
          </w:p>
          <w:p w14:paraId="5CF24973">
            <w:pPr>
              <w:pStyle w:val="18"/>
              <w:spacing w:line="228" w:lineRule="auto"/>
              <w:ind w:left="637"/>
              <w:rPr>
                <w:color w:val="auto"/>
                <w:highlight w:val="none"/>
              </w:rPr>
            </w:pPr>
            <w:r>
              <w:rPr>
                <w:color w:val="auto"/>
                <w:spacing w:val="5"/>
                <w:highlight w:val="none"/>
              </w:rPr>
              <w:t>2. 履约情况（5</w:t>
            </w:r>
            <w:r>
              <w:rPr>
                <w:color w:val="auto"/>
                <w:spacing w:val="-37"/>
                <w:highlight w:val="none"/>
              </w:rPr>
              <w:t xml:space="preserve"> </w:t>
            </w:r>
            <w:r>
              <w:rPr>
                <w:color w:val="auto"/>
                <w:spacing w:val="5"/>
                <w:highlight w:val="none"/>
              </w:rPr>
              <w:t>分）</w:t>
            </w:r>
          </w:p>
          <w:p w14:paraId="0C3C68A9">
            <w:pPr>
              <w:pStyle w:val="18"/>
              <w:spacing w:before="103" w:line="220" w:lineRule="auto"/>
              <w:ind w:left="655"/>
              <w:rPr>
                <w:color w:val="auto"/>
                <w:sz w:val="22"/>
                <w:szCs w:val="22"/>
                <w:highlight w:val="none"/>
              </w:rPr>
            </w:pPr>
            <w:r>
              <w:rPr>
                <w:color w:val="auto"/>
                <w:spacing w:val="-1"/>
                <w:sz w:val="22"/>
                <w:szCs w:val="22"/>
                <w:highlight w:val="none"/>
              </w:rPr>
              <w:t>若没出现下述情形得满分；</w:t>
            </w:r>
          </w:p>
          <w:p w14:paraId="3AAA684F">
            <w:pPr>
              <w:pStyle w:val="18"/>
              <w:spacing w:before="98" w:line="302" w:lineRule="auto"/>
              <w:ind w:left="211" w:right="227" w:firstLine="445"/>
              <w:rPr>
                <w:color w:val="auto"/>
                <w:sz w:val="22"/>
                <w:szCs w:val="22"/>
                <w:highlight w:val="none"/>
              </w:rPr>
            </w:pPr>
            <w:r>
              <w:rPr>
                <w:color w:val="auto"/>
                <w:spacing w:val="10"/>
                <w:sz w:val="22"/>
                <w:szCs w:val="22"/>
                <w:highlight w:val="none"/>
              </w:rPr>
              <w:t>投标人因公路工程（含附属设施）</w:t>
            </w:r>
            <w:r>
              <w:rPr>
                <w:color w:val="auto"/>
                <w:spacing w:val="-1"/>
                <w:sz w:val="22"/>
                <w:szCs w:val="22"/>
                <w:highlight w:val="none"/>
              </w:rPr>
              <w:t>质量、安全事故被：</w:t>
            </w:r>
          </w:p>
          <w:p w14:paraId="39E09613">
            <w:pPr>
              <w:pStyle w:val="18"/>
              <w:spacing w:line="261" w:lineRule="auto"/>
              <w:ind w:left="220" w:right="212" w:firstLine="440"/>
              <w:rPr>
                <w:color w:val="auto"/>
                <w:sz w:val="22"/>
                <w:szCs w:val="22"/>
                <w:highlight w:val="none"/>
              </w:rPr>
            </w:pPr>
            <w:r>
              <w:rPr>
                <w:color w:val="auto"/>
                <w:spacing w:val="3"/>
                <w:sz w:val="22"/>
                <w:szCs w:val="22"/>
                <w:highlight w:val="none"/>
              </w:rPr>
              <w:t>（1）交通运输部行政处罚、且在处</w:t>
            </w:r>
            <w:r>
              <w:rPr>
                <w:color w:val="auto"/>
                <w:spacing w:val="-3"/>
                <w:sz w:val="22"/>
                <w:szCs w:val="22"/>
                <w:highlight w:val="none"/>
              </w:rPr>
              <w:t>罚信息公示期内的，扣</w:t>
            </w:r>
            <w:r>
              <w:rPr>
                <w:color w:val="auto"/>
                <w:spacing w:val="-40"/>
                <w:sz w:val="22"/>
                <w:szCs w:val="22"/>
                <w:highlight w:val="none"/>
              </w:rPr>
              <w:t xml:space="preserve"> </w:t>
            </w:r>
            <w:r>
              <w:rPr>
                <w:color w:val="auto"/>
                <w:spacing w:val="-3"/>
                <w:sz w:val="22"/>
                <w:szCs w:val="22"/>
                <w:highlight w:val="none"/>
              </w:rPr>
              <w:t>2</w:t>
            </w:r>
            <w:r>
              <w:rPr>
                <w:color w:val="auto"/>
                <w:spacing w:val="-43"/>
                <w:sz w:val="22"/>
                <w:szCs w:val="22"/>
                <w:highlight w:val="none"/>
              </w:rPr>
              <w:t xml:space="preserve"> </w:t>
            </w:r>
            <w:r>
              <w:rPr>
                <w:color w:val="auto"/>
                <w:spacing w:val="-3"/>
                <w:sz w:val="22"/>
                <w:szCs w:val="22"/>
                <w:highlight w:val="none"/>
              </w:rPr>
              <w:t>分/次。</w:t>
            </w:r>
          </w:p>
          <w:p w14:paraId="6D1865A4">
            <w:pPr>
              <w:pStyle w:val="18"/>
              <w:spacing w:before="98" w:line="261" w:lineRule="auto"/>
              <w:ind w:left="210" w:right="245" w:firstLine="450"/>
              <w:rPr>
                <w:color w:val="auto"/>
                <w:sz w:val="22"/>
                <w:szCs w:val="22"/>
                <w:highlight w:val="none"/>
              </w:rPr>
            </w:pPr>
            <w:r>
              <w:rPr>
                <w:color w:val="auto"/>
                <w:spacing w:val="1"/>
                <w:sz w:val="22"/>
                <w:szCs w:val="22"/>
                <w:highlight w:val="none"/>
              </w:rPr>
              <w:t>（2）广东省交通运输厅行政处罚、</w:t>
            </w:r>
            <w:r>
              <w:rPr>
                <w:color w:val="auto"/>
                <w:spacing w:val="-3"/>
                <w:sz w:val="22"/>
                <w:szCs w:val="22"/>
                <w:highlight w:val="none"/>
              </w:rPr>
              <w:t>且在处罚信息公示期内的，扣</w:t>
            </w:r>
            <w:r>
              <w:rPr>
                <w:color w:val="auto"/>
                <w:spacing w:val="-21"/>
                <w:sz w:val="22"/>
                <w:szCs w:val="22"/>
                <w:highlight w:val="none"/>
              </w:rPr>
              <w:t xml:space="preserve"> </w:t>
            </w:r>
            <w:r>
              <w:rPr>
                <w:color w:val="auto"/>
                <w:spacing w:val="-3"/>
                <w:sz w:val="22"/>
                <w:szCs w:val="22"/>
                <w:highlight w:val="none"/>
              </w:rPr>
              <w:t>1</w:t>
            </w:r>
            <w:r>
              <w:rPr>
                <w:color w:val="auto"/>
                <w:spacing w:val="-44"/>
                <w:sz w:val="22"/>
                <w:szCs w:val="22"/>
                <w:highlight w:val="none"/>
              </w:rPr>
              <w:t xml:space="preserve"> </w:t>
            </w:r>
            <w:r>
              <w:rPr>
                <w:color w:val="auto"/>
                <w:spacing w:val="-3"/>
                <w:sz w:val="22"/>
                <w:szCs w:val="22"/>
                <w:highlight w:val="none"/>
              </w:rPr>
              <w:t>分/次。</w:t>
            </w:r>
          </w:p>
          <w:p w14:paraId="61B266BF">
            <w:pPr>
              <w:pStyle w:val="18"/>
              <w:tabs>
                <w:tab w:val="left" w:pos="770"/>
              </w:tabs>
              <w:spacing w:before="98" w:line="261" w:lineRule="auto"/>
              <w:ind w:left="215" w:right="212" w:firstLine="430"/>
              <w:rPr>
                <w:color w:val="auto"/>
                <w:sz w:val="22"/>
                <w:szCs w:val="22"/>
                <w:highlight w:val="none"/>
              </w:rPr>
            </w:pPr>
            <w:r>
              <w:rPr>
                <w:color w:val="auto"/>
                <w:sz w:val="22"/>
                <w:szCs w:val="22"/>
                <w:highlight w:val="none"/>
                <w:u w:val="single" w:color="auto"/>
              </w:rPr>
              <w:tab/>
            </w:r>
            <w:r>
              <w:rPr>
                <w:color w:val="auto"/>
                <w:spacing w:val="-2"/>
                <w:sz w:val="22"/>
                <w:szCs w:val="22"/>
                <w:highlight w:val="none"/>
                <w:u w:val="single" w:color="auto"/>
              </w:rPr>
              <w:t>（3</w:t>
            </w:r>
            <w:r>
              <w:rPr>
                <w:color w:val="auto"/>
                <w:spacing w:val="-11"/>
                <w:sz w:val="22"/>
                <w:szCs w:val="22"/>
                <w:highlight w:val="none"/>
                <w:u w:val="single" w:color="auto"/>
              </w:rPr>
              <w:t>）（</w:t>
            </w:r>
            <w:r>
              <w:rPr>
                <w:color w:val="auto"/>
                <w:spacing w:val="-2"/>
                <w:sz w:val="22"/>
                <w:szCs w:val="22"/>
                <w:highlight w:val="none"/>
                <w:u w:val="single" w:color="auto"/>
              </w:rPr>
              <w:t>项目涉及各地级以上市）市</w:t>
            </w:r>
            <w:r>
              <w:rPr>
                <w:color w:val="auto"/>
                <w:spacing w:val="10"/>
                <w:sz w:val="22"/>
                <w:szCs w:val="22"/>
                <w:highlight w:val="none"/>
                <w:u w:val="single" w:color="auto"/>
              </w:rPr>
              <w:t>交通运输局行政处罚、且在处罚信息公</w:t>
            </w:r>
          </w:p>
        </w:tc>
      </w:tr>
    </w:tbl>
    <w:p w14:paraId="57F6A521">
      <w:pPr>
        <w:spacing w:line="440" w:lineRule="auto"/>
        <w:rPr>
          <w:rFonts w:ascii="Arial"/>
          <w:color w:val="auto"/>
          <w:sz w:val="21"/>
          <w:highlight w:val="none"/>
        </w:rPr>
      </w:pPr>
    </w:p>
    <w:p w14:paraId="1E396169">
      <w:pPr>
        <w:spacing w:line="220" w:lineRule="auto"/>
        <w:rPr>
          <w:rFonts w:ascii="宋体" w:hAnsi="宋体" w:eastAsia="宋体" w:cs="宋体"/>
          <w:color w:val="auto"/>
          <w:sz w:val="18"/>
          <w:szCs w:val="18"/>
          <w:highlight w:val="none"/>
        </w:rPr>
        <w:sectPr>
          <w:footerReference r:id="rId47" w:type="default"/>
          <w:pgSz w:w="11906" w:h="16839"/>
          <w:pgMar w:top="1416" w:right="1701" w:bottom="1297" w:left="1304" w:header="0" w:footer="1067" w:gutter="0"/>
          <w:pgNumType w:fmt="decimal"/>
          <w:cols w:space="720" w:num="1"/>
        </w:sectPr>
      </w:pPr>
      <w:bookmarkStart w:id="245" w:name="bookmark132"/>
      <w:bookmarkEnd w:id="245"/>
      <w:bookmarkStart w:id="246" w:name="bookmark131"/>
      <w:bookmarkEnd w:id="246"/>
    </w:p>
    <w:tbl>
      <w:tblPr>
        <w:tblStyle w:val="17"/>
        <w:tblW w:w="889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8"/>
        <w:gridCol w:w="310"/>
        <w:gridCol w:w="345"/>
        <w:gridCol w:w="518"/>
        <w:gridCol w:w="919"/>
        <w:gridCol w:w="948"/>
        <w:gridCol w:w="582"/>
        <w:gridCol w:w="4345"/>
      </w:tblGrid>
      <w:tr w14:paraId="4590E1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 w:hRule="atLeast"/>
        </w:trPr>
        <w:tc>
          <w:tcPr>
            <w:tcW w:w="4550" w:type="dxa"/>
            <w:gridSpan w:val="7"/>
            <w:vAlign w:val="top"/>
          </w:tcPr>
          <w:p w14:paraId="4378AC96">
            <w:pPr>
              <w:pStyle w:val="18"/>
              <w:spacing w:before="127" w:line="233" w:lineRule="auto"/>
              <w:ind w:left="1287"/>
              <w:rPr>
                <w:color w:val="auto"/>
                <w:sz w:val="10"/>
                <w:szCs w:val="10"/>
                <w:highlight w:val="none"/>
              </w:rPr>
            </w:pPr>
            <w:r>
              <w:rPr>
                <w:b/>
                <w:bCs/>
                <w:color w:val="auto"/>
                <w:spacing w:val="7"/>
                <w:highlight w:val="none"/>
              </w:rPr>
              <w:t>评分因素与权重分值</w:t>
            </w:r>
          </w:p>
        </w:tc>
        <w:tc>
          <w:tcPr>
            <w:tcW w:w="4345" w:type="dxa"/>
            <w:vMerge w:val="restart"/>
            <w:tcBorders>
              <w:bottom w:val="nil"/>
            </w:tcBorders>
            <w:vAlign w:val="top"/>
          </w:tcPr>
          <w:p w14:paraId="1FDA20CD">
            <w:pPr>
              <w:spacing w:line="315" w:lineRule="auto"/>
              <w:rPr>
                <w:rFonts w:ascii="Arial"/>
                <w:color w:val="auto"/>
                <w:sz w:val="21"/>
                <w:highlight w:val="none"/>
              </w:rPr>
            </w:pPr>
          </w:p>
          <w:p w14:paraId="28A280A7">
            <w:pPr>
              <w:spacing w:line="316" w:lineRule="auto"/>
              <w:rPr>
                <w:rFonts w:ascii="Arial"/>
                <w:color w:val="auto"/>
                <w:sz w:val="21"/>
                <w:highlight w:val="none"/>
              </w:rPr>
            </w:pPr>
          </w:p>
          <w:p w14:paraId="3F8C5A14">
            <w:pPr>
              <w:pStyle w:val="18"/>
              <w:spacing w:before="65" w:line="267" w:lineRule="exact"/>
              <w:ind w:left="1708"/>
              <w:rPr>
                <w:color w:val="auto"/>
                <w:sz w:val="10"/>
                <w:szCs w:val="10"/>
                <w:highlight w:val="none"/>
              </w:rPr>
            </w:pPr>
            <w:r>
              <w:rPr>
                <w:b/>
                <w:bCs/>
                <w:color w:val="auto"/>
                <w:spacing w:val="6"/>
                <w:highlight w:val="none"/>
              </w:rPr>
              <w:t>评分标准</w:t>
            </w:r>
          </w:p>
        </w:tc>
      </w:tr>
      <w:tr w14:paraId="7D2288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4" w:hRule="atLeast"/>
        </w:trPr>
        <w:tc>
          <w:tcPr>
            <w:tcW w:w="928" w:type="dxa"/>
            <w:vAlign w:val="top"/>
          </w:tcPr>
          <w:p w14:paraId="03AD0E91">
            <w:pPr>
              <w:spacing w:line="451" w:lineRule="auto"/>
              <w:rPr>
                <w:rFonts w:ascii="Arial"/>
                <w:color w:val="auto"/>
                <w:sz w:val="21"/>
                <w:highlight w:val="none"/>
              </w:rPr>
            </w:pPr>
          </w:p>
          <w:p w14:paraId="5B8DD119">
            <w:pPr>
              <w:pStyle w:val="18"/>
              <w:spacing w:before="65" w:line="228" w:lineRule="auto"/>
              <w:ind w:left="155"/>
              <w:rPr>
                <w:color w:val="auto"/>
                <w:highlight w:val="none"/>
              </w:rPr>
            </w:pPr>
            <w:r>
              <w:rPr>
                <w:b/>
                <w:bCs/>
                <w:color w:val="auto"/>
                <w:spacing w:val="5"/>
                <w:highlight w:val="none"/>
              </w:rPr>
              <w:t>条款号</w:t>
            </w:r>
          </w:p>
        </w:tc>
        <w:tc>
          <w:tcPr>
            <w:tcW w:w="1173" w:type="dxa"/>
            <w:gridSpan w:val="3"/>
            <w:vAlign w:val="top"/>
          </w:tcPr>
          <w:p w14:paraId="4034DFD5">
            <w:pPr>
              <w:spacing w:line="451" w:lineRule="auto"/>
              <w:rPr>
                <w:rFonts w:ascii="Arial"/>
                <w:color w:val="auto"/>
                <w:sz w:val="21"/>
                <w:highlight w:val="none"/>
              </w:rPr>
            </w:pPr>
          </w:p>
          <w:p w14:paraId="4AA48523">
            <w:pPr>
              <w:pStyle w:val="18"/>
              <w:spacing w:before="65" w:line="228" w:lineRule="auto"/>
              <w:ind w:left="167"/>
              <w:rPr>
                <w:color w:val="auto"/>
                <w:highlight w:val="none"/>
              </w:rPr>
            </w:pPr>
            <w:r>
              <w:rPr>
                <w:b/>
                <w:bCs/>
                <w:color w:val="auto"/>
                <w:spacing w:val="6"/>
                <w:highlight w:val="none"/>
              </w:rPr>
              <w:t>评分因素</w:t>
            </w:r>
          </w:p>
        </w:tc>
        <w:tc>
          <w:tcPr>
            <w:tcW w:w="919" w:type="dxa"/>
            <w:vAlign w:val="top"/>
          </w:tcPr>
          <w:p w14:paraId="73976710">
            <w:pPr>
              <w:spacing w:line="264" w:lineRule="auto"/>
              <w:rPr>
                <w:rFonts w:ascii="Arial"/>
                <w:color w:val="auto"/>
                <w:sz w:val="21"/>
                <w:highlight w:val="none"/>
              </w:rPr>
            </w:pPr>
          </w:p>
          <w:p w14:paraId="32FABA48">
            <w:pPr>
              <w:pStyle w:val="18"/>
              <w:spacing w:before="65" w:line="351" w:lineRule="auto"/>
              <w:ind w:left="41" w:right="37"/>
              <w:rPr>
                <w:color w:val="auto"/>
                <w:highlight w:val="none"/>
              </w:rPr>
            </w:pPr>
            <w:r>
              <w:rPr>
                <w:b/>
                <w:bCs/>
                <w:color w:val="auto"/>
                <w:spacing w:val="6"/>
                <w:highlight w:val="none"/>
              </w:rPr>
              <w:t>评分因素权重分值</w:t>
            </w:r>
          </w:p>
        </w:tc>
        <w:tc>
          <w:tcPr>
            <w:tcW w:w="948" w:type="dxa"/>
            <w:vAlign w:val="top"/>
          </w:tcPr>
          <w:p w14:paraId="56EE9F40">
            <w:pPr>
              <w:pStyle w:val="18"/>
              <w:spacing w:before="140" w:line="228" w:lineRule="auto"/>
              <w:ind w:left="162"/>
              <w:rPr>
                <w:color w:val="auto"/>
                <w:highlight w:val="none"/>
              </w:rPr>
            </w:pPr>
            <w:r>
              <w:rPr>
                <w:b/>
                <w:bCs/>
                <w:color w:val="auto"/>
                <w:spacing w:val="4"/>
                <w:highlight w:val="none"/>
              </w:rPr>
              <w:t>各评分</w:t>
            </w:r>
          </w:p>
          <w:p w14:paraId="5F80DD70">
            <w:pPr>
              <w:pStyle w:val="18"/>
              <w:spacing w:before="130" w:line="284" w:lineRule="auto"/>
              <w:ind w:left="267" w:right="160" w:hanging="91"/>
              <w:rPr>
                <w:color w:val="auto"/>
                <w:highlight w:val="none"/>
              </w:rPr>
            </w:pPr>
            <w:r>
              <w:rPr>
                <w:b/>
                <w:bCs/>
                <w:color w:val="auto"/>
                <w:highlight w:val="none"/>
              </w:rPr>
              <w:t>因素细</w:t>
            </w:r>
            <w:r>
              <w:rPr>
                <w:b/>
                <w:bCs/>
                <w:color w:val="auto"/>
                <w:spacing w:val="2"/>
                <w:highlight w:val="none"/>
              </w:rPr>
              <w:t>分项</w:t>
            </w:r>
          </w:p>
        </w:tc>
        <w:tc>
          <w:tcPr>
            <w:tcW w:w="582" w:type="dxa"/>
            <w:textDirection w:val="tbRlV"/>
            <w:vAlign w:val="top"/>
          </w:tcPr>
          <w:p w14:paraId="3F57EC01">
            <w:pPr>
              <w:pStyle w:val="18"/>
              <w:spacing w:before="179" w:line="216" w:lineRule="auto"/>
              <w:ind w:left="330"/>
              <w:rPr>
                <w:color w:val="auto"/>
                <w:highlight w:val="none"/>
              </w:rPr>
            </w:pPr>
            <w:r>
              <w:rPr>
                <w:b/>
                <w:bCs/>
                <w:color w:val="auto"/>
                <w:spacing w:val="6"/>
                <w:highlight w:val="none"/>
              </w:rPr>
              <w:t>分</w:t>
            </w:r>
            <w:r>
              <w:rPr>
                <w:color w:val="auto"/>
                <w:spacing w:val="70"/>
                <w:highlight w:val="none"/>
              </w:rPr>
              <w:t xml:space="preserve"> </w:t>
            </w:r>
            <w:r>
              <w:rPr>
                <w:b/>
                <w:bCs/>
                <w:color w:val="auto"/>
                <w:spacing w:val="6"/>
                <w:highlight w:val="none"/>
              </w:rPr>
              <w:t>值</w:t>
            </w:r>
          </w:p>
        </w:tc>
        <w:tc>
          <w:tcPr>
            <w:tcW w:w="4345" w:type="dxa"/>
            <w:vMerge w:val="continue"/>
            <w:tcBorders>
              <w:top w:val="nil"/>
            </w:tcBorders>
            <w:vAlign w:val="top"/>
          </w:tcPr>
          <w:p w14:paraId="46D3351A">
            <w:pPr>
              <w:rPr>
                <w:rFonts w:ascii="Arial"/>
                <w:color w:val="auto"/>
                <w:sz w:val="21"/>
                <w:highlight w:val="none"/>
              </w:rPr>
            </w:pPr>
          </w:p>
        </w:tc>
      </w:tr>
      <w:tr w14:paraId="3D7602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41" w:hRule="atLeast"/>
        </w:trPr>
        <w:tc>
          <w:tcPr>
            <w:tcW w:w="928" w:type="dxa"/>
            <w:vAlign w:val="top"/>
          </w:tcPr>
          <w:p w14:paraId="2AFD86E7">
            <w:pPr>
              <w:rPr>
                <w:rFonts w:ascii="Arial"/>
                <w:color w:val="auto"/>
                <w:sz w:val="21"/>
                <w:highlight w:val="none"/>
              </w:rPr>
            </w:pPr>
          </w:p>
        </w:tc>
        <w:tc>
          <w:tcPr>
            <w:tcW w:w="655" w:type="dxa"/>
            <w:gridSpan w:val="2"/>
            <w:vAlign w:val="top"/>
          </w:tcPr>
          <w:p w14:paraId="1D963B5F">
            <w:pPr>
              <w:rPr>
                <w:rFonts w:ascii="Arial"/>
                <w:color w:val="auto"/>
                <w:sz w:val="21"/>
                <w:highlight w:val="none"/>
              </w:rPr>
            </w:pPr>
          </w:p>
        </w:tc>
        <w:tc>
          <w:tcPr>
            <w:tcW w:w="518" w:type="dxa"/>
            <w:vAlign w:val="top"/>
          </w:tcPr>
          <w:p w14:paraId="30D5F26B">
            <w:pPr>
              <w:rPr>
                <w:rFonts w:ascii="Arial"/>
                <w:color w:val="auto"/>
                <w:sz w:val="21"/>
                <w:highlight w:val="none"/>
              </w:rPr>
            </w:pPr>
          </w:p>
        </w:tc>
        <w:tc>
          <w:tcPr>
            <w:tcW w:w="919" w:type="dxa"/>
            <w:vAlign w:val="top"/>
          </w:tcPr>
          <w:p w14:paraId="6DAB8C4E">
            <w:pPr>
              <w:rPr>
                <w:rFonts w:ascii="Arial"/>
                <w:color w:val="auto"/>
                <w:sz w:val="21"/>
                <w:highlight w:val="none"/>
              </w:rPr>
            </w:pPr>
          </w:p>
        </w:tc>
        <w:tc>
          <w:tcPr>
            <w:tcW w:w="948" w:type="dxa"/>
            <w:vAlign w:val="top"/>
          </w:tcPr>
          <w:p w14:paraId="57C83CAD">
            <w:pPr>
              <w:rPr>
                <w:rFonts w:ascii="Arial"/>
                <w:color w:val="auto"/>
                <w:sz w:val="21"/>
                <w:highlight w:val="none"/>
              </w:rPr>
            </w:pPr>
          </w:p>
        </w:tc>
        <w:tc>
          <w:tcPr>
            <w:tcW w:w="582" w:type="dxa"/>
            <w:vAlign w:val="top"/>
          </w:tcPr>
          <w:p w14:paraId="7CE1832A">
            <w:pPr>
              <w:rPr>
                <w:rFonts w:ascii="Arial"/>
                <w:color w:val="auto"/>
                <w:sz w:val="21"/>
                <w:highlight w:val="none"/>
              </w:rPr>
            </w:pPr>
          </w:p>
        </w:tc>
        <w:tc>
          <w:tcPr>
            <w:tcW w:w="4345" w:type="dxa"/>
            <w:vAlign w:val="top"/>
          </w:tcPr>
          <w:p w14:paraId="487A7376">
            <w:pPr>
              <w:pStyle w:val="18"/>
              <w:spacing w:before="100" w:line="278" w:lineRule="auto"/>
              <w:ind w:left="214" w:right="212" w:hanging="9"/>
              <w:rPr>
                <w:color w:val="auto"/>
                <w:sz w:val="22"/>
                <w:szCs w:val="22"/>
                <w:highlight w:val="none"/>
              </w:rPr>
            </w:pPr>
            <w:r>
              <w:rPr>
                <w:color w:val="auto"/>
                <w:spacing w:val="2"/>
                <w:sz w:val="22"/>
                <w:szCs w:val="22"/>
                <w:highlight w:val="none"/>
                <w:u w:val="single" w:color="auto"/>
              </w:rPr>
              <w:t>示期内的，扣</w:t>
            </w:r>
            <w:r>
              <w:rPr>
                <w:color w:val="auto"/>
                <w:spacing w:val="-36"/>
                <w:sz w:val="22"/>
                <w:szCs w:val="22"/>
                <w:highlight w:val="none"/>
                <w:u w:val="single" w:color="auto"/>
              </w:rPr>
              <w:t xml:space="preserve"> </w:t>
            </w:r>
            <w:r>
              <w:rPr>
                <w:color w:val="auto"/>
                <w:spacing w:val="2"/>
                <w:sz w:val="22"/>
                <w:szCs w:val="22"/>
                <w:highlight w:val="none"/>
                <w:u w:val="single" w:color="auto"/>
              </w:rPr>
              <w:t>0.5</w:t>
            </w:r>
            <w:r>
              <w:rPr>
                <w:color w:val="auto"/>
                <w:spacing w:val="-42"/>
                <w:sz w:val="22"/>
                <w:szCs w:val="22"/>
                <w:highlight w:val="none"/>
                <w:u w:val="single" w:color="auto"/>
              </w:rPr>
              <w:t xml:space="preserve"> </w:t>
            </w:r>
            <w:r>
              <w:rPr>
                <w:color w:val="auto"/>
                <w:spacing w:val="2"/>
                <w:sz w:val="22"/>
                <w:szCs w:val="22"/>
                <w:highlight w:val="none"/>
                <w:u w:val="single" w:color="auto"/>
              </w:rPr>
              <w:t>分/次。如该项目涉及</w:t>
            </w:r>
            <w:r>
              <w:rPr>
                <w:color w:val="auto"/>
                <w:spacing w:val="-1"/>
                <w:sz w:val="22"/>
                <w:szCs w:val="22"/>
                <w:highlight w:val="none"/>
                <w:u w:val="single" w:color="auto"/>
              </w:rPr>
              <w:t>多个地级以上市的均应扣分</w:t>
            </w:r>
            <w:r>
              <w:rPr>
                <w:color w:val="auto"/>
                <w:spacing w:val="-16"/>
                <w:position w:val="11"/>
                <w:sz w:val="10"/>
                <w:szCs w:val="10"/>
                <w:highlight w:val="none"/>
                <w:u w:val="single" w:color="auto"/>
              </w:rPr>
              <w:t xml:space="preserve"> </w:t>
            </w:r>
            <w:r>
              <w:rPr>
                <w:color w:val="auto"/>
                <w:spacing w:val="-1"/>
                <w:sz w:val="22"/>
                <w:szCs w:val="22"/>
                <w:highlight w:val="none"/>
                <w:u w:val="single" w:color="auto"/>
              </w:rPr>
              <w:t>。</w:t>
            </w:r>
          </w:p>
          <w:p w14:paraId="1DE3E899">
            <w:pPr>
              <w:pStyle w:val="18"/>
              <w:spacing w:before="57" w:line="302" w:lineRule="auto"/>
              <w:ind w:left="203" w:right="210" w:firstLine="444"/>
              <w:jc w:val="both"/>
              <w:rPr>
                <w:color w:val="auto"/>
                <w:sz w:val="22"/>
                <w:szCs w:val="22"/>
                <w:highlight w:val="none"/>
              </w:rPr>
            </w:pPr>
            <w:r>
              <w:rPr>
                <w:color w:val="auto"/>
                <w:spacing w:val="11"/>
                <w:sz w:val="22"/>
                <w:szCs w:val="22"/>
                <w:highlight w:val="none"/>
              </w:rPr>
              <w:t>注：1.处罚信息公示期，是指行政</w:t>
            </w:r>
            <w:r>
              <w:rPr>
                <w:color w:val="auto"/>
                <w:spacing w:val="10"/>
                <w:sz w:val="22"/>
                <w:szCs w:val="22"/>
                <w:highlight w:val="none"/>
              </w:rPr>
              <w:t>机关将行政处罚决定信息通过信用中国</w:t>
            </w:r>
            <w:r>
              <w:rPr>
                <w:color w:val="auto"/>
                <w:spacing w:val="7"/>
                <w:sz w:val="22"/>
                <w:szCs w:val="22"/>
                <w:highlight w:val="none"/>
              </w:rPr>
              <w:t>向社会公开的期限；</w:t>
            </w:r>
            <w:r>
              <w:rPr>
                <w:color w:val="auto"/>
                <w:spacing w:val="-47"/>
                <w:sz w:val="22"/>
                <w:szCs w:val="22"/>
                <w:highlight w:val="none"/>
              </w:rPr>
              <w:t xml:space="preserve"> </w:t>
            </w:r>
            <w:r>
              <w:rPr>
                <w:color w:val="auto"/>
                <w:spacing w:val="7"/>
                <w:sz w:val="22"/>
                <w:szCs w:val="22"/>
                <w:highlight w:val="none"/>
              </w:rPr>
              <w:t>以投标文件递交截止日</w:t>
            </w:r>
            <w:r>
              <w:rPr>
                <w:color w:val="auto"/>
                <w:spacing w:val="-23"/>
                <w:sz w:val="22"/>
                <w:szCs w:val="22"/>
                <w:highlight w:val="none"/>
              </w:rPr>
              <w:t xml:space="preserve"> </w:t>
            </w:r>
            <w:r>
              <w:rPr>
                <w:color w:val="auto"/>
                <w:spacing w:val="7"/>
                <w:sz w:val="22"/>
                <w:szCs w:val="22"/>
                <w:highlight w:val="none"/>
              </w:rPr>
              <w:t>0</w:t>
            </w:r>
            <w:r>
              <w:rPr>
                <w:color w:val="auto"/>
                <w:spacing w:val="-24"/>
                <w:sz w:val="22"/>
                <w:szCs w:val="22"/>
                <w:highlight w:val="none"/>
              </w:rPr>
              <w:t xml:space="preserve"> </w:t>
            </w:r>
            <w:r>
              <w:rPr>
                <w:color w:val="auto"/>
                <w:spacing w:val="7"/>
                <w:sz w:val="22"/>
                <w:szCs w:val="22"/>
                <w:highlight w:val="none"/>
              </w:rPr>
              <w:t>时是否位于处罚信息公示期，来</w:t>
            </w:r>
            <w:r>
              <w:rPr>
                <w:color w:val="auto"/>
                <w:spacing w:val="10"/>
                <w:sz w:val="22"/>
                <w:szCs w:val="22"/>
                <w:highlight w:val="none"/>
              </w:rPr>
              <w:t>判定是否影响相关投标人的履约情况得</w:t>
            </w:r>
            <w:r>
              <w:rPr>
                <w:color w:val="auto"/>
                <w:spacing w:val="7"/>
                <w:sz w:val="22"/>
                <w:szCs w:val="22"/>
                <w:highlight w:val="none"/>
              </w:rPr>
              <w:t>分，投标文件递交截止日</w:t>
            </w:r>
            <w:r>
              <w:rPr>
                <w:color w:val="auto"/>
                <w:spacing w:val="-21"/>
                <w:sz w:val="22"/>
                <w:szCs w:val="22"/>
                <w:highlight w:val="none"/>
              </w:rPr>
              <w:t xml:space="preserve"> </w:t>
            </w:r>
            <w:r>
              <w:rPr>
                <w:color w:val="auto"/>
                <w:spacing w:val="7"/>
                <w:sz w:val="22"/>
                <w:szCs w:val="22"/>
                <w:highlight w:val="none"/>
              </w:rPr>
              <w:t>0</w:t>
            </w:r>
            <w:r>
              <w:rPr>
                <w:color w:val="auto"/>
                <w:spacing w:val="-23"/>
                <w:sz w:val="22"/>
                <w:szCs w:val="22"/>
                <w:highlight w:val="none"/>
              </w:rPr>
              <w:t xml:space="preserve"> </w:t>
            </w:r>
            <w:r>
              <w:rPr>
                <w:color w:val="auto"/>
                <w:spacing w:val="7"/>
                <w:sz w:val="22"/>
                <w:szCs w:val="22"/>
                <w:highlight w:val="none"/>
              </w:rPr>
              <w:t>时在处罚信</w:t>
            </w:r>
            <w:r>
              <w:rPr>
                <w:color w:val="auto"/>
                <w:spacing w:val="18"/>
                <w:sz w:val="22"/>
                <w:szCs w:val="22"/>
                <w:highlight w:val="none"/>
              </w:rPr>
              <w:t>息公示期内应予</w:t>
            </w:r>
            <w:r>
              <w:rPr>
                <w:color w:val="auto"/>
                <w:spacing w:val="-46"/>
                <w:sz w:val="22"/>
                <w:szCs w:val="22"/>
                <w:highlight w:val="none"/>
              </w:rPr>
              <w:t xml:space="preserve"> </w:t>
            </w:r>
            <w:r>
              <w:rPr>
                <w:color w:val="auto"/>
                <w:spacing w:val="18"/>
                <w:sz w:val="22"/>
                <w:szCs w:val="22"/>
                <w:highlight w:val="none"/>
              </w:rPr>
              <w:t>以扣分</w:t>
            </w:r>
            <w:r>
              <w:rPr>
                <w:color w:val="auto"/>
                <w:spacing w:val="-60"/>
                <w:sz w:val="22"/>
                <w:szCs w:val="22"/>
                <w:highlight w:val="none"/>
              </w:rPr>
              <w:t xml:space="preserve"> </w:t>
            </w:r>
            <w:r>
              <w:rPr>
                <w:color w:val="auto"/>
                <w:spacing w:val="18"/>
                <w:sz w:val="22"/>
                <w:szCs w:val="22"/>
                <w:highlight w:val="none"/>
              </w:rPr>
              <w:t>、否则不予扣</w:t>
            </w:r>
            <w:r>
              <w:rPr>
                <w:color w:val="auto"/>
                <w:spacing w:val="-4"/>
                <w:sz w:val="22"/>
                <w:szCs w:val="22"/>
                <w:highlight w:val="none"/>
              </w:rPr>
              <w:t>分。</w:t>
            </w:r>
          </w:p>
          <w:p w14:paraId="04A782DF">
            <w:pPr>
              <w:pStyle w:val="18"/>
              <w:spacing w:line="261" w:lineRule="auto"/>
              <w:ind w:left="214" w:right="212" w:firstLine="437"/>
              <w:rPr>
                <w:color w:val="auto"/>
                <w:sz w:val="22"/>
                <w:szCs w:val="22"/>
                <w:highlight w:val="none"/>
              </w:rPr>
            </w:pPr>
            <w:r>
              <w:rPr>
                <w:color w:val="auto"/>
                <w:spacing w:val="11"/>
                <w:sz w:val="22"/>
                <w:szCs w:val="22"/>
                <w:highlight w:val="none"/>
              </w:rPr>
              <w:t>2.同一事项同时被多个部门行政处</w:t>
            </w:r>
            <w:r>
              <w:rPr>
                <w:color w:val="auto"/>
                <w:spacing w:val="-5"/>
                <w:sz w:val="22"/>
                <w:szCs w:val="22"/>
                <w:highlight w:val="none"/>
              </w:rPr>
              <w:t>罚只按最高的扣分计算</w:t>
            </w:r>
            <w:r>
              <w:rPr>
                <w:color w:val="auto"/>
                <w:spacing w:val="-22"/>
                <w:sz w:val="22"/>
                <w:szCs w:val="22"/>
                <w:highlight w:val="none"/>
              </w:rPr>
              <w:t xml:space="preserve"> </w:t>
            </w:r>
            <w:r>
              <w:rPr>
                <w:color w:val="auto"/>
                <w:spacing w:val="-5"/>
                <w:sz w:val="22"/>
                <w:szCs w:val="22"/>
                <w:highlight w:val="none"/>
              </w:rPr>
              <w:t>1</w:t>
            </w:r>
            <w:r>
              <w:rPr>
                <w:color w:val="auto"/>
                <w:spacing w:val="-40"/>
                <w:sz w:val="22"/>
                <w:szCs w:val="22"/>
                <w:highlight w:val="none"/>
              </w:rPr>
              <w:t xml:space="preserve"> </w:t>
            </w:r>
            <w:r>
              <w:rPr>
                <w:color w:val="auto"/>
                <w:spacing w:val="-5"/>
                <w:sz w:val="22"/>
                <w:szCs w:val="22"/>
                <w:highlight w:val="none"/>
              </w:rPr>
              <w:t>次。</w:t>
            </w:r>
          </w:p>
          <w:p w14:paraId="25ADF7A9">
            <w:pPr>
              <w:pStyle w:val="18"/>
              <w:tabs>
                <w:tab w:val="left" w:pos="320"/>
              </w:tabs>
              <w:spacing w:before="94" w:line="296" w:lineRule="auto"/>
              <w:ind w:left="195" w:right="210" w:firstLine="457"/>
              <w:rPr>
                <w:color w:val="auto"/>
                <w:sz w:val="22"/>
                <w:szCs w:val="22"/>
                <w:highlight w:val="none"/>
              </w:rPr>
            </w:pPr>
            <w:r>
              <w:rPr>
                <w:color w:val="auto"/>
                <w:spacing w:val="5"/>
                <w:sz w:val="22"/>
                <w:szCs w:val="22"/>
                <w:highlight w:val="none"/>
                <w:u w:val="single" w:color="auto"/>
              </w:rPr>
              <w:t>3.第</w:t>
            </w:r>
            <w:r>
              <w:rPr>
                <w:color w:val="auto"/>
                <w:spacing w:val="-22"/>
                <w:sz w:val="22"/>
                <w:szCs w:val="22"/>
                <w:highlight w:val="none"/>
                <w:u w:val="single" w:color="auto"/>
              </w:rPr>
              <w:t xml:space="preserve"> </w:t>
            </w:r>
            <w:r>
              <w:rPr>
                <w:color w:val="auto"/>
                <w:spacing w:val="5"/>
                <w:sz w:val="22"/>
                <w:szCs w:val="22"/>
                <w:highlight w:val="none"/>
                <w:u w:val="single" w:color="auto"/>
              </w:rPr>
              <w:t>2（3）条款“项目涉及各地级</w:t>
            </w:r>
            <w:r>
              <w:rPr>
                <w:color w:val="auto"/>
                <w:spacing w:val="8"/>
                <w:sz w:val="22"/>
                <w:szCs w:val="22"/>
                <w:highlight w:val="none"/>
                <w:u w:val="single" w:color="auto"/>
              </w:rPr>
              <w:t>以上市</w:t>
            </w:r>
            <w:r>
              <w:rPr>
                <w:color w:val="auto"/>
                <w:spacing w:val="-57"/>
                <w:sz w:val="22"/>
                <w:szCs w:val="22"/>
                <w:highlight w:val="none"/>
                <w:u w:val="single" w:color="auto"/>
              </w:rPr>
              <w:t xml:space="preserve"> </w:t>
            </w:r>
            <w:r>
              <w:rPr>
                <w:color w:val="auto"/>
                <w:spacing w:val="8"/>
                <w:sz w:val="22"/>
                <w:szCs w:val="22"/>
                <w:highlight w:val="none"/>
                <w:u w:val="single" w:color="auto"/>
              </w:rPr>
              <w:t>”指：本项目（以立项为单位）</w:t>
            </w:r>
            <w:r>
              <w:rPr>
                <w:color w:val="auto"/>
                <w:spacing w:val="11"/>
                <w:sz w:val="22"/>
                <w:szCs w:val="22"/>
                <w:highlight w:val="none"/>
                <w:u w:val="single" w:color="auto"/>
              </w:rPr>
              <w:t>涉及多个地市，如投标人所投某个标段</w:t>
            </w:r>
            <w:r>
              <w:rPr>
                <w:color w:val="auto"/>
                <w:sz w:val="22"/>
                <w:szCs w:val="22"/>
                <w:highlight w:val="none"/>
                <w:u w:val="single" w:color="auto"/>
              </w:rPr>
              <w:tab/>
            </w:r>
            <w:r>
              <w:rPr>
                <w:color w:val="auto"/>
                <w:spacing w:val="1"/>
                <w:sz w:val="22"/>
                <w:szCs w:val="22"/>
                <w:highlight w:val="none"/>
                <w:u w:val="single" w:color="auto"/>
              </w:rPr>
              <w:t>（仅涉及部分地市</w:t>
            </w:r>
            <w:r>
              <w:rPr>
                <w:color w:val="auto"/>
                <w:spacing w:val="-1"/>
                <w:sz w:val="22"/>
                <w:szCs w:val="22"/>
                <w:highlight w:val="none"/>
                <w:u w:val="single" w:color="auto"/>
              </w:rPr>
              <w:t>）</w:t>
            </w:r>
            <w:r>
              <w:rPr>
                <w:color w:val="auto"/>
                <w:spacing w:val="-58"/>
                <w:sz w:val="22"/>
                <w:szCs w:val="22"/>
                <w:highlight w:val="none"/>
                <w:u w:val="single" w:color="auto"/>
              </w:rPr>
              <w:t xml:space="preserve"> </w:t>
            </w:r>
            <w:r>
              <w:rPr>
                <w:color w:val="auto"/>
                <w:spacing w:val="-1"/>
                <w:sz w:val="22"/>
                <w:szCs w:val="22"/>
                <w:highlight w:val="none"/>
                <w:u w:val="single" w:color="auto"/>
              </w:rPr>
              <w:t>，</w:t>
            </w:r>
            <w:r>
              <w:rPr>
                <w:color w:val="auto"/>
                <w:spacing w:val="1"/>
                <w:sz w:val="22"/>
                <w:szCs w:val="22"/>
                <w:highlight w:val="none"/>
                <w:u w:val="single" w:color="auto"/>
              </w:rPr>
              <w:t>该标段履约情况</w:t>
            </w:r>
            <w:r>
              <w:rPr>
                <w:color w:val="auto"/>
                <w:spacing w:val="11"/>
                <w:sz w:val="22"/>
                <w:szCs w:val="22"/>
                <w:highlight w:val="none"/>
                <w:u w:val="single" w:color="auto"/>
              </w:rPr>
              <w:t>按项目（以立项为单位）涉及各地市交通运输局相关行政处罚均应包含。如某</w:t>
            </w:r>
            <w:r>
              <w:rPr>
                <w:color w:val="auto"/>
                <w:spacing w:val="8"/>
                <w:sz w:val="22"/>
                <w:szCs w:val="22"/>
                <w:highlight w:val="none"/>
                <w:u w:val="single" w:color="auto"/>
              </w:rPr>
              <w:t>项目涉及</w:t>
            </w:r>
            <w:r>
              <w:rPr>
                <w:color w:val="auto"/>
                <w:spacing w:val="-27"/>
                <w:sz w:val="22"/>
                <w:szCs w:val="22"/>
                <w:highlight w:val="none"/>
                <w:u w:val="single" w:color="auto"/>
              </w:rPr>
              <w:t xml:space="preserve"> </w:t>
            </w:r>
            <w:r>
              <w:rPr>
                <w:color w:val="auto"/>
                <w:spacing w:val="8"/>
                <w:sz w:val="22"/>
                <w:szCs w:val="22"/>
                <w:highlight w:val="none"/>
                <w:u w:val="single" w:color="auto"/>
              </w:rPr>
              <w:t>A、B、C</w:t>
            </w:r>
            <w:r>
              <w:rPr>
                <w:color w:val="auto"/>
                <w:spacing w:val="-35"/>
                <w:sz w:val="22"/>
                <w:szCs w:val="22"/>
                <w:highlight w:val="none"/>
                <w:u w:val="single" w:color="auto"/>
              </w:rPr>
              <w:t xml:space="preserve"> </w:t>
            </w:r>
            <w:r>
              <w:rPr>
                <w:color w:val="auto"/>
                <w:spacing w:val="8"/>
                <w:sz w:val="22"/>
                <w:szCs w:val="22"/>
                <w:highlight w:val="none"/>
                <w:u w:val="single" w:color="auto"/>
              </w:rPr>
              <w:t>三个地级以上市，但</w:t>
            </w:r>
            <w:r>
              <w:rPr>
                <w:color w:val="auto"/>
                <w:spacing w:val="6"/>
                <w:sz w:val="22"/>
                <w:szCs w:val="22"/>
                <w:highlight w:val="none"/>
                <w:u w:val="single" w:color="auto"/>
              </w:rPr>
              <w:t>标段</w:t>
            </w:r>
            <w:r>
              <w:rPr>
                <w:color w:val="auto"/>
                <w:spacing w:val="-24"/>
                <w:sz w:val="22"/>
                <w:szCs w:val="22"/>
                <w:highlight w:val="none"/>
                <w:u w:val="single" w:color="auto"/>
              </w:rPr>
              <w:t xml:space="preserve"> </w:t>
            </w:r>
            <w:r>
              <w:rPr>
                <w:color w:val="auto"/>
                <w:spacing w:val="6"/>
                <w:sz w:val="22"/>
                <w:szCs w:val="22"/>
                <w:highlight w:val="none"/>
                <w:u w:val="single" w:color="auto"/>
              </w:rPr>
              <w:t>3</w:t>
            </w:r>
            <w:r>
              <w:rPr>
                <w:color w:val="auto"/>
                <w:spacing w:val="-36"/>
                <w:sz w:val="22"/>
                <w:szCs w:val="22"/>
                <w:highlight w:val="none"/>
                <w:u w:val="single" w:color="auto"/>
              </w:rPr>
              <w:t xml:space="preserve"> </w:t>
            </w:r>
            <w:r>
              <w:rPr>
                <w:color w:val="auto"/>
                <w:spacing w:val="6"/>
                <w:sz w:val="22"/>
                <w:szCs w:val="22"/>
                <w:highlight w:val="none"/>
                <w:u w:val="single" w:color="auto"/>
              </w:rPr>
              <w:t>仅涉及</w:t>
            </w:r>
            <w:r>
              <w:rPr>
                <w:color w:val="auto"/>
                <w:spacing w:val="-41"/>
                <w:sz w:val="22"/>
                <w:szCs w:val="22"/>
                <w:highlight w:val="none"/>
                <w:u w:val="single" w:color="auto"/>
              </w:rPr>
              <w:t xml:space="preserve"> </w:t>
            </w:r>
            <w:r>
              <w:rPr>
                <w:color w:val="auto"/>
                <w:spacing w:val="6"/>
                <w:sz w:val="22"/>
                <w:szCs w:val="22"/>
                <w:highlight w:val="none"/>
                <w:u w:val="single" w:color="auto"/>
              </w:rPr>
              <w:t>A</w:t>
            </w:r>
            <w:r>
              <w:rPr>
                <w:color w:val="auto"/>
                <w:spacing w:val="-29"/>
                <w:sz w:val="22"/>
                <w:szCs w:val="22"/>
                <w:highlight w:val="none"/>
                <w:u w:val="single" w:color="auto"/>
              </w:rPr>
              <w:t xml:space="preserve"> </w:t>
            </w:r>
            <w:r>
              <w:rPr>
                <w:color w:val="auto"/>
                <w:spacing w:val="6"/>
                <w:sz w:val="22"/>
                <w:szCs w:val="22"/>
                <w:highlight w:val="none"/>
                <w:u w:val="single" w:color="auto"/>
              </w:rPr>
              <w:t>市，该条款履约情况应</w:t>
            </w:r>
            <w:r>
              <w:rPr>
                <w:color w:val="auto"/>
                <w:spacing w:val="8"/>
                <w:sz w:val="22"/>
                <w:szCs w:val="22"/>
                <w:highlight w:val="none"/>
                <w:u w:val="single" w:color="auto"/>
              </w:rPr>
              <w:t>为</w:t>
            </w:r>
            <w:r>
              <w:rPr>
                <w:color w:val="auto"/>
                <w:spacing w:val="-27"/>
                <w:sz w:val="22"/>
                <w:szCs w:val="22"/>
                <w:highlight w:val="none"/>
                <w:u w:val="single" w:color="auto"/>
              </w:rPr>
              <w:t xml:space="preserve"> </w:t>
            </w:r>
            <w:r>
              <w:rPr>
                <w:color w:val="auto"/>
                <w:spacing w:val="8"/>
                <w:sz w:val="22"/>
                <w:szCs w:val="22"/>
                <w:highlight w:val="none"/>
                <w:u w:val="single" w:color="auto"/>
              </w:rPr>
              <w:t>A、B、C</w:t>
            </w:r>
            <w:r>
              <w:rPr>
                <w:color w:val="auto"/>
                <w:spacing w:val="-35"/>
                <w:sz w:val="22"/>
                <w:szCs w:val="22"/>
                <w:highlight w:val="none"/>
                <w:u w:val="single" w:color="auto"/>
              </w:rPr>
              <w:t xml:space="preserve"> </w:t>
            </w:r>
            <w:r>
              <w:rPr>
                <w:color w:val="auto"/>
                <w:spacing w:val="8"/>
                <w:sz w:val="22"/>
                <w:szCs w:val="22"/>
                <w:highlight w:val="none"/>
                <w:u w:val="single" w:color="auto"/>
              </w:rPr>
              <w:t>三个地级以上市交通运输局</w:t>
            </w:r>
            <w:r>
              <w:rPr>
                <w:color w:val="auto"/>
                <w:spacing w:val="9"/>
                <w:sz w:val="22"/>
                <w:szCs w:val="22"/>
                <w:highlight w:val="none"/>
                <w:u w:val="single" w:color="auto"/>
              </w:rPr>
              <w:t>相关行政处罚（而非仅</w:t>
            </w:r>
            <w:r>
              <w:rPr>
                <w:color w:val="auto"/>
                <w:spacing w:val="-44"/>
                <w:sz w:val="22"/>
                <w:szCs w:val="22"/>
                <w:highlight w:val="none"/>
                <w:u w:val="single" w:color="auto"/>
              </w:rPr>
              <w:t xml:space="preserve"> </w:t>
            </w:r>
            <w:r>
              <w:rPr>
                <w:color w:val="auto"/>
                <w:spacing w:val="9"/>
                <w:sz w:val="22"/>
                <w:szCs w:val="22"/>
                <w:highlight w:val="none"/>
                <w:u w:val="single" w:color="auto"/>
              </w:rPr>
              <w:t>A</w:t>
            </w:r>
            <w:r>
              <w:rPr>
                <w:color w:val="auto"/>
                <w:spacing w:val="-29"/>
                <w:sz w:val="22"/>
                <w:szCs w:val="22"/>
                <w:highlight w:val="none"/>
                <w:u w:val="single" w:color="auto"/>
              </w:rPr>
              <w:t xml:space="preserve"> </w:t>
            </w:r>
            <w:r>
              <w:rPr>
                <w:color w:val="auto"/>
                <w:spacing w:val="9"/>
                <w:sz w:val="22"/>
                <w:szCs w:val="22"/>
                <w:highlight w:val="none"/>
                <w:u w:val="single" w:color="auto"/>
              </w:rPr>
              <w:t>市交通运输局相关行政处罚</w:t>
            </w:r>
            <w:r>
              <w:rPr>
                <w:color w:val="auto"/>
                <w:spacing w:val="3"/>
                <w:sz w:val="22"/>
                <w:szCs w:val="22"/>
                <w:highlight w:val="none"/>
                <w:u w:val="single" w:color="auto"/>
              </w:rPr>
              <w:t>）</w:t>
            </w:r>
            <w:r>
              <w:rPr>
                <w:color w:val="auto"/>
                <w:spacing w:val="-61"/>
                <w:sz w:val="22"/>
                <w:szCs w:val="22"/>
                <w:highlight w:val="none"/>
                <w:u w:val="single" w:color="auto"/>
              </w:rPr>
              <w:t xml:space="preserve"> </w:t>
            </w:r>
            <w:r>
              <w:rPr>
                <w:color w:val="auto"/>
                <w:spacing w:val="3"/>
                <w:sz w:val="22"/>
                <w:szCs w:val="22"/>
                <w:highlight w:val="none"/>
                <w:u w:val="single" w:color="auto"/>
              </w:rPr>
              <w:t>，</w:t>
            </w:r>
            <w:r>
              <w:rPr>
                <w:color w:val="auto"/>
                <w:spacing w:val="9"/>
                <w:sz w:val="22"/>
                <w:szCs w:val="22"/>
                <w:highlight w:val="none"/>
                <w:u w:val="single" w:color="auto"/>
              </w:rPr>
              <w:t>且在招标文件编制时</w:t>
            </w:r>
            <w:r>
              <w:rPr>
                <w:color w:val="auto"/>
                <w:spacing w:val="12"/>
                <w:sz w:val="22"/>
                <w:szCs w:val="22"/>
                <w:highlight w:val="none"/>
                <w:u w:val="single" w:color="auto"/>
              </w:rPr>
              <w:t>明确为“A、B、C</w:t>
            </w:r>
            <w:r>
              <w:rPr>
                <w:color w:val="auto"/>
                <w:spacing w:val="-24"/>
                <w:sz w:val="22"/>
                <w:szCs w:val="22"/>
                <w:highlight w:val="none"/>
                <w:u w:val="single" w:color="auto"/>
              </w:rPr>
              <w:t xml:space="preserve"> </w:t>
            </w:r>
            <w:r>
              <w:rPr>
                <w:color w:val="auto"/>
                <w:spacing w:val="12"/>
                <w:sz w:val="22"/>
                <w:szCs w:val="22"/>
                <w:highlight w:val="none"/>
                <w:u w:val="single" w:color="auto"/>
              </w:rPr>
              <w:t>市交通运输局行政处</w:t>
            </w:r>
            <w:r>
              <w:rPr>
                <w:color w:val="auto"/>
                <w:sz w:val="22"/>
                <w:szCs w:val="22"/>
                <w:highlight w:val="none"/>
                <w:u w:val="single" w:color="auto"/>
              </w:rPr>
              <w:t>罚、且在处罚信息公示期内的</w:t>
            </w:r>
            <w:r>
              <w:rPr>
                <w:color w:val="auto"/>
                <w:spacing w:val="-79"/>
                <w:sz w:val="22"/>
                <w:szCs w:val="22"/>
                <w:highlight w:val="none"/>
                <w:u w:val="single" w:color="auto"/>
              </w:rPr>
              <w:t xml:space="preserve"> </w:t>
            </w:r>
            <w:r>
              <w:rPr>
                <w:color w:val="auto"/>
                <w:sz w:val="22"/>
                <w:szCs w:val="22"/>
                <w:highlight w:val="none"/>
                <w:u w:val="single" w:color="auto"/>
              </w:rPr>
              <w:t>”</w:t>
            </w:r>
            <w:r>
              <w:rPr>
                <w:color w:val="auto"/>
                <w:sz w:val="22"/>
                <w:szCs w:val="22"/>
                <w:highlight w:val="none"/>
              </w:rPr>
              <w:t>。</w:t>
            </w:r>
          </w:p>
          <w:p w14:paraId="64CBE0F3">
            <w:pPr>
              <w:pStyle w:val="18"/>
              <w:spacing w:before="99" w:line="279" w:lineRule="auto"/>
              <w:ind w:left="203" w:right="212" w:firstLine="443"/>
              <w:rPr>
                <w:color w:val="auto"/>
                <w:sz w:val="22"/>
                <w:szCs w:val="22"/>
                <w:highlight w:val="none"/>
              </w:rPr>
            </w:pPr>
            <w:r>
              <w:rPr>
                <w:color w:val="auto"/>
                <w:spacing w:val="11"/>
                <w:sz w:val="22"/>
                <w:szCs w:val="22"/>
                <w:highlight w:val="none"/>
              </w:rPr>
              <w:t>4.如果扣完本项分值，可以从总分</w:t>
            </w:r>
            <w:r>
              <w:rPr>
                <w:color w:val="auto"/>
                <w:spacing w:val="8"/>
                <w:sz w:val="22"/>
                <w:szCs w:val="22"/>
                <w:highlight w:val="none"/>
              </w:rPr>
              <w:t>中扣。</w:t>
            </w:r>
            <w:r>
              <w:rPr>
                <w:color w:val="auto"/>
                <w:spacing w:val="-64"/>
                <w:sz w:val="22"/>
                <w:szCs w:val="22"/>
                <w:highlight w:val="none"/>
              </w:rPr>
              <w:t xml:space="preserve"> </w:t>
            </w:r>
            <w:r>
              <w:rPr>
                <w:color w:val="auto"/>
                <w:spacing w:val="8"/>
                <w:sz w:val="22"/>
                <w:szCs w:val="22"/>
                <w:highlight w:val="none"/>
              </w:rPr>
              <w:t>以联合体形式投标的，若各联合</w:t>
            </w:r>
            <w:r>
              <w:rPr>
                <w:color w:val="auto"/>
                <w:spacing w:val="10"/>
                <w:sz w:val="22"/>
                <w:szCs w:val="22"/>
                <w:highlight w:val="none"/>
              </w:rPr>
              <w:t>体成员任何一方或均存在上述情形的，</w:t>
            </w:r>
            <w:r>
              <w:rPr>
                <w:color w:val="auto"/>
                <w:spacing w:val="-1"/>
                <w:sz w:val="22"/>
                <w:szCs w:val="22"/>
                <w:highlight w:val="none"/>
              </w:rPr>
              <w:t>对联合体各成员进行累计扣分。</w:t>
            </w:r>
          </w:p>
        </w:tc>
      </w:tr>
      <w:tr w14:paraId="56CA67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8895" w:type="dxa"/>
            <w:gridSpan w:val="8"/>
            <w:vAlign w:val="top"/>
          </w:tcPr>
          <w:p w14:paraId="6091EE4F">
            <w:pPr>
              <w:pStyle w:val="18"/>
              <w:spacing w:before="45" w:line="228" w:lineRule="auto"/>
              <w:ind w:left="126"/>
              <w:rPr>
                <w:color w:val="auto"/>
                <w:highlight w:val="none"/>
              </w:rPr>
            </w:pPr>
            <w:r>
              <w:rPr>
                <w:b/>
                <w:bCs/>
                <w:color w:val="auto"/>
                <w:spacing w:val="6"/>
                <w:highlight w:val="none"/>
              </w:rPr>
              <w:t>需要补充的其他内容</w:t>
            </w:r>
          </w:p>
        </w:tc>
      </w:tr>
      <w:tr w14:paraId="59D912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2" w:hRule="atLeast"/>
        </w:trPr>
        <w:tc>
          <w:tcPr>
            <w:tcW w:w="1238" w:type="dxa"/>
            <w:gridSpan w:val="2"/>
            <w:vAlign w:val="top"/>
          </w:tcPr>
          <w:p w14:paraId="546B68D2">
            <w:pPr>
              <w:pStyle w:val="18"/>
              <w:spacing w:before="72" w:line="228" w:lineRule="auto"/>
              <w:ind w:left="311"/>
              <w:rPr>
                <w:color w:val="auto"/>
                <w:highlight w:val="none"/>
              </w:rPr>
            </w:pPr>
            <w:r>
              <w:rPr>
                <w:color w:val="auto"/>
                <w:spacing w:val="6"/>
                <w:highlight w:val="none"/>
              </w:rPr>
              <w:t>条款号</w:t>
            </w:r>
          </w:p>
        </w:tc>
        <w:tc>
          <w:tcPr>
            <w:tcW w:w="7657" w:type="dxa"/>
            <w:gridSpan w:val="6"/>
            <w:vAlign w:val="top"/>
          </w:tcPr>
          <w:p w14:paraId="08610B5A">
            <w:pPr>
              <w:pStyle w:val="18"/>
              <w:spacing w:before="72" w:line="228" w:lineRule="auto"/>
              <w:ind w:left="2992"/>
              <w:rPr>
                <w:color w:val="auto"/>
                <w:highlight w:val="none"/>
              </w:rPr>
            </w:pPr>
            <w:r>
              <w:rPr>
                <w:color w:val="auto"/>
                <w:spacing w:val="8"/>
                <w:highlight w:val="none"/>
              </w:rPr>
              <w:t>补充或修改的内容</w:t>
            </w:r>
          </w:p>
        </w:tc>
      </w:tr>
      <w:tr w14:paraId="6B6A62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1238" w:type="dxa"/>
            <w:gridSpan w:val="2"/>
            <w:vAlign w:val="top"/>
          </w:tcPr>
          <w:p w14:paraId="1774FB77">
            <w:pPr>
              <w:pStyle w:val="18"/>
              <w:spacing w:before="34" w:line="268" w:lineRule="exact"/>
              <w:ind w:left="366"/>
              <w:rPr>
                <w:color w:val="auto"/>
                <w:highlight w:val="none"/>
              </w:rPr>
            </w:pPr>
            <w:r>
              <w:rPr>
                <w:color w:val="auto"/>
                <w:spacing w:val="2"/>
                <w:position w:val="1"/>
                <w:highlight w:val="none"/>
              </w:rPr>
              <w:t>3.2.3</w:t>
            </w:r>
          </w:p>
        </w:tc>
        <w:tc>
          <w:tcPr>
            <w:tcW w:w="7657" w:type="dxa"/>
            <w:gridSpan w:val="6"/>
            <w:vAlign w:val="top"/>
          </w:tcPr>
          <w:p w14:paraId="21FD98A2">
            <w:pPr>
              <w:pStyle w:val="18"/>
              <w:spacing w:before="34" w:line="228" w:lineRule="auto"/>
              <w:ind w:left="534"/>
              <w:rPr>
                <w:color w:val="auto"/>
                <w:highlight w:val="none"/>
              </w:rPr>
            </w:pPr>
            <w:r>
              <w:rPr>
                <w:color w:val="auto"/>
                <w:spacing w:val="6"/>
                <w:highlight w:val="none"/>
              </w:rPr>
              <w:t>3.2.3</w:t>
            </w:r>
            <w:r>
              <w:rPr>
                <w:color w:val="auto"/>
                <w:spacing w:val="-28"/>
                <w:highlight w:val="none"/>
              </w:rPr>
              <w:t xml:space="preserve"> </w:t>
            </w:r>
            <w:r>
              <w:rPr>
                <w:color w:val="auto"/>
                <w:spacing w:val="6"/>
                <w:highlight w:val="none"/>
              </w:rPr>
              <w:t>款明确取消其中</w:t>
            </w:r>
            <w:r>
              <w:rPr>
                <w:color w:val="auto"/>
                <w:spacing w:val="-21"/>
                <w:highlight w:val="none"/>
              </w:rPr>
              <w:t xml:space="preserve"> </w:t>
            </w:r>
            <w:r>
              <w:rPr>
                <w:color w:val="auto"/>
                <w:spacing w:val="6"/>
                <w:highlight w:val="none"/>
              </w:rPr>
              <w:t>1</w:t>
            </w:r>
            <w:r>
              <w:rPr>
                <w:color w:val="auto"/>
                <w:spacing w:val="-36"/>
                <w:highlight w:val="none"/>
              </w:rPr>
              <w:t xml:space="preserve"> </w:t>
            </w:r>
            <w:r>
              <w:rPr>
                <w:color w:val="auto"/>
                <w:spacing w:val="6"/>
                <w:highlight w:val="none"/>
              </w:rPr>
              <w:t>名评委所有评分的办法明确为：办法</w:t>
            </w:r>
            <w:r>
              <w:rPr>
                <w:color w:val="auto"/>
                <w:spacing w:val="-97"/>
                <w:highlight w:val="none"/>
              </w:rPr>
              <w:t xml:space="preserve"> </w:t>
            </w:r>
            <w:r>
              <w:rPr>
                <w:color w:val="auto"/>
                <w:spacing w:val="6"/>
                <w:highlight w:val="none"/>
                <w:u w:val="single" w:color="auto"/>
              </w:rPr>
              <w:t xml:space="preserve">  </w:t>
            </w:r>
            <w:r>
              <w:rPr>
                <w:rFonts w:hint="eastAsia"/>
                <w:color w:val="auto"/>
                <w:spacing w:val="6"/>
                <w:highlight w:val="none"/>
                <w:u w:val="single" w:color="auto"/>
                <w:lang w:val="en-US" w:eastAsia="zh-CN"/>
              </w:rPr>
              <w:t>二</w:t>
            </w:r>
            <w:r>
              <w:rPr>
                <w:color w:val="auto"/>
                <w:spacing w:val="6"/>
                <w:highlight w:val="none"/>
                <w:u w:val="single" w:color="auto"/>
              </w:rPr>
              <w:t xml:space="preserve">  </w:t>
            </w:r>
            <w:r>
              <w:rPr>
                <w:color w:val="auto"/>
                <w:spacing w:val="6"/>
                <w:highlight w:val="none"/>
              </w:rPr>
              <w:t>。</w:t>
            </w:r>
          </w:p>
        </w:tc>
      </w:tr>
    </w:tbl>
    <w:p w14:paraId="15480DB0">
      <w:pPr>
        <w:spacing w:line="393" w:lineRule="auto"/>
        <w:rPr>
          <w:rFonts w:ascii="Arial"/>
          <w:color w:val="auto"/>
          <w:sz w:val="21"/>
          <w:highlight w:val="none"/>
        </w:rPr>
      </w:pPr>
    </w:p>
    <w:p w14:paraId="4FBD2E2E">
      <w:pPr>
        <w:spacing w:line="244" w:lineRule="auto"/>
        <w:rPr>
          <w:rFonts w:ascii="Arial"/>
          <w:color w:val="auto"/>
          <w:sz w:val="21"/>
          <w:highlight w:val="none"/>
        </w:rPr>
      </w:pPr>
      <w:bookmarkStart w:id="247" w:name="bookmark133"/>
      <w:bookmarkEnd w:id="247"/>
    </w:p>
    <w:p w14:paraId="78333D84">
      <w:pPr>
        <w:spacing w:line="220" w:lineRule="auto"/>
        <w:rPr>
          <w:rFonts w:ascii="宋体" w:hAnsi="宋体" w:eastAsia="宋体" w:cs="宋体"/>
          <w:color w:val="auto"/>
          <w:sz w:val="18"/>
          <w:szCs w:val="18"/>
          <w:highlight w:val="none"/>
        </w:rPr>
        <w:sectPr>
          <w:footerReference r:id="rId48" w:type="default"/>
          <w:pgSz w:w="11906" w:h="16839"/>
          <w:pgMar w:top="1416" w:right="1701" w:bottom="1297" w:left="1304" w:header="0" w:footer="1067" w:gutter="0"/>
          <w:pgNumType w:fmt="decimal"/>
          <w:cols w:space="720" w:num="1"/>
        </w:sectPr>
      </w:pPr>
    </w:p>
    <w:p w14:paraId="5C96B92A">
      <w:pPr>
        <w:spacing w:before="63" w:line="224" w:lineRule="auto"/>
        <w:ind w:left="3023"/>
        <w:rPr>
          <w:rFonts w:ascii="宋体" w:hAnsi="宋体" w:eastAsia="宋体" w:cs="宋体"/>
          <w:color w:val="auto"/>
          <w:sz w:val="31"/>
          <w:szCs w:val="31"/>
          <w:highlight w:val="none"/>
        </w:rPr>
      </w:pPr>
      <w:r>
        <w:rPr>
          <w:rFonts w:ascii="宋体" w:hAnsi="宋体" w:eastAsia="宋体" w:cs="宋体"/>
          <w:b/>
          <w:bCs/>
          <w:color w:val="auto"/>
          <w:spacing w:val="6"/>
          <w:sz w:val="31"/>
          <w:szCs w:val="31"/>
          <w:highlight w:val="none"/>
        </w:rPr>
        <w:t>第三章</w:t>
      </w:r>
      <w:r>
        <w:rPr>
          <w:rFonts w:ascii="宋体" w:hAnsi="宋体" w:eastAsia="宋体" w:cs="宋体"/>
          <w:color w:val="auto"/>
          <w:spacing w:val="6"/>
          <w:sz w:val="31"/>
          <w:szCs w:val="31"/>
          <w:highlight w:val="none"/>
        </w:rPr>
        <w:t xml:space="preserve"> </w:t>
      </w:r>
      <w:r>
        <w:rPr>
          <w:rFonts w:ascii="宋体" w:hAnsi="宋体" w:eastAsia="宋体" w:cs="宋体"/>
          <w:b/>
          <w:bCs/>
          <w:color w:val="auto"/>
          <w:spacing w:val="6"/>
          <w:sz w:val="31"/>
          <w:szCs w:val="31"/>
          <w:highlight w:val="none"/>
        </w:rPr>
        <w:t>评标办法正文</w:t>
      </w:r>
    </w:p>
    <w:p w14:paraId="18EC284D">
      <w:pPr>
        <w:spacing w:before="270" w:line="221" w:lineRule="auto"/>
        <w:ind w:left="30"/>
        <w:outlineLvl w:val="0"/>
        <w:rPr>
          <w:rFonts w:ascii="宋体" w:hAnsi="宋体" w:eastAsia="宋体" w:cs="宋体"/>
          <w:color w:val="auto"/>
          <w:sz w:val="28"/>
          <w:szCs w:val="28"/>
          <w:highlight w:val="none"/>
        </w:rPr>
      </w:pPr>
      <w:bookmarkStart w:id="248" w:name="_Toc596"/>
      <w:r>
        <w:rPr>
          <w:rFonts w:ascii="宋体" w:hAnsi="宋体" w:eastAsia="宋体" w:cs="宋体"/>
          <w:b/>
          <w:bCs/>
          <w:color w:val="auto"/>
          <w:spacing w:val="-7"/>
          <w:sz w:val="28"/>
          <w:szCs w:val="28"/>
          <w:highlight w:val="none"/>
        </w:rPr>
        <w:t>1.</w:t>
      </w:r>
      <w:r>
        <w:rPr>
          <w:rFonts w:ascii="宋体" w:hAnsi="宋体" w:eastAsia="宋体" w:cs="宋体"/>
          <w:color w:val="auto"/>
          <w:spacing w:val="-7"/>
          <w:sz w:val="28"/>
          <w:szCs w:val="28"/>
          <w:highlight w:val="none"/>
        </w:rPr>
        <w:t xml:space="preserve"> </w:t>
      </w:r>
      <w:r>
        <w:rPr>
          <w:rFonts w:ascii="宋体" w:hAnsi="宋体" w:eastAsia="宋体" w:cs="宋体"/>
          <w:b/>
          <w:bCs/>
          <w:color w:val="auto"/>
          <w:spacing w:val="-7"/>
          <w:sz w:val="28"/>
          <w:szCs w:val="28"/>
          <w:highlight w:val="none"/>
        </w:rPr>
        <w:t>评标方法</w:t>
      </w:r>
      <w:bookmarkEnd w:id="248"/>
    </w:p>
    <w:p w14:paraId="104E9A2E">
      <w:pPr>
        <w:spacing w:line="266" w:lineRule="auto"/>
        <w:rPr>
          <w:rFonts w:ascii="Arial"/>
          <w:color w:val="auto"/>
          <w:sz w:val="21"/>
          <w:highlight w:val="none"/>
        </w:rPr>
      </w:pPr>
    </w:p>
    <w:p w14:paraId="144A89CE">
      <w:pPr>
        <w:spacing w:before="78" w:line="220" w:lineRule="auto"/>
        <w:ind w:left="26"/>
        <w:outlineLvl w:val="1"/>
        <w:rPr>
          <w:rFonts w:ascii="宋体" w:hAnsi="宋体" w:eastAsia="宋体" w:cs="宋体"/>
          <w:color w:val="auto"/>
          <w:sz w:val="24"/>
          <w:szCs w:val="24"/>
          <w:highlight w:val="none"/>
        </w:rPr>
      </w:pPr>
      <w:bookmarkStart w:id="249" w:name="_Toc22095"/>
      <w:bookmarkStart w:id="250" w:name="_Toc15482"/>
      <w:bookmarkStart w:id="251" w:name="_Toc15937"/>
      <w:r>
        <w:rPr>
          <w:rFonts w:ascii="宋体" w:hAnsi="宋体" w:eastAsia="宋体" w:cs="宋体"/>
          <w:b/>
          <w:bCs/>
          <w:color w:val="auto"/>
          <w:spacing w:val="-7"/>
          <w:sz w:val="24"/>
          <w:szCs w:val="24"/>
          <w:highlight w:val="none"/>
        </w:rPr>
        <w:t>1.1</w:t>
      </w:r>
      <w:r>
        <w:rPr>
          <w:rFonts w:ascii="宋体" w:hAnsi="宋体" w:eastAsia="宋体" w:cs="宋体"/>
          <w:color w:val="auto"/>
          <w:spacing w:val="-52"/>
          <w:sz w:val="24"/>
          <w:szCs w:val="24"/>
          <w:highlight w:val="none"/>
        </w:rPr>
        <w:t xml:space="preserve"> </w:t>
      </w:r>
      <w:r>
        <w:rPr>
          <w:rFonts w:ascii="宋体" w:hAnsi="宋体" w:eastAsia="宋体" w:cs="宋体"/>
          <w:b/>
          <w:bCs/>
          <w:color w:val="auto"/>
          <w:spacing w:val="-7"/>
          <w:sz w:val="24"/>
          <w:szCs w:val="24"/>
          <w:highlight w:val="none"/>
        </w:rPr>
        <w:t>评标方法</w:t>
      </w:r>
      <w:bookmarkEnd w:id="249"/>
      <w:bookmarkEnd w:id="250"/>
      <w:bookmarkEnd w:id="251"/>
    </w:p>
    <w:p w14:paraId="26AF6739">
      <w:pPr>
        <w:spacing w:before="51" w:line="360" w:lineRule="auto"/>
        <w:ind w:left="9" w:firstLine="480"/>
        <w:jc w:val="both"/>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本次评标采用双信封的综合评估法。评标委员会对满足招标文件实质性要求的投</w:t>
      </w:r>
      <w:r>
        <w:rPr>
          <w:rFonts w:ascii="宋体" w:hAnsi="宋体" w:eastAsia="宋体" w:cs="宋体"/>
          <w:color w:val="auto"/>
          <w:spacing w:val="4"/>
          <w:sz w:val="24"/>
          <w:szCs w:val="24"/>
          <w:highlight w:val="none"/>
        </w:rPr>
        <w:t>标文件，按照本章第</w:t>
      </w:r>
      <w:r>
        <w:rPr>
          <w:rFonts w:ascii="宋体" w:hAnsi="宋体" w:eastAsia="宋体" w:cs="宋体"/>
          <w:color w:val="auto"/>
          <w:spacing w:val="-40"/>
          <w:sz w:val="24"/>
          <w:szCs w:val="24"/>
          <w:highlight w:val="none"/>
        </w:rPr>
        <w:t xml:space="preserve"> </w:t>
      </w:r>
      <w:r>
        <w:rPr>
          <w:rFonts w:ascii="宋体" w:hAnsi="宋体" w:eastAsia="宋体" w:cs="宋体"/>
          <w:color w:val="auto"/>
          <w:spacing w:val="4"/>
          <w:sz w:val="24"/>
          <w:szCs w:val="24"/>
          <w:highlight w:val="none"/>
        </w:rPr>
        <w:t>2.2</w:t>
      </w:r>
      <w:r>
        <w:rPr>
          <w:rFonts w:ascii="宋体" w:hAnsi="宋体" w:eastAsia="宋体" w:cs="宋体"/>
          <w:color w:val="auto"/>
          <w:spacing w:val="-45"/>
          <w:sz w:val="24"/>
          <w:szCs w:val="24"/>
          <w:highlight w:val="none"/>
        </w:rPr>
        <w:t xml:space="preserve"> </w:t>
      </w:r>
      <w:r>
        <w:rPr>
          <w:rFonts w:ascii="宋体" w:hAnsi="宋体" w:eastAsia="宋体" w:cs="宋体"/>
          <w:color w:val="auto"/>
          <w:spacing w:val="4"/>
          <w:sz w:val="24"/>
          <w:szCs w:val="24"/>
          <w:highlight w:val="none"/>
        </w:rPr>
        <w:t>款规定的评分标准进行打分，并按得分由高</w:t>
      </w:r>
      <w:r>
        <w:rPr>
          <w:rFonts w:ascii="宋体" w:hAnsi="宋体" w:eastAsia="宋体" w:cs="宋体"/>
          <w:color w:val="auto"/>
          <w:spacing w:val="3"/>
          <w:sz w:val="24"/>
          <w:szCs w:val="24"/>
          <w:highlight w:val="none"/>
        </w:rPr>
        <w:t>到低顺序推荐中</w:t>
      </w:r>
      <w:r>
        <w:rPr>
          <w:rFonts w:ascii="宋体" w:hAnsi="宋体" w:eastAsia="宋体" w:cs="宋体"/>
          <w:color w:val="auto"/>
          <w:spacing w:val="5"/>
          <w:sz w:val="24"/>
          <w:szCs w:val="24"/>
          <w:highlight w:val="none"/>
        </w:rPr>
        <w:t>标候选人，但投标报价低于其成本的除外。综合评分相等时，评标委员会</w:t>
      </w:r>
      <w:r>
        <w:rPr>
          <w:rFonts w:ascii="宋体" w:hAnsi="宋体" w:eastAsia="宋体" w:cs="宋体"/>
          <w:color w:val="auto"/>
          <w:spacing w:val="4"/>
          <w:sz w:val="24"/>
          <w:szCs w:val="24"/>
          <w:highlight w:val="none"/>
        </w:rPr>
        <w:t>应按照评标</w:t>
      </w:r>
      <w:r>
        <w:rPr>
          <w:rFonts w:ascii="宋体" w:hAnsi="宋体" w:eastAsia="宋体" w:cs="宋体"/>
          <w:color w:val="auto"/>
          <w:spacing w:val="-1"/>
          <w:sz w:val="24"/>
          <w:szCs w:val="24"/>
          <w:highlight w:val="none"/>
        </w:rPr>
        <w:t>办法前附表规定的优先次序推荐中标候选人或确定中标人。</w:t>
      </w:r>
    </w:p>
    <w:p w14:paraId="06F2A8D0">
      <w:pPr>
        <w:spacing w:before="137" w:line="220" w:lineRule="auto"/>
        <w:ind w:left="26"/>
        <w:outlineLvl w:val="1"/>
        <w:rPr>
          <w:rFonts w:ascii="宋体" w:hAnsi="宋体" w:eastAsia="宋体" w:cs="宋体"/>
          <w:color w:val="auto"/>
          <w:sz w:val="24"/>
          <w:szCs w:val="24"/>
          <w:highlight w:val="none"/>
        </w:rPr>
      </w:pPr>
      <w:bookmarkStart w:id="252" w:name="_Toc27353"/>
      <w:bookmarkStart w:id="253" w:name="_Toc15048"/>
      <w:bookmarkStart w:id="254" w:name="_Toc27624"/>
      <w:r>
        <w:rPr>
          <w:rFonts w:ascii="宋体" w:hAnsi="宋体" w:eastAsia="宋体" w:cs="宋体"/>
          <w:b/>
          <w:bCs/>
          <w:color w:val="auto"/>
          <w:spacing w:val="-7"/>
          <w:sz w:val="24"/>
          <w:szCs w:val="24"/>
          <w:highlight w:val="none"/>
        </w:rPr>
        <w:t>1.2</w:t>
      </w:r>
      <w:r>
        <w:rPr>
          <w:rFonts w:ascii="宋体" w:hAnsi="宋体" w:eastAsia="宋体" w:cs="宋体"/>
          <w:color w:val="auto"/>
          <w:spacing w:val="-52"/>
          <w:sz w:val="24"/>
          <w:szCs w:val="24"/>
          <w:highlight w:val="none"/>
        </w:rPr>
        <w:t xml:space="preserve"> </w:t>
      </w:r>
      <w:r>
        <w:rPr>
          <w:rFonts w:ascii="宋体" w:hAnsi="宋体" w:eastAsia="宋体" w:cs="宋体"/>
          <w:b/>
          <w:bCs/>
          <w:color w:val="auto"/>
          <w:spacing w:val="-7"/>
          <w:sz w:val="24"/>
          <w:szCs w:val="24"/>
          <w:highlight w:val="none"/>
        </w:rPr>
        <w:t>评标组织</w:t>
      </w:r>
      <w:bookmarkEnd w:id="252"/>
      <w:bookmarkEnd w:id="253"/>
      <w:bookmarkEnd w:id="254"/>
    </w:p>
    <w:p w14:paraId="3773492C">
      <w:pPr>
        <w:spacing w:before="53" w:line="220" w:lineRule="auto"/>
        <w:ind w:left="506"/>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1.2.1</w:t>
      </w:r>
      <w:r>
        <w:rPr>
          <w:rFonts w:ascii="宋体" w:hAnsi="宋体" w:eastAsia="宋体" w:cs="宋体"/>
          <w:color w:val="auto"/>
          <w:spacing w:val="-49"/>
          <w:sz w:val="24"/>
          <w:szCs w:val="24"/>
          <w:highlight w:val="none"/>
        </w:rPr>
        <w:t xml:space="preserve"> </w:t>
      </w:r>
      <w:r>
        <w:rPr>
          <w:rFonts w:ascii="宋体" w:hAnsi="宋体" w:eastAsia="宋体" w:cs="宋体"/>
          <w:color w:val="auto"/>
          <w:spacing w:val="-4"/>
          <w:sz w:val="24"/>
          <w:szCs w:val="24"/>
          <w:highlight w:val="none"/>
        </w:rPr>
        <w:t>协助工作组</w:t>
      </w:r>
    </w:p>
    <w:p w14:paraId="67A04341">
      <w:pPr>
        <w:spacing w:before="181" w:line="359" w:lineRule="auto"/>
        <w:ind w:left="8" w:firstLine="480"/>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招标人可在评标工作开始前成立协助工作组，选派熟悉招标工作、政治素质高的人员组成，协助评标委员会工作。协助工作组人员的具体数量由招标人视评</w:t>
      </w:r>
      <w:r>
        <w:rPr>
          <w:rFonts w:ascii="宋体" w:hAnsi="宋体" w:eastAsia="宋体" w:cs="宋体"/>
          <w:color w:val="auto"/>
          <w:spacing w:val="4"/>
          <w:sz w:val="24"/>
          <w:szCs w:val="24"/>
          <w:highlight w:val="none"/>
        </w:rPr>
        <w:t>标工作量</w:t>
      </w:r>
      <w:r>
        <w:rPr>
          <w:rFonts w:ascii="宋体" w:hAnsi="宋体" w:eastAsia="宋体" w:cs="宋体"/>
          <w:color w:val="auto"/>
          <w:spacing w:val="-4"/>
          <w:sz w:val="24"/>
          <w:szCs w:val="24"/>
          <w:highlight w:val="none"/>
        </w:rPr>
        <w:t>确定。</w:t>
      </w:r>
    </w:p>
    <w:p w14:paraId="2D903F78">
      <w:pPr>
        <w:spacing w:before="1" w:line="218" w:lineRule="auto"/>
        <w:ind w:left="489"/>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招标人可以协助评标委员会开展下列工作并提供相关信息：</w:t>
      </w:r>
    </w:p>
    <w:p w14:paraId="0B34474C">
      <w:pPr>
        <w:spacing w:before="181" w:line="219" w:lineRule="auto"/>
        <w:ind w:left="499"/>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（1）根据招标文件，编制评标使用的相应表格；</w:t>
      </w:r>
    </w:p>
    <w:p w14:paraId="0494DF22">
      <w:pPr>
        <w:spacing w:before="183" w:line="218" w:lineRule="auto"/>
        <w:ind w:left="499"/>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（2）对投标报价进行算术性校核；</w:t>
      </w:r>
    </w:p>
    <w:p w14:paraId="2178ED2B">
      <w:pPr>
        <w:spacing w:before="182" w:line="290" w:lineRule="auto"/>
        <w:ind w:left="12" w:firstLine="487"/>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（3）以评标标准和方法为依据，列出投标文件相对于招标文件的所有偏差，并进</w:t>
      </w:r>
      <w:r>
        <w:rPr>
          <w:rFonts w:ascii="宋体" w:hAnsi="宋体" w:eastAsia="宋体" w:cs="宋体"/>
          <w:color w:val="auto"/>
          <w:spacing w:val="-3"/>
          <w:sz w:val="24"/>
          <w:szCs w:val="24"/>
          <w:highlight w:val="none"/>
        </w:rPr>
        <w:t>行归类汇总；</w:t>
      </w:r>
    </w:p>
    <w:p w14:paraId="522E3E47">
      <w:pPr>
        <w:spacing w:before="146" w:line="321" w:lineRule="auto"/>
        <w:ind w:left="10" w:firstLine="489"/>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（4）查询全国公路建设市场监督管理系统</w:t>
      </w:r>
      <w:r>
        <w:rPr>
          <w:color w:val="auto"/>
          <w:highlight w:val="none"/>
        </w:rPr>
        <w:fldChar w:fldCharType="begin"/>
      </w:r>
      <w:r>
        <w:rPr>
          <w:color w:val="auto"/>
          <w:highlight w:val="none"/>
        </w:rPr>
        <w:instrText xml:space="preserve"> HYPERLINK \l "bookmark136" </w:instrText>
      </w:r>
      <w:r>
        <w:rPr>
          <w:color w:val="auto"/>
          <w:highlight w:val="none"/>
        </w:rPr>
        <w:fldChar w:fldCharType="separate"/>
      </w:r>
      <w:r>
        <w:rPr>
          <w:rFonts w:ascii="宋体" w:hAnsi="宋体" w:eastAsia="宋体" w:cs="宋体"/>
          <w:color w:val="auto"/>
          <w:spacing w:val="2"/>
          <w:position w:val="12"/>
          <w:sz w:val="12"/>
          <w:szCs w:val="12"/>
          <w:highlight w:val="none"/>
        </w:rPr>
        <w:t>①</w:t>
      </w:r>
      <w:r>
        <w:rPr>
          <w:rFonts w:ascii="宋体" w:hAnsi="宋体" w:eastAsia="宋体" w:cs="宋体"/>
          <w:color w:val="auto"/>
          <w:spacing w:val="2"/>
          <w:position w:val="12"/>
          <w:sz w:val="12"/>
          <w:szCs w:val="12"/>
          <w:highlight w:val="none"/>
        </w:rPr>
        <w:fldChar w:fldCharType="end"/>
      </w:r>
      <w:r>
        <w:rPr>
          <w:rFonts w:ascii="宋体" w:hAnsi="宋体" w:eastAsia="宋体" w:cs="宋体"/>
          <w:color w:val="auto"/>
          <w:spacing w:val="-26"/>
          <w:position w:val="12"/>
          <w:sz w:val="12"/>
          <w:szCs w:val="12"/>
          <w:highlight w:val="none"/>
        </w:rPr>
        <w:t xml:space="preserve"> </w:t>
      </w:r>
      <w:r>
        <w:rPr>
          <w:rFonts w:ascii="宋体" w:hAnsi="宋体" w:eastAsia="宋体" w:cs="宋体"/>
          <w:color w:val="auto"/>
          <w:spacing w:val="2"/>
          <w:sz w:val="24"/>
          <w:szCs w:val="24"/>
          <w:highlight w:val="none"/>
        </w:rPr>
        <w:t>,</w:t>
      </w:r>
      <w:r>
        <w:rPr>
          <w:rFonts w:ascii="宋体" w:hAnsi="宋体" w:eastAsia="宋体" w:cs="宋体"/>
          <w:color w:val="auto"/>
          <w:spacing w:val="67"/>
          <w:sz w:val="24"/>
          <w:szCs w:val="24"/>
          <w:highlight w:val="none"/>
        </w:rPr>
        <w:t xml:space="preserve"> </w:t>
      </w:r>
      <w:r>
        <w:rPr>
          <w:rFonts w:ascii="宋体" w:hAnsi="宋体" w:eastAsia="宋体" w:cs="宋体"/>
          <w:color w:val="auto"/>
          <w:spacing w:val="2"/>
          <w:sz w:val="24"/>
          <w:szCs w:val="24"/>
          <w:highlight w:val="none"/>
        </w:rPr>
        <w:t>对投标人的资质、业绩、主</w:t>
      </w:r>
      <w:r>
        <w:rPr>
          <w:rFonts w:ascii="宋体" w:hAnsi="宋体" w:eastAsia="宋体" w:cs="宋体"/>
          <w:color w:val="auto"/>
          <w:spacing w:val="1"/>
          <w:sz w:val="24"/>
          <w:szCs w:val="24"/>
          <w:highlight w:val="none"/>
        </w:rPr>
        <w:t>要人员</w:t>
      </w:r>
      <w:r>
        <w:rPr>
          <w:rFonts w:ascii="宋体" w:hAnsi="宋体" w:eastAsia="宋体" w:cs="宋体"/>
          <w:color w:val="auto"/>
          <w:spacing w:val="5"/>
          <w:sz w:val="24"/>
          <w:szCs w:val="24"/>
          <w:highlight w:val="none"/>
        </w:rPr>
        <w:t>资历和目前在岗情况、信用等级进行核实（如有）。在投标截止当天查</w:t>
      </w:r>
      <w:r>
        <w:rPr>
          <w:rFonts w:ascii="宋体" w:hAnsi="宋体" w:eastAsia="宋体" w:cs="宋体"/>
          <w:color w:val="auto"/>
          <w:spacing w:val="4"/>
          <w:sz w:val="24"/>
          <w:szCs w:val="24"/>
          <w:highlight w:val="none"/>
        </w:rPr>
        <w:t>询投标人在信</w:t>
      </w:r>
      <w:r>
        <w:rPr>
          <w:rFonts w:ascii="宋体" w:hAnsi="宋体" w:eastAsia="宋体" w:cs="宋体"/>
          <w:color w:val="auto"/>
          <w:spacing w:val="-1"/>
          <w:sz w:val="24"/>
          <w:szCs w:val="24"/>
          <w:highlight w:val="none"/>
        </w:rPr>
        <w:t>用中国中的行政处罚公示信息，并提交评标委员会。</w:t>
      </w:r>
    </w:p>
    <w:p w14:paraId="553962C7">
      <w:pPr>
        <w:spacing w:before="184" w:line="359" w:lineRule="auto"/>
        <w:ind w:left="7" w:firstLine="481"/>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招标人不得对投标文件作出任何评价，不得故意遗漏或者片面摘录，不得在评标</w:t>
      </w:r>
      <w:r>
        <w:rPr>
          <w:rFonts w:ascii="宋体" w:hAnsi="宋体" w:eastAsia="宋体" w:cs="宋体"/>
          <w:color w:val="auto"/>
          <w:spacing w:val="-1"/>
          <w:sz w:val="24"/>
          <w:szCs w:val="24"/>
          <w:highlight w:val="none"/>
        </w:rPr>
        <w:t>委员会对所有偏差定性之前透露存有偏差的投标人名称。</w:t>
      </w:r>
    </w:p>
    <w:p w14:paraId="645F1342">
      <w:pPr>
        <w:spacing w:before="1" w:line="218" w:lineRule="auto"/>
        <w:ind w:left="506"/>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1.2.2</w:t>
      </w:r>
      <w:r>
        <w:rPr>
          <w:rFonts w:ascii="宋体" w:hAnsi="宋体" w:eastAsia="宋体" w:cs="宋体"/>
          <w:color w:val="auto"/>
          <w:spacing w:val="-49"/>
          <w:sz w:val="24"/>
          <w:szCs w:val="24"/>
          <w:highlight w:val="none"/>
        </w:rPr>
        <w:t xml:space="preserve"> </w:t>
      </w:r>
      <w:r>
        <w:rPr>
          <w:rFonts w:ascii="宋体" w:hAnsi="宋体" w:eastAsia="宋体" w:cs="宋体"/>
          <w:color w:val="auto"/>
          <w:spacing w:val="-4"/>
          <w:sz w:val="24"/>
          <w:szCs w:val="24"/>
          <w:highlight w:val="none"/>
        </w:rPr>
        <w:t>评标委员会</w:t>
      </w:r>
    </w:p>
    <w:p w14:paraId="4522066B">
      <w:pPr>
        <w:spacing w:before="184" w:line="359" w:lineRule="auto"/>
        <w:ind w:left="9" w:firstLine="478"/>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评标委员会由招标人按国家、广东省等的有关规定依法组建。评标委员人数参见</w:t>
      </w:r>
      <w:r>
        <w:rPr>
          <w:rFonts w:ascii="宋体" w:hAnsi="宋体" w:eastAsia="宋体" w:cs="宋体"/>
          <w:color w:val="auto"/>
          <w:sz w:val="24"/>
          <w:szCs w:val="24"/>
          <w:highlight w:val="none"/>
        </w:rPr>
        <w:t>本招标文件“投标人须知前附表第6.1.1</w:t>
      </w:r>
      <w:r>
        <w:rPr>
          <w:rFonts w:ascii="宋体" w:hAnsi="宋体" w:eastAsia="宋体" w:cs="宋体"/>
          <w:color w:val="auto"/>
          <w:spacing w:val="-44"/>
          <w:sz w:val="24"/>
          <w:szCs w:val="24"/>
          <w:highlight w:val="none"/>
        </w:rPr>
        <w:t xml:space="preserve"> </w:t>
      </w:r>
      <w:r>
        <w:rPr>
          <w:rFonts w:ascii="宋体" w:hAnsi="宋体" w:eastAsia="宋体" w:cs="宋体"/>
          <w:color w:val="auto"/>
          <w:sz w:val="24"/>
          <w:szCs w:val="24"/>
          <w:highlight w:val="none"/>
        </w:rPr>
        <w:t>款</w:t>
      </w:r>
      <w:r>
        <w:rPr>
          <w:rFonts w:ascii="宋体" w:hAnsi="宋体" w:eastAsia="宋体" w:cs="宋体"/>
          <w:color w:val="auto"/>
          <w:spacing w:val="-88"/>
          <w:sz w:val="24"/>
          <w:szCs w:val="24"/>
          <w:highlight w:val="none"/>
        </w:rPr>
        <w:t xml:space="preserve"> </w:t>
      </w:r>
      <w:r>
        <w:rPr>
          <w:rFonts w:ascii="宋体" w:hAnsi="宋体" w:eastAsia="宋体" w:cs="宋体"/>
          <w:color w:val="auto"/>
          <w:sz w:val="24"/>
          <w:szCs w:val="24"/>
          <w:highlight w:val="none"/>
        </w:rPr>
        <w:t>”。评标委员会的主要工作内容包括：</w:t>
      </w:r>
    </w:p>
    <w:p w14:paraId="52D069DC">
      <w:pPr>
        <w:spacing w:before="2" w:line="288" w:lineRule="auto"/>
        <w:ind w:left="9" w:firstLine="490"/>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（1）评标委员会开始评标工作之前，首先听取招标人、协助工作组关于工程情况</w:t>
      </w:r>
      <w:r>
        <w:rPr>
          <w:rFonts w:ascii="宋体" w:hAnsi="宋体" w:eastAsia="宋体" w:cs="宋体"/>
          <w:color w:val="auto"/>
          <w:sz w:val="24"/>
          <w:szCs w:val="24"/>
          <w:highlight w:val="none"/>
        </w:rPr>
        <w:t>和辅助工作的说明，并认真研读招标文件，获取评</w:t>
      </w:r>
      <w:r>
        <w:rPr>
          <w:rFonts w:ascii="宋体" w:hAnsi="宋体" w:eastAsia="宋体" w:cs="宋体"/>
          <w:color w:val="auto"/>
          <w:spacing w:val="-1"/>
          <w:sz w:val="24"/>
          <w:szCs w:val="24"/>
          <w:highlight w:val="none"/>
        </w:rPr>
        <w:t>标所需的重要信息和数据；</w:t>
      </w:r>
    </w:p>
    <w:p w14:paraId="58A35D9C">
      <w:pPr>
        <w:spacing w:before="182" w:line="219" w:lineRule="auto"/>
        <w:ind w:left="499"/>
        <w:rPr>
          <w:rFonts w:ascii="宋体" w:hAnsi="宋体" w:eastAsia="宋体" w:cs="宋体"/>
          <w:color w:val="auto"/>
          <w:sz w:val="24"/>
          <w:szCs w:val="24"/>
          <w:highlight w:val="none"/>
        </w:rPr>
      </w:pPr>
      <w:bookmarkStart w:id="255" w:name="bookmark136"/>
      <w:bookmarkEnd w:id="255"/>
      <w:r>
        <w:rPr>
          <w:rFonts w:ascii="宋体" w:hAnsi="宋体" w:eastAsia="宋体" w:cs="宋体"/>
          <w:color w:val="auto"/>
          <w:spacing w:val="-1"/>
          <w:sz w:val="24"/>
          <w:szCs w:val="24"/>
          <w:highlight w:val="none"/>
        </w:rPr>
        <w:t>（2）对协助工作组提供的评标工作用表和评标内容进行核查。</w:t>
      </w:r>
    </w:p>
    <w:p w14:paraId="4A91188A">
      <w:pPr>
        <w:spacing w:line="258" w:lineRule="auto"/>
        <w:rPr>
          <w:rFonts w:ascii="Arial"/>
          <w:color w:val="auto"/>
          <w:sz w:val="21"/>
          <w:highlight w:val="none"/>
        </w:rPr>
      </w:pPr>
    </w:p>
    <w:p w14:paraId="129F9E3F">
      <w:pPr>
        <w:spacing w:line="258" w:lineRule="auto"/>
        <w:rPr>
          <w:rFonts w:ascii="Arial"/>
          <w:color w:val="auto"/>
          <w:sz w:val="21"/>
          <w:highlight w:val="none"/>
        </w:rPr>
      </w:pPr>
      <w:r>
        <w:rPr>
          <w:color w:val="auto"/>
          <w:highlight w:val="none"/>
        </w:rPr>
        <w:pict>
          <v:shape id="_x0000_s1081" o:spid="_x0000_s1081" style="position:absolute;left:0pt;margin-left:0pt;margin-top:8.55pt;height:0pt;width:144pt;z-index:251694080;mso-width-relative:page;mso-height-relative:page;" filled="f" stroked="t" coordsize="2880,0" path="m0,0l2880,0e">
            <v:fill on="f" focussize="0,0"/>
            <v:stroke weight="0pt" color="#000000" miterlimit="0" joinstyle="bevel" endcap="square"/>
            <v:imagedata o:title=""/>
            <o:lock v:ext="edit"/>
          </v:shape>
        </w:pict>
      </w:r>
    </w:p>
    <w:p w14:paraId="18D9BECA">
      <w:pPr>
        <w:spacing w:before="59" w:line="220" w:lineRule="auto"/>
        <w:ind w:left="5"/>
        <w:rPr>
          <w:rFonts w:ascii="宋体" w:hAnsi="宋体" w:eastAsia="宋体" w:cs="宋体"/>
          <w:color w:val="auto"/>
          <w:sz w:val="18"/>
          <w:szCs w:val="18"/>
          <w:highlight w:val="none"/>
        </w:rPr>
      </w:pPr>
      <w:r>
        <w:rPr>
          <w:rFonts w:ascii="宋体" w:hAnsi="宋体" w:eastAsia="宋体" w:cs="宋体"/>
          <w:color w:val="auto"/>
          <w:sz w:val="18"/>
          <w:szCs w:val="18"/>
          <w:highlight w:val="none"/>
        </w:rPr>
        <w:t>① 不适用于全国公路建设市场监督管理系统截</w:t>
      </w:r>
      <w:r>
        <w:rPr>
          <w:rFonts w:ascii="宋体" w:hAnsi="宋体" w:eastAsia="宋体" w:cs="宋体"/>
          <w:color w:val="auto"/>
          <w:spacing w:val="-1"/>
          <w:sz w:val="18"/>
          <w:szCs w:val="18"/>
          <w:highlight w:val="none"/>
        </w:rPr>
        <w:t>图招标的情形。</w:t>
      </w:r>
    </w:p>
    <w:p w14:paraId="676E9AB5">
      <w:pPr>
        <w:spacing w:line="220" w:lineRule="auto"/>
        <w:rPr>
          <w:rFonts w:ascii="宋体" w:hAnsi="宋体" w:eastAsia="宋体" w:cs="宋体"/>
          <w:color w:val="auto"/>
          <w:sz w:val="18"/>
          <w:szCs w:val="18"/>
          <w:highlight w:val="none"/>
        </w:rPr>
        <w:sectPr>
          <w:footerReference r:id="rId49" w:type="default"/>
          <w:pgSz w:w="11906" w:h="16839"/>
          <w:pgMar w:top="1403" w:right="1417" w:bottom="1297" w:left="1417" w:header="0" w:footer="1066" w:gutter="0"/>
          <w:pgNumType w:fmt="decimal"/>
          <w:cols w:space="720" w:num="1"/>
        </w:sectPr>
      </w:pPr>
    </w:p>
    <w:p w14:paraId="073C351D">
      <w:pPr>
        <w:spacing w:before="48" w:line="219" w:lineRule="auto"/>
        <w:ind w:left="492"/>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（3）按照以下</w:t>
      </w:r>
      <w:r>
        <w:rPr>
          <w:rFonts w:ascii="宋体" w:hAnsi="宋体" w:eastAsia="宋体" w:cs="宋体"/>
          <w:color w:val="auto"/>
          <w:spacing w:val="-27"/>
          <w:sz w:val="24"/>
          <w:szCs w:val="24"/>
          <w:highlight w:val="none"/>
        </w:rPr>
        <w:t xml:space="preserve"> </w:t>
      </w:r>
      <w:r>
        <w:rPr>
          <w:rFonts w:ascii="宋体" w:hAnsi="宋体" w:eastAsia="宋体" w:cs="宋体"/>
          <w:color w:val="auto"/>
          <w:spacing w:val="-3"/>
          <w:sz w:val="24"/>
          <w:szCs w:val="24"/>
          <w:highlight w:val="none"/>
        </w:rPr>
        <w:t>1.3</w:t>
      </w:r>
      <w:r>
        <w:rPr>
          <w:rFonts w:ascii="宋体" w:hAnsi="宋体" w:eastAsia="宋体" w:cs="宋体"/>
          <w:color w:val="auto"/>
          <w:spacing w:val="-49"/>
          <w:sz w:val="24"/>
          <w:szCs w:val="24"/>
          <w:highlight w:val="none"/>
        </w:rPr>
        <w:t xml:space="preserve"> </w:t>
      </w:r>
      <w:r>
        <w:rPr>
          <w:rFonts w:ascii="宋体" w:hAnsi="宋体" w:eastAsia="宋体" w:cs="宋体"/>
          <w:color w:val="auto"/>
          <w:spacing w:val="-3"/>
          <w:sz w:val="24"/>
          <w:szCs w:val="24"/>
          <w:highlight w:val="none"/>
        </w:rPr>
        <w:t>款程序进行各项评审工作。</w:t>
      </w:r>
    </w:p>
    <w:p w14:paraId="33F4FD6D">
      <w:pPr>
        <w:spacing w:line="245" w:lineRule="auto"/>
        <w:rPr>
          <w:rFonts w:ascii="Arial"/>
          <w:color w:val="auto"/>
          <w:sz w:val="21"/>
          <w:highlight w:val="none"/>
        </w:rPr>
      </w:pPr>
    </w:p>
    <w:p w14:paraId="489EBB92">
      <w:pPr>
        <w:spacing w:before="78" w:line="220" w:lineRule="auto"/>
        <w:ind w:left="18"/>
        <w:outlineLvl w:val="1"/>
        <w:rPr>
          <w:rFonts w:ascii="宋体" w:hAnsi="宋体" w:eastAsia="宋体" w:cs="宋体"/>
          <w:color w:val="auto"/>
          <w:sz w:val="24"/>
          <w:szCs w:val="24"/>
          <w:highlight w:val="none"/>
        </w:rPr>
      </w:pPr>
      <w:bookmarkStart w:id="256" w:name="_Toc20558"/>
      <w:bookmarkStart w:id="257" w:name="_Toc30098"/>
      <w:bookmarkStart w:id="258" w:name="_Toc117"/>
      <w:r>
        <w:rPr>
          <w:rFonts w:ascii="宋体" w:hAnsi="宋体" w:eastAsia="宋体" w:cs="宋体"/>
          <w:b/>
          <w:bCs/>
          <w:color w:val="auto"/>
          <w:spacing w:val="-6"/>
          <w:sz w:val="24"/>
          <w:szCs w:val="24"/>
          <w:highlight w:val="none"/>
        </w:rPr>
        <w:t>1.3</w:t>
      </w:r>
      <w:r>
        <w:rPr>
          <w:rFonts w:ascii="宋体" w:hAnsi="宋体" w:eastAsia="宋体" w:cs="宋体"/>
          <w:color w:val="auto"/>
          <w:spacing w:val="-50"/>
          <w:sz w:val="24"/>
          <w:szCs w:val="24"/>
          <w:highlight w:val="none"/>
        </w:rPr>
        <w:t xml:space="preserve"> </w:t>
      </w:r>
      <w:r>
        <w:rPr>
          <w:rFonts w:ascii="宋体" w:hAnsi="宋体" w:eastAsia="宋体" w:cs="宋体"/>
          <w:b/>
          <w:bCs/>
          <w:color w:val="auto"/>
          <w:spacing w:val="-6"/>
          <w:sz w:val="24"/>
          <w:szCs w:val="24"/>
          <w:highlight w:val="none"/>
        </w:rPr>
        <w:t>评审工作程序</w:t>
      </w:r>
      <w:bookmarkEnd w:id="256"/>
      <w:bookmarkEnd w:id="257"/>
      <w:bookmarkEnd w:id="258"/>
    </w:p>
    <w:p w14:paraId="5CB9DD78">
      <w:pPr>
        <w:spacing w:before="50" w:line="219" w:lineRule="auto"/>
        <w:ind w:left="492"/>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（一）第一个信封（商务及技术文件</w:t>
      </w:r>
      <w:r>
        <w:rPr>
          <w:rFonts w:ascii="宋体" w:hAnsi="宋体" w:eastAsia="宋体" w:cs="宋体"/>
          <w:color w:val="auto"/>
          <w:spacing w:val="5"/>
          <w:sz w:val="24"/>
          <w:szCs w:val="24"/>
          <w:highlight w:val="none"/>
        </w:rPr>
        <w:t>）：</w:t>
      </w:r>
    </w:p>
    <w:p w14:paraId="7F1BB360">
      <w:pPr>
        <w:spacing w:before="183" w:line="219" w:lineRule="auto"/>
        <w:ind w:left="495"/>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l、初步评审：包括形式评审与响应性评审、资格评审；</w:t>
      </w:r>
    </w:p>
    <w:p w14:paraId="54E8E518">
      <w:pPr>
        <w:spacing w:before="182" w:line="312" w:lineRule="auto"/>
        <w:ind w:firstLine="483"/>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2、详细评审（评审打分</w:t>
      </w:r>
      <w:r>
        <w:rPr>
          <w:rFonts w:ascii="宋体" w:hAnsi="宋体" w:eastAsia="宋体" w:cs="宋体"/>
          <w:color w:val="auto"/>
          <w:spacing w:val="12"/>
          <w:sz w:val="24"/>
          <w:szCs w:val="24"/>
          <w:highlight w:val="none"/>
        </w:rPr>
        <w:t>）：</w:t>
      </w:r>
      <w:r>
        <w:rPr>
          <w:rFonts w:ascii="宋体" w:hAnsi="宋体" w:eastAsia="宋体" w:cs="宋体"/>
          <w:color w:val="auto"/>
          <w:spacing w:val="1"/>
          <w:sz w:val="24"/>
          <w:szCs w:val="24"/>
          <w:highlight w:val="none"/>
        </w:rPr>
        <w:t>评标委员会首先对通过初步评审的投标文件第一个信</w:t>
      </w:r>
      <w:r>
        <w:rPr>
          <w:rFonts w:ascii="宋体" w:hAnsi="宋体" w:eastAsia="宋体" w:cs="宋体"/>
          <w:color w:val="auto"/>
          <w:spacing w:val="5"/>
          <w:sz w:val="24"/>
          <w:szCs w:val="24"/>
          <w:highlight w:val="none"/>
        </w:rPr>
        <w:t>封（商务及技术文件）进行详细评审，对投标人的监理实施方案、主要人员、</w:t>
      </w:r>
      <w:r>
        <w:rPr>
          <w:rFonts w:ascii="宋体" w:hAnsi="宋体" w:eastAsia="宋体" w:cs="宋体"/>
          <w:color w:val="auto"/>
          <w:spacing w:val="4"/>
          <w:sz w:val="24"/>
          <w:szCs w:val="24"/>
          <w:highlight w:val="none"/>
        </w:rPr>
        <w:t>其他因</w:t>
      </w:r>
      <w:r>
        <w:rPr>
          <w:rFonts w:ascii="宋体" w:hAnsi="宋体" w:eastAsia="宋体" w:cs="宋体"/>
          <w:color w:val="auto"/>
          <w:spacing w:val="-1"/>
          <w:sz w:val="24"/>
          <w:szCs w:val="24"/>
          <w:highlight w:val="none"/>
        </w:rPr>
        <w:t>素等分别评审打分。</w:t>
      </w:r>
    </w:p>
    <w:p w14:paraId="0BAEE146">
      <w:pPr>
        <w:spacing w:before="182" w:line="218" w:lineRule="auto"/>
        <w:ind w:left="492"/>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（二）第二个信封（报价文件</w:t>
      </w:r>
      <w:r>
        <w:rPr>
          <w:rFonts w:ascii="宋体" w:hAnsi="宋体" w:eastAsia="宋体" w:cs="宋体"/>
          <w:color w:val="auto"/>
          <w:spacing w:val="2"/>
          <w:sz w:val="24"/>
          <w:szCs w:val="24"/>
          <w:highlight w:val="none"/>
        </w:rPr>
        <w:t>）：</w:t>
      </w:r>
    </w:p>
    <w:p w14:paraId="6F4F14E5">
      <w:pPr>
        <w:spacing w:before="182" w:line="219" w:lineRule="auto"/>
        <w:ind w:left="618"/>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1、初步评审：</w:t>
      </w:r>
    </w:p>
    <w:p w14:paraId="0F6E8835">
      <w:pPr>
        <w:spacing w:before="183" w:line="289" w:lineRule="auto"/>
        <w:ind w:left="2" w:firstLine="489"/>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（1）只有投标文件第一个信封通过详细评审的投标人才能继续参加第二信封报价</w:t>
      </w:r>
      <w:r>
        <w:rPr>
          <w:rFonts w:ascii="宋体" w:hAnsi="宋体" w:eastAsia="宋体" w:cs="宋体"/>
          <w:color w:val="auto"/>
          <w:spacing w:val="-1"/>
          <w:sz w:val="24"/>
          <w:szCs w:val="24"/>
          <w:highlight w:val="none"/>
        </w:rPr>
        <w:t>文件的形式评审与响应性评审；</w:t>
      </w:r>
    </w:p>
    <w:p w14:paraId="2E540877">
      <w:pPr>
        <w:spacing w:before="182" w:line="218" w:lineRule="auto"/>
        <w:ind w:left="492"/>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（2）报价算术性修正。</w:t>
      </w:r>
    </w:p>
    <w:p w14:paraId="39A99960">
      <w:pPr>
        <w:spacing w:before="183" w:line="218" w:lineRule="auto"/>
        <w:ind w:left="483"/>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2、详细评审：计算评标基准价、评标价得分及综合得分：</w:t>
      </w:r>
    </w:p>
    <w:p w14:paraId="13219F8A">
      <w:pPr>
        <w:spacing w:before="185" w:line="219" w:lineRule="auto"/>
        <w:ind w:left="492"/>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（三）投标文件相关信息的核查。</w:t>
      </w:r>
    </w:p>
    <w:p w14:paraId="117F202A">
      <w:pPr>
        <w:spacing w:before="183" w:line="219" w:lineRule="auto"/>
        <w:ind w:left="523"/>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(四)投标文件的澄清和说明(如有)。</w:t>
      </w:r>
    </w:p>
    <w:p w14:paraId="1AF95095">
      <w:pPr>
        <w:spacing w:before="180" w:line="218" w:lineRule="auto"/>
        <w:ind w:left="492"/>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（五）按评标办法规定推荐中标候选人，编写评标报告。</w:t>
      </w:r>
    </w:p>
    <w:p w14:paraId="52E85907">
      <w:pPr>
        <w:spacing w:before="190" w:line="221" w:lineRule="auto"/>
        <w:ind w:left="5"/>
        <w:outlineLvl w:val="0"/>
        <w:rPr>
          <w:rFonts w:ascii="宋体" w:hAnsi="宋体" w:eastAsia="宋体" w:cs="宋体"/>
          <w:color w:val="auto"/>
          <w:sz w:val="28"/>
          <w:szCs w:val="28"/>
          <w:highlight w:val="none"/>
        </w:rPr>
      </w:pPr>
      <w:bookmarkStart w:id="259" w:name="_Toc12356"/>
      <w:r>
        <w:rPr>
          <w:rFonts w:ascii="宋体" w:hAnsi="宋体" w:eastAsia="宋体" w:cs="宋体"/>
          <w:b/>
          <w:bCs/>
          <w:color w:val="auto"/>
          <w:spacing w:val="-4"/>
          <w:sz w:val="28"/>
          <w:szCs w:val="28"/>
          <w:highlight w:val="none"/>
        </w:rPr>
        <w:t>2.</w:t>
      </w:r>
      <w:r>
        <w:rPr>
          <w:rFonts w:ascii="宋体" w:hAnsi="宋体" w:eastAsia="宋体" w:cs="宋体"/>
          <w:color w:val="auto"/>
          <w:spacing w:val="-4"/>
          <w:sz w:val="28"/>
          <w:szCs w:val="28"/>
          <w:highlight w:val="none"/>
        </w:rPr>
        <w:t xml:space="preserve"> </w:t>
      </w:r>
      <w:r>
        <w:rPr>
          <w:rFonts w:ascii="宋体" w:hAnsi="宋体" w:eastAsia="宋体" w:cs="宋体"/>
          <w:b/>
          <w:bCs/>
          <w:color w:val="auto"/>
          <w:spacing w:val="-4"/>
          <w:sz w:val="28"/>
          <w:szCs w:val="28"/>
          <w:highlight w:val="none"/>
        </w:rPr>
        <w:t>评审标准</w:t>
      </w:r>
      <w:bookmarkEnd w:id="259"/>
    </w:p>
    <w:p w14:paraId="0521DBED">
      <w:pPr>
        <w:spacing w:line="266" w:lineRule="auto"/>
        <w:rPr>
          <w:rFonts w:ascii="Arial"/>
          <w:color w:val="auto"/>
          <w:sz w:val="21"/>
          <w:highlight w:val="none"/>
        </w:rPr>
      </w:pPr>
    </w:p>
    <w:p w14:paraId="2079D0B6">
      <w:pPr>
        <w:spacing w:before="79" w:line="219" w:lineRule="auto"/>
        <w:ind w:left="3"/>
        <w:outlineLvl w:val="1"/>
        <w:rPr>
          <w:rFonts w:ascii="宋体" w:hAnsi="宋体" w:eastAsia="宋体" w:cs="宋体"/>
          <w:color w:val="auto"/>
          <w:sz w:val="24"/>
          <w:szCs w:val="24"/>
          <w:highlight w:val="none"/>
        </w:rPr>
      </w:pPr>
      <w:bookmarkStart w:id="260" w:name="_Toc8597"/>
      <w:bookmarkStart w:id="261" w:name="_Toc15114"/>
      <w:bookmarkStart w:id="262" w:name="_Toc23149"/>
      <w:r>
        <w:rPr>
          <w:rFonts w:ascii="宋体" w:hAnsi="宋体" w:eastAsia="宋体" w:cs="宋体"/>
          <w:b/>
          <w:bCs/>
          <w:color w:val="auto"/>
          <w:spacing w:val="-3"/>
          <w:sz w:val="24"/>
          <w:szCs w:val="24"/>
          <w:highlight w:val="none"/>
        </w:rPr>
        <w:t>2.1</w:t>
      </w:r>
      <w:r>
        <w:rPr>
          <w:rFonts w:ascii="宋体" w:hAnsi="宋体" w:eastAsia="宋体" w:cs="宋体"/>
          <w:color w:val="auto"/>
          <w:spacing w:val="-3"/>
          <w:sz w:val="24"/>
          <w:szCs w:val="24"/>
          <w:highlight w:val="none"/>
        </w:rPr>
        <w:t xml:space="preserve"> </w:t>
      </w:r>
      <w:r>
        <w:rPr>
          <w:rFonts w:ascii="宋体" w:hAnsi="宋体" w:eastAsia="宋体" w:cs="宋体"/>
          <w:b/>
          <w:bCs/>
          <w:color w:val="auto"/>
          <w:spacing w:val="-3"/>
          <w:sz w:val="24"/>
          <w:szCs w:val="24"/>
          <w:highlight w:val="none"/>
        </w:rPr>
        <w:t>初步评审标准</w:t>
      </w:r>
      <w:bookmarkEnd w:id="260"/>
      <w:bookmarkEnd w:id="261"/>
      <w:bookmarkEnd w:id="262"/>
    </w:p>
    <w:p w14:paraId="1359F539">
      <w:pPr>
        <w:spacing w:before="51" w:line="219" w:lineRule="auto"/>
        <w:ind w:left="483"/>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2.1.1 形式评审标准：见评标办法前附表。</w:t>
      </w:r>
    </w:p>
    <w:p w14:paraId="0326F6BC">
      <w:pPr>
        <w:spacing w:before="183" w:line="219" w:lineRule="auto"/>
        <w:ind w:left="483"/>
        <w:rPr>
          <w:rFonts w:ascii="宋体" w:hAnsi="宋体" w:eastAsia="宋体" w:cs="宋体"/>
          <w:color w:val="auto"/>
          <w:sz w:val="24"/>
          <w:szCs w:val="24"/>
          <w:highlight w:val="none"/>
        </w:rPr>
      </w:pPr>
      <w:r>
        <w:rPr>
          <w:rFonts w:ascii="宋体" w:hAnsi="宋体" w:eastAsia="宋体" w:cs="宋体"/>
          <w:color w:val="auto"/>
          <w:sz w:val="24"/>
          <w:szCs w:val="24"/>
          <w:highlight w:val="none"/>
        </w:rPr>
        <w:t>2.1.2 资格评审标准：见评标办法前附表</w:t>
      </w:r>
      <w:r>
        <w:rPr>
          <w:rFonts w:ascii="宋体" w:hAnsi="宋体" w:eastAsia="宋体" w:cs="宋体"/>
          <w:color w:val="auto"/>
          <w:spacing w:val="-1"/>
          <w:sz w:val="24"/>
          <w:szCs w:val="24"/>
          <w:highlight w:val="none"/>
        </w:rPr>
        <w:t>（适用于未进行资格预审的）。</w:t>
      </w:r>
    </w:p>
    <w:p w14:paraId="6F44DBBC">
      <w:pPr>
        <w:spacing w:before="183" w:line="289" w:lineRule="auto"/>
        <w:ind w:left="12" w:firstLine="471"/>
        <w:rPr>
          <w:rFonts w:ascii="宋体" w:hAnsi="宋体" w:eastAsia="宋体" w:cs="宋体"/>
          <w:color w:val="auto"/>
          <w:sz w:val="24"/>
          <w:szCs w:val="24"/>
          <w:highlight w:val="none"/>
        </w:rPr>
      </w:pPr>
      <w:r>
        <w:rPr>
          <w:rFonts w:ascii="宋体" w:hAnsi="宋体" w:eastAsia="宋体" w:cs="宋体"/>
          <w:color w:val="auto"/>
          <w:spacing w:val="9"/>
          <w:sz w:val="24"/>
          <w:szCs w:val="24"/>
          <w:highlight w:val="none"/>
        </w:rPr>
        <w:t>2.1.2 资格评审标准：见资格预审文件第三章“</w:t>
      </w:r>
      <w:r>
        <w:rPr>
          <w:rFonts w:ascii="宋体" w:hAnsi="宋体" w:eastAsia="宋体" w:cs="宋体"/>
          <w:color w:val="auto"/>
          <w:spacing w:val="-81"/>
          <w:sz w:val="24"/>
          <w:szCs w:val="24"/>
          <w:highlight w:val="none"/>
        </w:rPr>
        <w:t xml:space="preserve"> </w:t>
      </w:r>
      <w:r>
        <w:rPr>
          <w:rFonts w:ascii="宋体" w:hAnsi="宋体" w:eastAsia="宋体" w:cs="宋体"/>
          <w:color w:val="auto"/>
          <w:spacing w:val="9"/>
          <w:sz w:val="24"/>
          <w:szCs w:val="24"/>
          <w:highlight w:val="none"/>
        </w:rPr>
        <w:t>资格审查办法</w:t>
      </w:r>
      <w:r>
        <w:rPr>
          <w:rFonts w:ascii="宋体" w:hAnsi="宋体" w:eastAsia="宋体" w:cs="宋体"/>
          <w:color w:val="auto"/>
          <w:spacing w:val="-74"/>
          <w:sz w:val="24"/>
          <w:szCs w:val="24"/>
          <w:highlight w:val="none"/>
        </w:rPr>
        <w:t xml:space="preserve"> </w:t>
      </w:r>
      <w:r>
        <w:rPr>
          <w:rFonts w:ascii="宋体" w:hAnsi="宋体" w:eastAsia="宋体" w:cs="宋体"/>
          <w:color w:val="auto"/>
          <w:spacing w:val="9"/>
          <w:sz w:val="24"/>
          <w:szCs w:val="24"/>
          <w:highlight w:val="none"/>
        </w:rPr>
        <w:t>”详细审查标准</w:t>
      </w:r>
      <w:r>
        <w:rPr>
          <w:rFonts w:ascii="宋体" w:hAnsi="宋体" w:eastAsia="宋体" w:cs="宋体"/>
          <w:color w:val="auto"/>
          <w:spacing w:val="-2"/>
          <w:sz w:val="24"/>
          <w:szCs w:val="24"/>
          <w:highlight w:val="none"/>
        </w:rPr>
        <w:t>（适用于已进行资格预审的）。</w:t>
      </w:r>
    </w:p>
    <w:p w14:paraId="2CEB241C">
      <w:pPr>
        <w:spacing w:before="182" w:line="219" w:lineRule="auto"/>
        <w:ind w:left="483"/>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2.1.3 响应性评审标准：见评标办法前附表。</w:t>
      </w:r>
    </w:p>
    <w:p w14:paraId="57D68EE9">
      <w:pPr>
        <w:spacing w:line="246" w:lineRule="auto"/>
        <w:rPr>
          <w:rFonts w:ascii="Arial"/>
          <w:color w:val="auto"/>
          <w:sz w:val="21"/>
          <w:highlight w:val="none"/>
        </w:rPr>
      </w:pPr>
    </w:p>
    <w:p w14:paraId="2BEE42E5">
      <w:pPr>
        <w:spacing w:before="79" w:line="219" w:lineRule="auto"/>
        <w:ind w:left="3"/>
        <w:outlineLvl w:val="1"/>
        <w:rPr>
          <w:rFonts w:ascii="宋体" w:hAnsi="宋体" w:eastAsia="宋体" w:cs="宋体"/>
          <w:color w:val="auto"/>
          <w:sz w:val="24"/>
          <w:szCs w:val="24"/>
          <w:highlight w:val="none"/>
        </w:rPr>
      </w:pPr>
      <w:bookmarkStart w:id="263" w:name="_Toc15076"/>
      <w:bookmarkStart w:id="264" w:name="_Toc16096"/>
      <w:bookmarkStart w:id="265" w:name="_Toc30904"/>
      <w:r>
        <w:rPr>
          <w:rFonts w:ascii="宋体" w:hAnsi="宋体" w:eastAsia="宋体" w:cs="宋体"/>
          <w:b/>
          <w:bCs/>
          <w:color w:val="auto"/>
          <w:spacing w:val="-3"/>
          <w:sz w:val="24"/>
          <w:szCs w:val="24"/>
          <w:highlight w:val="none"/>
        </w:rPr>
        <w:t>2.2</w:t>
      </w:r>
      <w:r>
        <w:rPr>
          <w:rFonts w:ascii="宋体" w:hAnsi="宋体" w:eastAsia="宋体" w:cs="宋体"/>
          <w:color w:val="auto"/>
          <w:spacing w:val="-3"/>
          <w:sz w:val="24"/>
          <w:szCs w:val="24"/>
          <w:highlight w:val="none"/>
        </w:rPr>
        <w:t xml:space="preserve"> </w:t>
      </w:r>
      <w:r>
        <w:rPr>
          <w:rFonts w:ascii="宋体" w:hAnsi="宋体" w:eastAsia="宋体" w:cs="宋体"/>
          <w:b/>
          <w:bCs/>
          <w:color w:val="auto"/>
          <w:spacing w:val="-3"/>
          <w:sz w:val="24"/>
          <w:szCs w:val="24"/>
          <w:highlight w:val="none"/>
        </w:rPr>
        <w:t>分值构成与评分标准</w:t>
      </w:r>
      <w:bookmarkEnd w:id="263"/>
      <w:bookmarkEnd w:id="264"/>
      <w:bookmarkEnd w:id="265"/>
    </w:p>
    <w:p w14:paraId="2FDA174C">
      <w:pPr>
        <w:spacing w:before="51" w:line="219" w:lineRule="auto"/>
        <w:ind w:left="483"/>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2.2.1 分值构成</w:t>
      </w:r>
    </w:p>
    <w:p w14:paraId="594DD847">
      <w:pPr>
        <w:spacing w:before="182" w:line="219" w:lineRule="auto"/>
        <w:ind w:left="492"/>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（1）技术建议书：见评标办法前附表；</w:t>
      </w:r>
    </w:p>
    <w:p w14:paraId="56CA0CE6">
      <w:pPr>
        <w:spacing w:before="181" w:line="219" w:lineRule="auto"/>
        <w:ind w:left="492"/>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（2）主要人员：见评标办法前附表；</w:t>
      </w:r>
    </w:p>
    <w:p w14:paraId="2BCEC6D1">
      <w:pPr>
        <w:spacing w:before="184" w:line="218" w:lineRule="auto"/>
        <w:ind w:left="492"/>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（3）评标价：见评标办法前附表；</w:t>
      </w:r>
    </w:p>
    <w:p w14:paraId="0D275284">
      <w:pPr>
        <w:spacing w:before="182" w:line="219" w:lineRule="auto"/>
        <w:ind w:left="492"/>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（4）其他评分因素：见评标办法前附表。</w:t>
      </w:r>
    </w:p>
    <w:p w14:paraId="5E68CA0B">
      <w:pPr>
        <w:spacing w:before="183" w:line="218" w:lineRule="auto"/>
        <w:ind w:left="483"/>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2.2.2 评标基准价计算</w:t>
      </w:r>
    </w:p>
    <w:p w14:paraId="70BFE928">
      <w:pPr>
        <w:spacing w:line="218" w:lineRule="auto"/>
        <w:rPr>
          <w:rFonts w:ascii="宋体" w:hAnsi="宋体" w:eastAsia="宋体" w:cs="宋体"/>
          <w:color w:val="auto"/>
          <w:sz w:val="24"/>
          <w:szCs w:val="24"/>
          <w:highlight w:val="none"/>
        </w:rPr>
        <w:sectPr>
          <w:footerReference r:id="rId50" w:type="default"/>
          <w:pgSz w:w="11906" w:h="16839"/>
          <w:pgMar w:top="1405" w:right="1418" w:bottom="1297" w:left="1424" w:header="0" w:footer="1066" w:gutter="0"/>
          <w:pgNumType w:fmt="decimal"/>
          <w:cols w:space="720" w:num="1"/>
        </w:sectPr>
      </w:pPr>
    </w:p>
    <w:p w14:paraId="74D169B5">
      <w:pPr>
        <w:spacing w:before="47" w:line="218" w:lineRule="auto"/>
        <w:ind w:left="490"/>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评标基准价计算方法：见评标办法前附表。</w:t>
      </w:r>
    </w:p>
    <w:p w14:paraId="625212AE">
      <w:pPr>
        <w:spacing w:before="182" w:line="218" w:lineRule="auto"/>
        <w:ind w:left="494"/>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2.2.3 评标价的偏差率计算</w:t>
      </w:r>
    </w:p>
    <w:p w14:paraId="594BD434">
      <w:pPr>
        <w:spacing w:before="184" w:line="218" w:lineRule="auto"/>
        <w:ind w:left="490"/>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评标价的偏差率计算公式：见评标办法前附表。</w:t>
      </w:r>
    </w:p>
    <w:p w14:paraId="7FBAAFEC">
      <w:pPr>
        <w:spacing w:before="182" w:line="220" w:lineRule="auto"/>
        <w:ind w:left="494"/>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2.2.4 评分标准</w:t>
      </w:r>
    </w:p>
    <w:p w14:paraId="5DECFAE4">
      <w:pPr>
        <w:spacing w:before="181" w:line="219" w:lineRule="auto"/>
        <w:ind w:left="503"/>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（1）技术建议书评分标准：见评标办法前附表；</w:t>
      </w:r>
    </w:p>
    <w:p w14:paraId="3B7566D2">
      <w:pPr>
        <w:spacing w:before="181" w:line="219" w:lineRule="auto"/>
        <w:ind w:left="503"/>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（2）主要人员评分标准：见评标办法前附表；</w:t>
      </w:r>
    </w:p>
    <w:p w14:paraId="349F5B18">
      <w:pPr>
        <w:spacing w:before="183" w:line="218" w:lineRule="auto"/>
        <w:ind w:left="503"/>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（3）评标价评分标准：见评标办法前附表；</w:t>
      </w:r>
    </w:p>
    <w:p w14:paraId="4464F16E">
      <w:pPr>
        <w:spacing w:before="182" w:line="219" w:lineRule="auto"/>
        <w:ind w:left="503"/>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（4）其他因素评分标准：见评标办法前附表。</w:t>
      </w:r>
    </w:p>
    <w:p w14:paraId="183EE706">
      <w:pPr>
        <w:spacing w:before="189" w:line="221" w:lineRule="auto"/>
        <w:ind w:left="19"/>
        <w:outlineLvl w:val="0"/>
        <w:rPr>
          <w:rFonts w:ascii="宋体" w:hAnsi="宋体" w:eastAsia="宋体" w:cs="宋体"/>
          <w:color w:val="auto"/>
          <w:sz w:val="28"/>
          <w:szCs w:val="28"/>
          <w:highlight w:val="none"/>
        </w:rPr>
      </w:pPr>
      <w:bookmarkStart w:id="266" w:name="_Toc29596"/>
      <w:r>
        <w:rPr>
          <w:rFonts w:ascii="宋体" w:hAnsi="宋体" w:eastAsia="宋体" w:cs="宋体"/>
          <w:b/>
          <w:bCs/>
          <w:color w:val="auto"/>
          <w:spacing w:val="-5"/>
          <w:sz w:val="28"/>
          <w:szCs w:val="28"/>
          <w:highlight w:val="none"/>
        </w:rPr>
        <w:t>3.</w:t>
      </w:r>
      <w:r>
        <w:rPr>
          <w:rFonts w:ascii="宋体" w:hAnsi="宋体" w:eastAsia="宋体" w:cs="宋体"/>
          <w:color w:val="auto"/>
          <w:spacing w:val="-5"/>
          <w:sz w:val="28"/>
          <w:szCs w:val="28"/>
          <w:highlight w:val="none"/>
        </w:rPr>
        <w:t xml:space="preserve"> </w:t>
      </w:r>
      <w:r>
        <w:rPr>
          <w:rFonts w:ascii="宋体" w:hAnsi="宋体" w:eastAsia="宋体" w:cs="宋体"/>
          <w:b/>
          <w:bCs/>
          <w:color w:val="auto"/>
          <w:spacing w:val="-5"/>
          <w:sz w:val="28"/>
          <w:szCs w:val="28"/>
          <w:highlight w:val="none"/>
        </w:rPr>
        <w:t>评标程序</w:t>
      </w:r>
      <w:bookmarkEnd w:id="266"/>
    </w:p>
    <w:p w14:paraId="26B2C838">
      <w:pPr>
        <w:spacing w:line="266" w:lineRule="auto"/>
        <w:rPr>
          <w:rFonts w:ascii="Arial"/>
          <w:color w:val="auto"/>
          <w:sz w:val="21"/>
          <w:highlight w:val="none"/>
        </w:rPr>
      </w:pPr>
    </w:p>
    <w:p w14:paraId="4771860B">
      <w:pPr>
        <w:spacing w:before="79" w:line="219" w:lineRule="auto"/>
        <w:ind w:left="16"/>
        <w:outlineLvl w:val="1"/>
        <w:rPr>
          <w:rFonts w:ascii="宋体" w:hAnsi="宋体" w:eastAsia="宋体" w:cs="宋体"/>
          <w:color w:val="auto"/>
          <w:sz w:val="24"/>
          <w:szCs w:val="24"/>
          <w:highlight w:val="none"/>
        </w:rPr>
      </w:pPr>
      <w:bookmarkStart w:id="267" w:name="_Toc5708"/>
      <w:bookmarkStart w:id="268" w:name="_Toc11992"/>
      <w:bookmarkStart w:id="269" w:name="_Toc20856"/>
      <w:r>
        <w:rPr>
          <w:rFonts w:ascii="宋体" w:hAnsi="宋体" w:eastAsia="宋体" w:cs="宋体"/>
          <w:b/>
          <w:bCs/>
          <w:color w:val="auto"/>
          <w:spacing w:val="-3"/>
          <w:sz w:val="24"/>
          <w:szCs w:val="24"/>
          <w:highlight w:val="none"/>
        </w:rPr>
        <w:t>3.1</w:t>
      </w:r>
      <w:r>
        <w:rPr>
          <w:rFonts w:ascii="宋体" w:hAnsi="宋体" w:eastAsia="宋体" w:cs="宋体"/>
          <w:color w:val="auto"/>
          <w:spacing w:val="-3"/>
          <w:sz w:val="24"/>
          <w:szCs w:val="24"/>
          <w:highlight w:val="none"/>
        </w:rPr>
        <w:t xml:space="preserve"> </w:t>
      </w:r>
      <w:r>
        <w:rPr>
          <w:rFonts w:ascii="宋体" w:hAnsi="宋体" w:eastAsia="宋体" w:cs="宋体"/>
          <w:b/>
          <w:bCs/>
          <w:color w:val="auto"/>
          <w:spacing w:val="-3"/>
          <w:sz w:val="24"/>
          <w:szCs w:val="24"/>
          <w:highlight w:val="none"/>
        </w:rPr>
        <w:t>第一个信封初步评审</w:t>
      </w:r>
      <w:bookmarkEnd w:id="267"/>
      <w:bookmarkEnd w:id="268"/>
      <w:bookmarkEnd w:id="269"/>
    </w:p>
    <w:p w14:paraId="38C252B4">
      <w:pPr>
        <w:spacing w:before="52" w:line="324" w:lineRule="auto"/>
        <w:ind w:left="12" w:right="2" w:firstLine="483"/>
        <w:rPr>
          <w:rFonts w:ascii="宋体" w:hAnsi="宋体" w:eastAsia="宋体" w:cs="宋体"/>
          <w:color w:val="auto"/>
          <w:sz w:val="24"/>
          <w:szCs w:val="24"/>
          <w:highlight w:val="none"/>
        </w:rPr>
      </w:pPr>
      <w:r>
        <w:rPr>
          <w:rFonts w:ascii="宋体" w:hAnsi="宋体" w:eastAsia="宋体" w:cs="宋体"/>
          <w:color w:val="auto"/>
          <w:spacing w:val="8"/>
          <w:sz w:val="24"/>
          <w:szCs w:val="24"/>
          <w:highlight w:val="none"/>
        </w:rPr>
        <w:t>3.1.1 评标委员会可以要求投标人提交第二章“投标人须知</w:t>
      </w:r>
      <w:r>
        <w:rPr>
          <w:rFonts w:ascii="宋体" w:hAnsi="宋体" w:eastAsia="宋体" w:cs="宋体"/>
          <w:color w:val="auto"/>
          <w:spacing w:val="-74"/>
          <w:sz w:val="24"/>
          <w:szCs w:val="24"/>
          <w:highlight w:val="none"/>
        </w:rPr>
        <w:t xml:space="preserve"> </w:t>
      </w:r>
      <w:r>
        <w:rPr>
          <w:rFonts w:ascii="宋体" w:hAnsi="宋体" w:eastAsia="宋体" w:cs="宋体"/>
          <w:color w:val="auto"/>
          <w:spacing w:val="8"/>
          <w:sz w:val="24"/>
          <w:szCs w:val="24"/>
          <w:highlight w:val="none"/>
        </w:rPr>
        <w:t>”第</w:t>
      </w:r>
      <w:r>
        <w:rPr>
          <w:rFonts w:ascii="宋体" w:hAnsi="宋体" w:eastAsia="宋体" w:cs="宋体"/>
          <w:color w:val="auto"/>
          <w:spacing w:val="-29"/>
          <w:sz w:val="24"/>
          <w:szCs w:val="24"/>
          <w:highlight w:val="none"/>
        </w:rPr>
        <w:t xml:space="preserve"> </w:t>
      </w:r>
      <w:r>
        <w:rPr>
          <w:rFonts w:ascii="宋体" w:hAnsi="宋体" w:eastAsia="宋体" w:cs="宋体"/>
          <w:color w:val="auto"/>
          <w:spacing w:val="8"/>
          <w:sz w:val="24"/>
          <w:szCs w:val="24"/>
          <w:highlight w:val="none"/>
        </w:rPr>
        <w:t>3.5.1</w:t>
      </w:r>
      <w:r>
        <w:rPr>
          <w:rFonts w:ascii="宋体" w:hAnsi="宋体" w:eastAsia="宋体" w:cs="宋体"/>
          <w:color w:val="auto"/>
          <w:spacing w:val="-33"/>
          <w:sz w:val="24"/>
          <w:szCs w:val="24"/>
          <w:highlight w:val="none"/>
        </w:rPr>
        <w:t xml:space="preserve"> </w:t>
      </w:r>
      <w:r>
        <w:rPr>
          <w:rFonts w:ascii="宋体" w:hAnsi="宋体" w:eastAsia="宋体" w:cs="宋体"/>
          <w:color w:val="auto"/>
          <w:spacing w:val="8"/>
          <w:sz w:val="24"/>
          <w:szCs w:val="24"/>
          <w:highlight w:val="none"/>
        </w:rPr>
        <w:t>项至第</w:t>
      </w:r>
      <w:r>
        <w:rPr>
          <w:rFonts w:ascii="宋体" w:hAnsi="宋体" w:eastAsia="宋体" w:cs="宋体"/>
          <w:color w:val="auto"/>
          <w:spacing w:val="-1"/>
          <w:sz w:val="24"/>
          <w:szCs w:val="24"/>
          <w:highlight w:val="none"/>
        </w:rPr>
        <w:t>3.5.5</w:t>
      </w:r>
      <w:r>
        <w:rPr>
          <w:rFonts w:ascii="宋体" w:hAnsi="宋体" w:eastAsia="宋体" w:cs="宋体"/>
          <w:color w:val="auto"/>
          <w:spacing w:val="-44"/>
          <w:sz w:val="24"/>
          <w:szCs w:val="24"/>
          <w:highlight w:val="none"/>
        </w:rPr>
        <w:t xml:space="preserve"> </w:t>
      </w:r>
      <w:r>
        <w:rPr>
          <w:rFonts w:ascii="宋体" w:hAnsi="宋体" w:eastAsia="宋体" w:cs="宋体"/>
          <w:color w:val="auto"/>
          <w:spacing w:val="-1"/>
          <w:sz w:val="24"/>
          <w:szCs w:val="24"/>
          <w:highlight w:val="none"/>
        </w:rPr>
        <w:t>项规定的有关证明和证件的原件，以便核验。评标委员会依据本章第</w:t>
      </w:r>
      <w:r>
        <w:rPr>
          <w:rFonts w:ascii="宋体" w:hAnsi="宋体" w:eastAsia="宋体" w:cs="宋体"/>
          <w:color w:val="auto"/>
          <w:spacing w:val="-45"/>
          <w:sz w:val="24"/>
          <w:szCs w:val="24"/>
          <w:highlight w:val="none"/>
        </w:rPr>
        <w:t xml:space="preserve"> </w:t>
      </w:r>
      <w:r>
        <w:rPr>
          <w:rFonts w:ascii="宋体" w:hAnsi="宋体" w:eastAsia="宋体" w:cs="宋体"/>
          <w:color w:val="auto"/>
          <w:spacing w:val="-1"/>
          <w:sz w:val="24"/>
          <w:szCs w:val="24"/>
          <w:highlight w:val="none"/>
        </w:rPr>
        <w:t>2.1</w:t>
      </w:r>
      <w:r>
        <w:rPr>
          <w:rFonts w:ascii="宋体" w:hAnsi="宋体" w:eastAsia="宋体" w:cs="宋体"/>
          <w:color w:val="auto"/>
          <w:spacing w:val="-50"/>
          <w:sz w:val="24"/>
          <w:szCs w:val="24"/>
          <w:highlight w:val="none"/>
        </w:rPr>
        <w:t xml:space="preserve"> </w:t>
      </w:r>
      <w:r>
        <w:rPr>
          <w:rFonts w:ascii="宋体" w:hAnsi="宋体" w:eastAsia="宋体" w:cs="宋体"/>
          <w:color w:val="auto"/>
          <w:spacing w:val="-1"/>
          <w:sz w:val="24"/>
          <w:szCs w:val="24"/>
          <w:highlight w:val="none"/>
        </w:rPr>
        <w:t>款规定</w:t>
      </w:r>
      <w:r>
        <w:rPr>
          <w:rFonts w:ascii="宋体" w:hAnsi="宋体" w:eastAsia="宋体" w:cs="宋体"/>
          <w:color w:val="auto"/>
          <w:spacing w:val="5"/>
          <w:sz w:val="24"/>
          <w:szCs w:val="24"/>
          <w:highlight w:val="none"/>
        </w:rPr>
        <w:t>的标准对投标文件第一个信封（商务及技术文件）进行初步评审。有一项</w:t>
      </w:r>
      <w:r>
        <w:rPr>
          <w:rFonts w:ascii="宋体" w:hAnsi="宋体" w:eastAsia="宋体" w:cs="宋体"/>
          <w:color w:val="auto"/>
          <w:spacing w:val="4"/>
          <w:sz w:val="24"/>
          <w:szCs w:val="24"/>
          <w:highlight w:val="none"/>
        </w:rPr>
        <w:t>不符合评审</w:t>
      </w:r>
      <w:r>
        <w:rPr>
          <w:rFonts w:ascii="宋体" w:hAnsi="宋体" w:eastAsia="宋体" w:cs="宋体"/>
          <w:color w:val="auto"/>
          <w:spacing w:val="-1"/>
          <w:sz w:val="24"/>
          <w:szCs w:val="24"/>
          <w:highlight w:val="none"/>
        </w:rPr>
        <w:t>标准的，评标委员会应否决其投标。（适用于未进行资格预审的）</w:t>
      </w:r>
    </w:p>
    <w:p w14:paraId="19E99EAF">
      <w:pPr>
        <w:spacing w:before="182" w:line="324" w:lineRule="auto"/>
        <w:ind w:left="10" w:right="2" w:firstLine="485"/>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3.1.1 评标委员会依据本章第</w:t>
      </w:r>
      <w:r>
        <w:rPr>
          <w:rFonts w:ascii="宋体" w:hAnsi="宋体" w:eastAsia="宋体" w:cs="宋体"/>
          <w:color w:val="auto"/>
          <w:spacing w:val="-26"/>
          <w:sz w:val="24"/>
          <w:szCs w:val="24"/>
          <w:highlight w:val="none"/>
        </w:rPr>
        <w:t xml:space="preserve"> </w:t>
      </w:r>
      <w:r>
        <w:rPr>
          <w:rFonts w:ascii="宋体" w:hAnsi="宋体" w:eastAsia="宋体" w:cs="宋体"/>
          <w:color w:val="auto"/>
          <w:spacing w:val="2"/>
          <w:sz w:val="24"/>
          <w:szCs w:val="24"/>
          <w:highlight w:val="none"/>
        </w:rPr>
        <w:t>2.1.1</w:t>
      </w:r>
      <w:r>
        <w:rPr>
          <w:rFonts w:ascii="宋体" w:hAnsi="宋体" w:eastAsia="宋体" w:cs="宋体"/>
          <w:color w:val="auto"/>
          <w:spacing w:val="-39"/>
          <w:sz w:val="24"/>
          <w:szCs w:val="24"/>
          <w:highlight w:val="none"/>
        </w:rPr>
        <w:t xml:space="preserve"> </w:t>
      </w:r>
      <w:r>
        <w:rPr>
          <w:rFonts w:ascii="宋体" w:hAnsi="宋体" w:eastAsia="宋体" w:cs="宋体"/>
          <w:color w:val="auto"/>
          <w:spacing w:val="2"/>
          <w:sz w:val="24"/>
          <w:szCs w:val="24"/>
          <w:highlight w:val="none"/>
        </w:rPr>
        <w:t>项、第</w:t>
      </w:r>
      <w:r>
        <w:rPr>
          <w:rFonts w:ascii="宋体" w:hAnsi="宋体" w:eastAsia="宋体" w:cs="宋体"/>
          <w:color w:val="auto"/>
          <w:spacing w:val="-43"/>
          <w:sz w:val="24"/>
          <w:szCs w:val="24"/>
          <w:highlight w:val="none"/>
        </w:rPr>
        <w:t xml:space="preserve"> </w:t>
      </w:r>
      <w:r>
        <w:rPr>
          <w:rFonts w:ascii="宋体" w:hAnsi="宋体" w:eastAsia="宋体" w:cs="宋体"/>
          <w:color w:val="auto"/>
          <w:spacing w:val="2"/>
          <w:sz w:val="24"/>
          <w:szCs w:val="24"/>
          <w:highlight w:val="none"/>
        </w:rPr>
        <w:t>2.1.3</w:t>
      </w:r>
      <w:r>
        <w:rPr>
          <w:rFonts w:ascii="宋体" w:hAnsi="宋体" w:eastAsia="宋体" w:cs="宋体"/>
          <w:color w:val="auto"/>
          <w:spacing w:val="-40"/>
          <w:sz w:val="24"/>
          <w:szCs w:val="24"/>
          <w:highlight w:val="none"/>
        </w:rPr>
        <w:t xml:space="preserve"> </w:t>
      </w:r>
      <w:r>
        <w:rPr>
          <w:rFonts w:ascii="宋体" w:hAnsi="宋体" w:eastAsia="宋体" w:cs="宋体"/>
          <w:color w:val="auto"/>
          <w:spacing w:val="2"/>
          <w:sz w:val="24"/>
          <w:szCs w:val="24"/>
          <w:highlight w:val="none"/>
        </w:rPr>
        <w:t>项规定的评审标准对投标文件</w:t>
      </w:r>
      <w:r>
        <w:rPr>
          <w:rFonts w:ascii="宋体" w:hAnsi="宋体" w:eastAsia="宋体" w:cs="宋体"/>
          <w:color w:val="auto"/>
          <w:spacing w:val="5"/>
          <w:sz w:val="24"/>
          <w:szCs w:val="24"/>
          <w:highlight w:val="none"/>
        </w:rPr>
        <w:t>第一个信封（商务及技术文件）进行初步评审。有一项不符合评审标准的，评</w:t>
      </w:r>
      <w:r>
        <w:rPr>
          <w:rFonts w:ascii="宋体" w:hAnsi="宋体" w:eastAsia="宋体" w:cs="宋体"/>
          <w:color w:val="auto"/>
          <w:spacing w:val="4"/>
          <w:sz w:val="24"/>
          <w:szCs w:val="24"/>
          <w:highlight w:val="none"/>
        </w:rPr>
        <w:t>标委员</w:t>
      </w:r>
      <w:r>
        <w:rPr>
          <w:rFonts w:ascii="宋体" w:hAnsi="宋体" w:eastAsia="宋体" w:cs="宋体"/>
          <w:color w:val="auto"/>
          <w:spacing w:val="5"/>
          <w:sz w:val="24"/>
          <w:szCs w:val="24"/>
          <w:highlight w:val="none"/>
        </w:rPr>
        <w:t>会应否决其投标。当投标人资格预审申请文件的内容发生重大变化时，评标委</w:t>
      </w:r>
      <w:r>
        <w:rPr>
          <w:rFonts w:ascii="宋体" w:hAnsi="宋体" w:eastAsia="宋体" w:cs="宋体"/>
          <w:color w:val="auto"/>
          <w:spacing w:val="4"/>
          <w:sz w:val="24"/>
          <w:szCs w:val="24"/>
          <w:highlight w:val="none"/>
        </w:rPr>
        <w:t>员会依</w:t>
      </w:r>
      <w:r>
        <w:rPr>
          <w:rFonts w:ascii="宋体" w:hAnsi="宋体" w:eastAsia="宋体" w:cs="宋体"/>
          <w:color w:val="auto"/>
          <w:spacing w:val="-1"/>
          <w:sz w:val="24"/>
          <w:szCs w:val="24"/>
          <w:highlight w:val="none"/>
        </w:rPr>
        <w:t>据本章第</w:t>
      </w:r>
      <w:r>
        <w:rPr>
          <w:rFonts w:ascii="宋体" w:hAnsi="宋体" w:eastAsia="宋体" w:cs="宋体"/>
          <w:color w:val="auto"/>
          <w:spacing w:val="-44"/>
          <w:sz w:val="24"/>
          <w:szCs w:val="24"/>
          <w:highlight w:val="none"/>
        </w:rPr>
        <w:t xml:space="preserve"> </w:t>
      </w:r>
      <w:r>
        <w:rPr>
          <w:rFonts w:ascii="宋体" w:hAnsi="宋体" w:eastAsia="宋体" w:cs="宋体"/>
          <w:color w:val="auto"/>
          <w:spacing w:val="-1"/>
          <w:sz w:val="24"/>
          <w:szCs w:val="24"/>
          <w:highlight w:val="none"/>
        </w:rPr>
        <w:t>2.1.2</w:t>
      </w:r>
      <w:r>
        <w:rPr>
          <w:rFonts w:ascii="宋体" w:hAnsi="宋体" w:eastAsia="宋体" w:cs="宋体"/>
          <w:color w:val="auto"/>
          <w:spacing w:val="-47"/>
          <w:sz w:val="24"/>
          <w:szCs w:val="24"/>
          <w:highlight w:val="none"/>
        </w:rPr>
        <w:t xml:space="preserve"> </w:t>
      </w:r>
      <w:r>
        <w:rPr>
          <w:rFonts w:ascii="宋体" w:hAnsi="宋体" w:eastAsia="宋体" w:cs="宋体"/>
          <w:color w:val="auto"/>
          <w:spacing w:val="-1"/>
          <w:sz w:val="24"/>
          <w:szCs w:val="24"/>
          <w:highlight w:val="none"/>
        </w:rPr>
        <w:t>项规定的标准对其更新资料进行评审。（适用于已进行资格预审的）</w:t>
      </w:r>
    </w:p>
    <w:p w14:paraId="1B05F55D">
      <w:pPr>
        <w:spacing w:line="248" w:lineRule="auto"/>
        <w:rPr>
          <w:rFonts w:ascii="Arial"/>
          <w:color w:val="auto"/>
          <w:sz w:val="21"/>
          <w:highlight w:val="none"/>
        </w:rPr>
      </w:pPr>
    </w:p>
    <w:p w14:paraId="2D43D1BB">
      <w:pPr>
        <w:spacing w:before="79" w:line="219" w:lineRule="auto"/>
        <w:ind w:left="16"/>
        <w:outlineLvl w:val="1"/>
        <w:rPr>
          <w:rFonts w:ascii="宋体" w:hAnsi="宋体" w:eastAsia="宋体" w:cs="宋体"/>
          <w:color w:val="auto"/>
          <w:sz w:val="24"/>
          <w:szCs w:val="24"/>
          <w:highlight w:val="none"/>
        </w:rPr>
      </w:pPr>
      <w:bookmarkStart w:id="270" w:name="_Toc12167"/>
      <w:bookmarkStart w:id="271" w:name="_Toc15799"/>
      <w:bookmarkStart w:id="272" w:name="_Toc30242"/>
      <w:r>
        <w:rPr>
          <w:rFonts w:ascii="宋体" w:hAnsi="宋体" w:eastAsia="宋体" w:cs="宋体"/>
          <w:b/>
          <w:bCs/>
          <w:color w:val="auto"/>
          <w:spacing w:val="-3"/>
          <w:sz w:val="24"/>
          <w:szCs w:val="24"/>
          <w:highlight w:val="none"/>
        </w:rPr>
        <w:t>3.2</w:t>
      </w:r>
      <w:r>
        <w:rPr>
          <w:rFonts w:ascii="宋体" w:hAnsi="宋体" w:eastAsia="宋体" w:cs="宋体"/>
          <w:color w:val="auto"/>
          <w:spacing w:val="-3"/>
          <w:sz w:val="24"/>
          <w:szCs w:val="24"/>
          <w:highlight w:val="none"/>
        </w:rPr>
        <w:t xml:space="preserve"> </w:t>
      </w:r>
      <w:r>
        <w:rPr>
          <w:rFonts w:ascii="宋体" w:hAnsi="宋体" w:eastAsia="宋体" w:cs="宋体"/>
          <w:b/>
          <w:bCs/>
          <w:color w:val="auto"/>
          <w:spacing w:val="-3"/>
          <w:sz w:val="24"/>
          <w:szCs w:val="24"/>
          <w:highlight w:val="none"/>
        </w:rPr>
        <w:t>第一个信封详细评审</w:t>
      </w:r>
      <w:bookmarkEnd w:id="270"/>
      <w:bookmarkEnd w:id="271"/>
      <w:bookmarkEnd w:id="272"/>
    </w:p>
    <w:p w14:paraId="7553C021">
      <w:pPr>
        <w:spacing w:before="51" w:line="359" w:lineRule="auto"/>
        <w:ind w:left="14" w:firstLine="481"/>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3.2.1 评标委员会按本章第</w:t>
      </w:r>
      <w:r>
        <w:rPr>
          <w:rFonts w:ascii="宋体" w:hAnsi="宋体" w:eastAsia="宋体" w:cs="宋体"/>
          <w:color w:val="auto"/>
          <w:spacing w:val="-43"/>
          <w:sz w:val="24"/>
          <w:szCs w:val="24"/>
          <w:highlight w:val="none"/>
        </w:rPr>
        <w:t xml:space="preserve"> </w:t>
      </w:r>
      <w:r>
        <w:rPr>
          <w:rFonts w:ascii="宋体" w:hAnsi="宋体" w:eastAsia="宋体" w:cs="宋体"/>
          <w:color w:val="auto"/>
          <w:spacing w:val="4"/>
          <w:sz w:val="24"/>
          <w:szCs w:val="24"/>
          <w:highlight w:val="none"/>
        </w:rPr>
        <w:t>2.2</w:t>
      </w:r>
      <w:r>
        <w:rPr>
          <w:rFonts w:ascii="宋体" w:hAnsi="宋体" w:eastAsia="宋体" w:cs="宋体"/>
          <w:color w:val="auto"/>
          <w:spacing w:val="-42"/>
          <w:sz w:val="24"/>
          <w:szCs w:val="24"/>
          <w:highlight w:val="none"/>
        </w:rPr>
        <w:t xml:space="preserve"> </w:t>
      </w:r>
      <w:r>
        <w:rPr>
          <w:rFonts w:ascii="宋体" w:hAnsi="宋体" w:eastAsia="宋体" w:cs="宋体"/>
          <w:color w:val="auto"/>
          <w:spacing w:val="4"/>
          <w:sz w:val="24"/>
          <w:szCs w:val="24"/>
          <w:highlight w:val="none"/>
        </w:rPr>
        <w:t>款规定的量化因素和</w:t>
      </w:r>
      <w:r>
        <w:rPr>
          <w:rFonts w:ascii="宋体" w:hAnsi="宋体" w:eastAsia="宋体" w:cs="宋体"/>
          <w:color w:val="auto"/>
          <w:spacing w:val="3"/>
          <w:sz w:val="24"/>
          <w:szCs w:val="24"/>
          <w:highlight w:val="none"/>
        </w:rPr>
        <w:t>分值进行打分，并计算出各</w:t>
      </w:r>
      <w:r>
        <w:rPr>
          <w:rFonts w:ascii="宋体" w:hAnsi="宋体" w:eastAsia="宋体" w:cs="宋体"/>
          <w:color w:val="auto"/>
          <w:spacing w:val="-2"/>
          <w:sz w:val="24"/>
          <w:szCs w:val="24"/>
          <w:highlight w:val="none"/>
        </w:rPr>
        <w:t>投标人的商务和技术得分。</w:t>
      </w:r>
    </w:p>
    <w:p w14:paraId="69BE520B">
      <w:pPr>
        <w:spacing w:before="2" w:line="289" w:lineRule="auto"/>
        <w:ind w:left="12" w:right="2" w:firstLine="490"/>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（1）按本章第</w:t>
      </w:r>
      <w:r>
        <w:rPr>
          <w:rFonts w:ascii="宋体" w:hAnsi="宋体" w:eastAsia="宋体" w:cs="宋体"/>
          <w:color w:val="auto"/>
          <w:spacing w:val="-43"/>
          <w:sz w:val="24"/>
          <w:szCs w:val="24"/>
          <w:highlight w:val="none"/>
        </w:rPr>
        <w:t xml:space="preserve"> </w:t>
      </w:r>
      <w:r>
        <w:rPr>
          <w:rFonts w:ascii="宋体" w:hAnsi="宋体" w:eastAsia="宋体" w:cs="宋体"/>
          <w:color w:val="auto"/>
          <w:spacing w:val="2"/>
          <w:sz w:val="24"/>
          <w:szCs w:val="24"/>
          <w:highlight w:val="none"/>
        </w:rPr>
        <w:t>2.2.4</w:t>
      </w:r>
      <w:r>
        <w:rPr>
          <w:rFonts w:ascii="宋体" w:hAnsi="宋体" w:eastAsia="宋体" w:cs="宋体"/>
          <w:color w:val="auto"/>
          <w:spacing w:val="-39"/>
          <w:sz w:val="24"/>
          <w:szCs w:val="24"/>
          <w:highlight w:val="none"/>
        </w:rPr>
        <w:t xml:space="preserve"> </w:t>
      </w:r>
      <w:r>
        <w:rPr>
          <w:rFonts w:ascii="宋体" w:hAnsi="宋体" w:eastAsia="宋体" w:cs="宋体"/>
          <w:color w:val="auto"/>
          <w:spacing w:val="2"/>
          <w:sz w:val="24"/>
          <w:szCs w:val="24"/>
          <w:highlight w:val="none"/>
        </w:rPr>
        <w:t>项（1）</w:t>
      </w:r>
      <w:r>
        <w:rPr>
          <w:rFonts w:ascii="宋体" w:hAnsi="宋体" w:eastAsia="宋体" w:cs="宋体"/>
          <w:color w:val="auto"/>
          <w:spacing w:val="-55"/>
          <w:sz w:val="24"/>
          <w:szCs w:val="24"/>
          <w:highlight w:val="none"/>
        </w:rPr>
        <w:t xml:space="preserve"> </w:t>
      </w:r>
      <w:r>
        <w:rPr>
          <w:rFonts w:ascii="宋体" w:hAnsi="宋体" w:eastAsia="宋体" w:cs="宋体"/>
          <w:color w:val="auto"/>
          <w:spacing w:val="2"/>
          <w:sz w:val="24"/>
          <w:szCs w:val="24"/>
          <w:highlight w:val="none"/>
        </w:rPr>
        <w:t>目规定的评审因素和分值对技</w:t>
      </w:r>
      <w:r>
        <w:rPr>
          <w:rFonts w:ascii="宋体" w:hAnsi="宋体" w:eastAsia="宋体" w:cs="宋体"/>
          <w:color w:val="auto"/>
          <w:spacing w:val="1"/>
          <w:sz w:val="24"/>
          <w:szCs w:val="24"/>
          <w:highlight w:val="none"/>
        </w:rPr>
        <w:t>术建议书部分计算出</w:t>
      </w:r>
      <w:r>
        <w:rPr>
          <w:rFonts w:ascii="宋体" w:hAnsi="宋体" w:eastAsia="宋体" w:cs="宋体"/>
          <w:color w:val="auto"/>
          <w:spacing w:val="-4"/>
          <w:sz w:val="24"/>
          <w:szCs w:val="24"/>
          <w:highlight w:val="none"/>
        </w:rPr>
        <w:t>得分</w:t>
      </w:r>
      <w:r>
        <w:rPr>
          <w:rFonts w:ascii="宋体" w:hAnsi="宋体" w:eastAsia="宋体" w:cs="宋体"/>
          <w:color w:val="auto"/>
          <w:spacing w:val="-56"/>
          <w:sz w:val="24"/>
          <w:szCs w:val="24"/>
          <w:highlight w:val="none"/>
        </w:rPr>
        <w:t xml:space="preserve"> </w:t>
      </w:r>
      <w:r>
        <w:rPr>
          <w:rFonts w:ascii="宋体" w:hAnsi="宋体" w:eastAsia="宋体" w:cs="宋体"/>
          <w:color w:val="auto"/>
          <w:spacing w:val="-4"/>
          <w:sz w:val="24"/>
          <w:szCs w:val="24"/>
          <w:highlight w:val="none"/>
        </w:rPr>
        <w:t>A；</w:t>
      </w:r>
    </w:p>
    <w:p w14:paraId="41D79872">
      <w:pPr>
        <w:spacing w:before="180" w:line="290" w:lineRule="auto"/>
        <w:ind w:left="14" w:right="2" w:firstLine="488"/>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（2）按本章第</w:t>
      </w:r>
      <w:r>
        <w:rPr>
          <w:rFonts w:ascii="宋体" w:hAnsi="宋体" w:eastAsia="宋体" w:cs="宋体"/>
          <w:color w:val="auto"/>
          <w:spacing w:val="-43"/>
          <w:sz w:val="24"/>
          <w:szCs w:val="24"/>
          <w:highlight w:val="none"/>
        </w:rPr>
        <w:t xml:space="preserve"> </w:t>
      </w:r>
      <w:r>
        <w:rPr>
          <w:rFonts w:ascii="宋体" w:hAnsi="宋体" w:eastAsia="宋体" w:cs="宋体"/>
          <w:color w:val="auto"/>
          <w:spacing w:val="2"/>
          <w:sz w:val="24"/>
          <w:szCs w:val="24"/>
          <w:highlight w:val="none"/>
        </w:rPr>
        <w:t>2.2.4</w:t>
      </w:r>
      <w:r>
        <w:rPr>
          <w:rFonts w:ascii="宋体" w:hAnsi="宋体" w:eastAsia="宋体" w:cs="宋体"/>
          <w:color w:val="auto"/>
          <w:spacing w:val="-39"/>
          <w:sz w:val="24"/>
          <w:szCs w:val="24"/>
          <w:highlight w:val="none"/>
        </w:rPr>
        <w:t xml:space="preserve"> </w:t>
      </w:r>
      <w:r>
        <w:rPr>
          <w:rFonts w:ascii="宋体" w:hAnsi="宋体" w:eastAsia="宋体" w:cs="宋体"/>
          <w:color w:val="auto"/>
          <w:spacing w:val="2"/>
          <w:sz w:val="24"/>
          <w:szCs w:val="24"/>
          <w:highlight w:val="none"/>
        </w:rPr>
        <w:t>项（2）</w:t>
      </w:r>
      <w:r>
        <w:rPr>
          <w:rFonts w:ascii="宋体" w:hAnsi="宋体" w:eastAsia="宋体" w:cs="宋体"/>
          <w:color w:val="auto"/>
          <w:spacing w:val="-55"/>
          <w:sz w:val="24"/>
          <w:szCs w:val="24"/>
          <w:highlight w:val="none"/>
        </w:rPr>
        <w:t xml:space="preserve"> </w:t>
      </w:r>
      <w:r>
        <w:rPr>
          <w:rFonts w:ascii="宋体" w:hAnsi="宋体" w:eastAsia="宋体" w:cs="宋体"/>
          <w:color w:val="auto"/>
          <w:spacing w:val="2"/>
          <w:sz w:val="24"/>
          <w:szCs w:val="24"/>
          <w:highlight w:val="none"/>
        </w:rPr>
        <w:t>目规定的评审因素和分值对主</w:t>
      </w:r>
      <w:r>
        <w:rPr>
          <w:rFonts w:ascii="宋体" w:hAnsi="宋体" w:eastAsia="宋体" w:cs="宋体"/>
          <w:color w:val="auto"/>
          <w:spacing w:val="1"/>
          <w:sz w:val="24"/>
          <w:szCs w:val="24"/>
          <w:highlight w:val="none"/>
        </w:rPr>
        <w:t>要人员部分计算出得</w:t>
      </w:r>
      <w:r>
        <w:rPr>
          <w:rFonts w:ascii="宋体" w:hAnsi="宋体" w:eastAsia="宋体" w:cs="宋体"/>
          <w:color w:val="auto"/>
          <w:spacing w:val="15"/>
          <w:sz w:val="24"/>
          <w:szCs w:val="24"/>
          <w:highlight w:val="none"/>
        </w:rPr>
        <w:t>分B；</w:t>
      </w:r>
    </w:p>
    <w:p w14:paraId="78940F6A">
      <w:pPr>
        <w:spacing w:before="180" w:line="219" w:lineRule="auto"/>
        <w:ind w:right="14"/>
        <w:jc w:val="right"/>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（3）按本章第</w:t>
      </w:r>
      <w:r>
        <w:rPr>
          <w:rFonts w:ascii="宋体" w:hAnsi="宋体" w:eastAsia="宋体" w:cs="宋体"/>
          <w:color w:val="auto"/>
          <w:spacing w:val="-39"/>
          <w:sz w:val="24"/>
          <w:szCs w:val="24"/>
          <w:highlight w:val="none"/>
        </w:rPr>
        <w:t xml:space="preserve"> </w:t>
      </w:r>
      <w:r>
        <w:rPr>
          <w:rFonts w:ascii="宋体" w:hAnsi="宋体" w:eastAsia="宋体" w:cs="宋体"/>
          <w:color w:val="auto"/>
          <w:spacing w:val="-3"/>
          <w:sz w:val="24"/>
          <w:szCs w:val="24"/>
          <w:highlight w:val="none"/>
        </w:rPr>
        <w:t>2.2.4</w:t>
      </w:r>
      <w:r>
        <w:rPr>
          <w:rFonts w:ascii="宋体" w:hAnsi="宋体" w:eastAsia="宋体" w:cs="宋体"/>
          <w:color w:val="auto"/>
          <w:spacing w:val="-46"/>
          <w:sz w:val="24"/>
          <w:szCs w:val="24"/>
          <w:highlight w:val="none"/>
        </w:rPr>
        <w:t xml:space="preserve"> </w:t>
      </w:r>
      <w:r>
        <w:rPr>
          <w:rFonts w:ascii="宋体" w:hAnsi="宋体" w:eastAsia="宋体" w:cs="宋体"/>
          <w:color w:val="auto"/>
          <w:spacing w:val="-3"/>
          <w:sz w:val="24"/>
          <w:szCs w:val="24"/>
          <w:highlight w:val="none"/>
        </w:rPr>
        <w:t>项（4）</w:t>
      </w:r>
      <w:r>
        <w:rPr>
          <w:rFonts w:ascii="宋体" w:hAnsi="宋体" w:eastAsia="宋体" w:cs="宋体"/>
          <w:color w:val="auto"/>
          <w:spacing w:val="-65"/>
          <w:sz w:val="24"/>
          <w:szCs w:val="24"/>
          <w:highlight w:val="none"/>
        </w:rPr>
        <w:t xml:space="preserve"> </w:t>
      </w:r>
      <w:r>
        <w:rPr>
          <w:rFonts w:ascii="宋体" w:hAnsi="宋体" w:eastAsia="宋体" w:cs="宋体"/>
          <w:color w:val="auto"/>
          <w:spacing w:val="-3"/>
          <w:sz w:val="24"/>
          <w:szCs w:val="24"/>
          <w:highlight w:val="none"/>
        </w:rPr>
        <w:t>目规定的评审因素和分值对其他部分计算出得分</w:t>
      </w:r>
      <w:r>
        <w:rPr>
          <w:rFonts w:ascii="宋体" w:hAnsi="宋体" w:eastAsia="宋体" w:cs="宋体"/>
          <w:color w:val="auto"/>
          <w:spacing w:val="-55"/>
          <w:sz w:val="24"/>
          <w:szCs w:val="24"/>
          <w:highlight w:val="none"/>
        </w:rPr>
        <w:t xml:space="preserve"> </w:t>
      </w:r>
      <w:r>
        <w:rPr>
          <w:rFonts w:ascii="宋体" w:hAnsi="宋体" w:eastAsia="宋体" w:cs="宋体"/>
          <w:color w:val="auto"/>
          <w:spacing w:val="-3"/>
          <w:sz w:val="24"/>
          <w:szCs w:val="24"/>
          <w:highlight w:val="none"/>
        </w:rPr>
        <w:t>D。</w:t>
      </w:r>
    </w:p>
    <w:p w14:paraId="54499288">
      <w:pPr>
        <w:spacing w:before="183" w:line="290" w:lineRule="auto"/>
        <w:ind w:right="2" w:firstLine="496"/>
        <w:rPr>
          <w:rFonts w:ascii="宋体" w:hAnsi="宋体" w:eastAsia="宋体" w:cs="宋体"/>
          <w:color w:val="auto"/>
          <w:sz w:val="24"/>
          <w:szCs w:val="24"/>
          <w:highlight w:val="none"/>
        </w:rPr>
      </w:pPr>
      <w:r>
        <w:rPr>
          <w:rFonts w:ascii="宋体" w:hAnsi="宋体" w:eastAsia="宋体" w:cs="宋体"/>
          <w:color w:val="auto"/>
          <w:spacing w:val="11"/>
          <w:sz w:val="24"/>
          <w:szCs w:val="24"/>
          <w:highlight w:val="none"/>
        </w:rPr>
        <w:t>3.2.2 投标人的商务和技术得分分值计算保留小数点后四位，小数点后第五位</w:t>
      </w:r>
      <w:r>
        <w:rPr>
          <w:rFonts w:ascii="宋体" w:hAnsi="宋体" w:eastAsia="宋体" w:cs="宋体"/>
          <w:color w:val="auto"/>
          <w:spacing w:val="-5"/>
          <w:sz w:val="24"/>
          <w:szCs w:val="24"/>
          <w:highlight w:val="none"/>
        </w:rPr>
        <w:t>“</w:t>
      </w:r>
      <w:r>
        <w:rPr>
          <w:rFonts w:ascii="宋体" w:hAnsi="宋体" w:eastAsia="宋体" w:cs="宋体"/>
          <w:color w:val="auto"/>
          <w:spacing w:val="-83"/>
          <w:sz w:val="24"/>
          <w:szCs w:val="24"/>
          <w:highlight w:val="none"/>
        </w:rPr>
        <w:t xml:space="preserve"> </w:t>
      </w:r>
      <w:r>
        <w:rPr>
          <w:rFonts w:ascii="宋体" w:hAnsi="宋体" w:eastAsia="宋体" w:cs="宋体"/>
          <w:color w:val="auto"/>
          <w:spacing w:val="-5"/>
          <w:sz w:val="24"/>
          <w:szCs w:val="24"/>
          <w:highlight w:val="none"/>
        </w:rPr>
        <w:t>四舍五入</w:t>
      </w:r>
      <w:r>
        <w:rPr>
          <w:rFonts w:ascii="宋体" w:hAnsi="宋体" w:eastAsia="宋体" w:cs="宋体"/>
          <w:color w:val="auto"/>
          <w:spacing w:val="-88"/>
          <w:sz w:val="24"/>
          <w:szCs w:val="24"/>
          <w:highlight w:val="none"/>
        </w:rPr>
        <w:t xml:space="preserve"> </w:t>
      </w:r>
      <w:r>
        <w:rPr>
          <w:rFonts w:ascii="宋体" w:hAnsi="宋体" w:eastAsia="宋体" w:cs="宋体"/>
          <w:color w:val="auto"/>
          <w:spacing w:val="-5"/>
          <w:sz w:val="24"/>
          <w:szCs w:val="24"/>
          <w:highlight w:val="none"/>
        </w:rPr>
        <w:t>”。</w:t>
      </w:r>
    </w:p>
    <w:p w14:paraId="110E8723">
      <w:pPr>
        <w:spacing w:before="180" w:line="219" w:lineRule="auto"/>
        <w:ind w:left="496"/>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3.2.3 投标人的商务和技术得分=A+B+D。</w:t>
      </w:r>
    </w:p>
    <w:p w14:paraId="217AB557">
      <w:pPr>
        <w:spacing w:before="180" w:line="219" w:lineRule="auto"/>
        <w:ind w:left="505"/>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除履约信誉得分外，投标文件第一信封各评分因素细分项得分均不应低于其权重</w:t>
      </w:r>
    </w:p>
    <w:p w14:paraId="74311DD3">
      <w:pPr>
        <w:spacing w:line="219" w:lineRule="auto"/>
        <w:rPr>
          <w:rFonts w:ascii="宋体" w:hAnsi="宋体" w:eastAsia="宋体" w:cs="宋体"/>
          <w:color w:val="auto"/>
          <w:sz w:val="24"/>
          <w:szCs w:val="24"/>
          <w:highlight w:val="none"/>
        </w:rPr>
        <w:sectPr>
          <w:footerReference r:id="rId51" w:type="default"/>
          <w:pgSz w:w="11906" w:h="16839"/>
          <w:pgMar w:top="1405" w:right="1415" w:bottom="1297" w:left="1413" w:header="0" w:footer="1067" w:gutter="0"/>
          <w:pgNumType w:fmt="decimal"/>
          <w:cols w:space="720" w:num="1"/>
        </w:sectPr>
      </w:pPr>
    </w:p>
    <w:p w14:paraId="7A54BF42">
      <w:pPr>
        <w:spacing w:before="47" w:line="218" w:lineRule="auto"/>
        <w:ind w:left="14"/>
        <w:rPr>
          <w:rFonts w:ascii="宋体" w:hAnsi="宋体" w:eastAsia="宋体" w:cs="宋体"/>
          <w:color w:val="auto"/>
          <w:sz w:val="24"/>
          <w:szCs w:val="24"/>
          <w:highlight w:val="none"/>
        </w:rPr>
      </w:pPr>
      <w:bookmarkStart w:id="273" w:name="bookmark137"/>
      <w:bookmarkEnd w:id="273"/>
      <w:r>
        <w:rPr>
          <w:rFonts w:ascii="宋体" w:hAnsi="宋体" w:eastAsia="宋体" w:cs="宋体"/>
          <w:color w:val="auto"/>
          <w:spacing w:val="1"/>
          <w:sz w:val="24"/>
          <w:szCs w:val="24"/>
          <w:highlight w:val="none"/>
        </w:rPr>
        <w:t>分的60%，评分低于权重分值</w:t>
      </w:r>
      <w:r>
        <w:rPr>
          <w:rFonts w:ascii="宋体" w:hAnsi="宋体" w:eastAsia="宋体" w:cs="宋体"/>
          <w:color w:val="auto"/>
          <w:spacing w:val="-49"/>
          <w:sz w:val="24"/>
          <w:szCs w:val="24"/>
          <w:highlight w:val="none"/>
        </w:rPr>
        <w:t xml:space="preserve"> </w:t>
      </w:r>
      <w:r>
        <w:rPr>
          <w:rFonts w:ascii="宋体" w:hAnsi="宋体" w:eastAsia="宋体" w:cs="宋体"/>
          <w:color w:val="auto"/>
          <w:spacing w:val="1"/>
          <w:sz w:val="24"/>
          <w:szCs w:val="24"/>
          <w:highlight w:val="none"/>
        </w:rPr>
        <w:t>60%的，评标委员会成员应当在评标报告中作</w:t>
      </w:r>
      <w:r>
        <w:rPr>
          <w:rFonts w:ascii="宋体" w:hAnsi="宋体" w:eastAsia="宋体" w:cs="宋体"/>
          <w:color w:val="auto"/>
          <w:sz w:val="24"/>
          <w:szCs w:val="24"/>
          <w:highlight w:val="none"/>
        </w:rPr>
        <w:t>出说明。</w:t>
      </w:r>
    </w:p>
    <w:p w14:paraId="4BDDBDC5">
      <w:pPr>
        <w:spacing w:before="184" w:line="359" w:lineRule="auto"/>
        <w:ind w:right="162" w:firstLine="490"/>
        <w:jc w:val="both"/>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评标委员会人数为</w:t>
      </w:r>
      <w:r>
        <w:rPr>
          <w:rFonts w:ascii="宋体" w:hAnsi="宋体" w:eastAsia="宋体" w:cs="宋体"/>
          <w:color w:val="auto"/>
          <w:spacing w:val="-48"/>
          <w:sz w:val="24"/>
          <w:szCs w:val="24"/>
          <w:highlight w:val="none"/>
        </w:rPr>
        <w:t xml:space="preserve"> </w:t>
      </w:r>
      <w:r>
        <w:rPr>
          <w:rFonts w:ascii="宋体" w:hAnsi="宋体" w:eastAsia="宋体" w:cs="宋体"/>
          <w:color w:val="auto"/>
          <w:spacing w:val="1"/>
          <w:sz w:val="24"/>
          <w:szCs w:val="24"/>
          <w:highlight w:val="none"/>
        </w:rPr>
        <w:t>9</w:t>
      </w:r>
      <w:r>
        <w:rPr>
          <w:rFonts w:ascii="宋体" w:hAnsi="宋体" w:eastAsia="宋体" w:cs="宋体"/>
          <w:color w:val="auto"/>
          <w:spacing w:val="-46"/>
          <w:sz w:val="24"/>
          <w:szCs w:val="24"/>
          <w:highlight w:val="none"/>
        </w:rPr>
        <w:t xml:space="preserve"> </w:t>
      </w:r>
      <w:r>
        <w:rPr>
          <w:rFonts w:ascii="宋体" w:hAnsi="宋体" w:eastAsia="宋体" w:cs="宋体"/>
          <w:color w:val="auto"/>
          <w:spacing w:val="1"/>
          <w:sz w:val="24"/>
          <w:szCs w:val="24"/>
          <w:highlight w:val="none"/>
        </w:rPr>
        <w:t>人时，计算投标人技术得分时:首先在评委技术评分中，采用</w:t>
      </w:r>
      <w:r>
        <w:rPr>
          <w:rFonts w:ascii="宋体" w:hAnsi="宋体" w:eastAsia="宋体" w:cs="宋体"/>
          <w:color w:val="auto"/>
          <w:spacing w:val="5"/>
          <w:sz w:val="24"/>
          <w:szCs w:val="24"/>
          <w:highlight w:val="none"/>
        </w:rPr>
        <w:t>取消同一评委对同一标段各投标人评分总分的差值最大的</w:t>
      </w:r>
      <w:r>
        <w:rPr>
          <w:rFonts w:ascii="宋体" w:hAnsi="宋体" w:eastAsia="宋体" w:cs="宋体"/>
          <w:color w:val="auto"/>
          <w:spacing w:val="-25"/>
          <w:sz w:val="24"/>
          <w:szCs w:val="24"/>
          <w:highlight w:val="none"/>
        </w:rPr>
        <w:t xml:space="preserve"> </w:t>
      </w:r>
      <w:r>
        <w:rPr>
          <w:rFonts w:ascii="宋体" w:hAnsi="宋体" w:eastAsia="宋体" w:cs="宋体"/>
          <w:color w:val="auto"/>
          <w:spacing w:val="5"/>
          <w:sz w:val="24"/>
          <w:szCs w:val="24"/>
          <w:highlight w:val="none"/>
        </w:rPr>
        <w:t>1</w:t>
      </w:r>
      <w:r>
        <w:rPr>
          <w:rFonts w:ascii="宋体" w:hAnsi="宋体" w:eastAsia="宋体" w:cs="宋体"/>
          <w:color w:val="auto"/>
          <w:spacing w:val="-41"/>
          <w:sz w:val="24"/>
          <w:szCs w:val="24"/>
          <w:highlight w:val="none"/>
        </w:rPr>
        <w:t xml:space="preserve"> </w:t>
      </w:r>
      <w:r>
        <w:rPr>
          <w:rFonts w:ascii="宋体" w:hAnsi="宋体" w:eastAsia="宋体" w:cs="宋体"/>
          <w:color w:val="auto"/>
          <w:spacing w:val="5"/>
          <w:sz w:val="24"/>
          <w:szCs w:val="24"/>
          <w:highlight w:val="none"/>
        </w:rPr>
        <w:t>名评委评分</w:t>
      </w:r>
      <w:r>
        <w:rPr>
          <w:rFonts w:ascii="宋体" w:hAnsi="宋体" w:eastAsia="宋体" w:cs="宋体"/>
          <w:color w:val="auto"/>
          <w:spacing w:val="4"/>
          <w:sz w:val="24"/>
          <w:szCs w:val="24"/>
          <w:highlight w:val="none"/>
        </w:rPr>
        <w:t>分值（若有</w:t>
      </w:r>
      <w:r>
        <w:rPr>
          <w:rFonts w:ascii="宋体" w:hAnsi="宋体" w:eastAsia="宋体" w:cs="宋体"/>
          <w:color w:val="auto"/>
          <w:spacing w:val="-40"/>
          <w:sz w:val="24"/>
          <w:szCs w:val="24"/>
          <w:highlight w:val="none"/>
        </w:rPr>
        <w:t xml:space="preserve"> </w:t>
      </w:r>
      <w:r>
        <w:rPr>
          <w:rFonts w:ascii="宋体" w:hAnsi="宋体" w:eastAsia="宋体" w:cs="宋体"/>
          <w:color w:val="auto"/>
          <w:spacing w:val="4"/>
          <w:sz w:val="24"/>
          <w:szCs w:val="24"/>
          <w:highlight w:val="none"/>
        </w:rPr>
        <w:t>2名或以上评委技术评分总分差值最大值相等时，则取消其中</w:t>
      </w:r>
      <w:r>
        <w:rPr>
          <w:rFonts w:ascii="宋体" w:hAnsi="宋体" w:eastAsia="宋体" w:cs="宋体"/>
          <w:color w:val="auto"/>
          <w:spacing w:val="-28"/>
          <w:sz w:val="24"/>
          <w:szCs w:val="24"/>
          <w:highlight w:val="none"/>
        </w:rPr>
        <w:t xml:space="preserve"> </w:t>
      </w:r>
      <w:r>
        <w:rPr>
          <w:rFonts w:ascii="宋体" w:hAnsi="宋体" w:eastAsia="宋体" w:cs="宋体"/>
          <w:color w:val="auto"/>
          <w:spacing w:val="4"/>
          <w:sz w:val="24"/>
          <w:szCs w:val="24"/>
          <w:highlight w:val="none"/>
        </w:rPr>
        <w:t>1</w:t>
      </w:r>
      <w:r>
        <w:rPr>
          <w:rFonts w:ascii="宋体" w:hAnsi="宋体" w:eastAsia="宋体" w:cs="宋体"/>
          <w:color w:val="auto"/>
          <w:spacing w:val="-43"/>
          <w:sz w:val="24"/>
          <w:szCs w:val="24"/>
          <w:highlight w:val="none"/>
        </w:rPr>
        <w:t xml:space="preserve"> </w:t>
      </w:r>
      <w:r>
        <w:rPr>
          <w:rFonts w:ascii="宋体" w:hAnsi="宋体" w:eastAsia="宋体" w:cs="宋体"/>
          <w:color w:val="auto"/>
          <w:spacing w:val="4"/>
          <w:sz w:val="24"/>
          <w:szCs w:val="24"/>
          <w:highlight w:val="none"/>
        </w:rPr>
        <w:t>名评委的所有</w:t>
      </w:r>
      <w:r>
        <w:rPr>
          <w:rFonts w:ascii="宋体" w:hAnsi="宋体" w:eastAsia="宋体" w:cs="宋体"/>
          <w:color w:val="auto"/>
          <w:spacing w:val="3"/>
          <w:sz w:val="24"/>
          <w:szCs w:val="24"/>
          <w:highlight w:val="none"/>
        </w:rPr>
        <w:t>评分，具</w:t>
      </w:r>
      <w:r>
        <w:rPr>
          <w:rFonts w:ascii="宋体" w:hAnsi="宋体" w:eastAsia="宋体" w:cs="宋体"/>
          <w:color w:val="auto"/>
          <w:spacing w:val="5"/>
          <w:sz w:val="24"/>
          <w:szCs w:val="24"/>
          <w:highlight w:val="none"/>
        </w:rPr>
        <w:t>体办法如下</w:t>
      </w:r>
      <w:r>
        <w:rPr>
          <w:rFonts w:ascii="宋体" w:hAnsi="宋体" w:eastAsia="宋体" w:cs="宋体"/>
          <w:color w:val="auto"/>
          <w:spacing w:val="14"/>
          <w:sz w:val="24"/>
          <w:szCs w:val="24"/>
          <w:highlight w:val="none"/>
        </w:rPr>
        <w:t>），</w:t>
      </w:r>
      <w:r>
        <w:rPr>
          <w:rFonts w:ascii="宋体" w:hAnsi="宋体" w:eastAsia="宋体" w:cs="宋体"/>
          <w:color w:val="auto"/>
          <w:spacing w:val="5"/>
          <w:sz w:val="24"/>
          <w:szCs w:val="24"/>
          <w:highlight w:val="none"/>
        </w:rPr>
        <w:t>再对各评分因素细分项[ 评分因素</w:t>
      </w:r>
      <w:r>
        <w:rPr>
          <w:rFonts w:ascii="宋体" w:hAnsi="宋体" w:eastAsia="宋体" w:cs="宋体"/>
          <w:color w:val="auto"/>
          <w:spacing w:val="4"/>
          <w:sz w:val="24"/>
          <w:szCs w:val="24"/>
          <w:highlight w:val="none"/>
        </w:rPr>
        <w:t>细分项是指“监理大纲（或监理方</w:t>
      </w:r>
      <w:r>
        <w:rPr>
          <w:rFonts w:ascii="宋体" w:hAnsi="宋体" w:eastAsia="宋体" w:cs="宋体"/>
          <w:color w:val="auto"/>
          <w:spacing w:val="2"/>
          <w:sz w:val="24"/>
          <w:szCs w:val="24"/>
          <w:highlight w:val="none"/>
        </w:rPr>
        <w:t>案）和措施</w:t>
      </w:r>
      <w:r>
        <w:rPr>
          <w:rFonts w:ascii="宋体" w:hAnsi="宋体" w:eastAsia="宋体" w:cs="宋体"/>
          <w:color w:val="auto"/>
          <w:spacing w:val="-77"/>
          <w:sz w:val="24"/>
          <w:szCs w:val="24"/>
          <w:highlight w:val="none"/>
        </w:rPr>
        <w:t xml:space="preserve"> </w:t>
      </w:r>
      <w:r>
        <w:rPr>
          <w:rFonts w:ascii="宋体" w:hAnsi="宋体" w:eastAsia="宋体" w:cs="宋体"/>
          <w:color w:val="auto"/>
          <w:spacing w:val="2"/>
          <w:sz w:val="24"/>
          <w:szCs w:val="24"/>
          <w:highlight w:val="none"/>
        </w:rPr>
        <w:t>”、“本工程监理工作的重点与难点分析</w:t>
      </w:r>
      <w:r>
        <w:rPr>
          <w:rFonts w:ascii="宋体" w:hAnsi="宋体" w:eastAsia="宋体" w:cs="宋体"/>
          <w:color w:val="auto"/>
          <w:spacing w:val="-83"/>
          <w:sz w:val="24"/>
          <w:szCs w:val="24"/>
          <w:highlight w:val="none"/>
        </w:rPr>
        <w:t xml:space="preserve"> </w:t>
      </w:r>
      <w:r>
        <w:rPr>
          <w:rFonts w:ascii="宋体" w:hAnsi="宋体" w:eastAsia="宋体" w:cs="宋体"/>
          <w:color w:val="auto"/>
          <w:spacing w:val="2"/>
          <w:sz w:val="24"/>
          <w:szCs w:val="24"/>
          <w:highlight w:val="none"/>
        </w:rPr>
        <w:t>”、“对本工程的建议</w:t>
      </w:r>
      <w:r>
        <w:rPr>
          <w:rFonts w:ascii="宋体" w:hAnsi="宋体" w:eastAsia="宋体" w:cs="宋体"/>
          <w:color w:val="auto"/>
          <w:spacing w:val="-81"/>
          <w:sz w:val="24"/>
          <w:szCs w:val="24"/>
          <w:highlight w:val="none"/>
        </w:rPr>
        <w:t xml:space="preserve"> </w:t>
      </w:r>
      <w:r>
        <w:rPr>
          <w:rFonts w:ascii="宋体" w:hAnsi="宋体" w:eastAsia="宋体" w:cs="宋体"/>
          <w:color w:val="auto"/>
          <w:spacing w:val="2"/>
          <w:sz w:val="24"/>
          <w:szCs w:val="24"/>
          <w:highlight w:val="none"/>
        </w:rPr>
        <w:t>”三项，</w:t>
      </w:r>
      <w:r>
        <w:rPr>
          <w:rFonts w:ascii="宋体" w:hAnsi="宋体" w:eastAsia="宋体" w:cs="宋体"/>
          <w:color w:val="auto"/>
          <w:sz w:val="24"/>
          <w:szCs w:val="24"/>
          <w:highlight w:val="none"/>
        </w:rPr>
        <w:t xml:space="preserve"> </w:t>
      </w:r>
      <w:r>
        <w:rPr>
          <w:rFonts w:ascii="宋体" w:hAnsi="宋体" w:eastAsia="宋体" w:cs="宋体"/>
          <w:color w:val="auto"/>
          <w:spacing w:val="4"/>
          <w:sz w:val="24"/>
          <w:szCs w:val="24"/>
          <w:highlight w:val="none"/>
        </w:rPr>
        <w:t>“监理大纲（或监理方案）和措施</w:t>
      </w:r>
      <w:r>
        <w:rPr>
          <w:rFonts w:ascii="宋体" w:hAnsi="宋体" w:eastAsia="宋体" w:cs="宋体"/>
          <w:color w:val="auto"/>
          <w:spacing w:val="-75"/>
          <w:sz w:val="24"/>
          <w:szCs w:val="24"/>
          <w:highlight w:val="none"/>
        </w:rPr>
        <w:t xml:space="preserve"> </w:t>
      </w:r>
      <w:r>
        <w:rPr>
          <w:rFonts w:ascii="宋体" w:hAnsi="宋体" w:eastAsia="宋体" w:cs="宋体"/>
          <w:color w:val="auto"/>
          <w:spacing w:val="4"/>
          <w:sz w:val="24"/>
          <w:szCs w:val="24"/>
          <w:highlight w:val="none"/>
        </w:rPr>
        <w:t>”中的质量和安全监理、进度监理、费用和合同监</w:t>
      </w:r>
      <w:r>
        <w:rPr>
          <w:rFonts w:ascii="宋体" w:hAnsi="宋体" w:eastAsia="宋体" w:cs="宋体"/>
          <w:color w:val="auto"/>
          <w:spacing w:val="2"/>
          <w:sz w:val="24"/>
          <w:szCs w:val="24"/>
          <w:highlight w:val="none"/>
        </w:rPr>
        <w:t>理、、施工环境保护管理不属于细分项。]中取消一个最高、一个最低分后计算</w:t>
      </w:r>
      <w:r>
        <w:rPr>
          <w:rFonts w:ascii="宋体" w:hAnsi="宋体" w:eastAsia="宋体" w:cs="宋体"/>
          <w:color w:val="auto"/>
          <w:spacing w:val="1"/>
          <w:sz w:val="24"/>
          <w:szCs w:val="24"/>
          <w:highlight w:val="none"/>
        </w:rPr>
        <w:t>其算术</w:t>
      </w:r>
      <w:r>
        <w:rPr>
          <w:rFonts w:ascii="宋体" w:hAnsi="宋体" w:eastAsia="宋体" w:cs="宋体"/>
          <w:color w:val="auto"/>
          <w:spacing w:val="5"/>
          <w:sz w:val="24"/>
          <w:szCs w:val="24"/>
          <w:highlight w:val="none"/>
        </w:rPr>
        <w:t>平均值的和为投标人的最终技术得分，平均值计算保留小数点后四位，小数点后第五</w:t>
      </w:r>
      <w:r>
        <w:rPr>
          <w:rFonts w:ascii="宋体" w:hAnsi="宋体" w:eastAsia="宋体" w:cs="宋体"/>
          <w:color w:val="auto"/>
          <w:spacing w:val="-4"/>
          <w:sz w:val="24"/>
          <w:szCs w:val="24"/>
          <w:highlight w:val="none"/>
        </w:rPr>
        <w:t>位“</w:t>
      </w:r>
      <w:r>
        <w:rPr>
          <w:rFonts w:ascii="宋体" w:hAnsi="宋体" w:eastAsia="宋体" w:cs="宋体"/>
          <w:color w:val="auto"/>
          <w:spacing w:val="-86"/>
          <w:sz w:val="24"/>
          <w:szCs w:val="24"/>
          <w:highlight w:val="none"/>
        </w:rPr>
        <w:t xml:space="preserve"> </w:t>
      </w:r>
      <w:r>
        <w:rPr>
          <w:rFonts w:ascii="宋体" w:hAnsi="宋体" w:eastAsia="宋体" w:cs="宋体"/>
          <w:color w:val="auto"/>
          <w:spacing w:val="-4"/>
          <w:sz w:val="24"/>
          <w:szCs w:val="24"/>
          <w:highlight w:val="none"/>
        </w:rPr>
        <w:t>四舍五入</w:t>
      </w:r>
      <w:r>
        <w:rPr>
          <w:rFonts w:ascii="宋体" w:hAnsi="宋体" w:eastAsia="宋体" w:cs="宋体"/>
          <w:color w:val="auto"/>
          <w:spacing w:val="-88"/>
          <w:sz w:val="24"/>
          <w:szCs w:val="24"/>
          <w:highlight w:val="none"/>
        </w:rPr>
        <w:t xml:space="preserve"> </w:t>
      </w:r>
      <w:r>
        <w:rPr>
          <w:rFonts w:ascii="宋体" w:hAnsi="宋体" w:eastAsia="宋体" w:cs="宋体"/>
          <w:color w:val="auto"/>
          <w:spacing w:val="-4"/>
          <w:sz w:val="24"/>
          <w:szCs w:val="24"/>
          <w:highlight w:val="none"/>
        </w:rPr>
        <w:t>”。</w:t>
      </w:r>
    </w:p>
    <w:p w14:paraId="377E4FF0">
      <w:pPr>
        <w:spacing w:line="219" w:lineRule="auto"/>
        <w:ind w:left="494"/>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取消其中</w:t>
      </w:r>
      <w:r>
        <w:rPr>
          <w:rFonts w:ascii="宋体" w:hAnsi="宋体" w:eastAsia="宋体" w:cs="宋体"/>
          <w:color w:val="auto"/>
          <w:spacing w:val="-33"/>
          <w:sz w:val="24"/>
          <w:szCs w:val="24"/>
          <w:highlight w:val="none"/>
        </w:rPr>
        <w:t xml:space="preserve"> </w:t>
      </w:r>
      <w:r>
        <w:rPr>
          <w:rFonts w:ascii="宋体" w:hAnsi="宋体" w:eastAsia="宋体" w:cs="宋体"/>
          <w:color w:val="auto"/>
          <w:spacing w:val="-1"/>
          <w:sz w:val="24"/>
          <w:szCs w:val="24"/>
          <w:highlight w:val="none"/>
        </w:rPr>
        <w:t>1</w:t>
      </w:r>
      <w:r>
        <w:rPr>
          <w:rFonts w:ascii="宋体" w:hAnsi="宋体" w:eastAsia="宋体" w:cs="宋体"/>
          <w:color w:val="auto"/>
          <w:spacing w:val="-48"/>
          <w:sz w:val="24"/>
          <w:szCs w:val="24"/>
          <w:highlight w:val="none"/>
        </w:rPr>
        <w:t xml:space="preserve"> </w:t>
      </w:r>
      <w:r>
        <w:rPr>
          <w:rFonts w:ascii="宋体" w:hAnsi="宋体" w:eastAsia="宋体" w:cs="宋体"/>
          <w:color w:val="auto"/>
          <w:spacing w:val="-1"/>
          <w:sz w:val="24"/>
          <w:szCs w:val="24"/>
          <w:highlight w:val="none"/>
        </w:rPr>
        <w:t>名评委所有评分的办法[ 办法一、办法</w:t>
      </w:r>
      <w:r>
        <w:rPr>
          <w:rFonts w:ascii="宋体" w:hAnsi="宋体" w:eastAsia="宋体" w:cs="宋体"/>
          <w:color w:val="auto"/>
          <w:spacing w:val="-2"/>
          <w:sz w:val="24"/>
          <w:szCs w:val="24"/>
          <w:highlight w:val="none"/>
        </w:rPr>
        <w:t>二任选一个。]</w:t>
      </w:r>
    </w:p>
    <w:p w14:paraId="069FA899">
      <w:pPr>
        <w:spacing w:before="181" w:line="359" w:lineRule="auto"/>
        <w:ind w:left="10" w:right="160" w:firstLine="485"/>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办法一：依次按照以下流程</w:t>
      </w:r>
      <w:r>
        <w:rPr>
          <w:rFonts w:ascii="宋体" w:hAnsi="宋体" w:eastAsia="宋体" w:cs="宋体"/>
          <w:color w:val="auto"/>
          <w:spacing w:val="-23"/>
          <w:sz w:val="24"/>
          <w:szCs w:val="24"/>
          <w:highlight w:val="none"/>
        </w:rPr>
        <w:t>，（</w:t>
      </w:r>
      <w:r>
        <w:rPr>
          <w:rFonts w:ascii="宋体" w:hAnsi="宋体" w:eastAsia="宋体" w:cs="宋体"/>
          <w:color w:val="auto"/>
          <w:spacing w:val="3"/>
          <w:sz w:val="24"/>
          <w:szCs w:val="24"/>
          <w:highlight w:val="none"/>
        </w:rPr>
        <w:t>1）对比上述出现技术评分总分差值最大值相等的</w:t>
      </w:r>
      <w:r>
        <w:rPr>
          <w:rFonts w:ascii="宋体" w:hAnsi="宋体" w:eastAsia="宋体" w:cs="宋体"/>
          <w:color w:val="auto"/>
          <w:spacing w:val="5"/>
          <w:sz w:val="24"/>
          <w:szCs w:val="24"/>
          <w:highlight w:val="none"/>
        </w:rPr>
        <w:t>评委的次分差值（次分差值＝某一评委技术评分总分的最高分－该评委技术评</w:t>
      </w:r>
      <w:r>
        <w:rPr>
          <w:rFonts w:ascii="宋体" w:hAnsi="宋体" w:eastAsia="宋体" w:cs="宋体"/>
          <w:color w:val="auto"/>
          <w:spacing w:val="4"/>
          <w:sz w:val="24"/>
          <w:szCs w:val="24"/>
          <w:highlight w:val="none"/>
        </w:rPr>
        <w:t>分总分</w:t>
      </w:r>
      <w:r>
        <w:rPr>
          <w:rFonts w:ascii="宋体" w:hAnsi="宋体" w:eastAsia="宋体" w:cs="宋体"/>
          <w:color w:val="auto"/>
          <w:spacing w:val="2"/>
          <w:sz w:val="24"/>
          <w:szCs w:val="24"/>
          <w:highlight w:val="none"/>
        </w:rPr>
        <w:t>的次低分</w:t>
      </w:r>
      <w:r>
        <w:rPr>
          <w:rFonts w:ascii="宋体" w:hAnsi="宋体" w:eastAsia="宋体" w:cs="宋体"/>
          <w:color w:val="auto"/>
          <w:spacing w:val="-1"/>
          <w:sz w:val="24"/>
          <w:szCs w:val="24"/>
          <w:highlight w:val="none"/>
        </w:rPr>
        <w:t>），</w:t>
      </w:r>
      <w:r>
        <w:rPr>
          <w:rFonts w:ascii="宋体" w:hAnsi="宋体" w:eastAsia="宋体" w:cs="宋体"/>
          <w:color w:val="auto"/>
          <w:spacing w:val="2"/>
          <w:sz w:val="24"/>
          <w:szCs w:val="24"/>
          <w:highlight w:val="none"/>
        </w:rPr>
        <w:t>取消次分差值最大的评委所有评分</w:t>
      </w:r>
      <w:r>
        <w:rPr>
          <w:rFonts w:ascii="宋体" w:hAnsi="宋体" w:eastAsia="宋体" w:cs="宋体"/>
          <w:color w:val="auto"/>
          <w:spacing w:val="-1"/>
          <w:sz w:val="24"/>
          <w:szCs w:val="24"/>
          <w:highlight w:val="none"/>
        </w:rPr>
        <w:t>；（</w:t>
      </w:r>
      <w:r>
        <w:rPr>
          <w:rFonts w:ascii="宋体" w:hAnsi="宋体" w:eastAsia="宋体" w:cs="宋体"/>
          <w:color w:val="auto"/>
          <w:spacing w:val="2"/>
          <w:sz w:val="24"/>
          <w:szCs w:val="24"/>
          <w:highlight w:val="none"/>
        </w:rPr>
        <w:t>2）如次分差值仍相同，则按随机</w:t>
      </w:r>
      <w:r>
        <w:rPr>
          <w:rFonts w:ascii="宋体" w:hAnsi="宋体" w:eastAsia="宋体" w:cs="宋体"/>
          <w:color w:val="auto"/>
          <w:spacing w:val="4"/>
          <w:sz w:val="24"/>
          <w:szCs w:val="24"/>
          <w:highlight w:val="none"/>
        </w:rPr>
        <w:t>抽取的方式选定取消</w:t>
      </w:r>
      <w:r>
        <w:rPr>
          <w:rFonts w:ascii="宋体" w:hAnsi="宋体" w:eastAsia="宋体" w:cs="宋体"/>
          <w:color w:val="auto"/>
          <w:spacing w:val="-23"/>
          <w:sz w:val="24"/>
          <w:szCs w:val="24"/>
          <w:highlight w:val="none"/>
        </w:rPr>
        <w:t xml:space="preserve"> </w:t>
      </w:r>
      <w:r>
        <w:rPr>
          <w:rFonts w:ascii="宋体" w:hAnsi="宋体" w:eastAsia="宋体" w:cs="宋体"/>
          <w:color w:val="auto"/>
          <w:spacing w:val="4"/>
          <w:sz w:val="24"/>
          <w:szCs w:val="24"/>
          <w:highlight w:val="none"/>
        </w:rPr>
        <w:t>1</w:t>
      </w:r>
      <w:r>
        <w:rPr>
          <w:rFonts w:ascii="宋体" w:hAnsi="宋体" w:eastAsia="宋体" w:cs="宋体"/>
          <w:color w:val="auto"/>
          <w:spacing w:val="-41"/>
          <w:sz w:val="24"/>
          <w:szCs w:val="24"/>
          <w:highlight w:val="none"/>
        </w:rPr>
        <w:t xml:space="preserve"> </w:t>
      </w:r>
      <w:r>
        <w:rPr>
          <w:rFonts w:ascii="宋体" w:hAnsi="宋体" w:eastAsia="宋体" w:cs="宋体"/>
          <w:color w:val="auto"/>
          <w:spacing w:val="4"/>
          <w:sz w:val="24"/>
          <w:szCs w:val="24"/>
          <w:highlight w:val="none"/>
        </w:rPr>
        <w:t>名评委评分。示例</w:t>
      </w:r>
      <w:r>
        <w:rPr>
          <w:rFonts w:ascii="宋体" w:hAnsi="宋体" w:eastAsia="宋体" w:cs="宋体"/>
          <w:color w:val="auto"/>
          <w:spacing w:val="-65"/>
          <w:sz w:val="24"/>
          <w:szCs w:val="24"/>
          <w:highlight w:val="none"/>
        </w:rPr>
        <w:t xml:space="preserve"> </w:t>
      </w:r>
      <w:r>
        <w:rPr>
          <w:rFonts w:ascii="宋体" w:hAnsi="宋体" w:eastAsia="宋体" w:cs="宋体"/>
          <w:color w:val="auto"/>
          <w:spacing w:val="4"/>
          <w:sz w:val="24"/>
          <w:szCs w:val="24"/>
          <w:highlight w:val="none"/>
        </w:rPr>
        <w:t>:同一评委对</w:t>
      </w:r>
      <w:r>
        <w:rPr>
          <w:rFonts w:ascii="宋体" w:hAnsi="宋体" w:eastAsia="宋体" w:cs="宋体"/>
          <w:color w:val="auto"/>
          <w:spacing w:val="-36"/>
          <w:sz w:val="24"/>
          <w:szCs w:val="24"/>
          <w:highlight w:val="none"/>
        </w:rPr>
        <w:t xml:space="preserve"> </w:t>
      </w:r>
      <w:r>
        <w:rPr>
          <w:rFonts w:ascii="宋体" w:hAnsi="宋体" w:eastAsia="宋体" w:cs="宋体"/>
          <w:color w:val="auto"/>
          <w:spacing w:val="4"/>
          <w:sz w:val="24"/>
          <w:szCs w:val="24"/>
          <w:highlight w:val="none"/>
        </w:rPr>
        <w:t>5</w:t>
      </w:r>
      <w:r>
        <w:rPr>
          <w:rFonts w:ascii="宋体" w:hAnsi="宋体" w:eastAsia="宋体" w:cs="宋体"/>
          <w:color w:val="auto"/>
          <w:spacing w:val="-41"/>
          <w:sz w:val="24"/>
          <w:szCs w:val="24"/>
          <w:highlight w:val="none"/>
        </w:rPr>
        <w:t xml:space="preserve"> </w:t>
      </w:r>
      <w:r>
        <w:rPr>
          <w:rFonts w:ascii="宋体" w:hAnsi="宋体" w:eastAsia="宋体" w:cs="宋体"/>
          <w:color w:val="auto"/>
          <w:spacing w:val="4"/>
          <w:sz w:val="24"/>
          <w:szCs w:val="24"/>
          <w:highlight w:val="none"/>
        </w:rPr>
        <w:t>名投标人技术评分总分分别</w:t>
      </w:r>
      <w:r>
        <w:rPr>
          <w:rFonts w:ascii="宋体" w:hAnsi="宋体" w:eastAsia="宋体" w:cs="宋体"/>
          <w:color w:val="auto"/>
          <w:spacing w:val="3"/>
          <w:sz w:val="24"/>
          <w:szCs w:val="24"/>
          <w:highlight w:val="none"/>
        </w:rPr>
        <w:t>为:27.3（最高分)、27.1、26.5、26.1（次低分）、25.5（最低分</w:t>
      </w:r>
      <w:r>
        <w:rPr>
          <w:rFonts w:ascii="宋体" w:hAnsi="宋体" w:eastAsia="宋体" w:cs="宋体"/>
          <w:color w:val="auto"/>
          <w:spacing w:val="22"/>
          <w:sz w:val="24"/>
          <w:szCs w:val="24"/>
          <w:highlight w:val="none"/>
        </w:rPr>
        <w:t>），</w:t>
      </w:r>
      <w:r>
        <w:rPr>
          <w:rFonts w:ascii="宋体" w:hAnsi="宋体" w:eastAsia="宋体" w:cs="宋体"/>
          <w:color w:val="auto"/>
          <w:spacing w:val="3"/>
          <w:sz w:val="24"/>
          <w:szCs w:val="24"/>
          <w:highlight w:val="none"/>
        </w:rPr>
        <w:t>则其最大差值</w:t>
      </w:r>
      <w:r>
        <w:rPr>
          <w:rFonts w:ascii="宋体" w:hAnsi="宋体" w:eastAsia="宋体" w:cs="宋体"/>
          <w:color w:val="auto"/>
          <w:spacing w:val="-2"/>
          <w:sz w:val="24"/>
          <w:szCs w:val="24"/>
          <w:highlight w:val="none"/>
        </w:rPr>
        <w:t>为</w:t>
      </w:r>
      <w:r>
        <w:rPr>
          <w:rFonts w:ascii="宋体" w:hAnsi="宋体" w:eastAsia="宋体" w:cs="宋体"/>
          <w:color w:val="auto"/>
          <w:spacing w:val="-32"/>
          <w:sz w:val="24"/>
          <w:szCs w:val="24"/>
          <w:highlight w:val="none"/>
        </w:rPr>
        <w:t xml:space="preserve"> </w:t>
      </w:r>
      <w:r>
        <w:rPr>
          <w:rFonts w:ascii="宋体" w:hAnsi="宋体" w:eastAsia="宋体" w:cs="宋体"/>
          <w:color w:val="auto"/>
          <w:spacing w:val="-2"/>
          <w:sz w:val="24"/>
          <w:szCs w:val="24"/>
          <w:highlight w:val="none"/>
        </w:rPr>
        <w:t>1.8、次大差值为</w:t>
      </w:r>
      <w:r>
        <w:rPr>
          <w:rFonts w:ascii="宋体" w:hAnsi="宋体" w:eastAsia="宋体" w:cs="宋体"/>
          <w:color w:val="auto"/>
          <w:spacing w:val="-48"/>
          <w:sz w:val="24"/>
          <w:szCs w:val="24"/>
          <w:highlight w:val="none"/>
        </w:rPr>
        <w:t xml:space="preserve"> </w:t>
      </w:r>
      <w:r>
        <w:rPr>
          <w:rFonts w:ascii="宋体" w:hAnsi="宋体" w:eastAsia="宋体" w:cs="宋体"/>
          <w:color w:val="auto"/>
          <w:spacing w:val="-2"/>
          <w:sz w:val="24"/>
          <w:szCs w:val="24"/>
          <w:highlight w:val="none"/>
        </w:rPr>
        <w:t>27.3-26.1=1.2）。</w:t>
      </w:r>
    </w:p>
    <w:p w14:paraId="42A3BC2F">
      <w:pPr>
        <w:spacing w:line="218" w:lineRule="auto"/>
        <w:ind w:left="496"/>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办法二：按随机抽取的方式选定取消</w:t>
      </w:r>
      <w:r>
        <w:rPr>
          <w:rFonts w:ascii="宋体" w:hAnsi="宋体" w:eastAsia="宋体" w:cs="宋体"/>
          <w:color w:val="auto"/>
          <w:spacing w:val="-19"/>
          <w:sz w:val="24"/>
          <w:szCs w:val="24"/>
          <w:highlight w:val="none"/>
        </w:rPr>
        <w:t xml:space="preserve"> </w:t>
      </w:r>
      <w:r>
        <w:rPr>
          <w:rFonts w:ascii="宋体" w:hAnsi="宋体" w:eastAsia="宋体" w:cs="宋体"/>
          <w:color w:val="auto"/>
          <w:spacing w:val="-3"/>
          <w:sz w:val="24"/>
          <w:szCs w:val="24"/>
          <w:highlight w:val="none"/>
        </w:rPr>
        <w:t>1</w:t>
      </w:r>
      <w:r>
        <w:rPr>
          <w:rFonts w:ascii="宋体" w:hAnsi="宋体" w:eastAsia="宋体" w:cs="宋体"/>
          <w:color w:val="auto"/>
          <w:spacing w:val="-48"/>
          <w:sz w:val="24"/>
          <w:szCs w:val="24"/>
          <w:highlight w:val="none"/>
        </w:rPr>
        <w:t xml:space="preserve"> </w:t>
      </w:r>
      <w:r>
        <w:rPr>
          <w:rFonts w:ascii="宋体" w:hAnsi="宋体" w:eastAsia="宋体" w:cs="宋体"/>
          <w:color w:val="auto"/>
          <w:spacing w:val="-3"/>
          <w:sz w:val="24"/>
          <w:szCs w:val="24"/>
          <w:highlight w:val="none"/>
        </w:rPr>
        <w:t>名评委评分。</w:t>
      </w:r>
    </w:p>
    <w:p w14:paraId="4C24CC34">
      <w:pPr>
        <w:spacing w:before="185" w:line="359" w:lineRule="auto"/>
        <w:ind w:left="14" w:right="163" w:firstLine="476"/>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评标委员会人数为</w:t>
      </w:r>
      <w:r>
        <w:rPr>
          <w:rFonts w:ascii="宋体" w:hAnsi="宋体" w:eastAsia="宋体" w:cs="宋体"/>
          <w:color w:val="auto"/>
          <w:spacing w:val="-43"/>
          <w:sz w:val="24"/>
          <w:szCs w:val="24"/>
          <w:highlight w:val="none"/>
        </w:rPr>
        <w:t xml:space="preserve"> </w:t>
      </w:r>
      <w:r>
        <w:rPr>
          <w:rFonts w:ascii="宋体" w:hAnsi="宋体" w:eastAsia="宋体" w:cs="宋体"/>
          <w:color w:val="auto"/>
          <w:spacing w:val="1"/>
          <w:sz w:val="24"/>
          <w:szCs w:val="24"/>
          <w:highlight w:val="none"/>
        </w:rPr>
        <w:t>7</w:t>
      </w:r>
      <w:r>
        <w:rPr>
          <w:rFonts w:ascii="宋体" w:hAnsi="宋体" w:eastAsia="宋体" w:cs="宋体"/>
          <w:color w:val="auto"/>
          <w:spacing w:val="-46"/>
          <w:sz w:val="24"/>
          <w:szCs w:val="24"/>
          <w:highlight w:val="none"/>
        </w:rPr>
        <w:t xml:space="preserve"> </w:t>
      </w:r>
      <w:r>
        <w:rPr>
          <w:rFonts w:ascii="宋体" w:hAnsi="宋体" w:eastAsia="宋体" w:cs="宋体"/>
          <w:color w:val="auto"/>
          <w:spacing w:val="1"/>
          <w:sz w:val="24"/>
          <w:szCs w:val="24"/>
          <w:highlight w:val="none"/>
        </w:rPr>
        <w:t>人时，计算投标人技术得分时:各评分因素细分项</w:t>
      </w:r>
      <w:r>
        <w:rPr>
          <w:rFonts w:ascii="宋体" w:hAnsi="宋体" w:eastAsia="宋体" w:cs="宋体"/>
          <w:color w:val="auto"/>
          <w:sz w:val="24"/>
          <w:szCs w:val="24"/>
          <w:highlight w:val="none"/>
        </w:rPr>
        <w:t>中取消一个</w:t>
      </w:r>
      <w:r>
        <w:rPr>
          <w:rFonts w:ascii="宋体" w:hAnsi="宋体" w:eastAsia="宋体" w:cs="宋体"/>
          <w:color w:val="auto"/>
          <w:spacing w:val="5"/>
          <w:sz w:val="24"/>
          <w:szCs w:val="24"/>
          <w:highlight w:val="none"/>
        </w:rPr>
        <w:t>最高、一个最低分后计算算术平均值的和为投标人的最终技术得分，</w:t>
      </w:r>
      <w:r>
        <w:rPr>
          <w:rFonts w:ascii="宋体" w:hAnsi="宋体" w:eastAsia="宋体" w:cs="宋体"/>
          <w:color w:val="auto"/>
          <w:spacing w:val="4"/>
          <w:sz w:val="24"/>
          <w:szCs w:val="24"/>
          <w:highlight w:val="none"/>
        </w:rPr>
        <w:t>平均值计算保留</w:t>
      </w:r>
      <w:r>
        <w:rPr>
          <w:rFonts w:ascii="宋体" w:hAnsi="宋体" w:eastAsia="宋体" w:cs="宋体"/>
          <w:color w:val="auto"/>
          <w:spacing w:val="-4"/>
          <w:sz w:val="24"/>
          <w:szCs w:val="24"/>
          <w:highlight w:val="none"/>
        </w:rPr>
        <w:t>小数点后四位，小数点后第五位“</w:t>
      </w:r>
      <w:r>
        <w:rPr>
          <w:rFonts w:ascii="宋体" w:hAnsi="宋体" w:eastAsia="宋体" w:cs="宋体"/>
          <w:color w:val="auto"/>
          <w:spacing w:val="-78"/>
          <w:sz w:val="24"/>
          <w:szCs w:val="24"/>
          <w:highlight w:val="none"/>
        </w:rPr>
        <w:t xml:space="preserve"> </w:t>
      </w:r>
      <w:r>
        <w:rPr>
          <w:rFonts w:ascii="宋体" w:hAnsi="宋体" w:eastAsia="宋体" w:cs="宋体"/>
          <w:color w:val="auto"/>
          <w:spacing w:val="-4"/>
          <w:sz w:val="24"/>
          <w:szCs w:val="24"/>
          <w:highlight w:val="none"/>
        </w:rPr>
        <w:t>四舍五入</w:t>
      </w:r>
      <w:r>
        <w:rPr>
          <w:rFonts w:ascii="宋体" w:hAnsi="宋体" w:eastAsia="宋体" w:cs="宋体"/>
          <w:color w:val="auto"/>
          <w:spacing w:val="-88"/>
          <w:sz w:val="24"/>
          <w:szCs w:val="24"/>
          <w:highlight w:val="none"/>
        </w:rPr>
        <w:t xml:space="preserve"> </w:t>
      </w:r>
      <w:r>
        <w:rPr>
          <w:rFonts w:ascii="宋体" w:hAnsi="宋体" w:eastAsia="宋体" w:cs="宋体"/>
          <w:color w:val="auto"/>
          <w:spacing w:val="-4"/>
          <w:sz w:val="24"/>
          <w:szCs w:val="24"/>
          <w:highlight w:val="none"/>
        </w:rPr>
        <w:t>”</w:t>
      </w:r>
      <w:r>
        <w:rPr>
          <w:color w:val="auto"/>
          <w:highlight w:val="none"/>
        </w:rPr>
        <w:fldChar w:fldCharType="begin"/>
      </w:r>
      <w:r>
        <w:rPr>
          <w:color w:val="auto"/>
          <w:highlight w:val="none"/>
        </w:rPr>
        <w:instrText xml:space="preserve"> HYPERLINK \l "bookmark138" </w:instrText>
      </w:r>
      <w:r>
        <w:rPr>
          <w:color w:val="auto"/>
          <w:highlight w:val="none"/>
        </w:rPr>
        <w:fldChar w:fldCharType="separate"/>
      </w:r>
      <w:r>
        <w:rPr>
          <w:rFonts w:ascii="宋体" w:hAnsi="宋体" w:eastAsia="宋体" w:cs="宋体"/>
          <w:color w:val="auto"/>
          <w:spacing w:val="-4"/>
          <w:position w:val="12"/>
          <w:sz w:val="12"/>
          <w:szCs w:val="12"/>
          <w:highlight w:val="none"/>
        </w:rPr>
        <w:t>①</w:t>
      </w:r>
      <w:r>
        <w:rPr>
          <w:rFonts w:ascii="宋体" w:hAnsi="宋体" w:eastAsia="宋体" w:cs="宋体"/>
          <w:color w:val="auto"/>
          <w:spacing w:val="-4"/>
          <w:position w:val="12"/>
          <w:sz w:val="12"/>
          <w:szCs w:val="12"/>
          <w:highlight w:val="none"/>
        </w:rPr>
        <w:fldChar w:fldCharType="end"/>
      </w:r>
      <w:r>
        <w:rPr>
          <w:rFonts w:ascii="宋体" w:hAnsi="宋体" w:eastAsia="宋体" w:cs="宋体"/>
          <w:color w:val="auto"/>
          <w:spacing w:val="-4"/>
          <w:sz w:val="24"/>
          <w:szCs w:val="24"/>
          <w:highlight w:val="none"/>
        </w:rPr>
        <w:t>。</w:t>
      </w:r>
    </w:p>
    <w:p w14:paraId="4566D953">
      <w:pPr>
        <w:spacing w:before="1" w:line="218" w:lineRule="auto"/>
        <w:ind w:left="518"/>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以上评标委员会人数以实际参与评审的评标委</w:t>
      </w:r>
      <w:r>
        <w:rPr>
          <w:rFonts w:ascii="宋体" w:hAnsi="宋体" w:eastAsia="宋体" w:cs="宋体"/>
          <w:color w:val="auto"/>
          <w:spacing w:val="-2"/>
          <w:sz w:val="24"/>
          <w:szCs w:val="24"/>
          <w:highlight w:val="none"/>
        </w:rPr>
        <w:t>员会人数数量为准。</w:t>
      </w:r>
    </w:p>
    <w:p w14:paraId="3DAAD828">
      <w:pPr>
        <w:spacing w:line="246" w:lineRule="auto"/>
        <w:rPr>
          <w:rFonts w:ascii="Arial"/>
          <w:color w:val="auto"/>
          <w:sz w:val="21"/>
          <w:highlight w:val="none"/>
        </w:rPr>
      </w:pPr>
    </w:p>
    <w:p w14:paraId="6F2D5BE6">
      <w:pPr>
        <w:spacing w:before="78" w:line="219" w:lineRule="auto"/>
        <w:ind w:left="16"/>
        <w:outlineLvl w:val="1"/>
        <w:rPr>
          <w:rFonts w:ascii="宋体" w:hAnsi="宋体" w:eastAsia="宋体" w:cs="宋体"/>
          <w:color w:val="auto"/>
          <w:sz w:val="24"/>
          <w:szCs w:val="24"/>
          <w:highlight w:val="none"/>
        </w:rPr>
      </w:pPr>
      <w:bookmarkStart w:id="274" w:name="_Toc17607"/>
      <w:bookmarkStart w:id="275" w:name="_Toc10420"/>
      <w:bookmarkStart w:id="276" w:name="_Toc13217"/>
      <w:r>
        <w:rPr>
          <w:rFonts w:ascii="宋体" w:hAnsi="宋体" w:eastAsia="宋体" w:cs="宋体"/>
          <w:b/>
          <w:bCs/>
          <w:color w:val="auto"/>
          <w:spacing w:val="-3"/>
          <w:sz w:val="24"/>
          <w:szCs w:val="24"/>
          <w:highlight w:val="none"/>
        </w:rPr>
        <w:t>3.3</w:t>
      </w:r>
      <w:r>
        <w:rPr>
          <w:rFonts w:ascii="宋体" w:hAnsi="宋体" w:eastAsia="宋体" w:cs="宋体"/>
          <w:color w:val="auto"/>
          <w:spacing w:val="-3"/>
          <w:sz w:val="24"/>
          <w:szCs w:val="24"/>
          <w:highlight w:val="none"/>
        </w:rPr>
        <w:t xml:space="preserve"> </w:t>
      </w:r>
      <w:r>
        <w:rPr>
          <w:rFonts w:ascii="宋体" w:hAnsi="宋体" w:eastAsia="宋体" w:cs="宋体"/>
          <w:b/>
          <w:bCs/>
          <w:color w:val="auto"/>
          <w:spacing w:val="-3"/>
          <w:sz w:val="24"/>
          <w:szCs w:val="24"/>
          <w:highlight w:val="none"/>
        </w:rPr>
        <w:t>第二个信封开标</w:t>
      </w:r>
      <w:bookmarkEnd w:id="274"/>
      <w:bookmarkEnd w:id="275"/>
      <w:bookmarkEnd w:id="276"/>
    </w:p>
    <w:p w14:paraId="7F22ACBD">
      <w:pPr>
        <w:spacing w:before="51" w:line="361" w:lineRule="auto"/>
        <w:ind w:left="11" w:firstLine="480"/>
        <w:jc w:val="both"/>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第一个信封（商务及技术文件）评审结束后，招标人将按照第二章“投标人须知</w:t>
      </w:r>
      <w:r>
        <w:rPr>
          <w:rFonts w:ascii="宋体" w:hAnsi="宋体" w:eastAsia="宋体" w:cs="宋体"/>
          <w:color w:val="auto"/>
          <w:spacing w:val="-88"/>
          <w:sz w:val="24"/>
          <w:szCs w:val="24"/>
          <w:highlight w:val="none"/>
        </w:rPr>
        <w:t xml:space="preserve"> </w:t>
      </w:r>
      <w:r>
        <w:rPr>
          <w:rFonts w:ascii="宋体" w:hAnsi="宋体" w:eastAsia="宋体" w:cs="宋体"/>
          <w:color w:val="auto"/>
          <w:spacing w:val="2"/>
          <w:sz w:val="24"/>
          <w:szCs w:val="24"/>
          <w:highlight w:val="none"/>
        </w:rPr>
        <w:t>”</w:t>
      </w:r>
      <w:r>
        <w:rPr>
          <w:rFonts w:ascii="宋体" w:hAnsi="宋体" w:eastAsia="宋体" w:cs="宋体"/>
          <w:color w:val="auto"/>
          <w:spacing w:val="4"/>
          <w:sz w:val="24"/>
          <w:szCs w:val="24"/>
          <w:highlight w:val="none"/>
        </w:rPr>
        <w:t>第</w:t>
      </w:r>
      <w:r>
        <w:rPr>
          <w:rFonts w:ascii="宋体" w:hAnsi="宋体" w:eastAsia="宋体" w:cs="宋体"/>
          <w:color w:val="auto"/>
          <w:spacing w:val="-41"/>
          <w:sz w:val="24"/>
          <w:szCs w:val="24"/>
          <w:highlight w:val="none"/>
        </w:rPr>
        <w:t xml:space="preserve"> </w:t>
      </w:r>
      <w:r>
        <w:rPr>
          <w:rFonts w:ascii="宋体" w:hAnsi="宋体" w:eastAsia="宋体" w:cs="宋体"/>
          <w:color w:val="auto"/>
          <w:spacing w:val="4"/>
          <w:sz w:val="24"/>
          <w:szCs w:val="24"/>
          <w:highlight w:val="none"/>
        </w:rPr>
        <w:t>5.1</w:t>
      </w:r>
      <w:r>
        <w:rPr>
          <w:rFonts w:ascii="宋体" w:hAnsi="宋体" w:eastAsia="宋体" w:cs="宋体"/>
          <w:color w:val="auto"/>
          <w:spacing w:val="-42"/>
          <w:sz w:val="24"/>
          <w:szCs w:val="24"/>
          <w:highlight w:val="none"/>
        </w:rPr>
        <w:t xml:space="preserve"> </w:t>
      </w:r>
      <w:r>
        <w:rPr>
          <w:rFonts w:ascii="宋体" w:hAnsi="宋体" w:eastAsia="宋体" w:cs="宋体"/>
          <w:color w:val="auto"/>
          <w:spacing w:val="4"/>
          <w:sz w:val="24"/>
          <w:szCs w:val="24"/>
          <w:highlight w:val="none"/>
        </w:rPr>
        <w:t>款规定的时间和地点对通过投标文件第一个信封（商务及技</w:t>
      </w:r>
      <w:r>
        <w:rPr>
          <w:rFonts w:ascii="宋体" w:hAnsi="宋体" w:eastAsia="宋体" w:cs="宋体"/>
          <w:color w:val="auto"/>
          <w:spacing w:val="3"/>
          <w:sz w:val="24"/>
          <w:szCs w:val="24"/>
          <w:highlight w:val="none"/>
        </w:rPr>
        <w:t>术文件）评审的投</w:t>
      </w:r>
      <w:r>
        <w:rPr>
          <w:rFonts w:ascii="宋体" w:hAnsi="宋体" w:eastAsia="宋体" w:cs="宋体"/>
          <w:color w:val="auto"/>
          <w:spacing w:val="-1"/>
          <w:sz w:val="24"/>
          <w:szCs w:val="24"/>
          <w:highlight w:val="none"/>
        </w:rPr>
        <w:t>标文件第二个信封（报价文件）进行开标。</w:t>
      </w:r>
    </w:p>
    <w:p w14:paraId="171FF3BF">
      <w:pPr>
        <w:spacing w:before="136" w:line="219" w:lineRule="auto"/>
        <w:ind w:left="16"/>
        <w:outlineLvl w:val="1"/>
        <w:rPr>
          <w:rFonts w:ascii="宋体" w:hAnsi="宋体" w:eastAsia="宋体" w:cs="宋体"/>
          <w:color w:val="auto"/>
          <w:sz w:val="24"/>
          <w:szCs w:val="24"/>
          <w:highlight w:val="none"/>
        </w:rPr>
      </w:pPr>
      <w:bookmarkStart w:id="277" w:name="bookmark138"/>
      <w:bookmarkEnd w:id="277"/>
      <w:bookmarkStart w:id="278" w:name="_Toc24685"/>
      <w:bookmarkStart w:id="279" w:name="_Toc17635"/>
      <w:bookmarkStart w:id="280" w:name="_Toc1555"/>
      <w:r>
        <w:rPr>
          <w:rFonts w:ascii="宋体" w:hAnsi="宋体" w:eastAsia="宋体" w:cs="宋体"/>
          <w:b/>
          <w:bCs/>
          <w:color w:val="auto"/>
          <w:spacing w:val="-3"/>
          <w:sz w:val="24"/>
          <w:szCs w:val="24"/>
          <w:highlight w:val="none"/>
        </w:rPr>
        <w:t>3.4</w:t>
      </w:r>
      <w:r>
        <w:rPr>
          <w:rFonts w:ascii="宋体" w:hAnsi="宋体" w:eastAsia="宋体" w:cs="宋体"/>
          <w:color w:val="auto"/>
          <w:spacing w:val="-3"/>
          <w:sz w:val="24"/>
          <w:szCs w:val="24"/>
          <w:highlight w:val="none"/>
        </w:rPr>
        <w:t xml:space="preserve"> </w:t>
      </w:r>
      <w:r>
        <w:rPr>
          <w:rFonts w:ascii="宋体" w:hAnsi="宋体" w:eastAsia="宋体" w:cs="宋体"/>
          <w:b/>
          <w:bCs/>
          <w:color w:val="auto"/>
          <w:spacing w:val="-3"/>
          <w:sz w:val="24"/>
          <w:szCs w:val="24"/>
          <w:highlight w:val="none"/>
        </w:rPr>
        <w:t>第二个信封初步评审</w:t>
      </w:r>
      <w:bookmarkEnd w:id="278"/>
      <w:bookmarkEnd w:id="279"/>
      <w:bookmarkEnd w:id="280"/>
    </w:p>
    <w:p w14:paraId="570D90A3">
      <w:pPr>
        <w:spacing w:before="53" w:line="219" w:lineRule="auto"/>
        <w:ind w:left="496"/>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3.4.1 评标委员会依据本章第</w:t>
      </w:r>
      <w:r>
        <w:rPr>
          <w:rFonts w:ascii="宋体" w:hAnsi="宋体" w:eastAsia="宋体" w:cs="宋体"/>
          <w:color w:val="auto"/>
          <w:spacing w:val="-26"/>
          <w:sz w:val="24"/>
          <w:szCs w:val="24"/>
          <w:highlight w:val="none"/>
        </w:rPr>
        <w:t xml:space="preserve"> </w:t>
      </w:r>
      <w:r>
        <w:rPr>
          <w:rFonts w:ascii="宋体" w:hAnsi="宋体" w:eastAsia="宋体" w:cs="宋体"/>
          <w:color w:val="auto"/>
          <w:spacing w:val="2"/>
          <w:sz w:val="24"/>
          <w:szCs w:val="24"/>
          <w:highlight w:val="none"/>
        </w:rPr>
        <w:t>2.1.1</w:t>
      </w:r>
      <w:r>
        <w:rPr>
          <w:rFonts w:ascii="宋体" w:hAnsi="宋体" w:eastAsia="宋体" w:cs="宋体"/>
          <w:color w:val="auto"/>
          <w:spacing w:val="-39"/>
          <w:sz w:val="24"/>
          <w:szCs w:val="24"/>
          <w:highlight w:val="none"/>
        </w:rPr>
        <w:t xml:space="preserve"> </w:t>
      </w:r>
      <w:r>
        <w:rPr>
          <w:rFonts w:ascii="宋体" w:hAnsi="宋体" w:eastAsia="宋体" w:cs="宋体"/>
          <w:color w:val="auto"/>
          <w:spacing w:val="2"/>
          <w:sz w:val="24"/>
          <w:szCs w:val="24"/>
          <w:highlight w:val="none"/>
        </w:rPr>
        <w:t>项、第</w:t>
      </w:r>
      <w:r>
        <w:rPr>
          <w:rFonts w:ascii="宋体" w:hAnsi="宋体" w:eastAsia="宋体" w:cs="宋体"/>
          <w:color w:val="auto"/>
          <w:spacing w:val="-43"/>
          <w:sz w:val="24"/>
          <w:szCs w:val="24"/>
          <w:highlight w:val="none"/>
        </w:rPr>
        <w:t xml:space="preserve"> </w:t>
      </w:r>
      <w:r>
        <w:rPr>
          <w:rFonts w:ascii="宋体" w:hAnsi="宋体" w:eastAsia="宋体" w:cs="宋体"/>
          <w:color w:val="auto"/>
          <w:spacing w:val="2"/>
          <w:sz w:val="24"/>
          <w:szCs w:val="24"/>
          <w:highlight w:val="none"/>
        </w:rPr>
        <w:t>2.1.3</w:t>
      </w:r>
      <w:r>
        <w:rPr>
          <w:rFonts w:ascii="宋体" w:hAnsi="宋体" w:eastAsia="宋体" w:cs="宋体"/>
          <w:color w:val="auto"/>
          <w:spacing w:val="-40"/>
          <w:sz w:val="24"/>
          <w:szCs w:val="24"/>
          <w:highlight w:val="none"/>
        </w:rPr>
        <w:t xml:space="preserve"> </w:t>
      </w:r>
      <w:r>
        <w:rPr>
          <w:rFonts w:ascii="宋体" w:hAnsi="宋体" w:eastAsia="宋体" w:cs="宋体"/>
          <w:color w:val="auto"/>
          <w:spacing w:val="2"/>
          <w:sz w:val="24"/>
          <w:szCs w:val="24"/>
          <w:highlight w:val="none"/>
        </w:rPr>
        <w:t>项规定的评审标准对投标文件</w:t>
      </w:r>
    </w:p>
    <w:p w14:paraId="10FE07A6">
      <w:pPr>
        <w:spacing w:line="319" w:lineRule="auto"/>
        <w:rPr>
          <w:rFonts w:ascii="Arial"/>
          <w:color w:val="auto"/>
          <w:sz w:val="21"/>
          <w:highlight w:val="none"/>
        </w:rPr>
      </w:pPr>
      <w:r>
        <w:rPr>
          <w:color w:val="auto"/>
          <w:highlight w:val="none"/>
        </w:rPr>
        <w:pict>
          <v:shape id="_x0000_s1082" o:spid="_x0000_s1082" style="position:absolute;left:0pt;margin-left:0.15pt;margin-top:11.55pt;height:0pt;width:144pt;z-index:251695104;mso-width-relative:page;mso-height-relative:page;" filled="f" stroked="t" coordsize="2880,0" path="m0,0l2880,0e">
            <v:fill on="f" focussize="0,0"/>
            <v:stroke weight="0pt" color="#000000" miterlimit="0" joinstyle="bevel" endcap="square"/>
            <v:imagedata o:title=""/>
            <o:lock v:ext="edit"/>
          </v:shape>
        </w:pict>
      </w:r>
    </w:p>
    <w:p w14:paraId="0293B18D">
      <w:pPr>
        <w:spacing w:before="59" w:line="232" w:lineRule="auto"/>
        <w:ind w:left="8" w:right="235"/>
        <w:rPr>
          <w:rFonts w:ascii="宋体" w:hAnsi="宋体" w:eastAsia="宋体" w:cs="宋体"/>
          <w:color w:val="auto"/>
          <w:sz w:val="18"/>
          <w:szCs w:val="18"/>
          <w:highlight w:val="none"/>
        </w:rPr>
      </w:pPr>
      <w:r>
        <w:rPr>
          <w:rFonts w:ascii="宋体" w:hAnsi="宋体" w:eastAsia="宋体" w:cs="宋体"/>
          <w:color w:val="auto"/>
          <w:sz w:val="18"/>
          <w:szCs w:val="18"/>
          <w:highlight w:val="none"/>
        </w:rPr>
        <w:t>① 本项适用于实际参与评审的评标委员会人数数量为</w:t>
      </w:r>
      <w:r>
        <w:rPr>
          <w:rFonts w:ascii="宋体" w:hAnsi="宋体" w:eastAsia="宋体" w:cs="宋体"/>
          <w:color w:val="auto"/>
          <w:spacing w:val="-33"/>
          <w:sz w:val="18"/>
          <w:szCs w:val="18"/>
          <w:highlight w:val="none"/>
        </w:rPr>
        <w:t xml:space="preserve"> </w:t>
      </w:r>
      <w:r>
        <w:rPr>
          <w:rFonts w:ascii="宋体" w:hAnsi="宋体" w:eastAsia="宋体" w:cs="宋体"/>
          <w:color w:val="auto"/>
          <w:spacing w:val="-1"/>
          <w:sz w:val="18"/>
          <w:szCs w:val="18"/>
          <w:highlight w:val="none"/>
        </w:rPr>
        <w:t>7</w:t>
      </w:r>
      <w:r>
        <w:rPr>
          <w:rFonts w:ascii="宋体" w:hAnsi="宋体" w:eastAsia="宋体" w:cs="宋体"/>
          <w:color w:val="auto"/>
          <w:spacing w:val="-38"/>
          <w:sz w:val="18"/>
          <w:szCs w:val="18"/>
          <w:highlight w:val="none"/>
        </w:rPr>
        <w:t xml:space="preserve"> </w:t>
      </w:r>
      <w:r>
        <w:rPr>
          <w:rFonts w:ascii="宋体" w:hAnsi="宋体" w:eastAsia="宋体" w:cs="宋体"/>
          <w:color w:val="auto"/>
          <w:spacing w:val="-1"/>
          <w:sz w:val="18"/>
          <w:szCs w:val="18"/>
          <w:highlight w:val="none"/>
        </w:rPr>
        <w:t>人的情形。（包括由于符合相关规定的特殊原因评标委员会人数由9</w:t>
      </w:r>
      <w:r>
        <w:rPr>
          <w:rFonts w:ascii="宋体" w:hAnsi="宋体" w:eastAsia="宋体" w:cs="宋体"/>
          <w:color w:val="auto"/>
          <w:spacing w:val="-36"/>
          <w:sz w:val="18"/>
          <w:szCs w:val="18"/>
          <w:highlight w:val="none"/>
        </w:rPr>
        <w:t xml:space="preserve"> </w:t>
      </w:r>
      <w:r>
        <w:rPr>
          <w:rFonts w:ascii="宋体" w:hAnsi="宋体" w:eastAsia="宋体" w:cs="宋体"/>
          <w:color w:val="auto"/>
          <w:spacing w:val="-1"/>
          <w:sz w:val="18"/>
          <w:szCs w:val="18"/>
          <w:highlight w:val="none"/>
        </w:rPr>
        <w:t>人变为</w:t>
      </w:r>
      <w:r>
        <w:rPr>
          <w:rFonts w:ascii="宋体" w:hAnsi="宋体" w:eastAsia="宋体" w:cs="宋体"/>
          <w:color w:val="auto"/>
          <w:spacing w:val="-34"/>
          <w:sz w:val="18"/>
          <w:szCs w:val="18"/>
          <w:highlight w:val="none"/>
        </w:rPr>
        <w:t xml:space="preserve"> </w:t>
      </w:r>
      <w:r>
        <w:rPr>
          <w:rFonts w:ascii="宋体" w:hAnsi="宋体" w:eastAsia="宋体" w:cs="宋体"/>
          <w:color w:val="auto"/>
          <w:spacing w:val="-1"/>
          <w:sz w:val="18"/>
          <w:szCs w:val="18"/>
          <w:highlight w:val="none"/>
        </w:rPr>
        <w:t>7</w:t>
      </w:r>
      <w:r>
        <w:rPr>
          <w:rFonts w:ascii="宋体" w:hAnsi="宋体" w:eastAsia="宋体" w:cs="宋体"/>
          <w:color w:val="auto"/>
          <w:spacing w:val="-37"/>
          <w:sz w:val="18"/>
          <w:szCs w:val="18"/>
          <w:highlight w:val="none"/>
        </w:rPr>
        <w:t xml:space="preserve"> </w:t>
      </w:r>
      <w:r>
        <w:rPr>
          <w:rFonts w:ascii="宋体" w:hAnsi="宋体" w:eastAsia="宋体" w:cs="宋体"/>
          <w:color w:val="auto"/>
          <w:spacing w:val="-1"/>
          <w:sz w:val="18"/>
          <w:szCs w:val="18"/>
          <w:highlight w:val="none"/>
        </w:rPr>
        <w:t>人的情形</w:t>
      </w:r>
      <w:r>
        <w:rPr>
          <w:rFonts w:ascii="宋体" w:hAnsi="宋体" w:eastAsia="宋体" w:cs="宋体"/>
          <w:color w:val="auto"/>
          <w:spacing w:val="9"/>
          <w:sz w:val="18"/>
          <w:szCs w:val="18"/>
          <w:highlight w:val="none"/>
        </w:rPr>
        <w:t>），</w:t>
      </w:r>
      <w:r>
        <w:rPr>
          <w:rFonts w:ascii="宋体" w:hAnsi="宋体" w:eastAsia="宋体" w:cs="宋体"/>
          <w:color w:val="auto"/>
          <w:spacing w:val="-1"/>
          <w:sz w:val="18"/>
          <w:szCs w:val="18"/>
          <w:highlight w:val="none"/>
        </w:rPr>
        <w:t>如果特殊原因评标委员会人数由</w:t>
      </w:r>
      <w:r>
        <w:rPr>
          <w:rFonts w:ascii="宋体" w:hAnsi="宋体" w:eastAsia="宋体" w:cs="宋体"/>
          <w:color w:val="auto"/>
          <w:spacing w:val="-33"/>
          <w:sz w:val="18"/>
          <w:szCs w:val="18"/>
          <w:highlight w:val="none"/>
        </w:rPr>
        <w:t xml:space="preserve"> </w:t>
      </w:r>
      <w:r>
        <w:rPr>
          <w:rFonts w:ascii="宋体" w:hAnsi="宋体" w:eastAsia="宋体" w:cs="宋体"/>
          <w:color w:val="auto"/>
          <w:spacing w:val="-1"/>
          <w:sz w:val="18"/>
          <w:szCs w:val="18"/>
          <w:highlight w:val="none"/>
        </w:rPr>
        <w:t>7</w:t>
      </w:r>
      <w:r>
        <w:rPr>
          <w:rFonts w:ascii="宋体" w:hAnsi="宋体" w:eastAsia="宋体" w:cs="宋体"/>
          <w:color w:val="auto"/>
          <w:spacing w:val="-37"/>
          <w:sz w:val="18"/>
          <w:szCs w:val="18"/>
          <w:highlight w:val="none"/>
        </w:rPr>
        <w:t xml:space="preserve"> </w:t>
      </w:r>
      <w:r>
        <w:rPr>
          <w:rFonts w:ascii="宋体" w:hAnsi="宋体" w:eastAsia="宋体" w:cs="宋体"/>
          <w:color w:val="auto"/>
          <w:spacing w:val="-1"/>
          <w:sz w:val="18"/>
          <w:szCs w:val="18"/>
          <w:highlight w:val="none"/>
        </w:rPr>
        <w:t>人变为</w:t>
      </w:r>
      <w:r>
        <w:rPr>
          <w:rFonts w:ascii="宋体" w:hAnsi="宋体" w:eastAsia="宋体" w:cs="宋体"/>
          <w:color w:val="auto"/>
          <w:spacing w:val="-34"/>
          <w:sz w:val="18"/>
          <w:szCs w:val="18"/>
          <w:highlight w:val="none"/>
        </w:rPr>
        <w:t xml:space="preserve"> </w:t>
      </w:r>
      <w:r>
        <w:rPr>
          <w:rFonts w:ascii="宋体" w:hAnsi="宋体" w:eastAsia="宋体" w:cs="宋体"/>
          <w:color w:val="auto"/>
          <w:spacing w:val="-1"/>
          <w:sz w:val="18"/>
          <w:szCs w:val="18"/>
          <w:highlight w:val="none"/>
        </w:rPr>
        <w:t>5</w:t>
      </w:r>
      <w:r>
        <w:rPr>
          <w:rFonts w:ascii="宋体" w:hAnsi="宋体" w:eastAsia="宋体" w:cs="宋体"/>
          <w:color w:val="auto"/>
          <w:spacing w:val="-37"/>
          <w:sz w:val="18"/>
          <w:szCs w:val="18"/>
          <w:highlight w:val="none"/>
        </w:rPr>
        <w:t xml:space="preserve"> </w:t>
      </w:r>
      <w:r>
        <w:rPr>
          <w:rFonts w:ascii="宋体" w:hAnsi="宋体" w:eastAsia="宋体" w:cs="宋体"/>
          <w:color w:val="auto"/>
          <w:spacing w:val="-1"/>
          <w:sz w:val="18"/>
          <w:szCs w:val="18"/>
          <w:highlight w:val="none"/>
        </w:rPr>
        <w:t>人的情形，对各评分因素细分项算术平均值的和为投标人的最终技术得分，平均值计算保留小数点后四位，小数点后第五位“</w:t>
      </w:r>
      <w:r>
        <w:rPr>
          <w:rFonts w:ascii="宋体" w:hAnsi="宋体" w:eastAsia="宋体" w:cs="宋体"/>
          <w:color w:val="auto"/>
          <w:spacing w:val="-52"/>
          <w:sz w:val="18"/>
          <w:szCs w:val="18"/>
          <w:highlight w:val="none"/>
        </w:rPr>
        <w:t xml:space="preserve"> </w:t>
      </w:r>
      <w:r>
        <w:rPr>
          <w:rFonts w:ascii="宋体" w:hAnsi="宋体" w:eastAsia="宋体" w:cs="宋体"/>
          <w:color w:val="auto"/>
          <w:spacing w:val="-1"/>
          <w:sz w:val="18"/>
          <w:szCs w:val="18"/>
          <w:highlight w:val="none"/>
        </w:rPr>
        <w:t>四舍五入</w:t>
      </w:r>
      <w:r>
        <w:rPr>
          <w:rFonts w:ascii="宋体" w:hAnsi="宋体" w:eastAsia="宋体" w:cs="宋体"/>
          <w:color w:val="auto"/>
          <w:spacing w:val="-66"/>
          <w:sz w:val="18"/>
          <w:szCs w:val="18"/>
          <w:highlight w:val="none"/>
        </w:rPr>
        <w:t xml:space="preserve"> </w:t>
      </w:r>
      <w:r>
        <w:rPr>
          <w:rFonts w:ascii="宋体" w:hAnsi="宋体" w:eastAsia="宋体" w:cs="宋体"/>
          <w:color w:val="auto"/>
          <w:spacing w:val="-1"/>
          <w:sz w:val="18"/>
          <w:szCs w:val="18"/>
          <w:highlight w:val="none"/>
        </w:rPr>
        <w:t>”。</w:t>
      </w:r>
    </w:p>
    <w:p w14:paraId="40D39995">
      <w:pPr>
        <w:spacing w:line="232" w:lineRule="auto"/>
        <w:rPr>
          <w:rFonts w:ascii="宋体" w:hAnsi="宋体" w:eastAsia="宋体" w:cs="宋体"/>
          <w:color w:val="auto"/>
          <w:sz w:val="18"/>
          <w:szCs w:val="18"/>
          <w:highlight w:val="none"/>
        </w:rPr>
        <w:sectPr>
          <w:footerReference r:id="rId52" w:type="default"/>
          <w:pgSz w:w="11906" w:h="16839"/>
          <w:pgMar w:top="1405" w:right="1255" w:bottom="1297" w:left="1413" w:header="0" w:footer="1066" w:gutter="0"/>
          <w:pgNumType w:fmt="decimal"/>
          <w:cols w:space="720" w:num="1"/>
        </w:sectPr>
      </w:pPr>
    </w:p>
    <w:p w14:paraId="3828D22B">
      <w:pPr>
        <w:spacing w:before="48" w:line="359" w:lineRule="auto"/>
        <w:ind w:left="15" w:right="128" w:hanging="7"/>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第二个信封（报价文件）进行初步评审。有一项不符合评审标准的，评标委</w:t>
      </w:r>
      <w:r>
        <w:rPr>
          <w:rFonts w:ascii="宋体" w:hAnsi="宋体" w:eastAsia="宋体" w:cs="宋体"/>
          <w:color w:val="auto"/>
          <w:spacing w:val="4"/>
          <w:sz w:val="24"/>
          <w:szCs w:val="24"/>
          <w:highlight w:val="none"/>
        </w:rPr>
        <w:t>员会应否</w:t>
      </w:r>
      <w:r>
        <w:rPr>
          <w:rFonts w:ascii="宋体" w:hAnsi="宋体" w:eastAsia="宋体" w:cs="宋体"/>
          <w:color w:val="auto"/>
          <w:spacing w:val="-4"/>
          <w:sz w:val="24"/>
          <w:szCs w:val="24"/>
          <w:highlight w:val="none"/>
        </w:rPr>
        <w:t>决其投标。</w:t>
      </w:r>
    </w:p>
    <w:p w14:paraId="620E795C">
      <w:pPr>
        <w:spacing w:before="2" w:line="358" w:lineRule="auto"/>
        <w:ind w:left="13" w:right="128" w:firstLine="480"/>
        <w:jc w:val="both"/>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3.4.2 投标报价有算术错误的，评标委员会按以</w:t>
      </w:r>
      <w:r>
        <w:rPr>
          <w:rFonts w:ascii="宋体" w:hAnsi="宋体" w:eastAsia="宋体" w:cs="宋体"/>
          <w:color w:val="auto"/>
          <w:spacing w:val="4"/>
          <w:sz w:val="24"/>
          <w:szCs w:val="24"/>
          <w:highlight w:val="none"/>
        </w:rPr>
        <w:t>下原则对投标报价进行修正，修</w:t>
      </w:r>
      <w:r>
        <w:rPr>
          <w:rFonts w:ascii="宋体" w:hAnsi="宋体" w:eastAsia="宋体" w:cs="宋体"/>
          <w:color w:val="auto"/>
          <w:spacing w:val="5"/>
          <w:sz w:val="24"/>
          <w:szCs w:val="24"/>
          <w:highlight w:val="none"/>
        </w:rPr>
        <w:t>正的价格经投标人书面确认后具有约束力。投标人不接受修正价</w:t>
      </w:r>
      <w:r>
        <w:rPr>
          <w:rFonts w:ascii="宋体" w:hAnsi="宋体" w:eastAsia="宋体" w:cs="宋体"/>
          <w:color w:val="auto"/>
          <w:spacing w:val="4"/>
          <w:sz w:val="24"/>
          <w:szCs w:val="24"/>
          <w:highlight w:val="none"/>
        </w:rPr>
        <w:t>格的，评标委员会应</w:t>
      </w:r>
      <w:r>
        <w:rPr>
          <w:rFonts w:ascii="宋体" w:hAnsi="宋体" w:eastAsia="宋体" w:cs="宋体"/>
          <w:color w:val="auto"/>
          <w:spacing w:val="-3"/>
          <w:sz w:val="24"/>
          <w:szCs w:val="24"/>
          <w:highlight w:val="none"/>
        </w:rPr>
        <w:t>否决其投标。</w:t>
      </w:r>
    </w:p>
    <w:p w14:paraId="453489D1">
      <w:pPr>
        <w:spacing w:line="219" w:lineRule="auto"/>
        <w:ind w:left="499"/>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（1）投标文件中的大写金额与小写金额不一致的，以大写金额为准；</w:t>
      </w:r>
    </w:p>
    <w:p w14:paraId="4F1AAAF4">
      <w:pPr>
        <w:spacing w:before="182" w:line="288" w:lineRule="auto"/>
        <w:ind w:left="10" w:right="128" w:firstLine="489"/>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（2）总价金额与依据单价计算出的结果不一致的，以单价金额为准修正总价，但</w:t>
      </w:r>
      <w:r>
        <w:rPr>
          <w:rFonts w:ascii="宋体" w:hAnsi="宋体" w:eastAsia="宋体" w:cs="宋体"/>
          <w:color w:val="auto"/>
          <w:spacing w:val="-1"/>
          <w:sz w:val="24"/>
          <w:szCs w:val="24"/>
          <w:highlight w:val="none"/>
        </w:rPr>
        <w:t>单价金额小数点有明显错误的除外；</w:t>
      </w:r>
    </w:p>
    <w:p w14:paraId="6E46FA40">
      <w:pPr>
        <w:spacing w:before="185" w:line="288" w:lineRule="auto"/>
        <w:ind w:left="20" w:right="128" w:firstLine="479"/>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（3）当单价与数量相乘不等于合价时，以单价计算为准，如果单价有明显的小数</w:t>
      </w:r>
      <w:r>
        <w:rPr>
          <w:rFonts w:ascii="宋体" w:hAnsi="宋体" w:eastAsia="宋体" w:cs="宋体"/>
          <w:color w:val="auto"/>
          <w:spacing w:val="-1"/>
          <w:sz w:val="24"/>
          <w:szCs w:val="24"/>
          <w:highlight w:val="none"/>
        </w:rPr>
        <w:t>点位置差错，应以标出的合价为准，同时对单价予以修正；</w:t>
      </w:r>
    </w:p>
    <w:p w14:paraId="0AB1DC22">
      <w:pPr>
        <w:spacing w:before="184" w:line="218" w:lineRule="auto"/>
        <w:jc w:val="right"/>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（4）当各子目的合价累计不等于总价时，应以各子目合价累计数为准，修正总价。</w:t>
      </w:r>
    </w:p>
    <w:p w14:paraId="6D8F539A">
      <w:pPr>
        <w:spacing w:before="183" w:line="290" w:lineRule="auto"/>
        <w:ind w:left="9" w:right="128" w:firstLine="483"/>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3.4.3 修正后的最终投标报价若超过最高投标限价（如有</w:t>
      </w:r>
      <w:r>
        <w:rPr>
          <w:rFonts w:ascii="宋体" w:hAnsi="宋体" w:eastAsia="宋体" w:cs="宋体"/>
          <w:color w:val="auto"/>
          <w:spacing w:val="16"/>
          <w:sz w:val="24"/>
          <w:szCs w:val="24"/>
          <w:highlight w:val="none"/>
        </w:rPr>
        <w:t>），</w:t>
      </w:r>
      <w:r>
        <w:rPr>
          <w:rFonts w:ascii="宋体" w:hAnsi="宋体" w:eastAsia="宋体" w:cs="宋体"/>
          <w:color w:val="auto"/>
          <w:spacing w:val="4"/>
          <w:sz w:val="24"/>
          <w:szCs w:val="24"/>
          <w:highlight w:val="none"/>
        </w:rPr>
        <w:t>评标委员会应否决</w:t>
      </w:r>
      <w:r>
        <w:rPr>
          <w:rFonts w:ascii="宋体" w:hAnsi="宋体" w:eastAsia="宋体" w:cs="宋体"/>
          <w:color w:val="auto"/>
          <w:spacing w:val="-3"/>
          <w:sz w:val="24"/>
          <w:szCs w:val="24"/>
          <w:highlight w:val="none"/>
        </w:rPr>
        <w:t>其投标。</w:t>
      </w:r>
    </w:p>
    <w:p w14:paraId="33E08066">
      <w:pPr>
        <w:spacing w:before="181" w:line="289" w:lineRule="auto"/>
        <w:ind w:left="8" w:right="128" w:firstLine="484"/>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3.4.4 修正后的最终投标报价仅作为签订合同的</w:t>
      </w:r>
      <w:r>
        <w:rPr>
          <w:rFonts w:ascii="宋体" w:hAnsi="宋体" w:eastAsia="宋体" w:cs="宋体"/>
          <w:color w:val="auto"/>
          <w:spacing w:val="4"/>
          <w:sz w:val="24"/>
          <w:szCs w:val="24"/>
          <w:highlight w:val="none"/>
        </w:rPr>
        <w:t>一个依据，不参与评标价得分的</w:t>
      </w:r>
      <w:r>
        <w:rPr>
          <w:rFonts w:ascii="宋体" w:hAnsi="宋体" w:eastAsia="宋体" w:cs="宋体"/>
          <w:color w:val="auto"/>
          <w:spacing w:val="-4"/>
          <w:sz w:val="24"/>
          <w:szCs w:val="24"/>
          <w:highlight w:val="none"/>
        </w:rPr>
        <w:t>计算。</w:t>
      </w:r>
    </w:p>
    <w:p w14:paraId="28832C12">
      <w:pPr>
        <w:spacing w:line="245" w:lineRule="auto"/>
        <w:rPr>
          <w:rFonts w:ascii="Arial"/>
          <w:color w:val="auto"/>
          <w:sz w:val="21"/>
          <w:highlight w:val="none"/>
        </w:rPr>
      </w:pPr>
    </w:p>
    <w:p w14:paraId="0CA6DA73">
      <w:pPr>
        <w:spacing w:before="78" w:line="219" w:lineRule="auto"/>
        <w:ind w:left="13"/>
        <w:outlineLvl w:val="1"/>
        <w:rPr>
          <w:rFonts w:ascii="宋体" w:hAnsi="宋体" w:eastAsia="宋体" w:cs="宋体"/>
          <w:color w:val="auto"/>
          <w:sz w:val="24"/>
          <w:szCs w:val="24"/>
          <w:highlight w:val="none"/>
        </w:rPr>
      </w:pPr>
      <w:bookmarkStart w:id="281" w:name="_Toc18458"/>
      <w:bookmarkStart w:id="282" w:name="_Toc32318"/>
      <w:bookmarkStart w:id="283" w:name="_Toc11538"/>
      <w:r>
        <w:rPr>
          <w:rFonts w:ascii="宋体" w:hAnsi="宋体" w:eastAsia="宋体" w:cs="宋体"/>
          <w:b/>
          <w:bCs/>
          <w:color w:val="auto"/>
          <w:spacing w:val="-3"/>
          <w:sz w:val="24"/>
          <w:szCs w:val="24"/>
          <w:highlight w:val="none"/>
        </w:rPr>
        <w:t>3.5</w:t>
      </w:r>
      <w:r>
        <w:rPr>
          <w:rFonts w:ascii="宋体" w:hAnsi="宋体" w:eastAsia="宋体" w:cs="宋体"/>
          <w:color w:val="auto"/>
          <w:spacing w:val="-3"/>
          <w:sz w:val="24"/>
          <w:szCs w:val="24"/>
          <w:highlight w:val="none"/>
        </w:rPr>
        <w:t xml:space="preserve"> </w:t>
      </w:r>
      <w:r>
        <w:rPr>
          <w:rFonts w:ascii="宋体" w:hAnsi="宋体" w:eastAsia="宋体" w:cs="宋体"/>
          <w:b/>
          <w:bCs/>
          <w:color w:val="auto"/>
          <w:spacing w:val="-3"/>
          <w:sz w:val="24"/>
          <w:szCs w:val="24"/>
          <w:highlight w:val="none"/>
        </w:rPr>
        <w:t>第二个信封详细评审</w:t>
      </w:r>
      <w:bookmarkEnd w:id="281"/>
      <w:bookmarkEnd w:id="282"/>
      <w:bookmarkEnd w:id="283"/>
    </w:p>
    <w:p w14:paraId="62249AC3">
      <w:pPr>
        <w:spacing w:before="54" w:line="288" w:lineRule="auto"/>
        <w:ind w:left="28" w:right="128" w:firstLine="464"/>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3.5.1 评标委员会按本章第</w:t>
      </w:r>
      <w:r>
        <w:rPr>
          <w:rFonts w:ascii="宋体" w:hAnsi="宋体" w:eastAsia="宋体" w:cs="宋体"/>
          <w:color w:val="auto"/>
          <w:spacing w:val="-38"/>
          <w:sz w:val="24"/>
          <w:szCs w:val="24"/>
          <w:highlight w:val="none"/>
        </w:rPr>
        <w:t xml:space="preserve"> </w:t>
      </w:r>
      <w:r>
        <w:rPr>
          <w:rFonts w:ascii="宋体" w:hAnsi="宋体" w:eastAsia="宋体" w:cs="宋体"/>
          <w:color w:val="auto"/>
          <w:spacing w:val="-1"/>
          <w:sz w:val="24"/>
          <w:szCs w:val="24"/>
          <w:highlight w:val="none"/>
        </w:rPr>
        <w:t>2.2.4</w:t>
      </w:r>
      <w:r>
        <w:rPr>
          <w:rFonts w:ascii="宋体" w:hAnsi="宋体" w:eastAsia="宋体" w:cs="宋体"/>
          <w:color w:val="auto"/>
          <w:spacing w:val="-45"/>
          <w:sz w:val="24"/>
          <w:szCs w:val="24"/>
          <w:highlight w:val="none"/>
        </w:rPr>
        <w:t xml:space="preserve"> </w:t>
      </w:r>
      <w:r>
        <w:rPr>
          <w:rFonts w:ascii="宋体" w:hAnsi="宋体" w:eastAsia="宋体" w:cs="宋体"/>
          <w:color w:val="auto"/>
          <w:spacing w:val="-1"/>
          <w:sz w:val="24"/>
          <w:szCs w:val="24"/>
          <w:highlight w:val="none"/>
        </w:rPr>
        <w:t>项（3）</w:t>
      </w:r>
      <w:r>
        <w:rPr>
          <w:rFonts w:ascii="宋体" w:hAnsi="宋体" w:eastAsia="宋体" w:cs="宋体"/>
          <w:color w:val="auto"/>
          <w:spacing w:val="-60"/>
          <w:sz w:val="24"/>
          <w:szCs w:val="24"/>
          <w:highlight w:val="none"/>
        </w:rPr>
        <w:t xml:space="preserve"> </w:t>
      </w:r>
      <w:r>
        <w:rPr>
          <w:rFonts w:ascii="宋体" w:hAnsi="宋体" w:eastAsia="宋体" w:cs="宋体"/>
          <w:color w:val="auto"/>
          <w:spacing w:val="-1"/>
          <w:sz w:val="24"/>
          <w:szCs w:val="24"/>
          <w:highlight w:val="none"/>
        </w:rPr>
        <w:t>目规定的评审因素和分值对评标价计算</w:t>
      </w:r>
      <w:r>
        <w:rPr>
          <w:rFonts w:ascii="宋体" w:hAnsi="宋体" w:eastAsia="宋体" w:cs="宋体"/>
          <w:color w:val="auto"/>
          <w:spacing w:val="-2"/>
          <w:sz w:val="24"/>
          <w:szCs w:val="24"/>
          <w:highlight w:val="none"/>
        </w:rPr>
        <w:t>出得分</w:t>
      </w:r>
      <w:r>
        <w:rPr>
          <w:rFonts w:ascii="宋体" w:hAnsi="宋体" w:eastAsia="宋体" w:cs="宋体"/>
          <w:color w:val="auto"/>
          <w:spacing w:val="-48"/>
          <w:sz w:val="24"/>
          <w:szCs w:val="24"/>
          <w:highlight w:val="none"/>
        </w:rPr>
        <w:t xml:space="preserve"> </w:t>
      </w:r>
      <w:r>
        <w:rPr>
          <w:rFonts w:ascii="宋体" w:hAnsi="宋体" w:eastAsia="宋体" w:cs="宋体"/>
          <w:color w:val="auto"/>
          <w:spacing w:val="-2"/>
          <w:sz w:val="24"/>
          <w:szCs w:val="24"/>
          <w:highlight w:val="none"/>
        </w:rPr>
        <w:t>C。评标价得分分值计算保留小数点后四位，小数点后第五位“</w:t>
      </w:r>
      <w:r>
        <w:rPr>
          <w:rFonts w:ascii="宋体" w:hAnsi="宋体" w:eastAsia="宋体" w:cs="宋体"/>
          <w:color w:val="auto"/>
          <w:spacing w:val="-89"/>
          <w:sz w:val="24"/>
          <w:szCs w:val="24"/>
          <w:highlight w:val="none"/>
        </w:rPr>
        <w:t xml:space="preserve"> </w:t>
      </w:r>
      <w:r>
        <w:rPr>
          <w:rFonts w:ascii="宋体" w:hAnsi="宋体" w:eastAsia="宋体" w:cs="宋体"/>
          <w:color w:val="auto"/>
          <w:spacing w:val="-2"/>
          <w:sz w:val="24"/>
          <w:szCs w:val="24"/>
          <w:highlight w:val="none"/>
        </w:rPr>
        <w:t>四舍五入</w:t>
      </w:r>
      <w:r>
        <w:rPr>
          <w:rFonts w:ascii="宋体" w:hAnsi="宋体" w:eastAsia="宋体" w:cs="宋体"/>
          <w:color w:val="auto"/>
          <w:spacing w:val="-88"/>
          <w:sz w:val="24"/>
          <w:szCs w:val="24"/>
          <w:highlight w:val="none"/>
        </w:rPr>
        <w:t xml:space="preserve"> </w:t>
      </w:r>
      <w:r>
        <w:rPr>
          <w:rFonts w:ascii="宋体" w:hAnsi="宋体" w:eastAsia="宋体" w:cs="宋体"/>
          <w:color w:val="auto"/>
          <w:spacing w:val="-2"/>
          <w:sz w:val="24"/>
          <w:szCs w:val="24"/>
          <w:highlight w:val="none"/>
        </w:rPr>
        <w:t>”。</w:t>
      </w:r>
    </w:p>
    <w:p w14:paraId="4D61444E">
      <w:pPr>
        <w:spacing w:before="183" w:line="219" w:lineRule="auto"/>
        <w:ind w:left="493"/>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3.5.2 投标人综合得分=投标人的商务和技术得分+C。</w:t>
      </w:r>
    </w:p>
    <w:p w14:paraId="2B9736A8">
      <w:pPr>
        <w:spacing w:before="182" w:line="324" w:lineRule="auto"/>
        <w:ind w:left="9" w:right="128" w:firstLine="483"/>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3.5.3 评标委员会发现投标人的报价明显低于其</w:t>
      </w:r>
      <w:r>
        <w:rPr>
          <w:rFonts w:ascii="宋体" w:hAnsi="宋体" w:eastAsia="宋体" w:cs="宋体"/>
          <w:color w:val="auto"/>
          <w:spacing w:val="4"/>
          <w:sz w:val="24"/>
          <w:szCs w:val="24"/>
          <w:highlight w:val="none"/>
        </w:rPr>
        <w:t>他投标报价，使得其投标报价可</w:t>
      </w:r>
      <w:r>
        <w:rPr>
          <w:rFonts w:ascii="宋体" w:hAnsi="宋体" w:eastAsia="宋体" w:cs="宋体"/>
          <w:color w:val="auto"/>
          <w:spacing w:val="5"/>
          <w:sz w:val="24"/>
          <w:szCs w:val="24"/>
          <w:highlight w:val="none"/>
        </w:rPr>
        <w:t>能低于其个别成本的，应要求该投标人作出书面说明并提供相应的证明材</w:t>
      </w:r>
      <w:r>
        <w:rPr>
          <w:rFonts w:ascii="宋体" w:hAnsi="宋体" w:eastAsia="宋体" w:cs="宋体"/>
          <w:color w:val="auto"/>
          <w:spacing w:val="4"/>
          <w:sz w:val="24"/>
          <w:szCs w:val="24"/>
          <w:highlight w:val="none"/>
        </w:rPr>
        <w:t>料。投标人</w:t>
      </w:r>
      <w:r>
        <w:rPr>
          <w:rFonts w:ascii="宋体" w:hAnsi="宋体" w:eastAsia="宋体" w:cs="宋体"/>
          <w:color w:val="auto"/>
          <w:spacing w:val="5"/>
          <w:sz w:val="24"/>
          <w:szCs w:val="24"/>
          <w:highlight w:val="none"/>
        </w:rPr>
        <w:t>不能合理说明或不能提供相应证明材料的，评标委员会应认定该投标人以</w:t>
      </w:r>
      <w:r>
        <w:rPr>
          <w:rFonts w:ascii="宋体" w:hAnsi="宋体" w:eastAsia="宋体" w:cs="宋体"/>
          <w:color w:val="auto"/>
          <w:spacing w:val="4"/>
          <w:sz w:val="24"/>
          <w:szCs w:val="24"/>
          <w:highlight w:val="none"/>
        </w:rPr>
        <w:t>低于成本报</w:t>
      </w:r>
      <w:r>
        <w:rPr>
          <w:rFonts w:ascii="宋体" w:hAnsi="宋体" w:eastAsia="宋体" w:cs="宋体"/>
          <w:color w:val="auto"/>
          <w:spacing w:val="-1"/>
          <w:sz w:val="24"/>
          <w:szCs w:val="24"/>
          <w:highlight w:val="none"/>
        </w:rPr>
        <w:t>价竞标，并否决其投标。</w:t>
      </w:r>
    </w:p>
    <w:p w14:paraId="2D693936">
      <w:pPr>
        <w:spacing w:line="247" w:lineRule="auto"/>
        <w:rPr>
          <w:rFonts w:ascii="Arial"/>
          <w:color w:val="auto"/>
          <w:sz w:val="21"/>
          <w:highlight w:val="none"/>
        </w:rPr>
      </w:pPr>
    </w:p>
    <w:p w14:paraId="762E8329">
      <w:pPr>
        <w:spacing w:before="79" w:line="219" w:lineRule="auto"/>
        <w:ind w:left="13"/>
        <w:outlineLvl w:val="1"/>
        <w:rPr>
          <w:rFonts w:ascii="宋体" w:hAnsi="宋体" w:eastAsia="宋体" w:cs="宋体"/>
          <w:color w:val="auto"/>
          <w:sz w:val="24"/>
          <w:szCs w:val="24"/>
          <w:highlight w:val="none"/>
        </w:rPr>
      </w:pPr>
      <w:bookmarkStart w:id="284" w:name="_Toc2479"/>
      <w:bookmarkStart w:id="285" w:name="_Toc454"/>
      <w:bookmarkStart w:id="286" w:name="_Toc25922"/>
      <w:r>
        <w:rPr>
          <w:rFonts w:ascii="宋体" w:hAnsi="宋体" w:eastAsia="宋体" w:cs="宋体"/>
          <w:b/>
          <w:bCs/>
          <w:color w:val="auto"/>
          <w:spacing w:val="-3"/>
          <w:sz w:val="24"/>
          <w:szCs w:val="24"/>
          <w:highlight w:val="none"/>
        </w:rPr>
        <w:t>3.6</w:t>
      </w:r>
      <w:r>
        <w:rPr>
          <w:rFonts w:ascii="宋体" w:hAnsi="宋体" w:eastAsia="宋体" w:cs="宋体"/>
          <w:color w:val="auto"/>
          <w:spacing w:val="-3"/>
          <w:sz w:val="24"/>
          <w:szCs w:val="24"/>
          <w:highlight w:val="none"/>
        </w:rPr>
        <w:t xml:space="preserve"> </w:t>
      </w:r>
      <w:r>
        <w:rPr>
          <w:rFonts w:ascii="宋体" w:hAnsi="宋体" w:eastAsia="宋体" w:cs="宋体"/>
          <w:b/>
          <w:bCs/>
          <w:color w:val="auto"/>
          <w:spacing w:val="-3"/>
          <w:sz w:val="24"/>
          <w:szCs w:val="24"/>
          <w:highlight w:val="none"/>
        </w:rPr>
        <w:t>投标文件相关信息的核查</w:t>
      </w:r>
      <w:bookmarkEnd w:id="284"/>
      <w:bookmarkEnd w:id="285"/>
      <w:bookmarkEnd w:id="286"/>
    </w:p>
    <w:p w14:paraId="239C2E9E">
      <w:pPr>
        <w:spacing w:before="14" w:line="364" w:lineRule="auto"/>
        <w:ind w:left="14" w:right="125" w:firstLine="479"/>
        <w:jc w:val="both"/>
        <w:rPr>
          <w:rFonts w:ascii="宋体" w:hAnsi="宋体" w:eastAsia="宋体" w:cs="宋体"/>
          <w:color w:val="auto"/>
          <w:sz w:val="24"/>
          <w:szCs w:val="24"/>
          <w:highlight w:val="none"/>
        </w:rPr>
      </w:pPr>
      <w:r>
        <w:rPr>
          <w:color w:val="auto"/>
          <w:highlight w:val="none"/>
        </w:rPr>
        <w:pict>
          <v:shape id="_x0000_s1083" o:spid="_x0000_s1083" style="position:absolute;left:0pt;margin-left:0pt;margin-top:121.6pt;height:0pt;width:144pt;z-index:251696128;mso-width-relative:page;mso-height-relative:page;" filled="f" stroked="t" coordsize="2880,0" path="m0,0l2880,0e">
            <v:fill on="f" focussize="0,0"/>
            <v:stroke weight="0pt" color="#000000" miterlimit="0" joinstyle="bevel" endcap="square"/>
            <v:imagedata o:title=""/>
            <o:lock v:ext="edit"/>
          </v:shape>
        </w:pict>
      </w:r>
      <w:r>
        <w:rPr>
          <w:rFonts w:ascii="宋体" w:hAnsi="宋体" w:eastAsia="宋体" w:cs="宋体"/>
          <w:color w:val="auto"/>
          <w:spacing w:val="1"/>
          <w:sz w:val="24"/>
          <w:szCs w:val="24"/>
          <w:highlight w:val="none"/>
        </w:rPr>
        <w:t xml:space="preserve">3.6.1 </w:t>
      </w:r>
      <w:r>
        <w:rPr>
          <w:color w:val="auto"/>
          <w:highlight w:val="none"/>
        </w:rPr>
        <w:fldChar w:fldCharType="begin"/>
      </w:r>
      <w:r>
        <w:rPr>
          <w:color w:val="auto"/>
          <w:highlight w:val="none"/>
        </w:rPr>
        <w:instrText xml:space="preserve"> HYPERLINK \l "bookmark139" </w:instrText>
      </w:r>
      <w:r>
        <w:rPr>
          <w:color w:val="auto"/>
          <w:highlight w:val="none"/>
        </w:rPr>
        <w:fldChar w:fldCharType="separate"/>
      </w:r>
      <w:r>
        <w:rPr>
          <w:rFonts w:ascii="宋体" w:hAnsi="宋体" w:eastAsia="宋体" w:cs="宋体"/>
          <w:color w:val="auto"/>
          <w:spacing w:val="1"/>
          <w:position w:val="11"/>
          <w:sz w:val="12"/>
          <w:szCs w:val="12"/>
          <w:highlight w:val="none"/>
        </w:rPr>
        <w:t>①</w:t>
      </w:r>
      <w:r>
        <w:rPr>
          <w:rFonts w:ascii="宋体" w:hAnsi="宋体" w:eastAsia="宋体" w:cs="宋体"/>
          <w:color w:val="auto"/>
          <w:spacing w:val="1"/>
          <w:position w:val="11"/>
          <w:sz w:val="12"/>
          <w:szCs w:val="12"/>
          <w:highlight w:val="none"/>
        </w:rPr>
        <w:fldChar w:fldCharType="end"/>
      </w:r>
      <w:r>
        <w:rPr>
          <w:rFonts w:ascii="宋体" w:hAnsi="宋体" w:eastAsia="宋体" w:cs="宋体"/>
          <w:color w:val="auto"/>
          <w:spacing w:val="1"/>
          <w:sz w:val="24"/>
          <w:szCs w:val="24"/>
          <w:highlight w:val="none"/>
        </w:rPr>
        <w:t>在评标过程中，评标委员会应查询交通运输主管部门“公路建设市场监督</w:t>
      </w:r>
      <w:r>
        <w:rPr>
          <w:rFonts w:ascii="宋体" w:hAnsi="宋体" w:eastAsia="宋体" w:cs="宋体"/>
          <w:color w:val="auto"/>
          <w:spacing w:val="4"/>
          <w:sz w:val="24"/>
          <w:szCs w:val="24"/>
          <w:highlight w:val="none"/>
        </w:rPr>
        <w:t>管理系统</w:t>
      </w:r>
      <w:r>
        <w:rPr>
          <w:rFonts w:ascii="宋体" w:hAnsi="宋体" w:eastAsia="宋体" w:cs="宋体"/>
          <w:color w:val="auto"/>
          <w:spacing w:val="-83"/>
          <w:sz w:val="24"/>
          <w:szCs w:val="24"/>
          <w:highlight w:val="none"/>
        </w:rPr>
        <w:t xml:space="preserve"> </w:t>
      </w:r>
      <w:r>
        <w:rPr>
          <w:rFonts w:ascii="宋体" w:hAnsi="宋体" w:eastAsia="宋体" w:cs="宋体"/>
          <w:color w:val="auto"/>
          <w:spacing w:val="4"/>
          <w:sz w:val="24"/>
          <w:szCs w:val="24"/>
          <w:highlight w:val="none"/>
        </w:rPr>
        <w:t>”，对投标人的资质、业绩、主要人员资历和目前在</w:t>
      </w:r>
      <w:r>
        <w:rPr>
          <w:rFonts w:ascii="宋体" w:hAnsi="宋体" w:eastAsia="宋体" w:cs="宋体"/>
          <w:color w:val="auto"/>
          <w:spacing w:val="3"/>
          <w:sz w:val="24"/>
          <w:szCs w:val="24"/>
          <w:highlight w:val="none"/>
        </w:rPr>
        <w:t>岗情况、信用等级等信</w:t>
      </w:r>
      <w:r>
        <w:rPr>
          <w:rFonts w:ascii="宋体" w:hAnsi="宋体" w:eastAsia="宋体" w:cs="宋体"/>
          <w:color w:val="auto"/>
          <w:spacing w:val="5"/>
          <w:sz w:val="24"/>
          <w:szCs w:val="24"/>
          <w:highlight w:val="none"/>
        </w:rPr>
        <w:t>息进行核实。若投标文件载明的信息与交通运输主管部门“公</w:t>
      </w:r>
      <w:r>
        <w:rPr>
          <w:rFonts w:ascii="宋体" w:hAnsi="宋体" w:eastAsia="宋体" w:cs="宋体"/>
          <w:color w:val="auto"/>
          <w:spacing w:val="4"/>
          <w:sz w:val="24"/>
          <w:szCs w:val="24"/>
          <w:highlight w:val="none"/>
        </w:rPr>
        <w:t>路建设市场监督管理系统</w:t>
      </w:r>
      <w:r>
        <w:rPr>
          <w:rFonts w:ascii="宋体" w:hAnsi="宋体" w:eastAsia="宋体" w:cs="宋体"/>
          <w:color w:val="auto"/>
          <w:spacing w:val="-83"/>
          <w:sz w:val="24"/>
          <w:szCs w:val="24"/>
          <w:highlight w:val="none"/>
        </w:rPr>
        <w:t xml:space="preserve"> </w:t>
      </w:r>
      <w:r>
        <w:rPr>
          <w:rFonts w:ascii="宋体" w:hAnsi="宋体" w:eastAsia="宋体" w:cs="宋体"/>
          <w:color w:val="auto"/>
          <w:spacing w:val="4"/>
          <w:sz w:val="24"/>
          <w:szCs w:val="24"/>
          <w:highlight w:val="none"/>
        </w:rPr>
        <w:t>”发布的信息不符，使得投标人的资格条件不符合招标文件规定的</w:t>
      </w:r>
      <w:r>
        <w:rPr>
          <w:rFonts w:ascii="宋体" w:hAnsi="宋体" w:eastAsia="宋体" w:cs="宋体"/>
          <w:color w:val="auto"/>
          <w:spacing w:val="3"/>
          <w:sz w:val="24"/>
          <w:szCs w:val="24"/>
          <w:highlight w:val="none"/>
        </w:rPr>
        <w:t>，评标委员会应</w:t>
      </w:r>
      <w:bookmarkStart w:id="287" w:name="bookmark139"/>
      <w:bookmarkEnd w:id="287"/>
      <w:r>
        <w:rPr>
          <w:rFonts w:ascii="宋体" w:hAnsi="宋体" w:eastAsia="宋体" w:cs="宋体"/>
          <w:color w:val="auto"/>
          <w:spacing w:val="-3"/>
          <w:sz w:val="24"/>
          <w:szCs w:val="24"/>
          <w:highlight w:val="none"/>
        </w:rPr>
        <w:t>否决其投标。</w:t>
      </w:r>
    </w:p>
    <w:p w14:paraId="57190946">
      <w:pPr>
        <w:spacing w:before="201" w:line="220" w:lineRule="auto"/>
        <w:ind w:left="5"/>
        <w:rPr>
          <w:rFonts w:ascii="宋体" w:hAnsi="宋体" w:eastAsia="宋体" w:cs="宋体"/>
          <w:color w:val="auto"/>
          <w:sz w:val="18"/>
          <w:szCs w:val="18"/>
          <w:highlight w:val="none"/>
        </w:rPr>
      </w:pPr>
      <w:r>
        <w:rPr>
          <w:rFonts w:ascii="宋体" w:hAnsi="宋体" w:eastAsia="宋体" w:cs="宋体"/>
          <w:color w:val="auto"/>
          <w:spacing w:val="-1"/>
          <w:sz w:val="18"/>
          <w:szCs w:val="18"/>
          <w:highlight w:val="none"/>
        </w:rPr>
        <w:t>① 适用于使用“公路建设市场监督管理系</w:t>
      </w:r>
      <w:r>
        <w:rPr>
          <w:rFonts w:ascii="宋体" w:hAnsi="宋体" w:eastAsia="宋体" w:cs="宋体"/>
          <w:color w:val="auto"/>
          <w:spacing w:val="-2"/>
          <w:sz w:val="18"/>
          <w:szCs w:val="18"/>
          <w:highlight w:val="none"/>
        </w:rPr>
        <w:t>统</w:t>
      </w:r>
      <w:r>
        <w:rPr>
          <w:rFonts w:ascii="宋体" w:hAnsi="宋体" w:eastAsia="宋体" w:cs="宋体"/>
          <w:color w:val="auto"/>
          <w:spacing w:val="-66"/>
          <w:sz w:val="18"/>
          <w:szCs w:val="18"/>
          <w:highlight w:val="none"/>
        </w:rPr>
        <w:t xml:space="preserve"> </w:t>
      </w:r>
      <w:r>
        <w:rPr>
          <w:rFonts w:ascii="宋体" w:hAnsi="宋体" w:eastAsia="宋体" w:cs="宋体"/>
          <w:color w:val="auto"/>
          <w:spacing w:val="-2"/>
          <w:sz w:val="18"/>
          <w:szCs w:val="18"/>
          <w:highlight w:val="none"/>
        </w:rPr>
        <w:t>”的情形。</w:t>
      </w:r>
    </w:p>
    <w:p w14:paraId="0B3B6DF8">
      <w:pPr>
        <w:spacing w:line="220" w:lineRule="auto"/>
        <w:rPr>
          <w:rFonts w:ascii="宋体" w:hAnsi="宋体" w:eastAsia="宋体" w:cs="宋体"/>
          <w:color w:val="auto"/>
          <w:sz w:val="18"/>
          <w:szCs w:val="18"/>
          <w:highlight w:val="none"/>
        </w:rPr>
        <w:sectPr>
          <w:footerReference r:id="rId53" w:type="default"/>
          <w:pgSz w:w="11906" w:h="16839"/>
          <w:pgMar w:top="1405" w:right="1289" w:bottom="1297" w:left="1417" w:header="0" w:footer="1067" w:gutter="0"/>
          <w:pgNumType w:fmt="decimal"/>
          <w:cols w:space="720" w:num="1"/>
        </w:sectPr>
      </w:pPr>
    </w:p>
    <w:p w14:paraId="7E2CC24F">
      <w:pPr>
        <w:spacing w:before="47" w:line="359" w:lineRule="auto"/>
        <w:ind w:firstLine="485"/>
        <w:jc w:val="both"/>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3.6.2 评标委员会应对在评标过程中发现的投标</w:t>
      </w:r>
      <w:r>
        <w:rPr>
          <w:rFonts w:ascii="宋体" w:hAnsi="宋体" w:eastAsia="宋体" w:cs="宋体"/>
          <w:color w:val="auto"/>
          <w:spacing w:val="4"/>
          <w:sz w:val="24"/>
          <w:szCs w:val="24"/>
          <w:highlight w:val="none"/>
        </w:rPr>
        <w:t>人与投标人之间、投标人与招标</w:t>
      </w:r>
      <w:r>
        <w:rPr>
          <w:rFonts w:ascii="宋体" w:hAnsi="宋体" w:eastAsia="宋体" w:cs="宋体"/>
          <w:color w:val="auto"/>
          <w:spacing w:val="5"/>
          <w:sz w:val="24"/>
          <w:szCs w:val="24"/>
          <w:highlight w:val="none"/>
        </w:rPr>
        <w:t>人之间存在的串通投标的情形进行评审和认定。投标人存在串通投标、弄虚作</w:t>
      </w:r>
      <w:r>
        <w:rPr>
          <w:rFonts w:ascii="宋体" w:hAnsi="宋体" w:eastAsia="宋体" w:cs="宋体"/>
          <w:color w:val="auto"/>
          <w:spacing w:val="4"/>
          <w:sz w:val="24"/>
          <w:szCs w:val="24"/>
          <w:highlight w:val="none"/>
        </w:rPr>
        <w:t>假、行</w:t>
      </w:r>
      <w:r>
        <w:rPr>
          <w:rFonts w:ascii="宋体" w:hAnsi="宋体" w:eastAsia="宋体" w:cs="宋体"/>
          <w:color w:val="auto"/>
          <w:spacing w:val="-1"/>
          <w:sz w:val="24"/>
          <w:szCs w:val="24"/>
          <w:highlight w:val="none"/>
        </w:rPr>
        <w:t>贿等违法行为的，评标委员会应否决其投标。</w:t>
      </w:r>
    </w:p>
    <w:p w14:paraId="3AA6E5AD">
      <w:pPr>
        <w:spacing w:line="220" w:lineRule="auto"/>
        <w:ind w:left="492"/>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（1）有下列情形之一的，属于投标人相互串通投标：</w:t>
      </w:r>
    </w:p>
    <w:p w14:paraId="77DF3D17">
      <w:pPr>
        <w:spacing w:before="181" w:line="218" w:lineRule="auto"/>
        <w:ind w:left="481"/>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a.投标人之间协商投标报价等投标文件的实质性内容；</w:t>
      </w:r>
    </w:p>
    <w:p w14:paraId="148DDEBC">
      <w:pPr>
        <w:spacing w:before="182" w:line="220" w:lineRule="auto"/>
        <w:ind w:left="477"/>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b.投标人之间约定中标人；</w:t>
      </w:r>
    </w:p>
    <w:p w14:paraId="16138E0A">
      <w:pPr>
        <w:spacing w:before="182" w:line="219" w:lineRule="auto"/>
        <w:ind w:left="485"/>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c.投标人之间约定部分投标人放弃投标或中标；</w:t>
      </w:r>
    </w:p>
    <w:p w14:paraId="03372EE2">
      <w:pPr>
        <w:spacing w:before="179" w:line="219" w:lineRule="auto"/>
        <w:ind w:left="485"/>
        <w:rPr>
          <w:rFonts w:ascii="宋体" w:hAnsi="宋体" w:eastAsia="宋体" w:cs="宋体"/>
          <w:color w:val="auto"/>
          <w:sz w:val="24"/>
          <w:szCs w:val="24"/>
          <w:highlight w:val="none"/>
        </w:rPr>
      </w:pPr>
      <w:r>
        <w:rPr>
          <w:rFonts w:ascii="宋体" w:hAnsi="宋体" w:eastAsia="宋体" w:cs="宋体"/>
          <w:color w:val="auto"/>
          <w:sz w:val="24"/>
          <w:szCs w:val="24"/>
          <w:highlight w:val="none"/>
        </w:rPr>
        <w:t>d.属于同一集团、协会、商会等组织成员</w:t>
      </w:r>
      <w:r>
        <w:rPr>
          <w:rFonts w:ascii="宋体" w:hAnsi="宋体" w:eastAsia="宋体" w:cs="宋体"/>
          <w:color w:val="auto"/>
          <w:spacing w:val="-1"/>
          <w:sz w:val="24"/>
          <w:szCs w:val="24"/>
          <w:highlight w:val="none"/>
        </w:rPr>
        <w:t>的投标人按照该组织要求协同投标；</w:t>
      </w:r>
    </w:p>
    <w:p w14:paraId="622CCED2">
      <w:pPr>
        <w:spacing w:before="183" w:line="219" w:lineRule="auto"/>
        <w:ind w:left="486"/>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e.投标人之间为谋取中标或排斥特定投标人而采取的其他联合行动。</w:t>
      </w:r>
    </w:p>
    <w:p w14:paraId="28C4E055">
      <w:pPr>
        <w:spacing w:before="182" w:line="220" w:lineRule="auto"/>
        <w:ind w:left="492"/>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（2）有下列情形之一的，视为投标人相互串通投标：</w:t>
      </w:r>
    </w:p>
    <w:p w14:paraId="28F97A13">
      <w:pPr>
        <w:spacing w:before="182" w:line="219" w:lineRule="auto"/>
        <w:ind w:left="481"/>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a.不同投标人的投标文件由同一单位或个人编制；</w:t>
      </w:r>
    </w:p>
    <w:p w14:paraId="31CA69A1">
      <w:pPr>
        <w:spacing w:before="181" w:line="219" w:lineRule="auto"/>
        <w:ind w:left="477"/>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b.不同投标人委托同一单位或个人办理投标事宜；</w:t>
      </w:r>
    </w:p>
    <w:p w14:paraId="1056A4C4">
      <w:pPr>
        <w:spacing w:before="183" w:line="219" w:lineRule="auto"/>
        <w:ind w:left="485"/>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c.不同投标人的投标文件载明的项目管理成员为同一人；</w:t>
      </w:r>
    </w:p>
    <w:p w14:paraId="6B3606AD">
      <w:pPr>
        <w:spacing w:before="183" w:line="218" w:lineRule="auto"/>
        <w:ind w:left="485"/>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d.不同投标人的投标文件异常一致或投标报价呈规律性差异；</w:t>
      </w:r>
    </w:p>
    <w:p w14:paraId="4A547BCB">
      <w:pPr>
        <w:spacing w:before="183" w:line="219" w:lineRule="auto"/>
        <w:ind w:left="486"/>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e.不同投标人的投标文件相互混装；</w:t>
      </w:r>
    </w:p>
    <w:p w14:paraId="44D0472A">
      <w:pPr>
        <w:spacing w:before="183" w:line="219" w:lineRule="auto"/>
        <w:ind w:left="484"/>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f.不同投标人的投标保证金从同一单位或个人的账户转出。</w:t>
      </w:r>
    </w:p>
    <w:p w14:paraId="0E2E10A3">
      <w:pPr>
        <w:spacing w:before="180" w:line="214" w:lineRule="auto"/>
        <w:ind w:left="484"/>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g.广东省实施《中华人民共和国招标投标法》办法第十六条规定的情形。</w:t>
      </w:r>
    </w:p>
    <w:p w14:paraId="76C64DF3">
      <w:pPr>
        <w:spacing w:before="188" w:line="220" w:lineRule="auto"/>
        <w:ind w:left="492"/>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（3）有下列情形之一的，属于招标人与投标人串通投标：</w:t>
      </w:r>
    </w:p>
    <w:p w14:paraId="62B46487">
      <w:pPr>
        <w:spacing w:before="183" w:line="219" w:lineRule="auto"/>
        <w:ind w:left="481"/>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a.招标人在开标前开启投标文件并将有关信息泄露给其他投标人；</w:t>
      </w:r>
    </w:p>
    <w:p w14:paraId="5F6D028F">
      <w:pPr>
        <w:spacing w:before="182" w:line="219" w:lineRule="auto"/>
        <w:ind w:left="477"/>
        <w:rPr>
          <w:rFonts w:ascii="宋体" w:hAnsi="宋体" w:eastAsia="宋体" w:cs="宋体"/>
          <w:color w:val="auto"/>
          <w:sz w:val="24"/>
          <w:szCs w:val="24"/>
          <w:highlight w:val="none"/>
        </w:rPr>
      </w:pPr>
      <w:r>
        <w:rPr>
          <w:rFonts w:ascii="宋体" w:hAnsi="宋体" w:eastAsia="宋体" w:cs="宋体"/>
          <w:color w:val="auto"/>
          <w:sz w:val="24"/>
          <w:szCs w:val="24"/>
          <w:highlight w:val="none"/>
        </w:rPr>
        <w:t>b.招标人直接或间接向投标人泄露标底、评标委员</w:t>
      </w:r>
      <w:r>
        <w:rPr>
          <w:rFonts w:ascii="宋体" w:hAnsi="宋体" w:eastAsia="宋体" w:cs="宋体"/>
          <w:color w:val="auto"/>
          <w:spacing w:val="-1"/>
          <w:sz w:val="24"/>
          <w:szCs w:val="24"/>
          <w:highlight w:val="none"/>
        </w:rPr>
        <w:t>会成员等信息；</w:t>
      </w:r>
    </w:p>
    <w:p w14:paraId="426CEEF8">
      <w:pPr>
        <w:spacing w:before="181" w:line="218" w:lineRule="auto"/>
        <w:ind w:left="485"/>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c.招标人明示或暗示投标人压低或抬高投标报价；</w:t>
      </w:r>
    </w:p>
    <w:p w14:paraId="17BC4A8A">
      <w:pPr>
        <w:spacing w:before="185" w:line="219" w:lineRule="auto"/>
        <w:ind w:left="485"/>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d.招标人授意投标人撤换、修改投标文件；</w:t>
      </w:r>
    </w:p>
    <w:p w14:paraId="4918FE4A">
      <w:pPr>
        <w:spacing w:before="180" w:line="219" w:lineRule="auto"/>
        <w:ind w:left="486"/>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e.招标人明示或暗示投标人为特定投标人中标提供方便；</w:t>
      </w:r>
    </w:p>
    <w:p w14:paraId="30B702E8">
      <w:pPr>
        <w:spacing w:before="184" w:line="219" w:lineRule="auto"/>
        <w:ind w:left="484"/>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f.招标人与投标人为谋求特定投标人中标而采取的其他串通行为。</w:t>
      </w:r>
    </w:p>
    <w:p w14:paraId="4B2AC05D">
      <w:pPr>
        <w:spacing w:before="183" w:line="219" w:lineRule="auto"/>
        <w:ind w:left="492"/>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（4）投标人有下列情形之一的，属于弄虚作假的行为：</w:t>
      </w:r>
    </w:p>
    <w:p w14:paraId="7EB35BA8">
      <w:pPr>
        <w:spacing w:before="181" w:line="219" w:lineRule="auto"/>
        <w:ind w:left="481"/>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a.使用通过受让或租借等方式获取的资格、资质证书投标；</w:t>
      </w:r>
    </w:p>
    <w:p w14:paraId="021BF741">
      <w:pPr>
        <w:spacing w:before="182" w:line="219" w:lineRule="auto"/>
        <w:ind w:left="477"/>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b.使用伪造、变造的许可证件；</w:t>
      </w:r>
    </w:p>
    <w:p w14:paraId="7E13CD00">
      <w:pPr>
        <w:spacing w:before="182" w:line="219" w:lineRule="auto"/>
        <w:ind w:left="485"/>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c.提供虚假的业绩；</w:t>
      </w:r>
    </w:p>
    <w:p w14:paraId="492DC1A9">
      <w:pPr>
        <w:spacing w:before="181" w:line="219" w:lineRule="auto"/>
        <w:ind w:left="485"/>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d.提供虚假的项目负责人或主要技术人员简历、劳动关系证明；</w:t>
      </w:r>
    </w:p>
    <w:p w14:paraId="186321D4">
      <w:pPr>
        <w:spacing w:before="183" w:line="219" w:lineRule="auto"/>
        <w:ind w:left="486"/>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e.提供虚假的信用状况；</w:t>
      </w:r>
    </w:p>
    <w:p w14:paraId="58291BA7">
      <w:pPr>
        <w:spacing w:line="219" w:lineRule="auto"/>
        <w:rPr>
          <w:rFonts w:ascii="宋体" w:hAnsi="宋体" w:eastAsia="宋体" w:cs="宋体"/>
          <w:color w:val="auto"/>
          <w:sz w:val="24"/>
          <w:szCs w:val="24"/>
          <w:highlight w:val="none"/>
        </w:rPr>
        <w:sectPr>
          <w:footerReference r:id="rId54" w:type="default"/>
          <w:pgSz w:w="11906" w:h="16839"/>
          <w:pgMar w:top="1405" w:right="1418" w:bottom="1297" w:left="1424" w:header="0" w:footer="1067" w:gutter="0"/>
          <w:pgNumType w:fmt="decimal"/>
          <w:cols w:space="720" w:num="1"/>
        </w:sectPr>
      </w:pPr>
    </w:p>
    <w:p w14:paraId="763D0DD5">
      <w:pPr>
        <w:spacing w:before="47" w:line="219" w:lineRule="auto"/>
        <w:ind w:left="484"/>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f.其他弄虚作假的行为。</w:t>
      </w:r>
    </w:p>
    <w:p w14:paraId="200BE6A1">
      <w:pPr>
        <w:spacing w:before="182" w:line="324" w:lineRule="auto"/>
        <w:ind w:left="2" w:right="8" w:firstLine="482"/>
        <w:rPr>
          <w:rFonts w:ascii="宋体" w:hAnsi="宋体" w:eastAsia="宋体" w:cs="宋体"/>
          <w:color w:val="auto"/>
          <w:sz w:val="24"/>
          <w:szCs w:val="24"/>
          <w:highlight w:val="none"/>
        </w:rPr>
      </w:pPr>
      <w:r>
        <w:rPr>
          <w:rFonts w:ascii="宋体" w:hAnsi="宋体" w:eastAsia="宋体" w:cs="宋体"/>
          <w:color w:val="auto"/>
          <w:sz w:val="24"/>
          <w:szCs w:val="24"/>
          <w:highlight w:val="none"/>
        </w:rPr>
        <w:t>3.6.3</w:t>
      </w:r>
      <w:r>
        <w:rPr>
          <w:rFonts w:ascii="宋体" w:hAnsi="宋体" w:eastAsia="宋体" w:cs="宋体"/>
          <w:color w:val="auto"/>
          <w:spacing w:val="-49"/>
          <w:sz w:val="24"/>
          <w:szCs w:val="24"/>
          <w:highlight w:val="none"/>
        </w:rPr>
        <w:t xml:space="preserve"> </w:t>
      </w:r>
      <w:r>
        <w:rPr>
          <w:rFonts w:ascii="宋体" w:hAnsi="宋体" w:eastAsia="宋体" w:cs="宋体"/>
          <w:color w:val="auto"/>
          <w:sz w:val="24"/>
          <w:szCs w:val="24"/>
          <w:highlight w:val="none"/>
        </w:rPr>
        <w:t>依法必须进行招标的项目，除第一中标候</w:t>
      </w:r>
      <w:r>
        <w:rPr>
          <w:rFonts w:ascii="宋体" w:hAnsi="宋体" w:eastAsia="宋体" w:cs="宋体"/>
          <w:color w:val="auto"/>
          <w:spacing w:val="-1"/>
          <w:sz w:val="24"/>
          <w:szCs w:val="24"/>
          <w:highlight w:val="none"/>
        </w:rPr>
        <w:t>选人或者中标人，其他投标人存在</w:t>
      </w:r>
      <w:r>
        <w:rPr>
          <w:rFonts w:ascii="宋体" w:hAnsi="宋体" w:eastAsia="宋体" w:cs="宋体"/>
          <w:color w:val="auto"/>
          <w:spacing w:val="5"/>
          <w:sz w:val="24"/>
          <w:szCs w:val="24"/>
          <w:highlight w:val="none"/>
        </w:rPr>
        <w:t>串通投标、弄虚作假、行贿情形且在评标过程中未被发现的，视为对中</w:t>
      </w:r>
      <w:r>
        <w:rPr>
          <w:rFonts w:ascii="宋体" w:hAnsi="宋体" w:eastAsia="宋体" w:cs="宋体"/>
          <w:color w:val="auto"/>
          <w:spacing w:val="4"/>
          <w:sz w:val="24"/>
          <w:szCs w:val="24"/>
          <w:highlight w:val="none"/>
        </w:rPr>
        <w:t>标结果没有造</w:t>
      </w:r>
      <w:r>
        <w:rPr>
          <w:rFonts w:ascii="宋体" w:hAnsi="宋体" w:eastAsia="宋体" w:cs="宋体"/>
          <w:color w:val="auto"/>
          <w:spacing w:val="5"/>
          <w:sz w:val="24"/>
          <w:szCs w:val="24"/>
          <w:highlight w:val="none"/>
        </w:rPr>
        <w:t>成实质性影响，招标人可以依法继续开展招标活动。投标人的违法行为</w:t>
      </w:r>
      <w:r>
        <w:rPr>
          <w:rFonts w:ascii="宋体" w:hAnsi="宋体" w:eastAsia="宋体" w:cs="宋体"/>
          <w:color w:val="auto"/>
          <w:spacing w:val="4"/>
          <w:sz w:val="24"/>
          <w:szCs w:val="24"/>
          <w:highlight w:val="none"/>
        </w:rPr>
        <w:t>由行政监督部</w:t>
      </w:r>
      <w:r>
        <w:rPr>
          <w:rFonts w:ascii="宋体" w:hAnsi="宋体" w:eastAsia="宋体" w:cs="宋体"/>
          <w:color w:val="auto"/>
          <w:spacing w:val="-2"/>
          <w:sz w:val="24"/>
          <w:szCs w:val="24"/>
          <w:highlight w:val="none"/>
        </w:rPr>
        <w:t>门依法处理。</w:t>
      </w:r>
    </w:p>
    <w:p w14:paraId="5A5AECE7">
      <w:pPr>
        <w:spacing w:line="246" w:lineRule="auto"/>
        <w:rPr>
          <w:rFonts w:ascii="Arial"/>
          <w:color w:val="auto"/>
          <w:sz w:val="21"/>
          <w:highlight w:val="none"/>
        </w:rPr>
      </w:pPr>
    </w:p>
    <w:p w14:paraId="55A94188">
      <w:pPr>
        <w:spacing w:before="78" w:line="219" w:lineRule="auto"/>
        <w:ind w:left="5"/>
        <w:outlineLvl w:val="1"/>
        <w:rPr>
          <w:rFonts w:ascii="宋体" w:hAnsi="宋体" w:eastAsia="宋体" w:cs="宋体"/>
          <w:color w:val="auto"/>
          <w:sz w:val="24"/>
          <w:szCs w:val="24"/>
          <w:highlight w:val="none"/>
        </w:rPr>
      </w:pPr>
      <w:bookmarkStart w:id="288" w:name="_Toc21279"/>
      <w:bookmarkStart w:id="289" w:name="_Toc13697"/>
      <w:bookmarkStart w:id="290" w:name="_Toc20884"/>
      <w:r>
        <w:rPr>
          <w:rFonts w:ascii="宋体" w:hAnsi="宋体" w:eastAsia="宋体" w:cs="宋体"/>
          <w:b/>
          <w:bCs/>
          <w:color w:val="auto"/>
          <w:spacing w:val="-3"/>
          <w:sz w:val="24"/>
          <w:szCs w:val="24"/>
          <w:highlight w:val="none"/>
        </w:rPr>
        <w:t>3.7</w:t>
      </w:r>
      <w:r>
        <w:rPr>
          <w:rFonts w:ascii="宋体" w:hAnsi="宋体" w:eastAsia="宋体" w:cs="宋体"/>
          <w:color w:val="auto"/>
          <w:spacing w:val="-3"/>
          <w:sz w:val="24"/>
          <w:szCs w:val="24"/>
          <w:highlight w:val="none"/>
        </w:rPr>
        <w:t xml:space="preserve"> </w:t>
      </w:r>
      <w:r>
        <w:rPr>
          <w:rFonts w:ascii="宋体" w:hAnsi="宋体" w:eastAsia="宋体" w:cs="宋体"/>
          <w:b/>
          <w:bCs/>
          <w:color w:val="auto"/>
          <w:spacing w:val="-3"/>
          <w:sz w:val="24"/>
          <w:szCs w:val="24"/>
          <w:highlight w:val="none"/>
        </w:rPr>
        <w:t>投标文件的澄清和说明</w:t>
      </w:r>
      <w:bookmarkEnd w:id="288"/>
      <w:bookmarkEnd w:id="289"/>
      <w:bookmarkEnd w:id="290"/>
    </w:p>
    <w:p w14:paraId="0B2B8A21">
      <w:pPr>
        <w:spacing w:before="51" w:line="312" w:lineRule="auto"/>
        <w:ind w:right="8" w:firstLine="484"/>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3.7.1 在评标过程中，评标委员会可以要求投标</w:t>
      </w:r>
      <w:r>
        <w:rPr>
          <w:rFonts w:ascii="宋体" w:hAnsi="宋体" w:eastAsia="宋体" w:cs="宋体"/>
          <w:color w:val="auto"/>
          <w:spacing w:val="4"/>
          <w:sz w:val="24"/>
          <w:szCs w:val="24"/>
          <w:highlight w:val="none"/>
        </w:rPr>
        <w:t>人对投标文件中含义不明确的内</w:t>
      </w:r>
      <w:r>
        <w:rPr>
          <w:rFonts w:ascii="宋体" w:hAnsi="宋体" w:eastAsia="宋体" w:cs="宋体"/>
          <w:color w:val="auto"/>
          <w:spacing w:val="5"/>
          <w:sz w:val="24"/>
          <w:szCs w:val="24"/>
          <w:highlight w:val="none"/>
        </w:rPr>
        <w:t>容、明显文字或计算错误进行书面澄清或说明。评标委员会不接受投标人主</w:t>
      </w:r>
      <w:r>
        <w:rPr>
          <w:rFonts w:ascii="宋体" w:hAnsi="宋体" w:eastAsia="宋体" w:cs="宋体"/>
          <w:color w:val="auto"/>
          <w:spacing w:val="4"/>
          <w:sz w:val="24"/>
          <w:szCs w:val="24"/>
          <w:highlight w:val="none"/>
        </w:rPr>
        <w:t>动提出的</w:t>
      </w:r>
      <w:r>
        <w:rPr>
          <w:rFonts w:ascii="宋体" w:hAnsi="宋体" w:eastAsia="宋体" w:cs="宋体"/>
          <w:color w:val="auto"/>
          <w:sz w:val="24"/>
          <w:szCs w:val="24"/>
          <w:highlight w:val="none"/>
        </w:rPr>
        <w:t>澄清、说明。投标人不按评标委员会要求澄清或说明的，评</w:t>
      </w:r>
      <w:r>
        <w:rPr>
          <w:rFonts w:ascii="宋体" w:hAnsi="宋体" w:eastAsia="宋体" w:cs="宋体"/>
          <w:color w:val="auto"/>
          <w:spacing w:val="-1"/>
          <w:sz w:val="24"/>
          <w:szCs w:val="24"/>
          <w:highlight w:val="none"/>
        </w:rPr>
        <w:t>标委员会应否决其投标。</w:t>
      </w:r>
    </w:p>
    <w:p w14:paraId="2B146F47">
      <w:pPr>
        <w:spacing w:before="184" w:line="288" w:lineRule="auto"/>
        <w:ind w:left="3" w:right="8" w:firstLine="481"/>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3.7.2 澄清和说明不得超出投标文件的范围或改</w:t>
      </w:r>
      <w:r>
        <w:rPr>
          <w:rFonts w:ascii="宋体" w:hAnsi="宋体" w:eastAsia="宋体" w:cs="宋体"/>
          <w:color w:val="auto"/>
          <w:spacing w:val="4"/>
          <w:sz w:val="24"/>
          <w:szCs w:val="24"/>
          <w:highlight w:val="none"/>
        </w:rPr>
        <w:t>变投标文件的实质性内容（算术</w:t>
      </w:r>
      <w:r>
        <w:rPr>
          <w:rFonts w:ascii="宋体" w:hAnsi="宋体" w:eastAsia="宋体" w:cs="宋体"/>
          <w:color w:val="auto"/>
          <w:sz w:val="24"/>
          <w:szCs w:val="24"/>
          <w:highlight w:val="none"/>
        </w:rPr>
        <w:t>性错误的修正除外）。投标人的书面澄清、</w:t>
      </w:r>
      <w:r>
        <w:rPr>
          <w:rFonts w:ascii="宋体" w:hAnsi="宋体" w:eastAsia="宋体" w:cs="宋体"/>
          <w:color w:val="auto"/>
          <w:spacing w:val="-1"/>
          <w:sz w:val="24"/>
          <w:szCs w:val="24"/>
          <w:highlight w:val="none"/>
        </w:rPr>
        <w:t>说明属于投标文件的组成部分。</w:t>
      </w:r>
    </w:p>
    <w:p w14:paraId="2D78E050">
      <w:pPr>
        <w:spacing w:before="185" w:line="288" w:lineRule="auto"/>
        <w:ind w:left="3" w:firstLine="481"/>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3.7.3 评标委员会不得暗示或诱导投标人作出</w:t>
      </w:r>
      <w:r>
        <w:rPr>
          <w:rFonts w:ascii="宋体" w:hAnsi="宋体" w:eastAsia="宋体" w:cs="宋体"/>
          <w:color w:val="auto"/>
          <w:spacing w:val="-2"/>
          <w:sz w:val="24"/>
          <w:szCs w:val="24"/>
          <w:highlight w:val="none"/>
        </w:rPr>
        <w:t>澄清、说明，对投标人提交的澄清、</w:t>
      </w:r>
      <w:r>
        <w:rPr>
          <w:rFonts w:ascii="宋体" w:hAnsi="宋体" w:eastAsia="宋体" w:cs="宋体"/>
          <w:color w:val="auto"/>
          <w:sz w:val="24"/>
          <w:szCs w:val="24"/>
          <w:highlight w:val="none"/>
        </w:rPr>
        <w:t>说明有疑问的，可以要求投标人进一步澄清或说明</w:t>
      </w:r>
      <w:r>
        <w:rPr>
          <w:rFonts w:ascii="宋体" w:hAnsi="宋体" w:eastAsia="宋体" w:cs="宋体"/>
          <w:color w:val="auto"/>
          <w:spacing w:val="-1"/>
          <w:sz w:val="24"/>
          <w:szCs w:val="24"/>
          <w:highlight w:val="none"/>
        </w:rPr>
        <w:t>，直至满足评标委员会的要求。</w:t>
      </w:r>
    </w:p>
    <w:p w14:paraId="5B2E4548">
      <w:pPr>
        <w:spacing w:before="185" w:line="289" w:lineRule="auto"/>
        <w:ind w:right="8" w:firstLine="484"/>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3.7.4 凡超出招标文件规定的或给委托人带来未</w:t>
      </w:r>
      <w:r>
        <w:rPr>
          <w:rFonts w:ascii="宋体" w:hAnsi="宋体" w:eastAsia="宋体" w:cs="宋体"/>
          <w:color w:val="auto"/>
          <w:spacing w:val="4"/>
          <w:sz w:val="24"/>
          <w:szCs w:val="24"/>
          <w:highlight w:val="none"/>
        </w:rPr>
        <w:t>曾要求的利益的变化、偏差或其</w:t>
      </w:r>
      <w:r>
        <w:rPr>
          <w:rFonts w:ascii="宋体" w:hAnsi="宋体" w:eastAsia="宋体" w:cs="宋体"/>
          <w:color w:val="auto"/>
          <w:spacing w:val="-1"/>
          <w:sz w:val="24"/>
          <w:szCs w:val="24"/>
          <w:highlight w:val="none"/>
        </w:rPr>
        <w:t>他因素在评标时不予考虑。</w:t>
      </w:r>
    </w:p>
    <w:p w14:paraId="197E4C0F">
      <w:pPr>
        <w:spacing w:line="246" w:lineRule="auto"/>
        <w:rPr>
          <w:rFonts w:ascii="Arial"/>
          <w:color w:val="auto"/>
          <w:sz w:val="21"/>
          <w:highlight w:val="none"/>
        </w:rPr>
      </w:pPr>
    </w:p>
    <w:p w14:paraId="6052ECB3">
      <w:pPr>
        <w:spacing w:before="78" w:line="219" w:lineRule="auto"/>
        <w:ind w:left="5"/>
        <w:outlineLvl w:val="1"/>
        <w:rPr>
          <w:rFonts w:ascii="宋体" w:hAnsi="宋体" w:eastAsia="宋体" w:cs="宋体"/>
          <w:color w:val="auto"/>
          <w:sz w:val="24"/>
          <w:szCs w:val="24"/>
          <w:highlight w:val="none"/>
        </w:rPr>
      </w:pPr>
      <w:bookmarkStart w:id="291" w:name="_Toc22360"/>
      <w:bookmarkStart w:id="292" w:name="_Toc9266"/>
      <w:bookmarkStart w:id="293" w:name="_Toc4130"/>
      <w:r>
        <w:rPr>
          <w:rFonts w:ascii="宋体" w:hAnsi="宋体" w:eastAsia="宋体" w:cs="宋体"/>
          <w:b/>
          <w:bCs/>
          <w:color w:val="auto"/>
          <w:spacing w:val="-3"/>
          <w:sz w:val="24"/>
          <w:szCs w:val="24"/>
          <w:highlight w:val="none"/>
        </w:rPr>
        <w:t>3.8</w:t>
      </w:r>
      <w:r>
        <w:rPr>
          <w:rFonts w:ascii="宋体" w:hAnsi="宋体" w:eastAsia="宋体" w:cs="宋体"/>
          <w:color w:val="auto"/>
          <w:spacing w:val="-3"/>
          <w:sz w:val="24"/>
          <w:szCs w:val="24"/>
          <w:highlight w:val="none"/>
        </w:rPr>
        <w:t xml:space="preserve"> </w:t>
      </w:r>
      <w:r>
        <w:rPr>
          <w:rFonts w:ascii="宋体" w:hAnsi="宋体" w:eastAsia="宋体" w:cs="宋体"/>
          <w:b/>
          <w:bCs/>
          <w:color w:val="auto"/>
          <w:spacing w:val="-3"/>
          <w:sz w:val="24"/>
          <w:szCs w:val="24"/>
          <w:highlight w:val="none"/>
        </w:rPr>
        <w:t>不得否决投标的情形</w:t>
      </w:r>
      <w:bookmarkEnd w:id="291"/>
      <w:bookmarkEnd w:id="292"/>
      <w:bookmarkEnd w:id="293"/>
    </w:p>
    <w:p w14:paraId="578F9B2A">
      <w:pPr>
        <w:spacing w:before="50" w:line="361" w:lineRule="auto"/>
        <w:ind w:right="8" w:firstLine="483"/>
        <w:jc w:val="both"/>
        <w:rPr>
          <w:rFonts w:ascii="宋体" w:hAnsi="宋体" w:eastAsia="宋体" w:cs="宋体"/>
          <w:color w:val="auto"/>
          <w:sz w:val="24"/>
          <w:szCs w:val="24"/>
          <w:highlight w:val="none"/>
        </w:rPr>
      </w:pPr>
      <w:r>
        <w:rPr>
          <w:rFonts w:ascii="宋体" w:hAnsi="宋体" w:eastAsia="宋体" w:cs="宋体"/>
          <w:color w:val="auto"/>
          <w:sz w:val="24"/>
          <w:szCs w:val="24"/>
          <w:highlight w:val="none"/>
        </w:rPr>
        <w:t>投标文件存在第二章“投标人须知</w:t>
      </w:r>
      <w:r>
        <w:rPr>
          <w:rFonts w:ascii="宋体" w:hAnsi="宋体" w:eastAsia="宋体" w:cs="宋体"/>
          <w:color w:val="auto"/>
          <w:spacing w:val="-88"/>
          <w:sz w:val="24"/>
          <w:szCs w:val="24"/>
          <w:highlight w:val="none"/>
        </w:rPr>
        <w:t xml:space="preserve"> </w:t>
      </w:r>
      <w:r>
        <w:rPr>
          <w:rFonts w:ascii="宋体" w:hAnsi="宋体" w:eastAsia="宋体" w:cs="宋体"/>
          <w:color w:val="auto"/>
          <w:sz w:val="24"/>
          <w:szCs w:val="24"/>
          <w:highlight w:val="none"/>
        </w:rPr>
        <w:t>”第</w:t>
      </w:r>
      <w:r>
        <w:rPr>
          <w:rFonts w:ascii="宋体" w:hAnsi="宋体" w:eastAsia="宋体" w:cs="宋体"/>
          <w:color w:val="auto"/>
          <w:spacing w:val="-30"/>
          <w:sz w:val="24"/>
          <w:szCs w:val="24"/>
          <w:highlight w:val="none"/>
        </w:rPr>
        <w:t xml:space="preserve"> </w:t>
      </w:r>
      <w:r>
        <w:rPr>
          <w:rFonts w:ascii="宋体" w:hAnsi="宋体" w:eastAsia="宋体" w:cs="宋体"/>
          <w:color w:val="auto"/>
          <w:sz w:val="24"/>
          <w:szCs w:val="24"/>
          <w:highlight w:val="none"/>
        </w:rPr>
        <w:t>1.</w:t>
      </w:r>
      <w:r>
        <w:rPr>
          <w:rFonts w:ascii="宋体" w:hAnsi="宋体" w:eastAsia="宋体" w:cs="宋体"/>
          <w:color w:val="auto"/>
          <w:spacing w:val="-1"/>
          <w:sz w:val="24"/>
          <w:szCs w:val="24"/>
          <w:highlight w:val="none"/>
        </w:rPr>
        <w:t>12.3</w:t>
      </w:r>
      <w:r>
        <w:rPr>
          <w:rFonts w:ascii="宋体" w:hAnsi="宋体" w:eastAsia="宋体" w:cs="宋体"/>
          <w:color w:val="auto"/>
          <w:spacing w:val="-45"/>
          <w:sz w:val="24"/>
          <w:szCs w:val="24"/>
          <w:highlight w:val="none"/>
        </w:rPr>
        <w:t xml:space="preserve"> </w:t>
      </w:r>
      <w:r>
        <w:rPr>
          <w:rFonts w:ascii="宋体" w:hAnsi="宋体" w:eastAsia="宋体" w:cs="宋体"/>
          <w:color w:val="auto"/>
          <w:spacing w:val="-1"/>
          <w:sz w:val="24"/>
          <w:szCs w:val="24"/>
          <w:highlight w:val="none"/>
        </w:rPr>
        <w:t>项所列情形的，均视为细微偏差，</w:t>
      </w:r>
      <w:r>
        <w:rPr>
          <w:rFonts w:ascii="宋体" w:hAnsi="宋体" w:eastAsia="宋体" w:cs="宋体"/>
          <w:color w:val="auto"/>
          <w:sz w:val="24"/>
          <w:szCs w:val="24"/>
          <w:highlight w:val="none"/>
        </w:rPr>
        <w:t>评标委员会不得否决投标人的投标，应按照第二章“投标</w:t>
      </w:r>
      <w:r>
        <w:rPr>
          <w:rFonts w:ascii="宋体" w:hAnsi="宋体" w:eastAsia="宋体" w:cs="宋体"/>
          <w:color w:val="auto"/>
          <w:spacing w:val="-1"/>
          <w:sz w:val="24"/>
          <w:szCs w:val="24"/>
          <w:highlight w:val="none"/>
        </w:rPr>
        <w:t>人须知</w:t>
      </w:r>
      <w:r>
        <w:rPr>
          <w:rFonts w:ascii="宋体" w:hAnsi="宋体" w:eastAsia="宋体" w:cs="宋体"/>
          <w:color w:val="auto"/>
          <w:spacing w:val="-86"/>
          <w:sz w:val="24"/>
          <w:szCs w:val="24"/>
          <w:highlight w:val="none"/>
        </w:rPr>
        <w:t xml:space="preserve"> </w:t>
      </w:r>
      <w:r>
        <w:rPr>
          <w:rFonts w:ascii="宋体" w:hAnsi="宋体" w:eastAsia="宋体" w:cs="宋体"/>
          <w:color w:val="auto"/>
          <w:spacing w:val="-1"/>
          <w:sz w:val="24"/>
          <w:szCs w:val="24"/>
          <w:highlight w:val="none"/>
        </w:rPr>
        <w:t>”第</w:t>
      </w:r>
      <w:r>
        <w:rPr>
          <w:rFonts w:ascii="宋体" w:hAnsi="宋体" w:eastAsia="宋体" w:cs="宋体"/>
          <w:color w:val="auto"/>
          <w:spacing w:val="-30"/>
          <w:sz w:val="24"/>
          <w:szCs w:val="24"/>
          <w:highlight w:val="none"/>
        </w:rPr>
        <w:t xml:space="preserve"> </w:t>
      </w:r>
      <w:r>
        <w:rPr>
          <w:rFonts w:ascii="宋体" w:hAnsi="宋体" w:eastAsia="宋体" w:cs="宋体"/>
          <w:color w:val="auto"/>
          <w:spacing w:val="-1"/>
          <w:sz w:val="24"/>
          <w:szCs w:val="24"/>
          <w:highlight w:val="none"/>
        </w:rPr>
        <w:t>1.12.4</w:t>
      </w:r>
      <w:r>
        <w:rPr>
          <w:rFonts w:ascii="宋体" w:hAnsi="宋体" w:eastAsia="宋体" w:cs="宋体"/>
          <w:color w:val="auto"/>
          <w:spacing w:val="-47"/>
          <w:sz w:val="24"/>
          <w:szCs w:val="24"/>
          <w:highlight w:val="none"/>
        </w:rPr>
        <w:t xml:space="preserve"> </w:t>
      </w:r>
      <w:r>
        <w:rPr>
          <w:rFonts w:ascii="宋体" w:hAnsi="宋体" w:eastAsia="宋体" w:cs="宋体"/>
          <w:color w:val="auto"/>
          <w:spacing w:val="-1"/>
          <w:sz w:val="24"/>
          <w:szCs w:val="24"/>
          <w:highlight w:val="none"/>
        </w:rPr>
        <w:t>项规定的</w:t>
      </w:r>
      <w:r>
        <w:rPr>
          <w:rFonts w:ascii="宋体" w:hAnsi="宋体" w:eastAsia="宋体" w:cs="宋体"/>
          <w:color w:val="auto"/>
          <w:spacing w:val="-2"/>
          <w:sz w:val="24"/>
          <w:szCs w:val="24"/>
          <w:highlight w:val="none"/>
        </w:rPr>
        <w:t>原则处理。</w:t>
      </w:r>
    </w:p>
    <w:p w14:paraId="624EF2D6">
      <w:pPr>
        <w:spacing w:before="136" w:line="220" w:lineRule="auto"/>
        <w:ind w:left="5"/>
        <w:outlineLvl w:val="1"/>
        <w:rPr>
          <w:rFonts w:ascii="宋体" w:hAnsi="宋体" w:eastAsia="宋体" w:cs="宋体"/>
          <w:color w:val="auto"/>
          <w:sz w:val="24"/>
          <w:szCs w:val="24"/>
          <w:highlight w:val="none"/>
        </w:rPr>
      </w:pPr>
      <w:bookmarkStart w:id="294" w:name="_Toc2480"/>
      <w:bookmarkStart w:id="295" w:name="_Toc5826"/>
      <w:bookmarkStart w:id="296" w:name="_Toc17044"/>
      <w:r>
        <w:rPr>
          <w:rFonts w:ascii="宋体" w:hAnsi="宋体" w:eastAsia="宋体" w:cs="宋体"/>
          <w:b/>
          <w:bCs/>
          <w:color w:val="auto"/>
          <w:spacing w:val="-4"/>
          <w:sz w:val="24"/>
          <w:szCs w:val="24"/>
          <w:highlight w:val="none"/>
        </w:rPr>
        <w:t>3.9</w:t>
      </w:r>
      <w:r>
        <w:rPr>
          <w:rFonts w:ascii="宋体" w:hAnsi="宋体" w:eastAsia="宋体" w:cs="宋体"/>
          <w:color w:val="auto"/>
          <w:spacing w:val="-4"/>
          <w:sz w:val="24"/>
          <w:szCs w:val="24"/>
          <w:highlight w:val="none"/>
        </w:rPr>
        <w:t xml:space="preserve"> </w:t>
      </w:r>
      <w:r>
        <w:rPr>
          <w:rFonts w:ascii="宋体" w:hAnsi="宋体" w:eastAsia="宋体" w:cs="宋体"/>
          <w:b/>
          <w:bCs/>
          <w:color w:val="auto"/>
          <w:spacing w:val="-4"/>
          <w:sz w:val="24"/>
          <w:szCs w:val="24"/>
          <w:highlight w:val="none"/>
        </w:rPr>
        <w:t>评标结果</w:t>
      </w:r>
      <w:bookmarkEnd w:id="294"/>
      <w:bookmarkEnd w:id="295"/>
      <w:bookmarkEnd w:id="296"/>
    </w:p>
    <w:p w14:paraId="25BA9259">
      <w:pPr>
        <w:spacing w:before="51" w:line="289" w:lineRule="auto"/>
        <w:ind w:left="1" w:right="8" w:firstLine="483"/>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3.9.1 除第二章“投标人须知</w:t>
      </w:r>
      <w:r>
        <w:rPr>
          <w:rFonts w:ascii="宋体" w:hAnsi="宋体" w:eastAsia="宋体" w:cs="宋体"/>
          <w:color w:val="auto"/>
          <w:spacing w:val="-81"/>
          <w:sz w:val="24"/>
          <w:szCs w:val="24"/>
          <w:highlight w:val="none"/>
        </w:rPr>
        <w:t xml:space="preserve"> </w:t>
      </w:r>
      <w:r>
        <w:rPr>
          <w:rFonts w:ascii="宋体" w:hAnsi="宋体" w:eastAsia="宋体" w:cs="宋体"/>
          <w:color w:val="auto"/>
          <w:spacing w:val="4"/>
          <w:sz w:val="24"/>
          <w:szCs w:val="24"/>
          <w:highlight w:val="none"/>
        </w:rPr>
        <w:t>”前附表授权直</w:t>
      </w:r>
      <w:r>
        <w:rPr>
          <w:rFonts w:ascii="宋体" w:hAnsi="宋体" w:eastAsia="宋体" w:cs="宋体"/>
          <w:color w:val="auto"/>
          <w:spacing w:val="3"/>
          <w:sz w:val="24"/>
          <w:szCs w:val="24"/>
          <w:highlight w:val="none"/>
        </w:rPr>
        <w:t>接确定中标人外，评标委员会按照</w:t>
      </w:r>
      <w:r>
        <w:rPr>
          <w:rFonts w:ascii="宋体" w:hAnsi="宋体" w:eastAsia="宋体" w:cs="宋体"/>
          <w:color w:val="auto"/>
          <w:spacing w:val="-1"/>
          <w:sz w:val="24"/>
          <w:szCs w:val="24"/>
          <w:highlight w:val="none"/>
        </w:rPr>
        <w:t>得分由高到低</w:t>
      </w:r>
      <w:r>
        <w:rPr>
          <w:rFonts w:hint="eastAsia" w:ascii="宋体" w:hAnsi="宋体" w:eastAsia="宋体" w:cs="宋体"/>
          <w:color w:val="auto"/>
          <w:spacing w:val="-1"/>
          <w:sz w:val="24"/>
          <w:szCs w:val="24"/>
          <w:highlight w:val="none"/>
          <w:lang w:val="en-US" w:eastAsia="zh-CN"/>
        </w:rPr>
        <w:t>将得分前5名不排序（按企业统一信用代码后4位大小排位）的投标人作为定</w:t>
      </w:r>
      <w:r>
        <w:rPr>
          <w:rFonts w:ascii="宋体" w:hAnsi="宋体" w:eastAsia="宋体" w:cs="宋体"/>
          <w:color w:val="auto"/>
          <w:spacing w:val="-1"/>
          <w:sz w:val="24"/>
          <w:szCs w:val="24"/>
          <w:highlight w:val="none"/>
        </w:rPr>
        <w:t>标候选人</w:t>
      </w:r>
      <w:r>
        <w:rPr>
          <w:rFonts w:hint="eastAsia" w:ascii="宋体" w:hAnsi="宋体" w:eastAsia="宋体" w:cs="宋体"/>
          <w:color w:val="auto"/>
          <w:spacing w:val="-1"/>
          <w:sz w:val="24"/>
          <w:szCs w:val="24"/>
          <w:highlight w:val="none"/>
          <w:lang w:val="en-US" w:eastAsia="zh-CN"/>
        </w:rPr>
        <w:t>推荐给招标人</w:t>
      </w:r>
      <w:r>
        <w:rPr>
          <w:rFonts w:ascii="宋体" w:hAnsi="宋体" w:eastAsia="宋体" w:cs="宋体"/>
          <w:color w:val="auto"/>
          <w:spacing w:val="-1"/>
          <w:sz w:val="24"/>
          <w:szCs w:val="24"/>
          <w:highlight w:val="none"/>
        </w:rPr>
        <w:t>。</w:t>
      </w:r>
    </w:p>
    <w:p w14:paraId="3DDD823B">
      <w:pPr>
        <w:spacing w:before="184" w:line="218" w:lineRule="auto"/>
        <w:ind w:left="0" w:leftChars="0" w:firstLine="418" w:firstLineChars="176"/>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3.9.2 评标委员会完成评标后，应向招标人提交评标报告</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lang w:val="en-US" w:eastAsia="zh-CN"/>
        </w:rPr>
        <w:t>评标委员会所有成员应在评标报告上逐页签字</w:t>
      </w:r>
      <w:r>
        <w:rPr>
          <w:rFonts w:ascii="宋体" w:hAnsi="宋体" w:eastAsia="宋体" w:cs="宋体"/>
          <w:color w:val="auto"/>
          <w:spacing w:val="-1"/>
          <w:sz w:val="24"/>
          <w:szCs w:val="24"/>
          <w:highlight w:val="none"/>
        </w:rPr>
        <w:t>。</w:t>
      </w:r>
    </w:p>
    <w:p w14:paraId="4FE6288F">
      <w:pPr>
        <w:spacing w:before="183" w:line="331" w:lineRule="auto"/>
        <w:ind w:right="8" w:firstLine="485"/>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3.9.3</w:t>
      </w:r>
      <w:r>
        <w:rPr>
          <w:rFonts w:ascii="宋体" w:hAnsi="宋体" w:eastAsia="宋体" w:cs="宋体"/>
          <w:color w:val="auto"/>
          <w:spacing w:val="-51"/>
          <w:sz w:val="24"/>
          <w:szCs w:val="24"/>
          <w:highlight w:val="none"/>
        </w:rPr>
        <w:t xml:space="preserve"> </w:t>
      </w:r>
      <w:r>
        <w:rPr>
          <w:rFonts w:ascii="宋体" w:hAnsi="宋体" w:eastAsia="宋体" w:cs="宋体"/>
          <w:color w:val="auto"/>
          <w:spacing w:val="-1"/>
          <w:sz w:val="24"/>
          <w:szCs w:val="24"/>
          <w:highlight w:val="none"/>
        </w:rPr>
        <w:t>通过第一个信封商务和技术文件评审的投标人少于</w:t>
      </w:r>
      <w:r>
        <w:rPr>
          <w:rFonts w:ascii="宋体" w:hAnsi="宋体" w:eastAsia="宋体" w:cs="宋体"/>
          <w:color w:val="auto"/>
          <w:spacing w:val="-44"/>
          <w:sz w:val="24"/>
          <w:szCs w:val="24"/>
          <w:highlight w:val="none"/>
        </w:rPr>
        <w:t xml:space="preserve"> </w:t>
      </w:r>
      <w:r>
        <w:rPr>
          <w:rFonts w:ascii="宋体" w:hAnsi="宋体" w:eastAsia="宋体" w:cs="宋体"/>
          <w:color w:val="auto"/>
          <w:spacing w:val="-1"/>
          <w:sz w:val="24"/>
          <w:szCs w:val="24"/>
          <w:highlight w:val="none"/>
        </w:rPr>
        <w:t>3</w:t>
      </w:r>
      <w:r>
        <w:rPr>
          <w:rFonts w:ascii="宋体" w:hAnsi="宋体" w:eastAsia="宋体" w:cs="宋体"/>
          <w:color w:val="auto"/>
          <w:spacing w:val="-51"/>
          <w:sz w:val="24"/>
          <w:szCs w:val="24"/>
          <w:highlight w:val="none"/>
        </w:rPr>
        <w:t xml:space="preserve"> </w:t>
      </w:r>
      <w:r>
        <w:rPr>
          <w:rFonts w:ascii="宋体" w:hAnsi="宋体" w:eastAsia="宋体" w:cs="宋体"/>
          <w:color w:val="auto"/>
          <w:spacing w:val="-1"/>
          <w:sz w:val="24"/>
          <w:szCs w:val="24"/>
          <w:highlight w:val="none"/>
        </w:rPr>
        <w:t>个的，评标委员会可以</w:t>
      </w:r>
      <w:r>
        <w:rPr>
          <w:rFonts w:ascii="宋体" w:hAnsi="宋体" w:eastAsia="宋体" w:cs="宋体"/>
          <w:color w:val="auto"/>
          <w:spacing w:val="5"/>
          <w:sz w:val="24"/>
          <w:szCs w:val="24"/>
          <w:highlight w:val="none"/>
        </w:rPr>
        <w:t>否决全部投标；未否决全部投标的，评标委员会应当在评标报告中阐明理由，</w:t>
      </w:r>
      <w:r>
        <w:rPr>
          <w:rFonts w:ascii="宋体" w:hAnsi="宋体" w:eastAsia="宋体" w:cs="宋体"/>
          <w:color w:val="auto"/>
          <w:spacing w:val="4"/>
          <w:sz w:val="24"/>
          <w:szCs w:val="24"/>
          <w:highlight w:val="none"/>
        </w:rPr>
        <w:t>招标人</w:t>
      </w:r>
      <w:r>
        <w:rPr>
          <w:rFonts w:ascii="宋体" w:hAnsi="宋体" w:eastAsia="宋体" w:cs="宋体"/>
          <w:color w:val="auto"/>
          <w:spacing w:val="5"/>
          <w:sz w:val="24"/>
          <w:szCs w:val="24"/>
          <w:highlight w:val="none"/>
        </w:rPr>
        <w:t>应当按照招标文件规定的程序进行第二个信封报价开标，但评标委员会在进行</w:t>
      </w:r>
      <w:r>
        <w:rPr>
          <w:rFonts w:ascii="宋体" w:hAnsi="宋体" w:eastAsia="宋体" w:cs="宋体"/>
          <w:color w:val="auto"/>
          <w:spacing w:val="4"/>
          <w:sz w:val="24"/>
          <w:szCs w:val="24"/>
          <w:highlight w:val="none"/>
        </w:rPr>
        <w:t>报价评</w:t>
      </w:r>
      <w:r>
        <w:rPr>
          <w:rFonts w:ascii="宋体" w:hAnsi="宋体" w:eastAsia="宋体" w:cs="宋体"/>
          <w:color w:val="auto"/>
          <w:spacing w:val="5"/>
          <w:sz w:val="24"/>
          <w:szCs w:val="24"/>
          <w:highlight w:val="none"/>
        </w:rPr>
        <w:t>审时仍有权否决全部投标；评标委员会未在报价文件评审时否决全部投标的，</w:t>
      </w:r>
      <w:r>
        <w:rPr>
          <w:rFonts w:ascii="宋体" w:hAnsi="宋体" w:eastAsia="宋体" w:cs="宋体"/>
          <w:color w:val="auto"/>
          <w:spacing w:val="4"/>
          <w:sz w:val="24"/>
          <w:szCs w:val="24"/>
          <w:highlight w:val="none"/>
        </w:rPr>
        <w:t>应当在</w:t>
      </w:r>
      <w:r>
        <w:rPr>
          <w:rFonts w:ascii="宋体" w:hAnsi="宋体" w:eastAsia="宋体" w:cs="宋体"/>
          <w:color w:val="auto"/>
          <w:spacing w:val="-1"/>
          <w:sz w:val="24"/>
          <w:szCs w:val="24"/>
          <w:highlight w:val="none"/>
        </w:rPr>
        <w:t>评标报告中阐明理由并推荐</w:t>
      </w:r>
      <w:r>
        <w:rPr>
          <w:rFonts w:hint="eastAsia" w:ascii="宋体" w:hAnsi="宋体" w:eastAsia="宋体" w:cs="宋体"/>
          <w:color w:val="auto"/>
          <w:spacing w:val="-1"/>
          <w:sz w:val="24"/>
          <w:szCs w:val="24"/>
          <w:highlight w:val="none"/>
          <w:lang w:val="en-US" w:eastAsia="zh-CN"/>
        </w:rPr>
        <w:t>定</w:t>
      </w:r>
      <w:r>
        <w:rPr>
          <w:rFonts w:ascii="宋体" w:hAnsi="宋体" w:eastAsia="宋体" w:cs="宋体"/>
          <w:color w:val="auto"/>
          <w:spacing w:val="-1"/>
          <w:sz w:val="24"/>
          <w:szCs w:val="24"/>
          <w:highlight w:val="none"/>
        </w:rPr>
        <w:t>标候选人。</w:t>
      </w:r>
    </w:p>
    <w:p w14:paraId="71EAEA3B">
      <w:pPr>
        <w:spacing w:before="183" w:line="288" w:lineRule="auto"/>
        <w:ind w:left="2" w:right="5" w:firstLine="482"/>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3.9.4</w:t>
      </w:r>
      <w:r>
        <w:rPr>
          <w:rFonts w:ascii="宋体" w:hAnsi="宋体" w:eastAsia="宋体" w:cs="宋体"/>
          <w:color w:val="auto"/>
          <w:spacing w:val="-49"/>
          <w:sz w:val="24"/>
          <w:szCs w:val="24"/>
          <w:highlight w:val="none"/>
        </w:rPr>
        <w:t xml:space="preserve"> </w:t>
      </w:r>
      <w:r>
        <w:rPr>
          <w:rFonts w:ascii="宋体" w:hAnsi="宋体" w:eastAsia="宋体" w:cs="宋体"/>
          <w:color w:val="auto"/>
          <w:spacing w:val="-1"/>
          <w:sz w:val="24"/>
          <w:szCs w:val="24"/>
          <w:highlight w:val="none"/>
        </w:rPr>
        <w:t>通过第一个信封商务和技术文件评审的投标人在</w:t>
      </w:r>
      <w:r>
        <w:rPr>
          <w:rFonts w:ascii="宋体" w:hAnsi="宋体" w:eastAsia="宋体" w:cs="宋体"/>
          <w:color w:val="auto"/>
          <w:spacing w:val="-44"/>
          <w:sz w:val="24"/>
          <w:szCs w:val="24"/>
          <w:highlight w:val="none"/>
        </w:rPr>
        <w:t xml:space="preserve"> </w:t>
      </w:r>
      <w:r>
        <w:rPr>
          <w:rFonts w:ascii="宋体" w:hAnsi="宋体" w:eastAsia="宋体" w:cs="宋体"/>
          <w:color w:val="auto"/>
          <w:spacing w:val="-1"/>
          <w:sz w:val="24"/>
          <w:szCs w:val="24"/>
          <w:highlight w:val="none"/>
        </w:rPr>
        <w:t>3</w:t>
      </w:r>
      <w:r>
        <w:rPr>
          <w:rFonts w:ascii="宋体" w:hAnsi="宋体" w:eastAsia="宋体" w:cs="宋体"/>
          <w:color w:val="auto"/>
          <w:spacing w:val="-50"/>
          <w:sz w:val="24"/>
          <w:szCs w:val="24"/>
          <w:highlight w:val="none"/>
        </w:rPr>
        <w:t xml:space="preserve"> </w:t>
      </w:r>
      <w:r>
        <w:rPr>
          <w:rFonts w:ascii="宋体" w:hAnsi="宋体" w:eastAsia="宋体" w:cs="宋体"/>
          <w:color w:val="auto"/>
          <w:spacing w:val="-1"/>
          <w:sz w:val="24"/>
          <w:szCs w:val="24"/>
          <w:highlight w:val="none"/>
        </w:rPr>
        <w:t>个及以上的，招标人应当</w:t>
      </w:r>
      <w:r>
        <w:rPr>
          <w:rFonts w:ascii="宋体" w:hAnsi="宋体" w:eastAsia="宋体" w:cs="宋体"/>
          <w:color w:val="auto"/>
          <w:spacing w:val="5"/>
          <w:sz w:val="24"/>
          <w:szCs w:val="24"/>
          <w:highlight w:val="none"/>
        </w:rPr>
        <w:t>按照招标文件规定的程序进行第二个信封报价文件开标；在</w:t>
      </w:r>
      <w:r>
        <w:rPr>
          <w:rFonts w:ascii="宋体" w:hAnsi="宋体" w:eastAsia="宋体" w:cs="宋体"/>
          <w:color w:val="auto"/>
          <w:spacing w:val="4"/>
          <w:sz w:val="24"/>
          <w:szCs w:val="24"/>
          <w:highlight w:val="none"/>
        </w:rPr>
        <w:t>对报价文件进行评审后，有效投标不足</w:t>
      </w:r>
      <w:r>
        <w:rPr>
          <w:rFonts w:ascii="宋体" w:hAnsi="宋体" w:eastAsia="宋体" w:cs="宋体"/>
          <w:color w:val="auto"/>
          <w:spacing w:val="-41"/>
          <w:sz w:val="24"/>
          <w:szCs w:val="24"/>
          <w:highlight w:val="none"/>
        </w:rPr>
        <w:t xml:space="preserve"> </w:t>
      </w:r>
      <w:r>
        <w:rPr>
          <w:rFonts w:ascii="宋体" w:hAnsi="宋体" w:eastAsia="宋体" w:cs="宋体"/>
          <w:color w:val="auto"/>
          <w:spacing w:val="4"/>
          <w:sz w:val="24"/>
          <w:szCs w:val="24"/>
          <w:highlight w:val="none"/>
        </w:rPr>
        <w:t>3</w:t>
      </w:r>
      <w:r>
        <w:rPr>
          <w:rFonts w:ascii="宋体" w:hAnsi="宋体" w:eastAsia="宋体" w:cs="宋体"/>
          <w:color w:val="auto"/>
          <w:spacing w:val="-43"/>
          <w:sz w:val="24"/>
          <w:szCs w:val="24"/>
          <w:highlight w:val="none"/>
        </w:rPr>
        <w:t xml:space="preserve"> </w:t>
      </w:r>
      <w:r>
        <w:rPr>
          <w:rFonts w:ascii="宋体" w:hAnsi="宋体" w:eastAsia="宋体" w:cs="宋体"/>
          <w:color w:val="auto"/>
          <w:spacing w:val="4"/>
          <w:sz w:val="24"/>
          <w:szCs w:val="24"/>
          <w:highlight w:val="none"/>
        </w:rPr>
        <w:t>个的，评标委员会可以否决全部投标。未否决全部投标的，</w:t>
      </w:r>
      <w:r>
        <w:rPr>
          <w:rFonts w:ascii="宋体" w:hAnsi="宋体" w:eastAsia="宋体" w:cs="宋体"/>
          <w:color w:val="auto"/>
          <w:spacing w:val="3"/>
          <w:sz w:val="24"/>
          <w:szCs w:val="24"/>
          <w:highlight w:val="none"/>
        </w:rPr>
        <w:t>评标委员</w:t>
      </w:r>
      <w:r>
        <w:rPr>
          <w:rFonts w:ascii="宋体" w:hAnsi="宋体" w:eastAsia="宋体" w:cs="宋体"/>
          <w:color w:val="auto"/>
          <w:spacing w:val="-1"/>
          <w:sz w:val="24"/>
          <w:szCs w:val="24"/>
          <w:highlight w:val="none"/>
        </w:rPr>
        <w:t>会应当在评标报告中阐明理由并推荐</w:t>
      </w:r>
      <w:r>
        <w:rPr>
          <w:rFonts w:hint="eastAsia" w:ascii="宋体" w:hAnsi="宋体" w:eastAsia="宋体" w:cs="宋体"/>
          <w:color w:val="auto"/>
          <w:spacing w:val="-1"/>
          <w:sz w:val="24"/>
          <w:szCs w:val="24"/>
          <w:highlight w:val="none"/>
          <w:lang w:val="en-US" w:eastAsia="zh-CN"/>
        </w:rPr>
        <w:t>定</w:t>
      </w:r>
      <w:r>
        <w:rPr>
          <w:rFonts w:ascii="宋体" w:hAnsi="宋体" w:eastAsia="宋体" w:cs="宋体"/>
          <w:color w:val="auto"/>
          <w:spacing w:val="-1"/>
          <w:sz w:val="24"/>
          <w:szCs w:val="24"/>
          <w:highlight w:val="none"/>
        </w:rPr>
        <w:t>标候选人。</w:t>
      </w:r>
    </w:p>
    <w:p w14:paraId="6825CFBB">
      <w:pPr>
        <w:spacing w:line="359" w:lineRule="auto"/>
        <w:ind w:left="2" w:firstLine="482"/>
        <w:rPr>
          <w:rFonts w:ascii="宋体" w:hAnsi="宋体" w:eastAsia="宋体" w:cs="宋体"/>
          <w:color w:val="auto"/>
          <w:sz w:val="24"/>
          <w:szCs w:val="24"/>
          <w:highlight w:val="none"/>
        </w:rPr>
      </w:pPr>
      <w:r>
        <w:rPr>
          <w:rFonts w:ascii="宋体" w:hAnsi="宋体" w:eastAsia="宋体" w:cs="宋体"/>
          <w:color w:val="auto"/>
          <w:sz w:val="24"/>
          <w:szCs w:val="24"/>
          <w:highlight w:val="none"/>
        </w:rPr>
        <w:t>3.9.5</w:t>
      </w:r>
      <w:r>
        <w:rPr>
          <w:rFonts w:ascii="宋体" w:hAnsi="宋体" w:eastAsia="宋体" w:cs="宋体"/>
          <w:color w:val="auto"/>
          <w:spacing w:val="-47"/>
          <w:sz w:val="24"/>
          <w:szCs w:val="24"/>
          <w:highlight w:val="none"/>
        </w:rPr>
        <w:t xml:space="preserve"> </w:t>
      </w:r>
      <w:r>
        <w:rPr>
          <w:rFonts w:ascii="宋体" w:hAnsi="宋体" w:eastAsia="宋体" w:cs="宋体"/>
          <w:color w:val="auto"/>
          <w:sz w:val="24"/>
          <w:szCs w:val="24"/>
          <w:highlight w:val="none"/>
        </w:rPr>
        <w:t>如果发生无法确定推荐</w:t>
      </w:r>
      <w:r>
        <w:rPr>
          <w:rFonts w:hint="eastAsia" w:ascii="宋体" w:hAnsi="宋体" w:eastAsia="宋体" w:cs="宋体"/>
          <w:color w:val="auto"/>
          <w:sz w:val="24"/>
          <w:szCs w:val="24"/>
          <w:highlight w:val="none"/>
          <w:lang w:val="en-US" w:eastAsia="zh-CN"/>
        </w:rPr>
        <w:t>定</w:t>
      </w:r>
      <w:r>
        <w:rPr>
          <w:rFonts w:ascii="宋体" w:hAnsi="宋体" w:eastAsia="宋体" w:cs="宋体"/>
          <w:color w:val="auto"/>
          <w:sz w:val="24"/>
          <w:szCs w:val="24"/>
          <w:highlight w:val="none"/>
        </w:rPr>
        <w:t>标候选人的</w:t>
      </w:r>
      <w:r>
        <w:rPr>
          <w:rFonts w:ascii="宋体" w:hAnsi="宋体" w:eastAsia="宋体" w:cs="宋体"/>
          <w:color w:val="auto"/>
          <w:spacing w:val="-1"/>
          <w:sz w:val="24"/>
          <w:szCs w:val="24"/>
          <w:highlight w:val="none"/>
        </w:rPr>
        <w:t>其他意外情况，评标委员会可建议招标</w:t>
      </w:r>
      <w:r>
        <w:rPr>
          <w:rFonts w:ascii="宋体" w:hAnsi="宋体" w:eastAsia="宋体" w:cs="宋体"/>
          <w:color w:val="auto"/>
          <w:spacing w:val="-2"/>
          <w:sz w:val="24"/>
          <w:szCs w:val="24"/>
          <w:highlight w:val="none"/>
        </w:rPr>
        <w:t>人重新招标。</w:t>
      </w:r>
    </w:p>
    <w:p w14:paraId="5037E447">
      <w:pPr>
        <w:spacing w:line="218" w:lineRule="auto"/>
        <w:ind w:left="485"/>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3.9.6</w:t>
      </w:r>
      <w:r>
        <w:rPr>
          <w:rFonts w:ascii="宋体" w:hAnsi="宋体" w:eastAsia="宋体" w:cs="宋体"/>
          <w:color w:val="auto"/>
          <w:spacing w:val="-49"/>
          <w:sz w:val="24"/>
          <w:szCs w:val="24"/>
          <w:highlight w:val="none"/>
        </w:rPr>
        <w:t xml:space="preserve"> </w:t>
      </w:r>
      <w:r>
        <w:rPr>
          <w:rFonts w:ascii="宋体" w:hAnsi="宋体" w:eastAsia="宋体" w:cs="宋体"/>
          <w:color w:val="auto"/>
          <w:spacing w:val="-1"/>
          <w:sz w:val="24"/>
          <w:szCs w:val="24"/>
          <w:highlight w:val="none"/>
        </w:rPr>
        <w:t>本招标文件规定的否决投标条款包含在以下条款：</w:t>
      </w:r>
    </w:p>
    <w:p w14:paraId="0915D40F">
      <w:pPr>
        <w:spacing w:before="180" w:line="219" w:lineRule="auto"/>
        <w:ind w:left="492"/>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（1）投标人须知前附表后附录资格审查条件；</w:t>
      </w:r>
    </w:p>
    <w:p w14:paraId="6231769E">
      <w:pPr>
        <w:spacing w:before="184" w:line="289" w:lineRule="auto"/>
        <w:ind w:left="5" w:right="39" w:firstLine="486"/>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（2）投标人须知</w:t>
      </w:r>
      <w:r>
        <w:rPr>
          <w:rFonts w:ascii="宋体" w:hAnsi="宋体" w:eastAsia="宋体" w:cs="宋体"/>
          <w:color w:val="auto"/>
          <w:spacing w:val="-31"/>
          <w:sz w:val="24"/>
          <w:szCs w:val="24"/>
          <w:highlight w:val="none"/>
        </w:rPr>
        <w:t xml:space="preserve"> </w:t>
      </w:r>
      <w:r>
        <w:rPr>
          <w:rFonts w:ascii="宋体" w:hAnsi="宋体" w:eastAsia="宋体" w:cs="宋体"/>
          <w:color w:val="auto"/>
          <w:spacing w:val="-3"/>
          <w:sz w:val="24"/>
          <w:szCs w:val="24"/>
          <w:highlight w:val="none"/>
        </w:rPr>
        <w:t>1.4.3</w:t>
      </w:r>
      <w:r>
        <w:rPr>
          <w:rFonts w:ascii="宋体" w:hAnsi="宋体" w:eastAsia="宋体" w:cs="宋体"/>
          <w:color w:val="auto"/>
          <w:spacing w:val="-47"/>
          <w:sz w:val="24"/>
          <w:szCs w:val="24"/>
          <w:highlight w:val="none"/>
        </w:rPr>
        <w:t xml:space="preserve"> </w:t>
      </w:r>
      <w:r>
        <w:rPr>
          <w:rFonts w:ascii="宋体" w:hAnsi="宋体" w:eastAsia="宋体" w:cs="宋体"/>
          <w:color w:val="auto"/>
          <w:spacing w:val="-3"/>
          <w:sz w:val="24"/>
          <w:szCs w:val="24"/>
          <w:highlight w:val="none"/>
        </w:rPr>
        <w:t>项、1.4.4</w:t>
      </w:r>
      <w:r>
        <w:rPr>
          <w:rFonts w:ascii="宋体" w:hAnsi="宋体" w:eastAsia="宋体" w:cs="宋体"/>
          <w:color w:val="auto"/>
          <w:spacing w:val="-46"/>
          <w:sz w:val="24"/>
          <w:szCs w:val="24"/>
          <w:highlight w:val="none"/>
        </w:rPr>
        <w:t xml:space="preserve"> </w:t>
      </w:r>
      <w:r>
        <w:rPr>
          <w:rFonts w:ascii="宋体" w:hAnsi="宋体" w:eastAsia="宋体" w:cs="宋体"/>
          <w:color w:val="auto"/>
          <w:spacing w:val="-3"/>
          <w:sz w:val="24"/>
          <w:szCs w:val="24"/>
          <w:highlight w:val="none"/>
        </w:rPr>
        <w:t>项、1.4.5</w:t>
      </w:r>
      <w:r>
        <w:rPr>
          <w:rFonts w:ascii="宋体" w:hAnsi="宋体" w:eastAsia="宋体" w:cs="宋体"/>
          <w:color w:val="auto"/>
          <w:spacing w:val="-47"/>
          <w:sz w:val="24"/>
          <w:szCs w:val="24"/>
          <w:highlight w:val="none"/>
        </w:rPr>
        <w:t xml:space="preserve"> </w:t>
      </w:r>
      <w:r>
        <w:rPr>
          <w:rFonts w:ascii="宋体" w:hAnsi="宋体" w:eastAsia="宋体" w:cs="宋体"/>
          <w:color w:val="auto"/>
          <w:spacing w:val="-3"/>
          <w:sz w:val="24"/>
          <w:szCs w:val="24"/>
          <w:highlight w:val="none"/>
        </w:rPr>
        <w:t>项、1.12.2</w:t>
      </w:r>
      <w:r>
        <w:rPr>
          <w:rFonts w:ascii="宋体" w:hAnsi="宋体" w:eastAsia="宋体" w:cs="宋体"/>
          <w:color w:val="auto"/>
          <w:spacing w:val="-47"/>
          <w:sz w:val="24"/>
          <w:szCs w:val="24"/>
          <w:highlight w:val="none"/>
        </w:rPr>
        <w:t xml:space="preserve"> </w:t>
      </w:r>
      <w:r>
        <w:rPr>
          <w:rFonts w:ascii="宋体" w:hAnsi="宋体" w:eastAsia="宋体" w:cs="宋体"/>
          <w:color w:val="auto"/>
          <w:spacing w:val="-4"/>
          <w:sz w:val="24"/>
          <w:szCs w:val="24"/>
          <w:highlight w:val="none"/>
        </w:rPr>
        <w:t>项、3.4.2</w:t>
      </w:r>
      <w:r>
        <w:rPr>
          <w:rFonts w:ascii="宋体" w:hAnsi="宋体" w:eastAsia="宋体" w:cs="宋体"/>
          <w:color w:val="auto"/>
          <w:spacing w:val="-44"/>
          <w:sz w:val="24"/>
          <w:szCs w:val="24"/>
          <w:highlight w:val="none"/>
        </w:rPr>
        <w:t xml:space="preserve"> </w:t>
      </w:r>
      <w:r>
        <w:rPr>
          <w:rFonts w:ascii="宋体" w:hAnsi="宋体" w:eastAsia="宋体" w:cs="宋体"/>
          <w:color w:val="auto"/>
          <w:spacing w:val="-4"/>
          <w:sz w:val="24"/>
          <w:szCs w:val="24"/>
          <w:highlight w:val="none"/>
        </w:rPr>
        <w:t>项、3.5</w:t>
      </w:r>
      <w:r>
        <w:rPr>
          <w:rFonts w:ascii="宋体" w:hAnsi="宋体" w:eastAsia="宋体" w:cs="宋体"/>
          <w:color w:val="auto"/>
          <w:spacing w:val="-47"/>
          <w:sz w:val="24"/>
          <w:szCs w:val="24"/>
          <w:highlight w:val="none"/>
        </w:rPr>
        <w:t xml:space="preserve"> </w:t>
      </w:r>
      <w:r>
        <w:rPr>
          <w:rFonts w:ascii="宋体" w:hAnsi="宋体" w:eastAsia="宋体" w:cs="宋体"/>
          <w:color w:val="auto"/>
          <w:spacing w:val="-4"/>
          <w:sz w:val="24"/>
          <w:szCs w:val="24"/>
          <w:highlight w:val="none"/>
        </w:rPr>
        <w:t>项、</w:t>
      </w:r>
      <w:r>
        <w:rPr>
          <w:rFonts w:ascii="宋体" w:hAnsi="宋体" w:eastAsia="宋体" w:cs="宋体"/>
          <w:color w:val="auto"/>
          <w:sz w:val="24"/>
          <w:szCs w:val="24"/>
          <w:highlight w:val="none"/>
        </w:rPr>
        <w:t xml:space="preserve"> </w:t>
      </w:r>
      <w:r>
        <w:rPr>
          <w:rFonts w:ascii="宋体" w:hAnsi="宋体" w:eastAsia="宋体" w:cs="宋体"/>
          <w:color w:val="auto"/>
          <w:spacing w:val="-4"/>
          <w:sz w:val="24"/>
          <w:szCs w:val="24"/>
          <w:highlight w:val="none"/>
        </w:rPr>
        <w:t>3.6.1</w:t>
      </w:r>
      <w:r>
        <w:rPr>
          <w:rFonts w:ascii="宋体" w:hAnsi="宋体" w:eastAsia="宋体" w:cs="宋体"/>
          <w:color w:val="auto"/>
          <w:spacing w:val="-47"/>
          <w:sz w:val="24"/>
          <w:szCs w:val="24"/>
          <w:highlight w:val="none"/>
        </w:rPr>
        <w:t xml:space="preserve"> </w:t>
      </w:r>
      <w:r>
        <w:rPr>
          <w:rFonts w:ascii="宋体" w:hAnsi="宋体" w:eastAsia="宋体" w:cs="宋体"/>
          <w:color w:val="auto"/>
          <w:spacing w:val="-4"/>
          <w:sz w:val="24"/>
          <w:szCs w:val="24"/>
          <w:highlight w:val="none"/>
        </w:rPr>
        <w:t>项；</w:t>
      </w:r>
    </w:p>
    <w:p w14:paraId="5A548F71">
      <w:pPr>
        <w:spacing w:before="181" w:line="219" w:lineRule="auto"/>
        <w:ind w:left="492"/>
        <w:rPr>
          <w:color w:val="auto"/>
          <w:highlight w:val="none"/>
        </w:rPr>
        <w:sectPr>
          <w:footerReference r:id="rId55" w:type="default"/>
          <w:pgSz w:w="11906" w:h="16839"/>
          <w:pgMar w:top="1405" w:right="1418" w:bottom="1297" w:left="1424" w:header="0" w:footer="1067" w:gutter="0"/>
          <w:pgNumType w:fmt="decimal"/>
          <w:cols w:space="720" w:num="1"/>
        </w:sectPr>
      </w:pPr>
      <w:r>
        <w:rPr>
          <w:rFonts w:ascii="宋体" w:hAnsi="宋体" w:eastAsia="宋体" w:cs="宋体"/>
          <w:color w:val="auto"/>
          <w:spacing w:val="-2"/>
          <w:sz w:val="24"/>
          <w:szCs w:val="24"/>
          <w:highlight w:val="none"/>
        </w:rPr>
        <w:t>（3）本评标办法的否决条款。</w:t>
      </w:r>
    </w:p>
    <w:p w14:paraId="62E25400">
      <w:pPr>
        <w:spacing w:before="193"/>
        <w:jc w:val="center"/>
        <w:outlineLvl w:val="0"/>
        <w:rPr>
          <w:rFonts w:hint="eastAsia" w:ascii="宋体" w:hAnsi="宋体" w:cs="宋体"/>
          <w:b/>
          <w:bCs/>
          <w:color w:val="auto"/>
          <w:sz w:val="42"/>
          <w:highlight w:val="none"/>
        </w:rPr>
      </w:pPr>
      <w:bookmarkStart w:id="297" w:name="_Toc30517"/>
      <w:bookmarkStart w:id="298" w:name="_Toc14062"/>
      <w:r>
        <w:rPr>
          <w:rFonts w:hint="eastAsia" w:ascii="宋体" w:hAnsi="宋体" w:cs="宋体"/>
          <w:b/>
          <w:bCs/>
          <w:color w:val="auto"/>
          <w:sz w:val="42"/>
          <w:highlight w:val="none"/>
        </w:rPr>
        <w:t>第</w:t>
      </w:r>
      <w:r>
        <w:rPr>
          <w:rFonts w:hint="eastAsia" w:ascii="宋体" w:hAnsi="宋体" w:cs="宋体"/>
          <w:b/>
          <w:bCs/>
          <w:color w:val="auto"/>
          <w:sz w:val="42"/>
          <w:highlight w:val="none"/>
          <w:lang w:eastAsia="zh-CN"/>
        </w:rPr>
        <w:t>二节</w:t>
      </w:r>
      <w:r>
        <w:rPr>
          <w:rFonts w:hint="eastAsia" w:ascii="宋体" w:hAnsi="宋体" w:cs="宋体"/>
          <w:b/>
          <w:bCs/>
          <w:color w:val="auto"/>
          <w:sz w:val="42"/>
          <w:highlight w:val="none"/>
        </w:rPr>
        <w:t xml:space="preserve"> </w:t>
      </w:r>
      <w:r>
        <w:rPr>
          <w:rFonts w:hint="eastAsia" w:ascii="宋体" w:hAnsi="宋体" w:cs="宋体"/>
          <w:b/>
          <w:bCs/>
          <w:color w:val="auto"/>
          <w:sz w:val="42"/>
          <w:highlight w:val="none"/>
          <w:lang w:eastAsia="zh-CN"/>
        </w:rPr>
        <w:t>定</w:t>
      </w:r>
      <w:r>
        <w:rPr>
          <w:rFonts w:hint="eastAsia" w:ascii="宋体" w:hAnsi="宋体" w:cs="宋体"/>
          <w:b/>
          <w:bCs/>
          <w:color w:val="auto"/>
          <w:sz w:val="42"/>
          <w:highlight w:val="none"/>
        </w:rPr>
        <w:t>标办法（</w:t>
      </w:r>
      <w:r>
        <w:rPr>
          <w:rFonts w:hint="eastAsia" w:ascii="宋体" w:hAnsi="宋体" w:cs="宋体"/>
          <w:b/>
          <w:bCs/>
          <w:color w:val="auto"/>
          <w:sz w:val="42"/>
          <w:highlight w:val="none"/>
          <w:lang w:eastAsia="zh-CN"/>
        </w:rPr>
        <w:t>票决数量法</w:t>
      </w:r>
      <w:r>
        <w:rPr>
          <w:rFonts w:hint="eastAsia" w:ascii="宋体" w:hAnsi="宋体" w:cs="宋体"/>
          <w:b/>
          <w:bCs/>
          <w:color w:val="auto"/>
          <w:sz w:val="42"/>
          <w:highlight w:val="none"/>
        </w:rPr>
        <w:t>）</w:t>
      </w:r>
      <w:bookmarkEnd w:id="297"/>
      <w:bookmarkEnd w:id="298"/>
    </w:p>
    <w:p w14:paraId="2FB1D29C">
      <w:pPr>
        <w:jc w:val="left"/>
        <w:rPr>
          <w:rFonts w:hint="eastAsia" w:ascii="宋体" w:hAnsi="宋体" w:cs="宋体"/>
          <w:color w:val="auto"/>
          <w:sz w:val="24"/>
          <w:highlight w:val="none"/>
          <w:lang w:val="en-US" w:eastAsia="zh-CN"/>
        </w:rPr>
      </w:pPr>
    </w:p>
    <w:p w14:paraId="3224F623">
      <w:pPr>
        <w:jc w:val="left"/>
        <w:rPr>
          <w:rFonts w:hint="eastAsia" w:ascii="宋体" w:hAnsi="宋体" w:cs="宋体"/>
          <w:b/>
          <w:bCs/>
          <w:color w:val="auto"/>
          <w:sz w:val="24"/>
          <w:highlight w:val="none"/>
        </w:rPr>
      </w:pPr>
      <w:r>
        <w:rPr>
          <w:rFonts w:hint="eastAsia" w:ascii="宋体" w:hAnsi="宋体" w:cs="宋体"/>
          <w:b/>
          <w:bCs/>
          <w:color w:val="auto"/>
          <w:sz w:val="24"/>
          <w:highlight w:val="none"/>
          <w:lang w:val="en-US" w:eastAsia="zh-CN"/>
        </w:rPr>
        <w:t>定标</w:t>
      </w:r>
      <w:r>
        <w:rPr>
          <w:rFonts w:hint="eastAsia" w:ascii="宋体" w:hAnsi="宋体" w:cs="宋体"/>
          <w:b/>
          <w:bCs/>
          <w:color w:val="auto"/>
          <w:sz w:val="24"/>
          <w:highlight w:val="none"/>
        </w:rPr>
        <w:t>办法前附表</w:t>
      </w:r>
    </w:p>
    <w:tbl>
      <w:tblPr>
        <w:tblStyle w:val="13"/>
        <w:tblW w:w="99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
        <w:gridCol w:w="1550"/>
        <w:gridCol w:w="7506"/>
      </w:tblGrid>
      <w:tr w14:paraId="61F4A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17" w:type="dxa"/>
            <w:gridSpan w:val="2"/>
            <w:noWrap w:val="0"/>
            <w:vAlign w:val="center"/>
          </w:tcPr>
          <w:p w14:paraId="7502D678">
            <w:pPr>
              <w:jc w:val="center"/>
              <w:rPr>
                <w:rFonts w:hint="eastAsia" w:ascii="宋体" w:hAnsi="宋体" w:cs="宋体"/>
                <w:b/>
                <w:color w:val="auto"/>
                <w:sz w:val="24"/>
                <w:highlight w:val="none"/>
              </w:rPr>
            </w:pPr>
            <w:r>
              <w:rPr>
                <w:rFonts w:hint="eastAsia" w:ascii="宋体" w:hAnsi="宋体" w:cs="宋体"/>
                <w:b/>
                <w:color w:val="auto"/>
                <w:sz w:val="24"/>
                <w:highlight w:val="none"/>
              </w:rPr>
              <w:t>条款号</w:t>
            </w:r>
          </w:p>
        </w:tc>
        <w:tc>
          <w:tcPr>
            <w:tcW w:w="7506" w:type="dxa"/>
            <w:noWrap w:val="0"/>
            <w:vAlign w:val="center"/>
          </w:tcPr>
          <w:p w14:paraId="686A0A2F">
            <w:pPr>
              <w:jc w:val="center"/>
              <w:rPr>
                <w:rFonts w:hint="eastAsia" w:ascii="宋体" w:hAnsi="宋体" w:cs="宋体"/>
                <w:b/>
                <w:color w:val="auto"/>
                <w:sz w:val="24"/>
                <w:highlight w:val="none"/>
              </w:rPr>
            </w:pPr>
            <w:r>
              <w:rPr>
                <w:rFonts w:hint="eastAsia" w:ascii="宋体" w:hAnsi="宋体" w:cs="宋体"/>
                <w:b/>
                <w:color w:val="auto"/>
                <w:sz w:val="24"/>
                <w:highlight w:val="none"/>
                <w:lang w:eastAsia="zh-CN"/>
              </w:rPr>
              <w:t>定标</w:t>
            </w:r>
            <w:r>
              <w:rPr>
                <w:rFonts w:hint="eastAsia" w:ascii="宋体" w:hAnsi="宋体" w:cs="宋体"/>
                <w:b/>
                <w:color w:val="auto"/>
                <w:sz w:val="24"/>
                <w:highlight w:val="none"/>
              </w:rPr>
              <w:t>因素与</w:t>
            </w:r>
            <w:r>
              <w:rPr>
                <w:rFonts w:hint="eastAsia" w:ascii="宋体" w:hAnsi="宋体" w:cs="宋体"/>
                <w:b/>
                <w:color w:val="auto"/>
                <w:sz w:val="24"/>
                <w:highlight w:val="none"/>
                <w:lang w:eastAsia="zh-CN"/>
              </w:rPr>
              <w:t>定标</w:t>
            </w:r>
            <w:r>
              <w:rPr>
                <w:rFonts w:hint="eastAsia" w:ascii="宋体" w:hAnsi="宋体" w:cs="宋体"/>
                <w:b/>
                <w:color w:val="auto"/>
                <w:sz w:val="24"/>
                <w:highlight w:val="none"/>
              </w:rPr>
              <w:t>标准</w:t>
            </w:r>
          </w:p>
        </w:tc>
      </w:tr>
      <w:tr w14:paraId="1ECA6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7" w:type="dxa"/>
            <w:noWrap w:val="0"/>
            <w:vAlign w:val="center"/>
          </w:tcPr>
          <w:p w14:paraId="7B87923F">
            <w:pPr>
              <w:pStyle w:val="22"/>
              <w:tabs>
                <w:tab w:val="left" w:pos="804"/>
              </w:tabs>
              <w:kinsoku w:val="0"/>
              <w:overflowPunct w:val="0"/>
              <w:jc w:val="center"/>
              <w:rPr>
                <w:rFonts w:hint="eastAsia" w:ascii="宋体" w:hAnsi="宋体" w:cs="宋体"/>
                <w:color w:val="auto"/>
                <w:spacing w:val="-1"/>
                <w:sz w:val="24"/>
                <w:highlight w:val="none"/>
              </w:rPr>
            </w:pPr>
            <w:r>
              <w:rPr>
                <w:rFonts w:hint="eastAsia" w:ascii="宋体" w:hAnsi="宋体" w:cs="宋体"/>
                <w:color w:val="auto"/>
                <w:spacing w:val="-1"/>
                <w:sz w:val="24"/>
                <w:highlight w:val="none"/>
              </w:rPr>
              <w:t>1</w:t>
            </w:r>
          </w:p>
        </w:tc>
        <w:tc>
          <w:tcPr>
            <w:tcW w:w="1550" w:type="dxa"/>
            <w:noWrap w:val="0"/>
            <w:vAlign w:val="center"/>
          </w:tcPr>
          <w:p w14:paraId="61650EB1">
            <w:pPr>
              <w:pStyle w:val="22"/>
              <w:keepNext w:val="0"/>
              <w:keepLines w:val="0"/>
              <w:pageBreakBefore w:val="0"/>
              <w:widowControl w:val="0"/>
              <w:tabs>
                <w:tab w:val="left" w:pos="804"/>
              </w:tabs>
              <w:kinsoku w:val="0"/>
              <w:wordWrap/>
              <w:overflowPunct w:val="0"/>
              <w:topLinePunct w:val="0"/>
              <w:autoSpaceDE/>
              <w:autoSpaceDN/>
              <w:bidi w:val="0"/>
              <w:adjustRightInd/>
              <w:snapToGrid/>
              <w:spacing w:line="240" w:lineRule="auto"/>
              <w:jc w:val="center"/>
              <w:textAlignment w:val="auto"/>
              <w:rPr>
                <w:rFonts w:hint="eastAsia" w:ascii="宋体" w:hAnsi="宋体" w:cs="宋体"/>
                <w:color w:val="auto"/>
                <w:spacing w:val="-1"/>
                <w:sz w:val="24"/>
                <w:highlight w:val="none"/>
              </w:rPr>
            </w:pPr>
            <w:r>
              <w:rPr>
                <w:rFonts w:hint="eastAsia" w:ascii="宋体" w:hAnsi="宋体" w:cs="宋体"/>
                <w:color w:val="auto"/>
                <w:spacing w:val="-1"/>
                <w:sz w:val="24"/>
                <w:highlight w:val="none"/>
                <w:lang w:val="en-US" w:eastAsia="zh-CN"/>
              </w:rPr>
              <w:t>定标</w:t>
            </w:r>
            <w:r>
              <w:rPr>
                <w:rFonts w:hint="eastAsia" w:ascii="宋体" w:hAnsi="宋体" w:cs="宋体"/>
                <w:color w:val="auto"/>
                <w:spacing w:val="-1"/>
                <w:sz w:val="24"/>
                <w:highlight w:val="none"/>
              </w:rPr>
              <w:t>方法</w:t>
            </w:r>
          </w:p>
        </w:tc>
        <w:tc>
          <w:tcPr>
            <w:tcW w:w="7506" w:type="dxa"/>
            <w:noWrap w:val="0"/>
            <w:vAlign w:val="top"/>
          </w:tcPr>
          <w:p w14:paraId="37E53604">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color w:val="auto"/>
                <w:spacing w:val="-1"/>
                <w:sz w:val="24"/>
                <w:highlight w:val="none"/>
              </w:rPr>
            </w:pPr>
            <w:r>
              <w:rPr>
                <w:rFonts w:hint="eastAsia" w:ascii="宋体" w:hAnsi="宋体" w:cs="宋体"/>
                <w:color w:val="auto"/>
                <w:sz w:val="24"/>
                <w:highlight w:val="none"/>
              </w:rPr>
              <w:t>本次</w:t>
            </w:r>
            <w:r>
              <w:rPr>
                <w:rFonts w:hint="eastAsia" w:ascii="宋体" w:hAnsi="宋体" w:cs="宋体"/>
                <w:color w:val="auto"/>
                <w:sz w:val="24"/>
                <w:highlight w:val="none"/>
                <w:lang w:val="en-US" w:eastAsia="zh-CN"/>
              </w:rPr>
              <w:t>定标</w:t>
            </w:r>
            <w:r>
              <w:rPr>
                <w:rFonts w:hint="eastAsia" w:ascii="宋体" w:hAnsi="宋体" w:cs="宋体"/>
                <w:color w:val="auto"/>
                <w:sz w:val="24"/>
                <w:highlight w:val="none"/>
              </w:rPr>
              <w:t>采用</w:t>
            </w:r>
            <w:r>
              <w:rPr>
                <w:rFonts w:hint="default" w:ascii="宋体" w:hAnsi="宋体" w:eastAsia="宋体" w:cs="宋体"/>
                <w:color w:val="auto"/>
                <w:sz w:val="24"/>
                <w:highlight w:val="none"/>
                <w:lang w:val="en-US" w:eastAsia="zh-CN"/>
              </w:rPr>
              <w:t>采用票决数量法</w:t>
            </w:r>
            <w:r>
              <w:rPr>
                <w:rFonts w:hint="eastAsia" w:ascii="宋体" w:hAnsi="宋体" w:cs="宋体"/>
                <w:color w:val="auto"/>
                <w:sz w:val="24"/>
                <w:highlight w:val="none"/>
              </w:rPr>
              <w:t>。定标委员会根据定标因素对定标候选人进行评审比较后，每名定标委员会成员有且仅有投出1票的权利，1票只能投1名定标候选人，进行票决排名确定排序的中标候选人。即各定标委员会成员对定标候选人进行投票，按得票高低推荐排序的前三名中标候选人</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得票最高的即为中标人</w:t>
            </w:r>
            <w:r>
              <w:rPr>
                <w:rFonts w:hint="eastAsia" w:ascii="宋体" w:hAnsi="宋体" w:cs="宋体"/>
                <w:color w:val="auto"/>
                <w:sz w:val="24"/>
                <w:highlight w:val="none"/>
              </w:rPr>
              <w:t>。若第一轮投票中前三名中标候选人有得票相同且影响中标候选人排序确定的，由定标委员会对总票数相同的单位进行再次票决确定排序，直至决出排序的前三名中标候选人。票决采用记名方式并注明投票理由。</w:t>
            </w:r>
          </w:p>
        </w:tc>
      </w:tr>
      <w:tr w14:paraId="55664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7" w:type="dxa"/>
            <w:noWrap w:val="0"/>
            <w:vAlign w:val="center"/>
          </w:tcPr>
          <w:p w14:paraId="1A2705C7">
            <w:pPr>
              <w:pStyle w:val="22"/>
              <w:kinsoku w:val="0"/>
              <w:overflowPunct w:val="0"/>
              <w:jc w:val="center"/>
              <w:rPr>
                <w:rFonts w:hint="eastAsia" w:ascii="宋体" w:hAnsi="宋体" w:eastAsia="宋体" w:cs="宋体"/>
                <w:color w:val="auto"/>
                <w:sz w:val="24"/>
                <w:highlight w:val="none"/>
                <w:lang w:eastAsia="zh-CN"/>
              </w:rPr>
            </w:pPr>
            <w:r>
              <w:rPr>
                <w:rFonts w:hint="eastAsia" w:ascii="宋体" w:hAnsi="宋体" w:cs="宋体"/>
                <w:color w:val="auto"/>
                <w:spacing w:val="-1"/>
                <w:sz w:val="24"/>
                <w:highlight w:val="none"/>
                <w:lang w:val="en-US" w:eastAsia="zh-CN"/>
              </w:rPr>
              <w:t>3</w:t>
            </w:r>
          </w:p>
        </w:tc>
        <w:tc>
          <w:tcPr>
            <w:tcW w:w="1550" w:type="dxa"/>
            <w:noWrap w:val="0"/>
            <w:vAlign w:val="center"/>
          </w:tcPr>
          <w:p w14:paraId="45BB3F06">
            <w:pPr>
              <w:pStyle w:val="22"/>
              <w:kinsoku w:val="0"/>
              <w:overflowPunct w:val="0"/>
              <w:jc w:val="center"/>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定标评审标准</w:t>
            </w:r>
          </w:p>
        </w:tc>
        <w:tc>
          <w:tcPr>
            <w:tcW w:w="7506" w:type="dxa"/>
            <w:noWrap w:val="0"/>
            <w:vAlign w:val="top"/>
          </w:tcPr>
          <w:p w14:paraId="305CD726">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定标因素：</w:t>
            </w:r>
          </w:p>
          <w:p w14:paraId="710E2984">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在同等条件下，择优的定标因素和相对标准有以下几个方面：</w:t>
            </w:r>
          </w:p>
          <w:p w14:paraId="21DEC2EB">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（1）企业实力</w:t>
            </w:r>
          </w:p>
          <w:p w14:paraId="34E4291C">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企业实力强的定标候选人优于企业实力一般的定标候选人。</w:t>
            </w:r>
          </w:p>
          <w:p w14:paraId="6452BC0A">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（2）企业信誉</w:t>
            </w:r>
          </w:p>
          <w:p w14:paraId="78EBB8E8">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相对标准：企业信誉评价好的定标候选人优于企业信誉评价一般的定标候选人。</w:t>
            </w:r>
          </w:p>
          <w:p w14:paraId="51C54B08">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（3）拟派团队管理能力与水平（履约能力）</w:t>
            </w:r>
          </w:p>
          <w:p w14:paraId="295BBDFF">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相对标准：拟派团队管理能力与水平（履约能力）强的定标候选人优于拟派团队管理能力与水平（履约能力）一般的定标候选人。</w:t>
            </w:r>
          </w:p>
          <w:p w14:paraId="0F07860D">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（4）技术方案</w:t>
            </w:r>
          </w:p>
          <w:p w14:paraId="15663DD2">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技术方案针对性强、内容科学合理且符合项目实际的定标候选人优于技术方案针对性不足、内容一般的定标候选人。</w:t>
            </w:r>
          </w:p>
          <w:p w14:paraId="53AFD3AA">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（5）评标报告</w:t>
            </w:r>
          </w:p>
          <w:p w14:paraId="6B19E9D0">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cs="宋体"/>
                <w:color w:val="auto"/>
                <w:sz w:val="24"/>
                <w:highlight w:val="none"/>
                <w:lang w:eastAsia="zh-CN"/>
              </w:rPr>
            </w:pPr>
            <w:r>
              <w:rPr>
                <w:rFonts w:hint="eastAsia" w:ascii="宋体" w:hAnsi="宋体" w:eastAsia="宋体" w:cs="宋体"/>
                <w:color w:val="auto"/>
                <w:sz w:val="24"/>
                <w:highlight w:val="none"/>
                <w:lang w:val="en-US" w:eastAsia="zh-CN"/>
              </w:rPr>
              <w:t>评标委员会评审意见为具有优势风险低的定标候选人优于评标委员会评审意见为没有优势风险高的定标候选人（综合考虑评标委员会的评审意见，对各定标候选人的优势、风险等评审情况进行评审比较）。</w:t>
            </w:r>
          </w:p>
        </w:tc>
      </w:tr>
    </w:tbl>
    <w:p w14:paraId="0BDDAE94">
      <w:pPr>
        <w:spacing w:before="5" w:line="30" w:lineRule="exact"/>
        <w:rPr>
          <w:rFonts w:hint="eastAsia" w:ascii="宋体" w:hAnsi="宋体" w:cs="宋体"/>
          <w:color w:val="auto"/>
          <w:sz w:val="3"/>
          <w:szCs w:val="3"/>
          <w:highlight w:val="none"/>
        </w:rPr>
      </w:pPr>
    </w:p>
    <w:p w14:paraId="4D38A9D7">
      <w:pPr>
        <w:pStyle w:val="3"/>
        <w:pageBreakBefore w:val="0"/>
        <w:kinsoku/>
        <w:wordWrap/>
        <w:overflowPunct/>
        <w:topLinePunct w:val="0"/>
        <w:autoSpaceDE/>
        <w:autoSpaceDN/>
        <w:bidi w:val="0"/>
        <w:adjustRightInd/>
        <w:snapToGrid/>
        <w:spacing w:before="156" w:beforeLines="50" w:after="0" w:line="360" w:lineRule="auto"/>
        <w:textAlignment w:val="auto"/>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br w:type="page"/>
      </w:r>
      <w:bookmarkStart w:id="299" w:name="_Toc9234"/>
      <w:bookmarkStart w:id="300" w:name="_Toc32444"/>
      <w:r>
        <w:rPr>
          <w:rFonts w:hint="eastAsia" w:ascii="宋体" w:hAnsi="宋体" w:eastAsia="宋体" w:cs="宋体"/>
          <w:color w:val="auto"/>
          <w:sz w:val="24"/>
          <w:highlight w:val="none"/>
          <w:lang w:val="en-US" w:eastAsia="zh-CN"/>
        </w:rPr>
        <w:t>1.定标方法</w:t>
      </w:r>
      <w:bookmarkEnd w:id="299"/>
      <w:bookmarkEnd w:id="300"/>
    </w:p>
    <w:p w14:paraId="73A5977C">
      <w:pPr>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olor w:val="auto"/>
          <w:sz w:val="24"/>
          <w:highlight w:val="none"/>
        </w:rPr>
      </w:pPr>
      <w:r>
        <w:rPr>
          <w:rFonts w:hint="eastAsia" w:ascii="宋体" w:hAnsi="宋体" w:cs="宋体"/>
          <w:color w:val="auto"/>
          <w:sz w:val="24"/>
          <w:highlight w:val="none"/>
        </w:rPr>
        <w:t>本次</w:t>
      </w:r>
      <w:r>
        <w:rPr>
          <w:rFonts w:hint="eastAsia" w:ascii="宋体" w:hAnsi="宋体" w:cs="宋体"/>
          <w:color w:val="auto"/>
          <w:sz w:val="24"/>
          <w:highlight w:val="none"/>
          <w:lang w:val="en-US" w:eastAsia="zh-CN"/>
        </w:rPr>
        <w:t>定标</w:t>
      </w:r>
      <w:r>
        <w:rPr>
          <w:rFonts w:hint="eastAsia" w:ascii="宋体" w:hAnsi="宋体" w:cs="宋体"/>
          <w:color w:val="auto"/>
          <w:sz w:val="24"/>
          <w:highlight w:val="none"/>
        </w:rPr>
        <w:t>采用</w:t>
      </w:r>
      <w:r>
        <w:rPr>
          <w:rFonts w:hint="default" w:ascii="宋体" w:hAnsi="宋体" w:eastAsia="宋体" w:cs="宋体"/>
          <w:color w:val="auto"/>
          <w:sz w:val="24"/>
          <w:highlight w:val="none"/>
          <w:lang w:val="en-US" w:eastAsia="zh-CN"/>
        </w:rPr>
        <w:t>采用票决数量法</w:t>
      </w:r>
      <w:r>
        <w:rPr>
          <w:rFonts w:hint="eastAsia" w:ascii="宋体" w:hAnsi="宋体" w:cs="宋体"/>
          <w:color w:val="auto"/>
          <w:sz w:val="24"/>
          <w:highlight w:val="none"/>
        </w:rPr>
        <w:t>。定标委员会根据定标因素对定标候选人进行评审比较后，每名定标委员会成员有且仅有投出1票的权利，1票只能投1名定标候选人，进行票决排名确定排序的中标候选人。即各定标委员会成员对定标候选人进行投票，按得票高低推荐排序的前三名中标候选人</w:t>
      </w:r>
      <w:r>
        <w:rPr>
          <w:rFonts w:hint="eastAsia" w:ascii="宋体" w:hAnsi="宋体" w:eastAsia="宋体" w:cs="宋体"/>
          <w:color w:val="auto"/>
          <w:sz w:val="24"/>
          <w:highlight w:val="none"/>
          <w:lang w:val="en-US" w:eastAsia="zh-CN"/>
        </w:rPr>
        <w:t>得票最高的即为中标人</w:t>
      </w:r>
      <w:r>
        <w:rPr>
          <w:rFonts w:hint="eastAsia" w:ascii="宋体" w:hAnsi="宋体" w:cs="宋体"/>
          <w:color w:val="auto"/>
          <w:sz w:val="24"/>
          <w:highlight w:val="none"/>
        </w:rPr>
        <w:t>。若第一轮投票中前三名中标候选人有得票相同且影响中标候选人排序确定的，由定标委员会对总票数相同的单位进行再次票决确定排序，直至决出排序的前三名中标候选人。票决采用记名方式并注明投票理由。</w:t>
      </w:r>
    </w:p>
    <w:p w14:paraId="4B1971FB">
      <w:pPr>
        <w:pStyle w:val="3"/>
        <w:pageBreakBefore w:val="0"/>
        <w:numPr>
          <w:ilvl w:val="0"/>
          <w:numId w:val="0"/>
        </w:numPr>
        <w:kinsoku/>
        <w:wordWrap/>
        <w:overflowPunct/>
        <w:topLinePunct w:val="0"/>
        <w:autoSpaceDE/>
        <w:autoSpaceDN/>
        <w:bidi w:val="0"/>
        <w:adjustRightInd/>
        <w:snapToGrid/>
        <w:spacing w:before="0" w:after="0" w:line="360" w:lineRule="auto"/>
        <w:textAlignment w:val="auto"/>
        <w:outlineLvl w:val="1"/>
        <w:rPr>
          <w:rFonts w:hint="eastAsia" w:ascii="宋体" w:hAnsi="宋体" w:eastAsia="宋体" w:cs="宋体"/>
          <w:color w:val="auto"/>
          <w:sz w:val="24"/>
          <w:highlight w:val="none"/>
          <w:lang w:val="en-US" w:eastAsia="zh-CN"/>
        </w:rPr>
      </w:pPr>
      <w:bookmarkStart w:id="301" w:name="_Toc29244"/>
      <w:bookmarkStart w:id="302" w:name="_Toc8429"/>
      <w:r>
        <w:rPr>
          <w:rFonts w:hint="eastAsia" w:ascii="宋体" w:hAnsi="宋体" w:eastAsia="宋体" w:cs="宋体"/>
          <w:color w:val="auto"/>
          <w:sz w:val="24"/>
          <w:highlight w:val="none"/>
          <w:lang w:val="en-US" w:eastAsia="zh-CN"/>
        </w:rPr>
        <w:t>2.定标委员会</w:t>
      </w:r>
      <w:bookmarkEnd w:id="301"/>
      <w:bookmarkEnd w:id="302"/>
    </w:p>
    <w:p w14:paraId="4E69DB89">
      <w:pPr>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2.1 定标委员会由招标人组建并确定定标组长。定标委员会开始定标前，首先听取招标人或招标代理机构关于工程情况，并认真研读招标文件，了解和熟悉招标文件规定的定标方法、定标因素等。</w:t>
      </w:r>
    </w:p>
    <w:p w14:paraId="7D251774">
      <w:pPr>
        <w:pageBreakBefore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2.2 参与定标会议的工作人员不参与定标的决策，无表决权，只协助定标委员会进行资料整理等事务性工作。</w:t>
      </w:r>
    </w:p>
    <w:p w14:paraId="284EEF7B">
      <w:pPr>
        <w:pStyle w:val="3"/>
        <w:pageBreakBefore w:val="0"/>
        <w:numPr>
          <w:ilvl w:val="0"/>
          <w:numId w:val="0"/>
        </w:numPr>
        <w:kinsoku/>
        <w:wordWrap/>
        <w:overflowPunct/>
        <w:topLinePunct w:val="0"/>
        <w:autoSpaceDE/>
        <w:autoSpaceDN/>
        <w:bidi w:val="0"/>
        <w:adjustRightInd/>
        <w:snapToGrid/>
        <w:spacing w:before="0" w:after="0" w:line="360" w:lineRule="auto"/>
        <w:textAlignment w:val="auto"/>
        <w:outlineLvl w:val="1"/>
        <w:rPr>
          <w:rFonts w:hint="eastAsia" w:ascii="宋体" w:hAnsi="宋体" w:eastAsia="宋体" w:cs="宋体"/>
          <w:color w:val="auto"/>
          <w:sz w:val="24"/>
          <w:highlight w:val="none"/>
          <w:lang w:val="en-US" w:eastAsia="zh-CN"/>
        </w:rPr>
      </w:pPr>
      <w:bookmarkStart w:id="303" w:name="_Toc429"/>
      <w:bookmarkStart w:id="304" w:name="_Toc21753"/>
      <w:r>
        <w:rPr>
          <w:rFonts w:hint="eastAsia" w:ascii="宋体" w:hAnsi="宋体" w:eastAsia="宋体" w:cs="宋体"/>
          <w:color w:val="auto"/>
          <w:sz w:val="24"/>
          <w:highlight w:val="none"/>
          <w:lang w:val="en-US" w:eastAsia="zh-CN"/>
        </w:rPr>
        <w:t>3.定标评审标准：见定标办法前附表</w:t>
      </w:r>
      <w:bookmarkEnd w:id="303"/>
      <w:bookmarkEnd w:id="304"/>
    </w:p>
    <w:p w14:paraId="59CAF419">
      <w:pPr>
        <w:pStyle w:val="3"/>
        <w:pageBreakBefore w:val="0"/>
        <w:numPr>
          <w:ilvl w:val="0"/>
          <w:numId w:val="0"/>
        </w:numPr>
        <w:kinsoku/>
        <w:wordWrap/>
        <w:overflowPunct/>
        <w:topLinePunct w:val="0"/>
        <w:autoSpaceDE/>
        <w:autoSpaceDN/>
        <w:bidi w:val="0"/>
        <w:adjustRightInd/>
        <w:snapToGrid/>
        <w:spacing w:before="0" w:after="0" w:line="360" w:lineRule="auto"/>
        <w:textAlignment w:val="auto"/>
        <w:outlineLvl w:val="1"/>
        <w:rPr>
          <w:rFonts w:hint="eastAsia" w:ascii="宋体" w:hAnsi="宋体" w:eastAsia="宋体" w:cs="宋体"/>
          <w:color w:val="auto"/>
          <w:sz w:val="24"/>
          <w:highlight w:val="none"/>
          <w:lang w:val="en-US" w:eastAsia="zh-CN"/>
        </w:rPr>
      </w:pPr>
      <w:bookmarkStart w:id="305" w:name="_Toc15613"/>
      <w:bookmarkStart w:id="306" w:name="_Toc4777"/>
      <w:r>
        <w:rPr>
          <w:rFonts w:hint="eastAsia" w:ascii="宋体" w:hAnsi="宋体" w:eastAsia="宋体" w:cs="宋体"/>
          <w:color w:val="auto"/>
          <w:sz w:val="24"/>
          <w:highlight w:val="none"/>
          <w:lang w:val="en-US" w:eastAsia="zh-CN"/>
        </w:rPr>
        <w:t>4.定标程序</w:t>
      </w:r>
      <w:bookmarkEnd w:id="305"/>
      <w:bookmarkEnd w:id="306"/>
    </w:p>
    <w:p w14:paraId="4051FA8B">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（1）项目情况介绍</w:t>
      </w:r>
    </w:p>
    <w:p w14:paraId="6F73E4D0">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招标人代表介绍项目的概况、招标要求和评标情况，以及定标方法与定标工作规则等，不得发表具有倾向性的言论。</w:t>
      </w:r>
    </w:p>
    <w:p w14:paraId="2552B43F">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（2）审阅定标资料</w:t>
      </w:r>
    </w:p>
    <w:p w14:paraId="39EF3EFD">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定标委员会成员按定标因素对各定标候选人的定标佐证资料进行审阅，审阅内容主要是定标工作规则所规定的定标因素，聚焦于项目需求与候选人能力的匹配度。</w:t>
      </w:r>
    </w:p>
    <w:p w14:paraId="512BCE57">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（3）疑问澄清</w:t>
      </w:r>
    </w:p>
    <w:p w14:paraId="3C3A8112">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定标委员会有疑问的，可以向招标人代表进行提问。招标人代表向定标委员会反馈的信息中不得有明示或暗示中标单位的内容。定标委员会的提问应在定标会议现场提出，招标人代表应在定标会议现场作出答复，由招标人或招标代理机构做好书面记录，并由提问和答复双方在书面记录上签字。提问和答复不得改变招标文件、投标文件和评标的实质性内容。</w:t>
      </w:r>
    </w:p>
    <w:p w14:paraId="34508092">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（4）投票，收票，点票和汇总</w:t>
      </w:r>
    </w:p>
    <w:p w14:paraId="7D4792CE">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定标委员会成员按照票决定标法程序，根据公平、公正、择优原则，独立完成票决后，统一由定标工作人员收集、清点，并对票数进行汇总排名。得票相同且影响中标人确定的，可由定标委员会对总票数相同的单位进行再次票决确定排序。</w:t>
      </w:r>
    </w:p>
    <w:p w14:paraId="3CE30270">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（5）公布结果和出具定标报告</w:t>
      </w:r>
    </w:p>
    <w:p w14:paraId="4FD8CD7E">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点票工作完成后，定标委员会组长汇总定标结果，编制定标报告，确定中标人，全体成员签名。</w:t>
      </w:r>
    </w:p>
    <w:p w14:paraId="6250FE4F">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（6）全程监督</w:t>
      </w:r>
    </w:p>
    <w:p w14:paraId="29410F63">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ascii="Arial"/>
          <w:color w:val="auto"/>
          <w:sz w:val="21"/>
          <w:highlight w:val="none"/>
        </w:rPr>
      </w:pPr>
      <w:r>
        <w:rPr>
          <w:rFonts w:hint="eastAsia" w:ascii="宋体" w:hAnsi="宋体" w:eastAsia="宋体" w:cs="宋体"/>
          <w:color w:val="auto"/>
          <w:sz w:val="24"/>
          <w:highlight w:val="none"/>
          <w:lang w:val="en-US" w:eastAsia="zh-CN"/>
        </w:rPr>
        <w:t>招标监督小组对集体议定的全过程进行监督，确保程序合规、讨论充分、记录完整，结论形成过程公正、透明。</w:t>
      </w:r>
      <w:r>
        <w:rPr>
          <w:rFonts w:ascii="Arial"/>
          <w:color w:val="auto"/>
          <w:sz w:val="21"/>
          <w:highlight w:val="none"/>
        </w:rPr>
        <w:br w:type="page"/>
      </w:r>
    </w:p>
    <w:p w14:paraId="513C5C00">
      <w:pPr>
        <w:pStyle w:val="16"/>
        <w:rPr>
          <w:color w:val="auto"/>
          <w:highlight w:val="none"/>
        </w:rPr>
      </w:pPr>
    </w:p>
    <w:p w14:paraId="46634C8F">
      <w:pPr>
        <w:spacing w:line="244" w:lineRule="auto"/>
        <w:rPr>
          <w:rFonts w:ascii="Arial"/>
          <w:color w:val="auto"/>
          <w:sz w:val="21"/>
          <w:highlight w:val="none"/>
        </w:rPr>
      </w:pPr>
    </w:p>
    <w:p w14:paraId="2D16EA86">
      <w:pPr>
        <w:spacing w:line="244" w:lineRule="auto"/>
        <w:rPr>
          <w:rFonts w:ascii="Arial"/>
          <w:color w:val="auto"/>
          <w:sz w:val="21"/>
          <w:highlight w:val="none"/>
        </w:rPr>
      </w:pPr>
    </w:p>
    <w:p w14:paraId="3C56B741">
      <w:pPr>
        <w:spacing w:line="244" w:lineRule="auto"/>
        <w:rPr>
          <w:rFonts w:ascii="Arial"/>
          <w:color w:val="auto"/>
          <w:sz w:val="21"/>
          <w:highlight w:val="none"/>
        </w:rPr>
      </w:pPr>
    </w:p>
    <w:p w14:paraId="2F7C9F2D">
      <w:pPr>
        <w:spacing w:line="244" w:lineRule="auto"/>
        <w:rPr>
          <w:rFonts w:ascii="Arial"/>
          <w:color w:val="auto"/>
          <w:sz w:val="21"/>
          <w:highlight w:val="none"/>
        </w:rPr>
      </w:pPr>
    </w:p>
    <w:p w14:paraId="5EBD83A3">
      <w:pPr>
        <w:spacing w:line="244" w:lineRule="auto"/>
        <w:rPr>
          <w:rFonts w:ascii="Arial"/>
          <w:color w:val="auto"/>
          <w:sz w:val="21"/>
          <w:highlight w:val="none"/>
        </w:rPr>
      </w:pPr>
    </w:p>
    <w:p w14:paraId="3B9932D6">
      <w:pPr>
        <w:spacing w:line="244" w:lineRule="auto"/>
        <w:rPr>
          <w:rFonts w:ascii="Arial"/>
          <w:color w:val="auto"/>
          <w:sz w:val="21"/>
          <w:highlight w:val="none"/>
        </w:rPr>
      </w:pPr>
    </w:p>
    <w:p w14:paraId="604EBEF3">
      <w:pPr>
        <w:spacing w:line="244" w:lineRule="auto"/>
        <w:rPr>
          <w:rFonts w:ascii="Arial"/>
          <w:color w:val="auto"/>
          <w:sz w:val="21"/>
          <w:highlight w:val="none"/>
        </w:rPr>
      </w:pPr>
    </w:p>
    <w:p w14:paraId="5ACC551C">
      <w:pPr>
        <w:spacing w:line="244" w:lineRule="auto"/>
        <w:rPr>
          <w:rFonts w:ascii="Arial"/>
          <w:color w:val="auto"/>
          <w:sz w:val="21"/>
          <w:highlight w:val="none"/>
        </w:rPr>
      </w:pPr>
    </w:p>
    <w:p w14:paraId="79C2BB4B">
      <w:pPr>
        <w:spacing w:line="244" w:lineRule="auto"/>
        <w:rPr>
          <w:rFonts w:ascii="Arial"/>
          <w:color w:val="auto"/>
          <w:sz w:val="21"/>
          <w:highlight w:val="none"/>
        </w:rPr>
      </w:pPr>
    </w:p>
    <w:p w14:paraId="65E227FE">
      <w:pPr>
        <w:spacing w:line="244" w:lineRule="auto"/>
        <w:rPr>
          <w:rFonts w:ascii="Arial"/>
          <w:color w:val="auto"/>
          <w:sz w:val="21"/>
          <w:highlight w:val="none"/>
        </w:rPr>
      </w:pPr>
    </w:p>
    <w:p w14:paraId="758718D5">
      <w:pPr>
        <w:spacing w:line="244" w:lineRule="auto"/>
        <w:rPr>
          <w:rFonts w:ascii="Arial"/>
          <w:color w:val="auto"/>
          <w:sz w:val="21"/>
          <w:highlight w:val="none"/>
        </w:rPr>
      </w:pPr>
    </w:p>
    <w:p w14:paraId="0595B62F">
      <w:pPr>
        <w:spacing w:line="245" w:lineRule="auto"/>
        <w:rPr>
          <w:rFonts w:ascii="Arial"/>
          <w:color w:val="auto"/>
          <w:sz w:val="21"/>
          <w:highlight w:val="none"/>
        </w:rPr>
      </w:pPr>
    </w:p>
    <w:p w14:paraId="21163F15">
      <w:pPr>
        <w:spacing w:line="245" w:lineRule="auto"/>
        <w:rPr>
          <w:rFonts w:ascii="Arial"/>
          <w:color w:val="auto"/>
          <w:sz w:val="21"/>
          <w:highlight w:val="none"/>
        </w:rPr>
      </w:pPr>
    </w:p>
    <w:p w14:paraId="1C48B93E">
      <w:pPr>
        <w:spacing w:line="245" w:lineRule="auto"/>
        <w:rPr>
          <w:rFonts w:ascii="Arial"/>
          <w:color w:val="auto"/>
          <w:sz w:val="21"/>
          <w:highlight w:val="none"/>
        </w:rPr>
      </w:pPr>
    </w:p>
    <w:p w14:paraId="31DB2D8C">
      <w:pPr>
        <w:spacing w:line="245" w:lineRule="auto"/>
        <w:rPr>
          <w:rFonts w:ascii="Arial"/>
          <w:color w:val="auto"/>
          <w:sz w:val="21"/>
          <w:highlight w:val="none"/>
        </w:rPr>
      </w:pPr>
    </w:p>
    <w:p w14:paraId="3932F305">
      <w:pPr>
        <w:spacing w:line="245" w:lineRule="auto"/>
        <w:rPr>
          <w:rFonts w:ascii="Arial"/>
          <w:color w:val="auto"/>
          <w:sz w:val="21"/>
          <w:highlight w:val="none"/>
        </w:rPr>
      </w:pPr>
    </w:p>
    <w:p w14:paraId="0C22DBAF">
      <w:pPr>
        <w:spacing w:before="169" w:line="219" w:lineRule="auto"/>
        <w:ind w:left="1316"/>
        <w:outlineLvl w:val="0"/>
        <w:rPr>
          <w:rFonts w:ascii="宋体" w:hAnsi="宋体" w:eastAsia="宋体" w:cs="宋体"/>
          <w:color w:val="auto"/>
          <w:sz w:val="52"/>
          <w:szCs w:val="52"/>
          <w:highlight w:val="none"/>
        </w:rPr>
      </w:pPr>
      <w:bookmarkStart w:id="307" w:name="bookmark140"/>
      <w:bookmarkEnd w:id="307"/>
      <w:bookmarkStart w:id="308" w:name="_Toc3854"/>
      <w:r>
        <w:rPr>
          <w:rFonts w:ascii="宋体" w:hAnsi="宋体" w:eastAsia="宋体" w:cs="宋体"/>
          <w:b/>
          <w:bCs/>
          <w:color w:val="auto"/>
          <w:spacing w:val="-5"/>
          <w:sz w:val="52"/>
          <w:szCs w:val="52"/>
          <w:highlight w:val="none"/>
        </w:rPr>
        <w:t>第四章</w:t>
      </w:r>
      <w:r>
        <w:rPr>
          <w:rFonts w:ascii="宋体" w:hAnsi="宋体" w:eastAsia="宋体" w:cs="宋体"/>
          <w:color w:val="auto"/>
          <w:spacing w:val="-5"/>
          <w:sz w:val="52"/>
          <w:szCs w:val="52"/>
          <w:highlight w:val="none"/>
        </w:rPr>
        <w:t xml:space="preserve">  </w:t>
      </w:r>
      <w:r>
        <w:rPr>
          <w:rFonts w:ascii="宋体" w:hAnsi="宋体" w:eastAsia="宋体" w:cs="宋体"/>
          <w:b/>
          <w:bCs/>
          <w:color w:val="auto"/>
          <w:spacing w:val="-5"/>
          <w:sz w:val="52"/>
          <w:szCs w:val="52"/>
          <w:highlight w:val="none"/>
        </w:rPr>
        <w:t>合同条款及格式</w:t>
      </w:r>
      <w:bookmarkEnd w:id="308"/>
    </w:p>
    <w:p w14:paraId="4798B0E1">
      <w:pPr>
        <w:spacing w:line="219" w:lineRule="auto"/>
        <w:rPr>
          <w:rFonts w:ascii="宋体" w:hAnsi="宋体" w:eastAsia="宋体" w:cs="宋体"/>
          <w:color w:val="auto"/>
          <w:sz w:val="52"/>
          <w:szCs w:val="52"/>
          <w:highlight w:val="none"/>
        </w:rPr>
        <w:sectPr>
          <w:footerReference r:id="rId56" w:type="default"/>
          <w:pgSz w:w="11906" w:h="16839"/>
          <w:pgMar w:top="1431" w:right="1785" w:bottom="1297" w:left="1785" w:header="0" w:footer="1069" w:gutter="0"/>
          <w:pgNumType w:fmt="decimal"/>
          <w:cols w:space="720" w:num="1"/>
        </w:sectPr>
      </w:pPr>
    </w:p>
    <w:p w14:paraId="7CD90010">
      <w:pPr>
        <w:spacing w:line="411" w:lineRule="auto"/>
        <w:rPr>
          <w:rFonts w:ascii="Arial"/>
          <w:color w:val="auto"/>
          <w:sz w:val="21"/>
          <w:highlight w:val="none"/>
        </w:rPr>
      </w:pPr>
    </w:p>
    <w:p w14:paraId="4A11ED84">
      <w:pPr>
        <w:spacing w:before="101" w:line="225" w:lineRule="auto"/>
        <w:ind w:left="3012"/>
        <w:outlineLvl w:val="0"/>
        <w:rPr>
          <w:rFonts w:ascii="宋体" w:hAnsi="宋体" w:eastAsia="宋体" w:cs="宋体"/>
          <w:color w:val="auto"/>
          <w:sz w:val="31"/>
          <w:szCs w:val="31"/>
          <w:highlight w:val="none"/>
        </w:rPr>
      </w:pPr>
      <w:bookmarkStart w:id="309" w:name="bookmark15"/>
      <w:bookmarkEnd w:id="309"/>
      <w:bookmarkStart w:id="310" w:name="_Toc28852"/>
      <w:r>
        <w:rPr>
          <w:rFonts w:ascii="宋体" w:hAnsi="宋体" w:eastAsia="宋体" w:cs="宋体"/>
          <w:b/>
          <w:bCs/>
          <w:color w:val="auto"/>
          <w:spacing w:val="6"/>
          <w:sz w:val="31"/>
          <w:szCs w:val="31"/>
          <w:highlight w:val="none"/>
        </w:rPr>
        <w:t>第一节</w:t>
      </w:r>
      <w:r>
        <w:rPr>
          <w:rFonts w:ascii="宋体" w:hAnsi="宋体" w:eastAsia="宋体" w:cs="宋体"/>
          <w:color w:val="auto"/>
          <w:spacing w:val="6"/>
          <w:sz w:val="31"/>
          <w:szCs w:val="31"/>
          <w:highlight w:val="none"/>
        </w:rPr>
        <w:t xml:space="preserve"> </w:t>
      </w:r>
      <w:r>
        <w:rPr>
          <w:rFonts w:ascii="宋体" w:hAnsi="宋体" w:eastAsia="宋体" w:cs="宋体"/>
          <w:b/>
          <w:bCs/>
          <w:color w:val="auto"/>
          <w:spacing w:val="6"/>
          <w:sz w:val="31"/>
          <w:szCs w:val="31"/>
          <w:highlight w:val="none"/>
        </w:rPr>
        <w:t>通用合同条款</w:t>
      </w:r>
      <w:bookmarkEnd w:id="310"/>
    </w:p>
    <w:p w14:paraId="413B6BFC">
      <w:pPr>
        <w:spacing w:line="246" w:lineRule="auto"/>
        <w:rPr>
          <w:rFonts w:ascii="Arial"/>
          <w:color w:val="auto"/>
          <w:sz w:val="21"/>
          <w:highlight w:val="none"/>
        </w:rPr>
      </w:pPr>
    </w:p>
    <w:p w14:paraId="64DECE42">
      <w:pPr>
        <w:spacing w:line="247" w:lineRule="auto"/>
        <w:rPr>
          <w:rFonts w:ascii="Arial"/>
          <w:color w:val="auto"/>
          <w:sz w:val="21"/>
          <w:highlight w:val="none"/>
        </w:rPr>
      </w:pPr>
    </w:p>
    <w:p w14:paraId="5EB05DE6">
      <w:pPr>
        <w:spacing w:before="78" w:line="219" w:lineRule="auto"/>
        <w:rPr>
          <w:rFonts w:ascii="宋体" w:hAnsi="宋体" w:eastAsia="宋体" w:cs="宋体"/>
          <w:color w:val="auto"/>
          <w:sz w:val="24"/>
          <w:szCs w:val="24"/>
          <w:highlight w:val="none"/>
        </w:rPr>
      </w:pPr>
      <w:r>
        <w:rPr>
          <w:rFonts w:ascii="宋体" w:hAnsi="宋体" w:eastAsia="宋体" w:cs="宋体"/>
          <w:b/>
          <w:bCs/>
          <w:color w:val="auto"/>
          <w:spacing w:val="-2"/>
          <w:sz w:val="24"/>
          <w:szCs w:val="24"/>
          <w:highlight w:val="none"/>
        </w:rPr>
        <w:t>详见《中华人民共和国标准监理招标文件（2017</w:t>
      </w:r>
      <w:r>
        <w:rPr>
          <w:rFonts w:ascii="宋体" w:hAnsi="宋体" w:eastAsia="宋体" w:cs="宋体"/>
          <w:color w:val="auto"/>
          <w:spacing w:val="-49"/>
          <w:sz w:val="24"/>
          <w:szCs w:val="24"/>
          <w:highlight w:val="none"/>
        </w:rPr>
        <w:t xml:space="preserve"> </w:t>
      </w:r>
      <w:r>
        <w:rPr>
          <w:rFonts w:ascii="宋体" w:hAnsi="宋体" w:eastAsia="宋体" w:cs="宋体"/>
          <w:b/>
          <w:bCs/>
          <w:color w:val="auto"/>
          <w:spacing w:val="-2"/>
          <w:sz w:val="24"/>
          <w:szCs w:val="24"/>
          <w:highlight w:val="none"/>
        </w:rPr>
        <w:t>年版）》</w:t>
      </w:r>
      <w:r>
        <w:rPr>
          <w:rFonts w:ascii="宋体" w:hAnsi="宋体" w:eastAsia="宋体" w:cs="宋体"/>
          <w:b/>
          <w:bCs/>
          <w:color w:val="auto"/>
          <w:spacing w:val="-3"/>
          <w:sz w:val="24"/>
          <w:szCs w:val="24"/>
          <w:highlight w:val="none"/>
        </w:rPr>
        <w:t>的通用合同条款内容。</w:t>
      </w:r>
    </w:p>
    <w:p w14:paraId="31AE1CA7">
      <w:pPr>
        <w:spacing w:line="219" w:lineRule="auto"/>
        <w:rPr>
          <w:rFonts w:ascii="宋体" w:hAnsi="宋体" w:eastAsia="宋体" w:cs="宋体"/>
          <w:color w:val="auto"/>
          <w:sz w:val="24"/>
          <w:szCs w:val="24"/>
          <w:highlight w:val="none"/>
        </w:rPr>
        <w:sectPr>
          <w:footerReference r:id="rId57" w:type="default"/>
          <w:pgSz w:w="11906" w:h="16839"/>
          <w:pgMar w:top="1431" w:right="1785" w:bottom="1297" w:left="1428" w:header="0" w:footer="1067" w:gutter="0"/>
          <w:pgNumType w:fmt="decimal"/>
          <w:cols w:space="720" w:num="1"/>
        </w:sectPr>
      </w:pPr>
    </w:p>
    <w:p w14:paraId="59DD8F9C">
      <w:pPr>
        <w:spacing w:before="63" w:line="225" w:lineRule="auto"/>
        <w:ind w:left="2931"/>
        <w:outlineLvl w:val="0"/>
        <w:rPr>
          <w:rFonts w:ascii="宋体" w:hAnsi="宋体" w:eastAsia="宋体" w:cs="宋体"/>
          <w:color w:val="auto"/>
          <w:sz w:val="31"/>
          <w:szCs w:val="31"/>
          <w:highlight w:val="none"/>
        </w:rPr>
      </w:pPr>
      <w:bookmarkStart w:id="311" w:name="bookmark15"/>
      <w:bookmarkEnd w:id="311"/>
      <w:bookmarkStart w:id="312" w:name="_Toc8630"/>
      <w:r>
        <w:rPr>
          <w:rFonts w:ascii="宋体" w:hAnsi="宋体" w:eastAsia="宋体" w:cs="宋体"/>
          <w:b/>
          <w:bCs/>
          <w:color w:val="auto"/>
          <w:spacing w:val="6"/>
          <w:sz w:val="31"/>
          <w:szCs w:val="31"/>
          <w:highlight w:val="none"/>
        </w:rPr>
        <w:t>第二节</w:t>
      </w:r>
      <w:r>
        <w:rPr>
          <w:rFonts w:ascii="宋体" w:hAnsi="宋体" w:eastAsia="宋体" w:cs="宋体"/>
          <w:color w:val="auto"/>
          <w:spacing w:val="6"/>
          <w:sz w:val="31"/>
          <w:szCs w:val="31"/>
          <w:highlight w:val="none"/>
        </w:rPr>
        <w:t xml:space="preserve">  </w:t>
      </w:r>
      <w:r>
        <w:rPr>
          <w:rFonts w:ascii="宋体" w:hAnsi="宋体" w:eastAsia="宋体" w:cs="宋体"/>
          <w:b/>
          <w:bCs/>
          <w:color w:val="auto"/>
          <w:spacing w:val="6"/>
          <w:sz w:val="31"/>
          <w:szCs w:val="31"/>
          <w:highlight w:val="none"/>
        </w:rPr>
        <w:t>专用合同条款</w:t>
      </w:r>
      <w:bookmarkEnd w:id="312"/>
    </w:p>
    <w:p w14:paraId="35DEACB6">
      <w:pPr>
        <w:spacing w:before="269" w:line="223" w:lineRule="auto"/>
        <w:rPr>
          <w:rFonts w:ascii="宋体" w:hAnsi="宋体" w:eastAsia="宋体" w:cs="宋体"/>
          <w:color w:val="auto"/>
          <w:sz w:val="28"/>
          <w:szCs w:val="28"/>
          <w:highlight w:val="none"/>
        </w:rPr>
      </w:pPr>
      <w:r>
        <w:rPr>
          <w:rFonts w:ascii="宋体" w:hAnsi="宋体" w:eastAsia="宋体" w:cs="宋体"/>
          <w:b/>
          <w:bCs/>
          <w:color w:val="auto"/>
          <w:spacing w:val="-6"/>
          <w:sz w:val="28"/>
          <w:szCs w:val="28"/>
          <w:highlight w:val="none"/>
        </w:rPr>
        <w:t>包括：</w:t>
      </w:r>
    </w:p>
    <w:p w14:paraId="16FDB181">
      <w:pPr>
        <w:spacing w:before="204" w:line="360" w:lineRule="auto"/>
        <w:ind w:left="1" w:firstLine="551"/>
        <w:rPr>
          <w:rFonts w:ascii="宋体" w:hAnsi="宋体" w:eastAsia="宋体" w:cs="宋体"/>
          <w:color w:val="auto"/>
          <w:sz w:val="28"/>
          <w:szCs w:val="28"/>
          <w:highlight w:val="none"/>
        </w:rPr>
      </w:pPr>
      <w:r>
        <w:rPr>
          <w:rFonts w:ascii="宋体" w:hAnsi="宋体" w:eastAsia="宋体" w:cs="宋体"/>
          <w:b/>
          <w:bCs/>
          <w:color w:val="auto"/>
          <w:spacing w:val="5"/>
          <w:sz w:val="28"/>
          <w:szCs w:val="28"/>
          <w:highlight w:val="none"/>
        </w:rPr>
        <w:t>A</w:t>
      </w:r>
      <w:r>
        <w:rPr>
          <w:rFonts w:ascii="宋体" w:hAnsi="宋体" w:eastAsia="宋体" w:cs="宋体"/>
          <w:color w:val="auto"/>
          <w:spacing w:val="5"/>
          <w:sz w:val="28"/>
          <w:szCs w:val="28"/>
          <w:highlight w:val="none"/>
        </w:rPr>
        <w:t xml:space="preserve">  </w:t>
      </w:r>
      <w:r>
        <w:rPr>
          <w:rFonts w:ascii="宋体" w:hAnsi="宋体" w:eastAsia="宋体" w:cs="宋体"/>
          <w:b/>
          <w:bCs/>
          <w:color w:val="auto"/>
          <w:spacing w:val="5"/>
          <w:sz w:val="28"/>
          <w:szCs w:val="28"/>
          <w:highlight w:val="none"/>
        </w:rPr>
        <w:t>公路工程专用合同条款详见《交通运输部公路工程标准施工监理</w:t>
      </w:r>
      <w:r>
        <w:rPr>
          <w:rFonts w:ascii="宋体" w:hAnsi="宋体" w:eastAsia="宋体" w:cs="宋体"/>
          <w:b/>
          <w:bCs/>
          <w:color w:val="auto"/>
          <w:spacing w:val="-2"/>
          <w:sz w:val="28"/>
          <w:szCs w:val="28"/>
          <w:highlight w:val="none"/>
        </w:rPr>
        <w:t>招标文件（2018</w:t>
      </w:r>
      <w:r>
        <w:rPr>
          <w:rFonts w:ascii="宋体" w:hAnsi="宋体" w:eastAsia="宋体" w:cs="宋体"/>
          <w:color w:val="auto"/>
          <w:spacing w:val="-57"/>
          <w:sz w:val="28"/>
          <w:szCs w:val="28"/>
          <w:highlight w:val="none"/>
        </w:rPr>
        <w:t xml:space="preserve"> </w:t>
      </w:r>
      <w:r>
        <w:rPr>
          <w:rFonts w:ascii="宋体" w:hAnsi="宋体" w:eastAsia="宋体" w:cs="宋体"/>
          <w:b/>
          <w:bCs/>
          <w:color w:val="auto"/>
          <w:spacing w:val="-2"/>
          <w:sz w:val="28"/>
          <w:szCs w:val="28"/>
          <w:highlight w:val="none"/>
        </w:rPr>
        <w:t>年版）》</w:t>
      </w:r>
    </w:p>
    <w:p w14:paraId="3EA4FA55">
      <w:pPr>
        <w:spacing w:before="1" w:line="219" w:lineRule="auto"/>
        <w:ind w:left="557"/>
        <w:rPr>
          <w:rFonts w:ascii="宋体" w:hAnsi="宋体" w:eastAsia="宋体" w:cs="宋体"/>
          <w:color w:val="auto"/>
          <w:sz w:val="28"/>
          <w:szCs w:val="28"/>
          <w:highlight w:val="none"/>
        </w:rPr>
      </w:pPr>
      <w:r>
        <w:rPr>
          <w:rFonts w:ascii="宋体" w:hAnsi="宋体" w:eastAsia="宋体" w:cs="宋体"/>
          <w:b/>
          <w:bCs/>
          <w:color w:val="auto"/>
          <w:spacing w:val="-2"/>
          <w:sz w:val="28"/>
          <w:szCs w:val="28"/>
          <w:highlight w:val="none"/>
        </w:rPr>
        <w:t>B</w:t>
      </w:r>
      <w:r>
        <w:rPr>
          <w:rFonts w:ascii="宋体" w:hAnsi="宋体" w:eastAsia="宋体" w:cs="宋体"/>
          <w:color w:val="auto"/>
          <w:spacing w:val="-2"/>
          <w:sz w:val="28"/>
          <w:szCs w:val="28"/>
          <w:highlight w:val="none"/>
        </w:rPr>
        <w:t xml:space="preserve">  </w:t>
      </w:r>
      <w:r>
        <w:rPr>
          <w:rFonts w:ascii="宋体" w:hAnsi="宋体" w:eastAsia="宋体" w:cs="宋体"/>
          <w:b/>
          <w:bCs/>
          <w:color w:val="auto"/>
          <w:spacing w:val="-2"/>
          <w:sz w:val="28"/>
          <w:szCs w:val="28"/>
          <w:highlight w:val="none"/>
        </w:rPr>
        <w:t>项目专用合同条款</w:t>
      </w:r>
    </w:p>
    <w:p w14:paraId="15DA66BF">
      <w:pPr>
        <w:spacing w:line="219" w:lineRule="auto"/>
        <w:rPr>
          <w:rFonts w:ascii="宋体" w:hAnsi="宋体" w:eastAsia="宋体" w:cs="宋体"/>
          <w:color w:val="auto"/>
          <w:sz w:val="28"/>
          <w:szCs w:val="28"/>
          <w:highlight w:val="none"/>
        </w:rPr>
        <w:sectPr>
          <w:footerReference r:id="rId58" w:type="default"/>
          <w:pgSz w:w="11906" w:h="16839"/>
          <w:pgMar w:top="1403" w:right="1417" w:bottom="1297" w:left="1426" w:header="0" w:footer="1067" w:gutter="0"/>
          <w:pgNumType w:fmt="decimal"/>
          <w:cols w:space="720" w:num="1"/>
        </w:sectPr>
      </w:pPr>
    </w:p>
    <w:p w14:paraId="756B4031">
      <w:pPr>
        <w:spacing w:before="69" w:line="241" w:lineRule="auto"/>
        <w:ind w:left="3156"/>
        <w:rPr>
          <w:rFonts w:ascii="宋体" w:hAnsi="宋体" w:eastAsia="宋体" w:cs="宋体"/>
          <w:color w:val="auto"/>
          <w:sz w:val="16"/>
          <w:szCs w:val="16"/>
          <w:highlight w:val="none"/>
        </w:rPr>
      </w:pPr>
      <w:r>
        <w:rPr>
          <w:rFonts w:ascii="宋体" w:hAnsi="宋体" w:eastAsia="宋体" w:cs="宋体"/>
          <w:b/>
          <w:bCs/>
          <w:color w:val="auto"/>
          <w:spacing w:val="5"/>
          <w:sz w:val="31"/>
          <w:szCs w:val="31"/>
          <w:highlight w:val="none"/>
        </w:rPr>
        <w:t>B.</w:t>
      </w:r>
      <w:r>
        <w:rPr>
          <w:rFonts w:ascii="宋体" w:hAnsi="宋体" w:eastAsia="宋体" w:cs="宋体"/>
          <w:color w:val="auto"/>
          <w:spacing w:val="5"/>
          <w:sz w:val="31"/>
          <w:szCs w:val="31"/>
          <w:highlight w:val="none"/>
        </w:rPr>
        <w:t xml:space="preserve"> </w:t>
      </w:r>
      <w:r>
        <w:rPr>
          <w:rFonts w:ascii="宋体" w:hAnsi="宋体" w:eastAsia="宋体" w:cs="宋体"/>
          <w:b/>
          <w:bCs/>
          <w:color w:val="auto"/>
          <w:spacing w:val="5"/>
          <w:sz w:val="31"/>
          <w:szCs w:val="31"/>
          <w:highlight w:val="none"/>
        </w:rPr>
        <w:t>项目专用合同条款</w:t>
      </w:r>
    </w:p>
    <w:p w14:paraId="0C6EDAEC">
      <w:pPr>
        <w:spacing w:line="464" w:lineRule="auto"/>
        <w:rPr>
          <w:rFonts w:ascii="Arial"/>
          <w:color w:val="auto"/>
          <w:sz w:val="21"/>
          <w:highlight w:val="none"/>
        </w:rPr>
      </w:pPr>
    </w:p>
    <w:p w14:paraId="07BBDA6D">
      <w:pPr>
        <w:spacing w:before="78" w:line="219" w:lineRule="auto"/>
        <w:ind w:left="14"/>
        <w:rPr>
          <w:rFonts w:ascii="宋体" w:hAnsi="宋体" w:eastAsia="宋体" w:cs="宋体"/>
          <w:color w:val="auto"/>
          <w:sz w:val="24"/>
          <w:szCs w:val="24"/>
          <w:highlight w:val="none"/>
        </w:rPr>
      </w:pPr>
      <w:r>
        <w:rPr>
          <w:rFonts w:ascii="宋体" w:hAnsi="宋体" w:eastAsia="宋体" w:cs="宋体"/>
          <w:color w:val="auto"/>
          <w:spacing w:val="-15"/>
          <w:sz w:val="24"/>
          <w:szCs w:val="24"/>
          <w:highlight w:val="none"/>
        </w:rPr>
        <w:t>说</w:t>
      </w:r>
      <w:r>
        <w:rPr>
          <w:rFonts w:ascii="宋体" w:hAnsi="宋体" w:eastAsia="宋体" w:cs="宋体"/>
          <w:color w:val="auto"/>
          <w:spacing w:val="15"/>
          <w:sz w:val="24"/>
          <w:szCs w:val="24"/>
          <w:highlight w:val="none"/>
        </w:rPr>
        <w:t xml:space="preserve">  </w:t>
      </w:r>
      <w:r>
        <w:rPr>
          <w:rFonts w:ascii="宋体" w:hAnsi="宋体" w:eastAsia="宋体" w:cs="宋体"/>
          <w:color w:val="auto"/>
          <w:spacing w:val="-15"/>
          <w:sz w:val="24"/>
          <w:szCs w:val="24"/>
          <w:highlight w:val="none"/>
        </w:rPr>
        <w:t>明：</w:t>
      </w:r>
    </w:p>
    <w:p w14:paraId="3AC61F6E">
      <w:pPr>
        <w:spacing w:before="236" w:line="295" w:lineRule="auto"/>
        <w:ind w:right="93" w:firstLine="454"/>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1.招标人在根据《公路工程标准施工监理招标文件》编制项目招标文件中的“项目</w:t>
      </w:r>
      <w:r>
        <w:rPr>
          <w:rFonts w:ascii="宋体" w:hAnsi="宋体" w:eastAsia="宋体" w:cs="宋体"/>
          <w:color w:val="auto"/>
          <w:spacing w:val="3"/>
          <w:sz w:val="24"/>
          <w:szCs w:val="24"/>
          <w:highlight w:val="none"/>
        </w:rPr>
        <w:t>专用合同条款</w:t>
      </w:r>
      <w:r>
        <w:rPr>
          <w:rFonts w:ascii="宋体" w:hAnsi="宋体" w:eastAsia="宋体" w:cs="宋体"/>
          <w:color w:val="auto"/>
          <w:spacing w:val="-75"/>
          <w:sz w:val="24"/>
          <w:szCs w:val="24"/>
          <w:highlight w:val="none"/>
        </w:rPr>
        <w:t xml:space="preserve"> </w:t>
      </w:r>
      <w:r>
        <w:rPr>
          <w:rFonts w:ascii="宋体" w:hAnsi="宋体" w:eastAsia="宋体" w:cs="宋体"/>
          <w:color w:val="auto"/>
          <w:spacing w:val="3"/>
          <w:sz w:val="24"/>
          <w:szCs w:val="24"/>
          <w:highlight w:val="none"/>
        </w:rPr>
        <w:t>”时，可根据招标项目的具体特点和实际需要，对“通用合同条款</w:t>
      </w:r>
      <w:r>
        <w:rPr>
          <w:rFonts w:ascii="宋体" w:hAnsi="宋体" w:eastAsia="宋体" w:cs="宋体"/>
          <w:color w:val="auto"/>
          <w:spacing w:val="-83"/>
          <w:sz w:val="24"/>
          <w:szCs w:val="24"/>
          <w:highlight w:val="none"/>
        </w:rPr>
        <w:t xml:space="preserve"> </w:t>
      </w:r>
      <w:r>
        <w:rPr>
          <w:rFonts w:ascii="宋体" w:hAnsi="宋体" w:eastAsia="宋体" w:cs="宋体"/>
          <w:color w:val="auto"/>
          <w:spacing w:val="3"/>
          <w:sz w:val="24"/>
          <w:szCs w:val="24"/>
          <w:highlight w:val="none"/>
        </w:rPr>
        <w:t>”及“公路工程专用合同条款</w:t>
      </w:r>
      <w:r>
        <w:rPr>
          <w:rFonts w:ascii="宋体" w:hAnsi="宋体" w:eastAsia="宋体" w:cs="宋体"/>
          <w:color w:val="auto"/>
          <w:spacing w:val="-75"/>
          <w:sz w:val="24"/>
          <w:szCs w:val="24"/>
          <w:highlight w:val="none"/>
        </w:rPr>
        <w:t xml:space="preserve"> </w:t>
      </w:r>
      <w:r>
        <w:rPr>
          <w:rFonts w:ascii="宋体" w:hAnsi="宋体" w:eastAsia="宋体" w:cs="宋体"/>
          <w:color w:val="auto"/>
          <w:spacing w:val="3"/>
          <w:sz w:val="24"/>
          <w:szCs w:val="24"/>
          <w:highlight w:val="none"/>
        </w:rPr>
        <w:t>”进行补充和细化，除“通用合同条款</w:t>
      </w:r>
      <w:r>
        <w:rPr>
          <w:rFonts w:ascii="宋体" w:hAnsi="宋体" w:eastAsia="宋体" w:cs="宋体"/>
          <w:color w:val="auto"/>
          <w:spacing w:val="-83"/>
          <w:sz w:val="24"/>
          <w:szCs w:val="24"/>
          <w:highlight w:val="none"/>
        </w:rPr>
        <w:t xml:space="preserve"> </w:t>
      </w:r>
      <w:r>
        <w:rPr>
          <w:rFonts w:ascii="宋体" w:hAnsi="宋体" w:eastAsia="宋体" w:cs="宋体"/>
          <w:color w:val="auto"/>
          <w:spacing w:val="3"/>
          <w:sz w:val="24"/>
          <w:szCs w:val="24"/>
          <w:highlight w:val="none"/>
        </w:rPr>
        <w:t>”明确“专用合同条</w:t>
      </w:r>
      <w:r>
        <w:rPr>
          <w:rFonts w:ascii="宋体" w:hAnsi="宋体" w:eastAsia="宋体" w:cs="宋体"/>
          <w:color w:val="auto"/>
          <w:spacing w:val="2"/>
          <w:sz w:val="24"/>
          <w:szCs w:val="24"/>
          <w:highlight w:val="none"/>
        </w:rPr>
        <w:t>款</w:t>
      </w:r>
      <w:r>
        <w:rPr>
          <w:rFonts w:ascii="宋体" w:hAnsi="宋体" w:eastAsia="宋体" w:cs="宋体"/>
          <w:color w:val="auto"/>
          <w:spacing w:val="-75"/>
          <w:sz w:val="24"/>
          <w:szCs w:val="24"/>
          <w:highlight w:val="none"/>
        </w:rPr>
        <w:t xml:space="preserve"> </w:t>
      </w:r>
      <w:r>
        <w:rPr>
          <w:rFonts w:ascii="宋体" w:hAnsi="宋体" w:eastAsia="宋体" w:cs="宋体"/>
          <w:color w:val="auto"/>
          <w:spacing w:val="2"/>
          <w:sz w:val="24"/>
          <w:szCs w:val="24"/>
          <w:highlight w:val="none"/>
        </w:rPr>
        <w:t>”可作出不同约定以及“公路工程专用合同条款</w:t>
      </w:r>
      <w:r>
        <w:rPr>
          <w:rFonts w:ascii="宋体" w:hAnsi="宋体" w:eastAsia="宋体" w:cs="宋体"/>
          <w:color w:val="auto"/>
          <w:spacing w:val="-83"/>
          <w:sz w:val="24"/>
          <w:szCs w:val="24"/>
          <w:highlight w:val="none"/>
        </w:rPr>
        <w:t xml:space="preserve"> </w:t>
      </w:r>
      <w:r>
        <w:rPr>
          <w:rFonts w:ascii="宋体" w:hAnsi="宋体" w:eastAsia="宋体" w:cs="宋体"/>
          <w:color w:val="auto"/>
          <w:spacing w:val="2"/>
          <w:sz w:val="24"/>
          <w:szCs w:val="24"/>
          <w:highlight w:val="none"/>
        </w:rPr>
        <w:t>”明确“项目专用合同条款</w:t>
      </w:r>
      <w:r>
        <w:rPr>
          <w:rFonts w:ascii="宋体" w:hAnsi="宋体" w:eastAsia="宋体" w:cs="宋体"/>
          <w:color w:val="auto"/>
          <w:spacing w:val="-83"/>
          <w:sz w:val="24"/>
          <w:szCs w:val="24"/>
          <w:highlight w:val="none"/>
        </w:rPr>
        <w:t xml:space="preserve"> </w:t>
      </w:r>
      <w:r>
        <w:rPr>
          <w:rFonts w:ascii="宋体" w:hAnsi="宋体" w:eastAsia="宋体" w:cs="宋体"/>
          <w:color w:val="auto"/>
          <w:spacing w:val="2"/>
          <w:sz w:val="24"/>
          <w:szCs w:val="24"/>
          <w:highlight w:val="none"/>
        </w:rPr>
        <w:t>”可作</w:t>
      </w:r>
      <w:r>
        <w:rPr>
          <w:rFonts w:ascii="宋体" w:hAnsi="宋体" w:eastAsia="宋体" w:cs="宋体"/>
          <w:color w:val="auto"/>
          <w:spacing w:val="4"/>
          <w:sz w:val="24"/>
          <w:szCs w:val="24"/>
          <w:highlight w:val="none"/>
        </w:rPr>
        <w:t>出不同约定外，补充和细化的内容不得与“通用合同条款</w:t>
      </w:r>
      <w:r>
        <w:rPr>
          <w:rFonts w:ascii="宋体" w:hAnsi="宋体" w:eastAsia="宋体" w:cs="宋体"/>
          <w:color w:val="auto"/>
          <w:spacing w:val="-75"/>
          <w:sz w:val="24"/>
          <w:szCs w:val="24"/>
          <w:highlight w:val="none"/>
        </w:rPr>
        <w:t xml:space="preserve"> </w:t>
      </w:r>
      <w:r>
        <w:rPr>
          <w:rFonts w:ascii="宋体" w:hAnsi="宋体" w:eastAsia="宋体" w:cs="宋体"/>
          <w:color w:val="auto"/>
          <w:spacing w:val="4"/>
          <w:sz w:val="24"/>
          <w:szCs w:val="24"/>
          <w:highlight w:val="none"/>
        </w:rPr>
        <w:t>”及“公路工程专用合同条款</w:t>
      </w:r>
      <w:r>
        <w:rPr>
          <w:rFonts w:ascii="宋体" w:hAnsi="宋体" w:eastAsia="宋体" w:cs="宋体"/>
          <w:color w:val="auto"/>
          <w:spacing w:val="-73"/>
          <w:sz w:val="24"/>
          <w:szCs w:val="24"/>
          <w:highlight w:val="none"/>
        </w:rPr>
        <w:t xml:space="preserve"> </w:t>
      </w:r>
      <w:r>
        <w:rPr>
          <w:rFonts w:ascii="宋体" w:hAnsi="宋体" w:eastAsia="宋体" w:cs="宋体"/>
          <w:color w:val="auto"/>
          <w:spacing w:val="4"/>
          <w:sz w:val="24"/>
          <w:szCs w:val="24"/>
          <w:highlight w:val="none"/>
        </w:rPr>
        <w:t>”强制性规定相抵触。同时，补充、细化或约定的内容，不得违反法律、行政法规</w:t>
      </w:r>
      <w:r>
        <w:rPr>
          <w:rFonts w:ascii="宋体" w:hAnsi="宋体" w:eastAsia="宋体" w:cs="宋体"/>
          <w:color w:val="auto"/>
          <w:spacing w:val="-2"/>
          <w:sz w:val="24"/>
          <w:szCs w:val="24"/>
          <w:highlight w:val="none"/>
        </w:rPr>
        <w:t>的强制性规定和平等、</w:t>
      </w:r>
      <w:r>
        <w:rPr>
          <w:rFonts w:ascii="宋体" w:hAnsi="宋体" w:eastAsia="宋体" w:cs="宋体"/>
          <w:color w:val="auto"/>
          <w:spacing w:val="-71"/>
          <w:sz w:val="24"/>
          <w:szCs w:val="24"/>
          <w:highlight w:val="none"/>
        </w:rPr>
        <w:t xml:space="preserve"> </w:t>
      </w:r>
      <w:r>
        <w:rPr>
          <w:rFonts w:ascii="宋体" w:hAnsi="宋体" w:eastAsia="宋体" w:cs="宋体"/>
          <w:color w:val="auto"/>
          <w:spacing w:val="-2"/>
          <w:sz w:val="24"/>
          <w:szCs w:val="24"/>
          <w:highlight w:val="none"/>
        </w:rPr>
        <w:t>自愿、公平和诚实信用原</w:t>
      </w:r>
      <w:r>
        <w:rPr>
          <w:rFonts w:ascii="宋体" w:hAnsi="宋体" w:eastAsia="宋体" w:cs="宋体"/>
          <w:color w:val="auto"/>
          <w:spacing w:val="-3"/>
          <w:sz w:val="24"/>
          <w:szCs w:val="24"/>
          <w:highlight w:val="none"/>
        </w:rPr>
        <w:t>则。</w:t>
      </w:r>
    </w:p>
    <w:p w14:paraId="35035081">
      <w:pPr>
        <w:spacing w:before="236" w:line="219" w:lineRule="auto"/>
        <w:ind w:left="439"/>
        <w:rPr>
          <w:rFonts w:ascii="宋体" w:hAnsi="宋体" w:eastAsia="宋体" w:cs="宋体"/>
          <w:color w:val="auto"/>
          <w:sz w:val="24"/>
          <w:szCs w:val="24"/>
          <w:highlight w:val="none"/>
        </w:rPr>
      </w:pPr>
      <w:r>
        <w:rPr>
          <w:rFonts w:ascii="宋体" w:hAnsi="宋体" w:eastAsia="宋体" w:cs="宋体"/>
          <w:color w:val="auto"/>
          <w:sz w:val="24"/>
          <w:szCs w:val="24"/>
          <w:highlight w:val="none"/>
        </w:rPr>
        <w:t>2.项目专用合同条款的编号应与通用合同条款</w:t>
      </w:r>
      <w:r>
        <w:rPr>
          <w:rFonts w:ascii="宋体" w:hAnsi="宋体" w:eastAsia="宋体" w:cs="宋体"/>
          <w:color w:val="auto"/>
          <w:spacing w:val="-1"/>
          <w:sz w:val="24"/>
          <w:szCs w:val="24"/>
          <w:highlight w:val="none"/>
        </w:rPr>
        <w:t>和公路工程专用合同条款一致。</w:t>
      </w:r>
    </w:p>
    <w:p w14:paraId="5CB2D86C">
      <w:pPr>
        <w:spacing w:before="233" w:line="219" w:lineRule="auto"/>
        <w:ind w:left="441"/>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3.项目专用合同条款可对下列内容进行补充和细化：</w:t>
      </w:r>
    </w:p>
    <w:p w14:paraId="5FE5F789">
      <w:pPr>
        <w:spacing w:before="233" w:line="286" w:lineRule="auto"/>
        <w:ind w:left="12" w:right="95" w:firstLine="466"/>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(1)“通用合同条款</w:t>
      </w:r>
      <w:r>
        <w:rPr>
          <w:rFonts w:ascii="宋体" w:hAnsi="宋体" w:eastAsia="宋体" w:cs="宋体"/>
          <w:color w:val="auto"/>
          <w:spacing w:val="-78"/>
          <w:sz w:val="24"/>
          <w:szCs w:val="24"/>
          <w:highlight w:val="none"/>
        </w:rPr>
        <w:t xml:space="preserve"> </w:t>
      </w:r>
      <w:r>
        <w:rPr>
          <w:rFonts w:ascii="宋体" w:hAnsi="宋体" w:eastAsia="宋体" w:cs="宋体"/>
          <w:color w:val="auto"/>
          <w:spacing w:val="-1"/>
          <w:sz w:val="24"/>
          <w:szCs w:val="24"/>
          <w:highlight w:val="none"/>
        </w:rPr>
        <w:t>”中明确指出“专用合同条款</w:t>
      </w:r>
      <w:r>
        <w:rPr>
          <w:rFonts w:ascii="宋体" w:hAnsi="宋体" w:eastAsia="宋体" w:cs="宋体"/>
          <w:color w:val="auto"/>
          <w:spacing w:val="-85"/>
          <w:sz w:val="24"/>
          <w:szCs w:val="24"/>
          <w:highlight w:val="none"/>
        </w:rPr>
        <w:t xml:space="preserve"> </w:t>
      </w:r>
      <w:r>
        <w:rPr>
          <w:rFonts w:ascii="宋体" w:hAnsi="宋体" w:eastAsia="宋体" w:cs="宋体"/>
          <w:color w:val="auto"/>
          <w:spacing w:val="-1"/>
          <w:sz w:val="24"/>
          <w:szCs w:val="24"/>
          <w:highlight w:val="none"/>
        </w:rPr>
        <w:t>”可对“通用合同条款</w:t>
      </w:r>
      <w:r>
        <w:rPr>
          <w:rFonts w:ascii="宋体" w:hAnsi="宋体" w:eastAsia="宋体" w:cs="宋体"/>
          <w:color w:val="auto"/>
          <w:spacing w:val="-86"/>
          <w:sz w:val="24"/>
          <w:szCs w:val="24"/>
          <w:highlight w:val="none"/>
        </w:rPr>
        <w:t xml:space="preserve"> </w:t>
      </w:r>
      <w:r>
        <w:rPr>
          <w:rFonts w:ascii="宋体" w:hAnsi="宋体" w:eastAsia="宋体" w:cs="宋体"/>
          <w:color w:val="auto"/>
          <w:spacing w:val="-1"/>
          <w:sz w:val="24"/>
          <w:szCs w:val="24"/>
          <w:highlight w:val="none"/>
        </w:rPr>
        <w:t>”进行修改的内容(在“通用合同条款</w:t>
      </w:r>
      <w:r>
        <w:rPr>
          <w:rFonts w:ascii="宋体" w:hAnsi="宋体" w:eastAsia="宋体" w:cs="宋体"/>
          <w:color w:val="auto"/>
          <w:spacing w:val="-86"/>
          <w:sz w:val="24"/>
          <w:szCs w:val="24"/>
          <w:highlight w:val="none"/>
        </w:rPr>
        <w:t xml:space="preserve"> </w:t>
      </w:r>
      <w:r>
        <w:rPr>
          <w:rFonts w:ascii="宋体" w:hAnsi="宋体" w:eastAsia="宋体" w:cs="宋体"/>
          <w:color w:val="auto"/>
          <w:spacing w:val="-1"/>
          <w:sz w:val="24"/>
          <w:szCs w:val="24"/>
          <w:highlight w:val="none"/>
        </w:rPr>
        <w:t>”中用“应按合同约定</w:t>
      </w:r>
      <w:r>
        <w:rPr>
          <w:rFonts w:ascii="宋体" w:hAnsi="宋体" w:eastAsia="宋体" w:cs="宋体"/>
          <w:color w:val="auto"/>
          <w:spacing w:val="-86"/>
          <w:sz w:val="24"/>
          <w:szCs w:val="24"/>
          <w:highlight w:val="none"/>
        </w:rPr>
        <w:t xml:space="preserve"> </w:t>
      </w:r>
      <w:r>
        <w:rPr>
          <w:rFonts w:ascii="宋体" w:hAnsi="宋体" w:eastAsia="宋体" w:cs="宋体"/>
          <w:color w:val="auto"/>
          <w:spacing w:val="-1"/>
          <w:sz w:val="24"/>
          <w:szCs w:val="24"/>
          <w:highlight w:val="none"/>
        </w:rPr>
        <w:t>”“应按专用合同</w:t>
      </w:r>
      <w:r>
        <w:rPr>
          <w:rFonts w:ascii="宋体" w:hAnsi="宋体" w:eastAsia="宋体" w:cs="宋体"/>
          <w:color w:val="auto"/>
          <w:spacing w:val="-2"/>
          <w:sz w:val="24"/>
          <w:szCs w:val="24"/>
          <w:highlight w:val="none"/>
        </w:rPr>
        <w:t>条款约定</w:t>
      </w:r>
      <w:r>
        <w:rPr>
          <w:rFonts w:ascii="宋体" w:hAnsi="宋体" w:eastAsia="宋体" w:cs="宋体"/>
          <w:color w:val="auto"/>
          <w:spacing w:val="-83"/>
          <w:sz w:val="24"/>
          <w:szCs w:val="24"/>
          <w:highlight w:val="none"/>
        </w:rPr>
        <w:t xml:space="preserve"> </w:t>
      </w:r>
      <w:r>
        <w:rPr>
          <w:rFonts w:ascii="宋体" w:hAnsi="宋体" w:eastAsia="宋体" w:cs="宋体"/>
          <w:color w:val="auto"/>
          <w:spacing w:val="-2"/>
          <w:sz w:val="24"/>
          <w:szCs w:val="24"/>
          <w:highlight w:val="none"/>
        </w:rPr>
        <w:t>”“除</w:t>
      </w:r>
      <w:r>
        <w:rPr>
          <w:rFonts w:ascii="宋体" w:hAnsi="宋体" w:eastAsia="宋体" w:cs="宋体"/>
          <w:color w:val="auto"/>
          <w:spacing w:val="1"/>
          <w:sz w:val="24"/>
          <w:szCs w:val="24"/>
          <w:highlight w:val="none"/>
        </w:rPr>
        <w:t>合同另有约定外</w:t>
      </w:r>
      <w:r>
        <w:rPr>
          <w:rFonts w:ascii="宋体" w:hAnsi="宋体" w:eastAsia="宋体" w:cs="宋体"/>
          <w:color w:val="auto"/>
          <w:spacing w:val="-81"/>
          <w:sz w:val="24"/>
          <w:szCs w:val="24"/>
          <w:highlight w:val="none"/>
        </w:rPr>
        <w:t xml:space="preserve"> </w:t>
      </w:r>
      <w:r>
        <w:rPr>
          <w:rFonts w:ascii="宋体" w:hAnsi="宋体" w:eastAsia="宋体" w:cs="宋体"/>
          <w:color w:val="auto"/>
          <w:spacing w:val="1"/>
          <w:sz w:val="24"/>
          <w:szCs w:val="24"/>
          <w:highlight w:val="none"/>
        </w:rPr>
        <w:t>”“</w:t>
      </w:r>
      <w:r>
        <w:rPr>
          <w:rFonts w:ascii="宋体" w:hAnsi="宋体" w:eastAsia="宋体" w:cs="宋体"/>
          <w:color w:val="auto"/>
          <w:spacing w:val="-91"/>
          <w:sz w:val="24"/>
          <w:szCs w:val="24"/>
          <w:highlight w:val="none"/>
        </w:rPr>
        <w:t xml:space="preserve"> </w:t>
      </w:r>
      <w:r>
        <w:rPr>
          <w:rFonts w:ascii="宋体" w:hAnsi="宋体" w:eastAsia="宋体" w:cs="宋体"/>
          <w:color w:val="auto"/>
          <w:spacing w:val="1"/>
          <w:sz w:val="24"/>
          <w:szCs w:val="24"/>
          <w:highlight w:val="none"/>
        </w:rPr>
        <w:t>除专用合同条款另有约定外</w:t>
      </w:r>
      <w:r>
        <w:rPr>
          <w:rFonts w:ascii="宋体" w:hAnsi="宋体" w:eastAsia="宋体" w:cs="宋体"/>
          <w:color w:val="auto"/>
          <w:spacing w:val="-81"/>
          <w:sz w:val="24"/>
          <w:szCs w:val="24"/>
          <w:highlight w:val="none"/>
        </w:rPr>
        <w:t xml:space="preserve"> </w:t>
      </w:r>
      <w:r>
        <w:rPr>
          <w:rFonts w:ascii="宋体" w:hAnsi="宋体" w:eastAsia="宋体" w:cs="宋体"/>
          <w:color w:val="auto"/>
          <w:spacing w:val="1"/>
          <w:sz w:val="24"/>
          <w:szCs w:val="24"/>
          <w:highlight w:val="none"/>
        </w:rPr>
        <w:t>”“在专用合同条款中约定</w:t>
      </w:r>
      <w:r>
        <w:rPr>
          <w:rFonts w:ascii="宋体" w:hAnsi="宋体" w:eastAsia="宋体" w:cs="宋体"/>
          <w:color w:val="auto"/>
          <w:spacing w:val="-81"/>
          <w:sz w:val="24"/>
          <w:szCs w:val="24"/>
          <w:highlight w:val="none"/>
        </w:rPr>
        <w:t xml:space="preserve"> </w:t>
      </w:r>
      <w:r>
        <w:rPr>
          <w:rFonts w:ascii="宋体" w:hAnsi="宋体" w:eastAsia="宋体" w:cs="宋体"/>
          <w:color w:val="auto"/>
          <w:spacing w:val="1"/>
          <w:sz w:val="24"/>
          <w:szCs w:val="24"/>
          <w:highlight w:val="none"/>
        </w:rPr>
        <w:t>”</w:t>
      </w:r>
      <w:r>
        <w:rPr>
          <w:rFonts w:ascii="宋体" w:hAnsi="宋体" w:eastAsia="宋体" w:cs="宋体"/>
          <w:color w:val="auto"/>
          <w:sz w:val="24"/>
          <w:szCs w:val="24"/>
          <w:highlight w:val="none"/>
        </w:rPr>
        <w:t>等多种</w:t>
      </w:r>
      <w:r>
        <w:rPr>
          <w:rFonts w:ascii="宋体" w:hAnsi="宋体" w:eastAsia="宋体" w:cs="宋体"/>
          <w:color w:val="auto"/>
          <w:spacing w:val="-2"/>
          <w:sz w:val="24"/>
          <w:szCs w:val="24"/>
          <w:highlight w:val="none"/>
        </w:rPr>
        <w:t>文字形式表达)；</w:t>
      </w:r>
    </w:p>
    <w:p w14:paraId="28D35FB3">
      <w:pPr>
        <w:spacing w:before="234" w:line="286" w:lineRule="auto"/>
        <w:ind w:left="12" w:right="93" w:firstLine="466"/>
        <w:rPr>
          <w:rFonts w:ascii="宋体" w:hAnsi="宋体" w:eastAsia="宋体" w:cs="宋体"/>
          <w:color w:val="auto"/>
          <w:sz w:val="24"/>
          <w:szCs w:val="24"/>
          <w:highlight w:val="none"/>
        </w:rPr>
      </w:pPr>
      <w:r>
        <w:rPr>
          <w:rFonts w:ascii="宋体" w:hAnsi="宋体" w:eastAsia="宋体" w:cs="宋体"/>
          <w:color w:val="auto"/>
          <w:sz w:val="24"/>
          <w:szCs w:val="24"/>
          <w:highlight w:val="none"/>
        </w:rPr>
        <w:t>(2)“公路工程专用合同条款</w:t>
      </w:r>
      <w:r>
        <w:rPr>
          <w:rFonts w:ascii="宋体" w:hAnsi="宋体" w:eastAsia="宋体" w:cs="宋体"/>
          <w:color w:val="auto"/>
          <w:spacing w:val="-80"/>
          <w:sz w:val="24"/>
          <w:szCs w:val="24"/>
          <w:highlight w:val="none"/>
        </w:rPr>
        <w:t xml:space="preserve"> </w:t>
      </w:r>
      <w:r>
        <w:rPr>
          <w:rFonts w:ascii="宋体" w:hAnsi="宋体" w:eastAsia="宋体" w:cs="宋体"/>
          <w:color w:val="auto"/>
          <w:sz w:val="24"/>
          <w:szCs w:val="24"/>
          <w:highlight w:val="none"/>
        </w:rPr>
        <w:t>”中明确指出“项目专用合同条款</w:t>
      </w:r>
      <w:r>
        <w:rPr>
          <w:rFonts w:ascii="宋体" w:hAnsi="宋体" w:eastAsia="宋体" w:cs="宋体"/>
          <w:color w:val="auto"/>
          <w:spacing w:val="-86"/>
          <w:sz w:val="24"/>
          <w:szCs w:val="24"/>
          <w:highlight w:val="none"/>
        </w:rPr>
        <w:t xml:space="preserve"> </w:t>
      </w:r>
      <w:r>
        <w:rPr>
          <w:rFonts w:ascii="宋体" w:hAnsi="宋体" w:eastAsia="宋体" w:cs="宋体"/>
          <w:color w:val="auto"/>
          <w:sz w:val="24"/>
          <w:szCs w:val="24"/>
          <w:highlight w:val="none"/>
        </w:rPr>
        <w:t>”可对“公路工程专用合同条款</w:t>
      </w:r>
      <w:r>
        <w:rPr>
          <w:rFonts w:ascii="宋体" w:hAnsi="宋体" w:eastAsia="宋体" w:cs="宋体"/>
          <w:color w:val="auto"/>
          <w:spacing w:val="-85"/>
          <w:sz w:val="24"/>
          <w:szCs w:val="24"/>
          <w:highlight w:val="none"/>
        </w:rPr>
        <w:t xml:space="preserve"> </w:t>
      </w:r>
      <w:r>
        <w:rPr>
          <w:rFonts w:ascii="宋体" w:hAnsi="宋体" w:eastAsia="宋体" w:cs="宋体"/>
          <w:color w:val="auto"/>
          <w:sz w:val="24"/>
          <w:szCs w:val="24"/>
          <w:highlight w:val="none"/>
        </w:rPr>
        <w:t>”进行修改的内容(在“公路工程专用合同条款</w:t>
      </w:r>
      <w:r>
        <w:rPr>
          <w:rFonts w:ascii="宋体" w:hAnsi="宋体" w:eastAsia="宋体" w:cs="宋体"/>
          <w:color w:val="auto"/>
          <w:spacing w:val="-86"/>
          <w:sz w:val="24"/>
          <w:szCs w:val="24"/>
          <w:highlight w:val="none"/>
        </w:rPr>
        <w:t xml:space="preserve"> </w:t>
      </w:r>
      <w:r>
        <w:rPr>
          <w:rFonts w:ascii="宋体" w:hAnsi="宋体" w:eastAsia="宋体" w:cs="宋体"/>
          <w:color w:val="auto"/>
          <w:sz w:val="24"/>
          <w:szCs w:val="24"/>
          <w:highlight w:val="none"/>
        </w:rPr>
        <w:t>”中</w:t>
      </w:r>
      <w:r>
        <w:rPr>
          <w:rFonts w:ascii="宋体" w:hAnsi="宋体" w:eastAsia="宋体" w:cs="宋体"/>
          <w:color w:val="auto"/>
          <w:spacing w:val="-1"/>
          <w:sz w:val="24"/>
          <w:szCs w:val="24"/>
          <w:highlight w:val="none"/>
        </w:rPr>
        <w:t>用“除项目专用合同</w:t>
      </w:r>
      <w:r>
        <w:rPr>
          <w:rFonts w:ascii="宋体" w:hAnsi="宋体" w:eastAsia="宋体" w:cs="宋体"/>
          <w:color w:val="auto"/>
          <w:spacing w:val="3"/>
          <w:sz w:val="24"/>
          <w:szCs w:val="24"/>
          <w:highlight w:val="none"/>
        </w:rPr>
        <w:t>条款另有约定外</w:t>
      </w:r>
      <w:r>
        <w:rPr>
          <w:rFonts w:ascii="宋体" w:hAnsi="宋体" w:eastAsia="宋体" w:cs="宋体"/>
          <w:color w:val="auto"/>
          <w:spacing w:val="-81"/>
          <w:sz w:val="24"/>
          <w:szCs w:val="24"/>
          <w:highlight w:val="none"/>
        </w:rPr>
        <w:t xml:space="preserve"> </w:t>
      </w:r>
      <w:r>
        <w:rPr>
          <w:rFonts w:ascii="宋体" w:hAnsi="宋体" w:eastAsia="宋体" w:cs="宋体"/>
          <w:color w:val="auto"/>
          <w:spacing w:val="3"/>
          <w:sz w:val="24"/>
          <w:szCs w:val="24"/>
          <w:highlight w:val="none"/>
        </w:rPr>
        <w:t>”“项目专用合同条款可能约定的</w:t>
      </w:r>
      <w:r>
        <w:rPr>
          <w:rFonts w:ascii="宋体" w:hAnsi="宋体" w:eastAsia="宋体" w:cs="宋体"/>
          <w:color w:val="auto"/>
          <w:spacing w:val="-83"/>
          <w:sz w:val="24"/>
          <w:szCs w:val="24"/>
          <w:highlight w:val="none"/>
        </w:rPr>
        <w:t xml:space="preserve"> </w:t>
      </w:r>
      <w:r>
        <w:rPr>
          <w:rFonts w:ascii="宋体" w:hAnsi="宋体" w:eastAsia="宋体" w:cs="宋体"/>
          <w:color w:val="auto"/>
          <w:spacing w:val="3"/>
          <w:sz w:val="24"/>
          <w:szCs w:val="24"/>
          <w:highlight w:val="none"/>
        </w:rPr>
        <w:t>”“项目专用合同条款约</w:t>
      </w:r>
      <w:r>
        <w:rPr>
          <w:rFonts w:ascii="宋体" w:hAnsi="宋体" w:eastAsia="宋体" w:cs="宋体"/>
          <w:color w:val="auto"/>
          <w:spacing w:val="2"/>
          <w:sz w:val="24"/>
          <w:szCs w:val="24"/>
          <w:highlight w:val="none"/>
        </w:rPr>
        <w:t>定的其他</w:t>
      </w:r>
      <w:r>
        <w:rPr>
          <w:rFonts w:ascii="宋体" w:hAnsi="宋体" w:eastAsia="宋体" w:cs="宋体"/>
          <w:color w:val="auto"/>
          <w:spacing w:val="-4"/>
          <w:sz w:val="24"/>
          <w:szCs w:val="24"/>
          <w:highlight w:val="none"/>
        </w:rPr>
        <w:t>情形</w:t>
      </w:r>
      <w:r>
        <w:rPr>
          <w:rFonts w:ascii="宋体" w:hAnsi="宋体" w:eastAsia="宋体" w:cs="宋体"/>
          <w:color w:val="auto"/>
          <w:spacing w:val="-76"/>
          <w:sz w:val="24"/>
          <w:szCs w:val="24"/>
          <w:highlight w:val="none"/>
        </w:rPr>
        <w:t xml:space="preserve"> </w:t>
      </w:r>
      <w:r>
        <w:rPr>
          <w:rFonts w:ascii="宋体" w:hAnsi="宋体" w:eastAsia="宋体" w:cs="宋体"/>
          <w:color w:val="auto"/>
          <w:spacing w:val="-4"/>
          <w:sz w:val="24"/>
          <w:szCs w:val="24"/>
          <w:highlight w:val="none"/>
        </w:rPr>
        <w:t>”等多种文字形式表达)。</w:t>
      </w:r>
    </w:p>
    <w:p w14:paraId="7E22CFC3">
      <w:pPr>
        <w:spacing w:before="233" w:line="219" w:lineRule="auto"/>
        <w:ind w:left="478"/>
        <w:rPr>
          <w:rFonts w:ascii="宋体" w:hAnsi="宋体" w:eastAsia="宋体" w:cs="宋体"/>
          <w:color w:val="auto"/>
          <w:spacing w:val="-4"/>
          <w:sz w:val="24"/>
          <w:szCs w:val="24"/>
          <w:highlight w:val="none"/>
        </w:rPr>
      </w:pPr>
      <w:bookmarkStart w:id="313" w:name="bookmark141"/>
      <w:bookmarkEnd w:id="313"/>
      <w:r>
        <w:rPr>
          <w:rFonts w:ascii="宋体" w:hAnsi="宋体" w:eastAsia="宋体" w:cs="宋体"/>
          <w:color w:val="auto"/>
          <w:spacing w:val="-4"/>
          <w:sz w:val="24"/>
          <w:szCs w:val="24"/>
          <w:highlight w:val="none"/>
        </w:rPr>
        <w:t>(3)其他需要补充、细化的内容。</w:t>
      </w:r>
    </w:p>
    <w:p w14:paraId="57E04705">
      <w:pPr>
        <w:pStyle w:val="2"/>
        <w:rPr>
          <w:rFonts w:hint="eastAsia"/>
          <w:color w:val="auto"/>
          <w:highlight w:val="none"/>
        </w:rPr>
      </w:pPr>
      <w:r>
        <w:rPr>
          <w:rFonts w:hint="eastAsia"/>
          <w:color w:val="auto"/>
          <w:highlight w:val="none"/>
        </w:rPr>
        <w:t xml:space="preserve"> </w:t>
      </w:r>
    </w:p>
    <w:p w14:paraId="137F5A13">
      <w:pPr>
        <w:pStyle w:val="2"/>
        <w:rPr>
          <w:rFonts w:hint="eastAsia"/>
          <w:color w:val="auto"/>
          <w:highlight w:val="none"/>
        </w:rPr>
      </w:pPr>
      <w:r>
        <w:rPr>
          <w:rFonts w:hint="eastAsia"/>
          <w:color w:val="auto"/>
          <w:highlight w:val="none"/>
        </w:rPr>
        <w:t xml:space="preserve"> </w:t>
      </w:r>
    </w:p>
    <w:p w14:paraId="17FB058C">
      <w:pPr>
        <w:spacing w:line="254" w:lineRule="auto"/>
        <w:rPr>
          <w:rFonts w:ascii="Arial"/>
          <w:color w:val="auto"/>
          <w:sz w:val="21"/>
          <w:highlight w:val="none"/>
        </w:rPr>
      </w:pPr>
    </w:p>
    <w:p w14:paraId="5C990F77">
      <w:pPr>
        <w:spacing w:line="254" w:lineRule="auto"/>
        <w:rPr>
          <w:rFonts w:ascii="Arial"/>
          <w:color w:val="auto"/>
          <w:sz w:val="21"/>
          <w:highlight w:val="none"/>
        </w:rPr>
      </w:pPr>
    </w:p>
    <w:p w14:paraId="2415279F">
      <w:pPr>
        <w:spacing w:line="254" w:lineRule="auto"/>
        <w:rPr>
          <w:rFonts w:ascii="Arial"/>
          <w:color w:val="auto"/>
          <w:sz w:val="21"/>
          <w:highlight w:val="none"/>
        </w:rPr>
      </w:pPr>
    </w:p>
    <w:p w14:paraId="356CBA35">
      <w:pPr>
        <w:spacing w:line="254" w:lineRule="auto"/>
        <w:rPr>
          <w:rFonts w:ascii="Arial"/>
          <w:color w:val="auto"/>
          <w:sz w:val="21"/>
          <w:highlight w:val="none"/>
        </w:rPr>
      </w:pPr>
    </w:p>
    <w:p w14:paraId="0D4403EA">
      <w:pPr>
        <w:spacing w:line="254" w:lineRule="auto"/>
        <w:rPr>
          <w:rFonts w:ascii="Arial"/>
          <w:color w:val="auto"/>
          <w:sz w:val="21"/>
          <w:highlight w:val="none"/>
        </w:rPr>
      </w:pPr>
    </w:p>
    <w:p w14:paraId="62161EAE">
      <w:pPr>
        <w:spacing w:line="254" w:lineRule="auto"/>
        <w:rPr>
          <w:rFonts w:ascii="Arial"/>
          <w:color w:val="auto"/>
          <w:sz w:val="21"/>
          <w:highlight w:val="none"/>
        </w:rPr>
      </w:pPr>
    </w:p>
    <w:p w14:paraId="3CCA4C5C">
      <w:pPr>
        <w:spacing w:line="254" w:lineRule="auto"/>
        <w:rPr>
          <w:rFonts w:ascii="Arial"/>
          <w:color w:val="auto"/>
          <w:sz w:val="21"/>
          <w:highlight w:val="none"/>
        </w:rPr>
      </w:pPr>
    </w:p>
    <w:p w14:paraId="7CF87BE1">
      <w:pPr>
        <w:spacing w:line="254" w:lineRule="auto"/>
        <w:rPr>
          <w:rFonts w:ascii="Arial"/>
          <w:color w:val="auto"/>
          <w:sz w:val="21"/>
          <w:highlight w:val="none"/>
        </w:rPr>
      </w:pPr>
    </w:p>
    <w:p w14:paraId="0677D573">
      <w:pPr>
        <w:spacing w:line="254" w:lineRule="auto"/>
        <w:rPr>
          <w:rFonts w:ascii="Arial"/>
          <w:color w:val="auto"/>
          <w:sz w:val="21"/>
          <w:highlight w:val="none"/>
        </w:rPr>
      </w:pPr>
    </w:p>
    <w:p w14:paraId="019B0E21">
      <w:pPr>
        <w:spacing w:line="254" w:lineRule="auto"/>
        <w:rPr>
          <w:rFonts w:ascii="Arial"/>
          <w:color w:val="auto"/>
          <w:sz w:val="21"/>
          <w:highlight w:val="none"/>
        </w:rPr>
      </w:pPr>
    </w:p>
    <w:p w14:paraId="68BBBCC9">
      <w:pPr>
        <w:spacing w:line="254" w:lineRule="auto"/>
        <w:rPr>
          <w:rFonts w:ascii="Arial"/>
          <w:color w:val="auto"/>
          <w:sz w:val="21"/>
          <w:highlight w:val="none"/>
        </w:rPr>
      </w:pPr>
    </w:p>
    <w:p w14:paraId="08227952">
      <w:pPr>
        <w:spacing w:line="255" w:lineRule="auto"/>
        <w:rPr>
          <w:rFonts w:ascii="Arial"/>
          <w:color w:val="auto"/>
          <w:sz w:val="21"/>
          <w:highlight w:val="none"/>
        </w:rPr>
      </w:pPr>
    </w:p>
    <w:p w14:paraId="6F84383D">
      <w:pPr>
        <w:spacing w:line="255" w:lineRule="auto"/>
        <w:rPr>
          <w:rFonts w:ascii="Arial"/>
          <w:color w:val="auto"/>
          <w:sz w:val="21"/>
          <w:highlight w:val="none"/>
        </w:rPr>
      </w:pPr>
    </w:p>
    <w:p w14:paraId="56EC64BE">
      <w:pPr>
        <w:spacing w:line="255" w:lineRule="auto"/>
        <w:rPr>
          <w:rFonts w:ascii="Arial"/>
          <w:color w:val="auto"/>
          <w:sz w:val="21"/>
          <w:highlight w:val="none"/>
        </w:rPr>
      </w:pPr>
    </w:p>
    <w:p w14:paraId="1F8D467B">
      <w:pPr>
        <w:spacing w:line="255" w:lineRule="auto"/>
        <w:rPr>
          <w:rFonts w:ascii="Arial"/>
          <w:color w:val="auto"/>
          <w:sz w:val="21"/>
          <w:highlight w:val="none"/>
        </w:rPr>
      </w:pPr>
    </w:p>
    <w:p w14:paraId="701E33D1">
      <w:pPr>
        <w:spacing w:line="233" w:lineRule="auto"/>
        <w:rPr>
          <w:rFonts w:ascii="宋体" w:hAnsi="宋体" w:eastAsia="宋体" w:cs="宋体"/>
          <w:color w:val="auto"/>
          <w:sz w:val="18"/>
          <w:szCs w:val="18"/>
          <w:highlight w:val="none"/>
        </w:rPr>
        <w:sectPr>
          <w:footerReference r:id="rId59" w:type="default"/>
          <w:pgSz w:w="11906" w:h="16839"/>
          <w:pgMar w:top="1382" w:right="1322" w:bottom="1297" w:left="1413" w:header="0" w:footer="1067" w:gutter="0"/>
          <w:pgNumType w:fmt="decimal"/>
          <w:cols w:space="720" w:num="1"/>
        </w:sectPr>
      </w:pPr>
    </w:p>
    <w:p w14:paraId="7205D2B2">
      <w:pPr>
        <w:spacing w:before="163" w:line="220" w:lineRule="auto"/>
        <w:ind w:left="26"/>
        <w:outlineLvl w:val="1"/>
        <w:rPr>
          <w:rFonts w:ascii="宋体" w:hAnsi="宋体" w:eastAsia="宋体" w:cs="宋体"/>
          <w:color w:val="auto"/>
          <w:sz w:val="24"/>
          <w:szCs w:val="24"/>
          <w:highlight w:val="none"/>
        </w:rPr>
      </w:pPr>
      <w:bookmarkStart w:id="314" w:name="_Toc7825"/>
      <w:bookmarkStart w:id="315" w:name="_Toc15747"/>
      <w:bookmarkStart w:id="316" w:name="_Toc23052"/>
      <w:r>
        <w:rPr>
          <w:rFonts w:ascii="宋体" w:hAnsi="宋体" w:eastAsia="宋体" w:cs="宋体"/>
          <w:b/>
          <w:bCs/>
          <w:color w:val="auto"/>
          <w:spacing w:val="-9"/>
          <w:sz w:val="24"/>
          <w:szCs w:val="24"/>
          <w:highlight w:val="none"/>
        </w:rPr>
        <w:t>1.</w:t>
      </w:r>
      <w:r>
        <w:rPr>
          <w:rFonts w:ascii="宋体" w:hAnsi="宋体" w:eastAsia="宋体" w:cs="宋体"/>
          <w:color w:val="auto"/>
          <w:spacing w:val="15"/>
          <w:sz w:val="24"/>
          <w:szCs w:val="24"/>
          <w:highlight w:val="none"/>
        </w:rPr>
        <w:t xml:space="preserve"> </w:t>
      </w:r>
      <w:r>
        <w:rPr>
          <w:rFonts w:ascii="宋体" w:hAnsi="宋体" w:eastAsia="宋体" w:cs="宋体"/>
          <w:b/>
          <w:bCs/>
          <w:color w:val="auto"/>
          <w:spacing w:val="-9"/>
          <w:sz w:val="24"/>
          <w:szCs w:val="24"/>
          <w:highlight w:val="none"/>
        </w:rPr>
        <w:t>一般约定</w:t>
      </w:r>
      <w:bookmarkEnd w:id="314"/>
      <w:bookmarkEnd w:id="315"/>
      <w:bookmarkEnd w:id="316"/>
    </w:p>
    <w:p w14:paraId="4B07F314">
      <w:pPr>
        <w:spacing w:before="292" w:line="220" w:lineRule="auto"/>
        <w:ind w:left="26"/>
        <w:rPr>
          <w:rFonts w:ascii="宋体" w:hAnsi="宋体" w:eastAsia="宋体" w:cs="宋体"/>
          <w:color w:val="auto"/>
          <w:sz w:val="24"/>
          <w:szCs w:val="24"/>
          <w:highlight w:val="none"/>
        </w:rPr>
      </w:pPr>
      <w:r>
        <w:rPr>
          <w:rFonts w:ascii="宋体" w:hAnsi="宋体" w:eastAsia="宋体" w:cs="宋体"/>
          <w:b/>
          <w:bCs/>
          <w:color w:val="auto"/>
          <w:spacing w:val="-8"/>
          <w:sz w:val="24"/>
          <w:szCs w:val="24"/>
          <w:highlight w:val="none"/>
        </w:rPr>
        <w:t>1.1</w:t>
      </w:r>
      <w:r>
        <w:rPr>
          <w:rFonts w:ascii="宋体" w:hAnsi="宋体" w:eastAsia="宋体" w:cs="宋体"/>
          <w:color w:val="auto"/>
          <w:spacing w:val="17"/>
          <w:sz w:val="24"/>
          <w:szCs w:val="24"/>
          <w:highlight w:val="none"/>
        </w:rPr>
        <w:t xml:space="preserve"> </w:t>
      </w:r>
      <w:r>
        <w:rPr>
          <w:rFonts w:ascii="宋体" w:hAnsi="宋体" w:eastAsia="宋体" w:cs="宋体"/>
          <w:b/>
          <w:bCs/>
          <w:color w:val="auto"/>
          <w:spacing w:val="-8"/>
          <w:sz w:val="24"/>
          <w:szCs w:val="24"/>
          <w:highlight w:val="none"/>
        </w:rPr>
        <w:t>词语定义</w:t>
      </w:r>
    </w:p>
    <w:p w14:paraId="0BDE3697">
      <w:pPr>
        <w:spacing w:line="342" w:lineRule="auto"/>
        <w:rPr>
          <w:rFonts w:ascii="Arial"/>
          <w:color w:val="auto"/>
          <w:sz w:val="21"/>
          <w:highlight w:val="none"/>
        </w:rPr>
      </w:pPr>
    </w:p>
    <w:p w14:paraId="6A1E4819">
      <w:pPr>
        <w:spacing w:before="72" w:line="222" w:lineRule="auto"/>
        <w:ind w:left="465"/>
        <w:rPr>
          <w:rFonts w:ascii="宋体" w:hAnsi="宋体" w:eastAsia="宋体" w:cs="宋体"/>
          <w:color w:val="auto"/>
          <w:sz w:val="22"/>
          <w:szCs w:val="22"/>
          <w:highlight w:val="none"/>
        </w:rPr>
      </w:pPr>
      <w:r>
        <w:rPr>
          <w:rFonts w:ascii="宋体" w:hAnsi="宋体" w:eastAsia="宋体" w:cs="宋体"/>
          <w:color w:val="auto"/>
          <w:spacing w:val="-3"/>
          <w:sz w:val="22"/>
          <w:szCs w:val="22"/>
          <w:highlight w:val="none"/>
        </w:rPr>
        <w:t>1.1.2.2 委托人：</w:t>
      </w:r>
      <w:r>
        <w:rPr>
          <w:rFonts w:ascii="宋体" w:hAnsi="宋体" w:eastAsia="宋体" w:cs="宋体"/>
          <w:color w:val="auto"/>
          <w:sz w:val="22"/>
          <w:szCs w:val="22"/>
          <w:highlight w:val="none"/>
          <w:u w:val="single" w:color="auto"/>
        </w:rPr>
        <w:t xml:space="preserve"> </w:t>
      </w:r>
      <w:r>
        <w:rPr>
          <w:rFonts w:hint="eastAsia" w:ascii="宋体" w:hAnsi="宋体" w:eastAsia="宋体" w:cs="宋体"/>
          <w:color w:val="auto"/>
          <w:sz w:val="22"/>
          <w:szCs w:val="22"/>
          <w:highlight w:val="none"/>
          <w:u w:val="single" w:color="auto"/>
          <w:lang w:val="en-US" w:eastAsia="zh-CN"/>
        </w:rPr>
        <w:t>乐昌市地方公路站</w:t>
      </w:r>
      <w:r>
        <w:rPr>
          <w:rFonts w:ascii="宋体" w:hAnsi="宋体" w:eastAsia="宋体" w:cs="宋体"/>
          <w:color w:val="auto"/>
          <w:spacing w:val="-3"/>
          <w:sz w:val="22"/>
          <w:szCs w:val="22"/>
          <w:highlight w:val="none"/>
        </w:rPr>
        <w:t>。</w:t>
      </w:r>
    </w:p>
    <w:p w14:paraId="0B377DF9">
      <w:pPr>
        <w:spacing w:line="219" w:lineRule="auto"/>
        <w:ind w:left="465"/>
        <w:rPr>
          <w:rFonts w:ascii="宋体" w:hAnsi="宋体" w:eastAsia="宋体" w:cs="宋体"/>
          <w:color w:val="auto"/>
          <w:spacing w:val="-1"/>
          <w:sz w:val="22"/>
          <w:szCs w:val="22"/>
          <w:highlight w:val="none"/>
        </w:rPr>
      </w:pPr>
    </w:p>
    <w:p w14:paraId="143E563E">
      <w:pPr>
        <w:spacing w:line="219" w:lineRule="auto"/>
        <w:ind w:left="465"/>
        <w:rPr>
          <w:rFonts w:ascii="宋体" w:hAnsi="宋体" w:eastAsia="宋体" w:cs="宋体"/>
          <w:color w:val="auto"/>
          <w:sz w:val="22"/>
          <w:szCs w:val="22"/>
          <w:highlight w:val="none"/>
        </w:rPr>
      </w:pPr>
      <w:r>
        <w:rPr>
          <w:rFonts w:ascii="宋体" w:hAnsi="宋体" w:eastAsia="宋体" w:cs="宋体"/>
          <w:color w:val="auto"/>
          <w:spacing w:val="-1"/>
          <w:sz w:val="22"/>
          <w:szCs w:val="22"/>
          <w:highlight w:val="none"/>
        </w:rPr>
        <w:t>1.1.3.1 本次进行施工监理招标的项目为</w:t>
      </w:r>
      <w:r>
        <w:rPr>
          <w:rFonts w:hint="eastAsia" w:ascii="宋体" w:hAnsi="宋体" w:eastAsia="宋体" w:cs="宋体"/>
          <w:color w:val="auto"/>
          <w:spacing w:val="-1"/>
          <w:sz w:val="22"/>
          <w:szCs w:val="22"/>
          <w:highlight w:val="none"/>
          <w:u w:val="single" w:color="auto"/>
          <w:lang w:val="en-US" w:eastAsia="zh-CN"/>
        </w:rPr>
        <w:t>省道S247线乐昌金水湾至龙山温泉段改建工程</w:t>
      </w:r>
    </w:p>
    <w:p w14:paraId="5F660A11">
      <w:pPr>
        <w:spacing w:before="166" w:line="221" w:lineRule="auto"/>
        <w:ind w:left="451"/>
        <w:rPr>
          <w:rFonts w:ascii="宋体" w:hAnsi="宋体" w:eastAsia="宋体" w:cs="宋体"/>
          <w:color w:val="auto"/>
          <w:sz w:val="22"/>
          <w:szCs w:val="22"/>
          <w:highlight w:val="none"/>
        </w:rPr>
      </w:pPr>
      <w:r>
        <w:rPr>
          <w:rFonts w:ascii="宋体" w:hAnsi="宋体" w:eastAsia="宋体" w:cs="宋体"/>
          <w:color w:val="auto"/>
          <w:spacing w:val="-3"/>
          <w:sz w:val="22"/>
          <w:szCs w:val="22"/>
          <w:highlight w:val="none"/>
        </w:rPr>
        <w:t>工程地点</w:t>
      </w:r>
      <w:r>
        <w:rPr>
          <w:rFonts w:ascii="宋体" w:hAnsi="宋体" w:eastAsia="宋体" w:cs="宋体"/>
          <w:color w:val="auto"/>
          <w:spacing w:val="-1"/>
          <w:sz w:val="22"/>
          <w:szCs w:val="22"/>
          <w:highlight w:val="none"/>
        </w:rPr>
        <w:t>：</w:t>
      </w:r>
      <w:r>
        <w:rPr>
          <w:rFonts w:ascii="宋体" w:hAnsi="宋体" w:eastAsia="宋体" w:cs="宋体"/>
          <w:color w:val="auto"/>
          <w:sz w:val="22"/>
          <w:szCs w:val="22"/>
          <w:highlight w:val="none"/>
          <w:u w:val="single" w:color="auto"/>
        </w:rPr>
        <w:t xml:space="preserve"> </w:t>
      </w:r>
      <w:r>
        <w:rPr>
          <w:rFonts w:ascii="宋体" w:hAnsi="宋体" w:eastAsia="宋体" w:cs="宋体"/>
          <w:color w:val="auto"/>
          <w:sz w:val="22"/>
          <w:szCs w:val="22"/>
          <w:highlight w:val="none"/>
          <w:u w:val="single" w:color="auto"/>
          <w:lang w:val="en-US" w:eastAsia="zh-CN"/>
        </w:rPr>
        <w:t>位于</w:t>
      </w:r>
      <w:r>
        <w:rPr>
          <w:rFonts w:hint="eastAsia" w:ascii="宋体" w:hAnsi="宋体" w:eastAsia="宋体" w:cs="宋体"/>
          <w:color w:val="auto"/>
          <w:sz w:val="22"/>
          <w:szCs w:val="22"/>
          <w:highlight w:val="none"/>
          <w:u w:val="single" w:color="auto"/>
          <w:lang w:val="en-US" w:eastAsia="zh-CN"/>
        </w:rPr>
        <w:t>广东省乐昌市</w:t>
      </w:r>
      <w:r>
        <w:rPr>
          <w:rFonts w:ascii="宋体" w:hAnsi="宋体" w:eastAsia="宋体" w:cs="宋体"/>
          <w:color w:val="auto"/>
          <w:sz w:val="22"/>
          <w:szCs w:val="22"/>
          <w:highlight w:val="none"/>
          <w:u w:val="single" w:color="auto"/>
        </w:rPr>
        <w:t xml:space="preserve"> </w:t>
      </w:r>
      <w:r>
        <w:rPr>
          <w:rFonts w:ascii="宋体" w:hAnsi="宋体" w:eastAsia="宋体" w:cs="宋体"/>
          <w:color w:val="auto"/>
          <w:spacing w:val="-1"/>
          <w:sz w:val="22"/>
          <w:szCs w:val="22"/>
          <w:highlight w:val="none"/>
        </w:rPr>
        <w:t>；</w:t>
      </w:r>
    </w:p>
    <w:p w14:paraId="48EE2C0D">
      <w:pPr>
        <w:spacing w:before="164" w:line="220" w:lineRule="auto"/>
        <w:ind w:left="450"/>
        <w:rPr>
          <w:rFonts w:ascii="宋体" w:hAnsi="宋体" w:eastAsia="宋体" w:cs="宋体"/>
          <w:color w:val="auto"/>
          <w:sz w:val="22"/>
          <w:szCs w:val="22"/>
          <w:highlight w:val="none"/>
        </w:rPr>
      </w:pPr>
      <w:r>
        <w:rPr>
          <w:rFonts w:ascii="宋体" w:hAnsi="宋体" w:eastAsia="宋体" w:cs="宋体"/>
          <w:color w:val="auto"/>
          <w:spacing w:val="-3"/>
          <w:sz w:val="22"/>
          <w:szCs w:val="22"/>
          <w:highlight w:val="none"/>
        </w:rPr>
        <w:t>起讫桩号</w:t>
      </w:r>
      <w:r>
        <w:rPr>
          <w:rFonts w:ascii="宋体" w:hAnsi="宋体" w:eastAsia="宋体" w:cs="宋体"/>
          <w:color w:val="auto"/>
          <w:spacing w:val="-1"/>
          <w:sz w:val="22"/>
          <w:szCs w:val="22"/>
          <w:highlight w:val="none"/>
        </w:rPr>
        <w:t>：</w:t>
      </w:r>
      <w:r>
        <w:rPr>
          <w:rFonts w:ascii="宋体" w:hAnsi="宋体" w:eastAsia="宋体" w:cs="宋体"/>
          <w:color w:val="auto"/>
          <w:sz w:val="22"/>
          <w:szCs w:val="22"/>
          <w:highlight w:val="none"/>
          <w:u w:val="single" w:color="auto"/>
        </w:rPr>
        <w:t xml:space="preserve">  </w:t>
      </w:r>
      <w:r>
        <w:rPr>
          <w:rFonts w:hint="eastAsia" w:ascii="宋体" w:hAnsi="宋体" w:eastAsia="宋体" w:cs="宋体"/>
          <w:color w:val="auto"/>
          <w:sz w:val="22"/>
          <w:szCs w:val="22"/>
          <w:highlight w:val="none"/>
          <w:u w:val="single" w:color="auto"/>
        </w:rPr>
        <w:t>K0+000～</w:t>
      </w:r>
      <w:r>
        <w:rPr>
          <w:rFonts w:hint="eastAsia" w:ascii="宋体" w:hAnsi="宋体" w:eastAsia="宋体" w:cs="宋体"/>
          <w:color w:val="auto"/>
          <w:sz w:val="22"/>
          <w:szCs w:val="22"/>
          <w:highlight w:val="none"/>
          <w:u w:val="single" w:color="auto"/>
          <w:lang w:eastAsia="zh-CN"/>
        </w:rPr>
        <w:t>K31+626.432</w:t>
      </w:r>
      <w:r>
        <w:rPr>
          <w:rFonts w:ascii="宋体" w:hAnsi="宋体" w:eastAsia="宋体" w:cs="宋体"/>
          <w:color w:val="auto"/>
          <w:sz w:val="22"/>
          <w:szCs w:val="22"/>
          <w:highlight w:val="none"/>
          <w:u w:val="single" w:color="auto"/>
        </w:rPr>
        <w:t xml:space="preserve">  </w:t>
      </w:r>
      <w:r>
        <w:rPr>
          <w:rFonts w:ascii="宋体" w:hAnsi="宋体" w:eastAsia="宋体" w:cs="宋体"/>
          <w:color w:val="auto"/>
          <w:spacing w:val="-1"/>
          <w:sz w:val="22"/>
          <w:szCs w:val="22"/>
          <w:highlight w:val="none"/>
        </w:rPr>
        <w:t>；</w:t>
      </w:r>
    </w:p>
    <w:p w14:paraId="39127CA0">
      <w:pPr>
        <w:spacing w:before="167" w:line="221" w:lineRule="auto"/>
        <w:ind w:left="448"/>
        <w:rPr>
          <w:rFonts w:ascii="宋体" w:hAnsi="宋体" w:eastAsia="宋体" w:cs="宋体"/>
          <w:color w:val="auto"/>
          <w:sz w:val="22"/>
          <w:szCs w:val="22"/>
          <w:highlight w:val="none"/>
        </w:rPr>
      </w:pPr>
      <w:r>
        <w:rPr>
          <w:rFonts w:ascii="宋体" w:hAnsi="宋体" w:eastAsia="宋体" w:cs="宋体"/>
          <w:color w:val="auto"/>
          <w:spacing w:val="-1"/>
          <w:sz w:val="22"/>
          <w:szCs w:val="22"/>
          <w:highlight w:val="none"/>
        </w:rPr>
        <w:t>施工合同标段划分：</w:t>
      </w:r>
      <w:r>
        <w:rPr>
          <w:rFonts w:ascii="宋体" w:hAnsi="宋体" w:eastAsia="宋体" w:cs="宋体"/>
          <w:color w:val="auto"/>
          <w:spacing w:val="2"/>
          <w:sz w:val="22"/>
          <w:szCs w:val="22"/>
          <w:highlight w:val="none"/>
          <w:u w:val="single" w:color="auto"/>
        </w:rPr>
        <w:t xml:space="preserve">                                               </w:t>
      </w:r>
      <w:r>
        <w:rPr>
          <w:rFonts w:ascii="宋体" w:hAnsi="宋体" w:eastAsia="宋体" w:cs="宋体"/>
          <w:color w:val="auto"/>
          <w:spacing w:val="-1"/>
          <w:sz w:val="22"/>
          <w:szCs w:val="22"/>
          <w:highlight w:val="none"/>
        </w:rPr>
        <w:t>；</w:t>
      </w:r>
    </w:p>
    <w:p w14:paraId="51E9BD12">
      <w:pPr>
        <w:spacing w:before="164" w:line="221" w:lineRule="auto"/>
        <w:ind w:left="450"/>
        <w:rPr>
          <w:rFonts w:ascii="宋体" w:hAnsi="宋体" w:eastAsia="宋体" w:cs="宋体"/>
          <w:color w:val="auto"/>
          <w:sz w:val="22"/>
          <w:szCs w:val="22"/>
          <w:highlight w:val="none"/>
        </w:rPr>
      </w:pPr>
      <w:r>
        <w:rPr>
          <w:rFonts w:ascii="宋体" w:hAnsi="宋体" w:eastAsia="宋体" w:cs="宋体"/>
          <w:color w:val="auto"/>
          <w:spacing w:val="-1"/>
          <w:sz w:val="22"/>
          <w:szCs w:val="22"/>
          <w:highlight w:val="none"/>
        </w:rPr>
        <w:t>监理合同标段划分</w:t>
      </w:r>
      <w:r>
        <w:rPr>
          <w:rFonts w:ascii="宋体" w:hAnsi="宋体" w:eastAsia="宋体" w:cs="宋体"/>
          <w:color w:val="auto"/>
          <w:spacing w:val="-2"/>
          <w:sz w:val="22"/>
          <w:szCs w:val="22"/>
          <w:highlight w:val="none"/>
        </w:rPr>
        <w:t>：</w:t>
      </w:r>
      <w:r>
        <w:rPr>
          <w:rFonts w:ascii="宋体" w:hAnsi="宋体" w:eastAsia="宋体" w:cs="宋体"/>
          <w:color w:val="auto"/>
          <w:spacing w:val="3"/>
          <w:sz w:val="22"/>
          <w:szCs w:val="22"/>
          <w:highlight w:val="none"/>
          <w:u w:val="single" w:color="auto"/>
        </w:rPr>
        <w:t xml:space="preserve">                           </w:t>
      </w:r>
      <w:r>
        <w:rPr>
          <w:rFonts w:ascii="宋体" w:hAnsi="宋体" w:eastAsia="宋体" w:cs="宋体"/>
          <w:color w:val="auto"/>
          <w:spacing w:val="2"/>
          <w:sz w:val="22"/>
          <w:szCs w:val="22"/>
          <w:highlight w:val="none"/>
          <w:u w:val="single" w:color="auto"/>
        </w:rPr>
        <w:t xml:space="preserve">              </w:t>
      </w:r>
      <w:r>
        <w:rPr>
          <w:rFonts w:ascii="宋体" w:hAnsi="宋体" w:eastAsia="宋体" w:cs="宋体"/>
          <w:color w:val="auto"/>
          <w:spacing w:val="-2"/>
          <w:sz w:val="22"/>
          <w:szCs w:val="22"/>
          <w:highlight w:val="none"/>
        </w:rPr>
        <w:t>；</w:t>
      </w:r>
    </w:p>
    <w:p w14:paraId="759B8874">
      <w:pPr>
        <w:spacing w:before="169" w:line="219" w:lineRule="auto"/>
        <w:ind w:left="488"/>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试验检测服务标段划分</w:t>
      </w:r>
      <w:r>
        <w:rPr>
          <w:rFonts w:ascii="宋体" w:hAnsi="宋体" w:eastAsia="宋体" w:cs="宋体"/>
          <w:color w:val="auto"/>
          <w:sz w:val="24"/>
          <w:szCs w:val="24"/>
          <w:highlight w:val="none"/>
        </w:rPr>
        <w:t>：</w:t>
      </w:r>
      <w:r>
        <w:rPr>
          <w:rFonts w:ascii="宋体" w:hAnsi="宋体" w:eastAsia="宋体" w:cs="宋体"/>
          <w:color w:val="auto"/>
          <w:sz w:val="24"/>
          <w:szCs w:val="24"/>
          <w:highlight w:val="none"/>
          <w:u w:val="single" w:color="auto"/>
        </w:rPr>
        <w:t xml:space="preserve">                                          </w:t>
      </w:r>
      <w:r>
        <w:rPr>
          <w:rFonts w:ascii="宋体" w:hAnsi="宋体" w:eastAsia="宋体" w:cs="宋体"/>
          <w:color w:val="auto"/>
          <w:sz w:val="24"/>
          <w:szCs w:val="24"/>
          <w:highlight w:val="none"/>
        </w:rPr>
        <w:t>；</w:t>
      </w:r>
    </w:p>
    <w:p w14:paraId="72BE9D96">
      <w:pPr>
        <w:spacing w:before="166" w:line="360" w:lineRule="auto"/>
        <w:ind w:left="451"/>
        <w:rPr>
          <w:rFonts w:ascii="宋体" w:hAnsi="宋体" w:eastAsia="宋体" w:cs="宋体"/>
          <w:color w:val="auto"/>
          <w:sz w:val="22"/>
          <w:szCs w:val="22"/>
          <w:highlight w:val="none"/>
        </w:rPr>
      </w:pPr>
      <w:r>
        <w:rPr>
          <w:rFonts w:ascii="宋体" w:hAnsi="宋体" w:eastAsia="宋体" w:cs="宋体"/>
          <w:color w:val="auto"/>
          <w:sz w:val="22"/>
          <w:szCs w:val="22"/>
          <w:highlight w:val="none"/>
        </w:rPr>
        <w:t>工程概况：</w:t>
      </w:r>
    </w:p>
    <w:p w14:paraId="7E3A6223">
      <w:pPr>
        <w:spacing w:before="166" w:line="360" w:lineRule="auto"/>
        <w:ind w:left="451"/>
        <w:rPr>
          <w:rFonts w:hint="default" w:ascii="宋体" w:hAnsi="宋体" w:eastAsia="宋体" w:cs="宋体"/>
          <w:color w:val="auto"/>
          <w:sz w:val="22"/>
          <w:szCs w:val="22"/>
          <w:highlight w:val="none"/>
          <w:u w:val="single" w:color="auto"/>
          <w:lang w:val="en-US"/>
        </w:rPr>
      </w:pPr>
      <w:r>
        <w:rPr>
          <w:rFonts w:hint="eastAsia" w:ascii="宋体" w:hAnsi="宋体" w:eastAsia="宋体" w:cs="宋体"/>
          <w:color w:val="auto"/>
          <w:sz w:val="22"/>
          <w:szCs w:val="22"/>
          <w:highlight w:val="none"/>
          <w:u w:val="single" w:color="auto"/>
        </w:rPr>
        <w:t>1.建设地点：</w:t>
      </w:r>
      <w:r>
        <w:rPr>
          <w:rFonts w:hint="eastAsia" w:ascii="宋体" w:hAnsi="宋体" w:eastAsia="宋体" w:cs="宋体"/>
          <w:color w:val="auto"/>
          <w:sz w:val="22"/>
          <w:szCs w:val="22"/>
          <w:highlight w:val="none"/>
          <w:u w:val="single" w:color="auto"/>
          <w:lang w:val="en-US" w:eastAsia="zh-CN"/>
        </w:rPr>
        <w:t>本项目位于乐昌市，起于湖南省与乐昌市交界金水湾附近，起点桩号为K0+000，途经金水湾后沿现状道路S247往南布线，经石下、山溪、五山镇、龙山水库、龙山林场，终点止于龙山温泉附近与现状省道S247线相接，终点桩号K31+626.432，路线全长31.626km。</w:t>
      </w:r>
    </w:p>
    <w:p w14:paraId="30045B47">
      <w:pPr>
        <w:spacing w:before="166" w:line="360" w:lineRule="auto"/>
        <w:ind w:left="451"/>
        <w:rPr>
          <w:rFonts w:hint="eastAsia" w:ascii="宋体" w:hAnsi="宋体" w:eastAsia="宋体" w:cs="宋体"/>
          <w:color w:val="auto"/>
          <w:sz w:val="22"/>
          <w:szCs w:val="22"/>
          <w:highlight w:val="none"/>
          <w:u w:val="single" w:color="auto"/>
        </w:rPr>
      </w:pPr>
      <w:r>
        <w:rPr>
          <w:rFonts w:hint="eastAsia" w:ascii="宋体" w:hAnsi="宋体" w:eastAsia="宋体" w:cs="宋体"/>
          <w:color w:val="auto"/>
          <w:sz w:val="22"/>
          <w:szCs w:val="22"/>
          <w:highlight w:val="none"/>
          <w:u w:val="single" w:color="auto"/>
        </w:rPr>
        <w:t>2.建设内容及规模：</w:t>
      </w:r>
    </w:p>
    <w:p w14:paraId="270C6515">
      <w:pPr>
        <w:spacing w:before="166" w:line="360" w:lineRule="auto"/>
        <w:ind w:left="451"/>
        <w:rPr>
          <w:rFonts w:hint="eastAsia" w:ascii="宋体" w:hAnsi="宋体" w:eastAsia="宋体" w:cs="宋体"/>
          <w:color w:val="auto"/>
          <w:sz w:val="22"/>
          <w:szCs w:val="22"/>
          <w:highlight w:val="none"/>
          <w:u w:val="single" w:color="auto"/>
        </w:rPr>
      </w:pPr>
      <w:r>
        <w:rPr>
          <w:rFonts w:hint="eastAsia" w:ascii="宋体" w:hAnsi="宋体" w:eastAsia="宋体" w:cs="宋体"/>
          <w:color w:val="auto"/>
          <w:sz w:val="22"/>
          <w:szCs w:val="22"/>
          <w:highlight w:val="none"/>
          <w:u w:val="single" w:color="auto"/>
          <w:lang w:val="en-US" w:eastAsia="zh-CN"/>
        </w:rPr>
        <w:t>本次改建路线全长31.626km，按三级路标准，拟建路段范围内拆除重建桥梁47.94m/2 座，利用旧桥 55.9m/3 座，桥改涵 12.0m/2 座，设涵洞 158 道，平面交叉 107 处，路基土石方开挖约23.7665万立方米，水泥混凝土路面约124.66千平方米。设计速度30Km/h设计(局部路段降低标准按照20Km/h设计）</w:t>
      </w:r>
      <w:r>
        <w:rPr>
          <w:rFonts w:hint="eastAsia" w:ascii="宋体" w:hAnsi="宋体" w:eastAsia="宋体" w:cs="宋体"/>
          <w:color w:val="auto"/>
          <w:sz w:val="22"/>
          <w:szCs w:val="22"/>
          <w:highlight w:val="none"/>
          <w:u w:val="single" w:color="auto"/>
          <w:lang w:eastAsia="zh-CN"/>
        </w:rPr>
        <w:t>。本次招标工程造价约</w:t>
      </w:r>
      <w:r>
        <w:rPr>
          <w:rFonts w:hint="eastAsia" w:ascii="宋体" w:hAnsi="宋体" w:eastAsia="宋体" w:cs="宋体"/>
          <w:color w:val="auto"/>
          <w:sz w:val="22"/>
          <w:szCs w:val="22"/>
          <w:highlight w:val="none"/>
          <w:u w:val="single" w:color="auto"/>
          <w:lang w:val="en-US" w:eastAsia="zh-CN"/>
        </w:rPr>
        <w:t>24450.68</w:t>
      </w:r>
      <w:r>
        <w:rPr>
          <w:rFonts w:hint="eastAsia" w:ascii="宋体" w:hAnsi="宋体" w:eastAsia="宋体" w:cs="宋体"/>
          <w:color w:val="auto"/>
          <w:sz w:val="22"/>
          <w:szCs w:val="22"/>
          <w:highlight w:val="none"/>
          <w:u w:val="single" w:color="auto"/>
          <w:lang w:eastAsia="zh-CN"/>
        </w:rPr>
        <w:t>万元，</w:t>
      </w:r>
      <w:r>
        <w:rPr>
          <w:rFonts w:hint="eastAsia" w:ascii="宋体" w:hAnsi="宋体" w:eastAsia="宋体" w:cs="宋体"/>
          <w:color w:val="auto"/>
          <w:sz w:val="22"/>
          <w:szCs w:val="22"/>
          <w:highlight w:val="none"/>
          <w:u w:val="single" w:color="auto"/>
          <w:lang w:val="en-US" w:eastAsia="zh-CN"/>
        </w:rPr>
        <w:t>监理费预估发包价约315.14万元</w:t>
      </w:r>
      <w:r>
        <w:rPr>
          <w:rFonts w:hint="eastAsia" w:ascii="宋体" w:hAnsi="宋体" w:eastAsia="宋体" w:cs="宋体"/>
          <w:color w:val="auto"/>
          <w:sz w:val="22"/>
          <w:szCs w:val="22"/>
          <w:highlight w:val="none"/>
          <w:u w:val="single" w:color="auto"/>
          <w:lang w:eastAsia="zh-CN"/>
        </w:rPr>
        <w:t>。</w:t>
      </w:r>
    </w:p>
    <w:p w14:paraId="04627A72">
      <w:pPr>
        <w:spacing w:before="79" w:line="219" w:lineRule="auto"/>
        <w:ind w:left="26"/>
        <w:rPr>
          <w:rFonts w:ascii="宋体" w:hAnsi="宋体" w:eastAsia="宋体" w:cs="宋体"/>
          <w:color w:val="auto"/>
          <w:sz w:val="24"/>
          <w:szCs w:val="24"/>
          <w:highlight w:val="none"/>
        </w:rPr>
      </w:pPr>
      <w:r>
        <w:rPr>
          <w:rFonts w:ascii="宋体" w:hAnsi="宋体" w:eastAsia="宋体" w:cs="宋体"/>
          <w:b/>
          <w:bCs/>
          <w:color w:val="auto"/>
          <w:spacing w:val="-4"/>
          <w:sz w:val="24"/>
          <w:szCs w:val="24"/>
          <w:highlight w:val="none"/>
        </w:rPr>
        <w:t>1.6</w:t>
      </w:r>
      <w:r>
        <w:rPr>
          <w:rFonts w:ascii="宋体" w:hAnsi="宋体" w:eastAsia="宋体" w:cs="宋体"/>
          <w:color w:val="auto"/>
          <w:spacing w:val="-4"/>
          <w:sz w:val="24"/>
          <w:szCs w:val="24"/>
          <w:highlight w:val="none"/>
        </w:rPr>
        <w:t xml:space="preserve"> </w:t>
      </w:r>
      <w:r>
        <w:rPr>
          <w:rFonts w:ascii="宋体" w:hAnsi="宋体" w:eastAsia="宋体" w:cs="宋体"/>
          <w:b/>
          <w:bCs/>
          <w:color w:val="auto"/>
          <w:spacing w:val="-4"/>
          <w:sz w:val="24"/>
          <w:szCs w:val="24"/>
          <w:highlight w:val="none"/>
        </w:rPr>
        <w:t>文件的提供和照管</w:t>
      </w:r>
    </w:p>
    <w:p w14:paraId="3CBBA3F7">
      <w:pPr>
        <w:spacing w:before="178" w:line="361" w:lineRule="auto"/>
        <w:ind w:left="10" w:right="2" w:firstLine="455"/>
        <w:rPr>
          <w:rFonts w:ascii="宋体" w:hAnsi="宋体" w:eastAsia="宋体" w:cs="宋体"/>
          <w:color w:val="auto"/>
          <w:sz w:val="22"/>
          <w:szCs w:val="22"/>
          <w:highlight w:val="none"/>
        </w:rPr>
      </w:pPr>
      <w:r>
        <w:rPr>
          <w:rFonts w:ascii="宋体" w:hAnsi="宋体" w:eastAsia="宋体" w:cs="宋体"/>
          <w:color w:val="auto"/>
          <w:spacing w:val="-1"/>
          <w:sz w:val="22"/>
          <w:szCs w:val="22"/>
          <w:highlight w:val="none"/>
        </w:rPr>
        <w:t>1.6.2 委托人负责提供的文件包括</w:t>
      </w:r>
      <w:r>
        <w:rPr>
          <w:rFonts w:ascii="宋体" w:hAnsi="宋体" w:eastAsia="宋体" w:cs="宋体"/>
          <w:color w:val="auto"/>
          <w:spacing w:val="-8"/>
          <w:sz w:val="22"/>
          <w:szCs w:val="22"/>
          <w:highlight w:val="none"/>
        </w:rPr>
        <w:t>：</w:t>
      </w:r>
      <w:r>
        <w:rPr>
          <w:rFonts w:ascii="宋体" w:hAnsi="宋体" w:eastAsia="宋体" w:cs="宋体"/>
          <w:color w:val="auto"/>
          <w:spacing w:val="1"/>
          <w:sz w:val="22"/>
          <w:szCs w:val="22"/>
          <w:highlight w:val="none"/>
          <w:u w:val="single" w:color="auto"/>
        </w:rPr>
        <w:t xml:space="preserve"> </w:t>
      </w:r>
      <w:r>
        <w:rPr>
          <w:rFonts w:hint="eastAsia" w:ascii="宋体" w:hAnsi="宋体" w:eastAsia="宋体" w:cs="宋体"/>
          <w:color w:val="auto"/>
          <w:spacing w:val="1"/>
          <w:sz w:val="22"/>
          <w:szCs w:val="22"/>
          <w:highlight w:val="none"/>
          <w:u w:val="single" w:color="auto"/>
        </w:rPr>
        <w:t xml:space="preserve"> 项目立项文件复印件、设计文件批复复印件施工图纸</w:t>
      </w:r>
      <w:r>
        <w:rPr>
          <w:rFonts w:ascii="宋体" w:hAnsi="宋体" w:eastAsia="宋体" w:cs="宋体"/>
          <w:color w:val="auto"/>
          <w:spacing w:val="1"/>
          <w:sz w:val="22"/>
          <w:szCs w:val="22"/>
          <w:highlight w:val="none"/>
          <w:u w:val="single" w:color="auto"/>
        </w:rPr>
        <w:t xml:space="preserve"> </w:t>
      </w:r>
      <w:r>
        <w:rPr>
          <w:rFonts w:ascii="宋体" w:hAnsi="宋体" w:eastAsia="宋体" w:cs="宋体"/>
          <w:color w:val="auto"/>
          <w:spacing w:val="-80"/>
          <w:sz w:val="22"/>
          <w:szCs w:val="22"/>
          <w:highlight w:val="none"/>
        </w:rPr>
        <w:t xml:space="preserve"> </w:t>
      </w:r>
      <w:r>
        <w:rPr>
          <w:rFonts w:ascii="宋体" w:hAnsi="宋体" w:eastAsia="宋体" w:cs="宋体"/>
          <w:color w:val="auto"/>
          <w:spacing w:val="-8"/>
          <w:sz w:val="22"/>
          <w:szCs w:val="22"/>
          <w:highlight w:val="none"/>
        </w:rPr>
        <w:t>，</w:t>
      </w:r>
      <w:r>
        <w:rPr>
          <w:rFonts w:ascii="宋体" w:hAnsi="宋体" w:eastAsia="宋体" w:cs="宋体"/>
          <w:color w:val="auto"/>
          <w:spacing w:val="-1"/>
          <w:sz w:val="22"/>
          <w:szCs w:val="22"/>
          <w:highlight w:val="none"/>
        </w:rPr>
        <w:t>提供</w:t>
      </w:r>
      <w:r>
        <w:rPr>
          <w:rFonts w:ascii="宋体" w:hAnsi="宋体" w:eastAsia="宋体" w:cs="宋体"/>
          <w:color w:val="auto"/>
          <w:spacing w:val="-2"/>
          <w:sz w:val="22"/>
          <w:szCs w:val="22"/>
          <w:highlight w:val="none"/>
        </w:rPr>
        <w:t>数量</w:t>
      </w:r>
      <w:r>
        <w:rPr>
          <w:rFonts w:ascii="宋体" w:hAnsi="宋体" w:eastAsia="宋体" w:cs="宋体"/>
          <w:color w:val="auto"/>
          <w:spacing w:val="-8"/>
          <w:sz w:val="22"/>
          <w:szCs w:val="22"/>
          <w:highlight w:val="none"/>
        </w:rPr>
        <w:t>：</w:t>
      </w:r>
      <w:r>
        <w:rPr>
          <w:rFonts w:ascii="宋体" w:hAnsi="宋体" w:eastAsia="宋体" w:cs="宋体"/>
          <w:color w:val="auto"/>
          <w:sz w:val="22"/>
          <w:szCs w:val="22"/>
          <w:highlight w:val="none"/>
          <w:u w:val="single" w:color="auto"/>
        </w:rPr>
        <w:t xml:space="preserve"> </w:t>
      </w:r>
      <w:r>
        <w:rPr>
          <w:rFonts w:hint="eastAsia" w:ascii="宋体" w:hAnsi="宋体" w:eastAsia="宋体" w:cs="宋体"/>
          <w:color w:val="auto"/>
          <w:sz w:val="22"/>
          <w:szCs w:val="22"/>
          <w:highlight w:val="none"/>
          <w:u w:val="single" w:color="auto"/>
          <w:lang w:val="en-US" w:eastAsia="zh-CN"/>
        </w:rPr>
        <w:t>各一份</w:t>
      </w:r>
      <w:r>
        <w:rPr>
          <w:rFonts w:ascii="宋体" w:hAnsi="宋体" w:eastAsia="宋体" w:cs="宋体"/>
          <w:color w:val="auto"/>
          <w:sz w:val="22"/>
          <w:szCs w:val="22"/>
          <w:highlight w:val="none"/>
          <w:u w:val="single" w:color="auto"/>
        </w:rPr>
        <w:t xml:space="preserve">  </w:t>
      </w:r>
      <w:r>
        <w:rPr>
          <w:rFonts w:ascii="宋体" w:hAnsi="宋体" w:eastAsia="宋体" w:cs="宋体"/>
          <w:color w:val="auto"/>
          <w:spacing w:val="-75"/>
          <w:sz w:val="22"/>
          <w:szCs w:val="22"/>
          <w:highlight w:val="none"/>
        </w:rPr>
        <w:t xml:space="preserve"> </w:t>
      </w:r>
      <w:r>
        <w:rPr>
          <w:rFonts w:ascii="宋体" w:hAnsi="宋体" w:eastAsia="宋体" w:cs="宋体"/>
          <w:color w:val="auto"/>
          <w:spacing w:val="-8"/>
          <w:sz w:val="22"/>
          <w:szCs w:val="22"/>
          <w:highlight w:val="none"/>
        </w:rPr>
        <w:t>，</w:t>
      </w:r>
      <w:r>
        <w:rPr>
          <w:rFonts w:ascii="宋体" w:hAnsi="宋体" w:eastAsia="宋体" w:cs="宋体"/>
          <w:color w:val="auto"/>
          <w:spacing w:val="-2"/>
          <w:sz w:val="22"/>
          <w:szCs w:val="22"/>
          <w:highlight w:val="none"/>
        </w:rPr>
        <w:t>提供</w:t>
      </w:r>
      <w:r>
        <w:rPr>
          <w:rFonts w:ascii="宋体" w:hAnsi="宋体" w:eastAsia="宋体" w:cs="宋体"/>
          <w:color w:val="auto"/>
          <w:spacing w:val="-1"/>
          <w:sz w:val="22"/>
          <w:szCs w:val="22"/>
          <w:highlight w:val="none"/>
        </w:rPr>
        <w:t>期限：</w:t>
      </w:r>
      <w:r>
        <w:rPr>
          <w:rFonts w:ascii="宋体" w:hAnsi="宋体" w:eastAsia="宋体" w:cs="宋体"/>
          <w:color w:val="auto"/>
          <w:spacing w:val="-1"/>
          <w:sz w:val="22"/>
          <w:szCs w:val="22"/>
          <w:highlight w:val="none"/>
          <w:u w:val="single" w:color="auto"/>
        </w:rPr>
        <w:t xml:space="preserve">  </w:t>
      </w:r>
      <w:r>
        <w:rPr>
          <w:rFonts w:hint="eastAsia" w:ascii="宋体" w:hAnsi="宋体" w:eastAsia="宋体" w:cs="宋体"/>
          <w:color w:val="auto"/>
          <w:spacing w:val="-1"/>
          <w:sz w:val="22"/>
          <w:szCs w:val="22"/>
          <w:highlight w:val="none"/>
          <w:u w:val="single" w:color="auto"/>
          <w:lang w:val="en-US" w:eastAsia="zh-CN"/>
        </w:rPr>
        <w:t>已提供</w:t>
      </w:r>
      <w:r>
        <w:rPr>
          <w:rFonts w:ascii="宋体" w:hAnsi="宋体" w:eastAsia="宋体" w:cs="宋体"/>
          <w:color w:val="auto"/>
          <w:spacing w:val="-1"/>
          <w:sz w:val="22"/>
          <w:szCs w:val="22"/>
          <w:highlight w:val="none"/>
          <w:u w:val="single" w:color="auto"/>
        </w:rPr>
        <w:t xml:space="preserve"> </w:t>
      </w:r>
      <w:r>
        <w:rPr>
          <w:rFonts w:ascii="宋体" w:hAnsi="宋体" w:eastAsia="宋体" w:cs="宋体"/>
          <w:color w:val="auto"/>
          <w:spacing w:val="-1"/>
          <w:sz w:val="22"/>
          <w:szCs w:val="22"/>
          <w:highlight w:val="none"/>
        </w:rPr>
        <w:t>。</w:t>
      </w:r>
    </w:p>
    <w:p w14:paraId="78A6A841">
      <w:pPr>
        <w:spacing w:before="239" w:line="221" w:lineRule="auto"/>
        <w:ind w:left="26"/>
        <w:rPr>
          <w:rFonts w:ascii="宋体" w:hAnsi="宋体" w:eastAsia="宋体" w:cs="宋体"/>
          <w:color w:val="auto"/>
          <w:sz w:val="24"/>
          <w:szCs w:val="24"/>
          <w:highlight w:val="none"/>
        </w:rPr>
      </w:pPr>
      <w:r>
        <w:rPr>
          <w:rFonts w:ascii="宋体" w:hAnsi="宋体" w:eastAsia="宋体" w:cs="宋体"/>
          <w:b/>
          <w:bCs/>
          <w:color w:val="auto"/>
          <w:spacing w:val="-5"/>
          <w:sz w:val="24"/>
          <w:szCs w:val="24"/>
          <w:highlight w:val="none"/>
        </w:rPr>
        <w:t>1.12</w:t>
      </w:r>
      <w:r>
        <w:rPr>
          <w:rFonts w:ascii="宋体" w:hAnsi="宋体" w:eastAsia="宋体" w:cs="宋体"/>
          <w:color w:val="auto"/>
          <w:spacing w:val="-5"/>
          <w:sz w:val="24"/>
          <w:szCs w:val="24"/>
          <w:highlight w:val="none"/>
        </w:rPr>
        <w:t xml:space="preserve"> </w:t>
      </w:r>
      <w:r>
        <w:rPr>
          <w:rFonts w:ascii="宋体" w:hAnsi="宋体" w:eastAsia="宋体" w:cs="宋体"/>
          <w:b/>
          <w:bCs/>
          <w:color w:val="auto"/>
          <w:spacing w:val="-5"/>
          <w:sz w:val="24"/>
          <w:szCs w:val="24"/>
          <w:highlight w:val="none"/>
        </w:rPr>
        <w:t>委托人要求</w:t>
      </w:r>
    </w:p>
    <w:p w14:paraId="7FF85245">
      <w:pPr>
        <w:spacing w:before="176" w:line="361" w:lineRule="auto"/>
        <w:ind w:left="8" w:right="2" w:firstLine="457"/>
        <w:rPr>
          <w:rFonts w:ascii="宋体" w:hAnsi="宋体" w:eastAsia="宋体" w:cs="宋体"/>
          <w:color w:val="auto"/>
          <w:sz w:val="22"/>
          <w:szCs w:val="22"/>
          <w:highlight w:val="none"/>
        </w:rPr>
      </w:pPr>
      <w:r>
        <w:rPr>
          <w:rFonts w:ascii="宋体" w:hAnsi="宋体" w:eastAsia="宋体" w:cs="宋体"/>
          <w:color w:val="auto"/>
          <w:spacing w:val="-1"/>
          <w:sz w:val="22"/>
          <w:szCs w:val="22"/>
          <w:highlight w:val="none"/>
        </w:rPr>
        <w:t>1.12.3 委托人提供国外规范和标准的时间</w:t>
      </w:r>
      <w:r>
        <w:rPr>
          <w:rFonts w:ascii="宋体" w:hAnsi="宋体" w:eastAsia="宋体" w:cs="宋体"/>
          <w:color w:val="auto"/>
          <w:spacing w:val="-7"/>
          <w:sz w:val="22"/>
          <w:szCs w:val="22"/>
          <w:highlight w:val="none"/>
        </w:rPr>
        <w:t>：</w:t>
      </w:r>
      <w:r>
        <w:rPr>
          <w:rFonts w:ascii="宋体" w:hAnsi="宋体" w:eastAsia="宋体" w:cs="宋体"/>
          <w:color w:val="auto"/>
          <w:spacing w:val="1"/>
          <w:sz w:val="22"/>
          <w:szCs w:val="22"/>
          <w:highlight w:val="none"/>
          <w:u w:val="single" w:color="auto"/>
        </w:rPr>
        <w:t xml:space="preserve">  </w:t>
      </w:r>
      <w:r>
        <w:rPr>
          <w:rFonts w:hint="eastAsia" w:ascii="宋体" w:hAnsi="宋体" w:eastAsia="宋体" w:cs="宋体"/>
          <w:color w:val="auto"/>
          <w:spacing w:val="1"/>
          <w:sz w:val="22"/>
          <w:szCs w:val="22"/>
          <w:highlight w:val="none"/>
          <w:u w:val="single" w:color="auto"/>
          <w:lang w:val="en-US" w:eastAsia="zh-CN"/>
        </w:rPr>
        <w:t>/</w:t>
      </w:r>
      <w:r>
        <w:rPr>
          <w:rFonts w:ascii="宋体" w:hAnsi="宋体" w:eastAsia="宋体" w:cs="宋体"/>
          <w:color w:val="auto"/>
          <w:spacing w:val="1"/>
          <w:sz w:val="22"/>
          <w:szCs w:val="22"/>
          <w:highlight w:val="none"/>
          <w:u w:val="single" w:color="auto"/>
        </w:rPr>
        <w:t xml:space="preserve"> </w:t>
      </w:r>
      <w:r>
        <w:rPr>
          <w:rFonts w:ascii="宋体" w:hAnsi="宋体" w:eastAsia="宋体" w:cs="宋体"/>
          <w:color w:val="auto"/>
          <w:spacing w:val="-80"/>
          <w:sz w:val="22"/>
          <w:szCs w:val="22"/>
          <w:highlight w:val="none"/>
        </w:rPr>
        <w:t xml:space="preserve"> </w:t>
      </w:r>
      <w:r>
        <w:rPr>
          <w:rFonts w:ascii="宋体" w:hAnsi="宋体" w:eastAsia="宋体" w:cs="宋体"/>
          <w:color w:val="auto"/>
          <w:spacing w:val="-7"/>
          <w:sz w:val="22"/>
          <w:szCs w:val="22"/>
          <w:highlight w:val="none"/>
        </w:rPr>
        <w:t>，</w:t>
      </w:r>
      <w:r>
        <w:rPr>
          <w:rFonts w:ascii="宋体" w:hAnsi="宋体" w:eastAsia="宋体" w:cs="宋体"/>
          <w:color w:val="auto"/>
          <w:spacing w:val="-1"/>
          <w:sz w:val="22"/>
          <w:szCs w:val="22"/>
          <w:highlight w:val="none"/>
        </w:rPr>
        <w:t>提供数量</w:t>
      </w:r>
      <w:r>
        <w:rPr>
          <w:rFonts w:ascii="宋体" w:hAnsi="宋体" w:eastAsia="宋体" w:cs="宋体"/>
          <w:color w:val="auto"/>
          <w:spacing w:val="-7"/>
          <w:sz w:val="22"/>
          <w:szCs w:val="22"/>
          <w:highlight w:val="none"/>
        </w:rPr>
        <w:t>：</w:t>
      </w:r>
      <w:r>
        <w:rPr>
          <w:rFonts w:ascii="宋体" w:hAnsi="宋体" w:eastAsia="宋体" w:cs="宋体"/>
          <w:color w:val="auto"/>
          <w:spacing w:val="1"/>
          <w:sz w:val="22"/>
          <w:szCs w:val="22"/>
          <w:highlight w:val="none"/>
          <w:u w:val="single" w:color="auto"/>
        </w:rPr>
        <w:t xml:space="preserve">  </w:t>
      </w:r>
      <w:r>
        <w:rPr>
          <w:rFonts w:hint="eastAsia" w:ascii="宋体" w:hAnsi="宋体" w:eastAsia="宋体" w:cs="宋体"/>
          <w:color w:val="auto"/>
          <w:spacing w:val="1"/>
          <w:sz w:val="22"/>
          <w:szCs w:val="22"/>
          <w:highlight w:val="none"/>
          <w:u w:val="single" w:color="auto"/>
          <w:lang w:val="en-US" w:eastAsia="zh-CN"/>
        </w:rPr>
        <w:t>/</w:t>
      </w:r>
      <w:r>
        <w:rPr>
          <w:rFonts w:ascii="宋体" w:hAnsi="宋体" w:eastAsia="宋体" w:cs="宋体"/>
          <w:color w:val="auto"/>
          <w:spacing w:val="1"/>
          <w:sz w:val="22"/>
          <w:szCs w:val="22"/>
          <w:highlight w:val="none"/>
          <w:u w:val="single" w:color="auto"/>
        </w:rPr>
        <w:t xml:space="preserve"> </w:t>
      </w:r>
      <w:r>
        <w:rPr>
          <w:rFonts w:ascii="宋体" w:hAnsi="宋体" w:eastAsia="宋体" w:cs="宋体"/>
          <w:color w:val="auto"/>
          <w:spacing w:val="-81"/>
          <w:sz w:val="22"/>
          <w:szCs w:val="22"/>
          <w:highlight w:val="none"/>
        </w:rPr>
        <w:t xml:space="preserve"> </w:t>
      </w:r>
      <w:r>
        <w:rPr>
          <w:rFonts w:ascii="宋体" w:hAnsi="宋体" w:eastAsia="宋体" w:cs="宋体"/>
          <w:color w:val="auto"/>
          <w:spacing w:val="-7"/>
          <w:sz w:val="22"/>
          <w:szCs w:val="22"/>
          <w:highlight w:val="none"/>
        </w:rPr>
        <w:t>，</w:t>
      </w:r>
      <w:r>
        <w:rPr>
          <w:rFonts w:ascii="宋体" w:hAnsi="宋体" w:eastAsia="宋体" w:cs="宋体"/>
          <w:color w:val="auto"/>
          <w:spacing w:val="-1"/>
          <w:sz w:val="22"/>
          <w:szCs w:val="22"/>
          <w:highlight w:val="none"/>
        </w:rPr>
        <w:t>其他要求：</w:t>
      </w:r>
      <w:r>
        <w:rPr>
          <w:rFonts w:ascii="宋体" w:hAnsi="宋体" w:eastAsia="宋体" w:cs="宋体"/>
          <w:color w:val="auto"/>
          <w:spacing w:val="-1"/>
          <w:sz w:val="22"/>
          <w:szCs w:val="22"/>
          <w:highlight w:val="none"/>
          <w:u w:val="single" w:color="auto"/>
        </w:rPr>
        <w:t xml:space="preserve">  </w:t>
      </w:r>
      <w:r>
        <w:rPr>
          <w:rFonts w:hint="eastAsia" w:ascii="宋体" w:hAnsi="宋体" w:eastAsia="宋体" w:cs="宋体"/>
          <w:color w:val="auto"/>
          <w:spacing w:val="-1"/>
          <w:sz w:val="22"/>
          <w:szCs w:val="22"/>
          <w:highlight w:val="none"/>
          <w:u w:val="single" w:color="auto"/>
          <w:lang w:val="en-US" w:eastAsia="zh-CN"/>
        </w:rPr>
        <w:t>/</w:t>
      </w:r>
      <w:r>
        <w:rPr>
          <w:rFonts w:ascii="宋体" w:hAnsi="宋体" w:eastAsia="宋体" w:cs="宋体"/>
          <w:color w:val="auto"/>
          <w:spacing w:val="-1"/>
          <w:sz w:val="22"/>
          <w:szCs w:val="22"/>
          <w:highlight w:val="none"/>
          <w:u w:val="single" w:color="auto"/>
        </w:rPr>
        <w:t xml:space="preserve"> </w:t>
      </w:r>
      <w:r>
        <w:rPr>
          <w:rFonts w:ascii="宋体" w:hAnsi="宋体" w:eastAsia="宋体" w:cs="宋体"/>
          <w:color w:val="auto"/>
          <w:spacing w:val="-1"/>
          <w:sz w:val="22"/>
          <w:szCs w:val="22"/>
          <w:highlight w:val="none"/>
        </w:rPr>
        <w:t>。</w:t>
      </w:r>
    </w:p>
    <w:p w14:paraId="31F6EEFD">
      <w:pPr>
        <w:spacing w:line="322" w:lineRule="auto"/>
        <w:rPr>
          <w:rFonts w:ascii="Arial"/>
          <w:color w:val="auto"/>
          <w:sz w:val="21"/>
          <w:highlight w:val="none"/>
        </w:rPr>
      </w:pPr>
    </w:p>
    <w:p w14:paraId="0A487ACB">
      <w:pPr>
        <w:spacing w:before="79" w:line="219" w:lineRule="auto"/>
        <w:ind w:left="11"/>
        <w:outlineLvl w:val="1"/>
        <w:rPr>
          <w:rFonts w:ascii="宋体" w:hAnsi="宋体" w:eastAsia="宋体" w:cs="宋体"/>
          <w:color w:val="auto"/>
          <w:sz w:val="24"/>
          <w:szCs w:val="24"/>
          <w:highlight w:val="none"/>
        </w:rPr>
      </w:pPr>
      <w:bookmarkStart w:id="317" w:name="bookmark142"/>
      <w:bookmarkEnd w:id="317"/>
      <w:bookmarkStart w:id="318" w:name="_Toc2962"/>
      <w:bookmarkStart w:id="319" w:name="_Toc4138"/>
      <w:bookmarkStart w:id="320" w:name="_Toc31024"/>
      <w:r>
        <w:rPr>
          <w:rFonts w:ascii="宋体" w:hAnsi="宋体" w:eastAsia="宋体" w:cs="宋体"/>
          <w:b/>
          <w:bCs/>
          <w:color w:val="auto"/>
          <w:spacing w:val="-4"/>
          <w:sz w:val="24"/>
          <w:szCs w:val="24"/>
          <w:highlight w:val="none"/>
        </w:rPr>
        <w:t>2.委托人义务</w:t>
      </w:r>
      <w:bookmarkEnd w:id="318"/>
      <w:bookmarkEnd w:id="319"/>
      <w:bookmarkEnd w:id="320"/>
    </w:p>
    <w:p w14:paraId="5691CFF8">
      <w:pPr>
        <w:spacing w:before="48" w:line="220" w:lineRule="auto"/>
        <w:ind w:left="449"/>
        <w:rPr>
          <w:rFonts w:ascii="宋体" w:hAnsi="宋体" w:eastAsia="宋体" w:cs="宋体"/>
          <w:color w:val="auto"/>
          <w:sz w:val="22"/>
          <w:szCs w:val="22"/>
          <w:highlight w:val="none"/>
        </w:rPr>
      </w:pPr>
      <w:r>
        <w:rPr>
          <w:rFonts w:ascii="宋体" w:hAnsi="宋体" w:eastAsia="宋体" w:cs="宋体"/>
          <w:color w:val="auto"/>
          <w:spacing w:val="-4"/>
          <w:sz w:val="22"/>
          <w:szCs w:val="22"/>
          <w:highlight w:val="none"/>
        </w:rPr>
        <w:t>第</w:t>
      </w:r>
      <w:r>
        <w:rPr>
          <w:rFonts w:ascii="宋体" w:hAnsi="宋体" w:eastAsia="宋体" w:cs="宋体"/>
          <w:color w:val="auto"/>
          <w:spacing w:val="-40"/>
          <w:sz w:val="22"/>
          <w:szCs w:val="22"/>
          <w:highlight w:val="none"/>
        </w:rPr>
        <w:t xml:space="preserve"> </w:t>
      </w:r>
      <w:r>
        <w:rPr>
          <w:rFonts w:ascii="宋体" w:hAnsi="宋体" w:eastAsia="宋体" w:cs="宋体"/>
          <w:color w:val="auto"/>
          <w:spacing w:val="-4"/>
          <w:sz w:val="22"/>
          <w:szCs w:val="22"/>
          <w:highlight w:val="none"/>
        </w:rPr>
        <w:t>2.3</w:t>
      </w:r>
      <w:r>
        <w:rPr>
          <w:rFonts w:ascii="宋体" w:hAnsi="宋体" w:eastAsia="宋体" w:cs="宋体"/>
          <w:color w:val="auto"/>
          <w:spacing w:val="-43"/>
          <w:sz w:val="22"/>
          <w:szCs w:val="22"/>
          <w:highlight w:val="none"/>
        </w:rPr>
        <w:t xml:space="preserve"> </w:t>
      </w:r>
      <w:r>
        <w:rPr>
          <w:rFonts w:ascii="宋体" w:hAnsi="宋体" w:eastAsia="宋体" w:cs="宋体"/>
          <w:color w:val="auto"/>
          <w:spacing w:val="-4"/>
          <w:sz w:val="22"/>
          <w:szCs w:val="22"/>
          <w:highlight w:val="none"/>
        </w:rPr>
        <w:t>项修改为：</w:t>
      </w:r>
    </w:p>
    <w:p w14:paraId="1A2B7B06">
      <w:pPr>
        <w:spacing w:before="164" w:line="363" w:lineRule="auto"/>
        <w:ind w:left="9" w:firstLine="438"/>
        <w:rPr>
          <w:rFonts w:ascii="宋体" w:hAnsi="宋体" w:eastAsia="宋体" w:cs="宋体"/>
          <w:color w:val="auto"/>
          <w:sz w:val="22"/>
          <w:szCs w:val="22"/>
          <w:highlight w:val="none"/>
        </w:rPr>
      </w:pPr>
      <w:r>
        <w:rPr>
          <w:rFonts w:ascii="宋体" w:hAnsi="宋体" w:eastAsia="宋体" w:cs="宋体"/>
          <w:color w:val="auto"/>
          <w:spacing w:val="1"/>
          <w:sz w:val="22"/>
          <w:szCs w:val="22"/>
          <w:highlight w:val="none"/>
        </w:rPr>
        <w:t>委托人不提供办公房间、办公桌椅、互联网接口、冷暖设施、生活设施、进出现场交通服</w:t>
      </w:r>
      <w:r>
        <w:rPr>
          <w:rFonts w:ascii="宋体" w:hAnsi="宋体" w:eastAsia="宋体" w:cs="宋体"/>
          <w:color w:val="auto"/>
          <w:spacing w:val="-5"/>
          <w:sz w:val="22"/>
          <w:szCs w:val="22"/>
          <w:highlight w:val="none"/>
        </w:rPr>
        <w:t>务。</w:t>
      </w:r>
    </w:p>
    <w:p w14:paraId="7301E98A">
      <w:pPr>
        <w:spacing w:before="164" w:line="219" w:lineRule="auto"/>
        <w:ind w:left="13"/>
        <w:outlineLvl w:val="1"/>
        <w:rPr>
          <w:rFonts w:ascii="宋体" w:hAnsi="宋体" w:eastAsia="宋体" w:cs="宋体"/>
          <w:color w:val="auto"/>
          <w:sz w:val="24"/>
          <w:szCs w:val="24"/>
          <w:highlight w:val="none"/>
        </w:rPr>
      </w:pPr>
      <w:bookmarkStart w:id="321" w:name="_Toc5210"/>
      <w:bookmarkStart w:id="322" w:name="_Toc29485"/>
      <w:bookmarkStart w:id="323" w:name="_Toc19522"/>
      <w:r>
        <w:rPr>
          <w:rFonts w:ascii="宋体" w:hAnsi="宋体" w:eastAsia="宋体" w:cs="宋体"/>
          <w:b/>
          <w:bCs/>
          <w:color w:val="auto"/>
          <w:spacing w:val="-4"/>
          <w:sz w:val="24"/>
          <w:szCs w:val="24"/>
          <w:highlight w:val="none"/>
        </w:rPr>
        <w:t>3.</w:t>
      </w:r>
      <w:r>
        <w:rPr>
          <w:rFonts w:ascii="宋体" w:hAnsi="宋体" w:eastAsia="宋体" w:cs="宋体"/>
          <w:color w:val="auto"/>
          <w:spacing w:val="-4"/>
          <w:sz w:val="24"/>
          <w:szCs w:val="24"/>
          <w:highlight w:val="none"/>
        </w:rPr>
        <w:t xml:space="preserve"> </w:t>
      </w:r>
      <w:r>
        <w:rPr>
          <w:rFonts w:ascii="宋体" w:hAnsi="宋体" w:eastAsia="宋体" w:cs="宋体"/>
          <w:b/>
          <w:bCs/>
          <w:color w:val="auto"/>
          <w:spacing w:val="-4"/>
          <w:sz w:val="24"/>
          <w:szCs w:val="24"/>
          <w:highlight w:val="none"/>
        </w:rPr>
        <w:t>委托人管理</w:t>
      </w:r>
      <w:bookmarkEnd w:id="321"/>
      <w:bookmarkEnd w:id="322"/>
      <w:bookmarkEnd w:id="323"/>
    </w:p>
    <w:p w14:paraId="36E0C93C">
      <w:pPr>
        <w:spacing w:before="293" w:line="219" w:lineRule="auto"/>
        <w:ind w:left="13"/>
        <w:rPr>
          <w:rFonts w:ascii="宋体" w:hAnsi="宋体" w:eastAsia="宋体" w:cs="宋体"/>
          <w:color w:val="auto"/>
          <w:sz w:val="24"/>
          <w:szCs w:val="24"/>
          <w:highlight w:val="none"/>
        </w:rPr>
      </w:pPr>
      <w:r>
        <w:rPr>
          <w:rFonts w:ascii="宋体" w:hAnsi="宋体" w:eastAsia="宋体" w:cs="宋体"/>
          <w:b/>
          <w:bCs/>
          <w:color w:val="auto"/>
          <w:spacing w:val="-6"/>
          <w:sz w:val="24"/>
          <w:szCs w:val="24"/>
          <w:highlight w:val="none"/>
        </w:rPr>
        <w:t>3.3</w:t>
      </w:r>
      <w:r>
        <w:rPr>
          <w:rFonts w:ascii="宋体" w:hAnsi="宋体" w:eastAsia="宋体" w:cs="宋体"/>
          <w:color w:val="auto"/>
          <w:spacing w:val="22"/>
          <w:sz w:val="24"/>
          <w:szCs w:val="24"/>
          <w:highlight w:val="none"/>
        </w:rPr>
        <w:t xml:space="preserve"> </w:t>
      </w:r>
      <w:r>
        <w:rPr>
          <w:rFonts w:ascii="宋体" w:hAnsi="宋体" w:eastAsia="宋体" w:cs="宋体"/>
          <w:b/>
          <w:bCs/>
          <w:color w:val="auto"/>
          <w:spacing w:val="-6"/>
          <w:sz w:val="24"/>
          <w:szCs w:val="24"/>
          <w:highlight w:val="none"/>
        </w:rPr>
        <w:t>决定或答复</w:t>
      </w:r>
    </w:p>
    <w:p w14:paraId="768552AC">
      <w:pPr>
        <w:spacing w:before="178" w:line="219" w:lineRule="auto"/>
        <w:ind w:left="453"/>
        <w:rPr>
          <w:rFonts w:ascii="宋体" w:hAnsi="宋体" w:eastAsia="宋体" w:cs="宋体"/>
          <w:color w:val="auto"/>
          <w:sz w:val="22"/>
          <w:szCs w:val="22"/>
          <w:highlight w:val="none"/>
        </w:rPr>
      </w:pPr>
      <w:r>
        <w:rPr>
          <w:rFonts w:ascii="宋体" w:hAnsi="宋体" w:eastAsia="宋体" w:cs="宋体"/>
          <w:color w:val="auto"/>
          <w:spacing w:val="-1"/>
          <w:sz w:val="22"/>
          <w:szCs w:val="22"/>
          <w:highlight w:val="none"/>
        </w:rPr>
        <w:t>3.3.2 委托人应在收到监理人书面提出的事项后</w:t>
      </w:r>
      <w:r>
        <w:rPr>
          <w:rFonts w:ascii="宋体" w:hAnsi="宋体" w:eastAsia="宋体" w:cs="宋体"/>
          <w:color w:val="auto"/>
          <w:spacing w:val="-1"/>
          <w:sz w:val="22"/>
          <w:szCs w:val="22"/>
          <w:highlight w:val="none"/>
          <w:u w:val="single" w:color="auto"/>
        </w:rPr>
        <w:t xml:space="preserve">  </w:t>
      </w:r>
      <w:r>
        <w:rPr>
          <w:rFonts w:hint="eastAsia" w:ascii="宋体" w:hAnsi="宋体" w:eastAsia="宋体" w:cs="宋体"/>
          <w:color w:val="auto"/>
          <w:spacing w:val="-1"/>
          <w:sz w:val="22"/>
          <w:szCs w:val="22"/>
          <w:highlight w:val="none"/>
          <w:u w:val="single" w:color="auto"/>
          <w:lang w:val="en-US" w:eastAsia="zh-CN"/>
        </w:rPr>
        <w:t>7</w:t>
      </w:r>
      <w:r>
        <w:rPr>
          <w:rFonts w:ascii="宋体" w:hAnsi="宋体" w:eastAsia="宋体" w:cs="宋体"/>
          <w:color w:val="auto"/>
          <w:spacing w:val="-1"/>
          <w:sz w:val="22"/>
          <w:szCs w:val="22"/>
          <w:highlight w:val="none"/>
          <w:u w:val="single" w:color="auto"/>
        </w:rPr>
        <w:t xml:space="preserve">  </w:t>
      </w:r>
      <w:r>
        <w:rPr>
          <w:rFonts w:ascii="宋体" w:hAnsi="宋体" w:eastAsia="宋体" w:cs="宋体"/>
          <w:color w:val="auto"/>
          <w:spacing w:val="-82"/>
          <w:sz w:val="22"/>
          <w:szCs w:val="22"/>
          <w:highlight w:val="none"/>
        </w:rPr>
        <w:t xml:space="preserve"> </w:t>
      </w:r>
      <w:r>
        <w:rPr>
          <w:rFonts w:ascii="宋体" w:hAnsi="宋体" w:eastAsia="宋体" w:cs="宋体"/>
          <w:color w:val="auto"/>
          <w:spacing w:val="-1"/>
          <w:sz w:val="22"/>
          <w:szCs w:val="22"/>
          <w:highlight w:val="none"/>
        </w:rPr>
        <w:t>天内作出书面答复。</w:t>
      </w:r>
    </w:p>
    <w:p w14:paraId="70575061">
      <w:pPr>
        <w:spacing w:line="245" w:lineRule="auto"/>
        <w:rPr>
          <w:rFonts w:ascii="Arial"/>
          <w:color w:val="auto"/>
          <w:sz w:val="21"/>
          <w:highlight w:val="none"/>
        </w:rPr>
      </w:pPr>
    </w:p>
    <w:p w14:paraId="322A9711">
      <w:pPr>
        <w:spacing w:line="246" w:lineRule="auto"/>
        <w:rPr>
          <w:rFonts w:ascii="Arial"/>
          <w:color w:val="auto"/>
          <w:sz w:val="21"/>
          <w:highlight w:val="none"/>
        </w:rPr>
      </w:pPr>
    </w:p>
    <w:p w14:paraId="41207DAB">
      <w:pPr>
        <w:spacing w:before="78" w:line="219" w:lineRule="auto"/>
        <w:ind w:left="7"/>
        <w:outlineLvl w:val="1"/>
        <w:rPr>
          <w:rFonts w:ascii="宋体" w:hAnsi="宋体" w:eastAsia="宋体" w:cs="宋体"/>
          <w:color w:val="auto"/>
          <w:sz w:val="24"/>
          <w:szCs w:val="24"/>
          <w:highlight w:val="none"/>
        </w:rPr>
      </w:pPr>
      <w:bookmarkStart w:id="324" w:name="_Toc2621"/>
      <w:bookmarkStart w:id="325" w:name="_Toc26576"/>
      <w:bookmarkStart w:id="326" w:name="_Toc25715"/>
      <w:r>
        <w:rPr>
          <w:rFonts w:ascii="宋体" w:hAnsi="宋体" w:eastAsia="宋体" w:cs="宋体"/>
          <w:b/>
          <w:bCs/>
          <w:color w:val="auto"/>
          <w:spacing w:val="-3"/>
          <w:sz w:val="24"/>
          <w:szCs w:val="24"/>
          <w:highlight w:val="none"/>
        </w:rPr>
        <w:t>4.</w:t>
      </w:r>
      <w:r>
        <w:rPr>
          <w:rFonts w:ascii="宋体" w:hAnsi="宋体" w:eastAsia="宋体" w:cs="宋体"/>
          <w:color w:val="auto"/>
          <w:spacing w:val="-3"/>
          <w:sz w:val="24"/>
          <w:szCs w:val="24"/>
          <w:highlight w:val="none"/>
        </w:rPr>
        <w:t xml:space="preserve"> </w:t>
      </w:r>
      <w:r>
        <w:rPr>
          <w:rFonts w:ascii="宋体" w:hAnsi="宋体" w:eastAsia="宋体" w:cs="宋体"/>
          <w:b/>
          <w:bCs/>
          <w:color w:val="auto"/>
          <w:spacing w:val="-3"/>
          <w:sz w:val="24"/>
          <w:szCs w:val="24"/>
          <w:highlight w:val="none"/>
        </w:rPr>
        <w:t>监理人义务</w:t>
      </w:r>
      <w:bookmarkEnd w:id="324"/>
      <w:bookmarkEnd w:id="325"/>
      <w:bookmarkEnd w:id="326"/>
    </w:p>
    <w:p w14:paraId="3429A113">
      <w:pPr>
        <w:spacing w:before="293" w:line="219" w:lineRule="auto"/>
        <w:ind w:left="7"/>
        <w:rPr>
          <w:rFonts w:ascii="宋体" w:hAnsi="宋体" w:eastAsia="宋体" w:cs="宋体"/>
          <w:color w:val="auto"/>
          <w:sz w:val="24"/>
          <w:szCs w:val="24"/>
          <w:highlight w:val="none"/>
        </w:rPr>
      </w:pPr>
      <w:r>
        <w:rPr>
          <w:rFonts w:ascii="宋体" w:hAnsi="宋体" w:eastAsia="宋体" w:cs="宋体"/>
          <w:b/>
          <w:bCs/>
          <w:color w:val="auto"/>
          <w:spacing w:val="-4"/>
          <w:sz w:val="24"/>
          <w:szCs w:val="24"/>
          <w:highlight w:val="none"/>
        </w:rPr>
        <w:t>4.1</w:t>
      </w:r>
      <w:r>
        <w:rPr>
          <w:rFonts w:ascii="宋体" w:hAnsi="宋体" w:eastAsia="宋体" w:cs="宋体"/>
          <w:color w:val="auto"/>
          <w:spacing w:val="-44"/>
          <w:sz w:val="24"/>
          <w:szCs w:val="24"/>
          <w:highlight w:val="none"/>
        </w:rPr>
        <w:t xml:space="preserve"> </w:t>
      </w:r>
      <w:r>
        <w:rPr>
          <w:rFonts w:ascii="宋体" w:hAnsi="宋体" w:eastAsia="宋体" w:cs="宋体"/>
          <w:b/>
          <w:bCs/>
          <w:color w:val="auto"/>
          <w:spacing w:val="-4"/>
          <w:sz w:val="24"/>
          <w:szCs w:val="24"/>
          <w:highlight w:val="none"/>
        </w:rPr>
        <w:t>监理人的一般义务</w:t>
      </w:r>
    </w:p>
    <w:p w14:paraId="024A649A">
      <w:pPr>
        <w:spacing w:before="177" w:line="220" w:lineRule="auto"/>
        <w:ind w:left="450"/>
        <w:rPr>
          <w:rFonts w:ascii="宋体" w:hAnsi="宋体" w:eastAsia="宋体" w:cs="宋体"/>
          <w:color w:val="auto"/>
          <w:sz w:val="22"/>
          <w:szCs w:val="22"/>
          <w:highlight w:val="none"/>
        </w:rPr>
      </w:pPr>
      <w:r>
        <w:rPr>
          <w:rFonts w:ascii="宋体" w:hAnsi="宋体" w:eastAsia="宋体" w:cs="宋体"/>
          <w:color w:val="auto"/>
          <w:spacing w:val="-2"/>
          <w:sz w:val="22"/>
          <w:szCs w:val="22"/>
          <w:highlight w:val="none"/>
        </w:rPr>
        <w:t>增加第</w:t>
      </w:r>
      <w:r>
        <w:rPr>
          <w:rFonts w:ascii="宋体" w:hAnsi="宋体" w:eastAsia="宋体" w:cs="宋体"/>
          <w:color w:val="auto"/>
          <w:spacing w:val="-45"/>
          <w:sz w:val="22"/>
          <w:szCs w:val="22"/>
          <w:highlight w:val="none"/>
        </w:rPr>
        <w:t xml:space="preserve"> </w:t>
      </w:r>
      <w:r>
        <w:rPr>
          <w:rFonts w:ascii="宋体" w:hAnsi="宋体" w:eastAsia="宋体" w:cs="宋体"/>
          <w:color w:val="auto"/>
          <w:spacing w:val="-2"/>
          <w:sz w:val="22"/>
          <w:szCs w:val="22"/>
          <w:highlight w:val="none"/>
        </w:rPr>
        <w:t>4.1.5-4.1.7</w:t>
      </w:r>
      <w:r>
        <w:rPr>
          <w:rFonts w:ascii="宋体" w:hAnsi="宋体" w:eastAsia="宋体" w:cs="宋体"/>
          <w:color w:val="auto"/>
          <w:spacing w:val="-43"/>
          <w:sz w:val="22"/>
          <w:szCs w:val="22"/>
          <w:highlight w:val="none"/>
        </w:rPr>
        <w:t xml:space="preserve"> </w:t>
      </w:r>
      <w:r>
        <w:rPr>
          <w:rFonts w:ascii="宋体" w:hAnsi="宋体" w:eastAsia="宋体" w:cs="宋体"/>
          <w:color w:val="auto"/>
          <w:spacing w:val="-2"/>
          <w:sz w:val="22"/>
          <w:szCs w:val="22"/>
          <w:highlight w:val="none"/>
        </w:rPr>
        <w:t>项：</w:t>
      </w:r>
    </w:p>
    <w:p w14:paraId="54A8F8D5">
      <w:pPr>
        <w:spacing w:before="167" w:line="324" w:lineRule="auto"/>
        <w:ind w:left="8" w:firstLine="439"/>
        <w:rPr>
          <w:rFonts w:ascii="宋体" w:hAnsi="宋体" w:eastAsia="宋体" w:cs="宋体"/>
          <w:color w:val="auto"/>
          <w:sz w:val="22"/>
          <w:szCs w:val="22"/>
          <w:highlight w:val="none"/>
        </w:rPr>
      </w:pPr>
      <w:r>
        <w:rPr>
          <w:rFonts w:ascii="宋体" w:hAnsi="宋体" w:eastAsia="宋体" w:cs="宋体"/>
          <w:color w:val="auto"/>
          <w:spacing w:val="2"/>
          <w:sz w:val="22"/>
          <w:szCs w:val="22"/>
          <w:highlight w:val="none"/>
        </w:rPr>
        <w:t>4.1.5</w:t>
      </w:r>
      <w:r>
        <w:rPr>
          <w:rFonts w:ascii="宋体" w:hAnsi="宋体" w:eastAsia="宋体" w:cs="宋体"/>
          <w:color w:val="auto"/>
          <w:spacing w:val="-39"/>
          <w:sz w:val="22"/>
          <w:szCs w:val="22"/>
          <w:highlight w:val="none"/>
        </w:rPr>
        <w:t xml:space="preserve"> </w:t>
      </w:r>
      <w:r>
        <w:rPr>
          <w:rFonts w:ascii="宋体" w:hAnsi="宋体" w:eastAsia="宋体" w:cs="宋体"/>
          <w:color w:val="auto"/>
          <w:spacing w:val="2"/>
          <w:sz w:val="22"/>
          <w:szCs w:val="22"/>
          <w:highlight w:val="none"/>
        </w:rPr>
        <w:t>监理人应根据公路建设市场和高质量发展的需要，整合优势资源，构建灵活的服务</w:t>
      </w:r>
      <w:r>
        <w:rPr>
          <w:rFonts w:ascii="宋体" w:hAnsi="宋体" w:eastAsia="宋体" w:cs="宋体"/>
          <w:color w:val="auto"/>
          <w:spacing w:val="1"/>
          <w:sz w:val="22"/>
          <w:szCs w:val="22"/>
          <w:highlight w:val="none"/>
        </w:rPr>
        <w:t>架构和经营模式，丰富监理及咨询服务的内涵，强化技术支持，面向公路建设全产业链，提供</w:t>
      </w:r>
      <w:r>
        <w:rPr>
          <w:rFonts w:ascii="宋体" w:hAnsi="宋体" w:eastAsia="宋体" w:cs="宋体"/>
          <w:color w:val="auto"/>
          <w:spacing w:val="4"/>
          <w:sz w:val="22"/>
          <w:szCs w:val="22"/>
          <w:highlight w:val="none"/>
        </w:rPr>
        <w:t>专业、高水平的咨询服务，形成包括代建、咨询和监理等在内的</w:t>
      </w:r>
      <w:r>
        <w:rPr>
          <w:rFonts w:ascii="宋体" w:hAnsi="宋体" w:eastAsia="宋体" w:cs="宋体"/>
          <w:color w:val="auto"/>
          <w:spacing w:val="3"/>
          <w:sz w:val="22"/>
          <w:szCs w:val="22"/>
          <w:highlight w:val="none"/>
        </w:rPr>
        <w:t>多元化发展方向，提升监理+</w:t>
      </w:r>
      <w:r>
        <w:rPr>
          <w:rFonts w:ascii="宋体" w:hAnsi="宋体" w:eastAsia="宋体" w:cs="宋体"/>
          <w:color w:val="auto"/>
          <w:spacing w:val="-2"/>
          <w:sz w:val="22"/>
          <w:szCs w:val="22"/>
          <w:highlight w:val="none"/>
        </w:rPr>
        <w:t>的服务品质。</w:t>
      </w:r>
    </w:p>
    <w:p w14:paraId="62284886">
      <w:pPr>
        <w:spacing w:before="168" w:line="324" w:lineRule="auto"/>
        <w:ind w:left="6" w:right="2" w:firstLine="441"/>
        <w:rPr>
          <w:rFonts w:ascii="宋体" w:hAnsi="宋体" w:eastAsia="宋体" w:cs="宋体"/>
          <w:color w:val="auto"/>
          <w:sz w:val="22"/>
          <w:szCs w:val="22"/>
          <w:highlight w:val="none"/>
        </w:rPr>
      </w:pPr>
      <w:r>
        <w:rPr>
          <w:rFonts w:ascii="宋体" w:hAnsi="宋体" w:eastAsia="宋体" w:cs="宋体"/>
          <w:color w:val="auto"/>
          <w:spacing w:val="1"/>
          <w:sz w:val="22"/>
          <w:szCs w:val="22"/>
          <w:highlight w:val="none"/>
        </w:rPr>
        <w:t>4.1.6</w:t>
      </w:r>
      <w:r>
        <w:rPr>
          <w:rFonts w:ascii="宋体" w:hAnsi="宋体" w:eastAsia="宋体" w:cs="宋体"/>
          <w:color w:val="auto"/>
          <w:spacing w:val="-28"/>
          <w:sz w:val="22"/>
          <w:szCs w:val="22"/>
          <w:highlight w:val="none"/>
        </w:rPr>
        <w:t xml:space="preserve"> </w:t>
      </w:r>
      <w:r>
        <w:rPr>
          <w:rFonts w:ascii="宋体" w:hAnsi="宋体" w:eastAsia="宋体" w:cs="宋体"/>
          <w:color w:val="auto"/>
          <w:spacing w:val="1"/>
          <w:sz w:val="22"/>
          <w:szCs w:val="22"/>
          <w:highlight w:val="none"/>
        </w:rPr>
        <w:t>监理法人单位应根据《广东省公路工程施工监理指南（试行）》第</w:t>
      </w:r>
      <w:r>
        <w:rPr>
          <w:rFonts w:ascii="宋体" w:hAnsi="宋体" w:eastAsia="宋体" w:cs="宋体"/>
          <w:color w:val="auto"/>
          <w:spacing w:val="-40"/>
          <w:sz w:val="22"/>
          <w:szCs w:val="22"/>
          <w:highlight w:val="none"/>
        </w:rPr>
        <w:t xml:space="preserve"> </w:t>
      </w:r>
      <w:r>
        <w:rPr>
          <w:rFonts w:ascii="宋体" w:hAnsi="宋体" w:eastAsia="宋体" w:cs="宋体"/>
          <w:color w:val="auto"/>
          <w:spacing w:val="1"/>
          <w:sz w:val="22"/>
          <w:szCs w:val="22"/>
          <w:highlight w:val="none"/>
        </w:rPr>
        <w:t>3.4</w:t>
      </w:r>
      <w:r>
        <w:rPr>
          <w:rFonts w:ascii="宋体" w:hAnsi="宋体" w:eastAsia="宋体" w:cs="宋体"/>
          <w:color w:val="auto"/>
          <w:spacing w:val="-43"/>
          <w:sz w:val="22"/>
          <w:szCs w:val="22"/>
          <w:highlight w:val="none"/>
        </w:rPr>
        <w:t xml:space="preserve"> </w:t>
      </w:r>
      <w:r>
        <w:rPr>
          <w:rFonts w:ascii="宋体" w:hAnsi="宋体" w:eastAsia="宋体" w:cs="宋体"/>
          <w:color w:val="auto"/>
          <w:spacing w:val="1"/>
          <w:sz w:val="22"/>
          <w:szCs w:val="22"/>
          <w:highlight w:val="none"/>
        </w:rPr>
        <w:t>款做好项目</w:t>
      </w:r>
      <w:r>
        <w:rPr>
          <w:rFonts w:ascii="宋体" w:hAnsi="宋体" w:eastAsia="宋体" w:cs="宋体"/>
          <w:color w:val="auto"/>
          <w:sz w:val="22"/>
          <w:szCs w:val="22"/>
          <w:highlight w:val="none"/>
        </w:rPr>
        <w:t>总监办的管理，加强对项目总监办的履约管理，不得以“总</w:t>
      </w:r>
      <w:r>
        <w:rPr>
          <w:rFonts w:ascii="宋体" w:hAnsi="宋体" w:eastAsia="宋体" w:cs="宋体"/>
          <w:color w:val="auto"/>
          <w:spacing w:val="-1"/>
          <w:sz w:val="22"/>
          <w:szCs w:val="22"/>
          <w:highlight w:val="none"/>
        </w:rPr>
        <w:t>费用包干</w:t>
      </w:r>
      <w:r>
        <w:rPr>
          <w:rFonts w:ascii="宋体" w:hAnsi="宋体" w:eastAsia="宋体" w:cs="宋体"/>
          <w:color w:val="auto"/>
          <w:spacing w:val="-81"/>
          <w:sz w:val="22"/>
          <w:szCs w:val="22"/>
          <w:highlight w:val="none"/>
        </w:rPr>
        <w:t xml:space="preserve"> </w:t>
      </w:r>
      <w:r>
        <w:rPr>
          <w:rFonts w:ascii="宋体" w:hAnsi="宋体" w:eastAsia="宋体" w:cs="宋体"/>
          <w:color w:val="auto"/>
          <w:spacing w:val="-1"/>
          <w:sz w:val="22"/>
          <w:szCs w:val="22"/>
          <w:highlight w:val="none"/>
        </w:rPr>
        <w:t>”、“重费用轻管理</w:t>
      </w:r>
      <w:r>
        <w:rPr>
          <w:rFonts w:ascii="宋体" w:hAnsi="宋体" w:eastAsia="宋体" w:cs="宋体"/>
          <w:color w:val="auto"/>
          <w:spacing w:val="-81"/>
          <w:sz w:val="22"/>
          <w:szCs w:val="22"/>
          <w:highlight w:val="none"/>
        </w:rPr>
        <w:t xml:space="preserve"> </w:t>
      </w:r>
      <w:r>
        <w:rPr>
          <w:rFonts w:ascii="宋体" w:hAnsi="宋体" w:eastAsia="宋体" w:cs="宋体"/>
          <w:color w:val="auto"/>
          <w:spacing w:val="-1"/>
          <w:sz w:val="22"/>
          <w:szCs w:val="22"/>
          <w:highlight w:val="none"/>
        </w:rPr>
        <w:t>”等</w:t>
      </w:r>
      <w:r>
        <w:rPr>
          <w:rFonts w:ascii="宋体" w:hAnsi="宋体" w:eastAsia="宋体" w:cs="宋体"/>
          <w:color w:val="auto"/>
          <w:sz w:val="22"/>
          <w:szCs w:val="22"/>
          <w:highlight w:val="none"/>
        </w:rPr>
        <w:t>模式进行管理，防止对总监办“脱管、失管</w:t>
      </w:r>
      <w:r>
        <w:rPr>
          <w:rFonts w:ascii="宋体" w:hAnsi="宋体" w:eastAsia="宋体" w:cs="宋体"/>
          <w:color w:val="auto"/>
          <w:spacing w:val="-67"/>
          <w:sz w:val="22"/>
          <w:szCs w:val="22"/>
          <w:highlight w:val="none"/>
        </w:rPr>
        <w:t xml:space="preserve"> </w:t>
      </w:r>
      <w:r>
        <w:rPr>
          <w:rFonts w:ascii="宋体" w:hAnsi="宋体" w:eastAsia="宋体" w:cs="宋体"/>
          <w:color w:val="auto"/>
          <w:sz w:val="22"/>
          <w:szCs w:val="22"/>
          <w:highlight w:val="none"/>
        </w:rPr>
        <w:t>”，保障总监办正常运作的合理经费及人员薪酬待</w:t>
      </w:r>
      <w:r>
        <w:rPr>
          <w:rFonts w:ascii="宋体" w:hAnsi="宋体" w:eastAsia="宋体" w:cs="宋体"/>
          <w:color w:val="auto"/>
          <w:spacing w:val="-1"/>
          <w:sz w:val="22"/>
          <w:szCs w:val="22"/>
          <w:highlight w:val="none"/>
        </w:rPr>
        <w:t>遇，对总监办开展工作提供必要的技术和管理支持。</w:t>
      </w:r>
    </w:p>
    <w:p w14:paraId="111C2A57">
      <w:pPr>
        <w:spacing w:before="165" w:line="359" w:lineRule="auto"/>
        <w:ind w:left="6" w:firstLine="443"/>
        <w:jc w:val="both"/>
        <w:rPr>
          <w:rFonts w:ascii="宋体" w:hAnsi="宋体" w:eastAsia="宋体" w:cs="宋体"/>
          <w:color w:val="auto"/>
          <w:spacing w:val="1"/>
          <w:sz w:val="22"/>
          <w:szCs w:val="22"/>
          <w:highlight w:val="none"/>
        </w:rPr>
      </w:pPr>
      <w:r>
        <w:rPr>
          <w:rFonts w:ascii="宋体" w:hAnsi="宋体" w:eastAsia="宋体" w:cs="宋体"/>
          <w:color w:val="auto"/>
          <w:spacing w:val="1"/>
          <w:sz w:val="22"/>
          <w:szCs w:val="22"/>
          <w:highlight w:val="none"/>
        </w:rPr>
        <w:t>监理单位应强化对总监及主要监理人员的管理，总监、副总监要切实履行对其他监理人员的管理职责。监理单位应与建设单位共同做好从下而上、从人员到单位的穿透式、联动式信用评价管理工作，承担连带责任，实行“红黑名单 ”管理。</w:t>
      </w:r>
    </w:p>
    <w:p w14:paraId="3402496C">
      <w:pPr>
        <w:spacing w:before="165" w:line="359" w:lineRule="auto"/>
        <w:ind w:left="6" w:firstLine="443"/>
        <w:jc w:val="both"/>
        <w:rPr>
          <w:rFonts w:ascii="宋体" w:hAnsi="宋体" w:eastAsia="宋体" w:cs="宋体"/>
          <w:color w:val="auto"/>
          <w:spacing w:val="1"/>
          <w:sz w:val="22"/>
          <w:szCs w:val="22"/>
          <w:highlight w:val="none"/>
        </w:rPr>
      </w:pPr>
      <w:r>
        <w:rPr>
          <w:rFonts w:ascii="宋体" w:hAnsi="宋体" w:eastAsia="宋体" w:cs="宋体"/>
          <w:color w:val="auto"/>
          <w:spacing w:val="1"/>
          <w:sz w:val="22"/>
          <w:szCs w:val="22"/>
          <w:highlight w:val="none"/>
        </w:rPr>
        <w:t>4.1.7 监理法人单位应在建设过程中对“项目现场管理机构 ”的履约情况进行监管和支持，重要事项提级管理，避免“失管失察 ”，建设单位要对该项工作进行专项管理，可在合同中单独列支相关“专项费用 ”，监理单位法人单位的履约情况纳入其年度信用管理。</w:t>
      </w:r>
    </w:p>
    <w:p w14:paraId="523830D0">
      <w:pPr>
        <w:spacing w:before="243" w:line="220" w:lineRule="auto"/>
        <w:ind w:left="7"/>
        <w:rPr>
          <w:rFonts w:ascii="宋体" w:hAnsi="宋体" w:eastAsia="宋体" w:cs="宋体"/>
          <w:color w:val="auto"/>
          <w:sz w:val="24"/>
          <w:szCs w:val="24"/>
          <w:highlight w:val="none"/>
        </w:rPr>
      </w:pPr>
      <w:r>
        <w:rPr>
          <w:rFonts w:ascii="宋体" w:hAnsi="宋体" w:eastAsia="宋体" w:cs="宋体"/>
          <w:b/>
          <w:bCs/>
          <w:color w:val="auto"/>
          <w:spacing w:val="-5"/>
          <w:sz w:val="24"/>
          <w:szCs w:val="24"/>
          <w:highlight w:val="none"/>
        </w:rPr>
        <w:t>4.2</w:t>
      </w:r>
      <w:r>
        <w:rPr>
          <w:rFonts w:ascii="宋体" w:hAnsi="宋体" w:eastAsia="宋体" w:cs="宋体"/>
          <w:color w:val="auto"/>
          <w:spacing w:val="20"/>
          <w:sz w:val="24"/>
          <w:szCs w:val="24"/>
          <w:highlight w:val="none"/>
        </w:rPr>
        <w:t xml:space="preserve"> </w:t>
      </w:r>
      <w:r>
        <w:rPr>
          <w:rFonts w:ascii="宋体" w:hAnsi="宋体" w:eastAsia="宋体" w:cs="宋体"/>
          <w:b/>
          <w:bCs/>
          <w:color w:val="auto"/>
          <w:spacing w:val="-5"/>
          <w:sz w:val="24"/>
          <w:szCs w:val="24"/>
          <w:highlight w:val="none"/>
        </w:rPr>
        <w:t>履约保证金</w:t>
      </w:r>
    </w:p>
    <w:p w14:paraId="461D9669">
      <w:pPr>
        <w:spacing w:before="145" w:line="393" w:lineRule="auto"/>
        <w:ind w:left="448"/>
        <w:rPr>
          <w:rFonts w:ascii="宋体" w:hAnsi="宋体" w:eastAsia="宋体" w:cs="宋体"/>
          <w:color w:val="auto"/>
          <w:sz w:val="10"/>
          <w:szCs w:val="10"/>
          <w:highlight w:val="none"/>
        </w:rPr>
      </w:pPr>
      <w:r>
        <w:rPr>
          <w:rFonts w:ascii="宋体" w:hAnsi="宋体" w:eastAsia="宋体" w:cs="宋体"/>
          <w:color w:val="auto"/>
          <w:spacing w:val="-2"/>
          <w:sz w:val="22"/>
          <w:szCs w:val="22"/>
          <w:highlight w:val="none"/>
        </w:rPr>
        <w:t xml:space="preserve">4.2.1 缺陷责任期保函金额： </w:t>
      </w:r>
      <w:r>
        <w:rPr>
          <w:rFonts w:ascii="宋体" w:hAnsi="宋体" w:eastAsia="宋体" w:cs="宋体"/>
          <w:color w:val="auto"/>
          <w:spacing w:val="-2"/>
          <w:sz w:val="22"/>
          <w:szCs w:val="22"/>
          <w:highlight w:val="none"/>
          <w:u w:val="single" w:color="auto"/>
        </w:rPr>
        <w:t xml:space="preserve"> 监理服务费</w:t>
      </w:r>
      <w:r>
        <w:rPr>
          <w:rFonts w:ascii="宋体" w:hAnsi="宋体" w:eastAsia="宋体" w:cs="宋体"/>
          <w:color w:val="auto"/>
          <w:spacing w:val="-3"/>
          <w:sz w:val="22"/>
          <w:szCs w:val="22"/>
          <w:highlight w:val="none"/>
          <w:u w:val="single" w:color="auto"/>
        </w:rPr>
        <w:t>用总额的</w:t>
      </w:r>
      <w:r>
        <w:rPr>
          <w:rFonts w:ascii="宋体" w:hAnsi="宋体" w:eastAsia="宋体" w:cs="宋体"/>
          <w:color w:val="auto"/>
          <w:spacing w:val="-42"/>
          <w:sz w:val="22"/>
          <w:szCs w:val="22"/>
          <w:highlight w:val="none"/>
          <w:u w:val="single" w:color="auto"/>
        </w:rPr>
        <w:t xml:space="preserve"> </w:t>
      </w:r>
      <w:r>
        <w:rPr>
          <w:rFonts w:ascii="宋体" w:hAnsi="宋体" w:eastAsia="宋体" w:cs="宋体"/>
          <w:color w:val="auto"/>
          <w:spacing w:val="-3"/>
          <w:sz w:val="22"/>
          <w:szCs w:val="22"/>
          <w:highlight w:val="none"/>
          <w:u w:val="single" w:color="auto"/>
        </w:rPr>
        <w:t>3％</w:t>
      </w:r>
      <w:r>
        <w:rPr>
          <w:rFonts w:ascii="宋体" w:hAnsi="宋体" w:eastAsia="宋体" w:cs="宋体"/>
          <w:color w:val="auto"/>
          <w:spacing w:val="57"/>
          <w:sz w:val="22"/>
          <w:szCs w:val="22"/>
          <w:highlight w:val="none"/>
          <w:u w:val="single" w:color="auto"/>
        </w:rPr>
        <w:t xml:space="preserve"> </w:t>
      </w:r>
      <w:r>
        <w:rPr>
          <w:rFonts w:ascii="宋体" w:hAnsi="宋体" w:eastAsia="宋体" w:cs="宋体"/>
          <w:color w:val="auto"/>
          <w:spacing w:val="-3"/>
          <w:sz w:val="22"/>
          <w:szCs w:val="22"/>
          <w:highlight w:val="none"/>
        </w:rPr>
        <w:t>。</w:t>
      </w:r>
    </w:p>
    <w:p w14:paraId="48C50A1C">
      <w:pPr>
        <w:spacing w:before="236" w:line="219" w:lineRule="auto"/>
        <w:ind w:left="7"/>
        <w:rPr>
          <w:rFonts w:ascii="宋体" w:hAnsi="宋体" w:eastAsia="宋体" w:cs="宋体"/>
          <w:color w:val="auto"/>
          <w:sz w:val="24"/>
          <w:szCs w:val="24"/>
          <w:highlight w:val="none"/>
        </w:rPr>
      </w:pPr>
      <w:r>
        <w:rPr>
          <w:rFonts w:ascii="宋体" w:hAnsi="宋体" w:eastAsia="宋体" w:cs="宋体"/>
          <w:b/>
          <w:bCs/>
          <w:color w:val="auto"/>
          <w:spacing w:val="-4"/>
          <w:sz w:val="24"/>
          <w:szCs w:val="24"/>
          <w:highlight w:val="none"/>
        </w:rPr>
        <w:t>4.5</w:t>
      </w:r>
      <w:r>
        <w:rPr>
          <w:rFonts w:ascii="宋体" w:hAnsi="宋体" w:eastAsia="宋体" w:cs="宋体"/>
          <w:color w:val="auto"/>
          <w:spacing w:val="-48"/>
          <w:sz w:val="24"/>
          <w:szCs w:val="24"/>
          <w:highlight w:val="none"/>
        </w:rPr>
        <w:t xml:space="preserve"> </w:t>
      </w:r>
      <w:r>
        <w:rPr>
          <w:rFonts w:ascii="宋体" w:hAnsi="宋体" w:eastAsia="宋体" w:cs="宋体"/>
          <w:b/>
          <w:bCs/>
          <w:color w:val="auto"/>
          <w:spacing w:val="-4"/>
          <w:sz w:val="24"/>
          <w:szCs w:val="24"/>
          <w:highlight w:val="none"/>
        </w:rPr>
        <w:t>监理人员的管理</w:t>
      </w:r>
    </w:p>
    <w:p w14:paraId="6EECC4B4">
      <w:pPr>
        <w:spacing w:before="178" w:line="220" w:lineRule="auto"/>
        <w:ind w:left="449"/>
        <w:rPr>
          <w:rFonts w:ascii="宋体" w:hAnsi="宋体" w:eastAsia="宋体" w:cs="宋体"/>
          <w:color w:val="auto"/>
          <w:sz w:val="22"/>
          <w:szCs w:val="22"/>
          <w:highlight w:val="none"/>
        </w:rPr>
      </w:pPr>
      <w:r>
        <w:rPr>
          <w:rFonts w:ascii="宋体" w:hAnsi="宋体" w:eastAsia="宋体" w:cs="宋体"/>
          <w:color w:val="auto"/>
          <w:spacing w:val="-3"/>
          <w:sz w:val="22"/>
          <w:szCs w:val="22"/>
          <w:highlight w:val="none"/>
        </w:rPr>
        <w:t>第</w:t>
      </w:r>
      <w:r>
        <w:rPr>
          <w:rFonts w:ascii="宋体" w:hAnsi="宋体" w:eastAsia="宋体" w:cs="宋体"/>
          <w:color w:val="auto"/>
          <w:spacing w:val="-43"/>
          <w:sz w:val="22"/>
          <w:szCs w:val="22"/>
          <w:highlight w:val="none"/>
        </w:rPr>
        <w:t xml:space="preserve"> </w:t>
      </w:r>
      <w:r>
        <w:rPr>
          <w:rFonts w:ascii="宋体" w:hAnsi="宋体" w:eastAsia="宋体" w:cs="宋体"/>
          <w:color w:val="auto"/>
          <w:spacing w:val="-3"/>
          <w:sz w:val="22"/>
          <w:szCs w:val="22"/>
          <w:highlight w:val="none"/>
        </w:rPr>
        <w:t>4.5.3</w:t>
      </w:r>
      <w:r>
        <w:rPr>
          <w:rFonts w:ascii="宋体" w:hAnsi="宋体" w:eastAsia="宋体" w:cs="宋体"/>
          <w:color w:val="auto"/>
          <w:spacing w:val="-45"/>
          <w:sz w:val="22"/>
          <w:szCs w:val="22"/>
          <w:highlight w:val="none"/>
        </w:rPr>
        <w:t xml:space="preserve"> </w:t>
      </w:r>
      <w:r>
        <w:rPr>
          <w:rFonts w:ascii="宋体" w:hAnsi="宋体" w:eastAsia="宋体" w:cs="宋体"/>
          <w:color w:val="auto"/>
          <w:spacing w:val="-3"/>
          <w:sz w:val="22"/>
          <w:szCs w:val="22"/>
          <w:highlight w:val="none"/>
        </w:rPr>
        <w:t>项修改为：</w:t>
      </w:r>
    </w:p>
    <w:p w14:paraId="44E6E14E">
      <w:pPr>
        <w:spacing w:before="168" w:line="360" w:lineRule="auto"/>
        <w:ind w:left="6" w:firstLine="443"/>
        <w:rPr>
          <w:rFonts w:ascii="宋体" w:hAnsi="宋体" w:eastAsia="宋体" w:cs="宋体"/>
          <w:color w:val="auto"/>
          <w:sz w:val="22"/>
          <w:szCs w:val="22"/>
          <w:highlight w:val="none"/>
        </w:rPr>
      </w:pPr>
      <w:r>
        <w:rPr>
          <w:rFonts w:ascii="宋体" w:hAnsi="宋体" w:eastAsia="宋体" w:cs="宋体"/>
          <w:color w:val="auto"/>
          <w:spacing w:val="1"/>
          <w:sz w:val="22"/>
          <w:szCs w:val="22"/>
          <w:highlight w:val="none"/>
        </w:rPr>
        <w:t>监理人派驻到工程所在地进行监理服务的总监理工程师及主要监理人员，必须常驻现场，</w:t>
      </w:r>
      <w:r>
        <w:rPr>
          <w:rFonts w:ascii="宋体" w:hAnsi="宋体" w:eastAsia="宋体" w:cs="宋体"/>
          <w:color w:val="auto"/>
          <w:spacing w:val="3"/>
          <w:sz w:val="22"/>
          <w:szCs w:val="22"/>
          <w:highlight w:val="none"/>
        </w:rPr>
        <w:t>每月不得少于</w:t>
      </w:r>
      <w:r>
        <w:rPr>
          <w:rFonts w:ascii="宋体" w:hAnsi="宋体" w:eastAsia="宋体" w:cs="宋体"/>
          <w:color w:val="auto"/>
          <w:spacing w:val="-41"/>
          <w:sz w:val="22"/>
          <w:szCs w:val="22"/>
          <w:highlight w:val="none"/>
        </w:rPr>
        <w:t xml:space="preserve"> </w:t>
      </w:r>
      <w:r>
        <w:rPr>
          <w:rFonts w:ascii="宋体" w:hAnsi="宋体" w:eastAsia="宋体" w:cs="宋体"/>
          <w:color w:val="auto"/>
          <w:spacing w:val="3"/>
          <w:sz w:val="22"/>
          <w:szCs w:val="22"/>
          <w:highlight w:val="none"/>
        </w:rPr>
        <w:t>22</w:t>
      </w:r>
      <w:r>
        <w:rPr>
          <w:rFonts w:ascii="宋体" w:hAnsi="宋体" w:eastAsia="宋体" w:cs="宋体"/>
          <w:color w:val="auto"/>
          <w:spacing w:val="-37"/>
          <w:sz w:val="22"/>
          <w:szCs w:val="22"/>
          <w:highlight w:val="none"/>
        </w:rPr>
        <w:t xml:space="preserve"> </w:t>
      </w:r>
      <w:r>
        <w:rPr>
          <w:rFonts w:ascii="宋体" w:hAnsi="宋体" w:eastAsia="宋体" w:cs="宋体"/>
          <w:color w:val="auto"/>
          <w:spacing w:val="3"/>
          <w:sz w:val="22"/>
          <w:szCs w:val="22"/>
          <w:highlight w:val="none"/>
        </w:rPr>
        <w:t>天，所有人员一律不得在同一时间内承担其他项目的监理任务。若出于某种</w:t>
      </w:r>
      <w:r>
        <w:rPr>
          <w:rFonts w:ascii="宋体" w:hAnsi="宋体" w:eastAsia="宋体" w:cs="宋体"/>
          <w:color w:val="auto"/>
          <w:spacing w:val="1"/>
          <w:sz w:val="22"/>
          <w:szCs w:val="22"/>
          <w:highlight w:val="none"/>
        </w:rPr>
        <w:t>原因需要暂时离开现场时，必须提请委托人批准后方可离开。如果总监理工程师（驻地监理工</w:t>
      </w:r>
      <w:bookmarkStart w:id="327" w:name="bookmark143"/>
      <w:bookmarkEnd w:id="327"/>
      <w:r>
        <w:rPr>
          <w:rFonts w:ascii="宋体" w:hAnsi="宋体" w:eastAsia="宋体" w:cs="宋体"/>
          <w:color w:val="auto"/>
          <w:spacing w:val="2"/>
          <w:sz w:val="22"/>
          <w:szCs w:val="22"/>
          <w:highlight w:val="none"/>
        </w:rPr>
        <w:t>程师）或其他主要监理人员需离开现场的时间超过</w:t>
      </w:r>
      <w:r>
        <w:rPr>
          <w:rFonts w:ascii="宋体" w:hAnsi="宋体" w:eastAsia="宋体" w:cs="宋体"/>
          <w:color w:val="auto"/>
          <w:spacing w:val="-25"/>
          <w:sz w:val="22"/>
          <w:szCs w:val="22"/>
          <w:highlight w:val="none"/>
        </w:rPr>
        <w:t xml:space="preserve"> </w:t>
      </w:r>
      <w:r>
        <w:rPr>
          <w:rFonts w:ascii="宋体" w:hAnsi="宋体" w:eastAsia="宋体" w:cs="宋体"/>
          <w:color w:val="auto"/>
          <w:spacing w:val="2"/>
          <w:sz w:val="22"/>
          <w:szCs w:val="22"/>
          <w:highlight w:val="none"/>
        </w:rPr>
        <w:t>14</w:t>
      </w:r>
      <w:r>
        <w:rPr>
          <w:rFonts w:ascii="宋体" w:hAnsi="宋体" w:eastAsia="宋体" w:cs="宋体"/>
          <w:color w:val="auto"/>
          <w:spacing w:val="-40"/>
          <w:sz w:val="22"/>
          <w:szCs w:val="22"/>
          <w:highlight w:val="none"/>
        </w:rPr>
        <w:t xml:space="preserve"> </w:t>
      </w:r>
      <w:r>
        <w:rPr>
          <w:rFonts w:ascii="宋体" w:hAnsi="宋体" w:eastAsia="宋体" w:cs="宋体"/>
          <w:color w:val="auto"/>
          <w:spacing w:val="2"/>
          <w:sz w:val="22"/>
          <w:szCs w:val="22"/>
          <w:highlight w:val="none"/>
        </w:rPr>
        <w:t>天，则监理人必须按第</w:t>
      </w:r>
      <w:r>
        <w:rPr>
          <w:rFonts w:ascii="宋体" w:hAnsi="宋体" w:eastAsia="宋体" w:cs="宋体"/>
          <w:color w:val="auto"/>
          <w:spacing w:val="-42"/>
          <w:sz w:val="22"/>
          <w:szCs w:val="22"/>
          <w:highlight w:val="none"/>
        </w:rPr>
        <w:t xml:space="preserve"> </w:t>
      </w:r>
      <w:r>
        <w:rPr>
          <w:rFonts w:ascii="宋体" w:hAnsi="宋体" w:eastAsia="宋体" w:cs="宋体"/>
          <w:color w:val="auto"/>
          <w:spacing w:val="2"/>
          <w:sz w:val="22"/>
          <w:szCs w:val="22"/>
          <w:highlight w:val="none"/>
        </w:rPr>
        <w:t>4.5.1</w:t>
      </w:r>
      <w:r>
        <w:rPr>
          <w:rFonts w:ascii="宋体" w:hAnsi="宋体" w:eastAsia="宋体" w:cs="宋体"/>
          <w:color w:val="auto"/>
          <w:spacing w:val="-43"/>
          <w:sz w:val="22"/>
          <w:szCs w:val="22"/>
          <w:highlight w:val="none"/>
        </w:rPr>
        <w:t xml:space="preserve"> </w:t>
      </w:r>
      <w:r>
        <w:rPr>
          <w:rFonts w:ascii="宋体" w:hAnsi="宋体" w:eastAsia="宋体" w:cs="宋体"/>
          <w:color w:val="auto"/>
          <w:spacing w:val="2"/>
          <w:sz w:val="22"/>
          <w:szCs w:val="22"/>
          <w:highlight w:val="none"/>
        </w:rPr>
        <w:t>规</w:t>
      </w:r>
      <w:r>
        <w:rPr>
          <w:rFonts w:ascii="宋体" w:hAnsi="宋体" w:eastAsia="宋体" w:cs="宋体"/>
          <w:color w:val="auto"/>
          <w:spacing w:val="1"/>
          <w:sz w:val="22"/>
          <w:szCs w:val="22"/>
          <w:highlight w:val="none"/>
        </w:rPr>
        <w:t>定派同</w:t>
      </w:r>
      <w:r>
        <w:rPr>
          <w:rFonts w:ascii="宋体" w:hAnsi="宋体" w:eastAsia="宋体" w:cs="宋体"/>
          <w:color w:val="auto"/>
          <w:spacing w:val="-1"/>
          <w:sz w:val="22"/>
          <w:szCs w:val="22"/>
          <w:highlight w:val="none"/>
        </w:rPr>
        <w:t>样资质的人员来替换。</w:t>
      </w:r>
    </w:p>
    <w:p w14:paraId="0E92314F">
      <w:pPr>
        <w:spacing w:before="166" w:line="359" w:lineRule="auto"/>
        <w:ind w:left="6" w:right="150" w:firstLine="443"/>
        <w:rPr>
          <w:rFonts w:ascii="宋体" w:hAnsi="宋体" w:eastAsia="宋体" w:cs="宋体"/>
          <w:color w:val="auto"/>
          <w:sz w:val="22"/>
          <w:szCs w:val="22"/>
          <w:highlight w:val="none"/>
        </w:rPr>
      </w:pPr>
      <w:r>
        <w:rPr>
          <w:rFonts w:ascii="宋体" w:hAnsi="宋体" w:eastAsia="宋体" w:cs="宋体"/>
          <w:color w:val="auto"/>
          <w:spacing w:val="1"/>
          <w:sz w:val="22"/>
          <w:szCs w:val="22"/>
          <w:highlight w:val="none"/>
        </w:rPr>
        <w:t>监理人应如实记录各监理人员及行政事务人员的出勤情况及工作内容，并在每月月末提交</w:t>
      </w:r>
      <w:r>
        <w:rPr>
          <w:rFonts w:ascii="宋体" w:hAnsi="宋体" w:eastAsia="宋体" w:cs="宋体"/>
          <w:color w:val="auto"/>
          <w:sz w:val="22"/>
          <w:szCs w:val="22"/>
          <w:highlight w:val="none"/>
        </w:rPr>
        <w:t>委托人签字确认</w:t>
      </w:r>
      <w:r>
        <w:rPr>
          <w:color w:val="auto"/>
          <w:highlight w:val="none"/>
        </w:rPr>
        <w:fldChar w:fldCharType="begin"/>
      </w:r>
      <w:r>
        <w:rPr>
          <w:color w:val="auto"/>
          <w:highlight w:val="none"/>
        </w:rPr>
        <w:instrText xml:space="preserve"> HYPERLINK \l "bookmark144" </w:instrText>
      </w:r>
      <w:r>
        <w:rPr>
          <w:color w:val="auto"/>
          <w:highlight w:val="none"/>
        </w:rPr>
        <w:fldChar w:fldCharType="separate"/>
      </w:r>
      <w:r>
        <w:rPr>
          <w:rFonts w:ascii="宋体" w:hAnsi="宋体" w:eastAsia="宋体" w:cs="宋体"/>
          <w:color w:val="auto"/>
          <w:position w:val="10"/>
          <w:sz w:val="10"/>
          <w:szCs w:val="10"/>
          <w:highlight w:val="none"/>
        </w:rPr>
        <w:t>①</w:t>
      </w:r>
      <w:r>
        <w:rPr>
          <w:rFonts w:ascii="宋体" w:hAnsi="宋体" w:eastAsia="宋体" w:cs="宋体"/>
          <w:color w:val="auto"/>
          <w:position w:val="10"/>
          <w:sz w:val="10"/>
          <w:szCs w:val="10"/>
          <w:highlight w:val="none"/>
        </w:rPr>
        <w:fldChar w:fldCharType="end"/>
      </w:r>
      <w:r>
        <w:rPr>
          <w:rFonts w:ascii="宋体" w:hAnsi="宋体" w:eastAsia="宋体" w:cs="宋体"/>
          <w:color w:val="auto"/>
          <w:sz w:val="22"/>
          <w:szCs w:val="22"/>
          <w:highlight w:val="none"/>
        </w:rPr>
        <w:t>。</w:t>
      </w:r>
    </w:p>
    <w:p w14:paraId="2072EF38">
      <w:pPr>
        <w:spacing w:line="220" w:lineRule="auto"/>
        <w:ind w:left="449"/>
        <w:rPr>
          <w:rFonts w:ascii="宋体" w:hAnsi="宋体" w:eastAsia="宋体" w:cs="宋体"/>
          <w:color w:val="auto"/>
          <w:sz w:val="22"/>
          <w:szCs w:val="22"/>
          <w:highlight w:val="none"/>
        </w:rPr>
      </w:pPr>
      <w:r>
        <w:rPr>
          <w:rFonts w:ascii="宋体" w:hAnsi="宋体" w:eastAsia="宋体" w:cs="宋体"/>
          <w:color w:val="auto"/>
          <w:spacing w:val="-3"/>
          <w:sz w:val="22"/>
          <w:szCs w:val="22"/>
          <w:highlight w:val="none"/>
        </w:rPr>
        <w:t>第</w:t>
      </w:r>
      <w:r>
        <w:rPr>
          <w:rFonts w:ascii="宋体" w:hAnsi="宋体" w:eastAsia="宋体" w:cs="宋体"/>
          <w:color w:val="auto"/>
          <w:spacing w:val="-43"/>
          <w:sz w:val="22"/>
          <w:szCs w:val="22"/>
          <w:highlight w:val="none"/>
        </w:rPr>
        <w:t xml:space="preserve"> </w:t>
      </w:r>
      <w:r>
        <w:rPr>
          <w:rFonts w:ascii="宋体" w:hAnsi="宋体" w:eastAsia="宋体" w:cs="宋体"/>
          <w:color w:val="auto"/>
          <w:spacing w:val="-3"/>
          <w:sz w:val="22"/>
          <w:szCs w:val="22"/>
          <w:highlight w:val="none"/>
        </w:rPr>
        <w:t>4.5.4</w:t>
      </w:r>
      <w:r>
        <w:rPr>
          <w:rFonts w:ascii="宋体" w:hAnsi="宋体" w:eastAsia="宋体" w:cs="宋体"/>
          <w:color w:val="auto"/>
          <w:spacing w:val="-45"/>
          <w:sz w:val="22"/>
          <w:szCs w:val="22"/>
          <w:highlight w:val="none"/>
        </w:rPr>
        <w:t xml:space="preserve"> </w:t>
      </w:r>
      <w:r>
        <w:rPr>
          <w:rFonts w:ascii="宋体" w:hAnsi="宋体" w:eastAsia="宋体" w:cs="宋体"/>
          <w:color w:val="auto"/>
          <w:spacing w:val="-3"/>
          <w:sz w:val="22"/>
          <w:szCs w:val="22"/>
          <w:highlight w:val="none"/>
        </w:rPr>
        <w:t>项修改为：</w:t>
      </w:r>
    </w:p>
    <w:p w14:paraId="5C77E917">
      <w:pPr>
        <w:spacing w:before="167" w:line="359" w:lineRule="auto"/>
        <w:ind w:left="6" w:right="34" w:firstLine="443"/>
        <w:rPr>
          <w:rFonts w:ascii="宋体" w:hAnsi="宋体" w:eastAsia="宋体" w:cs="宋体"/>
          <w:color w:val="auto"/>
          <w:sz w:val="22"/>
          <w:szCs w:val="22"/>
          <w:highlight w:val="none"/>
        </w:rPr>
      </w:pPr>
      <w:r>
        <w:rPr>
          <w:rFonts w:ascii="宋体" w:hAnsi="宋体" w:eastAsia="宋体" w:cs="宋体"/>
          <w:color w:val="auto"/>
          <w:spacing w:val="1"/>
          <w:sz w:val="22"/>
          <w:szCs w:val="22"/>
          <w:highlight w:val="none"/>
        </w:rPr>
        <w:t>监理人须根据交通运输主管部门的有关规定，完成监理人员从业登记和业绩登记，其中房</w:t>
      </w:r>
      <w:r>
        <w:rPr>
          <w:rFonts w:ascii="宋体" w:hAnsi="宋体" w:eastAsia="宋体" w:cs="宋体"/>
          <w:color w:val="auto"/>
          <w:spacing w:val="-1"/>
          <w:sz w:val="22"/>
          <w:szCs w:val="22"/>
          <w:highlight w:val="none"/>
        </w:rPr>
        <w:t>建工程监理人员应满足《广东省公路房建工程建设管理指</w:t>
      </w:r>
      <w:r>
        <w:rPr>
          <w:rFonts w:ascii="宋体" w:hAnsi="宋体" w:eastAsia="宋体" w:cs="宋体"/>
          <w:color w:val="auto"/>
          <w:spacing w:val="-2"/>
          <w:sz w:val="22"/>
          <w:szCs w:val="22"/>
          <w:highlight w:val="none"/>
        </w:rPr>
        <w:t>南》中的相关要求。监理人员进场后，</w:t>
      </w:r>
      <w:r>
        <w:rPr>
          <w:rFonts w:ascii="宋体" w:hAnsi="宋体" w:eastAsia="宋体" w:cs="宋体"/>
          <w:color w:val="auto"/>
          <w:spacing w:val="4"/>
          <w:sz w:val="22"/>
          <w:szCs w:val="22"/>
          <w:highlight w:val="none"/>
        </w:rPr>
        <w:t>委托人将组织对监理人员进行上岗前考核，同时在监理服务期限内,委托</w:t>
      </w:r>
      <w:r>
        <w:rPr>
          <w:rFonts w:ascii="宋体" w:hAnsi="宋体" w:eastAsia="宋体" w:cs="宋体"/>
          <w:color w:val="auto"/>
          <w:spacing w:val="3"/>
          <w:sz w:val="22"/>
          <w:szCs w:val="22"/>
          <w:highlight w:val="none"/>
        </w:rPr>
        <w:t>人将根据实际情况不</w:t>
      </w:r>
      <w:r>
        <w:rPr>
          <w:rFonts w:ascii="宋体" w:hAnsi="宋体" w:eastAsia="宋体" w:cs="宋体"/>
          <w:color w:val="auto"/>
          <w:sz w:val="22"/>
          <w:szCs w:val="22"/>
          <w:highlight w:val="none"/>
        </w:rPr>
        <w:t>定期对监理人员进行考核，考核不合格的监理人员将不准上岗，全部监理人</w:t>
      </w:r>
      <w:r>
        <w:rPr>
          <w:rFonts w:ascii="宋体" w:hAnsi="宋体" w:eastAsia="宋体" w:cs="宋体"/>
          <w:color w:val="auto"/>
          <w:spacing w:val="-1"/>
          <w:sz w:val="22"/>
          <w:szCs w:val="22"/>
          <w:highlight w:val="none"/>
        </w:rPr>
        <w:t>员均须持证上岗。</w:t>
      </w:r>
    </w:p>
    <w:p w14:paraId="459EE52E">
      <w:pPr>
        <w:spacing w:line="220" w:lineRule="auto"/>
        <w:ind w:left="450"/>
        <w:rPr>
          <w:rFonts w:ascii="宋体" w:hAnsi="宋体" w:eastAsia="宋体" w:cs="宋体"/>
          <w:color w:val="auto"/>
          <w:sz w:val="22"/>
          <w:szCs w:val="22"/>
          <w:highlight w:val="none"/>
        </w:rPr>
      </w:pPr>
      <w:r>
        <w:rPr>
          <w:rFonts w:ascii="宋体" w:hAnsi="宋体" w:eastAsia="宋体" w:cs="宋体"/>
          <w:color w:val="auto"/>
          <w:spacing w:val="-3"/>
          <w:sz w:val="22"/>
          <w:szCs w:val="22"/>
          <w:highlight w:val="none"/>
        </w:rPr>
        <w:t>增加第</w:t>
      </w:r>
      <w:r>
        <w:rPr>
          <w:rFonts w:ascii="宋体" w:hAnsi="宋体" w:eastAsia="宋体" w:cs="宋体"/>
          <w:color w:val="auto"/>
          <w:spacing w:val="-38"/>
          <w:sz w:val="22"/>
          <w:szCs w:val="22"/>
          <w:highlight w:val="none"/>
        </w:rPr>
        <w:t xml:space="preserve"> </w:t>
      </w:r>
      <w:r>
        <w:rPr>
          <w:rFonts w:ascii="宋体" w:hAnsi="宋体" w:eastAsia="宋体" w:cs="宋体"/>
          <w:color w:val="auto"/>
          <w:spacing w:val="-3"/>
          <w:sz w:val="22"/>
          <w:szCs w:val="22"/>
          <w:highlight w:val="none"/>
        </w:rPr>
        <w:t>4.5.5</w:t>
      </w:r>
      <w:r>
        <w:rPr>
          <w:rFonts w:ascii="宋体" w:hAnsi="宋体" w:eastAsia="宋体" w:cs="宋体"/>
          <w:color w:val="auto"/>
          <w:spacing w:val="-42"/>
          <w:sz w:val="22"/>
          <w:szCs w:val="22"/>
          <w:highlight w:val="none"/>
        </w:rPr>
        <w:t xml:space="preserve"> </w:t>
      </w:r>
      <w:r>
        <w:rPr>
          <w:rFonts w:ascii="宋体" w:hAnsi="宋体" w:eastAsia="宋体" w:cs="宋体"/>
          <w:color w:val="auto"/>
          <w:spacing w:val="-3"/>
          <w:sz w:val="22"/>
          <w:szCs w:val="22"/>
          <w:highlight w:val="none"/>
        </w:rPr>
        <w:t>项-4.5.8</w:t>
      </w:r>
      <w:r>
        <w:rPr>
          <w:rFonts w:ascii="宋体" w:hAnsi="宋体" w:eastAsia="宋体" w:cs="宋体"/>
          <w:color w:val="auto"/>
          <w:spacing w:val="-45"/>
          <w:sz w:val="22"/>
          <w:szCs w:val="22"/>
          <w:highlight w:val="none"/>
        </w:rPr>
        <w:t xml:space="preserve"> </w:t>
      </w:r>
      <w:r>
        <w:rPr>
          <w:rFonts w:ascii="宋体" w:hAnsi="宋体" w:eastAsia="宋体" w:cs="宋体"/>
          <w:color w:val="auto"/>
          <w:spacing w:val="-3"/>
          <w:sz w:val="22"/>
          <w:szCs w:val="22"/>
          <w:highlight w:val="none"/>
        </w:rPr>
        <w:t>项：</w:t>
      </w:r>
    </w:p>
    <w:p w14:paraId="29A093F8">
      <w:pPr>
        <w:spacing w:before="166" w:line="359" w:lineRule="auto"/>
        <w:ind w:left="6" w:right="152" w:firstLine="441"/>
        <w:rPr>
          <w:rFonts w:ascii="宋体" w:hAnsi="宋体" w:eastAsia="宋体" w:cs="宋体"/>
          <w:color w:val="auto"/>
          <w:sz w:val="22"/>
          <w:szCs w:val="22"/>
          <w:highlight w:val="none"/>
        </w:rPr>
      </w:pPr>
      <w:r>
        <w:rPr>
          <w:rFonts w:ascii="宋体" w:hAnsi="宋体" w:eastAsia="宋体" w:cs="宋体"/>
          <w:color w:val="auto"/>
          <w:spacing w:val="1"/>
          <w:sz w:val="22"/>
          <w:szCs w:val="22"/>
          <w:highlight w:val="none"/>
        </w:rPr>
        <w:t>4.5.5 监理人在投标文件中填报或在合同附件约定的人员必须全部按时到位，对于人员不</w:t>
      </w:r>
      <w:r>
        <w:rPr>
          <w:rFonts w:ascii="宋体" w:hAnsi="宋体" w:eastAsia="宋体" w:cs="宋体"/>
          <w:color w:val="auto"/>
          <w:spacing w:val="-1"/>
          <w:sz w:val="22"/>
          <w:szCs w:val="22"/>
          <w:highlight w:val="none"/>
        </w:rPr>
        <w:t>及时到位的按违约进行：</w:t>
      </w:r>
    </w:p>
    <w:p w14:paraId="522FA488">
      <w:pPr>
        <w:spacing w:line="359" w:lineRule="auto"/>
        <w:ind w:left="7" w:firstLine="447"/>
        <w:jc w:val="both"/>
        <w:rPr>
          <w:rFonts w:ascii="宋体" w:hAnsi="宋体" w:eastAsia="宋体" w:cs="宋体"/>
          <w:color w:val="auto"/>
          <w:sz w:val="22"/>
          <w:szCs w:val="22"/>
          <w:highlight w:val="none"/>
        </w:rPr>
      </w:pPr>
      <w:r>
        <w:rPr>
          <w:rFonts w:ascii="宋体" w:hAnsi="宋体" w:eastAsia="宋体" w:cs="宋体"/>
          <w:color w:val="auto"/>
          <w:spacing w:val="3"/>
          <w:sz w:val="22"/>
          <w:szCs w:val="22"/>
          <w:highlight w:val="none"/>
        </w:rPr>
        <w:t>总监理工程师处违约金</w:t>
      </w:r>
      <w:r>
        <w:rPr>
          <w:rFonts w:ascii="宋体" w:hAnsi="宋体" w:eastAsia="宋体" w:cs="宋体"/>
          <w:color w:val="auto"/>
          <w:spacing w:val="-107"/>
          <w:sz w:val="22"/>
          <w:szCs w:val="22"/>
          <w:highlight w:val="none"/>
        </w:rPr>
        <w:t xml:space="preserve"> </w:t>
      </w:r>
      <w:r>
        <w:rPr>
          <w:rFonts w:ascii="宋体" w:hAnsi="宋体" w:eastAsia="宋体" w:cs="宋体"/>
          <w:color w:val="auto"/>
          <w:spacing w:val="4"/>
          <w:sz w:val="22"/>
          <w:szCs w:val="22"/>
          <w:highlight w:val="none"/>
          <w:u w:val="single" w:color="auto"/>
        </w:rPr>
        <w:t xml:space="preserve">  </w:t>
      </w:r>
      <w:r>
        <w:rPr>
          <w:rFonts w:hint="eastAsia" w:ascii="宋体" w:hAnsi="宋体" w:eastAsia="宋体" w:cs="宋体"/>
          <w:color w:val="auto"/>
          <w:spacing w:val="4"/>
          <w:sz w:val="22"/>
          <w:szCs w:val="22"/>
          <w:highlight w:val="none"/>
          <w:u w:val="single" w:color="auto"/>
          <w:lang w:val="en-US" w:eastAsia="zh-CN"/>
        </w:rPr>
        <w:t>1</w:t>
      </w:r>
      <w:r>
        <w:rPr>
          <w:rFonts w:ascii="宋体" w:hAnsi="宋体" w:eastAsia="宋体" w:cs="宋体"/>
          <w:color w:val="auto"/>
          <w:spacing w:val="4"/>
          <w:sz w:val="22"/>
          <w:szCs w:val="22"/>
          <w:highlight w:val="none"/>
          <w:u w:val="single" w:color="auto"/>
        </w:rPr>
        <w:t xml:space="preserve"> </w:t>
      </w:r>
      <w:r>
        <w:rPr>
          <w:rFonts w:ascii="宋体" w:hAnsi="宋体" w:eastAsia="宋体" w:cs="宋体"/>
          <w:color w:val="auto"/>
          <w:spacing w:val="-96"/>
          <w:sz w:val="22"/>
          <w:szCs w:val="22"/>
          <w:highlight w:val="none"/>
        </w:rPr>
        <w:t xml:space="preserve"> </w:t>
      </w:r>
      <w:r>
        <w:rPr>
          <w:rFonts w:ascii="宋体" w:hAnsi="宋体" w:eastAsia="宋体" w:cs="宋体"/>
          <w:color w:val="auto"/>
          <w:spacing w:val="3"/>
          <w:sz w:val="22"/>
          <w:szCs w:val="22"/>
          <w:highlight w:val="none"/>
        </w:rPr>
        <w:t>万元/人次（用备选人替换首选人的调整不受此限）、驻地监</w:t>
      </w:r>
      <w:r>
        <w:rPr>
          <w:rFonts w:ascii="宋体" w:hAnsi="宋体" w:eastAsia="宋体" w:cs="宋体"/>
          <w:color w:val="auto"/>
          <w:sz w:val="22"/>
          <w:szCs w:val="22"/>
          <w:highlight w:val="none"/>
        </w:rPr>
        <w:t>理工程师处违约金</w:t>
      </w:r>
      <w:r>
        <w:rPr>
          <w:rFonts w:ascii="宋体" w:hAnsi="宋体" w:eastAsia="宋体" w:cs="宋体"/>
          <w:color w:val="auto"/>
          <w:sz w:val="22"/>
          <w:szCs w:val="22"/>
          <w:highlight w:val="none"/>
          <w:u w:val="single" w:color="auto"/>
        </w:rPr>
        <w:t xml:space="preserve"> </w:t>
      </w:r>
      <w:r>
        <w:rPr>
          <w:rFonts w:hint="eastAsia" w:ascii="宋体" w:hAnsi="宋体" w:eastAsia="宋体" w:cs="宋体"/>
          <w:color w:val="auto"/>
          <w:sz w:val="22"/>
          <w:szCs w:val="22"/>
          <w:highlight w:val="none"/>
          <w:u w:val="single" w:color="auto"/>
          <w:lang w:val="en-US" w:eastAsia="zh-CN"/>
        </w:rPr>
        <w:t>1</w:t>
      </w:r>
      <w:r>
        <w:rPr>
          <w:rFonts w:ascii="宋体" w:hAnsi="宋体" w:eastAsia="宋体" w:cs="宋体"/>
          <w:color w:val="auto"/>
          <w:sz w:val="22"/>
          <w:szCs w:val="22"/>
          <w:highlight w:val="none"/>
          <w:u w:val="single" w:color="auto"/>
        </w:rPr>
        <w:t xml:space="preserve">  </w:t>
      </w:r>
      <w:r>
        <w:rPr>
          <w:rFonts w:ascii="宋体" w:hAnsi="宋体" w:eastAsia="宋体" w:cs="宋体"/>
          <w:color w:val="auto"/>
          <w:spacing w:val="-94"/>
          <w:sz w:val="22"/>
          <w:szCs w:val="22"/>
          <w:highlight w:val="none"/>
        </w:rPr>
        <w:t xml:space="preserve"> </w:t>
      </w:r>
      <w:r>
        <w:rPr>
          <w:rFonts w:ascii="宋体" w:hAnsi="宋体" w:eastAsia="宋体" w:cs="宋体"/>
          <w:color w:val="auto"/>
          <w:sz w:val="22"/>
          <w:szCs w:val="22"/>
          <w:highlight w:val="none"/>
        </w:rPr>
        <w:t>万元/人次（用备选人替换首选人的调整不受此限</w:t>
      </w:r>
      <w:r>
        <w:rPr>
          <w:rFonts w:ascii="宋体" w:hAnsi="宋体" w:eastAsia="宋体" w:cs="宋体"/>
          <w:color w:val="auto"/>
          <w:spacing w:val="13"/>
          <w:sz w:val="22"/>
          <w:szCs w:val="22"/>
          <w:highlight w:val="none"/>
        </w:rPr>
        <w:t>）；</w:t>
      </w:r>
      <w:r>
        <w:rPr>
          <w:rFonts w:ascii="宋体" w:hAnsi="宋体" w:eastAsia="宋体" w:cs="宋体"/>
          <w:color w:val="auto"/>
          <w:sz w:val="22"/>
          <w:szCs w:val="22"/>
          <w:highlight w:val="none"/>
        </w:rPr>
        <w:t>其他主要监理人员</w:t>
      </w:r>
      <w:r>
        <w:rPr>
          <w:rFonts w:ascii="宋体" w:hAnsi="宋体" w:eastAsia="宋体" w:cs="宋体"/>
          <w:color w:val="auto"/>
          <w:spacing w:val="3"/>
          <w:sz w:val="22"/>
          <w:szCs w:val="22"/>
          <w:highlight w:val="none"/>
        </w:rPr>
        <w:t>的到位率必须达到</w:t>
      </w:r>
      <w:r>
        <w:rPr>
          <w:rFonts w:ascii="宋体" w:hAnsi="宋体" w:eastAsia="宋体" w:cs="宋体"/>
          <w:color w:val="auto"/>
          <w:spacing w:val="-41"/>
          <w:sz w:val="22"/>
          <w:szCs w:val="22"/>
          <w:highlight w:val="none"/>
        </w:rPr>
        <w:t xml:space="preserve"> </w:t>
      </w:r>
      <w:r>
        <w:rPr>
          <w:rFonts w:ascii="宋体" w:hAnsi="宋体" w:eastAsia="宋体" w:cs="宋体"/>
          <w:color w:val="auto"/>
          <w:spacing w:val="3"/>
          <w:sz w:val="22"/>
          <w:szCs w:val="22"/>
          <w:highlight w:val="none"/>
          <w:u w:val="single" w:color="auto"/>
        </w:rPr>
        <w:t>80%</w:t>
      </w:r>
      <w:r>
        <w:rPr>
          <w:rFonts w:ascii="宋体" w:hAnsi="宋体" w:eastAsia="宋体" w:cs="宋体"/>
          <w:color w:val="auto"/>
          <w:spacing w:val="3"/>
          <w:sz w:val="22"/>
          <w:szCs w:val="22"/>
          <w:highlight w:val="none"/>
        </w:rPr>
        <w:t>以上，如不足</w:t>
      </w:r>
      <w:r>
        <w:rPr>
          <w:rFonts w:ascii="宋体" w:hAnsi="宋体" w:eastAsia="宋体" w:cs="宋体"/>
          <w:color w:val="auto"/>
          <w:spacing w:val="-44"/>
          <w:sz w:val="22"/>
          <w:szCs w:val="22"/>
          <w:highlight w:val="none"/>
        </w:rPr>
        <w:t xml:space="preserve"> </w:t>
      </w:r>
      <w:r>
        <w:rPr>
          <w:rFonts w:ascii="宋体" w:hAnsi="宋体" w:eastAsia="宋体" w:cs="宋体"/>
          <w:color w:val="auto"/>
          <w:spacing w:val="3"/>
          <w:sz w:val="22"/>
          <w:szCs w:val="22"/>
          <w:highlight w:val="none"/>
          <w:u w:val="single" w:color="auto"/>
        </w:rPr>
        <w:t>80</w:t>
      </w:r>
      <w:r>
        <w:rPr>
          <w:rFonts w:ascii="宋体" w:hAnsi="宋体" w:eastAsia="宋体" w:cs="宋体"/>
          <w:color w:val="auto"/>
          <w:spacing w:val="3"/>
          <w:sz w:val="22"/>
          <w:szCs w:val="22"/>
          <w:highlight w:val="none"/>
        </w:rPr>
        <w:t>%的（其他主要监理人员分批次进场的，以最终进场的所有人员计算</w:t>
      </w:r>
      <w:r>
        <w:rPr>
          <w:rFonts w:ascii="宋体" w:hAnsi="宋体" w:eastAsia="宋体" w:cs="宋体"/>
          <w:color w:val="auto"/>
          <w:spacing w:val="10"/>
          <w:sz w:val="22"/>
          <w:szCs w:val="22"/>
          <w:highlight w:val="none"/>
        </w:rPr>
        <w:t>），</w:t>
      </w:r>
      <w:r>
        <w:rPr>
          <w:rFonts w:ascii="宋体" w:hAnsi="宋体" w:eastAsia="宋体" w:cs="宋体"/>
          <w:color w:val="auto"/>
          <w:spacing w:val="3"/>
          <w:sz w:val="22"/>
          <w:szCs w:val="22"/>
          <w:highlight w:val="none"/>
        </w:rPr>
        <w:t>其差额部分处以违约金</w:t>
      </w:r>
      <w:r>
        <w:rPr>
          <w:rFonts w:ascii="宋体" w:hAnsi="宋体" w:eastAsia="宋体" w:cs="宋体"/>
          <w:color w:val="auto"/>
          <w:spacing w:val="-108"/>
          <w:sz w:val="22"/>
          <w:szCs w:val="22"/>
          <w:highlight w:val="none"/>
        </w:rPr>
        <w:t xml:space="preserve"> </w:t>
      </w:r>
      <w:r>
        <w:rPr>
          <w:rFonts w:ascii="宋体" w:hAnsi="宋体" w:eastAsia="宋体" w:cs="宋体"/>
          <w:color w:val="auto"/>
          <w:spacing w:val="4"/>
          <w:sz w:val="22"/>
          <w:szCs w:val="22"/>
          <w:highlight w:val="none"/>
          <w:u w:val="single" w:color="auto"/>
        </w:rPr>
        <w:t xml:space="preserve"> </w:t>
      </w:r>
      <w:r>
        <w:rPr>
          <w:rFonts w:hint="eastAsia" w:ascii="宋体" w:hAnsi="宋体" w:eastAsia="宋体" w:cs="宋体"/>
          <w:color w:val="auto"/>
          <w:spacing w:val="4"/>
          <w:sz w:val="22"/>
          <w:szCs w:val="22"/>
          <w:highlight w:val="none"/>
          <w:u w:val="single" w:color="auto"/>
          <w:lang w:val="en-US" w:eastAsia="zh-CN"/>
        </w:rPr>
        <w:t>1</w:t>
      </w:r>
      <w:r>
        <w:rPr>
          <w:rFonts w:ascii="宋体" w:hAnsi="宋体" w:eastAsia="宋体" w:cs="宋体"/>
          <w:color w:val="auto"/>
          <w:spacing w:val="4"/>
          <w:sz w:val="22"/>
          <w:szCs w:val="22"/>
          <w:highlight w:val="none"/>
          <w:u w:val="single" w:color="auto"/>
        </w:rPr>
        <w:t xml:space="preserve"> </w:t>
      </w:r>
      <w:r>
        <w:rPr>
          <w:rFonts w:ascii="宋体" w:hAnsi="宋体" w:eastAsia="宋体" w:cs="宋体"/>
          <w:color w:val="auto"/>
          <w:spacing w:val="-96"/>
          <w:sz w:val="22"/>
          <w:szCs w:val="22"/>
          <w:highlight w:val="none"/>
        </w:rPr>
        <w:t xml:space="preserve"> </w:t>
      </w:r>
      <w:r>
        <w:rPr>
          <w:rFonts w:ascii="宋体" w:hAnsi="宋体" w:eastAsia="宋体" w:cs="宋体"/>
          <w:color w:val="auto"/>
          <w:spacing w:val="3"/>
          <w:sz w:val="22"/>
          <w:szCs w:val="22"/>
          <w:highlight w:val="none"/>
        </w:rPr>
        <w:t>万元/人次进行处罚。如因</w:t>
      </w:r>
      <w:r>
        <w:rPr>
          <w:rFonts w:ascii="宋体" w:hAnsi="宋体" w:eastAsia="宋体" w:cs="宋体"/>
          <w:color w:val="auto"/>
          <w:spacing w:val="2"/>
          <w:sz w:val="22"/>
          <w:szCs w:val="22"/>
          <w:highlight w:val="none"/>
        </w:rPr>
        <w:t>特殊原因确需对投标文件中的主要监理人员进行调整除按4.5.1</w:t>
      </w:r>
      <w:r>
        <w:rPr>
          <w:rFonts w:ascii="宋体" w:hAnsi="宋体" w:eastAsia="宋体" w:cs="宋体"/>
          <w:color w:val="auto"/>
          <w:spacing w:val="-42"/>
          <w:sz w:val="22"/>
          <w:szCs w:val="22"/>
          <w:highlight w:val="none"/>
        </w:rPr>
        <w:t xml:space="preserve"> </w:t>
      </w:r>
      <w:r>
        <w:rPr>
          <w:rFonts w:ascii="宋体" w:hAnsi="宋体" w:eastAsia="宋体" w:cs="宋体"/>
          <w:color w:val="auto"/>
          <w:spacing w:val="2"/>
          <w:sz w:val="22"/>
          <w:szCs w:val="22"/>
          <w:highlight w:val="none"/>
        </w:rPr>
        <w:t>项规定外，所代替的人选在资格、资历、能力等方</w:t>
      </w:r>
      <w:r>
        <w:rPr>
          <w:rFonts w:ascii="宋体" w:hAnsi="宋体" w:eastAsia="宋体" w:cs="宋体"/>
          <w:color w:val="auto"/>
          <w:spacing w:val="-1"/>
          <w:sz w:val="22"/>
          <w:szCs w:val="22"/>
          <w:highlight w:val="none"/>
        </w:rPr>
        <w:t>面均不得低于原来的人选，监理人须将更换人员的相关资料如任职证明、身份证、专业（执业）</w:t>
      </w:r>
      <w:r>
        <w:rPr>
          <w:rFonts w:ascii="宋体" w:hAnsi="宋体" w:eastAsia="宋体" w:cs="宋体"/>
          <w:color w:val="auto"/>
          <w:sz w:val="22"/>
          <w:szCs w:val="22"/>
          <w:highlight w:val="none"/>
        </w:rPr>
        <w:t>资格证书等复印件报委托人备案，并按上述</w:t>
      </w:r>
      <w:r>
        <w:rPr>
          <w:rFonts w:ascii="宋体" w:hAnsi="宋体" w:eastAsia="宋体" w:cs="宋体"/>
          <w:color w:val="auto"/>
          <w:spacing w:val="-1"/>
          <w:sz w:val="22"/>
          <w:szCs w:val="22"/>
          <w:highlight w:val="none"/>
        </w:rPr>
        <w:t>标准提交违约金。</w:t>
      </w:r>
    </w:p>
    <w:p w14:paraId="41514D9D">
      <w:pPr>
        <w:spacing w:line="289" w:lineRule="auto"/>
        <w:ind w:left="6" w:right="150" w:firstLine="441"/>
        <w:rPr>
          <w:rFonts w:ascii="宋体" w:hAnsi="宋体" w:eastAsia="宋体" w:cs="宋体"/>
          <w:color w:val="auto"/>
          <w:sz w:val="22"/>
          <w:szCs w:val="22"/>
          <w:highlight w:val="none"/>
        </w:rPr>
      </w:pPr>
      <w:r>
        <w:rPr>
          <w:rFonts w:ascii="宋体" w:hAnsi="宋体" w:eastAsia="宋体" w:cs="宋体"/>
          <w:color w:val="auto"/>
          <w:spacing w:val="2"/>
          <w:sz w:val="22"/>
          <w:szCs w:val="22"/>
          <w:highlight w:val="none"/>
        </w:rPr>
        <w:t>4.5.6</w:t>
      </w:r>
      <w:r>
        <w:rPr>
          <w:rFonts w:ascii="宋体" w:hAnsi="宋体" w:eastAsia="宋体" w:cs="宋体"/>
          <w:color w:val="auto"/>
          <w:spacing w:val="-39"/>
          <w:sz w:val="22"/>
          <w:szCs w:val="22"/>
          <w:highlight w:val="none"/>
        </w:rPr>
        <w:t xml:space="preserve"> </w:t>
      </w:r>
      <w:r>
        <w:rPr>
          <w:rFonts w:ascii="宋体" w:hAnsi="宋体" w:eastAsia="宋体" w:cs="宋体"/>
          <w:color w:val="auto"/>
          <w:spacing w:val="2"/>
          <w:sz w:val="22"/>
          <w:szCs w:val="22"/>
          <w:highlight w:val="none"/>
        </w:rPr>
        <w:t>如果监理人需要对其在投标文件中提出的人员进场计划及计划调整，必须事先经过</w:t>
      </w:r>
      <w:r>
        <w:rPr>
          <w:rFonts w:ascii="宋体" w:hAnsi="宋体" w:eastAsia="宋体" w:cs="宋体"/>
          <w:color w:val="auto"/>
          <w:sz w:val="22"/>
          <w:szCs w:val="22"/>
          <w:highlight w:val="none"/>
        </w:rPr>
        <w:t>委托人的批准；所有监理人员需经委托人组织考核</w:t>
      </w:r>
      <w:r>
        <w:rPr>
          <w:rFonts w:ascii="宋体" w:hAnsi="宋体" w:eastAsia="宋体" w:cs="宋体"/>
          <w:color w:val="auto"/>
          <w:spacing w:val="-1"/>
          <w:sz w:val="22"/>
          <w:szCs w:val="22"/>
          <w:highlight w:val="none"/>
        </w:rPr>
        <w:t>合格后方可进场。</w:t>
      </w:r>
    </w:p>
    <w:p w14:paraId="0F74FB87">
      <w:pPr>
        <w:spacing w:before="167" w:line="220" w:lineRule="auto"/>
        <w:ind w:left="448"/>
        <w:rPr>
          <w:rFonts w:ascii="宋体" w:hAnsi="宋体" w:eastAsia="宋体" w:cs="宋体"/>
          <w:color w:val="auto"/>
          <w:sz w:val="22"/>
          <w:szCs w:val="22"/>
          <w:highlight w:val="none"/>
        </w:rPr>
      </w:pPr>
      <w:r>
        <w:rPr>
          <w:rFonts w:ascii="宋体" w:hAnsi="宋体" w:eastAsia="宋体" w:cs="宋体"/>
          <w:color w:val="auto"/>
          <w:sz w:val="22"/>
          <w:szCs w:val="22"/>
          <w:highlight w:val="none"/>
        </w:rPr>
        <w:t>4.5.7 监理人员上岗时必须统一着装、挂牌，做到标志</w:t>
      </w:r>
      <w:r>
        <w:rPr>
          <w:rFonts w:ascii="宋体" w:hAnsi="宋体" w:eastAsia="宋体" w:cs="宋体"/>
          <w:color w:val="auto"/>
          <w:spacing w:val="-1"/>
          <w:sz w:val="22"/>
          <w:szCs w:val="22"/>
          <w:highlight w:val="none"/>
        </w:rPr>
        <w:t>明显，形象分明。</w:t>
      </w:r>
    </w:p>
    <w:p w14:paraId="6C5C9F05">
      <w:pPr>
        <w:spacing w:before="166" w:line="289" w:lineRule="auto"/>
        <w:ind w:left="13" w:right="150" w:firstLine="434"/>
        <w:rPr>
          <w:rFonts w:ascii="宋体" w:hAnsi="宋体" w:eastAsia="宋体" w:cs="宋体"/>
          <w:color w:val="auto"/>
          <w:sz w:val="22"/>
          <w:szCs w:val="22"/>
          <w:highlight w:val="none"/>
        </w:rPr>
      </w:pPr>
      <w:r>
        <w:rPr>
          <w:rFonts w:ascii="宋体" w:hAnsi="宋体" w:eastAsia="宋体" w:cs="宋体"/>
          <w:color w:val="auto"/>
          <w:spacing w:val="5"/>
          <w:sz w:val="22"/>
          <w:szCs w:val="22"/>
          <w:highlight w:val="none"/>
        </w:rPr>
        <w:t>4.5.8</w:t>
      </w:r>
      <w:r>
        <w:rPr>
          <w:rFonts w:ascii="宋体" w:hAnsi="宋体" w:eastAsia="宋体" w:cs="宋体"/>
          <w:color w:val="auto"/>
          <w:spacing w:val="-48"/>
          <w:sz w:val="22"/>
          <w:szCs w:val="22"/>
          <w:highlight w:val="none"/>
        </w:rPr>
        <w:t xml:space="preserve"> </w:t>
      </w:r>
      <w:r>
        <w:rPr>
          <w:rFonts w:ascii="宋体" w:hAnsi="宋体" w:eastAsia="宋体" w:cs="宋体"/>
          <w:color w:val="auto"/>
          <w:sz w:val="22"/>
          <w:szCs w:val="22"/>
          <w:highlight w:val="none"/>
        </w:rPr>
        <w:t>在交(竣)工验收及缺陷责</w:t>
      </w:r>
      <w:r>
        <w:rPr>
          <w:rFonts w:ascii="宋体" w:hAnsi="宋体" w:eastAsia="宋体" w:cs="宋体"/>
          <w:color w:val="auto"/>
          <w:spacing w:val="5"/>
          <w:sz w:val="22"/>
          <w:szCs w:val="22"/>
          <w:highlight w:val="none"/>
        </w:rPr>
        <w:t>任期内，监理人应配备</w:t>
      </w:r>
      <w:r>
        <w:rPr>
          <w:rFonts w:ascii="宋体" w:hAnsi="宋体" w:eastAsia="宋体" w:cs="宋体"/>
          <w:color w:val="auto"/>
          <w:spacing w:val="-108"/>
          <w:sz w:val="22"/>
          <w:szCs w:val="22"/>
          <w:highlight w:val="none"/>
        </w:rPr>
        <w:t xml:space="preserve"> </w:t>
      </w:r>
      <w:r>
        <w:rPr>
          <w:rFonts w:ascii="宋体" w:hAnsi="宋体" w:eastAsia="宋体" w:cs="宋体"/>
          <w:color w:val="auto"/>
          <w:spacing w:val="4"/>
          <w:sz w:val="22"/>
          <w:szCs w:val="22"/>
          <w:highlight w:val="none"/>
          <w:u w:val="single" w:color="auto"/>
        </w:rPr>
        <w:t xml:space="preserve">  </w:t>
      </w:r>
      <w:r>
        <w:rPr>
          <w:rFonts w:hint="eastAsia" w:ascii="宋体" w:hAnsi="宋体" w:eastAsia="宋体" w:cs="宋体"/>
          <w:color w:val="auto"/>
          <w:spacing w:val="4"/>
          <w:sz w:val="22"/>
          <w:szCs w:val="22"/>
          <w:highlight w:val="none"/>
          <w:u w:val="single" w:color="auto"/>
          <w:lang w:val="en-US" w:eastAsia="zh-CN"/>
        </w:rPr>
        <w:t>1</w:t>
      </w:r>
      <w:r>
        <w:rPr>
          <w:rFonts w:ascii="宋体" w:hAnsi="宋体" w:eastAsia="宋体" w:cs="宋体"/>
          <w:color w:val="auto"/>
          <w:spacing w:val="4"/>
          <w:sz w:val="22"/>
          <w:szCs w:val="22"/>
          <w:highlight w:val="none"/>
          <w:u w:val="single" w:color="auto"/>
        </w:rPr>
        <w:t xml:space="preserve"> </w:t>
      </w:r>
      <w:r>
        <w:rPr>
          <w:rFonts w:ascii="宋体" w:hAnsi="宋体" w:eastAsia="宋体" w:cs="宋体"/>
          <w:color w:val="auto"/>
          <w:spacing w:val="-96"/>
          <w:sz w:val="22"/>
          <w:szCs w:val="22"/>
          <w:highlight w:val="none"/>
        </w:rPr>
        <w:t xml:space="preserve"> </w:t>
      </w:r>
      <w:r>
        <w:rPr>
          <w:rFonts w:ascii="宋体" w:hAnsi="宋体" w:eastAsia="宋体" w:cs="宋体"/>
          <w:color w:val="auto"/>
          <w:spacing w:val="5"/>
          <w:sz w:val="22"/>
          <w:szCs w:val="22"/>
          <w:highlight w:val="none"/>
        </w:rPr>
        <w:t>名监理人员，且所安排人员应</w:t>
      </w:r>
      <w:r>
        <w:rPr>
          <w:rFonts w:ascii="宋体" w:hAnsi="宋体" w:eastAsia="宋体" w:cs="宋体"/>
          <w:color w:val="auto"/>
          <w:spacing w:val="-2"/>
          <w:sz w:val="22"/>
          <w:szCs w:val="22"/>
          <w:highlight w:val="none"/>
        </w:rPr>
        <w:t>到岗到位，不得随意更换。</w:t>
      </w:r>
    </w:p>
    <w:p w14:paraId="0B42553C">
      <w:pPr>
        <w:spacing w:before="168" w:line="312" w:lineRule="auto"/>
        <w:ind w:left="10" w:right="150" w:firstLine="438"/>
        <w:rPr>
          <w:rFonts w:ascii="宋体" w:hAnsi="宋体" w:eastAsia="宋体" w:cs="宋体"/>
          <w:color w:val="auto"/>
          <w:sz w:val="22"/>
          <w:szCs w:val="22"/>
          <w:highlight w:val="none"/>
        </w:rPr>
      </w:pPr>
      <w:r>
        <w:rPr>
          <w:rFonts w:ascii="宋体" w:hAnsi="宋体" w:eastAsia="宋体" w:cs="宋体"/>
          <w:color w:val="auto"/>
          <w:spacing w:val="2"/>
          <w:sz w:val="22"/>
          <w:szCs w:val="22"/>
          <w:highlight w:val="none"/>
        </w:rPr>
        <w:t>4.5.9</w:t>
      </w:r>
      <w:r>
        <w:rPr>
          <w:rFonts w:ascii="宋体" w:hAnsi="宋体" w:eastAsia="宋体" w:cs="宋体"/>
          <w:color w:val="auto"/>
          <w:spacing w:val="-39"/>
          <w:sz w:val="22"/>
          <w:szCs w:val="22"/>
          <w:highlight w:val="none"/>
        </w:rPr>
        <w:t xml:space="preserve"> </w:t>
      </w:r>
      <w:r>
        <w:rPr>
          <w:rFonts w:ascii="宋体" w:hAnsi="宋体" w:eastAsia="宋体" w:cs="宋体"/>
          <w:color w:val="auto"/>
          <w:spacing w:val="2"/>
          <w:sz w:val="22"/>
          <w:szCs w:val="22"/>
          <w:highlight w:val="none"/>
        </w:rPr>
        <w:t>监理人应根据广东省交通运输厅关于加强交通建设工程从业人员实名制管理和作业</w:t>
      </w:r>
      <w:r>
        <w:rPr>
          <w:rFonts w:ascii="宋体" w:hAnsi="宋体" w:eastAsia="宋体" w:cs="宋体"/>
          <w:color w:val="auto"/>
          <w:spacing w:val="1"/>
          <w:sz w:val="22"/>
          <w:szCs w:val="22"/>
          <w:highlight w:val="none"/>
        </w:rPr>
        <w:t>工人工资支付管理的通知（</w:t>
      </w:r>
      <w:r>
        <w:rPr>
          <w:rFonts w:ascii="宋体" w:hAnsi="宋体" w:eastAsia="宋体" w:cs="宋体"/>
          <w:color w:val="auto"/>
          <w:spacing w:val="48"/>
          <w:sz w:val="22"/>
          <w:szCs w:val="22"/>
          <w:highlight w:val="none"/>
        </w:rPr>
        <w:t xml:space="preserve"> </w:t>
      </w:r>
      <w:r>
        <w:rPr>
          <w:rFonts w:ascii="宋体" w:hAnsi="宋体" w:eastAsia="宋体" w:cs="宋体"/>
          <w:color w:val="auto"/>
          <w:spacing w:val="1"/>
          <w:sz w:val="22"/>
          <w:szCs w:val="22"/>
          <w:highlight w:val="none"/>
        </w:rPr>
        <w:t>粤交基函〔 2020〕</w:t>
      </w:r>
      <w:r>
        <w:rPr>
          <w:rFonts w:ascii="宋体" w:hAnsi="宋体" w:eastAsia="宋体" w:cs="宋体"/>
          <w:color w:val="auto"/>
          <w:spacing w:val="36"/>
          <w:sz w:val="22"/>
          <w:szCs w:val="22"/>
          <w:highlight w:val="none"/>
        </w:rPr>
        <w:t xml:space="preserve"> </w:t>
      </w:r>
      <w:r>
        <w:rPr>
          <w:rFonts w:ascii="宋体" w:hAnsi="宋体" w:eastAsia="宋体" w:cs="宋体"/>
          <w:color w:val="auto"/>
          <w:spacing w:val="1"/>
          <w:sz w:val="22"/>
          <w:szCs w:val="22"/>
          <w:highlight w:val="none"/>
        </w:rPr>
        <w:t>177 号</w:t>
      </w:r>
      <w:r>
        <w:rPr>
          <w:rFonts w:ascii="宋体" w:hAnsi="宋体" w:eastAsia="宋体" w:cs="宋体"/>
          <w:color w:val="auto"/>
          <w:sz w:val="22"/>
          <w:szCs w:val="22"/>
          <w:highlight w:val="none"/>
        </w:rPr>
        <w:t>）</w:t>
      </w:r>
      <w:r>
        <w:rPr>
          <w:rFonts w:ascii="宋体" w:hAnsi="宋体" w:eastAsia="宋体" w:cs="宋体"/>
          <w:color w:val="auto"/>
          <w:spacing w:val="37"/>
          <w:sz w:val="22"/>
          <w:szCs w:val="22"/>
          <w:highlight w:val="none"/>
        </w:rPr>
        <w:t xml:space="preserve"> </w:t>
      </w:r>
      <w:r>
        <w:rPr>
          <w:rFonts w:ascii="宋体" w:hAnsi="宋体" w:eastAsia="宋体" w:cs="宋体"/>
          <w:color w:val="auto"/>
          <w:sz w:val="22"/>
          <w:szCs w:val="22"/>
          <w:highlight w:val="none"/>
        </w:rPr>
        <w:t>的要求， 做好从业人员实名制管</w:t>
      </w:r>
      <w:r>
        <w:rPr>
          <w:rFonts w:ascii="宋体" w:hAnsi="宋体" w:eastAsia="宋体" w:cs="宋体"/>
          <w:color w:val="auto"/>
          <w:spacing w:val="-1"/>
          <w:sz w:val="22"/>
          <w:szCs w:val="22"/>
          <w:highlight w:val="none"/>
        </w:rPr>
        <w:t>理要求， 具体要求根据委托人发布的相关办法执行。</w:t>
      </w:r>
    </w:p>
    <w:p w14:paraId="39D2E1D5">
      <w:pPr>
        <w:spacing w:before="168" w:line="289" w:lineRule="auto"/>
        <w:ind w:left="49" w:right="152" w:firstLine="398"/>
        <w:rPr>
          <w:rFonts w:ascii="宋体" w:hAnsi="宋体" w:eastAsia="宋体" w:cs="宋体"/>
          <w:color w:val="auto"/>
          <w:sz w:val="22"/>
          <w:szCs w:val="22"/>
          <w:highlight w:val="none"/>
        </w:rPr>
      </w:pPr>
      <w:r>
        <w:rPr>
          <w:rFonts w:ascii="宋体" w:hAnsi="宋体" w:eastAsia="宋体" w:cs="宋体"/>
          <w:color w:val="auto"/>
          <w:spacing w:val="4"/>
          <w:sz w:val="22"/>
          <w:szCs w:val="22"/>
          <w:highlight w:val="none"/>
        </w:rPr>
        <w:t>4.5.10 委托人可批准部分未持有交通运输部监理</w:t>
      </w:r>
      <w:r>
        <w:rPr>
          <w:rFonts w:ascii="宋体" w:hAnsi="宋体" w:eastAsia="宋体" w:cs="宋体"/>
          <w:color w:val="auto"/>
          <w:spacing w:val="3"/>
          <w:sz w:val="22"/>
          <w:szCs w:val="22"/>
          <w:highlight w:val="none"/>
        </w:rPr>
        <w:t>工程师证人员以专业工程师身份进入项</w:t>
      </w:r>
      <w:r>
        <w:rPr>
          <w:rFonts w:ascii="宋体" w:hAnsi="宋体" w:eastAsia="宋体" w:cs="宋体"/>
          <w:color w:val="auto"/>
          <w:spacing w:val="-2"/>
          <w:sz w:val="22"/>
          <w:szCs w:val="22"/>
          <w:highlight w:val="none"/>
        </w:rPr>
        <w:t>目执业，书面批复并明确其在项目内的职权范围。比例不超</w:t>
      </w:r>
      <w:r>
        <w:rPr>
          <w:rFonts w:ascii="宋体" w:hAnsi="宋体" w:eastAsia="宋体" w:cs="宋体"/>
          <w:color w:val="auto"/>
          <w:spacing w:val="-42"/>
          <w:sz w:val="22"/>
          <w:szCs w:val="22"/>
          <w:highlight w:val="none"/>
        </w:rPr>
        <w:t xml:space="preserve"> </w:t>
      </w:r>
      <w:r>
        <w:rPr>
          <w:rFonts w:ascii="宋体" w:hAnsi="宋体" w:eastAsia="宋体" w:cs="宋体"/>
          <w:color w:val="auto"/>
          <w:spacing w:val="-2"/>
          <w:sz w:val="22"/>
          <w:szCs w:val="22"/>
          <w:highlight w:val="none"/>
        </w:rPr>
        <w:t>30</w:t>
      </w:r>
      <w:r>
        <w:rPr>
          <w:rFonts w:ascii="宋体" w:hAnsi="宋体" w:eastAsia="宋体" w:cs="宋体"/>
          <w:color w:val="auto"/>
          <w:spacing w:val="-3"/>
          <w:sz w:val="22"/>
          <w:szCs w:val="22"/>
          <w:highlight w:val="none"/>
        </w:rPr>
        <w:t>%。</w:t>
      </w:r>
    </w:p>
    <w:p w14:paraId="2F69860F">
      <w:pPr>
        <w:spacing w:before="166" w:line="219" w:lineRule="auto"/>
        <w:ind w:left="448"/>
        <w:rPr>
          <w:rFonts w:ascii="宋体" w:hAnsi="宋体" w:eastAsia="宋体" w:cs="宋体"/>
          <w:color w:val="auto"/>
          <w:sz w:val="22"/>
          <w:szCs w:val="22"/>
          <w:highlight w:val="none"/>
        </w:rPr>
      </w:pPr>
      <w:r>
        <w:rPr>
          <w:rFonts w:ascii="宋体" w:hAnsi="宋体" w:eastAsia="宋体" w:cs="宋体"/>
          <w:color w:val="auto"/>
          <w:sz w:val="22"/>
          <w:szCs w:val="22"/>
          <w:highlight w:val="none"/>
        </w:rPr>
        <w:t>4.5.11 监理机构应制定监理人员培训方案，培</w:t>
      </w:r>
      <w:r>
        <w:rPr>
          <w:rFonts w:ascii="宋体" w:hAnsi="宋体" w:eastAsia="宋体" w:cs="宋体"/>
          <w:color w:val="auto"/>
          <w:spacing w:val="-1"/>
          <w:sz w:val="22"/>
          <w:szCs w:val="22"/>
          <w:highlight w:val="none"/>
        </w:rPr>
        <w:t>训内容应包括：</w:t>
      </w:r>
    </w:p>
    <w:p w14:paraId="2A8551F1">
      <w:pPr>
        <w:spacing w:before="168" w:line="220" w:lineRule="auto"/>
        <w:ind w:left="450"/>
        <w:rPr>
          <w:rFonts w:ascii="宋体" w:hAnsi="宋体" w:eastAsia="宋体" w:cs="宋体"/>
          <w:color w:val="auto"/>
          <w:sz w:val="22"/>
          <w:szCs w:val="22"/>
          <w:highlight w:val="none"/>
        </w:rPr>
      </w:pPr>
      <w:r>
        <w:rPr>
          <w:rFonts w:ascii="宋体" w:hAnsi="宋体" w:eastAsia="宋体" w:cs="宋体"/>
          <w:color w:val="auto"/>
          <w:spacing w:val="-1"/>
          <w:sz w:val="22"/>
          <w:szCs w:val="22"/>
          <w:highlight w:val="none"/>
        </w:rPr>
        <w:t>a）相关法律法规、规范及指南；</w:t>
      </w:r>
    </w:p>
    <w:p w14:paraId="680FBD0E">
      <w:pPr>
        <w:spacing w:before="165" w:line="220" w:lineRule="auto"/>
        <w:ind w:left="445"/>
        <w:rPr>
          <w:rFonts w:ascii="宋体" w:hAnsi="宋体" w:eastAsia="宋体" w:cs="宋体"/>
          <w:color w:val="auto"/>
          <w:sz w:val="22"/>
          <w:szCs w:val="22"/>
          <w:highlight w:val="none"/>
        </w:rPr>
      </w:pPr>
      <w:bookmarkStart w:id="328" w:name="bookmark144"/>
      <w:bookmarkEnd w:id="328"/>
      <w:r>
        <w:rPr>
          <w:rFonts w:ascii="宋体" w:hAnsi="宋体" w:eastAsia="宋体" w:cs="宋体"/>
          <w:color w:val="auto"/>
          <w:sz w:val="22"/>
          <w:szCs w:val="22"/>
          <w:highlight w:val="none"/>
        </w:rPr>
        <w:t>b）监理基础知识、专业技术知识，分部分项工程质量安全</w:t>
      </w:r>
      <w:r>
        <w:rPr>
          <w:rFonts w:ascii="宋体" w:hAnsi="宋体" w:eastAsia="宋体" w:cs="宋体"/>
          <w:color w:val="auto"/>
          <w:spacing w:val="-1"/>
          <w:sz w:val="22"/>
          <w:szCs w:val="22"/>
          <w:highlight w:val="none"/>
        </w:rPr>
        <w:t>监理要点；</w:t>
      </w:r>
    </w:p>
    <w:p w14:paraId="4701C6F2">
      <w:pPr>
        <w:spacing w:before="44" w:line="289" w:lineRule="auto"/>
        <w:ind w:left="2" w:right="118" w:firstLine="445"/>
        <w:rPr>
          <w:rFonts w:ascii="宋体" w:hAnsi="宋体" w:eastAsia="宋体" w:cs="宋体"/>
          <w:color w:val="auto"/>
          <w:sz w:val="22"/>
          <w:szCs w:val="22"/>
          <w:highlight w:val="none"/>
        </w:rPr>
      </w:pPr>
      <w:r>
        <w:rPr>
          <w:rFonts w:ascii="宋体" w:hAnsi="宋体" w:eastAsia="宋体" w:cs="宋体"/>
          <w:color w:val="auto"/>
          <w:spacing w:val="4"/>
          <w:sz w:val="22"/>
          <w:szCs w:val="22"/>
          <w:highlight w:val="none"/>
        </w:rPr>
        <w:t>c）项目建设目标、建设理念、项目管理要求或建设单位下发的项</w:t>
      </w:r>
      <w:r>
        <w:rPr>
          <w:rFonts w:ascii="宋体" w:hAnsi="宋体" w:eastAsia="宋体" w:cs="宋体"/>
          <w:color w:val="auto"/>
          <w:spacing w:val="3"/>
          <w:sz w:val="22"/>
          <w:szCs w:val="22"/>
          <w:highlight w:val="none"/>
        </w:rPr>
        <w:t>目管理办法、工程特点</w:t>
      </w:r>
      <w:r>
        <w:rPr>
          <w:rFonts w:ascii="宋体" w:hAnsi="宋体" w:eastAsia="宋体" w:cs="宋体"/>
          <w:color w:val="auto"/>
          <w:sz w:val="22"/>
          <w:szCs w:val="22"/>
          <w:highlight w:val="none"/>
        </w:rPr>
        <w:t>和施工图设计文件，总体施工组织设计、承包人项目管理方案</w:t>
      </w:r>
      <w:r>
        <w:rPr>
          <w:rFonts w:ascii="宋体" w:hAnsi="宋体" w:eastAsia="宋体" w:cs="宋体"/>
          <w:color w:val="auto"/>
          <w:spacing w:val="-1"/>
          <w:sz w:val="22"/>
          <w:szCs w:val="22"/>
          <w:highlight w:val="none"/>
        </w:rPr>
        <w:t>及专项施工方案等；</w:t>
      </w:r>
    </w:p>
    <w:p w14:paraId="18C30CDC">
      <w:pPr>
        <w:spacing w:before="167" w:line="221" w:lineRule="auto"/>
        <w:ind w:left="447"/>
        <w:rPr>
          <w:rFonts w:ascii="宋体" w:hAnsi="宋体" w:eastAsia="宋体" w:cs="宋体"/>
          <w:color w:val="auto"/>
          <w:sz w:val="22"/>
          <w:szCs w:val="22"/>
          <w:highlight w:val="none"/>
        </w:rPr>
      </w:pPr>
      <w:r>
        <w:rPr>
          <w:rFonts w:ascii="宋体" w:hAnsi="宋体" w:eastAsia="宋体" w:cs="宋体"/>
          <w:color w:val="auto"/>
          <w:spacing w:val="-2"/>
          <w:sz w:val="22"/>
          <w:szCs w:val="22"/>
          <w:highlight w:val="none"/>
        </w:rPr>
        <w:t>d）其他方面。</w:t>
      </w:r>
    </w:p>
    <w:p w14:paraId="14F22DA3">
      <w:pPr>
        <w:spacing w:line="300" w:lineRule="auto"/>
        <w:rPr>
          <w:rFonts w:ascii="Arial"/>
          <w:color w:val="auto"/>
          <w:sz w:val="21"/>
          <w:highlight w:val="none"/>
        </w:rPr>
      </w:pPr>
    </w:p>
    <w:p w14:paraId="7A9042F9">
      <w:pPr>
        <w:spacing w:line="301" w:lineRule="auto"/>
        <w:rPr>
          <w:rFonts w:ascii="Arial"/>
          <w:color w:val="auto"/>
          <w:sz w:val="21"/>
          <w:highlight w:val="none"/>
        </w:rPr>
      </w:pPr>
    </w:p>
    <w:p w14:paraId="621A00DA">
      <w:pPr>
        <w:spacing w:before="78" w:line="219" w:lineRule="auto"/>
        <w:ind w:left="1"/>
        <w:rPr>
          <w:rFonts w:ascii="宋体" w:hAnsi="宋体" w:eastAsia="宋体" w:cs="宋体"/>
          <w:color w:val="auto"/>
          <w:sz w:val="24"/>
          <w:szCs w:val="24"/>
          <w:highlight w:val="none"/>
        </w:rPr>
      </w:pPr>
      <w:r>
        <w:rPr>
          <w:rFonts w:ascii="宋体" w:hAnsi="宋体" w:eastAsia="宋体" w:cs="宋体"/>
          <w:b/>
          <w:bCs/>
          <w:color w:val="auto"/>
          <w:spacing w:val="-3"/>
          <w:sz w:val="24"/>
          <w:szCs w:val="24"/>
          <w:highlight w:val="none"/>
        </w:rPr>
        <w:t>4.6</w:t>
      </w:r>
      <w:r>
        <w:rPr>
          <w:rFonts w:ascii="宋体" w:hAnsi="宋体" w:eastAsia="宋体" w:cs="宋体"/>
          <w:color w:val="auto"/>
          <w:spacing w:val="-48"/>
          <w:sz w:val="24"/>
          <w:szCs w:val="24"/>
          <w:highlight w:val="none"/>
        </w:rPr>
        <w:t xml:space="preserve"> </w:t>
      </w:r>
      <w:r>
        <w:rPr>
          <w:rFonts w:ascii="宋体" w:hAnsi="宋体" w:eastAsia="宋体" w:cs="宋体"/>
          <w:b/>
          <w:bCs/>
          <w:color w:val="auto"/>
          <w:spacing w:val="-3"/>
          <w:sz w:val="24"/>
          <w:szCs w:val="24"/>
          <w:highlight w:val="none"/>
        </w:rPr>
        <w:t>撤换总监理工程师和其他人员</w:t>
      </w:r>
    </w:p>
    <w:p w14:paraId="5FC1AC45">
      <w:pPr>
        <w:spacing w:before="175" w:line="220" w:lineRule="auto"/>
        <w:ind w:left="442"/>
        <w:rPr>
          <w:rFonts w:ascii="宋体" w:hAnsi="宋体" w:eastAsia="宋体" w:cs="宋体"/>
          <w:color w:val="auto"/>
          <w:sz w:val="22"/>
          <w:szCs w:val="22"/>
          <w:highlight w:val="none"/>
        </w:rPr>
      </w:pPr>
      <w:r>
        <w:rPr>
          <w:rFonts w:ascii="宋体" w:hAnsi="宋体" w:eastAsia="宋体" w:cs="宋体"/>
          <w:color w:val="auto"/>
          <w:spacing w:val="-2"/>
          <w:sz w:val="22"/>
          <w:szCs w:val="22"/>
          <w:highlight w:val="none"/>
        </w:rPr>
        <w:t>在</w:t>
      </w:r>
      <w:r>
        <w:rPr>
          <w:rFonts w:ascii="宋体" w:hAnsi="宋体" w:eastAsia="宋体" w:cs="宋体"/>
          <w:color w:val="auto"/>
          <w:spacing w:val="-48"/>
          <w:sz w:val="22"/>
          <w:szCs w:val="22"/>
          <w:highlight w:val="none"/>
        </w:rPr>
        <w:t xml:space="preserve"> </w:t>
      </w:r>
      <w:r>
        <w:rPr>
          <w:rFonts w:ascii="宋体" w:hAnsi="宋体" w:eastAsia="宋体" w:cs="宋体"/>
          <w:color w:val="auto"/>
          <w:spacing w:val="-2"/>
          <w:sz w:val="22"/>
          <w:szCs w:val="22"/>
          <w:highlight w:val="none"/>
        </w:rPr>
        <w:t>4.6</w:t>
      </w:r>
      <w:r>
        <w:rPr>
          <w:rFonts w:ascii="宋体" w:hAnsi="宋体" w:eastAsia="宋体" w:cs="宋体"/>
          <w:color w:val="auto"/>
          <w:spacing w:val="-43"/>
          <w:sz w:val="22"/>
          <w:szCs w:val="22"/>
          <w:highlight w:val="none"/>
        </w:rPr>
        <w:t xml:space="preserve"> </w:t>
      </w:r>
      <w:r>
        <w:rPr>
          <w:rFonts w:ascii="宋体" w:hAnsi="宋体" w:eastAsia="宋体" w:cs="宋体"/>
          <w:color w:val="auto"/>
          <w:spacing w:val="-2"/>
          <w:sz w:val="22"/>
          <w:szCs w:val="22"/>
          <w:highlight w:val="none"/>
        </w:rPr>
        <w:t>项段后增加如下内容：</w:t>
      </w:r>
    </w:p>
    <w:p w14:paraId="0DF37F47">
      <w:pPr>
        <w:spacing w:before="166" w:line="360" w:lineRule="auto"/>
        <w:ind w:left="1" w:firstLine="442"/>
        <w:rPr>
          <w:rFonts w:ascii="宋体" w:hAnsi="宋体" w:eastAsia="宋体" w:cs="宋体"/>
          <w:color w:val="auto"/>
          <w:sz w:val="22"/>
          <w:szCs w:val="22"/>
          <w:highlight w:val="none"/>
        </w:rPr>
      </w:pPr>
      <w:r>
        <w:rPr>
          <w:rFonts w:ascii="宋体" w:hAnsi="宋体" w:eastAsia="宋体" w:cs="宋体"/>
          <w:color w:val="auto"/>
          <w:spacing w:val="1"/>
          <w:sz w:val="22"/>
          <w:szCs w:val="22"/>
          <w:highlight w:val="none"/>
        </w:rPr>
        <w:t>尽管监理人已按投标文件中的人员进场计划派遣了监理人员，但若委托人认为现场监理人员仍不足以满足施工监理服务的需要而影响了对工程质量及进度的监控时，委托人有权要求监</w:t>
      </w:r>
      <w:r>
        <w:rPr>
          <w:rFonts w:ascii="宋体" w:hAnsi="宋体" w:eastAsia="宋体" w:cs="宋体"/>
          <w:color w:val="auto"/>
          <w:spacing w:val="-1"/>
          <w:sz w:val="22"/>
          <w:szCs w:val="22"/>
          <w:highlight w:val="none"/>
        </w:rPr>
        <w:t>理人另外增派或雇用监理人员。监理人在接到通知后应</w:t>
      </w:r>
      <w:r>
        <w:rPr>
          <w:rFonts w:ascii="宋体" w:hAnsi="宋体" w:eastAsia="宋体" w:cs="宋体"/>
          <w:color w:val="auto"/>
          <w:spacing w:val="-2"/>
          <w:sz w:val="22"/>
          <w:szCs w:val="22"/>
          <w:highlight w:val="none"/>
        </w:rPr>
        <w:t>立即执行委托人的指示，不得无故拖延，</w:t>
      </w:r>
      <w:r>
        <w:rPr>
          <w:rFonts w:ascii="宋体" w:hAnsi="宋体" w:eastAsia="宋体" w:cs="宋体"/>
          <w:color w:val="auto"/>
          <w:spacing w:val="1"/>
          <w:sz w:val="22"/>
          <w:szCs w:val="22"/>
          <w:highlight w:val="none"/>
        </w:rPr>
        <w:t>同时委托人也有权要求监理人减少监理人员。如监理人因此在投标报价的现场监理人员费用总</w:t>
      </w:r>
      <w:r>
        <w:rPr>
          <w:rFonts w:ascii="宋体" w:hAnsi="宋体" w:eastAsia="宋体" w:cs="宋体"/>
          <w:color w:val="auto"/>
          <w:sz w:val="22"/>
          <w:szCs w:val="22"/>
          <w:highlight w:val="none"/>
        </w:rPr>
        <w:t>额上需增减费用，则增加部分由委托人承担，减</w:t>
      </w:r>
      <w:r>
        <w:rPr>
          <w:rFonts w:ascii="宋体" w:hAnsi="宋体" w:eastAsia="宋体" w:cs="宋体"/>
          <w:color w:val="auto"/>
          <w:spacing w:val="-1"/>
          <w:sz w:val="22"/>
          <w:szCs w:val="22"/>
          <w:highlight w:val="none"/>
        </w:rPr>
        <w:t>少部分归委托人所有。</w:t>
      </w:r>
    </w:p>
    <w:p w14:paraId="4A8BA6E9">
      <w:pPr>
        <w:spacing w:line="322" w:lineRule="auto"/>
        <w:rPr>
          <w:rFonts w:ascii="Arial"/>
          <w:color w:val="auto"/>
          <w:sz w:val="21"/>
          <w:highlight w:val="none"/>
        </w:rPr>
      </w:pPr>
    </w:p>
    <w:p w14:paraId="7E92F2F1">
      <w:pPr>
        <w:spacing w:before="78" w:line="221" w:lineRule="auto"/>
        <w:ind w:left="7"/>
        <w:outlineLvl w:val="1"/>
        <w:rPr>
          <w:rFonts w:ascii="宋体" w:hAnsi="宋体" w:eastAsia="宋体" w:cs="宋体"/>
          <w:color w:val="auto"/>
          <w:sz w:val="24"/>
          <w:szCs w:val="24"/>
          <w:highlight w:val="none"/>
        </w:rPr>
      </w:pPr>
      <w:bookmarkStart w:id="329" w:name="_Toc19124"/>
      <w:bookmarkStart w:id="330" w:name="_Toc15"/>
      <w:bookmarkStart w:id="331" w:name="_Toc4735"/>
      <w:r>
        <w:rPr>
          <w:rFonts w:ascii="宋体" w:hAnsi="宋体" w:eastAsia="宋体" w:cs="宋体"/>
          <w:b/>
          <w:bCs/>
          <w:color w:val="auto"/>
          <w:spacing w:val="-6"/>
          <w:sz w:val="24"/>
          <w:szCs w:val="24"/>
          <w:highlight w:val="none"/>
        </w:rPr>
        <w:t>5.</w:t>
      </w:r>
      <w:r>
        <w:rPr>
          <w:rFonts w:ascii="宋体" w:hAnsi="宋体" w:eastAsia="宋体" w:cs="宋体"/>
          <w:color w:val="auto"/>
          <w:spacing w:val="10"/>
          <w:sz w:val="24"/>
          <w:szCs w:val="24"/>
          <w:highlight w:val="none"/>
        </w:rPr>
        <w:t xml:space="preserve"> </w:t>
      </w:r>
      <w:r>
        <w:rPr>
          <w:rFonts w:ascii="宋体" w:hAnsi="宋体" w:eastAsia="宋体" w:cs="宋体"/>
          <w:b/>
          <w:bCs/>
          <w:color w:val="auto"/>
          <w:spacing w:val="-6"/>
          <w:sz w:val="24"/>
          <w:szCs w:val="24"/>
          <w:highlight w:val="none"/>
        </w:rPr>
        <w:t>监理要求</w:t>
      </w:r>
      <w:bookmarkEnd w:id="329"/>
      <w:bookmarkEnd w:id="330"/>
      <w:bookmarkEnd w:id="331"/>
    </w:p>
    <w:p w14:paraId="3E357C2B">
      <w:pPr>
        <w:spacing w:before="289" w:line="220" w:lineRule="auto"/>
        <w:ind w:left="7"/>
        <w:rPr>
          <w:rFonts w:ascii="宋体" w:hAnsi="宋体" w:eastAsia="宋体" w:cs="宋体"/>
          <w:color w:val="auto"/>
          <w:sz w:val="24"/>
          <w:szCs w:val="24"/>
          <w:highlight w:val="none"/>
        </w:rPr>
      </w:pPr>
      <w:r>
        <w:rPr>
          <w:rFonts w:ascii="宋体" w:hAnsi="宋体" w:eastAsia="宋体" w:cs="宋体"/>
          <w:b/>
          <w:bCs/>
          <w:color w:val="auto"/>
          <w:spacing w:val="-6"/>
          <w:sz w:val="24"/>
          <w:szCs w:val="24"/>
          <w:highlight w:val="none"/>
        </w:rPr>
        <w:t>5.1</w:t>
      </w:r>
      <w:r>
        <w:rPr>
          <w:rFonts w:ascii="宋体" w:hAnsi="宋体" w:eastAsia="宋体" w:cs="宋体"/>
          <w:color w:val="auto"/>
          <w:spacing w:val="16"/>
          <w:sz w:val="24"/>
          <w:szCs w:val="24"/>
          <w:highlight w:val="none"/>
        </w:rPr>
        <w:t xml:space="preserve"> </w:t>
      </w:r>
      <w:r>
        <w:rPr>
          <w:rFonts w:ascii="宋体" w:hAnsi="宋体" w:eastAsia="宋体" w:cs="宋体"/>
          <w:b/>
          <w:bCs/>
          <w:color w:val="auto"/>
          <w:spacing w:val="-6"/>
          <w:sz w:val="24"/>
          <w:szCs w:val="24"/>
          <w:highlight w:val="none"/>
        </w:rPr>
        <w:t>监理范围</w:t>
      </w:r>
    </w:p>
    <w:p w14:paraId="157AC4FE">
      <w:pPr>
        <w:spacing w:before="177" w:line="360" w:lineRule="auto"/>
        <w:ind w:left="7" w:leftChars="0" w:firstLine="440" w:firstLineChars="200"/>
        <w:rPr>
          <w:rFonts w:ascii="宋体" w:hAnsi="宋体" w:eastAsia="宋体" w:cs="宋体"/>
          <w:color w:val="auto"/>
          <w:sz w:val="22"/>
          <w:szCs w:val="22"/>
          <w:highlight w:val="none"/>
        </w:rPr>
      </w:pPr>
      <w:r>
        <w:rPr>
          <w:rFonts w:ascii="宋体" w:hAnsi="宋体" w:eastAsia="宋体" w:cs="宋体"/>
          <w:color w:val="auto"/>
          <w:sz w:val="22"/>
          <w:szCs w:val="22"/>
          <w:highlight w:val="none"/>
        </w:rPr>
        <w:t>5.1.2 工程范围包括：</w:t>
      </w:r>
      <w:r>
        <w:rPr>
          <w:rFonts w:ascii="宋体" w:hAnsi="宋体" w:eastAsia="宋体" w:cs="宋体"/>
          <w:color w:val="auto"/>
          <w:sz w:val="22"/>
          <w:szCs w:val="22"/>
          <w:highlight w:val="none"/>
          <w:u w:val="single" w:color="auto"/>
        </w:rPr>
        <w:t xml:space="preserve"> </w:t>
      </w:r>
      <w:r>
        <w:rPr>
          <w:rFonts w:hint="eastAsia" w:ascii="宋体" w:hAnsi="宋体" w:eastAsia="宋体" w:cs="宋体"/>
          <w:color w:val="auto"/>
          <w:sz w:val="22"/>
          <w:szCs w:val="22"/>
          <w:highlight w:val="none"/>
          <w:u w:val="single" w:color="auto"/>
          <w:lang w:val="en-US" w:eastAsia="zh-CN"/>
        </w:rPr>
        <w:t>本项目路线全</w:t>
      </w:r>
      <w:r>
        <w:rPr>
          <w:rFonts w:hint="eastAsia" w:ascii="宋体" w:hAnsi="宋体" w:eastAsia="宋体" w:cs="宋体"/>
          <w:color w:val="auto"/>
          <w:sz w:val="22"/>
          <w:szCs w:val="22"/>
          <w:highlight w:val="none"/>
          <w:u w:val="single" w:color="auto"/>
          <w:lang w:val="en-US" w:eastAsia="zh-CN"/>
        </w:rPr>
        <w:t>长31.626km，拟建路段范围内拆除重建桥梁47.94m/2 座，利用旧桥 55.9m/3 座，桥改涵 12.0m/2 座，设涵洞 158 道，平面交叉 107 处，路基土石方开挖约23.7665万立方米，水泥混凝土路面约124.66千平方米。</w:t>
      </w:r>
      <w:r>
        <w:rPr>
          <w:rFonts w:hint="eastAsia" w:ascii="宋体" w:hAnsi="宋体" w:eastAsia="宋体" w:cs="宋体"/>
          <w:color w:val="auto"/>
          <w:sz w:val="22"/>
          <w:szCs w:val="22"/>
          <w:highlight w:val="none"/>
          <w:u w:val="single" w:color="auto"/>
          <w:lang w:val="en-US" w:eastAsia="zh-CN"/>
        </w:rPr>
        <w:t>全线双向两车道，</w:t>
      </w:r>
      <w:r>
        <w:rPr>
          <w:rFonts w:hint="eastAsia" w:ascii="宋体" w:hAnsi="宋体" w:eastAsia="宋体" w:cs="宋体"/>
          <w:color w:val="auto"/>
          <w:sz w:val="22"/>
          <w:szCs w:val="22"/>
          <w:highlight w:val="none"/>
          <w:u w:val="single" w:color="auto"/>
          <w:lang w:val="en-US" w:eastAsia="zh-CN"/>
        </w:rPr>
        <w:t>总体采用三级公路技术标准，设计速度30Km/h设计(局部路段降低标准按照20Km/h设计）</w:t>
      </w:r>
      <w:r>
        <w:rPr>
          <w:rFonts w:hint="eastAsia" w:ascii="宋体" w:hAnsi="宋体" w:eastAsia="宋体" w:cs="宋体"/>
          <w:color w:val="auto"/>
          <w:sz w:val="22"/>
          <w:szCs w:val="22"/>
          <w:highlight w:val="none"/>
          <w:u w:val="single" w:color="auto"/>
          <w:lang w:eastAsia="zh-CN"/>
        </w:rPr>
        <w:t>。</w:t>
      </w:r>
    </w:p>
    <w:p w14:paraId="41841AE4">
      <w:pPr>
        <w:spacing w:before="166" w:line="360" w:lineRule="auto"/>
        <w:ind w:left="7" w:leftChars="0" w:firstLine="438" w:firstLineChars="203"/>
        <w:rPr>
          <w:rFonts w:ascii="宋体" w:hAnsi="宋体" w:eastAsia="宋体" w:cs="宋体"/>
          <w:color w:val="auto"/>
          <w:sz w:val="22"/>
          <w:szCs w:val="22"/>
          <w:highlight w:val="none"/>
        </w:rPr>
      </w:pPr>
      <w:r>
        <w:rPr>
          <w:rFonts w:ascii="宋体" w:hAnsi="宋体" w:eastAsia="宋体" w:cs="宋体"/>
          <w:color w:val="auto"/>
          <w:spacing w:val="-2"/>
          <w:sz w:val="22"/>
          <w:szCs w:val="22"/>
          <w:highlight w:val="none"/>
        </w:rPr>
        <w:t>5.1.3 阶段范围包括：</w:t>
      </w:r>
      <w:r>
        <w:rPr>
          <w:rFonts w:ascii="宋体" w:hAnsi="宋体" w:eastAsia="宋体" w:cs="宋体"/>
          <w:color w:val="auto"/>
          <w:sz w:val="22"/>
          <w:szCs w:val="22"/>
          <w:highlight w:val="none"/>
          <w:u w:val="single" w:color="auto"/>
        </w:rPr>
        <w:t xml:space="preserve"> </w:t>
      </w:r>
      <w:r>
        <w:rPr>
          <w:rFonts w:hint="eastAsia" w:ascii="宋体" w:hAnsi="宋体" w:eastAsia="宋体" w:cs="宋体"/>
          <w:color w:val="auto"/>
          <w:sz w:val="22"/>
          <w:szCs w:val="22"/>
          <w:highlight w:val="none"/>
          <w:u w:val="single" w:color="auto"/>
        </w:rPr>
        <w:t>施工准备阶段、施工阶段、交(竣)工验收及缺陷责任期阶段的施工监理、施工安全的监理</w:t>
      </w:r>
      <w:r>
        <w:rPr>
          <w:rFonts w:ascii="宋体" w:hAnsi="宋体" w:eastAsia="宋体" w:cs="宋体"/>
          <w:color w:val="auto"/>
          <w:sz w:val="22"/>
          <w:szCs w:val="22"/>
          <w:highlight w:val="none"/>
          <w:u w:val="single" w:color="auto"/>
        </w:rPr>
        <w:t xml:space="preserve"> </w:t>
      </w:r>
      <w:r>
        <w:rPr>
          <w:rFonts w:ascii="宋体" w:hAnsi="宋体" w:eastAsia="宋体" w:cs="宋体"/>
          <w:color w:val="auto"/>
          <w:spacing w:val="-2"/>
          <w:sz w:val="22"/>
          <w:szCs w:val="22"/>
          <w:highlight w:val="none"/>
        </w:rPr>
        <w:t>。</w:t>
      </w:r>
    </w:p>
    <w:p w14:paraId="466FA100">
      <w:pPr>
        <w:spacing w:before="164" w:line="360" w:lineRule="auto"/>
        <w:ind w:left="0" w:leftChars="0" w:firstLine="418" w:firstLineChars="190"/>
        <w:rPr>
          <w:rFonts w:hint="eastAsia" w:ascii="宋体" w:hAnsi="宋体" w:eastAsia="宋体" w:cs="宋体"/>
          <w:color w:val="auto"/>
          <w:sz w:val="22"/>
          <w:szCs w:val="22"/>
          <w:highlight w:val="none"/>
          <w:u w:val="single" w:color="auto"/>
          <w:lang w:eastAsia="zh-CN"/>
        </w:rPr>
      </w:pPr>
      <w:r>
        <w:rPr>
          <w:rFonts w:ascii="宋体" w:hAnsi="宋体" w:eastAsia="宋体" w:cs="宋体"/>
          <w:color w:val="auto"/>
          <w:sz w:val="22"/>
          <w:szCs w:val="22"/>
          <w:highlight w:val="none"/>
        </w:rPr>
        <w:t>5.1.4 工作范围包括：</w:t>
      </w:r>
      <w:r>
        <w:rPr>
          <w:rFonts w:hint="eastAsia" w:ascii="宋体" w:hAnsi="宋体" w:eastAsia="宋体" w:cs="宋体"/>
          <w:color w:val="auto"/>
          <w:sz w:val="22"/>
          <w:szCs w:val="22"/>
          <w:highlight w:val="none"/>
          <w:u w:val="single" w:color="auto"/>
        </w:rPr>
        <w:t>里程范围内路基、桥涵、路面、绿化、交通安全设施、</w:t>
      </w:r>
      <w:r>
        <w:rPr>
          <w:rFonts w:hint="eastAsia" w:ascii="宋体" w:hAnsi="宋体" w:eastAsia="宋体" w:cs="宋体"/>
          <w:color w:val="auto"/>
          <w:sz w:val="22"/>
          <w:szCs w:val="22"/>
          <w:highlight w:val="none"/>
          <w:u w:val="single" w:color="auto"/>
          <w:lang w:val="en-US" w:eastAsia="zh-CN"/>
        </w:rPr>
        <w:t>以及</w:t>
      </w:r>
      <w:r>
        <w:rPr>
          <w:rFonts w:hint="eastAsia" w:ascii="宋体" w:hAnsi="宋体" w:eastAsia="宋体" w:cs="宋体"/>
          <w:color w:val="auto"/>
          <w:sz w:val="22"/>
          <w:szCs w:val="22"/>
          <w:highlight w:val="none"/>
          <w:u w:val="single" w:color="auto"/>
        </w:rPr>
        <w:t>沿线附属设施等的施工准备阶段、施工阶段、交(竣)工验收及缺陷责任期阶段的施工监理、施工安全的监理，项目的环境保护、水土保持的监理，参建各方竣工档案编制工作的监理，以及配合业主交、竣工验收和配合业主竣工验收前的结算与决算的有关工作。并负责监理中心试验室的筹建工作</w:t>
      </w:r>
      <w:r>
        <w:rPr>
          <w:rFonts w:hint="eastAsia" w:ascii="宋体" w:hAnsi="宋体" w:eastAsia="宋体" w:cs="宋体"/>
          <w:color w:val="auto"/>
          <w:sz w:val="22"/>
          <w:szCs w:val="22"/>
          <w:highlight w:val="none"/>
          <w:u w:val="single" w:color="auto"/>
          <w:lang w:eastAsia="zh-CN"/>
        </w:rPr>
        <w:t>。</w:t>
      </w:r>
    </w:p>
    <w:p w14:paraId="2A0F56E8">
      <w:pPr>
        <w:spacing w:line="329" w:lineRule="auto"/>
        <w:rPr>
          <w:rFonts w:ascii="Arial"/>
          <w:color w:val="auto"/>
          <w:sz w:val="21"/>
          <w:highlight w:val="none"/>
        </w:rPr>
      </w:pPr>
    </w:p>
    <w:p w14:paraId="1FCD407C">
      <w:pPr>
        <w:spacing w:before="79" w:line="219" w:lineRule="auto"/>
        <w:ind w:left="7"/>
        <w:rPr>
          <w:rFonts w:ascii="宋体" w:hAnsi="宋体" w:eastAsia="宋体" w:cs="宋体"/>
          <w:color w:val="auto"/>
          <w:sz w:val="24"/>
          <w:szCs w:val="24"/>
          <w:highlight w:val="none"/>
        </w:rPr>
      </w:pPr>
      <w:r>
        <w:rPr>
          <w:rFonts w:ascii="宋体" w:hAnsi="宋体" w:eastAsia="宋体" w:cs="宋体"/>
          <w:b/>
          <w:bCs/>
          <w:color w:val="auto"/>
          <w:spacing w:val="-6"/>
          <w:sz w:val="24"/>
          <w:szCs w:val="24"/>
          <w:highlight w:val="none"/>
        </w:rPr>
        <w:t>5.3</w:t>
      </w:r>
      <w:r>
        <w:rPr>
          <w:rFonts w:ascii="宋体" w:hAnsi="宋体" w:eastAsia="宋体" w:cs="宋体"/>
          <w:color w:val="auto"/>
          <w:spacing w:val="16"/>
          <w:sz w:val="24"/>
          <w:szCs w:val="24"/>
          <w:highlight w:val="none"/>
        </w:rPr>
        <w:t xml:space="preserve"> </w:t>
      </w:r>
      <w:r>
        <w:rPr>
          <w:rFonts w:ascii="宋体" w:hAnsi="宋体" w:eastAsia="宋体" w:cs="宋体"/>
          <w:b/>
          <w:bCs/>
          <w:color w:val="auto"/>
          <w:spacing w:val="-6"/>
          <w:sz w:val="24"/>
          <w:szCs w:val="24"/>
          <w:highlight w:val="none"/>
        </w:rPr>
        <w:t>监理内容</w:t>
      </w:r>
    </w:p>
    <w:p w14:paraId="5F199CE1">
      <w:pPr>
        <w:spacing w:before="175" w:line="228" w:lineRule="auto"/>
        <w:ind w:left="472"/>
        <w:rPr>
          <w:rFonts w:ascii="宋体" w:hAnsi="宋体" w:eastAsia="宋体" w:cs="宋体"/>
          <w:color w:val="auto"/>
          <w:sz w:val="20"/>
          <w:szCs w:val="20"/>
          <w:highlight w:val="none"/>
        </w:rPr>
      </w:pPr>
      <w:r>
        <w:rPr>
          <w:rFonts w:ascii="宋体" w:hAnsi="宋体" w:eastAsia="宋体" w:cs="宋体"/>
          <w:color w:val="auto"/>
          <w:spacing w:val="17"/>
          <w:sz w:val="20"/>
          <w:szCs w:val="20"/>
          <w:highlight w:val="none"/>
        </w:rPr>
        <w:t>（以下适用于二级监理管理的情形）</w:t>
      </w:r>
    </w:p>
    <w:p w14:paraId="257624E0">
      <w:pPr>
        <w:spacing w:before="162" w:line="359" w:lineRule="auto"/>
        <w:ind w:right="115" w:firstLine="442"/>
        <w:jc w:val="both"/>
        <w:rPr>
          <w:rFonts w:ascii="宋体" w:hAnsi="宋体" w:eastAsia="宋体" w:cs="宋体"/>
          <w:color w:val="auto"/>
          <w:sz w:val="22"/>
          <w:szCs w:val="22"/>
          <w:highlight w:val="none"/>
        </w:rPr>
      </w:pPr>
      <w:r>
        <w:rPr>
          <w:rFonts w:ascii="宋体" w:hAnsi="宋体" w:eastAsia="宋体" w:cs="宋体"/>
          <w:color w:val="auto"/>
          <w:spacing w:val="2"/>
          <w:sz w:val="20"/>
          <w:szCs w:val="20"/>
          <w:highlight w:val="none"/>
        </w:rPr>
        <w:t>□</w:t>
      </w:r>
      <w:r>
        <w:rPr>
          <w:rFonts w:ascii="宋体" w:hAnsi="宋体" w:eastAsia="宋体" w:cs="宋体"/>
          <w:color w:val="auto"/>
          <w:spacing w:val="2"/>
          <w:sz w:val="22"/>
          <w:szCs w:val="22"/>
          <w:highlight w:val="none"/>
        </w:rPr>
        <w:t>工程同时设置总监理工程师办公室和驻地监理工程师</w:t>
      </w:r>
      <w:r>
        <w:rPr>
          <w:rFonts w:ascii="宋体" w:hAnsi="宋体" w:eastAsia="宋体" w:cs="宋体"/>
          <w:color w:val="auto"/>
          <w:spacing w:val="1"/>
          <w:sz w:val="22"/>
          <w:szCs w:val="22"/>
          <w:highlight w:val="none"/>
        </w:rPr>
        <w:t>办公室：本项目施工监理机构不设置中心试验室。委托人通过单独招标方式，另行设置中心试验室，原监理机构中心试验室的相</w:t>
      </w:r>
      <w:r>
        <w:rPr>
          <w:rFonts w:ascii="宋体" w:hAnsi="宋体" w:eastAsia="宋体" w:cs="宋体"/>
          <w:color w:val="auto"/>
          <w:spacing w:val="-1"/>
          <w:sz w:val="22"/>
          <w:szCs w:val="22"/>
          <w:highlight w:val="none"/>
        </w:rPr>
        <w:t>关试验检测服务工作由中心试验室试验检测服务单位承担，具体约定见</w:t>
      </w:r>
      <w:r>
        <w:rPr>
          <w:rFonts w:ascii="宋体" w:hAnsi="宋体" w:eastAsia="宋体" w:cs="宋体"/>
          <w:color w:val="auto"/>
          <w:spacing w:val="-30"/>
          <w:sz w:val="22"/>
          <w:szCs w:val="22"/>
          <w:highlight w:val="none"/>
        </w:rPr>
        <w:t xml:space="preserve"> </w:t>
      </w:r>
      <w:r>
        <w:rPr>
          <w:rFonts w:ascii="宋体" w:hAnsi="宋体" w:eastAsia="宋体" w:cs="宋体"/>
          <w:color w:val="auto"/>
          <w:spacing w:val="-1"/>
          <w:sz w:val="22"/>
          <w:szCs w:val="22"/>
          <w:highlight w:val="none"/>
        </w:rPr>
        <w:t>13.6</w:t>
      </w:r>
      <w:r>
        <w:rPr>
          <w:rFonts w:ascii="宋体" w:hAnsi="宋体" w:eastAsia="宋体" w:cs="宋体"/>
          <w:color w:val="auto"/>
          <w:spacing w:val="-48"/>
          <w:sz w:val="22"/>
          <w:szCs w:val="22"/>
          <w:highlight w:val="none"/>
        </w:rPr>
        <w:t xml:space="preserve"> </w:t>
      </w:r>
      <w:r>
        <w:rPr>
          <w:rFonts w:ascii="宋体" w:hAnsi="宋体" w:eastAsia="宋体" w:cs="宋体"/>
          <w:color w:val="auto"/>
          <w:spacing w:val="-2"/>
          <w:sz w:val="22"/>
          <w:szCs w:val="22"/>
          <w:highlight w:val="none"/>
        </w:rPr>
        <w:t>款；</w:t>
      </w:r>
    </w:p>
    <w:p w14:paraId="69C18F9B">
      <w:pPr>
        <w:spacing w:before="1" w:line="227" w:lineRule="auto"/>
        <w:ind w:left="472"/>
        <w:rPr>
          <w:rFonts w:ascii="宋体" w:hAnsi="宋体" w:eastAsia="宋体" w:cs="宋体"/>
          <w:color w:val="auto"/>
          <w:sz w:val="20"/>
          <w:szCs w:val="20"/>
          <w:highlight w:val="none"/>
        </w:rPr>
      </w:pPr>
      <w:r>
        <w:rPr>
          <w:rFonts w:ascii="宋体" w:hAnsi="宋体" w:eastAsia="宋体" w:cs="宋体"/>
          <w:color w:val="auto"/>
          <w:spacing w:val="17"/>
          <w:sz w:val="20"/>
          <w:szCs w:val="20"/>
          <w:highlight w:val="none"/>
        </w:rPr>
        <w:t>（以下适用于一级监理管理的情形）</w:t>
      </w:r>
    </w:p>
    <w:p w14:paraId="17B02BF9">
      <w:pPr>
        <w:spacing w:before="163" w:line="359" w:lineRule="auto"/>
        <w:ind w:left="1" w:right="118" w:firstLine="440"/>
        <w:jc w:val="both"/>
        <w:rPr>
          <w:rFonts w:hint="eastAsia" w:ascii="宋体" w:hAnsi="宋体" w:eastAsia="宋体" w:cs="宋体"/>
          <w:color w:val="auto"/>
          <w:spacing w:val="-2"/>
          <w:sz w:val="22"/>
          <w:szCs w:val="22"/>
          <w:highlight w:val="none"/>
        </w:rPr>
      </w:pPr>
      <w:r>
        <w:rPr>
          <w:rFonts w:hint="eastAsia" w:ascii="宋体" w:hAnsi="宋体" w:eastAsia="宋体" w:cs="宋体"/>
          <w:color w:val="auto"/>
          <w:spacing w:val="2"/>
          <w:sz w:val="20"/>
          <w:szCs w:val="20"/>
          <w:highlight w:val="none"/>
          <w:lang w:eastAsia="zh-CN"/>
        </w:rPr>
        <w:t>□</w:t>
      </w:r>
      <w:r>
        <w:rPr>
          <w:rFonts w:ascii="宋体" w:hAnsi="宋体" w:eastAsia="宋体" w:cs="宋体"/>
          <w:color w:val="auto"/>
          <w:spacing w:val="2"/>
          <w:sz w:val="22"/>
          <w:szCs w:val="22"/>
          <w:highlight w:val="none"/>
        </w:rPr>
        <w:t>工程只设置总监理工程师办公室：本项目施工监理机构</w:t>
      </w:r>
      <w:r>
        <w:rPr>
          <w:rFonts w:hint="eastAsia" w:ascii="宋体" w:hAnsi="宋体" w:eastAsia="宋体" w:cs="宋体"/>
          <w:color w:val="auto"/>
          <w:spacing w:val="2"/>
          <w:sz w:val="22"/>
          <w:szCs w:val="22"/>
          <w:highlight w:val="none"/>
          <w:lang w:val="en-US" w:eastAsia="zh-CN"/>
        </w:rPr>
        <w:t>不</w:t>
      </w:r>
      <w:r>
        <w:rPr>
          <w:rFonts w:ascii="宋体" w:hAnsi="宋体" w:eastAsia="宋体" w:cs="宋体"/>
          <w:color w:val="auto"/>
          <w:spacing w:val="2"/>
          <w:sz w:val="22"/>
          <w:szCs w:val="22"/>
          <w:highlight w:val="none"/>
        </w:rPr>
        <w:t>设置中心试验室。委托人通过单独招标方式，另行设置中心试验室，原监理机构中心试验室的相关试验检测服务工作由中心试验室试验检测服务单位承担，具体约定见 13.6 款</w:t>
      </w:r>
      <w:r>
        <w:rPr>
          <w:rFonts w:ascii="宋体" w:hAnsi="宋体" w:eastAsia="宋体" w:cs="宋体"/>
          <w:color w:val="auto"/>
          <w:spacing w:val="-2"/>
          <w:sz w:val="22"/>
          <w:szCs w:val="22"/>
          <w:highlight w:val="none"/>
        </w:rPr>
        <w:t>。</w:t>
      </w:r>
      <w:r>
        <w:rPr>
          <w:rFonts w:hint="eastAsia" w:ascii="宋体" w:hAnsi="宋体" w:eastAsia="宋体" w:cs="宋体"/>
          <w:color w:val="auto"/>
          <w:spacing w:val="-2"/>
          <w:sz w:val="22"/>
          <w:szCs w:val="22"/>
          <w:highlight w:val="none"/>
        </w:rPr>
        <w:t xml:space="preserve"> </w:t>
      </w:r>
    </w:p>
    <w:p w14:paraId="711770E6">
      <w:pPr>
        <w:spacing w:before="163" w:line="359" w:lineRule="auto"/>
        <w:ind w:left="1" w:right="118" w:firstLine="440"/>
        <w:jc w:val="both"/>
        <w:rPr>
          <w:rFonts w:hint="eastAsia" w:ascii="宋体" w:hAnsi="宋体" w:eastAsia="宋体" w:cs="宋体"/>
          <w:b w:val="0"/>
          <w:bCs w:val="0"/>
          <w:color w:val="auto"/>
          <w:spacing w:val="-2"/>
          <w:sz w:val="22"/>
          <w:szCs w:val="22"/>
          <w:highlight w:val="none"/>
        </w:rPr>
      </w:pPr>
      <w:r>
        <w:rPr>
          <w:rFonts w:hint="eastAsia" w:ascii="宋体" w:hAnsi="宋体" w:eastAsia="宋体" w:cs="宋体"/>
          <w:b w:val="0"/>
          <w:bCs w:val="0"/>
          <w:color w:val="auto"/>
          <w:spacing w:val="2"/>
          <w:sz w:val="20"/>
          <w:szCs w:val="20"/>
          <w:highlight w:val="none"/>
          <w:lang w:eastAsia="zh-CN"/>
        </w:rPr>
        <w:t>☑</w:t>
      </w:r>
      <w:r>
        <w:rPr>
          <w:rFonts w:hint="eastAsia" w:ascii="宋体" w:hAnsi="宋体" w:eastAsia="宋体" w:cs="宋体"/>
          <w:b w:val="0"/>
          <w:bCs w:val="0"/>
          <w:color w:val="auto"/>
          <w:spacing w:val="-2"/>
          <w:sz w:val="22"/>
          <w:szCs w:val="22"/>
          <w:highlight w:val="none"/>
        </w:rPr>
        <w:t>工程只设置总监理工程师办公室：总监理工程师办公室设立工地试验室，工地试验室相应的检查项目和抽检频率：</w:t>
      </w:r>
      <w:r>
        <w:rPr>
          <w:rFonts w:hint="eastAsia" w:ascii="宋体" w:hAnsi="宋体" w:eastAsia="宋体" w:cs="宋体"/>
          <w:b w:val="0"/>
          <w:bCs w:val="0"/>
          <w:color w:val="auto"/>
          <w:spacing w:val="-2"/>
          <w:sz w:val="22"/>
          <w:szCs w:val="22"/>
          <w:highlight w:val="none"/>
          <w:u w:val="single"/>
          <w:lang w:val="en-US" w:eastAsia="zh-CN"/>
        </w:rPr>
        <w:t xml:space="preserve">                  </w:t>
      </w:r>
      <w:r>
        <w:rPr>
          <w:rFonts w:hint="eastAsia" w:ascii="宋体" w:hAnsi="宋体" w:eastAsia="宋体" w:cs="宋体"/>
          <w:b w:val="0"/>
          <w:bCs w:val="0"/>
          <w:color w:val="auto"/>
          <w:spacing w:val="-2"/>
          <w:sz w:val="22"/>
          <w:szCs w:val="22"/>
          <w:highlight w:val="none"/>
        </w:rPr>
        <w:t xml:space="preserve"> 。</w:t>
      </w:r>
      <w:r>
        <w:rPr>
          <w:rFonts w:hint="eastAsia" w:ascii="宋体" w:hAnsi="宋体" w:eastAsia="宋体" w:cs="宋体"/>
          <w:b w:val="0"/>
          <w:bCs w:val="0"/>
          <w:color w:val="auto"/>
          <w:spacing w:val="-2"/>
          <w:sz w:val="22"/>
          <w:szCs w:val="22"/>
          <w:highlight w:val="none"/>
        </w:rPr>
        <w:t xml:space="preserve"> </w:t>
      </w:r>
    </w:p>
    <w:p w14:paraId="7196B37B">
      <w:pPr>
        <w:spacing w:before="163" w:line="359" w:lineRule="auto"/>
        <w:ind w:left="1" w:right="118" w:firstLine="440"/>
        <w:jc w:val="both"/>
        <w:rPr>
          <w:rFonts w:ascii="宋体" w:hAnsi="宋体" w:eastAsia="宋体" w:cs="宋体"/>
          <w:color w:val="auto"/>
          <w:sz w:val="22"/>
          <w:szCs w:val="22"/>
          <w:highlight w:val="none"/>
        </w:rPr>
      </w:pPr>
      <w:r>
        <w:rPr>
          <w:rFonts w:hint="eastAsia" w:ascii="宋体" w:hAnsi="宋体" w:eastAsia="宋体" w:cs="宋体"/>
          <w:color w:val="auto"/>
          <w:spacing w:val="-2"/>
          <w:sz w:val="22"/>
          <w:szCs w:val="22"/>
          <w:highlight w:val="none"/>
        </w:rPr>
        <w:t>监理人自行设立工地试验室的，应具有相应的《公路水运试验检测机构等级证书》，否则，监理人应委托具有相应资格的第三方试验检测机构设立工地试验室。</w:t>
      </w:r>
      <w:r>
        <w:rPr>
          <w:rFonts w:hint="eastAsia" w:ascii="宋体" w:hAnsi="宋体" w:eastAsia="宋体" w:cs="宋体"/>
          <w:color w:val="auto"/>
          <w:spacing w:val="-2"/>
          <w:sz w:val="22"/>
          <w:szCs w:val="22"/>
          <w:highlight w:val="none"/>
        </w:rPr>
        <w:t xml:space="preserve"> </w:t>
      </w:r>
    </w:p>
    <w:p w14:paraId="652791C0">
      <w:pPr>
        <w:spacing w:before="1" w:line="220" w:lineRule="auto"/>
        <w:ind w:left="447"/>
        <w:rPr>
          <w:rFonts w:ascii="宋体" w:hAnsi="宋体" w:eastAsia="宋体" w:cs="宋体"/>
          <w:color w:val="auto"/>
          <w:sz w:val="22"/>
          <w:szCs w:val="22"/>
          <w:highlight w:val="none"/>
        </w:rPr>
      </w:pPr>
      <w:r>
        <w:rPr>
          <w:rFonts w:ascii="宋体" w:hAnsi="宋体" w:eastAsia="宋体" w:cs="宋体"/>
          <w:color w:val="auto"/>
          <w:spacing w:val="-1"/>
          <w:sz w:val="22"/>
          <w:szCs w:val="22"/>
          <w:highlight w:val="none"/>
        </w:rPr>
        <w:t>5.3.3</w:t>
      </w:r>
      <w:r>
        <w:rPr>
          <w:rFonts w:ascii="宋体" w:hAnsi="宋体" w:eastAsia="宋体" w:cs="宋体"/>
          <w:color w:val="auto"/>
          <w:spacing w:val="-45"/>
          <w:sz w:val="22"/>
          <w:szCs w:val="22"/>
          <w:highlight w:val="none"/>
        </w:rPr>
        <w:t xml:space="preserve"> </w:t>
      </w:r>
      <w:r>
        <w:rPr>
          <w:rFonts w:ascii="宋体" w:hAnsi="宋体" w:eastAsia="宋体" w:cs="宋体"/>
          <w:color w:val="auto"/>
          <w:spacing w:val="-1"/>
          <w:sz w:val="22"/>
          <w:szCs w:val="22"/>
          <w:highlight w:val="none"/>
        </w:rPr>
        <w:t>后增加第（48）~（52）项内容如下：</w:t>
      </w:r>
    </w:p>
    <w:p w14:paraId="54FD6A9A">
      <w:pPr>
        <w:spacing w:before="165" w:line="363" w:lineRule="auto"/>
        <w:ind w:right="115" w:firstLine="448"/>
        <w:jc w:val="both"/>
        <w:rPr>
          <w:rFonts w:ascii="宋体" w:hAnsi="宋体" w:eastAsia="宋体" w:cs="宋体"/>
          <w:color w:val="auto"/>
          <w:sz w:val="22"/>
          <w:szCs w:val="22"/>
          <w:highlight w:val="none"/>
        </w:rPr>
      </w:pPr>
      <w:r>
        <w:rPr>
          <w:rFonts w:ascii="宋体" w:hAnsi="宋体" w:eastAsia="宋体" w:cs="宋体"/>
          <w:color w:val="auto"/>
          <w:spacing w:val="1"/>
          <w:sz w:val="22"/>
          <w:szCs w:val="22"/>
          <w:highlight w:val="none"/>
        </w:rPr>
        <w:t>（48）监理人应按照《广东省交通运输厅关于进一步加强公路施工便道取弃土场</w:t>
      </w:r>
      <w:r>
        <w:rPr>
          <w:rFonts w:ascii="宋体" w:hAnsi="宋体" w:eastAsia="宋体" w:cs="宋体"/>
          <w:color w:val="auto"/>
          <w:sz w:val="22"/>
          <w:szCs w:val="22"/>
          <w:highlight w:val="none"/>
        </w:rPr>
        <w:t>的设计和</w:t>
      </w:r>
      <w:r>
        <w:rPr>
          <w:rFonts w:ascii="宋体" w:hAnsi="宋体" w:eastAsia="宋体" w:cs="宋体"/>
          <w:color w:val="auto"/>
          <w:spacing w:val="1"/>
          <w:sz w:val="22"/>
          <w:szCs w:val="22"/>
          <w:highlight w:val="none"/>
        </w:rPr>
        <w:t>施工管理工作的通知》《广东省高速公路工程施工安全标准化指南》和《广东省公路工程施工标准化指南》的要求审核施工便道和取弃土场的选址和建设方案，并对该部分建设内容进行监</w:t>
      </w:r>
      <w:r>
        <w:rPr>
          <w:rFonts w:ascii="宋体" w:hAnsi="宋体" w:eastAsia="宋体" w:cs="宋体"/>
          <w:color w:val="auto"/>
          <w:spacing w:val="-4"/>
          <w:sz w:val="22"/>
          <w:szCs w:val="22"/>
          <w:highlight w:val="none"/>
        </w:rPr>
        <w:t>理。</w:t>
      </w:r>
    </w:p>
    <w:p w14:paraId="077D2A60">
      <w:pPr>
        <w:spacing w:before="43" w:line="289" w:lineRule="auto"/>
        <w:ind w:left="8" w:firstLine="441"/>
        <w:rPr>
          <w:rFonts w:ascii="宋体" w:hAnsi="宋体" w:eastAsia="宋体" w:cs="宋体"/>
          <w:color w:val="auto"/>
          <w:sz w:val="22"/>
          <w:szCs w:val="22"/>
          <w:highlight w:val="none"/>
        </w:rPr>
      </w:pPr>
      <w:r>
        <w:rPr>
          <w:rFonts w:ascii="宋体" w:hAnsi="宋体" w:eastAsia="宋体" w:cs="宋体"/>
          <w:color w:val="auto"/>
          <w:spacing w:val="-1"/>
          <w:sz w:val="22"/>
          <w:szCs w:val="22"/>
          <w:highlight w:val="none"/>
        </w:rPr>
        <w:t>（49）监理人应根据《广东省交通运输厅关于切实加强我省高速公路路堑边坡管理的通知》</w:t>
      </w:r>
      <w:r>
        <w:rPr>
          <w:rFonts w:ascii="宋体" w:hAnsi="宋体" w:eastAsia="宋体" w:cs="宋体"/>
          <w:color w:val="auto"/>
          <w:spacing w:val="16"/>
          <w:sz w:val="22"/>
          <w:szCs w:val="22"/>
          <w:highlight w:val="none"/>
        </w:rPr>
        <w:t xml:space="preserve"> </w:t>
      </w:r>
      <w:r>
        <w:rPr>
          <w:rFonts w:ascii="宋体" w:hAnsi="宋体" w:eastAsia="宋体" w:cs="宋体"/>
          <w:color w:val="auto"/>
          <w:spacing w:val="-1"/>
          <w:sz w:val="22"/>
          <w:szCs w:val="22"/>
          <w:highlight w:val="none"/>
        </w:rPr>
        <w:t>（粤交基函〔2019〕680 号）要求审核施工承包人的开工报告。</w:t>
      </w:r>
    </w:p>
    <w:p w14:paraId="08678930">
      <w:pPr>
        <w:spacing w:before="169" w:line="331" w:lineRule="auto"/>
        <w:ind w:left="1" w:right="161" w:firstLine="448"/>
        <w:rPr>
          <w:rFonts w:ascii="宋体" w:hAnsi="宋体" w:eastAsia="宋体" w:cs="宋体"/>
          <w:color w:val="auto"/>
          <w:sz w:val="22"/>
          <w:szCs w:val="22"/>
          <w:highlight w:val="none"/>
        </w:rPr>
      </w:pPr>
      <w:r>
        <w:rPr>
          <w:rFonts w:ascii="宋体" w:hAnsi="宋体" w:eastAsia="宋体" w:cs="宋体"/>
          <w:color w:val="auto"/>
          <w:spacing w:val="1"/>
          <w:sz w:val="22"/>
          <w:szCs w:val="22"/>
          <w:highlight w:val="none"/>
        </w:rPr>
        <w:t>（50）监理机构应按照行业发展的需求，发展自身管理的数字化建设，开放</w:t>
      </w:r>
      <w:r>
        <w:rPr>
          <w:rFonts w:ascii="宋体" w:hAnsi="宋体" w:eastAsia="宋体" w:cs="宋体"/>
          <w:color w:val="auto"/>
          <w:sz w:val="22"/>
          <w:szCs w:val="22"/>
          <w:highlight w:val="none"/>
        </w:rPr>
        <w:t>数字化平台及</w:t>
      </w:r>
      <w:r>
        <w:rPr>
          <w:rFonts w:ascii="宋体" w:hAnsi="宋体" w:eastAsia="宋体" w:cs="宋体"/>
          <w:color w:val="auto"/>
          <w:spacing w:val="1"/>
          <w:sz w:val="22"/>
          <w:szCs w:val="22"/>
          <w:highlight w:val="none"/>
        </w:rPr>
        <w:t>相关数据接口，对接建设单位数字化管理系统，积极配合建设单位对项目管理数字化的统筹和整合，助力建设单位打通各参建单位不同系统之间的信息壁垒，形成适应于项目的综合性数字化管理平台。监理机构的管理应充分利用共享数据的一体化数字化技术和平台，评估保证体系</w:t>
      </w:r>
      <w:r>
        <w:rPr>
          <w:rFonts w:ascii="宋体" w:hAnsi="宋体" w:eastAsia="宋体" w:cs="宋体"/>
          <w:color w:val="auto"/>
          <w:sz w:val="22"/>
          <w:szCs w:val="22"/>
          <w:highlight w:val="none"/>
        </w:rPr>
        <w:t>的运行状况，分析管理的薄弱环节，利用数字化手段和数据为监理</w:t>
      </w:r>
      <w:r>
        <w:rPr>
          <w:rFonts w:ascii="宋体" w:hAnsi="宋体" w:eastAsia="宋体" w:cs="宋体"/>
          <w:color w:val="auto"/>
          <w:spacing w:val="-1"/>
          <w:sz w:val="22"/>
          <w:szCs w:val="22"/>
          <w:highlight w:val="none"/>
        </w:rPr>
        <w:t>管理工作提供支撑。</w:t>
      </w:r>
    </w:p>
    <w:p w14:paraId="4A8B44A7">
      <w:pPr>
        <w:spacing w:before="166" w:line="290" w:lineRule="auto"/>
        <w:ind w:left="3" w:right="158" w:firstLine="446"/>
        <w:rPr>
          <w:rFonts w:ascii="宋体" w:hAnsi="宋体" w:eastAsia="宋体" w:cs="宋体"/>
          <w:color w:val="auto"/>
          <w:sz w:val="22"/>
          <w:szCs w:val="22"/>
          <w:highlight w:val="none"/>
        </w:rPr>
      </w:pPr>
      <w:r>
        <w:rPr>
          <w:rFonts w:ascii="宋体" w:hAnsi="宋体" w:eastAsia="宋体" w:cs="宋体"/>
          <w:color w:val="auto"/>
          <w:spacing w:val="1"/>
          <w:sz w:val="22"/>
          <w:szCs w:val="22"/>
          <w:highlight w:val="none"/>
        </w:rPr>
        <w:t>（51）施工单位进场之后，对施工单位质量安全等保证体系进行检查，并每半年</w:t>
      </w:r>
      <w:r>
        <w:rPr>
          <w:rFonts w:ascii="宋体" w:hAnsi="宋体" w:eastAsia="宋体" w:cs="宋体"/>
          <w:color w:val="auto"/>
          <w:sz w:val="22"/>
          <w:szCs w:val="22"/>
          <w:highlight w:val="none"/>
        </w:rPr>
        <w:t>对执行情</w:t>
      </w:r>
      <w:r>
        <w:rPr>
          <w:rFonts w:ascii="宋体" w:hAnsi="宋体" w:eastAsia="宋体" w:cs="宋体"/>
          <w:color w:val="auto"/>
          <w:spacing w:val="-2"/>
          <w:sz w:val="22"/>
          <w:szCs w:val="22"/>
          <w:highlight w:val="none"/>
        </w:rPr>
        <w:t>况进行检查。</w:t>
      </w:r>
    </w:p>
    <w:p w14:paraId="4BD58EBB">
      <w:pPr>
        <w:spacing w:before="166" w:line="341" w:lineRule="auto"/>
        <w:ind w:right="23" w:firstLine="449"/>
        <w:rPr>
          <w:rFonts w:ascii="宋体" w:hAnsi="宋体" w:eastAsia="宋体" w:cs="宋体"/>
          <w:color w:val="auto"/>
          <w:sz w:val="24"/>
          <w:szCs w:val="24"/>
          <w:highlight w:val="none"/>
        </w:rPr>
      </w:pPr>
      <w:r>
        <w:rPr>
          <w:rFonts w:ascii="宋体" w:hAnsi="宋体" w:eastAsia="宋体" w:cs="宋体"/>
          <w:color w:val="auto"/>
          <w:spacing w:val="1"/>
          <w:sz w:val="22"/>
          <w:szCs w:val="22"/>
          <w:highlight w:val="none"/>
        </w:rPr>
        <w:t>（</w:t>
      </w:r>
      <w:r>
        <w:rPr>
          <w:rFonts w:ascii="MingLiU-ExtB" w:hAnsi="MingLiU-ExtB" w:eastAsia="MingLiU-ExtB" w:cs="MingLiU-ExtB"/>
          <w:color w:val="auto"/>
          <w:spacing w:val="1"/>
          <w:sz w:val="22"/>
          <w:szCs w:val="22"/>
          <w:highlight w:val="none"/>
        </w:rPr>
        <w:t>52</w:t>
      </w:r>
      <w:r>
        <w:rPr>
          <w:rFonts w:ascii="宋体" w:hAnsi="宋体" w:eastAsia="宋体" w:cs="宋体"/>
          <w:color w:val="auto"/>
          <w:spacing w:val="1"/>
          <w:sz w:val="22"/>
          <w:szCs w:val="22"/>
          <w:highlight w:val="none"/>
        </w:rPr>
        <w:t>）总监办根据《广东省公路工程施工监理指南（试行）》的要求，一是重点</w:t>
      </w:r>
      <w:r>
        <w:rPr>
          <w:rFonts w:ascii="宋体" w:hAnsi="宋体" w:eastAsia="宋体" w:cs="宋体"/>
          <w:color w:val="auto"/>
          <w:sz w:val="22"/>
          <w:szCs w:val="22"/>
          <w:highlight w:val="none"/>
        </w:rPr>
        <w:t>审核施工</w:t>
      </w:r>
      <w:r>
        <w:rPr>
          <w:rFonts w:ascii="宋体" w:hAnsi="宋体" w:eastAsia="宋体" w:cs="宋体"/>
          <w:color w:val="auto"/>
          <w:spacing w:val="1"/>
          <w:sz w:val="22"/>
          <w:szCs w:val="22"/>
          <w:highlight w:val="none"/>
        </w:rPr>
        <w:t>单位的项目管理方案是否落实《广东省交通运输厅关于推进公路建设项目管理改革的指导意见</w:t>
      </w:r>
      <w:r>
        <w:rPr>
          <w:rFonts w:ascii="宋体" w:hAnsi="宋体" w:eastAsia="宋体" w:cs="宋体"/>
          <w:color w:val="auto"/>
          <w:spacing w:val="-1"/>
          <w:sz w:val="22"/>
          <w:szCs w:val="22"/>
          <w:highlight w:val="none"/>
        </w:rPr>
        <w:t>（试行）》和《广东省公路工程施工项目部管理指南（试行）》相关要求，是否满足施工单位、</w:t>
      </w:r>
      <w:r>
        <w:rPr>
          <w:rFonts w:ascii="宋体" w:hAnsi="宋体" w:eastAsia="宋体" w:cs="宋体"/>
          <w:color w:val="auto"/>
          <w:spacing w:val="1"/>
          <w:sz w:val="22"/>
          <w:szCs w:val="22"/>
          <w:highlight w:val="none"/>
        </w:rPr>
        <w:t>项目部、分包单位、劳务合作企业、施工班组、材料供应商与机械设备租赁商的多层次的管理机构</w:t>
      </w:r>
      <w:r>
        <w:rPr>
          <w:rFonts w:ascii="宋体" w:hAnsi="宋体" w:eastAsia="宋体" w:cs="宋体"/>
          <w:color w:val="auto"/>
          <w:spacing w:val="7"/>
          <w:sz w:val="22"/>
          <w:szCs w:val="22"/>
          <w:highlight w:val="none"/>
        </w:rPr>
        <w:t>，是否建立管监分离的质量保障体系。督促、指导、监管施工单位在施工全过程中落实项目管理方案；二是重点做好施工单位/项目部对施工分包单位的分包工程质量、安全、进度、资金使用和管理行为等全过程管理行为的监理工作，加强对施工单位/项目部内控管理体系和主要人员履约、设备、材料等穿透式管理的监理工作。</w:t>
      </w:r>
    </w:p>
    <w:p w14:paraId="66A16A81">
      <w:pPr>
        <w:spacing w:before="177" w:line="360" w:lineRule="auto"/>
        <w:ind w:right="161" w:firstLine="442"/>
        <w:jc w:val="both"/>
        <w:rPr>
          <w:rFonts w:ascii="宋体" w:hAnsi="宋体" w:eastAsia="宋体" w:cs="宋体"/>
          <w:color w:val="auto"/>
          <w:sz w:val="22"/>
          <w:szCs w:val="22"/>
          <w:highlight w:val="none"/>
        </w:rPr>
      </w:pPr>
      <w:r>
        <w:rPr>
          <w:rFonts w:ascii="宋体" w:hAnsi="宋体" w:eastAsia="宋体" w:cs="宋体"/>
          <w:color w:val="auto"/>
          <w:spacing w:val="4"/>
          <w:sz w:val="22"/>
          <w:szCs w:val="22"/>
          <w:highlight w:val="none"/>
        </w:rPr>
        <w:t>在实施过程中每季度至少对施工单位</w:t>
      </w:r>
      <w:r>
        <w:rPr>
          <w:rFonts w:ascii="MingLiU-ExtB" w:hAnsi="MingLiU-ExtB" w:eastAsia="MingLiU-ExtB" w:cs="MingLiU-ExtB"/>
          <w:color w:val="auto"/>
          <w:spacing w:val="4"/>
          <w:sz w:val="22"/>
          <w:szCs w:val="22"/>
          <w:highlight w:val="none"/>
        </w:rPr>
        <w:t>/</w:t>
      </w:r>
      <w:r>
        <w:rPr>
          <w:rFonts w:ascii="宋体" w:hAnsi="宋体" w:eastAsia="宋体" w:cs="宋体"/>
          <w:color w:val="auto"/>
          <w:spacing w:val="4"/>
          <w:sz w:val="22"/>
          <w:szCs w:val="22"/>
          <w:highlight w:val="none"/>
        </w:rPr>
        <w:t>项目部上述工作的落实情况进行一次全</w:t>
      </w:r>
      <w:r>
        <w:rPr>
          <w:rFonts w:ascii="宋体" w:hAnsi="宋体" w:eastAsia="宋体" w:cs="宋体"/>
          <w:color w:val="auto"/>
          <w:spacing w:val="3"/>
          <w:sz w:val="22"/>
          <w:szCs w:val="22"/>
          <w:highlight w:val="none"/>
        </w:rPr>
        <w:t>面核查，并</w:t>
      </w:r>
      <w:r>
        <w:rPr>
          <w:rFonts w:ascii="宋体" w:hAnsi="宋体" w:eastAsia="宋体" w:cs="宋体"/>
          <w:color w:val="auto"/>
          <w:spacing w:val="1"/>
          <w:sz w:val="22"/>
          <w:szCs w:val="22"/>
          <w:highlight w:val="none"/>
        </w:rPr>
        <w:t>将核查情况报发包人。施工单位未落实项目管理方案的，监理单位应及时督促整改，未及时整</w:t>
      </w:r>
      <w:r>
        <w:rPr>
          <w:rFonts w:ascii="宋体" w:hAnsi="宋体" w:eastAsia="宋体" w:cs="宋体"/>
          <w:color w:val="auto"/>
          <w:spacing w:val="-1"/>
          <w:sz w:val="22"/>
          <w:szCs w:val="22"/>
          <w:highlight w:val="none"/>
        </w:rPr>
        <w:t>改的，应及时报发包人协调处理。</w:t>
      </w:r>
    </w:p>
    <w:p w14:paraId="62EBBFB4">
      <w:pPr>
        <w:spacing w:before="1" w:line="220" w:lineRule="auto"/>
        <w:ind w:left="442"/>
        <w:rPr>
          <w:rFonts w:ascii="宋体" w:hAnsi="宋体" w:eastAsia="宋体" w:cs="宋体"/>
          <w:color w:val="auto"/>
          <w:sz w:val="22"/>
          <w:szCs w:val="22"/>
          <w:highlight w:val="none"/>
        </w:rPr>
      </w:pPr>
      <w:r>
        <w:rPr>
          <w:rFonts w:ascii="宋体" w:hAnsi="宋体" w:eastAsia="宋体" w:cs="宋体"/>
          <w:color w:val="auto"/>
          <w:spacing w:val="-3"/>
          <w:sz w:val="22"/>
          <w:szCs w:val="22"/>
          <w:highlight w:val="none"/>
        </w:rPr>
        <w:t>在</w:t>
      </w:r>
      <w:r>
        <w:rPr>
          <w:rFonts w:ascii="宋体" w:hAnsi="宋体" w:eastAsia="宋体" w:cs="宋体"/>
          <w:color w:val="auto"/>
          <w:spacing w:val="-43"/>
          <w:sz w:val="22"/>
          <w:szCs w:val="22"/>
          <w:highlight w:val="none"/>
        </w:rPr>
        <w:t xml:space="preserve"> </w:t>
      </w:r>
      <w:r>
        <w:rPr>
          <w:rFonts w:ascii="宋体" w:hAnsi="宋体" w:eastAsia="宋体" w:cs="宋体"/>
          <w:color w:val="auto"/>
          <w:spacing w:val="-3"/>
          <w:sz w:val="22"/>
          <w:szCs w:val="22"/>
          <w:highlight w:val="none"/>
        </w:rPr>
        <w:t>5.3.3</w:t>
      </w:r>
      <w:r>
        <w:rPr>
          <w:rFonts w:ascii="宋体" w:hAnsi="宋体" w:eastAsia="宋体" w:cs="宋体"/>
          <w:color w:val="auto"/>
          <w:spacing w:val="-47"/>
          <w:sz w:val="22"/>
          <w:szCs w:val="22"/>
          <w:highlight w:val="none"/>
        </w:rPr>
        <w:t xml:space="preserve"> </w:t>
      </w:r>
      <w:r>
        <w:rPr>
          <w:rFonts w:ascii="宋体" w:hAnsi="宋体" w:eastAsia="宋体" w:cs="宋体"/>
          <w:color w:val="auto"/>
          <w:spacing w:val="-3"/>
          <w:sz w:val="22"/>
          <w:szCs w:val="22"/>
          <w:highlight w:val="none"/>
        </w:rPr>
        <w:t>后增加</w:t>
      </w:r>
      <w:r>
        <w:rPr>
          <w:rFonts w:ascii="宋体" w:hAnsi="宋体" w:eastAsia="宋体" w:cs="宋体"/>
          <w:color w:val="auto"/>
          <w:spacing w:val="-42"/>
          <w:sz w:val="22"/>
          <w:szCs w:val="22"/>
          <w:highlight w:val="none"/>
        </w:rPr>
        <w:t xml:space="preserve"> </w:t>
      </w:r>
      <w:r>
        <w:rPr>
          <w:rFonts w:ascii="宋体" w:hAnsi="宋体" w:eastAsia="宋体" w:cs="宋体"/>
          <w:color w:val="auto"/>
          <w:spacing w:val="-3"/>
          <w:sz w:val="22"/>
          <w:szCs w:val="22"/>
          <w:highlight w:val="none"/>
        </w:rPr>
        <w:t>5.3.4</w:t>
      </w:r>
      <w:r>
        <w:rPr>
          <w:rFonts w:ascii="宋体" w:hAnsi="宋体" w:eastAsia="宋体" w:cs="宋体"/>
          <w:color w:val="auto"/>
          <w:spacing w:val="-45"/>
          <w:sz w:val="22"/>
          <w:szCs w:val="22"/>
          <w:highlight w:val="none"/>
        </w:rPr>
        <w:t xml:space="preserve"> </w:t>
      </w:r>
      <w:r>
        <w:rPr>
          <w:rFonts w:ascii="宋体" w:hAnsi="宋体" w:eastAsia="宋体" w:cs="宋体"/>
          <w:color w:val="auto"/>
          <w:spacing w:val="-3"/>
          <w:sz w:val="22"/>
          <w:szCs w:val="22"/>
          <w:highlight w:val="none"/>
        </w:rPr>
        <w:t>项如下：</w:t>
      </w:r>
    </w:p>
    <w:p w14:paraId="23168D8F">
      <w:pPr>
        <w:spacing w:before="164" w:line="220" w:lineRule="auto"/>
        <w:ind w:left="447"/>
        <w:rPr>
          <w:rFonts w:ascii="宋体" w:hAnsi="宋体" w:eastAsia="宋体" w:cs="宋体"/>
          <w:color w:val="auto"/>
          <w:sz w:val="22"/>
          <w:szCs w:val="22"/>
          <w:highlight w:val="none"/>
        </w:rPr>
      </w:pPr>
      <w:r>
        <w:rPr>
          <w:rFonts w:ascii="宋体" w:hAnsi="宋体" w:eastAsia="宋体" w:cs="宋体"/>
          <w:color w:val="auto"/>
          <w:spacing w:val="-2"/>
          <w:sz w:val="22"/>
          <w:szCs w:val="22"/>
          <w:highlight w:val="none"/>
        </w:rPr>
        <w:t>5.3.4</w:t>
      </w:r>
      <w:r>
        <w:rPr>
          <w:rFonts w:ascii="宋体" w:hAnsi="宋体" w:eastAsia="宋体" w:cs="宋体"/>
          <w:color w:val="auto"/>
          <w:spacing w:val="-24"/>
          <w:sz w:val="22"/>
          <w:szCs w:val="22"/>
          <w:highlight w:val="none"/>
        </w:rPr>
        <w:t xml:space="preserve"> </w:t>
      </w:r>
      <w:r>
        <w:rPr>
          <w:rFonts w:hint="eastAsia" w:ascii="宋体" w:hAnsi="宋体" w:eastAsia="宋体" w:cs="宋体"/>
          <w:color w:val="auto"/>
          <w:spacing w:val="-24"/>
          <w:sz w:val="22"/>
          <w:szCs w:val="22"/>
          <w:highlight w:val="none"/>
        </w:rPr>
        <w:t>中心试验室</w:t>
      </w:r>
      <w:r>
        <w:rPr>
          <w:rFonts w:hint="eastAsia" w:ascii="宋体" w:hAnsi="宋体" w:eastAsia="宋体" w:cs="宋体"/>
          <w:color w:val="auto"/>
          <w:spacing w:val="-24"/>
          <w:sz w:val="22"/>
          <w:szCs w:val="22"/>
          <w:highlight w:val="none"/>
          <w:lang w:eastAsia="zh-CN"/>
        </w:rPr>
        <w:t>、</w:t>
      </w:r>
      <w:r>
        <w:rPr>
          <w:rFonts w:hint="eastAsia" w:ascii="宋体" w:hAnsi="宋体" w:eastAsia="宋体" w:cs="宋体"/>
          <w:color w:val="auto"/>
          <w:spacing w:val="-24"/>
          <w:sz w:val="22"/>
          <w:szCs w:val="22"/>
          <w:highlight w:val="none"/>
          <w:lang w:val="en-US" w:eastAsia="zh-CN"/>
        </w:rPr>
        <w:t>监理人的</w:t>
      </w:r>
      <w:r>
        <w:rPr>
          <w:rFonts w:hint="eastAsia" w:ascii="宋体" w:hAnsi="宋体" w:eastAsia="宋体" w:cs="宋体"/>
          <w:color w:val="auto"/>
          <w:spacing w:val="-24"/>
          <w:sz w:val="22"/>
          <w:szCs w:val="22"/>
          <w:highlight w:val="none"/>
        </w:rPr>
        <w:t>服务内容</w:t>
      </w:r>
    </w:p>
    <w:p w14:paraId="40D9C21E">
      <w:pPr>
        <w:spacing w:before="164" w:line="221" w:lineRule="auto"/>
        <w:ind w:left="447"/>
        <w:rPr>
          <w:rFonts w:ascii="宋体" w:hAnsi="宋体" w:eastAsia="宋体" w:cs="宋体"/>
          <w:color w:val="auto"/>
          <w:sz w:val="22"/>
          <w:szCs w:val="22"/>
          <w:highlight w:val="none"/>
        </w:rPr>
      </w:pPr>
      <w:r>
        <w:rPr>
          <w:rFonts w:ascii="宋体" w:hAnsi="宋体" w:eastAsia="宋体" w:cs="宋体"/>
          <w:color w:val="auto"/>
          <w:spacing w:val="-4"/>
          <w:sz w:val="22"/>
          <w:szCs w:val="22"/>
          <w:highlight w:val="none"/>
        </w:rPr>
        <w:t>5.3.4.1</w:t>
      </w:r>
      <w:r>
        <w:rPr>
          <w:rFonts w:ascii="宋体" w:hAnsi="宋体" w:eastAsia="宋体" w:cs="宋体"/>
          <w:color w:val="auto"/>
          <w:spacing w:val="-22"/>
          <w:sz w:val="22"/>
          <w:szCs w:val="22"/>
          <w:highlight w:val="none"/>
        </w:rPr>
        <w:t xml:space="preserve"> </w:t>
      </w:r>
      <w:r>
        <w:rPr>
          <w:rFonts w:ascii="宋体" w:hAnsi="宋体" w:eastAsia="宋体" w:cs="宋体"/>
          <w:color w:val="auto"/>
          <w:spacing w:val="-4"/>
          <w:sz w:val="22"/>
          <w:szCs w:val="22"/>
          <w:highlight w:val="none"/>
        </w:rPr>
        <w:t>中心试验室</w:t>
      </w:r>
    </w:p>
    <w:p w14:paraId="03C0DC92">
      <w:pPr>
        <w:spacing w:before="167" w:line="312" w:lineRule="auto"/>
        <w:ind w:left="4" w:right="159" w:firstLine="445"/>
        <w:rPr>
          <w:rFonts w:ascii="宋体" w:hAnsi="宋体" w:eastAsia="宋体" w:cs="宋体"/>
          <w:color w:val="auto"/>
          <w:sz w:val="22"/>
          <w:szCs w:val="22"/>
          <w:highlight w:val="none"/>
        </w:rPr>
      </w:pPr>
      <w:r>
        <w:rPr>
          <w:rFonts w:ascii="宋体" w:hAnsi="宋体" w:eastAsia="宋体" w:cs="宋体"/>
          <w:color w:val="auto"/>
          <w:spacing w:val="4"/>
          <w:sz w:val="22"/>
          <w:szCs w:val="22"/>
          <w:highlight w:val="none"/>
        </w:rPr>
        <w:t>（1）承担在项目实施过程中工程原材料、结构物成品、半成品、</w:t>
      </w:r>
      <w:r>
        <w:rPr>
          <w:rFonts w:ascii="宋体" w:hAnsi="宋体" w:eastAsia="宋体" w:cs="宋体"/>
          <w:color w:val="auto"/>
          <w:spacing w:val="3"/>
          <w:sz w:val="22"/>
          <w:szCs w:val="22"/>
          <w:highlight w:val="none"/>
        </w:rPr>
        <w:t>工程实体的抽样（包括</w:t>
      </w:r>
      <w:r>
        <w:rPr>
          <w:rFonts w:ascii="宋体" w:hAnsi="宋体" w:eastAsia="宋体" w:cs="宋体"/>
          <w:color w:val="auto"/>
          <w:spacing w:val="1"/>
          <w:sz w:val="22"/>
          <w:szCs w:val="22"/>
          <w:highlight w:val="none"/>
        </w:rPr>
        <w:t>混凝土试件取样、送样）及试验检测工作，以及需要出具试验检测报告的现场原位测试工作，</w:t>
      </w:r>
      <w:r>
        <w:rPr>
          <w:rFonts w:ascii="宋体" w:hAnsi="宋体" w:eastAsia="宋体" w:cs="宋体"/>
          <w:color w:val="auto"/>
          <w:spacing w:val="-1"/>
          <w:sz w:val="22"/>
          <w:szCs w:val="22"/>
          <w:highlight w:val="none"/>
        </w:rPr>
        <w:t>如压实度、承载力、强度抽芯、混凝土强度回弹。</w:t>
      </w:r>
    </w:p>
    <w:p w14:paraId="209938E8">
      <w:pPr>
        <w:spacing w:before="169" w:line="289" w:lineRule="auto"/>
        <w:ind w:left="1" w:right="159" w:firstLine="448"/>
        <w:rPr>
          <w:rFonts w:ascii="宋体" w:hAnsi="宋体" w:eastAsia="宋体" w:cs="宋体"/>
          <w:color w:val="auto"/>
          <w:sz w:val="22"/>
          <w:szCs w:val="22"/>
          <w:highlight w:val="none"/>
        </w:rPr>
      </w:pPr>
      <w:r>
        <w:rPr>
          <w:rFonts w:ascii="宋体" w:hAnsi="宋体" w:eastAsia="宋体" w:cs="宋体"/>
          <w:color w:val="auto"/>
          <w:spacing w:val="4"/>
          <w:sz w:val="22"/>
          <w:szCs w:val="22"/>
          <w:highlight w:val="none"/>
        </w:rPr>
        <w:t>（2）中心试验室负责对施工承包人工地试验室试验检测人员和试</w:t>
      </w:r>
      <w:r>
        <w:rPr>
          <w:rFonts w:ascii="宋体" w:hAnsi="宋体" w:eastAsia="宋体" w:cs="宋体"/>
          <w:color w:val="auto"/>
          <w:spacing w:val="3"/>
          <w:sz w:val="22"/>
          <w:szCs w:val="22"/>
          <w:highlight w:val="none"/>
        </w:rPr>
        <w:t>验检测仪器设备的履约</w:t>
      </w:r>
      <w:r>
        <w:rPr>
          <w:rFonts w:ascii="宋体" w:hAnsi="宋体" w:eastAsia="宋体" w:cs="宋体"/>
          <w:color w:val="auto"/>
          <w:spacing w:val="-2"/>
          <w:sz w:val="22"/>
          <w:szCs w:val="22"/>
          <w:highlight w:val="none"/>
        </w:rPr>
        <w:t>检查、变更审核、</w:t>
      </w:r>
      <w:r>
        <w:rPr>
          <w:rFonts w:ascii="宋体" w:hAnsi="宋体" w:eastAsia="宋体" w:cs="宋体"/>
          <w:color w:val="auto"/>
          <w:spacing w:val="-61"/>
          <w:sz w:val="22"/>
          <w:szCs w:val="22"/>
          <w:highlight w:val="none"/>
        </w:rPr>
        <w:t xml:space="preserve"> </w:t>
      </w:r>
      <w:r>
        <w:rPr>
          <w:rFonts w:ascii="宋体" w:hAnsi="宋体" w:eastAsia="宋体" w:cs="宋体"/>
          <w:color w:val="auto"/>
          <w:spacing w:val="-2"/>
          <w:sz w:val="22"/>
          <w:szCs w:val="22"/>
          <w:highlight w:val="none"/>
        </w:rPr>
        <w:t>日常管理等以及工地试验室临时资质备案管理。</w:t>
      </w:r>
    </w:p>
    <w:p w14:paraId="370DD03D">
      <w:pPr>
        <w:spacing w:before="161" w:line="289" w:lineRule="auto"/>
        <w:ind w:left="1" w:right="135" w:firstLine="447"/>
        <w:rPr>
          <w:rFonts w:ascii="宋体" w:hAnsi="宋体" w:eastAsia="宋体" w:cs="宋体"/>
          <w:color w:val="auto"/>
          <w:sz w:val="22"/>
          <w:szCs w:val="22"/>
          <w:highlight w:val="none"/>
        </w:rPr>
      </w:pPr>
      <w:r>
        <w:rPr>
          <w:rFonts w:ascii="宋体" w:hAnsi="宋体" w:eastAsia="宋体" w:cs="宋体"/>
          <w:color w:val="auto"/>
          <w:sz w:val="22"/>
          <w:szCs w:val="22"/>
          <w:highlight w:val="none"/>
        </w:rPr>
        <w:t>（3）代表委托人对整个项目的试验检测工作进行管理，代表委托人对工程质量进行抽检、日常质量巡查。</w:t>
      </w:r>
    </w:p>
    <w:p w14:paraId="23DC741F">
      <w:pPr>
        <w:spacing w:before="161" w:line="289" w:lineRule="auto"/>
        <w:ind w:left="1" w:right="135" w:firstLine="447"/>
        <w:rPr>
          <w:rFonts w:ascii="宋体" w:hAnsi="宋体" w:eastAsia="宋体" w:cs="宋体"/>
          <w:color w:val="auto"/>
          <w:sz w:val="22"/>
          <w:szCs w:val="22"/>
          <w:highlight w:val="none"/>
        </w:rPr>
      </w:pPr>
      <w:r>
        <w:rPr>
          <w:rFonts w:ascii="宋体" w:hAnsi="宋体" w:eastAsia="宋体" w:cs="宋体"/>
          <w:color w:val="auto"/>
          <w:sz w:val="22"/>
          <w:szCs w:val="22"/>
          <w:highlight w:val="none"/>
        </w:rPr>
        <w:t>（4）负责其代表委托人抽检及试验检测范围内的试验检测资料归档及竣工资料编制。</w:t>
      </w:r>
    </w:p>
    <w:p w14:paraId="50EB4FFB">
      <w:pPr>
        <w:spacing w:before="161" w:line="289" w:lineRule="auto"/>
        <w:ind w:left="1" w:right="135" w:firstLine="447"/>
        <w:rPr>
          <w:rFonts w:ascii="宋体" w:hAnsi="宋体" w:eastAsia="宋体" w:cs="宋体"/>
          <w:color w:val="auto"/>
          <w:sz w:val="22"/>
          <w:szCs w:val="22"/>
          <w:highlight w:val="none"/>
        </w:rPr>
      </w:pPr>
      <w:r>
        <w:rPr>
          <w:rFonts w:ascii="宋体" w:hAnsi="宋体" w:eastAsia="宋体" w:cs="宋体"/>
          <w:color w:val="auto"/>
          <w:sz w:val="22"/>
          <w:szCs w:val="22"/>
          <w:highlight w:val="none"/>
        </w:rPr>
        <w:t>（5）主持编制检测计划和检测细则，检测计划报建设单位审批，检测细则报建设单位备案。</w:t>
      </w:r>
    </w:p>
    <w:p w14:paraId="21DF13F9">
      <w:pPr>
        <w:spacing w:before="161" w:line="289" w:lineRule="auto"/>
        <w:ind w:left="1" w:right="135" w:firstLine="447"/>
        <w:rPr>
          <w:rFonts w:ascii="宋体" w:hAnsi="宋体" w:eastAsia="宋体" w:cs="宋体"/>
          <w:color w:val="auto"/>
          <w:sz w:val="22"/>
          <w:szCs w:val="22"/>
          <w:highlight w:val="none"/>
        </w:rPr>
      </w:pPr>
      <w:r>
        <w:rPr>
          <w:rFonts w:ascii="宋体" w:hAnsi="宋体" w:eastAsia="宋体" w:cs="宋体"/>
          <w:color w:val="auto"/>
          <w:sz w:val="22"/>
          <w:szCs w:val="22"/>
          <w:highlight w:val="none"/>
        </w:rPr>
        <w:t>（6）中心试验室试验检测服务单位负责月度工地试验室检查及督促整改工作。</w:t>
      </w:r>
    </w:p>
    <w:p w14:paraId="1E91C4B4">
      <w:pPr>
        <w:spacing w:before="161" w:line="289" w:lineRule="auto"/>
        <w:ind w:left="1" w:right="135" w:firstLine="447"/>
        <w:rPr>
          <w:rFonts w:ascii="宋体" w:hAnsi="宋体" w:eastAsia="宋体" w:cs="宋体"/>
          <w:color w:val="auto"/>
          <w:sz w:val="22"/>
          <w:szCs w:val="22"/>
          <w:highlight w:val="none"/>
        </w:rPr>
      </w:pPr>
      <w:r>
        <w:rPr>
          <w:rFonts w:ascii="宋体" w:hAnsi="宋体" w:eastAsia="宋体" w:cs="宋体"/>
          <w:color w:val="auto"/>
          <w:sz w:val="22"/>
          <w:szCs w:val="22"/>
          <w:highlight w:val="none"/>
        </w:rPr>
        <w:t>5.3.4.2 监理人</w:t>
      </w:r>
    </w:p>
    <w:p w14:paraId="040CAF5B">
      <w:pPr>
        <w:spacing w:before="166" w:line="289" w:lineRule="auto"/>
        <w:ind w:left="1" w:right="142" w:firstLine="447"/>
        <w:rPr>
          <w:rFonts w:ascii="宋体" w:hAnsi="宋体" w:eastAsia="宋体" w:cs="宋体"/>
          <w:color w:val="auto"/>
          <w:spacing w:val="-1"/>
          <w:sz w:val="22"/>
          <w:szCs w:val="22"/>
          <w:highlight w:val="none"/>
        </w:rPr>
      </w:pPr>
      <w:r>
        <w:rPr>
          <w:rFonts w:ascii="宋体" w:hAnsi="宋体" w:eastAsia="宋体" w:cs="宋体"/>
          <w:color w:val="auto"/>
          <w:spacing w:val="-1"/>
          <w:sz w:val="22"/>
          <w:szCs w:val="22"/>
          <w:highlight w:val="none"/>
        </w:rPr>
        <w:t>（1）负责混凝土试件制样见证及不需要出具试验检测报告的现场原位试验检测工作，如测量放样复核、结构尺寸、钻孔灌注桩泥浆性能、现场混凝土和易性、钢筋保护层厚度等。</w:t>
      </w:r>
    </w:p>
    <w:p w14:paraId="6C238AC1">
      <w:pPr>
        <w:spacing w:before="180" w:line="336" w:lineRule="auto"/>
        <w:ind w:firstLine="497"/>
        <w:rPr>
          <w:rFonts w:ascii="宋体" w:hAnsi="宋体" w:eastAsia="宋体" w:cs="宋体"/>
          <w:color w:val="auto"/>
          <w:spacing w:val="-1"/>
          <w:sz w:val="22"/>
          <w:szCs w:val="22"/>
          <w:highlight w:val="none"/>
        </w:rPr>
      </w:pPr>
      <w:r>
        <w:rPr>
          <w:rFonts w:ascii="宋体" w:hAnsi="宋体" w:eastAsia="宋体" w:cs="宋体"/>
          <w:color w:val="auto"/>
          <w:spacing w:val="-1"/>
          <w:sz w:val="22"/>
          <w:szCs w:val="22"/>
          <w:highlight w:val="none"/>
        </w:rPr>
        <w:t>（2）监理人不设立中心试验室，</w:t>
      </w:r>
      <w:r>
        <w:rPr>
          <w:rFonts w:hint="eastAsia" w:ascii="宋体" w:hAnsi="宋体" w:eastAsia="宋体" w:cs="宋体"/>
          <w:snapToGrid w:val="0"/>
          <w:color w:val="auto"/>
          <w:spacing w:val="-1"/>
          <w:kern w:val="0"/>
          <w:sz w:val="22"/>
          <w:szCs w:val="22"/>
          <w:highlight w:val="none"/>
          <w:lang w:val="en-US" w:eastAsia="zh-CN" w:bidi="ar-SA"/>
        </w:rPr>
        <w:t>本合同约定的全部试验检测工作，监理人应通过委托具备相应资质的第三方试验检测机构完成。</w:t>
      </w:r>
    </w:p>
    <w:p w14:paraId="5052E083">
      <w:pPr>
        <w:spacing w:before="166" w:line="289" w:lineRule="auto"/>
        <w:ind w:left="1" w:right="142" w:firstLine="447"/>
        <w:rPr>
          <w:rFonts w:ascii="宋体" w:hAnsi="宋体" w:eastAsia="宋体" w:cs="宋体"/>
          <w:color w:val="auto"/>
          <w:spacing w:val="-1"/>
          <w:sz w:val="22"/>
          <w:szCs w:val="22"/>
          <w:highlight w:val="none"/>
        </w:rPr>
      </w:pPr>
      <w:r>
        <w:rPr>
          <w:rFonts w:ascii="宋体" w:hAnsi="宋体" w:eastAsia="宋体" w:cs="宋体"/>
          <w:color w:val="auto"/>
          <w:spacing w:val="-1"/>
          <w:sz w:val="22"/>
          <w:szCs w:val="22"/>
          <w:highlight w:val="none"/>
        </w:rPr>
        <w:t>（3）监理人应按照设计文件及相关规范规定的频率做好测点、试样试件的取样送样的见证工作，并对试样、试件的真实性、代表性负责。对于无法在现场完成的试验检测项目，监理人联合中心试验室拟定具体检测项目以及快速、安全的送检措施并报备委托人。</w:t>
      </w:r>
    </w:p>
    <w:p w14:paraId="6DBD6479">
      <w:pPr>
        <w:spacing w:before="166" w:line="289" w:lineRule="auto"/>
        <w:ind w:left="1" w:right="142" w:firstLine="447"/>
        <w:rPr>
          <w:rFonts w:ascii="宋体" w:hAnsi="宋体" w:eastAsia="宋体" w:cs="宋体"/>
          <w:color w:val="auto"/>
          <w:spacing w:val="-1"/>
          <w:sz w:val="22"/>
          <w:szCs w:val="22"/>
          <w:highlight w:val="none"/>
        </w:rPr>
      </w:pPr>
      <w:r>
        <w:rPr>
          <w:rFonts w:ascii="宋体" w:hAnsi="宋体" w:eastAsia="宋体" w:cs="宋体"/>
          <w:color w:val="auto"/>
          <w:spacing w:val="-1"/>
          <w:sz w:val="22"/>
          <w:szCs w:val="22"/>
          <w:highlight w:val="none"/>
        </w:rPr>
        <w:t>（4）监理人负责按照最新《公路工程施工监理规范》及最新《水运工程施工监理规范》抽检频率范围内的试验检测质量评定、归档及竣工资料编制。</w:t>
      </w:r>
    </w:p>
    <w:p w14:paraId="242B2796">
      <w:pPr>
        <w:spacing w:before="166" w:line="289" w:lineRule="auto"/>
        <w:ind w:left="1" w:right="142" w:firstLine="447"/>
        <w:rPr>
          <w:rFonts w:ascii="宋体" w:hAnsi="宋体" w:eastAsia="宋体" w:cs="宋体"/>
          <w:color w:val="auto"/>
          <w:spacing w:val="-1"/>
          <w:sz w:val="22"/>
          <w:szCs w:val="22"/>
          <w:highlight w:val="none"/>
        </w:rPr>
      </w:pPr>
      <w:r>
        <w:rPr>
          <w:rFonts w:ascii="宋体" w:hAnsi="宋体" w:eastAsia="宋体" w:cs="宋体"/>
          <w:color w:val="auto"/>
          <w:spacing w:val="-1"/>
          <w:sz w:val="22"/>
          <w:szCs w:val="22"/>
          <w:highlight w:val="none"/>
        </w:rPr>
        <w:t>（5）监理人应根据《广东省公路工程造价标准化管理指南》《公路工程造价管理指南》和合同履行监理责任。</w:t>
      </w:r>
    </w:p>
    <w:p w14:paraId="20A350D1">
      <w:pPr>
        <w:spacing w:before="167" w:line="220" w:lineRule="auto"/>
        <w:ind w:left="446"/>
        <w:rPr>
          <w:rFonts w:ascii="宋体" w:hAnsi="宋体" w:eastAsia="宋体" w:cs="宋体"/>
          <w:color w:val="auto"/>
          <w:sz w:val="22"/>
          <w:szCs w:val="22"/>
          <w:highlight w:val="none"/>
        </w:rPr>
      </w:pPr>
      <w:r>
        <w:rPr>
          <w:rFonts w:ascii="宋体" w:hAnsi="宋体" w:eastAsia="宋体" w:cs="宋体"/>
          <w:color w:val="auto"/>
          <w:spacing w:val="-1"/>
          <w:sz w:val="22"/>
          <w:szCs w:val="22"/>
          <w:highlight w:val="none"/>
        </w:rPr>
        <w:t>5.3.4.3 试验检测数据</w:t>
      </w:r>
    </w:p>
    <w:p w14:paraId="62FD8F15">
      <w:pPr>
        <w:spacing w:before="165" w:line="359" w:lineRule="auto"/>
        <w:ind w:right="133" w:firstLine="462"/>
        <w:rPr>
          <w:rFonts w:ascii="宋体" w:hAnsi="宋体" w:eastAsia="宋体" w:cs="宋体"/>
          <w:color w:val="auto"/>
          <w:sz w:val="22"/>
          <w:szCs w:val="22"/>
          <w:highlight w:val="none"/>
        </w:rPr>
      </w:pPr>
      <w:r>
        <w:rPr>
          <w:rFonts w:ascii="宋体" w:hAnsi="宋体" w:eastAsia="宋体" w:cs="宋体"/>
          <w:color w:val="auto"/>
          <w:sz w:val="22"/>
          <w:szCs w:val="22"/>
          <w:highlight w:val="none"/>
        </w:rPr>
        <w:t>中心试验室的试验检测结果（包括监理人抽样送检和中心试</w:t>
      </w:r>
      <w:r>
        <w:rPr>
          <w:rFonts w:ascii="宋体" w:hAnsi="宋体" w:eastAsia="宋体" w:cs="宋体"/>
          <w:color w:val="auto"/>
          <w:spacing w:val="-1"/>
          <w:sz w:val="22"/>
          <w:szCs w:val="22"/>
          <w:highlight w:val="none"/>
        </w:rPr>
        <w:t>验室代表委托人抽检</w:t>
      </w:r>
      <w:r>
        <w:rPr>
          <w:rFonts w:ascii="宋体" w:hAnsi="宋体" w:eastAsia="宋体" w:cs="宋体"/>
          <w:color w:val="auto"/>
          <w:spacing w:val="16"/>
          <w:sz w:val="22"/>
          <w:szCs w:val="22"/>
          <w:highlight w:val="none"/>
        </w:rPr>
        <w:t>），</w:t>
      </w:r>
      <w:r>
        <w:rPr>
          <w:rFonts w:ascii="宋体" w:hAnsi="宋体" w:eastAsia="宋体" w:cs="宋体"/>
          <w:color w:val="auto"/>
          <w:spacing w:val="-1"/>
          <w:sz w:val="22"/>
          <w:szCs w:val="22"/>
          <w:highlight w:val="none"/>
        </w:rPr>
        <w:t>中心</w:t>
      </w:r>
      <w:r>
        <w:rPr>
          <w:rFonts w:ascii="宋体" w:hAnsi="宋体" w:eastAsia="宋体" w:cs="宋体"/>
          <w:color w:val="auto"/>
          <w:spacing w:val="1"/>
          <w:sz w:val="22"/>
          <w:szCs w:val="22"/>
          <w:highlight w:val="none"/>
        </w:rPr>
        <w:t>试验室应及时反馈监理人和上报委托人；如存在异常数据，应及时会同监理人按规范要求抽样</w:t>
      </w:r>
      <w:r>
        <w:rPr>
          <w:rFonts w:ascii="宋体" w:hAnsi="宋体" w:eastAsia="宋体" w:cs="宋体"/>
          <w:color w:val="auto"/>
          <w:spacing w:val="-1"/>
          <w:sz w:val="22"/>
          <w:szCs w:val="22"/>
          <w:highlight w:val="none"/>
        </w:rPr>
        <w:t>复检，并由监理人负责督办不合格品的处理与闭合。</w:t>
      </w:r>
    </w:p>
    <w:p w14:paraId="3A7BBA74">
      <w:pPr>
        <w:spacing w:line="328" w:lineRule="auto"/>
        <w:rPr>
          <w:rFonts w:ascii="Arial"/>
          <w:color w:val="auto"/>
          <w:sz w:val="21"/>
          <w:highlight w:val="none"/>
        </w:rPr>
      </w:pPr>
    </w:p>
    <w:p w14:paraId="17D04F3E">
      <w:pPr>
        <w:spacing w:before="78" w:line="219" w:lineRule="auto"/>
        <w:ind w:left="6"/>
        <w:rPr>
          <w:rFonts w:ascii="宋体" w:hAnsi="宋体" w:eastAsia="宋体" w:cs="宋体"/>
          <w:color w:val="auto"/>
          <w:sz w:val="24"/>
          <w:szCs w:val="24"/>
          <w:highlight w:val="none"/>
        </w:rPr>
      </w:pPr>
      <w:r>
        <w:rPr>
          <w:rFonts w:ascii="宋体" w:hAnsi="宋体" w:eastAsia="宋体" w:cs="宋体"/>
          <w:b/>
          <w:bCs/>
          <w:color w:val="auto"/>
          <w:spacing w:val="-3"/>
          <w:sz w:val="24"/>
          <w:szCs w:val="24"/>
          <w:highlight w:val="none"/>
        </w:rPr>
        <w:t>5.5</w:t>
      </w:r>
      <w:r>
        <w:rPr>
          <w:rFonts w:ascii="宋体" w:hAnsi="宋体" w:eastAsia="宋体" w:cs="宋体"/>
          <w:color w:val="auto"/>
          <w:spacing w:val="-3"/>
          <w:sz w:val="24"/>
          <w:szCs w:val="24"/>
          <w:highlight w:val="none"/>
        </w:rPr>
        <w:t xml:space="preserve"> </w:t>
      </w:r>
      <w:r>
        <w:rPr>
          <w:rFonts w:ascii="宋体" w:hAnsi="宋体" w:eastAsia="宋体" w:cs="宋体"/>
          <w:b/>
          <w:bCs/>
          <w:color w:val="auto"/>
          <w:spacing w:val="-3"/>
          <w:sz w:val="24"/>
          <w:szCs w:val="24"/>
          <w:highlight w:val="none"/>
        </w:rPr>
        <w:t>监理服务形式</w:t>
      </w:r>
    </w:p>
    <w:p w14:paraId="1D9C1E15">
      <w:pPr>
        <w:spacing w:before="179" w:line="219" w:lineRule="auto"/>
        <w:ind w:left="443"/>
        <w:rPr>
          <w:rFonts w:ascii="宋体" w:hAnsi="宋体" w:eastAsia="宋体" w:cs="宋体"/>
          <w:color w:val="auto"/>
          <w:sz w:val="22"/>
          <w:szCs w:val="22"/>
          <w:highlight w:val="none"/>
        </w:rPr>
      </w:pPr>
      <w:r>
        <w:rPr>
          <w:rFonts w:ascii="宋体" w:hAnsi="宋体" w:eastAsia="宋体" w:cs="宋体"/>
          <w:color w:val="auto"/>
          <w:sz w:val="22"/>
          <w:szCs w:val="22"/>
          <w:highlight w:val="none"/>
        </w:rPr>
        <w:t>监理服务机构设置：</w:t>
      </w:r>
      <w:r>
        <w:rPr>
          <w:rFonts w:hint="eastAsia" w:ascii="宋体" w:hAnsi="宋体" w:eastAsia="宋体" w:cs="宋体"/>
          <w:color w:val="auto"/>
          <w:kern w:val="0"/>
          <w:sz w:val="24"/>
          <w:szCs w:val="24"/>
          <w:highlight w:val="none"/>
          <w:u w:val="single"/>
          <w:lang w:val="en-US" w:eastAsia="zh-CN"/>
        </w:rPr>
        <w:t>一</w:t>
      </w:r>
      <w:r>
        <w:rPr>
          <w:rFonts w:hint="eastAsia" w:ascii="宋体" w:hAnsi="宋体" w:eastAsia="宋体" w:cs="宋体"/>
          <w:color w:val="auto"/>
          <w:kern w:val="0"/>
          <w:sz w:val="24"/>
          <w:szCs w:val="24"/>
          <w:highlight w:val="none"/>
          <w:u w:val="single"/>
        </w:rPr>
        <w:t>级监理机构</w:t>
      </w:r>
      <w:r>
        <w:rPr>
          <w:rFonts w:ascii="宋体" w:hAnsi="宋体" w:eastAsia="宋体" w:cs="宋体"/>
          <w:color w:val="auto"/>
          <w:spacing w:val="-1"/>
          <w:sz w:val="22"/>
          <w:szCs w:val="22"/>
          <w:highlight w:val="none"/>
        </w:rPr>
        <w:t>。</w:t>
      </w:r>
    </w:p>
    <w:p w14:paraId="11C5D9ED">
      <w:pPr>
        <w:spacing w:before="168" w:line="220" w:lineRule="auto"/>
        <w:jc w:val="right"/>
        <w:rPr>
          <w:rFonts w:ascii="宋体" w:hAnsi="宋体" w:eastAsia="宋体" w:cs="宋体"/>
          <w:color w:val="auto"/>
          <w:sz w:val="22"/>
          <w:szCs w:val="22"/>
          <w:highlight w:val="none"/>
        </w:rPr>
      </w:pPr>
      <w:r>
        <w:rPr>
          <w:rFonts w:ascii="宋体" w:hAnsi="宋体" w:eastAsia="宋体" w:cs="宋体"/>
          <w:color w:val="auto"/>
          <w:spacing w:val="-1"/>
          <w:sz w:val="22"/>
          <w:szCs w:val="22"/>
          <w:highlight w:val="none"/>
        </w:rPr>
        <w:t>总监理工程师办公室按</w:t>
      </w:r>
      <w:r>
        <w:rPr>
          <w:rFonts w:ascii="宋体" w:hAnsi="宋体" w:eastAsia="宋体" w:cs="宋体"/>
          <w:color w:val="auto"/>
          <w:spacing w:val="-1"/>
          <w:sz w:val="22"/>
          <w:szCs w:val="22"/>
          <w:highlight w:val="none"/>
          <w:u w:val="single" w:color="auto"/>
        </w:rPr>
        <w:t>（组建原则、设立方式）</w:t>
      </w:r>
      <w:r>
        <w:rPr>
          <w:rFonts w:ascii="宋体" w:hAnsi="宋体" w:eastAsia="宋体" w:cs="宋体"/>
          <w:color w:val="auto"/>
          <w:spacing w:val="-2"/>
          <w:sz w:val="22"/>
          <w:szCs w:val="22"/>
          <w:highlight w:val="none"/>
        </w:rPr>
        <w:t>组建，下设</w:t>
      </w:r>
      <w:r>
        <w:rPr>
          <w:rFonts w:ascii="宋体" w:hAnsi="宋体" w:eastAsia="宋体" w:cs="宋体"/>
          <w:color w:val="auto"/>
          <w:spacing w:val="35"/>
          <w:sz w:val="22"/>
          <w:szCs w:val="22"/>
          <w:highlight w:val="none"/>
          <w:u w:val="single" w:color="auto"/>
        </w:rPr>
        <w:t xml:space="preserve"> </w:t>
      </w:r>
      <w:r>
        <w:rPr>
          <w:rFonts w:hint="eastAsia" w:ascii="宋体" w:hAnsi="宋体" w:eastAsia="宋体" w:cs="宋体"/>
          <w:color w:val="auto"/>
          <w:spacing w:val="35"/>
          <w:sz w:val="22"/>
          <w:szCs w:val="22"/>
          <w:highlight w:val="none"/>
          <w:u w:val="single" w:color="auto"/>
          <w:lang w:val="en-US" w:eastAsia="zh-CN"/>
        </w:rPr>
        <w:t>/</w:t>
      </w:r>
      <w:r>
        <w:rPr>
          <w:rFonts w:ascii="宋体" w:hAnsi="宋体" w:eastAsia="宋体" w:cs="宋体"/>
          <w:color w:val="auto"/>
          <w:spacing w:val="35"/>
          <w:sz w:val="22"/>
          <w:szCs w:val="22"/>
          <w:highlight w:val="none"/>
          <w:u w:val="single" w:color="auto"/>
        </w:rPr>
        <w:t xml:space="preserve"> </w:t>
      </w:r>
      <w:r>
        <w:rPr>
          <w:rFonts w:ascii="宋体" w:hAnsi="宋体" w:eastAsia="宋体" w:cs="宋体"/>
          <w:color w:val="auto"/>
          <w:spacing w:val="-100"/>
          <w:sz w:val="22"/>
          <w:szCs w:val="22"/>
          <w:highlight w:val="none"/>
        </w:rPr>
        <w:t xml:space="preserve"> </w:t>
      </w:r>
      <w:r>
        <w:rPr>
          <w:rFonts w:ascii="宋体" w:hAnsi="宋体" w:eastAsia="宋体" w:cs="宋体"/>
          <w:color w:val="auto"/>
          <w:spacing w:val="-2"/>
          <w:sz w:val="22"/>
          <w:szCs w:val="22"/>
          <w:highlight w:val="none"/>
        </w:rPr>
        <w:t>个驻地监理工程师办公室。</w:t>
      </w:r>
    </w:p>
    <w:p w14:paraId="5F081898">
      <w:pPr>
        <w:spacing w:line="328" w:lineRule="auto"/>
        <w:rPr>
          <w:rFonts w:ascii="Arial"/>
          <w:color w:val="auto"/>
          <w:sz w:val="21"/>
          <w:highlight w:val="none"/>
        </w:rPr>
      </w:pPr>
    </w:p>
    <w:p w14:paraId="515EED9E">
      <w:pPr>
        <w:spacing w:before="78" w:line="219" w:lineRule="auto"/>
        <w:ind w:left="6"/>
        <w:rPr>
          <w:rFonts w:ascii="宋体" w:hAnsi="宋体" w:eastAsia="宋体" w:cs="宋体"/>
          <w:color w:val="auto"/>
          <w:sz w:val="24"/>
          <w:szCs w:val="24"/>
          <w:highlight w:val="none"/>
        </w:rPr>
      </w:pPr>
      <w:r>
        <w:rPr>
          <w:rFonts w:ascii="宋体" w:hAnsi="宋体" w:eastAsia="宋体" w:cs="宋体"/>
          <w:b/>
          <w:bCs/>
          <w:color w:val="auto"/>
          <w:spacing w:val="-3"/>
          <w:sz w:val="24"/>
          <w:szCs w:val="24"/>
          <w:highlight w:val="none"/>
        </w:rPr>
        <w:t>5.6</w:t>
      </w:r>
      <w:r>
        <w:rPr>
          <w:rFonts w:ascii="宋体" w:hAnsi="宋体" w:eastAsia="宋体" w:cs="宋体"/>
          <w:color w:val="auto"/>
          <w:spacing w:val="-3"/>
          <w:sz w:val="24"/>
          <w:szCs w:val="24"/>
          <w:highlight w:val="none"/>
        </w:rPr>
        <w:t xml:space="preserve"> </w:t>
      </w:r>
      <w:r>
        <w:rPr>
          <w:rFonts w:ascii="宋体" w:hAnsi="宋体" w:eastAsia="宋体" w:cs="宋体"/>
          <w:b/>
          <w:bCs/>
          <w:color w:val="auto"/>
          <w:spacing w:val="-3"/>
          <w:sz w:val="24"/>
          <w:szCs w:val="24"/>
          <w:highlight w:val="none"/>
        </w:rPr>
        <w:t>监理服务目标</w:t>
      </w:r>
    </w:p>
    <w:p w14:paraId="12F462E3">
      <w:pPr>
        <w:spacing w:before="178" w:line="360" w:lineRule="auto"/>
        <w:ind w:left="6" w:leftChars="0" w:firstLine="440" w:firstLineChars="200"/>
        <w:rPr>
          <w:rFonts w:ascii="宋体" w:hAnsi="宋体" w:eastAsia="宋体" w:cs="宋体"/>
          <w:color w:val="auto"/>
          <w:sz w:val="22"/>
          <w:szCs w:val="22"/>
          <w:highlight w:val="none"/>
        </w:rPr>
      </w:pPr>
      <w:r>
        <w:rPr>
          <w:rFonts w:ascii="宋体" w:hAnsi="宋体" w:eastAsia="宋体" w:cs="宋体"/>
          <w:color w:val="auto"/>
          <w:sz w:val="22"/>
          <w:szCs w:val="22"/>
          <w:highlight w:val="none"/>
        </w:rPr>
        <w:t>5.6.2 对第三方履约管理的服务目标：</w:t>
      </w:r>
      <w:r>
        <w:rPr>
          <w:rFonts w:hint="eastAsia" w:ascii="宋体" w:hAnsi="宋体" w:eastAsia="宋体" w:cs="宋体"/>
          <w:color w:val="auto"/>
          <w:sz w:val="22"/>
          <w:szCs w:val="22"/>
          <w:highlight w:val="none"/>
          <w:u w:val="single"/>
        </w:rPr>
        <w:t>确保工期，节省投资，保证安全，工程质量达到交工验收合格、竣工验收合格</w:t>
      </w:r>
      <w:r>
        <w:rPr>
          <w:rFonts w:ascii="宋体" w:hAnsi="宋体" w:eastAsia="宋体" w:cs="宋体"/>
          <w:color w:val="auto"/>
          <w:spacing w:val="-1"/>
          <w:sz w:val="22"/>
          <w:szCs w:val="22"/>
          <w:highlight w:val="none"/>
        </w:rPr>
        <w:t>。</w:t>
      </w:r>
    </w:p>
    <w:p w14:paraId="345EEBDD">
      <w:pPr>
        <w:spacing w:before="165" w:line="360" w:lineRule="auto"/>
        <w:ind w:left="22" w:right="133" w:firstLine="424"/>
        <w:rPr>
          <w:rFonts w:ascii="宋体" w:hAnsi="宋体" w:eastAsia="宋体" w:cs="宋体"/>
          <w:color w:val="auto"/>
          <w:sz w:val="22"/>
          <w:szCs w:val="22"/>
          <w:highlight w:val="none"/>
        </w:rPr>
      </w:pPr>
      <w:r>
        <w:rPr>
          <w:rFonts w:ascii="宋体" w:hAnsi="宋体" w:eastAsia="宋体" w:cs="宋体"/>
          <w:color w:val="auto"/>
          <w:spacing w:val="2"/>
          <w:sz w:val="22"/>
          <w:szCs w:val="22"/>
          <w:highlight w:val="none"/>
        </w:rPr>
        <w:t>5.6.3</w:t>
      </w:r>
      <w:r>
        <w:rPr>
          <w:rFonts w:ascii="宋体" w:hAnsi="宋体" w:eastAsia="宋体" w:cs="宋体"/>
          <w:color w:val="auto"/>
          <w:spacing w:val="-44"/>
          <w:sz w:val="22"/>
          <w:szCs w:val="22"/>
          <w:highlight w:val="none"/>
        </w:rPr>
        <w:t xml:space="preserve"> </w:t>
      </w:r>
      <w:r>
        <w:rPr>
          <w:rFonts w:ascii="宋体" w:hAnsi="宋体" w:eastAsia="宋体" w:cs="宋体"/>
          <w:color w:val="auto"/>
          <w:spacing w:val="2"/>
          <w:sz w:val="22"/>
          <w:szCs w:val="22"/>
          <w:highlight w:val="none"/>
        </w:rPr>
        <w:t>监理人应根据《公路工程施工监理规范》、广东省《公路工程造价管理指南》、合</w:t>
      </w:r>
      <w:r>
        <w:rPr>
          <w:rFonts w:ascii="宋体" w:hAnsi="宋体" w:eastAsia="宋体" w:cs="宋体"/>
          <w:color w:val="auto"/>
          <w:spacing w:val="-2"/>
          <w:sz w:val="22"/>
          <w:szCs w:val="22"/>
          <w:highlight w:val="none"/>
        </w:rPr>
        <w:t>同约定及工程设计要求和合同履行监理责任。</w:t>
      </w:r>
    </w:p>
    <w:p w14:paraId="2FD96E5F">
      <w:pPr>
        <w:spacing w:line="328" w:lineRule="auto"/>
        <w:rPr>
          <w:rFonts w:ascii="Arial"/>
          <w:color w:val="auto"/>
          <w:sz w:val="21"/>
          <w:highlight w:val="none"/>
        </w:rPr>
      </w:pPr>
    </w:p>
    <w:p w14:paraId="03858B66">
      <w:pPr>
        <w:spacing w:before="79" w:line="219" w:lineRule="auto"/>
        <w:ind w:left="6"/>
        <w:rPr>
          <w:rFonts w:ascii="宋体" w:hAnsi="宋体" w:eastAsia="宋体" w:cs="宋体"/>
          <w:color w:val="auto"/>
          <w:sz w:val="24"/>
          <w:szCs w:val="24"/>
          <w:highlight w:val="none"/>
        </w:rPr>
      </w:pPr>
      <w:r>
        <w:rPr>
          <w:rFonts w:ascii="宋体" w:hAnsi="宋体" w:eastAsia="宋体" w:cs="宋体"/>
          <w:b/>
          <w:bCs/>
          <w:color w:val="auto"/>
          <w:spacing w:val="-3"/>
          <w:sz w:val="24"/>
          <w:szCs w:val="24"/>
          <w:highlight w:val="none"/>
        </w:rPr>
        <w:t>5.7</w:t>
      </w:r>
      <w:r>
        <w:rPr>
          <w:rFonts w:ascii="宋体" w:hAnsi="宋体" w:eastAsia="宋体" w:cs="宋体"/>
          <w:color w:val="auto"/>
          <w:spacing w:val="-3"/>
          <w:sz w:val="24"/>
          <w:szCs w:val="24"/>
          <w:highlight w:val="none"/>
        </w:rPr>
        <w:t xml:space="preserve"> </w:t>
      </w:r>
      <w:r>
        <w:rPr>
          <w:rFonts w:ascii="宋体" w:hAnsi="宋体" w:eastAsia="宋体" w:cs="宋体"/>
          <w:b/>
          <w:bCs/>
          <w:color w:val="auto"/>
          <w:spacing w:val="-3"/>
          <w:sz w:val="24"/>
          <w:szCs w:val="24"/>
          <w:highlight w:val="none"/>
        </w:rPr>
        <w:t>委托人对监理人的授权</w:t>
      </w:r>
    </w:p>
    <w:p w14:paraId="6D8B9DB6">
      <w:pPr>
        <w:spacing w:before="45" w:line="359" w:lineRule="auto"/>
        <w:ind w:left="32" w:right="280" w:firstLine="421"/>
        <w:rPr>
          <w:rFonts w:ascii="宋体" w:hAnsi="宋体" w:eastAsia="宋体" w:cs="宋体"/>
          <w:color w:val="auto"/>
          <w:spacing w:val="1"/>
          <w:sz w:val="22"/>
          <w:szCs w:val="22"/>
          <w:highlight w:val="none"/>
        </w:rPr>
      </w:pPr>
    </w:p>
    <w:p w14:paraId="0645CA38">
      <w:pPr>
        <w:spacing w:before="45" w:line="359" w:lineRule="auto"/>
        <w:ind w:left="32" w:right="280" w:firstLine="421"/>
        <w:rPr>
          <w:rFonts w:ascii="宋体" w:hAnsi="宋体" w:eastAsia="宋体" w:cs="宋体"/>
          <w:color w:val="auto"/>
          <w:sz w:val="22"/>
          <w:szCs w:val="22"/>
          <w:highlight w:val="none"/>
        </w:rPr>
      </w:pPr>
      <w:r>
        <w:rPr>
          <w:rFonts w:ascii="宋体" w:hAnsi="宋体" w:eastAsia="宋体" w:cs="宋体"/>
          <w:color w:val="auto"/>
          <w:spacing w:val="1"/>
          <w:sz w:val="22"/>
          <w:szCs w:val="22"/>
          <w:highlight w:val="none"/>
        </w:rPr>
        <w:t>5.7.1 委托人对监理人的授权：监理人在行使以下规定的职权之前，应先取</w:t>
      </w:r>
      <w:r>
        <w:rPr>
          <w:rFonts w:ascii="宋体" w:hAnsi="宋体" w:eastAsia="宋体" w:cs="宋体"/>
          <w:color w:val="auto"/>
          <w:sz w:val="22"/>
          <w:szCs w:val="22"/>
          <w:highlight w:val="none"/>
        </w:rPr>
        <w:t>得委托人的专</w:t>
      </w:r>
      <w:r>
        <w:rPr>
          <w:rFonts w:ascii="宋体" w:hAnsi="宋体" w:eastAsia="宋体" w:cs="宋体"/>
          <w:color w:val="auto"/>
          <w:spacing w:val="-9"/>
          <w:sz w:val="22"/>
          <w:szCs w:val="22"/>
          <w:highlight w:val="none"/>
        </w:rPr>
        <w:t>门批准：</w:t>
      </w:r>
    </w:p>
    <w:p w14:paraId="6A6F7481">
      <w:pPr>
        <w:spacing w:line="219" w:lineRule="auto"/>
        <w:ind w:left="455"/>
        <w:rPr>
          <w:rFonts w:ascii="宋体" w:hAnsi="宋体" w:eastAsia="宋体" w:cs="宋体"/>
          <w:color w:val="auto"/>
          <w:sz w:val="22"/>
          <w:szCs w:val="22"/>
          <w:highlight w:val="none"/>
        </w:rPr>
      </w:pPr>
      <w:r>
        <w:rPr>
          <w:rFonts w:ascii="宋体" w:hAnsi="宋体" w:eastAsia="宋体" w:cs="宋体"/>
          <w:color w:val="auto"/>
          <w:spacing w:val="-1"/>
          <w:sz w:val="22"/>
          <w:szCs w:val="22"/>
          <w:highlight w:val="none"/>
        </w:rPr>
        <w:t>（1）审核分包本工程的某非主体部分；</w:t>
      </w:r>
    </w:p>
    <w:p w14:paraId="321E5D24">
      <w:pPr>
        <w:spacing w:before="165" w:line="289" w:lineRule="auto"/>
        <w:ind w:left="8" w:right="278" w:firstLine="447"/>
        <w:rPr>
          <w:rFonts w:ascii="宋体" w:hAnsi="宋体" w:eastAsia="宋体" w:cs="宋体"/>
          <w:color w:val="auto"/>
          <w:sz w:val="22"/>
          <w:szCs w:val="22"/>
          <w:highlight w:val="none"/>
        </w:rPr>
      </w:pPr>
      <w:r>
        <w:rPr>
          <w:rFonts w:ascii="宋体" w:hAnsi="宋体" w:eastAsia="宋体" w:cs="宋体"/>
          <w:color w:val="auto"/>
          <w:spacing w:val="4"/>
          <w:sz w:val="22"/>
          <w:szCs w:val="22"/>
          <w:highlight w:val="none"/>
        </w:rPr>
        <w:t>（2）核对施工队伍、人员和设备的进场情况是否与承包人投标文</w:t>
      </w:r>
      <w:r>
        <w:rPr>
          <w:rFonts w:ascii="宋体" w:hAnsi="宋体" w:eastAsia="宋体" w:cs="宋体"/>
          <w:color w:val="auto"/>
          <w:spacing w:val="3"/>
          <w:sz w:val="22"/>
          <w:szCs w:val="22"/>
          <w:highlight w:val="none"/>
        </w:rPr>
        <w:t>件承诺一致，发布开工</w:t>
      </w:r>
      <w:r>
        <w:rPr>
          <w:rFonts w:ascii="宋体" w:hAnsi="宋体" w:eastAsia="宋体" w:cs="宋体"/>
          <w:color w:val="auto"/>
          <w:spacing w:val="-1"/>
          <w:sz w:val="22"/>
          <w:szCs w:val="22"/>
          <w:highlight w:val="none"/>
        </w:rPr>
        <w:t>令、暂时停工或复工令；</w:t>
      </w:r>
    </w:p>
    <w:p w14:paraId="76C53B64">
      <w:pPr>
        <w:spacing w:before="168" w:line="220" w:lineRule="auto"/>
        <w:ind w:left="455"/>
        <w:rPr>
          <w:rFonts w:ascii="宋体" w:hAnsi="宋体" w:eastAsia="宋体" w:cs="宋体"/>
          <w:color w:val="auto"/>
          <w:sz w:val="22"/>
          <w:szCs w:val="22"/>
          <w:highlight w:val="none"/>
        </w:rPr>
      </w:pPr>
      <w:r>
        <w:rPr>
          <w:rFonts w:ascii="宋体" w:hAnsi="宋体" w:eastAsia="宋体" w:cs="宋体"/>
          <w:color w:val="auto"/>
          <w:spacing w:val="-1"/>
          <w:sz w:val="22"/>
          <w:szCs w:val="22"/>
          <w:highlight w:val="none"/>
        </w:rPr>
        <w:t>（3）决定承包人有权得到的工程延期；</w:t>
      </w:r>
    </w:p>
    <w:p w14:paraId="694050C5">
      <w:pPr>
        <w:spacing w:before="165" w:line="220" w:lineRule="auto"/>
        <w:ind w:left="455"/>
        <w:rPr>
          <w:rFonts w:ascii="宋体" w:hAnsi="宋体" w:eastAsia="宋体" w:cs="宋体"/>
          <w:color w:val="auto"/>
          <w:sz w:val="22"/>
          <w:szCs w:val="22"/>
          <w:highlight w:val="none"/>
        </w:rPr>
      </w:pPr>
      <w:r>
        <w:rPr>
          <w:rFonts w:ascii="宋体" w:hAnsi="宋体" w:eastAsia="宋体" w:cs="宋体"/>
          <w:color w:val="auto"/>
          <w:spacing w:val="-1"/>
          <w:sz w:val="22"/>
          <w:szCs w:val="22"/>
          <w:highlight w:val="none"/>
        </w:rPr>
        <w:t>（4）审查批准技术规范(规格)或设计的变更；</w:t>
      </w:r>
    </w:p>
    <w:p w14:paraId="3658FEF9">
      <w:pPr>
        <w:spacing w:before="165" w:line="219" w:lineRule="auto"/>
        <w:ind w:left="455"/>
        <w:rPr>
          <w:rFonts w:ascii="宋体" w:hAnsi="宋体" w:eastAsia="宋体" w:cs="宋体"/>
          <w:color w:val="auto"/>
          <w:sz w:val="22"/>
          <w:szCs w:val="22"/>
          <w:highlight w:val="none"/>
        </w:rPr>
      </w:pPr>
      <w:r>
        <w:rPr>
          <w:rFonts w:ascii="宋体" w:hAnsi="宋体" w:eastAsia="宋体" w:cs="宋体"/>
          <w:color w:val="auto"/>
          <w:spacing w:val="-2"/>
          <w:sz w:val="22"/>
          <w:szCs w:val="22"/>
          <w:highlight w:val="none"/>
        </w:rPr>
        <w:t>（5）下达变更指令；</w:t>
      </w:r>
    </w:p>
    <w:p w14:paraId="477AFB15">
      <w:pPr>
        <w:spacing w:before="167" w:line="219" w:lineRule="auto"/>
        <w:ind w:left="455"/>
        <w:rPr>
          <w:rFonts w:ascii="宋体" w:hAnsi="宋体" w:eastAsia="宋体" w:cs="宋体"/>
          <w:color w:val="auto"/>
          <w:sz w:val="22"/>
          <w:szCs w:val="22"/>
          <w:highlight w:val="none"/>
        </w:rPr>
      </w:pPr>
      <w:r>
        <w:rPr>
          <w:rFonts w:ascii="宋体" w:hAnsi="宋体" w:eastAsia="宋体" w:cs="宋体"/>
          <w:color w:val="auto"/>
          <w:spacing w:val="-1"/>
          <w:sz w:val="22"/>
          <w:szCs w:val="22"/>
          <w:highlight w:val="none"/>
        </w:rPr>
        <w:t>（6）对新增施工细目的单价进行估价；</w:t>
      </w:r>
    </w:p>
    <w:p w14:paraId="66AF2054">
      <w:pPr>
        <w:spacing w:before="167" w:line="220" w:lineRule="auto"/>
        <w:ind w:left="455"/>
        <w:rPr>
          <w:rFonts w:ascii="宋体" w:hAnsi="宋体" w:eastAsia="宋体" w:cs="宋体"/>
          <w:color w:val="auto"/>
          <w:sz w:val="22"/>
          <w:szCs w:val="22"/>
          <w:highlight w:val="none"/>
        </w:rPr>
      </w:pPr>
      <w:r>
        <w:rPr>
          <w:rFonts w:ascii="宋体" w:hAnsi="宋体" w:eastAsia="宋体" w:cs="宋体"/>
          <w:color w:val="auto"/>
          <w:spacing w:val="-2"/>
          <w:sz w:val="22"/>
          <w:szCs w:val="22"/>
          <w:highlight w:val="none"/>
        </w:rPr>
        <w:t>（7）审核有关暂列金额的使用；</w:t>
      </w:r>
    </w:p>
    <w:p w14:paraId="47AA8433">
      <w:pPr>
        <w:spacing w:before="165" w:line="355" w:lineRule="auto"/>
        <w:ind w:left="5" w:right="145" w:firstLine="441"/>
        <w:jc w:val="both"/>
        <w:rPr>
          <w:rFonts w:ascii="宋体" w:hAnsi="宋体" w:eastAsia="宋体" w:cs="宋体"/>
          <w:color w:val="auto"/>
          <w:sz w:val="22"/>
          <w:szCs w:val="22"/>
          <w:highlight w:val="none"/>
        </w:rPr>
      </w:pPr>
      <w:r>
        <w:rPr>
          <w:rFonts w:ascii="宋体" w:hAnsi="宋体" w:eastAsia="宋体" w:cs="宋体"/>
          <w:color w:val="auto"/>
          <w:spacing w:val="1"/>
          <w:sz w:val="22"/>
          <w:szCs w:val="22"/>
          <w:highlight w:val="none"/>
        </w:rPr>
        <w:t>但如果发生紧急情况，监理人认为将造成人员伤亡，或危及本工程或邻近的财产需立即采</w:t>
      </w:r>
      <w:r>
        <w:rPr>
          <w:rFonts w:ascii="宋体" w:hAnsi="宋体" w:eastAsia="宋体" w:cs="宋体"/>
          <w:color w:val="auto"/>
          <w:spacing w:val="-1"/>
          <w:sz w:val="22"/>
          <w:szCs w:val="22"/>
          <w:highlight w:val="none"/>
        </w:rPr>
        <w:t>取行动，监理人有权在未征得委托人的批准的情况下向承包人发布处理紧急情况所必需的指令。</w:t>
      </w:r>
      <w:r>
        <w:rPr>
          <w:rFonts w:ascii="宋体" w:hAnsi="宋体" w:eastAsia="宋体" w:cs="宋体"/>
          <w:color w:val="auto"/>
          <w:sz w:val="22"/>
          <w:szCs w:val="22"/>
          <w:highlight w:val="none"/>
        </w:rPr>
        <w:t>但监理人随后应及时向委托人报告情况，并与委托人协商进一</w:t>
      </w:r>
      <w:r>
        <w:rPr>
          <w:rFonts w:ascii="宋体" w:hAnsi="宋体" w:eastAsia="宋体" w:cs="宋体"/>
          <w:color w:val="auto"/>
          <w:spacing w:val="-1"/>
          <w:sz w:val="22"/>
          <w:szCs w:val="22"/>
          <w:highlight w:val="none"/>
        </w:rPr>
        <w:t>步应采取的措施。</w:t>
      </w:r>
    </w:p>
    <w:p w14:paraId="1E918827">
      <w:pPr>
        <w:spacing w:line="226" w:lineRule="auto"/>
        <w:ind w:left="450"/>
        <w:rPr>
          <w:rFonts w:ascii="宋体" w:hAnsi="宋体" w:eastAsia="宋体" w:cs="宋体"/>
          <w:color w:val="auto"/>
          <w:sz w:val="10"/>
          <w:szCs w:val="10"/>
          <w:highlight w:val="none"/>
        </w:rPr>
      </w:pPr>
      <w:r>
        <w:rPr>
          <w:rFonts w:ascii="宋体" w:hAnsi="宋体" w:eastAsia="宋体" w:cs="宋体"/>
          <w:color w:val="auto"/>
          <w:spacing w:val="-3"/>
          <w:sz w:val="22"/>
          <w:szCs w:val="22"/>
          <w:highlight w:val="none"/>
        </w:rPr>
        <w:t>增加第</w:t>
      </w:r>
      <w:r>
        <w:rPr>
          <w:rFonts w:ascii="宋体" w:hAnsi="宋体" w:eastAsia="宋体" w:cs="宋体"/>
          <w:color w:val="auto"/>
          <w:spacing w:val="-35"/>
          <w:sz w:val="22"/>
          <w:szCs w:val="22"/>
          <w:highlight w:val="none"/>
        </w:rPr>
        <w:t xml:space="preserve"> </w:t>
      </w:r>
      <w:r>
        <w:rPr>
          <w:rFonts w:ascii="宋体" w:hAnsi="宋体" w:eastAsia="宋体" w:cs="宋体"/>
          <w:color w:val="auto"/>
          <w:spacing w:val="-3"/>
          <w:sz w:val="22"/>
          <w:szCs w:val="22"/>
          <w:highlight w:val="none"/>
        </w:rPr>
        <w:t>5.8</w:t>
      </w:r>
      <w:r>
        <w:rPr>
          <w:rFonts w:ascii="宋体" w:hAnsi="宋体" w:eastAsia="宋体" w:cs="宋体"/>
          <w:color w:val="auto"/>
          <w:spacing w:val="-45"/>
          <w:sz w:val="22"/>
          <w:szCs w:val="22"/>
          <w:highlight w:val="none"/>
        </w:rPr>
        <w:t xml:space="preserve"> </w:t>
      </w:r>
      <w:r>
        <w:rPr>
          <w:rFonts w:ascii="宋体" w:hAnsi="宋体" w:eastAsia="宋体" w:cs="宋体"/>
          <w:color w:val="auto"/>
          <w:spacing w:val="-3"/>
          <w:sz w:val="22"/>
          <w:szCs w:val="22"/>
          <w:highlight w:val="none"/>
        </w:rPr>
        <w:t>项-5.12</w:t>
      </w:r>
      <w:r>
        <w:rPr>
          <w:rFonts w:ascii="宋体" w:hAnsi="宋体" w:eastAsia="宋体" w:cs="宋体"/>
          <w:color w:val="auto"/>
          <w:spacing w:val="-46"/>
          <w:sz w:val="22"/>
          <w:szCs w:val="22"/>
          <w:highlight w:val="none"/>
        </w:rPr>
        <w:t xml:space="preserve"> </w:t>
      </w:r>
      <w:r>
        <w:rPr>
          <w:rFonts w:ascii="宋体" w:hAnsi="宋体" w:eastAsia="宋体" w:cs="宋体"/>
          <w:color w:val="auto"/>
          <w:spacing w:val="-3"/>
          <w:sz w:val="22"/>
          <w:szCs w:val="22"/>
          <w:highlight w:val="none"/>
        </w:rPr>
        <w:t>款</w:t>
      </w:r>
      <w:r>
        <w:rPr>
          <w:color w:val="auto"/>
          <w:highlight w:val="none"/>
        </w:rPr>
        <w:fldChar w:fldCharType="begin"/>
      </w:r>
      <w:r>
        <w:rPr>
          <w:color w:val="auto"/>
          <w:highlight w:val="none"/>
        </w:rPr>
        <w:instrText xml:space="preserve"> HYPERLINK \l "bookmark145" </w:instrText>
      </w:r>
      <w:r>
        <w:rPr>
          <w:color w:val="auto"/>
          <w:highlight w:val="none"/>
        </w:rPr>
        <w:fldChar w:fldCharType="separate"/>
      </w:r>
      <w:r>
        <w:rPr>
          <w:rFonts w:ascii="宋体" w:hAnsi="宋体" w:eastAsia="宋体" w:cs="宋体"/>
          <w:color w:val="auto"/>
          <w:spacing w:val="-3"/>
          <w:position w:val="10"/>
          <w:sz w:val="10"/>
          <w:szCs w:val="10"/>
          <w:highlight w:val="none"/>
        </w:rPr>
        <w:t>①</w:t>
      </w:r>
      <w:r>
        <w:rPr>
          <w:rFonts w:ascii="宋体" w:hAnsi="宋体" w:eastAsia="宋体" w:cs="宋体"/>
          <w:color w:val="auto"/>
          <w:spacing w:val="-3"/>
          <w:position w:val="10"/>
          <w:sz w:val="10"/>
          <w:szCs w:val="10"/>
          <w:highlight w:val="none"/>
        </w:rPr>
        <w:fldChar w:fldCharType="end"/>
      </w:r>
    </w:p>
    <w:p w14:paraId="4F0ABF50">
      <w:pPr>
        <w:spacing w:before="175" w:line="221" w:lineRule="auto"/>
        <w:ind w:left="453"/>
        <w:rPr>
          <w:rFonts w:ascii="宋体" w:hAnsi="宋体" w:eastAsia="宋体" w:cs="宋体"/>
          <w:color w:val="auto"/>
          <w:sz w:val="22"/>
          <w:szCs w:val="22"/>
          <w:highlight w:val="none"/>
        </w:rPr>
      </w:pPr>
      <w:r>
        <w:rPr>
          <w:rFonts w:ascii="宋体" w:hAnsi="宋体" w:eastAsia="宋体" w:cs="宋体"/>
          <w:color w:val="auto"/>
          <w:spacing w:val="-1"/>
          <w:sz w:val="22"/>
          <w:szCs w:val="22"/>
          <w:highlight w:val="none"/>
        </w:rPr>
        <w:t>5.8 监理驻地建设标准化</w:t>
      </w:r>
    </w:p>
    <w:p w14:paraId="54649C8D">
      <w:pPr>
        <w:spacing w:before="165" w:line="359" w:lineRule="auto"/>
        <w:ind w:left="11" w:right="280" w:firstLine="767"/>
        <w:rPr>
          <w:rFonts w:ascii="宋体" w:hAnsi="宋体" w:eastAsia="宋体" w:cs="宋体"/>
          <w:color w:val="auto"/>
          <w:sz w:val="22"/>
          <w:szCs w:val="22"/>
          <w:highlight w:val="none"/>
        </w:rPr>
      </w:pPr>
      <w:r>
        <w:rPr>
          <w:rFonts w:ascii="宋体" w:hAnsi="宋体" w:eastAsia="宋体" w:cs="宋体"/>
          <w:color w:val="auto"/>
          <w:spacing w:val="4"/>
          <w:sz w:val="22"/>
          <w:szCs w:val="22"/>
          <w:highlight w:val="none"/>
        </w:rPr>
        <w:t>招标人对本项目采用标准化管理，监理人必须执行国家、广东省有关高速公路工程建</w:t>
      </w:r>
      <w:r>
        <w:rPr>
          <w:rFonts w:ascii="宋体" w:hAnsi="宋体" w:eastAsia="宋体" w:cs="宋体"/>
          <w:color w:val="auto"/>
          <w:sz w:val="22"/>
          <w:szCs w:val="22"/>
          <w:highlight w:val="none"/>
        </w:rPr>
        <w:t>设“双标</w:t>
      </w:r>
      <w:r>
        <w:rPr>
          <w:rFonts w:ascii="宋体" w:hAnsi="宋体" w:eastAsia="宋体" w:cs="宋体"/>
          <w:color w:val="auto"/>
          <w:spacing w:val="-81"/>
          <w:sz w:val="22"/>
          <w:szCs w:val="22"/>
          <w:highlight w:val="none"/>
        </w:rPr>
        <w:t xml:space="preserve"> </w:t>
      </w:r>
      <w:r>
        <w:rPr>
          <w:rFonts w:ascii="宋体" w:hAnsi="宋体" w:eastAsia="宋体" w:cs="宋体"/>
          <w:color w:val="auto"/>
          <w:sz w:val="22"/>
          <w:szCs w:val="22"/>
          <w:highlight w:val="none"/>
        </w:rPr>
        <w:t>”管理、品质公路、绿色公路的规定和要求。其相关文件资料有（包括但不限于</w:t>
      </w:r>
      <w:r>
        <w:rPr>
          <w:rFonts w:ascii="宋体" w:hAnsi="宋体" w:eastAsia="宋体" w:cs="宋体"/>
          <w:color w:val="auto"/>
          <w:spacing w:val="4"/>
          <w:sz w:val="22"/>
          <w:szCs w:val="22"/>
          <w:highlight w:val="none"/>
        </w:rPr>
        <w:t>）：</w:t>
      </w:r>
    </w:p>
    <w:p w14:paraId="56F07243">
      <w:pPr>
        <w:spacing w:line="286" w:lineRule="auto"/>
        <w:ind w:left="9" w:right="280" w:hanging="3"/>
        <w:rPr>
          <w:rFonts w:ascii="宋体" w:hAnsi="宋体" w:eastAsia="宋体" w:cs="宋体"/>
          <w:color w:val="auto"/>
          <w:sz w:val="22"/>
          <w:szCs w:val="22"/>
          <w:highlight w:val="none"/>
        </w:rPr>
      </w:pPr>
      <w:r>
        <w:rPr>
          <w:rFonts w:ascii="宋体" w:hAnsi="宋体" w:eastAsia="宋体" w:cs="宋体"/>
          <w:color w:val="auto"/>
          <w:spacing w:val="1"/>
          <w:sz w:val="22"/>
          <w:szCs w:val="22"/>
          <w:highlight w:val="none"/>
        </w:rPr>
        <w:t>①广东省公路工程施工标准化指南；②广东省高速公路优质工程管理办法；③广东省高速公路</w:t>
      </w:r>
      <w:r>
        <w:rPr>
          <w:rFonts w:ascii="宋体" w:hAnsi="宋体" w:eastAsia="宋体" w:cs="宋体"/>
          <w:color w:val="auto"/>
          <w:spacing w:val="-1"/>
          <w:sz w:val="22"/>
          <w:szCs w:val="22"/>
          <w:highlight w:val="none"/>
        </w:rPr>
        <w:t>工程优质优价和施工监理优监优酬实施意见</w:t>
      </w:r>
      <w:r>
        <w:rPr>
          <w:rFonts w:ascii="宋体" w:hAnsi="宋体" w:eastAsia="宋体" w:cs="宋体"/>
          <w:color w:val="auto"/>
          <w:spacing w:val="-1"/>
          <w:sz w:val="24"/>
          <w:szCs w:val="24"/>
          <w:highlight w:val="none"/>
        </w:rPr>
        <w:t>。</w:t>
      </w:r>
      <w:r>
        <w:rPr>
          <w:rFonts w:ascii="宋体" w:hAnsi="宋体" w:eastAsia="宋体" w:cs="宋体"/>
          <w:color w:val="auto"/>
          <w:spacing w:val="-1"/>
          <w:sz w:val="22"/>
          <w:szCs w:val="22"/>
          <w:highlight w:val="none"/>
        </w:rPr>
        <w:t>和招标人的要求。</w:t>
      </w:r>
    </w:p>
    <w:p w14:paraId="333C45DD">
      <w:pPr>
        <w:spacing w:before="182" w:line="222" w:lineRule="auto"/>
        <w:ind w:left="453"/>
        <w:rPr>
          <w:rFonts w:ascii="宋体" w:hAnsi="宋体" w:eastAsia="宋体" w:cs="宋体"/>
          <w:color w:val="auto"/>
          <w:spacing w:val="-2"/>
          <w:sz w:val="22"/>
          <w:szCs w:val="22"/>
          <w:highlight w:val="none"/>
        </w:rPr>
      </w:pPr>
      <w:r>
        <w:rPr>
          <w:rFonts w:ascii="宋体" w:hAnsi="宋体" w:eastAsia="宋体" w:cs="宋体"/>
          <w:color w:val="auto"/>
          <w:spacing w:val="-2"/>
          <w:sz w:val="22"/>
          <w:szCs w:val="22"/>
          <w:highlight w:val="none"/>
        </w:rPr>
        <w:t>5.9 平安工地建设要求</w:t>
      </w:r>
    </w:p>
    <w:p w14:paraId="50FFAB23">
      <w:pPr>
        <w:spacing w:before="182" w:line="222" w:lineRule="auto"/>
        <w:ind w:left="453"/>
        <w:rPr>
          <w:rFonts w:ascii="宋体" w:hAnsi="宋体" w:eastAsia="宋体" w:cs="宋体"/>
          <w:color w:val="auto"/>
          <w:spacing w:val="-2"/>
          <w:sz w:val="22"/>
          <w:szCs w:val="22"/>
          <w:highlight w:val="none"/>
        </w:rPr>
      </w:pPr>
    </w:p>
    <w:p w14:paraId="6973B88F">
      <w:pPr>
        <w:spacing w:before="165" w:line="359" w:lineRule="auto"/>
        <w:ind w:left="14" w:firstLine="436"/>
        <w:rPr>
          <w:rFonts w:ascii="宋体" w:hAnsi="宋体" w:eastAsia="宋体" w:cs="宋体"/>
          <w:color w:val="auto"/>
          <w:sz w:val="22"/>
          <w:szCs w:val="22"/>
          <w:highlight w:val="none"/>
        </w:rPr>
      </w:pPr>
      <w:r>
        <w:rPr>
          <w:rFonts w:ascii="宋体" w:hAnsi="宋体" w:eastAsia="宋体" w:cs="宋体"/>
          <w:color w:val="auto"/>
          <w:spacing w:val="1"/>
          <w:sz w:val="22"/>
          <w:szCs w:val="22"/>
          <w:highlight w:val="none"/>
        </w:rPr>
        <w:t>本项目执行广东省交通运输厅“关于开展公路水运工程‘平安工地</w:t>
      </w:r>
      <w:r>
        <w:rPr>
          <w:rFonts w:ascii="宋体" w:hAnsi="宋体" w:eastAsia="宋体" w:cs="宋体"/>
          <w:color w:val="auto"/>
          <w:spacing w:val="-79"/>
          <w:sz w:val="22"/>
          <w:szCs w:val="22"/>
          <w:highlight w:val="none"/>
        </w:rPr>
        <w:t xml:space="preserve"> </w:t>
      </w:r>
      <w:r>
        <w:rPr>
          <w:rFonts w:ascii="宋体" w:hAnsi="宋体" w:eastAsia="宋体" w:cs="宋体"/>
          <w:color w:val="auto"/>
          <w:spacing w:val="1"/>
          <w:sz w:val="22"/>
          <w:szCs w:val="22"/>
          <w:highlight w:val="none"/>
        </w:rPr>
        <w:t>’考核评价工作的通知</w:t>
      </w:r>
      <w:r>
        <w:rPr>
          <w:rFonts w:ascii="宋体" w:hAnsi="宋体" w:eastAsia="宋体" w:cs="宋体"/>
          <w:color w:val="auto"/>
          <w:spacing w:val="-81"/>
          <w:sz w:val="22"/>
          <w:szCs w:val="22"/>
          <w:highlight w:val="none"/>
        </w:rPr>
        <w:t xml:space="preserve"> </w:t>
      </w:r>
      <w:r>
        <w:rPr>
          <w:rFonts w:ascii="宋体" w:hAnsi="宋体" w:eastAsia="宋体" w:cs="宋体"/>
          <w:color w:val="auto"/>
          <w:spacing w:val="1"/>
          <w:sz w:val="22"/>
          <w:szCs w:val="22"/>
          <w:highlight w:val="none"/>
        </w:rPr>
        <w:t>”</w:t>
      </w:r>
      <w:r>
        <w:rPr>
          <w:rFonts w:ascii="宋体" w:hAnsi="宋体" w:eastAsia="宋体" w:cs="宋体"/>
          <w:color w:val="auto"/>
          <w:sz w:val="22"/>
          <w:szCs w:val="22"/>
          <w:highlight w:val="none"/>
        </w:rPr>
        <w:t xml:space="preserve"> </w:t>
      </w:r>
      <w:r>
        <w:rPr>
          <w:rFonts w:ascii="宋体" w:hAnsi="宋体" w:eastAsia="宋体" w:cs="宋体"/>
          <w:color w:val="auto"/>
          <w:spacing w:val="-1"/>
          <w:sz w:val="22"/>
          <w:szCs w:val="22"/>
          <w:highlight w:val="none"/>
        </w:rPr>
        <w:t>（交质监发〔2012〕679 号）等文件有关施工监理的要求。</w:t>
      </w:r>
    </w:p>
    <w:p w14:paraId="087BF9E5">
      <w:pPr>
        <w:spacing w:line="219" w:lineRule="auto"/>
        <w:ind w:left="453"/>
        <w:rPr>
          <w:rFonts w:ascii="宋体" w:hAnsi="宋体" w:eastAsia="宋体" w:cs="宋体"/>
          <w:color w:val="auto"/>
          <w:sz w:val="22"/>
          <w:szCs w:val="22"/>
          <w:highlight w:val="none"/>
        </w:rPr>
      </w:pPr>
      <w:r>
        <w:rPr>
          <w:rFonts w:ascii="宋体" w:hAnsi="宋体" w:eastAsia="宋体" w:cs="宋体"/>
          <w:color w:val="auto"/>
          <w:spacing w:val="-2"/>
          <w:sz w:val="22"/>
          <w:szCs w:val="22"/>
          <w:highlight w:val="none"/>
        </w:rPr>
        <w:t>5.10 精细化管理</w:t>
      </w:r>
    </w:p>
    <w:p w14:paraId="73F58013">
      <w:pPr>
        <w:spacing w:before="166" w:line="359" w:lineRule="auto"/>
        <w:ind w:left="9" w:right="330" w:firstLine="440"/>
        <w:rPr>
          <w:rFonts w:ascii="宋体" w:hAnsi="宋体" w:eastAsia="宋体" w:cs="宋体"/>
          <w:color w:val="auto"/>
          <w:sz w:val="22"/>
          <w:szCs w:val="22"/>
          <w:highlight w:val="none"/>
        </w:rPr>
      </w:pPr>
      <w:r>
        <w:rPr>
          <w:rFonts w:ascii="宋体" w:hAnsi="宋体" w:eastAsia="宋体" w:cs="宋体"/>
          <w:color w:val="auto"/>
          <w:sz w:val="22"/>
          <w:szCs w:val="22"/>
          <w:highlight w:val="none"/>
        </w:rPr>
        <w:t>本项目执行《广东省公路工程施工标准化指南》《广东省公路工</w:t>
      </w:r>
      <w:r>
        <w:rPr>
          <w:rFonts w:ascii="宋体" w:hAnsi="宋体" w:eastAsia="宋体" w:cs="宋体"/>
          <w:color w:val="auto"/>
          <w:spacing w:val="-1"/>
          <w:sz w:val="22"/>
          <w:szCs w:val="22"/>
          <w:highlight w:val="none"/>
        </w:rPr>
        <w:t>程施工监理规范》和广东省交通运输厅发放的“广东省高速公路建设施工精细化管理规定</w:t>
      </w:r>
      <w:r>
        <w:rPr>
          <w:rFonts w:ascii="宋体" w:hAnsi="宋体" w:eastAsia="宋体" w:cs="宋体"/>
          <w:color w:val="auto"/>
          <w:spacing w:val="-79"/>
          <w:sz w:val="22"/>
          <w:szCs w:val="22"/>
          <w:highlight w:val="none"/>
        </w:rPr>
        <w:t xml:space="preserve"> </w:t>
      </w:r>
      <w:r>
        <w:rPr>
          <w:rFonts w:ascii="宋体" w:hAnsi="宋体" w:eastAsia="宋体" w:cs="宋体"/>
          <w:color w:val="auto"/>
          <w:spacing w:val="-1"/>
          <w:sz w:val="22"/>
          <w:szCs w:val="22"/>
          <w:highlight w:val="none"/>
        </w:rPr>
        <w:t>”的有关规定及委托人根据以</w:t>
      </w:r>
      <w:r>
        <w:rPr>
          <w:rFonts w:ascii="宋体" w:hAnsi="宋体" w:eastAsia="宋体" w:cs="宋体"/>
          <w:color w:val="auto"/>
          <w:sz w:val="22"/>
          <w:szCs w:val="22"/>
          <w:highlight w:val="none"/>
        </w:rPr>
        <w:t>上规定制定的相关精细化管理指南，在项目建设过程中实行精细化管理</w:t>
      </w:r>
      <w:r>
        <w:rPr>
          <w:rFonts w:ascii="宋体" w:hAnsi="宋体" w:eastAsia="宋体" w:cs="宋体"/>
          <w:color w:val="auto"/>
          <w:spacing w:val="-1"/>
          <w:sz w:val="22"/>
          <w:szCs w:val="22"/>
          <w:highlight w:val="none"/>
        </w:rPr>
        <w:t>。相关规定如有更新，</w:t>
      </w:r>
      <w:r>
        <w:rPr>
          <w:rFonts w:ascii="宋体" w:hAnsi="宋体" w:eastAsia="宋体" w:cs="宋体"/>
          <w:color w:val="auto"/>
          <w:spacing w:val="-2"/>
          <w:sz w:val="22"/>
          <w:szCs w:val="22"/>
          <w:highlight w:val="none"/>
        </w:rPr>
        <w:t>以新颁布的为准。</w:t>
      </w:r>
    </w:p>
    <w:p w14:paraId="3433F4AA">
      <w:pPr>
        <w:spacing w:line="220" w:lineRule="auto"/>
        <w:ind w:left="453"/>
        <w:rPr>
          <w:rFonts w:ascii="宋体" w:hAnsi="宋体" w:eastAsia="宋体" w:cs="宋体"/>
          <w:color w:val="auto"/>
          <w:sz w:val="22"/>
          <w:szCs w:val="22"/>
          <w:highlight w:val="none"/>
        </w:rPr>
      </w:pPr>
      <w:r>
        <w:rPr>
          <w:rFonts w:ascii="宋体" w:hAnsi="宋体" w:eastAsia="宋体" w:cs="宋体"/>
          <w:color w:val="auto"/>
          <w:spacing w:val="-3"/>
          <w:sz w:val="22"/>
          <w:szCs w:val="22"/>
          <w:highlight w:val="none"/>
        </w:rPr>
        <w:t>5.11 建设“双标</w:t>
      </w:r>
      <w:r>
        <w:rPr>
          <w:rFonts w:ascii="宋体" w:hAnsi="宋体" w:eastAsia="宋体" w:cs="宋体"/>
          <w:color w:val="auto"/>
          <w:spacing w:val="-79"/>
          <w:sz w:val="22"/>
          <w:szCs w:val="22"/>
          <w:highlight w:val="none"/>
        </w:rPr>
        <w:t xml:space="preserve"> </w:t>
      </w:r>
      <w:r>
        <w:rPr>
          <w:rFonts w:ascii="宋体" w:hAnsi="宋体" w:eastAsia="宋体" w:cs="宋体"/>
          <w:color w:val="auto"/>
          <w:spacing w:val="-3"/>
          <w:sz w:val="22"/>
          <w:szCs w:val="22"/>
          <w:highlight w:val="none"/>
        </w:rPr>
        <w:t>”管理活动</w:t>
      </w:r>
    </w:p>
    <w:p w14:paraId="22F59502">
      <w:pPr>
        <w:spacing w:before="168" w:line="358" w:lineRule="auto"/>
        <w:ind w:left="12" w:right="438" w:firstLine="435"/>
        <w:rPr>
          <w:rFonts w:ascii="宋体" w:hAnsi="宋体" w:eastAsia="宋体" w:cs="宋体"/>
          <w:color w:val="auto"/>
          <w:sz w:val="22"/>
          <w:szCs w:val="22"/>
          <w:highlight w:val="none"/>
        </w:rPr>
      </w:pPr>
      <w:r>
        <w:rPr>
          <w:rFonts w:ascii="宋体" w:hAnsi="宋体" w:eastAsia="宋体" w:cs="宋体"/>
          <w:color w:val="auto"/>
          <w:spacing w:val="-1"/>
          <w:sz w:val="22"/>
          <w:szCs w:val="22"/>
          <w:highlight w:val="none"/>
        </w:rPr>
        <w:t>委托人将在项目建设全过程中，全面推行高速公路建设“双标管理</w:t>
      </w:r>
      <w:r>
        <w:rPr>
          <w:rFonts w:ascii="宋体" w:hAnsi="宋体" w:eastAsia="宋体" w:cs="宋体"/>
          <w:color w:val="auto"/>
          <w:spacing w:val="-78"/>
          <w:sz w:val="22"/>
          <w:szCs w:val="22"/>
          <w:highlight w:val="none"/>
        </w:rPr>
        <w:t xml:space="preserve"> </w:t>
      </w:r>
      <w:r>
        <w:rPr>
          <w:rFonts w:ascii="宋体" w:hAnsi="宋体" w:eastAsia="宋体" w:cs="宋体"/>
          <w:color w:val="auto"/>
          <w:spacing w:val="-1"/>
          <w:sz w:val="22"/>
          <w:szCs w:val="22"/>
          <w:highlight w:val="none"/>
        </w:rPr>
        <w:t>”(标准化管理、标杆管理)。监理人应配合委托人力争本项目实现</w:t>
      </w:r>
      <w:r>
        <w:rPr>
          <w:rFonts w:ascii="宋体" w:hAnsi="宋体" w:eastAsia="宋体" w:cs="宋体"/>
          <w:color w:val="auto"/>
          <w:spacing w:val="-2"/>
          <w:sz w:val="22"/>
          <w:szCs w:val="22"/>
          <w:highlight w:val="none"/>
        </w:rPr>
        <w:t>“优质精品工程</w:t>
      </w:r>
      <w:r>
        <w:rPr>
          <w:rFonts w:ascii="宋体" w:hAnsi="宋体" w:eastAsia="宋体" w:cs="宋体"/>
          <w:color w:val="auto"/>
          <w:spacing w:val="-81"/>
          <w:sz w:val="22"/>
          <w:szCs w:val="22"/>
          <w:highlight w:val="none"/>
        </w:rPr>
        <w:t xml:space="preserve"> </w:t>
      </w:r>
      <w:r>
        <w:rPr>
          <w:rFonts w:ascii="宋体" w:hAnsi="宋体" w:eastAsia="宋体" w:cs="宋体"/>
          <w:color w:val="auto"/>
          <w:spacing w:val="-2"/>
          <w:sz w:val="22"/>
          <w:szCs w:val="22"/>
          <w:highlight w:val="none"/>
        </w:rPr>
        <w:t>”的目标。</w:t>
      </w:r>
    </w:p>
    <w:p w14:paraId="54BFF0CB">
      <w:pPr>
        <w:spacing w:before="168" w:line="358" w:lineRule="auto"/>
        <w:ind w:left="12" w:right="438" w:firstLine="435"/>
        <w:rPr>
          <w:rFonts w:ascii="宋体" w:hAnsi="宋体" w:eastAsia="宋体" w:cs="宋体"/>
          <w:color w:val="auto"/>
          <w:spacing w:val="-1"/>
          <w:sz w:val="22"/>
          <w:szCs w:val="22"/>
          <w:highlight w:val="none"/>
        </w:rPr>
      </w:pPr>
      <w:bookmarkStart w:id="332" w:name="bookmark145"/>
      <w:bookmarkEnd w:id="332"/>
      <w:r>
        <w:rPr>
          <w:rFonts w:ascii="宋体" w:hAnsi="宋体" w:eastAsia="宋体" w:cs="宋体"/>
          <w:color w:val="auto"/>
          <w:spacing w:val="-1"/>
          <w:sz w:val="22"/>
          <w:szCs w:val="22"/>
          <w:highlight w:val="none"/>
        </w:rPr>
        <w:t>本项目严格广东省交通运输厅印发《广东省公路工程施工标准化指南》（粤交基[2021]239号），投标人应无条件支持配合。</w:t>
      </w:r>
    </w:p>
    <w:p w14:paraId="40BD174D">
      <w:pPr>
        <w:spacing w:before="165" w:line="220" w:lineRule="auto"/>
        <w:ind w:left="446"/>
        <w:rPr>
          <w:rFonts w:ascii="宋体" w:hAnsi="宋体" w:eastAsia="宋体" w:cs="宋体"/>
          <w:color w:val="auto"/>
          <w:sz w:val="22"/>
          <w:szCs w:val="22"/>
          <w:highlight w:val="none"/>
        </w:rPr>
      </w:pPr>
      <w:r>
        <w:rPr>
          <w:rFonts w:ascii="宋体" w:hAnsi="宋体" w:eastAsia="宋体" w:cs="宋体"/>
          <w:color w:val="auto"/>
          <w:spacing w:val="-1"/>
          <w:sz w:val="22"/>
          <w:szCs w:val="22"/>
          <w:highlight w:val="none"/>
        </w:rPr>
        <w:t>5.12 质量安全综合检查</w:t>
      </w:r>
    </w:p>
    <w:p w14:paraId="568D14EA">
      <w:pPr>
        <w:spacing w:before="165" w:line="360" w:lineRule="auto"/>
        <w:ind w:right="19" w:firstLine="445"/>
        <w:jc w:val="both"/>
        <w:rPr>
          <w:rFonts w:ascii="宋体" w:hAnsi="宋体" w:eastAsia="宋体" w:cs="宋体"/>
          <w:color w:val="auto"/>
          <w:sz w:val="22"/>
          <w:szCs w:val="22"/>
          <w:highlight w:val="none"/>
        </w:rPr>
      </w:pPr>
      <w:r>
        <w:rPr>
          <w:rFonts w:ascii="宋体" w:hAnsi="宋体" w:eastAsia="宋体" w:cs="宋体"/>
          <w:color w:val="auto"/>
          <w:sz w:val="22"/>
          <w:szCs w:val="22"/>
          <w:highlight w:val="none"/>
        </w:rPr>
        <w:t>为进一步加强高速公路工程质量监督力度，调动参建各方的</w:t>
      </w:r>
      <w:r>
        <w:rPr>
          <w:rFonts w:ascii="宋体" w:hAnsi="宋体" w:eastAsia="宋体" w:cs="宋体"/>
          <w:color w:val="auto"/>
          <w:spacing w:val="-1"/>
          <w:sz w:val="22"/>
          <w:szCs w:val="22"/>
          <w:highlight w:val="none"/>
        </w:rPr>
        <w:t>主观能动性，提高高速公路工</w:t>
      </w:r>
      <w:r>
        <w:rPr>
          <w:rFonts w:ascii="宋体" w:hAnsi="宋体" w:eastAsia="宋体" w:cs="宋体"/>
          <w:color w:val="auto"/>
          <w:spacing w:val="-2"/>
          <w:sz w:val="22"/>
          <w:szCs w:val="22"/>
          <w:highlight w:val="none"/>
        </w:rPr>
        <w:t>程质量精细化管理水平，监理人应积极参与委托人组织开展的“质量监督综合检查评比</w:t>
      </w:r>
      <w:r>
        <w:rPr>
          <w:rFonts w:ascii="宋体" w:hAnsi="宋体" w:eastAsia="宋体" w:cs="宋体"/>
          <w:color w:val="auto"/>
          <w:spacing w:val="-81"/>
          <w:sz w:val="22"/>
          <w:szCs w:val="22"/>
          <w:highlight w:val="none"/>
        </w:rPr>
        <w:t xml:space="preserve"> </w:t>
      </w:r>
      <w:r>
        <w:rPr>
          <w:rFonts w:ascii="宋体" w:hAnsi="宋体" w:eastAsia="宋体" w:cs="宋体"/>
          <w:color w:val="auto"/>
          <w:spacing w:val="-3"/>
          <w:sz w:val="22"/>
          <w:szCs w:val="22"/>
          <w:highlight w:val="none"/>
        </w:rPr>
        <w:t>”活动，</w:t>
      </w:r>
      <w:r>
        <w:rPr>
          <w:rFonts w:ascii="宋体" w:hAnsi="宋体" w:eastAsia="宋体" w:cs="宋体"/>
          <w:color w:val="auto"/>
          <w:sz w:val="22"/>
          <w:szCs w:val="22"/>
          <w:highlight w:val="none"/>
        </w:rPr>
        <w:t>具体活动方案委托人将根据交通主管部门的有关</w:t>
      </w:r>
      <w:r>
        <w:rPr>
          <w:rFonts w:ascii="宋体" w:hAnsi="宋体" w:eastAsia="宋体" w:cs="宋体"/>
          <w:color w:val="auto"/>
          <w:spacing w:val="-1"/>
          <w:sz w:val="22"/>
          <w:szCs w:val="22"/>
          <w:highlight w:val="none"/>
        </w:rPr>
        <w:t>规定制订后发布。</w:t>
      </w:r>
    </w:p>
    <w:p w14:paraId="203976A7">
      <w:pPr>
        <w:spacing w:line="324" w:lineRule="auto"/>
        <w:rPr>
          <w:rFonts w:ascii="Arial"/>
          <w:color w:val="auto"/>
          <w:sz w:val="21"/>
          <w:highlight w:val="none"/>
        </w:rPr>
      </w:pPr>
    </w:p>
    <w:p w14:paraId="04B89FC5">
      <w:pPr>
        <w:spacing w:before="78" w:line="219" w:lineRule="auto"/>
        <w:ind w:left="3"/>
        <w:outlineLvl w:val="1"/>
        <w:rPr>
          <w:rFonts w:ascii="宋体" w:hAnsi="宋体" w:eastAsia="宋体" w:cs="宋体"/>
          <w:color w:val="auto"/>
          <w:sz w:val="24"/>
          <w:szCs w:val="24"/>
          <w:highlight w:val="none"/>
        </w:rPr>
      </w:pPr>
      <w:bookmarkStart w:id="333" w:name="_Toc26593"/>
      <w:bookmarkStart w:id="334" w:name="_Toc26248"/>
      <w:bookmarkStart w:id="335" w:name="_Toc10088"/>
      <w:r>
        <w:rPr>
          <w:rFonts w:ascii="宋体" w:hAnsi="宋体" w:eastAsia="宋体" w:cs="宋体"/>
          <w:b/>
          <w:bCs/>
          <w:color w:val="auto"/>
          <w:spacing w:val="-3"/>
          <w:sz w:val="24"/>
          <w:szCs w:val="24"/>
          <w:highlight w:val="none"/>
        </w:rPr>
        <w:t>6.</w:t>
      </w:r>
      <w:r>
        <w:rPr>
          <w:rFonts w:ascii="宋体" w:hAnsi="宋体" w:eastAsia="宋体" w:cs="宋体"/>
          <w:color w:val="auto"/>
          <w:spacing w:val="-3"/>
          <w:sz w:val="24"/>
          <w:szCs w:val="24"/>
          <w:highlight w:val="none"/>
        </w:rPr>
        <w:t xml:space="preserve"> </w:t>
      </w:r>
      <w:r>
        <w:rPr>
          <w:rFonts w:ascii="宋体" w:hAnsi="宋体" w:eastAsia="宋体" w:cs="宋体"/>
          <w:b/>
          <w:bCs/>
          <w:color w:val="auto"/>
          <w:spacing w:val="-3"/>
          <w:sz w:val="24"/>
          <w:szCs w:val="24"/>
          <w:highlight w:val="none"/>
        </w:rPr>
        <w:t>开始监理和完成监理</w:t>
      </w:r>
      <w:bookmarkEnd w:id="333"/>
      <w:bookmarkEnd w:id="334"/>
      <w:bookmarkEnd w:id="335"/>
    </w:p>
    <w:p w14:paraId="45F1DF49">
      <w:pPr>
        <w:spacing w:before="290" w:line="221" w:lineRule="auto"/>
        <w:ind w:left="3"/>
        <w:rPr>
          <w:rFonts w:ascii="宋体" w:hAnsi="宋体" w:eastAsia="宋体" w:cs="宋体"/>
          <w:color w:val="auto"/>
          <w:sz w:val="24"/>
          <w:szCs w:val="24"/>
          <w:highlight w:val="none"/>
        </w:rPr>
      </w:pPr>
      <w:r>
        <w:rPr>
          <w:rFonts w:ascii="宋体" w:hAnsi="宋体" w:eastAsia="宋体" w:cs="宋体"/>
          <w:b/>
          <w:bCs/>
          <w:color w:val="auto"/>
          <w:spacing w:val="-5"/>
          <w:sz w:val="24"/>
          <w:szCs w:val="24"/>
          <w:highlight w:val="none"/>
        </w:rPr>
        <w:t>6.1</w:t>
      </w:r>
      <w:r>
        <w:rPr>
          <w:rFonts w:ascii="宋体" w:hAnsi="宋体" w:eastAsia="宋体" w:cs="宋体"/>
          <w:color w:val="auto"/>
          <w:spacing w:val="12"/>
          <w:sz w:val="24"/>
          <w:szCs w:val="24"/>
          <w:highlight w:val="none"/>
        </w:rPr>
        <w:t xml:space="preserve"> </w:t>
      </w:r>
      <w:r>
        <w:rPr>
          <w:rFonts w:ascii="宋体" w:hAnsi="宋体" w:eastAsia="宋体" w:cs="宋体"/>
          <w:b/>
          <w:bCs/>
          <w:color w:val="auto"/>
          <w:spacing w:val="-5"/>
          <w:sz w:val="24"/>
          <w:szCs w:val="24"/>
          <w:highlight w:val="none"/>
        </w:rPr>
        <w:t>开始监理</w:t>
      </w:r>
    </w:p>
    <w:p w14:paraId="61058CB3">
      <w:pPr>
        <w:spacing w:before="179" w:line="219" w:lineRule="auto"/>
        <w:jc w:val="right"/>
        <w:rPr>
          <w:rFonts w:ascii="宋体" w:hAnsi="宋体" w:eastAsia="宋体" w:cs="宋体"/>
          <w:color w:val="auto"/>
          <w:sz w:val="22"/>
          <w:szCs w:val="22"/>
          <w:highlight w:val="none"/>
        </w:rPr>
      </w:pPr>
      <w:r>
        <w:rPr>
          <w:rFonts w:ascii="宋体" w:hAnsi="宋体" w:eastAsia="宋体" w:cs="宋体"/>
          <w:color w:val="auto"/>
          <w:spacing w:val="-1"/>
          <w:sz w:val="22"/>
          <w:szCs w:val="22"/>
          <w:highlight w:val="none"/>
        </w:rPr>
        <w:t>6.1.1 满足以下条件时，监理人应开始监理工作：</w:t>
      </w:r>
      <w:r>
        <w:rPr>
          <w:rFonts w:ascii="宋体" w:hAnsi="宋体" w:eastAsia="宋体" w:cs="宋体"/>
          <w:color w:val="auto"/>
          <w:spacing w:val="-1"/>
          <w:sz w:val="22"/>
          <w:szCs w:val="22"/>
          <w:highlight w:val="none"/>
          <w:u w:val="single" w:color="auto"/>
        </w:rPr>
        <w:t>以委托人发出开始监理的书面通知为准</w:t>
      </w:r>
      <w:r>
        <w:rPr>
          <w:rFonts w:ascii="宋体" w:hAnsi="宋体" w:eastAsia="宋体" w:cs="宋体"/>
          <w:color w:val="auto"/>
          <w:spacing w:val="-1"/>
          <w:sz w:val="22"/>
          <w:szCs w:val="22"/>
          <w:highlight w:val="none"/>
        </w:rPr>
        <w:t>。</w:t>
      </w:r>
    </w:p>
    <w:p w14:paraId="667D4FA6">
      <w:pPr>
        <w:spacing w:line="328" w:lineRule="auto"/>
        <w:rPr>
          <w:rFonts w:ascii="Arial"/>
          <w:color w:val="auto"/>
          <w:sz w:val="21"/>
          <w:highlight w:val="none"/>
        </w:rPr>
      </w:pPr>
    </w:p>
    <w:p w14:paraId="1FE213AF">
      <w:pPr>
        <w:spacing w:before="78" w:line="220" w:lineRule="auto"/>
        <w:ind w:left="3"/>
        <w:rPr>
          <w:rFonts w:ascii="宋体" w:hAnsi="宋体" w:eastAsia="宋体" w:cs="宋体"/>
          <w:color w:val="auto"/>
          <w:sz w:val="24"/>
          <w:szCs w:val="24"/>
          <w:highlight w:val="none"/>
        </w:rPr>
      </w:pPr>
      <w:r>
        <w:rPr>
          <w:rFonts w:ascii="宋体" w:hAnsi="宋体" w:eastAsia="宋体" w:cs="宋体"/>
          <w:b/>
          <w:bCs/>
          <w:color w:val="auto"/>
          <w:spacing w:val="-3"/>
          <w:sz w:val="24"/>
          <w:szCs w:val="24"/>
          <w:highlight w:val="none"/>
        </w:rPr>
        <w:t>6.2</w:t>
      </w:r>
      <w:r>
        <w:rPr>
          <w:rFonts w:ascii="宋体" w:hAnsi="宋体" w:eastAsia="宋体" w:cs="宋体"/>
          <w:color w:val="auto"/>
          <w:spacing w:val="-3"/>
          <w:sz w:val="24"/>
          <w:szCs w:val="24"/>
          <w:highlight w:val="none"/>
        </w:rPr>
        <w:t xml:space="preserve"> </w:t>
      </w:r>
      <w:r>
        <w:rPr>
          <w:rFonts w:ascii="宋体" w:hAnsi="宋体" w:eastAsia="宋体" w:cs="宋体"/>
          <w:b/>
          <w:bCs/>
          <w:color w:val="auto"/>
          <w:spacing w:val="-3"/>
          <w:sz w:val="24"/>
          <w:szCs w:val="24"/>
          <w:highlight w:val="none"/>
        </w:rPr>
        <w:t>监理周期延误</w:t>
      </w:r>
    </w:p>
    <w:p w14:paraId="67F2E05D">
      <w:pPr>
        <w:spacing w:before="161" w:line="302" w:lineRule="auto"/>
        <w:ind w:left="2" w:right="138" w:firstLine="427"/>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由于非监理人责任造成监理服务期限延误的，延长监理服务期限的计算方法：根据具体的延误原因由发包人与监理人协商确定延长的服务期限；增加监理服务费用的计算方法如下：</w:t>
      </w:r>
    </w:p>
    <w:p w14:paraId="46294AE4">
      <w:pPr>
        <w:spacing w:before="161" w:line="302" w:lineRule="auto"/>
        <w:ind w:left="2" w:right="138" w:firstLine="427"/>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（1）工程延期超过 3 个月以上时，委托人将按照合同工程量清单施工期中监理人员服务费、监理办公设施费、监理交通设施费、试验检测实施费、监理生活设施费施工期的报价，按实（扣除3 个月后）增加上述费用，其他费用不予增加。</w:t>
      </w:r>
    </w:p>
    <w:p w14:paraId="473A9248">
      <w:pPr>
        <w:spacing w:before="161" w:line="302" w:lineRule="auto"/>
        <w:ind w:left="2" w:right="138" w:firstLine="427"/>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（2）工程缩短超过 3 个月以上时，委托人将按照合同工程量清单施工期中监理人员服务费、监理办公设施费、监理交通设施费、试验检测实施费、监理生活设施费施工期的报价，按实（扣除3 个月后）减少上述费用，其他费用不予减少。</w:t>
      </w:r>
    </w:p>
    <w:p w14:paraId="73E4D720">
      <w:pPr>
        <w:spacing w:before="161" w:line="302" w:lineRule="auto"/>
        <w:ind w:left="2" w:right="138" w:firstLine="427"/>
        <w:rPr>
          <w:rFonts w:ascii="宋体" w:hAnsi="宋体" w:eastAsia="宋体" w:cs="宋体"/>
          <w:color w:val="auto"/>
          <w:sz w:val="20"/>
          <w:szCs w:val="20"/>
          <w:highlight w:val="none"/>
        </w:rPr>
      </w:pPr>
      <w:r>
        <w:rPr>
          <w:rFonts w:hint="eastAsia" w:ascii="宋体" w:hAnsi="宋体" w:eastAsia="宋体" w:cs="宋体"/>
          <w:color w:val="auto"/>
          <w:sz w:val="22"/>
          <w:szCs w:val="22"/>
          <w:highlight w:val="none"/>
        </w:rPr>
        <w:t>（3）若因监理人的原因致使监理服务时间延长，延长时间增加费用由监理人承担，若影响工期的并按 11.1.3 款进行违约处理。</w:t>
      </w:r>
    </w:p>
    <w:p w14:paraId="0DAEB042">
      <w:pPr>
        <w:spacing w:line="243" w:lineRule="auto"/>
        <w:rPr>
          <w:rFonts w:ascii="Arial"/>
          <w:color w:val="auto"/>
          <w:sz w:val="21"/>
          <w:highlight w:val="none"/>
        </w:rPr>
      </w:pPr>
    </w:p>
    <w:p w14:paraId="0E62867B">
      <w:pPr>
        <w:spacing w:line="244" w:lineRule="auto"/>
        <w:rPr>
          <w:rFonts w:ascii="Arial"/>
          <w:color w:val="auto"/>
          <w:sz w:val="21"/>
          <w:highlight w:val="none"/>
        </w:rPr>
      </w:pPr>
    </w:p>
    <w:p w14:paraId="58765353">
      <w:pPr>
        <w:spacing w:before="79" w:line="221" w:lineRule="auto"/>
        <w:ind w:left="2"/>
        <w:outlineLvl w:val="1"/>
        <w:rPr>
          <w:rFonts w:ascii="宋体" w:hAnsi="宋体" w:eastAsia="宋体" w:cs="宋体"/>
          <w:color w:val="auto"/>
          <w:sz w:val="24"/>
          <w:szCs w:val="24"/>
          <w:highlight w:val="none"/>
        </w:rPr>
      </w:pPr>
      <w:bookmarkStart w:id="336" w:name="_Toc23868"/>
      <w:bookmarkStart w:id="337" w:name="_Toc9637"/>
      <w:bookmarkStart w:id="338" w:name="_Toc22038"/>
      <w:r>
        <w:rPr>
          <w:rFonts w:ascii="宋体" w:hAnsi="宋体" w:eastAsia="宋体" w:cs="宋体"/>
          <w:b/>
          <w:bCs/>
          <w:color w:val="auto"/>
          <w:spacing w:val="-6"/>
          <w:sz w:val="24"/>
          <w:szCs w:val="24"/>
          <w:highlight w:val="none"/>
        </w:rPr>
        <w:t>8.</w:t>
      </w:r>
      <w:r>
        <w:rPr>
          <w:rFonts w:ascii="宋体" w:hAnsi="宋体" w:eastAsia="宋体" w:cs="宋体"/>
          <w:color w:val="auto"/>
          <w:spacing w:val="14"/>
          <w:sz w:val="24"/>
          <w:szCs w:val="24"/>
          <w:highlight w:val="none"/>
        </w:rPr>
        <w:t xml:space="preserve"> </w:t>
      </w:r>
      <w:r>
        <w:rPr>
          <w:rFonts w:ascii="宋体" w:hAnsi="宋体" w:eastAsia="宋体" w:cs="宋体"/>
          <w:b/>
          <w:bCs/>
          <w:color w:val="auto"/>
          <w:spacing w:val="-6"/>
          <w:sz w:val="24"/>
          <w:szCs w:val="24"/>
          <w:highlight w:val="none"/>
        </w:rPr>
        <w:t>合同变更</w:t>
      </w:r>
      <w:bookmarkEnd w:id="336"/>
      <w:bookmarkEnd w:id="337"/>
      <w:bookmarkEnd w:id="338"/>
    </w:p>
    <w:p w14:paraId="3D86E32E">
      <w:pPr>
        <w:spacing w:before="289" w:line="220" w:lineRule="auto"/>
        <w:ind w:left="2"/>
        <w:rPr>
          <w:rFonts w:ascii="宋体" w:hAnsi="宋体" w:eastAsia="宋体" w:cs="宋体"/>
          <w:color w:val="auto"/>
          <w:sz w:val="24"/>
          <w:szCs w:val="24"/>
          <w:highlight w:val="none"/>
        </w:rPr>
      </w:pPr>
      <w:r>
        <w:rPr>
          <w:rFonts w:ascii="宋体" w:hAnsi="宋体" w:eastAsia="宋体" w:cs="宋体"/>
          <w:b/>
          <w:bCs/>
          <w:color w:val="auto"/>
          <w:spacing w:val="-5"/>
          <w:sz w:val="24"/>
          <w:szCs w:val="24"/>
          <w:highlight w:val="none"/>
        </w:rPr>
        <w:t>8.1</w:t>
      </w:r>
      <w:r>
        <w:rPr>
          <w:rFonts w:ascii="宋体" w:hAnsi="宋体" w:eastAsia="宋体" w:cs="宋体"/>
          <w:color w:val="auto"/>
          <w:spacing w:val="13"/>
          <w:sz w:val="24"/>
          <w:szCs w:val="24"/>
          <w:highlight w:val="none"/>
        </w:rPr>
        <w:t xml:space="preserve"> </w:t>
      </w:r>
      <w:r>
        <w:rPr>
          <w:rFonts w:ascii="宋体" w:hAnsi="宋体" w:eastAsia="宋体" w:cs="宋体"/>
          <w:b/>
          <w:bCs/>
          <w:color w:val="auto"/>
          <w:spacing w:val="-5"/>
          <w:sz w:val="24"/>
          <w:szCs w:val="24"/>
          <w:highlight w:val="none"/>
        </w:rPr>
        <w:t>变更情形</w:t>
      </w:r>
    </w:p>
    <w:p w14:paraId="58B926E3">
      <w:pPr>
        <w:spacing w:before="180" w:line="360" w:lineRule="auto"/>
        <w:ind w:left="1" w:right="19" w:firstLine="441"/>
        <w:rPr>
          <w:rFonts w:ascii="宋体" w:hAnsi="宋体" w:eastAsia="宋体" w:cs="宋体"/>
          <w:color w:val="auto"/>
          <w:sz w:val="22"/>
          <w:szCs w:val="22"/>
          <w:highlight w:val="none"/>
        </w:rPr>
      </w:pPr>
      <w:r>
        <w:rPr>
          <w:rFonts w:ascii="宋体" w:hAnsi="宋体" w:eastAsia="宋体" w:cs="宋体"/>
          <w:color w:val="auto"/>
          <w:sz w:val="22"/>
          <w:szCs w:val="22"/>
          <w:highlight w:val="none"/>
        </w:rPr>
        <w:t>8.1.1 合同变更时，监理服务期限的调整方法：</w:t>
      </w:r>
      <w:r>
        <w:rPr>
          <w:rFonts w:ascii="宋体" w:hAnsi="宋体" w:eastAsia="宋体" w:cs="宋体"/>
          <w:color w:val="auto"/>
          <w:sz w:val="22"/>
          <w:szCs w:val="22"/>
          <w:highlight w:val="none"/>
          <w:u w:val="single" w:color="auto"/>
        </w:rPr>
        <w:t>增加的监理服</w:t>
      </w:r>
      <w:r>
        <w:rPr>
          <w:rFonts w:ascii="宋体" w:hAnsi="宋体" w:eastAsia="宋体" w:cs="宋体"/>
          <w:color w:val="auto"/>
          <w:spacing w:val="-1"/>
          <w:sz w:val="22"/>
          <w:szCs w:val="22"/>
          <w:highlight w:val="none"/>
          <w:u w:val="single" w:color="auto"/>
        </w:rPr>
        <w:t>务期按6.2</w:t>
      </w:r>
      <w:r>
        <w:rPr>
          <w:rFonts w:ascii="宋体" w:hAnsi="宋体" w:eastAsia="宋体" w:cs="宋体"/>
          <w:color w:val="auto"/>
          <w:spacing w:val="-48"/>
          <w:sz w:val="22"/>
          <w:szCs w:val="22"/>
          <w:highlight w:val="none"/>
          <w:u w:val="single" w:color="auto"/>
        </w:rPr>
        <w:t xml:space="preserve"> </w:t>
      </w:r>
      <w:r>
        <w:rPr>
          <w:rFonts w:ascii="宋体" w:hAnsi="宋体" w:eastAsia="宋体" w:cs="宋体"/>
          <w:color w:val="auto"/>
          <w:spacing w:val="-1"/>
          <w:sz w:val="22"/>
          <w:szCs w:val="22"/>
          <w:highlight w:val="none"/>
          <w:u w:val="single" w:color="auto"/>
        </w:rPr>
        <w:t>款约定进行计算</w:t>
      </w:r>
      <w:r>
        <w:rPr>
          <w:rFonts w:ascii="宋体" w:hAnsi="宋体" w:eastAsia="宋体" w:cs="宋体"/>
          <w:color w:val="auto"/>
          <w:spacing w:val="-1"/>
          <w:sz w:val="22"/>
          <w:szCs w:val="22"/>
          <w:highlight w:val="none"/>
        </w:rPr>
        <w:t>；</w:t>
      </w:r>
      <w:r>
        <w:rPr>
          <w:rFonts w:ascii="宋体" w:hAnsi="宋体" w:eastAsia="宋体" w:cs="宋体"/>
          <w:color w:val="auto"/>
          <w:spacing w:val="2"/>
          <w:sz w:val="22"/>
          <w:szCs w:val="22"/>
          <w:highlight w:val="none"/>
        </w:rPr>
        <w:t>监理服务费用的调整方法：</w:t>
      </w:r>
      <w:r>
        <w:rPr>
          <w:rFonts w:ascii="宋体" w:hAnsi="宋体" w:eastAsia="宋体" w:cs="宋体"/>
          <w:color w:val="auto"/>
          <w:spacing w:val="2"/>
          <w:sz w:val="22"/>
          <w:szCs w:val="22"/>
          <w:highlight w:val="none"/>
          <w:u w:val="single" w:color="auto"/>
        </w:rPr>
        <w:t>增加的监理服务期内的费用按6.2</w:t>
      </w:r>
      <w:r>
        <w:rPr>
          <w:rFonts w:ascii="宋体" w:hAnsi="宋体" w:eastAsia="宋体" w:cs="宋体"/>
          <w:color w:val="auto"/>
          <w:spacing w:val="-48"/>
          <w:sz w:val="22"/>
          <w:szCs w:val="22"/>
          <w:highlight w:val="none"/>
          <w:u w:val="single" w:color="auto"/>
        </w:rPr>
        <w:t xml:space="preserve"> </w:t>
      </w:r>
      <w:r>
        <w:rPr>
          <w:rFonts w:ascii="宋体" w:hAnsi="宋体" w:eastAsia="宋体" w:cs="宋体"/>
          <w:color w:val="auto"/>
          <w:spacing w:val="2"/>
          <w:sz w:val="22"/>
          <w:szCs w:val="22"/>
          <w:highlight w:val="none"/>
          <w:u w:val="single" w:color="auto"/>
        </w:rPr>
        <w:t>款约定进</w:t>
      </w:r>
      <w:r>
        <w:rPr>
          <w:rFonts w:ascii="宋体" w:hAnsi="宋体" w:eastAsia="宋体" w:cs="宋体"/>
          <w:color w:val="auto"/>
          <w:spacing w:val="1"/>
          <w:sz w:val="22"/>
          <w:szCs w:val="22"/>
          <w:highlight w:val="none"/>
          <w:u w:val="single" w:color="auto"/>
        </w:rPr>
        <w:t>行计算。</w:t>
      </w:r>
    </w:p>
    <w:p w14:paraId="76650DD4">
      <w:pPr>
        <w:spacing w:before="241" w:line="220" w:lineRule="auto"/>
        <w:ind w:left="2"/>
        <w:rPr>
          <w:rFonts w:ascii="宋体" w:hAnsi="宋体" w:eastAsia="宋体" w:cs="宋体"/>
          <w:color w:val="auto"/>
          <w:sz w:val="24"/>
          <w:szCs w:val="24"/>
          <w:highlight w:val="none"/>
        </w:rPr>
      </w:pPr>
      <w:r>
        <w:rPr>
          <w:rFonts w:ascii="宋体" w:hAnsi="宋体" w:eastAsia="宋体" w:cs="宋体"/>
          <w:b/>
          <w:bCs/>
          <w:color w:val="auto"/>
          <w:spacing w:val="-4"/>
          <w:sz w:val="24"/>
          <w:szCs w:val="24"/>
          <w:highlight w:val="none"/>
        </w:rPr>
        <w:t>8.2.2</w:t>
      </w:r>
      <w:r>
        <w:rPr>
          <w:rFonts w:ascii="宋体" w:hAnsi="宋体" w:eastAsia="宋体" w:cs="宋体"/>
          <w:color w:val="auto"/>
          <w:spacing w:val="-47"/>
          <w:sz w:val="24"/>
          <w:szCs w:val="24"/>
          <w:highlight w:val="none"/>
        </w:rPr>
        <w:t xml:space="preserve"> </w:t>
      </w:r>
      <w:r>
        <w:rPr>
          <w:rFonts w:ascii="宋体" w:hAnsi="宋体" w:eastAsia="宋体" w:cs="宋体"/>
          <w:b/>
          <w:bCs/>
          <w:color w:val="auto"/>
          <w:spacing w:val="-4"/>
          <w:sz w:val="24"/>
          <w:szCs w:val="24"/>
          <w:highlight w:val="none"/>
        </w:rPr>
        <w:t>合理化建议</w:t>
      </w:r>
    </w:p>
    <w:p w14:paraId="1BBDAD24">
      <w:pPr>
        <w:spacing w:before="177" w:line="289" w:lineRule="auto"/>
        <w:ind w:left="2" w:right="138" w:firstLine="440"/>
        <w:rPr>
          <w:rFonts w:ascii="宋体" w:hAnsi="宋体" w:eastAsia="宋体" w:cs="宋体"/>
          <w:color w:val="auto"/>
          <w:sz w:val="22"/>
          <w:szCs w:val="22"/>
          <w:highlight w:val="none"/>
        </w:rPr>
      </w:pPr>
      <w:r>
        <w:rPr>
          <w:rFonts w:ascii="宋体" w:hAnsi="宋体" w:eastAsia="宋体" w:cs="宋体"/>
          <w:color w:val="auto"/>
          <w:spacing w:val="1"/>
          <w:sz w:val="22"/>
          <w:szCs w:val="22"/>
          <w:highlight w:val="none"/>
        </w:rPr>
        <w:t>8.2.2 监理人提出的合理化建议降低了工程投资、缩短了施工期限或者提高了工程</w:t>
      </w:r>
      <w:r>
        <w:rPr>
          <w:rFonts w:ascii="宋体" w:hAnsi="宋体" w:eastAsia="宋体" w:cs="宋体"/>
          <w:color w:val="auto"/>
          <w:sz w:val="22"/>
          <w:szCs w:val="22"/>
          <w:highlight w:val="none"/>
        </w:rPr>
        <w:t>经济效益的，委托人给予监理人如下奖励：</w:t>
      </w:r>
      <w:r>
        <w:rPr>
          <w:rFonts w:ascii="宋体" w:hAnsi="宋体" w:eastAsia="宋体" w:cs="宋体"/>
          <w:color w:val="auto"/>
          <w:sz w:val="22"/>
          <w:szCs w:val="22"/>
          <w:highlight w:val="none"/>
          <w:u w:val="single" w:color="auto"/>
        </w:rPr>
        <w:t xml:space="preserve">  </w:t>
      </w:r>
      <w:r>
        <w:rPr>
          <w:rFonts w:hint="eastAsia" w:ascii="宋体" w:hAnsi="宋体" w:eastAsia="宋体" w:cs="宋体"/>
          <w:color w:val="auto"/>
          <w:sz w:val="22"/>
          <w:szCs w:val="22"/>
          <w:highlight w:val="none"/>
          <w:u w:val="single" w:color="auto"/>
          <w:lang w:val="en-US" w:eastAsia="zh-CN"/>
        </w:rPr>
        <w:t>/</w:t>
      </w:r>
      <w:r>
        <w:rPr>
          <w:rFonts w:ascii="宋体" w:hAnsi="宋体" w:eastAsia="宋体" w:cs="宋体"/>
          <w:color w:val="auto"/>
          <w:spacing w:val="-1"/>
          <w:sz w:val="22"/>
          <w:szCs w:val="22"/>
          <w:highlight w:val="none"/>
          <w:u w:val="single" w:color="auto"/>
        </w:rPr>
        <w:t xml:space="preserve">  </w:t>
      </w:r>
      <w:r>
        <w:rPr>
          <w:rFonts w:ascii="宋体" w:hAnsi="宋体" w:eastAsia="宋体" w:cs="宋体"/>
          <w:color w:val="auto"/>
          <w:spacing w:val="-1"/>
          <w:sz w:val="22"/>
          <w:szCs w:val="22"/>
          <w:highlight w:val="none"/>
        </w:rPr>
        <w:t>。</w:t>
      </w:r>
    </w:p>
    <w:p w14:paraId="74B5ED75">
      <w:pPr>
        <w:spacing w:line="300" w:lineRule="auto"/>
        <w:rPr>
          <w:rFonts w:ascii="Arial"/>
          <w:color w:val="auto"/>
          <w:sz w:val="21"/>
          <w:highlight w:val="none"/>
        </w:rPr>
      </w:pPr>
    </w:p>
    <w:p w14:paraId="1DA82D34">
      <w:pPr>
        <w:spacing w:before="79" w:line="219" w:lineRule="auto"/>
        <w:ind w:left="2"/>
        <w:rPr>
          <w:rFonts w:ascii="宋体" w:hAnsi="宋体" w:eastAsia="宋体" w:cs="宋体"/>
          <w:b/>
          <w:bCs/>
          <w:color w:val="auto"/>
          <w:spacing w:val="-5"/>
          <w:sz w:val="24"/>
          <w:szCs w:val="24"/>
          <w:highlight w:val="none"/>
        </w:rPr>
      </w:pPr>
      <w:r>
        <w:rPr>
          <w:rFonts w:ascii="宋体" w:hAnsi="宋体" w:eastAsia="宋体" w:cs="宋体"/>
          <w:b/>
          <w:bCs/>
          <w:color w:val="auto"/>
          <w:spacing w:val="-5"/>
          <w:sz w:val="24"/>
          <w:szCs w:val="24"/>
          <w:highlight w:val="none"/>
        </w:rPr>
        <w:t>增加</w:t>
      </w:r>
      <w:r>
        <w:rPr>
          <w:rFonts w:ascii="宋体" w:hAnsi="宋体" w:eastAsia="宋体" w:cs="宋体"/>
          <w:color w:val="auto"/>
          <w:spacing w:val="-35"/>
          <w:sz w:val="24"/>
          <w:szCs w:val="24"/>
          <w:highlight w:val="none"/>
        </w:rPr>
        <w:t xml:space="preserve"> </w:t>
      </w:r>
      <w:r>
        <w:rPr>
          <w:rFonts w:ascii="宋体" w:hAnsi="宋体" w:eastAsia="宋体" w:cs="宋体"/>
          <w:b/>
          <w:bCs/>
          <w:color w:val="auto"/>
          <w:spacing w:val="-5"/>
          <w:sz w:val="24"/>
          <w:szCs w:val="24"/>
          <w:highlight w:val="none"/>
        </w:rPr>
        <w:t>8.3</w:t>
      </w:r>
      <w:r>
        <w:rPr>
          <w:rFonts w:ascii="宋体" w:hAnsi="宋体" w:eastAsia="宋体" w:cs="宋体"/>
          <w:color w:val="auto"/>
          <w:spacing w:val="-50"/>
          <w:sz w:val="24"/>
          <w:szCs w:val="24"/>
          <w:highlight w:val="none"/>
        </w:rPr>
        <w:t xml:space="preserve"> </w:t>
      </w:r>
      <w:r>
        <w:rPr>
          <w:rFonts w:ascii="宋体" w:hAnsi="宋体" w:eastAsia="宋体" w:cs="宋体"/>
          <w:b/>
          <w:bCs/>
          <w:color w:val="auto"/>
          <w:spacing w:val="-5"/>
          <w:sz w:val="24"/>
          <w:szCs w:val="24"/>
          <w:highlight w:val="none"/>
        </w:rPr>
        <w:t>监理奖励和优监优酬</w:t>
      </w:r>
    </w:p>
    <w:p w14:paraId="1E159B6E">
      <w:pPr>
        <w:spacing w:before="79" w:line="219" w:lineRule="auto"/>
        <w:ind w:left="2"/>
        <w:rPr>
          <w:rFonts w:ascii="宋体" w:hAnsi="宋体" w:eastAsia="宋体" w:cs="宋体"/>
          <w:b/>
          <w:bCs/>
          <w:color w:val="auto"/>
          <w:spacing w:val="-5"/>
          <w:sz w:val="24"/>
          <w:szCs w:val="24"/>
          <w:highlight w:val="none"/>
        </w:rPr>
      </w:pPr>
    </w:p>
    <w:p w14:paraId="277A07B4">
      <w:pPr>
        <w:spacing w:before="48" w:line="219" w:lineRule="auto"/>
        <w:ind w:left="1"/>
        <w:rPr>
          <w:rFonts w:ascii="宋体" w:hAnsi="宋体" w:eastAsia="宋体" w:cs="宋体"/>
          <w:color w:val="auto"/>
          <w:sz w:val="24"/>
          <w:szCs w:val="24"/>
          <w:highlight w:val="none"/>
        </w:rPr>
      </w:pPr>
      <w:r>
        <w:rPr>
          <w:rFonts w:ascii="宋体" w:hAnsi="宋体" w:eastAsia="宋体" w:cs="宋体"/>
          <w:b/>
          <w:bCs/>
          <w:color w:val="auto"/>
          <w:spacing w:val="-3"/>
          <w:sz w:val="24"/>
          <w:szCs w:val="24"/>
          <w:highlight w:val="none"/>
        </w:rPr>
        <w:t>8.3</w:t>
      </w:r>
      <w:r>
        <w:rPr>
          <w:rFonts w:ascii="宋体" w:hAnsi="宋体" w:eastAsia="宋体" w:cs="宋体"/>
          <w:color w:val="auto"/>
          <w:spacing w:val="-3"/>
          <w:sz w:val="24"/>
          <w:szCs w:val="24"/>
          <w:highlight w:val="none"/>
        </w:rPr>
        <w:t xml:space="preserve"> </w:t>
      </w:r>
      <w:r>
        <w:rPr>
          <w:rFonts w:ascii="宋体" w:hAnsi="宋体" w:eastAsia="宋体" w:cs="宋体"/>
          <w:b/>
          <w:bCs/>
          <w:color w:val="auto"/>
          <w:spacing w:val="-3"/>
          <w:sz w:val="24"/>
          <w:szCs w:val="24"/>
          <w:highlight w:val="none"/>
        </w:rPr>
        <w:t>工程监理奖励和优监优酬</w:t>
      </w:r>
    </w:p>
    <w:p w14:paraId="7826DA18">
      <w:pPr>
        <w:spacing w:before="177" w:line="220" w:lineRule="auto"/>
        <w:ind w:left="442"/>
        <w:rPr>
          <w:rFonts w:ascii="宋体" w:hAnsi="宋体" w:eastAsia="宋体" w:cs="宋体"/>
          <w:color w:val="auto"/>
          <w:sz w:val="22"/>
          <w:szCs w:val="22"/>
          <w:highlight w:val="none"/>
        </w:rPr>
      </w:pPr>
      <w:r>
        <w:rPr>
          <w:rFonts w:ascii="宋体" w:hAnsi="宋体" w:eastAsia="宋体" w:cs="宋体"/>
          <w:color w:val="auto"/>
          <w:spacing w:val="-5"/>
          <w:sz w:val="22"/>
          <w:szCs w:val="22"/>
          <w:highlight w:val="none"/>
        </w:rPr>
        <w:t>8.3.</w:t>
      </w:r>
      <w:r>
        <w:rPr>
          <w:rFonts w:ascii="宋体" w:hAnsi="宋体" w:eastAsia="宋体" w:cs="宋体"/>
          <w:color w:val="auto"/>
          <w:spacing w:val="35"/>
          <w:sz w:val="22"/>
          <w:szCs w:val="22"/>
          <w:highlight w:val="none"/>
        </w:rPr>
        <w:t xml:space="preserve"> </w:t>
      </w:r>
      <w:r>
        <w:rPr>
          <w:rFonts w:ascii="宋体" w:hAnsi="宋体" w:eastAsia="宋体" w:cs="宋体"/>
          <w:color w:val="auto"/>
          <w:spacing w:val="-5"/>
          <w:sz w:val="22"/>
          <w:szCs w:val="22"/>
          <w:highlight w:val="none"/>
        </w:rPr>
        <w:t>1</w:t>
      </w:r>
      <w:r>
        <w:rPr>
          <w:rFonts w:ascii="宋体" w:hAnsi="宋体" w:eastAsia="宋体" w:cs="宋体"/>
          <w:color w:val="auto"/>
          <w:spacing w:val="-44"/>
          <w:sz w:val="22"/>
          <w:szCs w:val="22"/>
          <w:highlight w:val="none"/>
        </w:rPr>
        <w:t xml:space="preserve"> </w:t>
      </w:r>
      <w:r>
        <w:rPr>
          <w:rFonts w:ascii="宋体" w:hAnsi="宋体" w:eastAsia="宋体" w:cs="宋体"/>
          <w:color w:val="auto"/>
          <w:spacing w:val="-5"/>
          <w:sz w:val="22"/>
          <w:szCs w:val="22"/>
          <w:highlight w:val="none"/>
        </w:rPr>
        <w:t>工程监理奖励</w:t>
      </w:r>
    </w:p>
    <w:p w14:paraId="4D911D02">
      <w:pPr>
        <w:spacing w:before="164" w:line="359" w:lineRule="auto"/>
        <w:ind w:right="2" w:firstLine="443"/>
        <w:rPr>
          <w:rFonts w:ascii="宋体" w:hAnsi="宋体" w:eastAsia="宋体" w:cs="宋体"/>
          <w:color w:val="auto"/>
          <w:sz w:val="22"/>
          <w:szCs w:val="22"/>
          <w:highlight w:val="none"/>
        </w:rPr>
      </w:pPr>
      <w:r>
        <w:rPr>
          <w:rFonts w:ascii="宋体" w:hAnsi="宋体" w:eastAsia="宋体" w:cs="宋体"/>
          <w:color w:val="auto"/>
          <w:spacing w:val="4"/>
          <w:sz w:val="22"/>
          <w:szCs w:val="22"/>
          <w:highlight w:val="none"/>
        </w:rPr>
        <w:t>工程监理奖励在“报价文件表</w:t>
      </w:r>
      <w:r>
        <w:rPr>
          <w:rFonts w:ascii="宋体" w:hAnsi="宋体" w:eastAsia="宋体" w:cs="宋体"/>
          <w:color w:val="auto"/>
          <w:spacing w:val="-23"/>
          <w:sz w:val="22"/>
          <w:szCs w:val="22"/>
          <w:highlight w:val="none"/>
        </w:rPr>
        <w:t xml:space="preserve"> </w:t>
      </w:r>
      <w:r>
        <w:rPr>
          <w:rFonts w:ascii="宋体" w:hAnsi="宋体" w:eastAsia="宋体" w:cs="宋体"/>
          <w:color w:val="auto"/>
          <w:spacing w:val="4"/>
          <w:sz w:val="22"/>
          <w:szCs w:val="22"/>
          <w:highlight w:val="none"/>
        </w:rPr>
        <w:t>1 监理服务费</w:t>
      </w:r>
      <w:r>
        <w:rPr>
          <w:rFonts w:ascii="宋体" w:hAnsi="宋体" w:eastAsia="宋体" w:cs="宋体"/>
          <w:color w:val="auto"/>
          <w:spacing w:val="3"/>
          <w:sz w:val="22"/>
          <w:szCs w:val="22"/>
          <w:highlight w:val="none"/>
        </w:rPr>
        <w:t>报价汇总表</w:t>
      </w:r>
      <w:r>
        <w:rPr>
          <w:rFonts w:ascii="宋体" w:hAnsi="宋体" w:eastAsia="宋体" w:cs="宋体"/>
          <w:color w:val="auto"/>
          <w:spacing w:val="-76"/>
          <w:sz w:val="22"/>
          <w:szCs w:val="22"/>
          <w:highlight w:val="none"/>
        </w:rPr>
        <w:t xml:space="preserve"> </w:t>
      </w:r>
      <w:r>
        <w:rPr>
          <w:rFonts w:ascii="宋体" w:hAnsi="宋体" w:eastAsia="宋体" w:cs="宋体"/>
          <w:color w:val="auto"/>
          <w:spacing w:val="3"/>
          <w:sz w:val="22"/>
          <w:szCs w:val="22"/>
          <w:highlight w:val="none"/>
        </w:rPr>
        <w:t>”中单列，该部分费用仅限于本</w:t>
      </w:r>
      <w:r>
        <w:rPr>
          <w:rFonts w:ascii="宋体" w:hAnsi="宋体" w:eastAsia="宋体" w:cs="宋体"/>
          <w:color w:val="auto"/>
          <w:spacing w:val="1"/>
          <w:sz w:val="22"/>
          <w:szCs w:val="22"/>
          <w:highlight w:val="none"/>
        </w:rPr>
        <w:t>合同段使用（或整个项目统筹使用，具体以评比方案为准</w:t>
      </w:r>
      <w:r>
        <w:rPr>
          <w:rFonts w:ascii="宋体" w:hAnsi="宋体" w:eastAsia="宋体" w:cs="宋体"/>
          <w:color w:val="auto"/>
          <w:spacing w:val="7"/>
          <w:sz w:val="22"/>
          <w:szCs w:val="22"/>
          <w:highlight w:val="none"/>
        </w:rPr>
        <w:t>），</w:t>
      </w:r>
      <w:r>
        <w:rPr>
          <w:rFonts w:ascii="宋体" w:hAnsi="宋体" w:eastAsia="宋体" w:cs="宋体"/>
          <w:color w:val="auto"/>
          <w:spacing w:val="1"/>
          <w:sz w:val="22"/>
          <w:szCs w:val="22"/>
          <w:highlight w:val="none"/>
        </w:rPr>
        <w:t>主要</w:t>
      </w:r>
      <w:r>
        <w:rPr>
          <w:rFonts w:ascii="宋体" w:hAnsi="宋体" w:eastAsia="宋体" w:cs="宋体"/>
          <w:color w:val="auto"/>
          <w:sz w:val="22"/>
          <w:szCs w:val="22"/>
          <w:highlight w:val="none"/>
        </w:rPr>
        <w:t>用于工程建设期间委托人对</w:t>
      </w:r>
      <w:r>
        <w:rPr>
          <w:rFonts w:ascii="宋体" w:hAnsi="宋体" w:eastAsia="宋体" w:cs="宋体"/>
          <w:color w:val="auto"/>
          <w:spacing w:val="1"/>
          <w:sz w:val="22"/>
          <w:szCs w:val="22"/>
          <w:highlight w:val="none"/>
        </w:rPr>
        <w:t>现场监理人员的奖励。监理人获得支付的额度取决于其所监理标段对应施工承包人完成进度的</w:t>
      </w:r>
      <w:r>
        <w:rPr>
          <w:rFonts w:ascii="宋体" w:hAnsi="宋体" w:eastAsia="宋体" w:cs="宋体"/>
          <w:color w:val="auto"/>
          <w:sz w:val="22"/>
          <w:szCs w:val="22"/>
          <w:highlight w:val="none"/>
        </w:rPr>
        <w:t>情况及在评比中的名次。有关评比方案委托人将在监理</w:t>
      </w:r>
      <w:r>
        <w:rPr>
          <w:rFonts w:ascii="宋体" w:hAnsi="宋体" w:eastAsia="宋体" w:cs="宋体"/>
          <w:color w:val="auto"/>
          <w:spacing w:val="-1"/>
          <w:sz w:val="22"/>
          <w:szCs w:val="22"/>
          <w:highlight w:val="none"/>
        </w:rPr>
        <w:t>人进场后予以制定。</w:t>
      </w:r>
    </w:p>
    <w:p w14:paraId="59411B10">
      <w:pPr>
        <w:spacing w:before="1" w:line="359" w:lineRule="auto"/>
        <w:ind w:left="1" w:firstLine="438"/>
        <w:rPr>
          <w:rFonts w:ascii="宋体" w:hAnsi="宋体" w:eastAsia="宋体" w:cs="宋体"/>
          <w:color w:val="auto"/>
          <w:sz w:val="22"/>
          <w:szCs w:val="22"/>
          <w:highlight w:val="none"/>
        </w:rPr>
      </w:pPr>
      <w:r>
        <w:rPr>
          <w:rFonts w:ascii="宋体" w:hAnsi="宋体" w:eastAsia="宋体" w:cs="宋体"/>
          <w:color w:val="auto"/>
          <w:spacing w:val="1"/>
          <w:sz w:val="22"/>
          <w:szCs w:val="22"/>
          <w:highlight w:val="none"/>
        </w:rPr>
        <w:t>委托人对监理人的工程监理奖励，监理人除代扣缴法律法规规定的税金外，应全额落实到</w:t>
      </w:r>
      <w:r>
        <w:rPr>
          <w:rFonts w:ascii="宋体" w:hAnsi="宋体" w:eastAsia="宋体" w:cs="宋体"/>
          <w:color w:val="auto"/>
          <w:spacing w:val="-2"/>
          <w:sz w:val="22"/>
          <w:szCs w:val="22"/>
          <w:highlight w:val="none"/>
        </w:rPr>
        <w:t>现场监理人员中。</w:t>
      </w:r>
    </w:p>
    <w:p w14:paraId="6BCC8568">
      <w:pPr>
        <w:spacing w:before="1" w:line="218" w:lineRule="auto"/>
        <w:ind w:left="442"/>
        <w:rPr>
          <w:rFonts w:ascii="宋体" w:hAnsi="宋体" w:eastAsia="宋体" w:cs="宋体"/>
          <w:color w:val="auto"/>
          <w:sz w:val="22"/>
          <w:szCs w:val="22"/>
          <w:highlight w:val="none"/>
        </w:rPr>
      </w:pPr>
      <w:r>
        <w:rPr>
          <w:rFonts w:ascii="宋体" w:hAnsi="宋体" w:eastAsia="宋体" w:cs="宋体"/>
          <w:color w:val="auto"/>
          <w:spacing w:val="-2"/>
          <w:sz w:val="22"/>
          <w:szCs w:val="22"/>
          <w:highlight w:val="none"/>
        </w:rPr>
        <w:t>8.3.2</w:t>
      </w:r>
      <w:r>
        <w:rPr>
          <w:rFonts w:ascii="宋体" w:hAnsi="宋体" w:eastAsia="宋体" w:cs="宋体"/>
          <w:color w:val="auto"/>
          <w:spacing w:val="-42"/>
          <w:sz w:val="22"/>
          <w:szCs w:val="22"/>
          <w:highlight w:val="none"/>
        </w:rPr>
        <w:t xml:space="preserve"> </w:t>
      </w:r>
      <w:r>
        <w:rPr>
          <w:rFonts w:ascii="宋体" w:hAnsi="宋体" w:eastAsia="宋体" w:cs="宋体"/>
          <w:color w:val="auto"/>
          <w:spacing w:val="-2"/>
          <w:sz w:val="22"/>
          <w:szCs w:val="22"/>
          <w:highlight w:val="none"/>
        </w:rPr>
        <w:t>优监优酬价款</w:t>
      </w:r>
    </w:p>
    <w:p w14:paraId="6AA3B580">
      <w:pPr>
        <w:spacing w:before="164" w:line="360" w:lineRule="auto"/>
        <w:ind w:left="3" w:firstLine="438"/>
        <w:rPr>
          <w:rFonts w:ascii="宋体" w:hAnsi="宋体" w:eastAsia="宋体" w:cs="宋体"/>
          <w:color w:val="auto"/>
          <w:sz w:val="22"/>
          <w:szCs w:val="22"/>
          <w:highlight w:val="none"/>
        </w:rPr>
      </w:pPr>
      <w:r>
        <w:rPr>
          <w:rFonts w:ascii="宋体" w:hAnsi="宋体" w:eastAsia="宋体" w:cs="宋体"/>
          <w:color w:val="auto"/>
          <w:sz w:val="22"/>
          <w:szCs w:val="22"/>
          <w:highlight w:val="none"/>
        </w:rPr>
        <w:t>全面推行“双标管理</w:t>
      </w:r>
      <w:r>
        <w:rPr>
          <w:rFonts w:ascii="宋体" w:hAnsi="宋体" w:eastAsia="宋体" w:cs="宋体"/>
          <w:color w:val="auto"/>
          <w:spacing w:val="-81"/>
          <w:sz w:val="22"/>
          <w:szCs w:val="22"/>
          <w:highlight w:val="none"/>
        </w:rPr>
        <w:t xml:space="preserve"> </w:t>
      </w:r>
      <w:r>
        <w:rPr>
          <w:rFonts w:ascii="宋体" w:hAnsi="宋体" w:eastAsia="宋体" w:cs="宋体"/>
          <w:color w:val="auto"/>
          <w:sz w:val="22"/>
          <w:szCs w:val="22"/>
          <w:highlight w:val="none"/>
        </w:rPr>
        <w:t>”（标准化管理、标杆管理</w:t>
      </w:r>
      <w:r>
        <w:rPr>
          <w:rFonts w:ascii="宋体" w:hAnsi="宋体" w:eastAsia="宋体" w:cs="宋体"/>
          <w:color w:val="auto"/>
          <w:spacing w:val="8"/>
          <w:sz w:val="22"/>
          <w:szCs w:val="22"/>
          <w:highlight w:val="none"/>
        </w:rPr>
        <w:t>），</w:t>
      </w:r>
      <w:r>
        <w:rPr>
          <w:rFonts w:ascii="宋体" w:hAnsi="宋体" w:eastAsia="宋体" w:cs="宋体"/>
          <w:color w:val="auto"/>
          <w:sz w:val="22"/>
          <w:szCs w:val="22"/>
          <w:highlight w:val="none"/>
        </w:rPr>
        <w:t>建立工程施工监理优监优酬制度</w:t>
      </w:r>
      <w:r>
        <w:rPr>
          <w:rFonts w:ascii="宋体" w:hAnsi="宋体" w:eastAsia="宋体" w:cs="宋体"/>
          <w:color w:val="auto"/>
          <w:spacing w:val="-1"/>
          <w:sz w:val="22"/>
          <w:szCs w:val="22"/>
          <w:highlight w:val="none"/>
        </w:rPr>
        <w:t>，提</w:t>
      </w:r>
      <w:r>
        <w:rPr>
          <w:rFonts w:ascii="宋体" w:hAnsi="宋体" w:eastAsia="宋体" w:cs="宋体"/>
          <w:color w:val="auto"/>
          <w:spacing w:val="1"/>
          <w:sz w:val="22"/>
          <w:szCs w:val="22"/>
          <w:highlight w:val="none"/>
        </w:rPr>
        <w:t>高工程施工监理质量管理水平，本合同设立优监优酬价款，具体由委托人参照广东省交</w:t>
      </w:r>
      <w:r>
        <w:rPr>
          <w:rFonts w:ascii="宋体" w:hAnsi="宋体" w:eastAsia="宋体" w:cs="宋体"/>
          <w:color w:val="auto"/>
          <w:sz w:val="22"/>
          <w:szCs w:val="22"/>
          <w:highlight w:val="none"/>
        </w:rPr>
        <w:t>通运输</w:t>
      </w:r>
      <w:r>
        <w:rPr>
          <w:rFonts w:ascii="宋体" w:hAnsi="宋体" w:eastAsia="宋体" w:cs="宋体"/>
          <w:color w:val="auto"/>
          <w:spacing w:val="6"/>
          <w:sz w:val="22"/>
          <w:szCs w:val="22"/>
          <w:highlight w:val="none"/>
        </w:rPr>
        <w:t>厅《关于印发广东省高速公路工程优质优价和施工监理优监优酬实施意见的通知》（粤交基</w:t>
      </w:r>
      <w:r>
        <w:rPr>
          <w:rFonts w:ascii="宋体" w:hAnsi="宋体" w:eastAsia="宋体" w:cs="宋体"/>
          <w:color w:val="auto"/>
          <w:spacing w:val="-1"/>
          <w:sz w:val="22"/>
          <w:szCs w:val="22"/>
          <w:highlight w:val="none"/>
        </w:rPr>
        <w:t>〔2010〕1893</w:t>
      </w:r>
      <w:r>
        <w:rPr>
          <w:rFonts w:ascii="宋体" w:hAnsi="宋体" w:eastAsia="宋体" w:cs="宋体"/>
          <w:color w:val="auto"/>
          <w:spacing w:val="-36"/>
          <w:sz w:val="22"/>
          <w:szCs w:val="22"/>
          <w:highlight w:val="none"/>
        </w:rPr>
        <w:t xml:space="preserve"> </w:t>
      </w:r>
      <w:r>
        <w:rPr>
          <w:rFonts w:ascii="宋体" w:hAnsi="宋体" w:eastAsia="宋体" w:cs="宋体"/>
          <w:color w:val="auto"/>
          <w:spacing w:val="-1"/>
          <w:sz w:val="22"/>
          <w:szCs w:val="22"/>
          <w:highlight w:val="none"/>
        </w:rPr>
        <w:t>号）等文件的规定制订的本项目实施细则执行。</w:t>
      </w:r>
    </w:p>
    <w:p w14:paraId="6AB606B2">
      <w:pPr>
        <w:spacing w:before="1" w:line="359" w:lineRule="auto"/>
        <w:ind w:firstLine="439"/>
        <w:jc w:val="both"/>
        <w:rPr>
          <w:rFonts w:ascii="宋体" w:hAnsi="宋体" w:eastAsia="宋体" w:cs="宋体"/>
          <w:color w:val="auto"/>
          <w:sz w:val="22"/>
          <w:szCs w:val="22"/>
          <w:highlight w:val="none"/>
        </w:rPr>
      </w:pPr>
      <w:r>
        <w:rPr>
          <w:rFonts w:ascii="宋体" w:hAnsi="宋体" w:eastAsia="宋体" w:cs="宋体"/>
          <w:color w:val="auto"/>
          <w:spacing w:val="1"/>
          <w:sz w:val="22"/>
          <w:szCs w:val="22"/>
          <w:highlight w:val="none"/>
        </w:rPr>
        <w:t>委托人将根据工程实际开展各项工程的质量评比和奖罚，项目（如项目采用分段管理，则按项目段计列）用于奖励的金额原则上不超过项目（或项目段）各监理合同段投标报价（中标</w:t>
      </w:r>
      <w:r>
        <w:rPr>
          <w:rFonts w:ascii="宋体" w:hAnsi="宋体" w:eastAsia="宋体" w:cs="宋体"/>
          <w:color w:val="auto"/>
          <w:spacing w:val="-1"/>
          <w:sz w:val="22"/>
          <w:szCs w:val="22"/>
          <w:highlight w:val="none"/>
        </w:rPr>
        <w:t>价）合计金额的</w:t>
      </w:r>
      <w:r>
        <w:rPr>
          <w:rFonts w:ascii="宋体" w:hAnsi="宋体" w:eastAsia="宋体" w:cs="宋体"/>
          <w:color w:val="auto"/>
          <w:spacing w:val="-1"/>
          <w:sz w:val="22"/>
          <w:szCs w:val="22"/>
          <w:highlight w:val="none"/>
          <w:u w:val="single" w:color="auto"/>
        </w:rPr>
        <w:t xml:space="preserve">  </w:t>
      </w:r>
      <w:r>
        <w:rPr>
          <w:rFonts w:hint="eastAsia" w:ascii="宋体" w:hAnsi="宋体" w:eastAsia="宋体" w:cs="宋体"/>
          <w:color w:val="auto"/>
          <w:spacing w:val="-1"/>
          <w:sz w:val="22"/>
          <w:szCs w:val="22"/>
          <w:highlight w:val="none"/>
          <w:u w:val="single" w:color="auto"/>
          <w:lang w:val="en-US" w:eastAsia="zh-CN"/>
        </w:rPr>
        <w:t>/</w:t>
      </w:r>
      <w:r>
        <w:rPr>
          <w:rFonts w:ascii="宋体" w:hAnsi="宋体" w:eastAsia="宋体" w:cs="宋体"/>
          <w:color w:val="auto"/>
          <w:spacing w:val="-1"/>
          <w:sz w:val="22"/>
          <w:szCs w:val="22"/>
          <w:highlight w:val="none"/>
          <w:u w:val="single" w:color="auto"/>
        </w:rPr>
        <w:t xml:space="preserve">  </w:t>
      </w:r>
      <w:r>
        <w:rPr>
          <w:rFonts w:ascii="宋体" w:hAnsi="宋体" w:eastAsia="宋体" w:cs="宋体"/>
          <w:color w:val="auto"/>
          <w:spacing w:val="-102"/>
          <w:sz w:val="22"/>
          <w:szCs w:val="22"/>
          <w:highlight w:val="none"/>
        </w:rPr>
        <w:t xml:space="preserve"> </w:t>
      </w:r>
      <w:r>
        <w:rPr>
          <w:rFonts w:ascii="宋体" w:hAnsi="宋体" w:eastAsia="宋体" w:cs="宋体"/>
          <w:color w:val="auto"/>
          <w:spacing w:val="-1"/>
          <w:sz w:val="22"/>
          <w:szCs w:val="22"/>
          <w:highlight w:val="none"/>
        </w:rPr>
        <w:t>%（含税金）。</w:t>
      </w:r>
    </w:p>
    <w:p w14:paraId="386A64BB">
      <w:pPr>
        <w:spacing w:line="325" w:lineRule="auto"/>
        <w:rPr>
          <w:rFonts w:ascii="Arial"/>
          <w:color w:val="auto"/>
          <w:sz w:val="21"/>
          <w:highlight w:val="none"/>
        </w:rPr>
      </w:pPr>
    </w:p>
    <w:p w14:paraId="0FEA7EA0">
      <w:pPr>
        <w:spacing w:before="78" w:line="218" w:lineRule="auto"/>
        <w:ind w:left="1"/>
        <w:outlineLvl w:val="1"/>
        <w:rPr>
          <w:rFonts w:ascii="宋体" w:hAnsi="宋体" w:eastAsia="宋体" w:cs="宋体"/>
          <w:color w:val="auto"/>
          <w:sz w:val="24"/>
          <w:szCs w:val="24"/>
          <w:highlight w:val="none"/>
        </w:rPr>
      </w:pPr>
      <w:bookmarkStart w:id="339" w:name="_Toc967"/>
      <w:bookmarkStart w:id="340" w:name="_Toc28219"/>
      <w:bookmarkStart w:id="341" w:name="_Toc23838"/>
      <w:r>
        <w:rPr>
          <w:rFonts w:ascii="宋体" w:hAnsi="宋体" w:eastAsia="宋体" w:cs="宋体"/>
          <w:b/>
          <w:bCs/>
          <w:color w:val="auto"/>
          <w:spacing w:val="-3"/>
          <w:sz w:val="24"/>
          <w:szCs w:val="24"/>
          <w:highlight w:val="none"/>
        </w:rPr>
        <w:t>9.</w:t>
      </w:r>
      <w:r>
        <w:rPr>
          <w:rFonts w:ascii="宋体" w:hAnsi="宋体" w:eastAsia="宋体" w:cs="宋体"/>
          <w:color w:val="auto"/>
          <w:spacing w:val="-3"/>
          <w:sz w:val="24"/>
          <w:szCs w:val="24"/>
          <w:highlight w:val="none"/>
        </w:rPr>
        <w:t xml:space="preserve"> </w:t>
      </w:r>
      <w:r>
        <w:rPr>
          <w:rFonts w:ascii="宋体" w:hAnsi="宋体" w:eastAsia="宋体" w:cs="宋体"/>
          <w:b/>
          <w:bCs/>
          <w:color w:val="auto"/>
          <w:spacing w:val="-3"/>
          <w:sz w:val="24"/>
          <w:szCs w:val="24"/>
          <w:highlight w:val="none"/>
        </w:rPr>
        <w:t>合同价格与支付</w:t>
      </w:r>
      <w:bookmarkEnd w:id="339"/>
      <w:bookmarkEnd w:id="340"/>
      <w:bookmarkEnd w:id="341"/>
    </w:p>
    <w:p w14:paraId="67A1002A">
      <w:pPr>
        <w:spacing w:before="293" w:line="218" w:lineRule="auto"/>
        <w:ind w:left="1"/>
        <w:rPr>
          <w:rFonts w:ascii="宋体" w:hAnsi="宋体" w:eastAsia="宋体" w:cs="宋体"/>
          <w:color w:val="auto"/>
          <w:sz w:val="24"/>
          <w:szCs w:val="24"/>
          <w:highlight w:val="none"/>
        </w:rPr>
      </w:pPr>
      <w:r>
        <w:rPr>
          <w:rFonts w:ascii="宋体" w:hAnsi="宋体" w:eastAsia="宋体" w:cs="宋体"/>
          <w:b/>
          <w:bCs/>
          <w:color w:val="auto"/>
          <w:spacing w:val="-5"/>
          <w:sz w:val="24"/>
          <w:szCs w:val="24"/>
          <w:highlight w:val="none"/>
        </w:rPr>
        <w:t>9.1</w:t>
      </w:r>
      <w:r>
        <w:rPr>
          <w:rFonts w:ascii="宋体" w:hAnsi="宋体" w:eastAsia="宋体" w:cs="宋体"/>
          <w:color w:val="auto"/>
          <w:spacing w:val="13"/>
          <w:sz w:val="24"/>
          <w:szCs w:val="24"/>
          <w:highlight w:val="none"/>
        </w:rPr>
        <w:t xml:space="preserve"> </w:t>
      </w:r>
      <w:r>
        <w:rPr>
          <w:rFonts w:ascii="宋体" w:hAnsi="宋体" w:eastAsia="宋体" w:cs="宋体"/>
          <w:b/>
          <w:bCs/>
          <w:color w:val="auto"/>
          <w:spacing w:val="-5"/>
          <w:sz w:val="24"/>
          <w:szCs w:val="24"/>
          <w:highlight w:val="none"/>
        </w:rPr>
        <w:t>合同价格</w:t>
      </w:r>
    </w:p>
    <w:p w14:paraId="67705EE5">
      <w:pPr>
        <w:spacing w:before="181" w:line="219" w:lineRule="auto"/>
        <w:ind w:left="442"/>
        <w:rPr>
          <w:rFonts w:ascii="宋体" w:hAnsi="宋体" w:eastAsia="宋体" w:cs="宋体"/>
          <w:color w:val="auto"/>
          <w:sz w:val="22"/>
          <w:szCs w:val="22"/>
          <w:highlight w:val="none"/>
        </w:rPr>
      </w:pPr>
      <w:r>
        <w:rPr>
          <w:rFonts w:ascii="宋体" w:hAnsi="宋体" w:eastAsia="宋体" w:cs="宋体"/>
          <w:color w:val="auto"/>
          <w:spacing w:val="-1"/>
          <w:sz w:val="22"/>
          <w:szCs w:val="22"/>
          <w:highlight w:val="none"/>
        </w:rPr>
        <w:t>9.1.1 本合同的价款确定方式：</w:t>
      </w:r>
      <w:r>
        <w:rPr>
          <w:rFonts w:ascii="宋体" w:hAnsi="宋体" w:eastAsia="宋体" w:cs="宋体"/>
          <w:color w:val="auto"/>
          <w:spacing w:val="-1"/>
          <w:sz w:val="22"/>
          <w:szCs w:val="22"/>
          <w:highlight w:val="none"/>
          <w:u w:val="single" w:color="auto"/>
        </w:rPr>
        <w:t xml:space="preserve">  总价  </w:t>
      </w:r>
      <w:r>
        <w:rPr>
          <w:rFonts w:ascii="宋体" w:hAnsi="宋体" w:eastAsia="宋体" w:cs="宋体"/>
          <w:color w:val="auto"/>
          <w:spacing w:val="-1"/>
          <w:sz w:val="22"/>
          <w:szCs w:val="22"/>
          <w:highlight w:val="none"/>
        </w:rPr>
        <w:t>。</w:t>
      </w:r>
    </w:p>
    <w:p w14:paraId="731A900E">
      <w:pPr>
        <w:spacing w:before="166" w:line="360" w:lineRule="auto"/>
        <w:ind w:firstLine="440"/>
        <w:rPr>
          <w:rFonts w:ascii="宋体" w:hAnsi="宋体" w:eastAsia="宋体" w:cs="宋体"/>
          <w:color w:val="auto"/>
          <w:spacing w:val="1"/>
          <w:sz w:val="22"/>
          <w:szCs w:val="22"/>
          <w:highlight w:val="none"/>
        </w:rPr>
      </w:pPr>
      <w:r>
        <w:rPr>
          <w:rFonts w:ascii="宋体" w:hAnsi="宋体" w:eastAsia="宋体" w:cs="宋体"/>
          <w:color w:val="auto"/>
          <w:spacing w:val="1"/>
          <w:sz w:val="22"/>
          <w:szCs w:val="22"/>
          <w:highlight w:val="none"/>
        </w:rPr>
        <w:t>本合同总价已包含监理人完成全部试验检测工作(含外委检测)所需的一切费用，监理人应 负责与选定的第三方检测机构结算并支付相关费用。</w:t>
      </w:r>
    </w:p>
    <w:p w14:paraId="1621CB7C">
      <w:pPr>
        <w:spacing w:before="166" w:line="360" w:lineRule="auto"/>
        <w:ind w:firstLine="440"/>
        <w:rPr>
          <w:rFonts w:ascii="宋体" w:hAnsi="宋体" w:eastAsia="宋体" w:cs="宋体"/>
          <w:color w:val="auto"/>
          <w:sz w:val="22"/>
          <w:szCs w:val="22"/>
          <w:highlight w:val="none"/>
        </w:rPr>
      </w:pPr>
      <w:r>
        <w:rPr>
          <w:rFonts w:ascii="宋体" w:hAnsi="宋体" w:eastAsia="宋体" w:cs="宋体"/>
          <w:color w:val="auto"/>
          <w:spacing w:val="1"/>
          <w:sz w:val="22"/>
          <w:szCs w:val="22"/>
          <w:highlight w:val="none"/>
        </w:rPr>
        <w:t>在合同实施期间，由于人工、材料、设备等因素的市场价格变化导致本项目监理服务费用</w:t>
      </w:r>
      <w:r>
        <w:rPr>
          <w:rFonts w:ascii="宋体" w:hAnsi="宋体" w:eastAsia="宋体" w:cs="宋体"/>
          <w:color w:val="auto"/>
          <w:sz w:val="22"/>
          <w:szCs w:val="22"/>
          <w:highlight w:val="none"/>
        </w:rPr>
        <w:t>变化，合同价格的调整方式和风险范围划分：</w:t>
      </w:r>
      <w:r>
        <w:rPr>
          <w:rFonts w:ascii="宋体" w:hAnsi="宋体" w:eastAsia="宋体" w:cs="宋体"/>
          <w:color w:val="auto"/>
          <w:sz w:val="22"/>
          <w:szCs w:val="22"/>
          <w:highlight w:val="none"/>
          <w:u w:val="single" w:color="auto"/>
        </w:rPr>
        <w:t>监理服</w:t>
      </w:r>
      <w:r>
        <w:rPr>
          <w:rFonts w:ascii="宋体" w:hAnsi="宋体" w:eastAsia="宋体" w:cs="宋体"/>
          <w:color w:val="auto"/>
          <w:spacing w:val="-1"/>
          <w:sz w:val="22"/>
          <w:szCs w:val="22"/>
          <w:highlight w:val="none"/>
          <w:u w:val="single" w:color="auto"/>
        </w:rPr>
        <w:t>务费不进行调整</w:t>
      </w:r>
      <w:r>
        <w:rPr>
          <w:rFonts w:ascii="宋体" w:hAnsi="宋体" w:eastAsia="宋体" w:cs="宋体"/>
          <w:color w:val="auto"/>
          <w:spacing w:val="-1"/>
          <w:sz w:val="22"/>
          <w:szCs w:val="22"/>
          <w:highlight w:val="none"/>
        </w:rPr>
        <w:t>。</w:t>
      </w:r>
    </w:p>
    <w:p w14:paraId="535786B4">
      <w:pPr>
        <w:spacing w:before="243" w:line="219" w:lineRule="auto"/>
        <w:ind w:left="1"/>
        <w:rPr>
          <w:rFonts w:hint="eastAsia" w:ascii="宋体" w:hAnsi="宋体" w:eastAsia="宋体" w:cs="宋体"/>
          <w:b/>
          <w:bCs/>
          <w:color w:val="auto"/>
          <w:spacing w:val="-8"/>
          <w:sz w:val="24"/>
          <w:szCs w:val="24"/>
          <w:highlight w:val="none"/>
          <w:lang w:val="en-US" w:eastAsia="zh-CN"/>
        </w:rPr>
      </w:pPr>
      <w:r>
        <w:rPr>
          <w:rFonts w:ascii="宋体" w:hAnsi="宋体" w:eastAsia="宋体" w:cs="宋体"/>
          <w:b/>
          <w:bCs/>
          <w:color w:val="auto"/>
          <w:spacing w:val="-8"/>
          <w:sz w:val="24"/>
          <w:szCs w:val="24"/>
          <w:highlight w:val="none"/>
        </w:rPr>
        <w:t>9.</w:t>
      </w:r>
      <w:r>
        <w:rPr>
          <w:rFonts w:hint="eastAsia" w:ascii="宋体" w:hAnsi="宋体" w:eastAsia="宋体" w:cs="宋体"/>
          <w:b/>
          <w:bCs/>
          <w:color w:val="auto"/>
          <w:spacing w:val="-8"/>
          <w:sz w:val="24"/>
          <w:szCs w:val="24"/>
          <w:highlight w:val="none"/>
          <w:lang w:val="en-US" w:eastAsia="zh-CN"/>
        </w:rPr>
        <w:t>2</w:t>
      </w:r>
      <w:r>
        <w:rPr>
          <w:rFonts w:ascii="宋体" w:hAnsi="宋体" w:eastAsia="宋体" w:cs="宋体"/>
          <w:b/>
          <w:bCs/>
          <w:color w:val="auto"/>
          <w:spacing w:val="-8"/>
          <w:sz w:val="24"/>
          <w:szCs w:val="24"/>
          <w:highlight w:val="none"/>
        </w:rPr>
        <w:t xml:space="preserve"> </w:t>
      </w:r>
      <w:r>
        <w:rPr>
          <w:rFonts w:hint="eastAsia" w:ascii="宋体" w:hAnsi="宋体" w:eastAsia="宋体" w:cs="宋体"/>
          <w:b/>
          <w:bCs/>
          <w:color w:val="auto"/>
          <w:spacing w:val="-8"/>
          <w:sz w:val="24"/>
          <w:szCs w:val="24"/>
          <w:highlight w:val="none"/>
          <w:lang w:val="en-US" w:eastAsia="zh-CN"/>
        </w:rPr>
        <w:t>预付款</w:t>
      </w:r>
    </w:p>
    <w:p w14:paraId="71A49FA9">
      <w:pPr>
        <w:spacing w:before="166" w:line="360" w:lineRule="auto"/>
        <w:ind w:firstLine="440"/>
        <w:rPr>
          <w:rFonts w:hint="eastAsia" w:ascii="宋体" w:hAnsi="宋体" w:eastAsia="宋体" w:cs="宋体"/>
          <w:color w:val="auto"/>
          <w:spacing w:val="1"/>
          <w:sz w:val="22"/>
          <w:szCs w:val="22"/>
          <w:highlight w:val="none"/>
          <w:lang w:eastAsia="zh-CN"/>
        </w:rPr>
      </w:pPr>
      <w:r>
        <w:rPr>
          <w:rFonts w:hint="eastAsia" w:ascii="宋体" w:hAnsi="宋体" w:eastAsia="宋体" w:cs="宋体"/>
          <w:color w:val="auto"/>
          <w:spacing w:val="1"/>
          <w:sz w:val="22"/>
          <w:szCs w:val="22"/>
          <w:highlight w:val="none"/>
          <w:lang w:eastAsia="zh-CN"/>
        </w:rPr>
        <w:t>为使监理服务能够及时开展，</w:t>
      </w:r>
      <w:r>
        <w:rPr>
          <w:rFonts w:hint="eastAsia" w:ascii="宋体" w:hAnsi="宋体" w:cs="Times New Roman"/>
          <w:color w:val="auto"/>
          <w:sz w:val="24"/>
          <w:highlight w:val="none"/>
          <w:lang w:val="en-US" w:eastAsia="zh-CN"/>
        </w:rPr>
        <w:t>合同签订后支付合同金额的30%作为监理的预付款，上述预付款支付以上级财政专项资金到位为前提。</w:t>
      </w:r>
    </w:p>
    <w:p w14:paraId="58E7C972">
      <w:pPr>
        <w:spacing w:before="166" w:line="360" w:lineRule="auto"/>
        <w:ind w:firstLine="440"/>
        <w:rPr>
          <w:rFonts w:hint="default" w:ascii="宋体" w:hAnsi="宋体" w:eastAsia="宋体" w:cs="宋体"/>
          <w:color w:val="auto"/>
          <w:spacing w:val="1"/>
          <w:sz w:val="22"/>
          <w:szCs w:val="22"/>
          <w:highlight w:val="none"/>
          <w:lang w:val="en-US" w:eastAsia="zh-CN"/>
        </w:rPr>
      </w:pPr>
      <w:r>
        <w:rPr>
          <w:rFonts w:hint="eastAsia" w:ascii="宋体" w:hAnsi="宋体" w:eastAsia="宋体" w:cs="宋体"/>
          <w:color w:val="auto"/>
          <w:spacing w:val="1"/>
          <w:sz w:val="22"/>
          <w:szCs w:val="22"/>
          <w:highlight w:val="none"/>
          <w:lang w:eastAsia="zh-CN"/>
        </w:rPr>
        <w:t>预付款在</w:t>
      </w:r>
      <w:r>
        <w:rPr>
          <w:rFonts w:hint="eastAsia" w:ascii="宋体" w:hAnsi="宋体" w:eastAsia="宋体" w:cs="宋体"/>
          <w:color w:val="auto"/>
          <w:spacing w:val="1"/>
          <w:sz w:val="22"/>
          <w:szCs w:val="22"/>
          <w:highlight w:val="none"/>
          <w:lang w:val="en-US" w:eastAsia="zh-CN"/>
        </w:rPr>
        <w:t>第一期</w:t>
      </w:r>
      <w:r>
        <w:rPr>
          <w:rFonts w:hint="eastAsia" w:ascii="宋体" w:hAnsi="宋体" w:eastAsia="宋体" w:cs="宋体"/>
          <w:color w:val="auto"/>
          <w:spacing w:val="1"/>
          <w:sz w:val="22"/>
          <w:szCs w:val="22"/>
          <w:highlight w:val="none"/>
          <w:lang w:eastAsia="zh-CN"/>
        </w:rPr>
        <w:t>监理服务费</w:t>
      </w:r>
      <w:r>
        <w:rPr>
          <w:rFonts w:hint="eastAsia" w:ascii="宋体" w:hAnsi="宋体" w:eastAsia="宋体" w:cs="宋体"/>
          <w:color w:val="auto"/>
          <w:spacing w:val="1"/>
          <w:sz w:val="22"/>
          <w:szCs w:val="22"/>
          <w:highlight w:val="none"/>
          <w:lang w:val="en-US" w:eastAsia="zh-CN"/>
        </w:rPr>
        <w:t>进度款中一次性扣回。</w:t>
      </w:r>
    </w:p>
    <w:p w14:paraId="085F27E2">
      <w:pPr>
        <w:spacing w:before="166" w:line="360" w:lineRule="auto"/>
        <w:ind w:firstLine="440"/>
        <w:rPr>
          <w:rFonts w:hint="eastAsia" w:ascii="宋体" w:hAnsi="宋体" w:eastAsia="宋体" w:cs="宋体"/>
          <w:color w:val="auto"/>
          <w:spacing w:val="1"/>
          <w:sz w:val="22"/>
          <w:szCs w:val="22"/>
          <w:highlight w:val="none"/>
          <w:lang w:eastAsia="zh-CN"/>
        </w:rPr>
      </w:pPr>
      <w:r>
        <w:rPr>
          <w:rFonts w:hint="eastAsia" w:ascii="宋体" w:hAnsi="宋体" w:eastAsia="宋体" w:cs="宋体"/>
          <w:color w:val="auto"/>
          <w:spacing w:val="1"/>
          <w:sz w:val="22"/>
          <w:szCs w:val="22"/>
          <w:highlight w:val="none"/>
          <w:lang w:eastAsia="zh-CN"/>
        </w:rPr>
        <w:t>预付款应专用于本工程的监理。监理人无须向委托人提交预付款保函，但监理人提交的履约保证金对预付款的正常使用承担保证责任。</w:t>
      </w:r>
    </w:p>
    <w:p w14:paraId="78FE0EF2">
      <w:pPr>
        <w:spacing w:before="243" w:line="219" w:lineRule="auto"/>
        <w:ind w:left="1"/>
        <w:rPr>
          <w:rFonts w:ascii="宋体" w:hAnsi="宋体" w:eastAsia="宋体" w:cs="宋体"/>
          <w:color w:val="auto"/>
          <w:sz w:val="24"/>
          <w:szCs w:val="24"/>
          <w:highlight w:val="none"/>
        </w:rPr>
      </w:pPr>
      <w:r>
        <w:rPr>
          <w:rFonts w:ascii="宋体" w:hAnsi="宋体" w:eastAsia="宋体" w:cs="宋体"/>
          <w:b/>
          <w:bCs/>
          <w:color w:val="auto"/>
          <w:spacing w:val="-8"/>
          <w:sz w:val="24"/>
          <w:szCs w:val="24"/>
          <w:highlight w:val="none"/>
        </w:rPr>
        <w:t>9.3</w:t>
      </w:r>
      <w:r>
        <w:rPr>
          <w:rFonts w:ascii="宋体" w:hAnsi="宋体" w:eastAsia="宋体" w:cs="宋体"/>
          <w:color w:val="auto"/>
          <w:spacing w:val="34"/>
          <w:sz w:val="24"/>
          <w:szCs w:val="24"/>
          <w:highlight w:val="none"/>
        </w:rPr>
        <w:t xml:space="preserve"> </w:t>
      </w:r>
      <w:r>
        <w:rPr>
          <w:rFonts w:ascii="宋体" w:hAnsi="宋体" w:eastAsia="宋体" w:cs="宋体"/>
          <w:b/>
          <w:bCs/>
          <w:color w:val="auto"/>
          <w:spacing w:val="-8"/>
          <w:sz w:val="24"/>
          <w:szCs w:val="24"/>
          <w:highlight w:val="none"/>
        </w:rPr>
        <w:t>中期支付</w:t>
      </w:r>
    </w:p>
    <w:p w14:paraId="1BA651AC">
      <w:pPr>
        <w:spacing w:before="178" w:line="220" w:lineRule="auto"/>
        <w:ind w:left="448"/>
        <w:rPr>
          <w:rFonts w:ascii="宋体" w:hAnsi="宋体" w:eastAsia="宋体" w:cs="宋体"/>
          <w:color w:val="auto"/>
          <w:sz w:val="22"/>
          <w:szCs w:val="22"/>
          <w:highlight w:val="none"/>
        </w:rPr>
      </w:pPr>
      <w:r>
        <w:rPr>
          <w:rFonts w:ascii="宋体" w:hAnsi="宋体" w:eastAsia="宋体" w:cs="宋体"/>
          <w:color w:val="auto"/>
          <w:spacing w:val="1"/>
          <w:sz w:val="22"/>
          <w:szCs w:val="22"/>
          <w:highlight w:val="none"/>
        </w:rPr>
        <w:t>（在9.3.2</w:t>
      </w:r>
      <w:r>
        <w:rPr>
          <w:rFonts w:ascii="宋体" w:hAnsi="宋体" w:eastAsia="宋体" w:cs="宋体"/>
          <w:color w:val="auto"/>
          <w:spacing w:val="-48"/>
          <w:sz w:val="22"/>
          <w:szCs w:val="22"/>
          <w:highlight w:val="none"/>
        </w:rPr>
        <w:t xml:space="preserve"> </w:t>
      </w:r>
      <w:r>
        <w:rPr>
          <w:rFonts w:ascii="宋体" w:hAnsi="宋体" w:eastAsia="宋体" w:cs="宋体"/>
          <w:color w:val="auto"/>
          <w:spacing w:val="1"/>
          <w:sz w:val="22"/>
          <w:szCs w:val="22"/>
          <w:highlight w:val="none"/>
        </w:rPr>
        <w:t>款中增加多一种中期支付方式由招标人根据自身的管理</w:t>
      </w:r>
      <w:r>
        <w:rPr>
          <w:rFonts w:ascii="宋体" w:hAnsi="宋体" w:eastAsia="宋体" w:cs="宋体"/>
          <w:color w:val="auto"/>
          <w:sz w:val="22"/>
          <w:szCs w:val="22"/>
          <w:highlight w:val="none"/>
        </w:rPr>
        <w:t>模式选择）</w:t>
      </w:r>
    </w:p>
    <w:p w14:paraId="76813EE0">
      <w:pPr>
        <w:spacing w:before="170" w:line="219" w:lineRule="auto"/>
        <w:ind w:left="478"/>
        <w:rPr>
          <w:rFonts w:ascii="宋体" w:hAnsi="宋体" w:eastAsia="宋体" w:cs="宋体"/>
          <w:color w:val="auto"/>
          <w:sz w:val="22"/>
          <w:szCs w:val="22"/>
          <w:highlight w:val="none"/>
        </w:rPr>
      </w:pPr>
      <w:r>
        <w:rPr>
          <w:rFonts w:ascii="宋体" w:hAnsi="宋体" w:eastAsia="宋体" w:cs="宋体"/>
          <w:color w:val="auto"/>
          <w:spacing w:val="2"/>
          <w:sz w:val="22"/>
          <w:szCs w:val="22"/>
          <w:highlight w:val="none"/>
        </w:rPr>
        <w:t>将通用条款9.3.2</w:t>
      </w:r>
      <w:r>
        <w:rPr>
          <w:rFonts w:ascii="宋体" w:hAnsi="宋体" w:eastAsia="宋体" w:cs="宋体"/>
          <w:color w:val="auto"/>
          <w:spacing w:val="-43"/>
          <w:sz w:val="22"/>
          <w:szCs w:val="22"/>
          <w:highlight w:val="none"/>
        </w:rPr>
        <w:t xml:space="preserve"> </w:t>
      </w:r>
      <w:r>
        <w:rPr>
          <w:rFonts w:ascii="宋体" w:hAnsi="宋体" w:eastAsia="宋体" w:cs="宋体"/>
          <w:color w:val="auto"/>
          <w:spacing w:val="2"/>
          <w:sz w:val="22"/>
          <w:szCs w:val="22"/>
          <w:highlight w:val="none"/>
        </w:rPr>
        <w:t>项内容修改为：</w:t>
      </w:r>
    </w:p>
    <w:p w14:paraId="601F2541">
      <w:pPr>
        <w:spacing w:before="181" w:line="359" w:lineRule="auto"/>
        <w:ind w:left="8" w:right="2" w:firstLine="473"/>
        <w:rPr>
          <w:rFonts w:ascii="宋体" w:hAnsi="宋体" w:eastAsia="宋体" w:cs="宋体"/>
          <w:color w:val="auto"/>
          <w:sz w:val="22"/>
          <w:szCs w:val="22"/>
          <w:highlight w:val="none"/>
        </w:rPr>
      </w:pPr>
      <w:r>
        <w:rPr>
          <w:rFonts w:ascii="宋体" w:hAnsi="宋体" w:eastAsia="宋体" w:cs="宋体"/>
          <w:color w:val="auto"/>
          <w:spacing w:val="1"/>
          <w:sz w:val="22"/>
          <w:szCs w:val="22"/>
          <w:highlight w:val="none"/>
        </w:rPr>
        <w:t>9.3.2</w:t>
      </w:r>
      <w:r>
        <w:rPr>
          <w:rFonts w:ascii="宋体" w:hAnsi="宋体" w:eastAsia="宋体" w:cs="宋体"/>
          <w:color w:val="auto"/>
          <w:spacing w:val="-47"/>
          <w:sz w:val="22"/>
          <w:szCs w:val="22"/>
          <w:highlight w:val="none"/>
        </w:rPr>
        <w:t xml:space="preserve"> </w:t>
      </w:r>
      <w:r>
        <w:rPr>
          <w:rFonts w:ascii="宋体" w:hAnsi="宋体" w:eastAsia="宋体" w:cs="宋体"/>
          <w:color w:val="auto"/>
          <w:spacing w:val="1"/>
          <w:sz w:val="22"/>
          <w:szCs w:val="22"/>
          <w:highlight w:val="none"/>
        </w:rPr>
        <w:t>委托人将在收到监理人提交的监理服务费付款申请单后</w:t>
      </w:r>
      <w:r>
        <w:rPr>
          <w:rFonts w:ascii="宋体" w:hAnsi="宋体" w:eastAsia="宋体" w:cs="宋体"/>
          <w:color w:val="auto"/>
          <w:spacing w:val="-45"/>
          <w:sz w:val="22"/>
          <w:szCs w:val="22"/>
          <w:highlight w:val="none"/>
        </w:rPr>
        <w:t xml:space="preserve"> </w:t>
      </w:r>
      <w:r>
        <w:rPr>
          <w:rFonts w:ascii="宋体" w:hAnsi="宋体" w:eastAsia="宋体" w:cs="宋体"/>
          <w:color w:val="auto"/>
          <w:spacing w:val="1"/>
          <w:sz w:val="22"/>
          <w:szCs w:val="22"/>
          <w:highlight w:val="none"/>
        </w:rPr>
        <w:t xml:space="preserve">28 </w:t>
      </w:r>
      <w:r>
        <w:rPr>
          <w:rFonts w:ascii="宋体" w:hAnsi="宋体" w:eastAsia="宋体" w:cs="宋体"/>
          <w:color w:val="auto"/>
          <w:sz w:val="22"/>
          <w:szCs w:val="22"/>
          <w:highlight w:val="none"/>
        </w:rPr>
        <w:t>日内进行审核并</w:t>
      </w:r>
      <w:r>
        <w:rPr>
          <w:rFonts w:ascii="宋体" w:hAnsi="宋体" w:eastAsia="宋体" w:cs="宋体"/>
          <w:color w:val="auto"/>
          <w:spacing w:val="-2"/>
          <w:sz w:val="22"/>
          <w:szCs w:val="22"/>
          <w:highlight w:val="none"/>
        </w:rPr>
        <w:t>予以支付，支付原则如下：</w:t>
      </w:r>
    </w:p>
    <w:p w14:paraId="616D4A29">
      <w:pPr>
        <w:spacing w:line="219" w:lineRule="auto"/>
        <w:ind w:left="492"/>
        <w:rPr>
          <w:rFonts w:ascii="宋体" w:hAnsi="宋体" w:eastAsia="宋体" w:cs="宋体"/>
          <w:color w:val="auto"/>
          <w:sz w:val="22"/>
          <w:szCs w:val="22"/>
          <w:highlight w:val="none"/>
        </w:rPr>
      </w:pPr>
      <w:r>
        <w:rPr>
          <w:rFonts w:ascii="宋体" w:hAnsi="宋体" w:eastAsia="宋体" w:cs="宋体"/>
          <w:color w:val="auto"/>
          <w:spacing w:val="-1"/>
          <w:sz w:val="22"/>
          <w:szCs w:val="22"/>
          <w:highlight w:val="none"/>
        </w:rPr>
        <w:t>（1）施工阶段（含施工准备阶段）监理服务费的计量支付方法如下：</w:t>
      </w:r>
    </w:p>
    <w:p w14:paraId="3FD033C0">
      <w:pPr>
        <w:spacing w:before="185" w:line="360" w:lineRule="auto"/>
        <w:ind w:left="1" w:right="2" w:firstLine="480"/>
        <w:rPr>
          <w:rFonts w:ascii="宋体" w:hAnsi="宋体" w:eastAsia="宋体" w:cs="宋体"/>
          <w:color w:val="auto"/>
          <w:spacing w:val="-1"/>
          <w:sz w:val="22"/>
          <w:szCs w:val="22"/>
          <w:highlight w:val="none"/>
        </w:rPr>
      </w:pPr>
      <w:r>
        <w:rPr>
          <w:rFonts w:ascii="宋体" w:hAnsi="宋体" w:eastAsia="宋体" w:cs="宋体"/>
          <w:color w:val="auto"/>
          <w:spacing w:val="5"/>
          <w:sz w:val="22"/>
          <w:szCs w:val="22"/>
          <w:highlight w:val="none"/>
        </w:rPr>
        <w:t>上一季度的监理服务费将在下一季度的第一个月中旬内支付，监理人应在每季度最后一个月的28日前向委托人提交支付申请，委托人将根据支</w:t>
      </w:r>
      <w:r>
        <w:rPr>
          <w:rFonts w:ascii="宋体" w:hAnsi="宋体" w:eastAsia="宋体" w:cs="宋体"/>
          <w:color w:val="auto"/>
          <w:spacing w:val="4"/>
          <w:sz w:val="22"/>
          <w:szCs w:val="22"/>
          <w:highlight w:val="none"/>
        </w:rPr>
        <w:t>付申请进行审批支付，</w:t>
      </w:r>
      <w:r>
        <w:rPr>
          <w:rFonts w:ascii="宋体" w:hAnsi="宋体" w:eastAsia="宋体" w:cs="宋体"/>
          <w:color w:val="auto"/>
          <w:spacing w:val="-1"/>
          <w:sz w:val="22"/>
          <w:szCs w:val="22"/>
          <w:highlight w:val="none"/>
        </w:rPr>
        <w:t>支付申请包括以下栏目：</w:t>
      </w:r>
    </w:p>
    <w:p w14:paraId="2B2CE322">
      <w:pPr>
        <w:spacing w:before="185" w:line="360" w:lineRule="auto"/>
        <w:ind w:left="1" w:right="2" w:firstLine="480"/>
        <w:rPr>
          <w:rFonts w:ascii="宋体" w:hAnsi="宋体" w:eastAsia="宋体" w:cs="宋体"/>
          <w:color w:val="auto"/>
          <w:sz w:val="22"/>
          <w:szCs w:val="22"/>
          <w:highlight w:val="none"/>
        </w:rPr>
      </w:pPr>
      <w:r>
        <w:rPr>
          <w:rFonts w:ascii="宋体" w:hAnsi="宋体" w:eastAsia="宋体" w:cs="宋体"/>
          <w:color w:val="auto"/>
          <w:spacing w:val="-2"/>
          <w:sz w:val="22"/>
          <w:szCs w:val="22"/>
          <w:highlight w:val="none"/>
        </w:rPr>
        <w:t>a.正常服务的费用</w:t>
      </w:r>
    </w:p>
    <w:p w14:paraId="4567391D">
      <w:pPr>
        <w:spacing w:before="181" w:line="359" w:lineRule="auto"/>
        <w:ind w:left="8" w:right="2" w:firstLine="480"/>
        <w:rPr>
          <w:rFonts w:ascii="宋体" w:hAnsi="宋体" w:eastAsia="宋体" w:cs="宋体"/>
          <w:color w:val="auto"/>
          <w:sz w:val="22"/>
          <w:szCs w:val="22"/>
          <w:highlight w:val="none"/>
        </w:rPr>
      </w:pPr>
      <w:r>
        <w:rPr>
          <w:rFonts w:ascii="宋体" w:hAnsi="宋体" w:eastAsia="宋体" w:cs="宋体"/>
          <w:color w:val="auto"/>
          <w:spacing w:val="4"/>
          <w:sz w:val="22"/>
          <w:szCs w:val="22"/>
          <w:highlight w:val="none"/>
        </w:rPr>
        <w:t>计算式：“施工阶段（含施工准备阶段）监理服</w:t>
      </w:r>
      <w:r>
        <w:rPr>
          <w:rFonts w:ascii="宋体" w:hAnsi="宋体" w:eastAsia="宋体" w:cs="宋体"/>
          <w:color w:val="auto"/>
          <w:spacing w:val="3"/>
          <w:sz w:val="22"/>
          <w:szCs w:val="22"/>
          <w:highlight w:val="none"/>
        </w:rPr>
        <w:t>务费总额（扣除其他费用）</w:t>
      </w:r>
      <w:r>
        <w:rPr>
          <w:rFonts w:ascii="宋体" w:hAnsi="宋体" w:eastAsia="宋体" w:cs="宋体"/>
          <w:color w:val="auto"/>
          <w:spacing w:val="-65"/>
          <w:sz w:val="22"/>
          <w:szCs w:val="22"/>
          <w:highlight w:val="none"/>
        </w:rPr>
        <w:t xml:space="preserve"> </w:t>
      </w:r>
      <w:r>
        <w:rPr>
          <w:rFonts w:ascii="宋体" w:hAnsi="宋体" w:eastAsia="宋体" w:cs="宋体"/>
          <w:color w:val="auto"/>
          <w:spacing w:val="3"/>
          <w:sz w:val="22"/>
          <w:szCs w:val="22"/>
          <w:highlight w:val="none"/>
        </w:rPr>
        <w:t>×该</w:t>
      </w:r>
      <w:r>
        <w:rPr>
          <w:rFonts w:ascii="宋体" w:hAnsi="宋体" w:eastAsia="宋体" w:cs="宋体"/>
          <w:color w:val="auto"/>
          <w:sz w:val="22"/>
          <w:szCs w:val="22"/>
          <w:highlight w:val="none"/>
        </w:rPr>
        <w:t>季度承包人完成工作量费用总额（</w:t>
      </w:r>
      <w:r>
        <w:rPr>
          <w:rFonts w:ascii="宋体" w:hAnsi="宋体" w:eastAsia="宋体" w:cs="宋体"/>
          <w:color w:val="auto"/>
          <w:spacing w:val="-59"/>
          <w:sz w:val="22"/>
          <w:szCs w:val="22"/>
          <w:highlight w:val="none"/>
        </w:rPr>
        <w:t xml:space="preserve"> </w:t>
      </w:r>
      <w:r>
        <w:rPr>
          <w:rFonts w:ascii="宋体" w:hAnsi="宋体" w:eastAsia="宋体" w:cs="宋体"/>
          <w:color w:val="auto"/>
          <w:sz w:val="22"/>
          <w:szCs w:val="22"/>
          <w:highlight w:val="none"/>
          <w:u w:val="single" w:color="auto"/>
        </w:rPr>
        <w:t>扣除工程变更设计增减的费用和材料调差等费用</w:t>
      </w:r>
      <w:r>
        <w:rPr>
          <w:rFonts w:ascii="宋体" w:hAnsi="宋体" w:eastAsia="宋体" w:cs="宋体"/>
          <w:color w:val="auto"/>
          <w:sz w:val="22"/>
          <w:szCs w:val="22"/>
          <w:highlight w:val="none"/>
        </w:rPr>
        <w:t>）/</w:t>
      </w:r>
      <w:r>
        <w:rPr>
          <w:rFonts w:ascii="宋体" w:hAnsi="宋体" w:eastAsia="宋体" w:cs="宋体"/>
          <w:color w:val="auto"/>
          <w:spacing w:val="-1"/>
          <w:sz w:val="22"/>
          <w:szCs w:val="22"/>
          <w:highlight w:val="none"/>
        </w:rPr>
        <w:t>承包人合同价总额（不包括暂列金</w:t>
      </w:r>
      <w:r>
        <w:rPr>
          <w:rFonts w:ascii="宋体" w:hAnsi="宋体" w:eastAsia="宋体" w:cs="宋体"/>
          <w:color w:val="auto"/>
          <w:spacing w:val="2"/>
          <w:sz w:val="22"/>
          <w:szCs w:val="22"/>
          <w:highlight w:val="none"/>
        </w:rPr>
        <w:t>）；</w:t>
      </w:r>
    </w:p>
    <w:p w14:paraId="784E8036">
      <w:pPr>
        <w:spacing w:line="218" w:lineRule="auto"/>
        <w:ind w:left="484"/>
        <w:rPr>
          <w:rFonts w:ascii="宋体" w:hAnsi="宋体" w:eastAsia="宋体" w:cs="宋体"/>
          <w:color w:val="auto"/>
          <w:sz w:val="22"/>
          <w:szCs w:val="22"/>
          <w:highlight w:val="none"/>
        </w:rPr>
      </w:pPr>
      <w:r>
        <w:rPr>
          <w:rFonts w:ascii="宋体" w:hAnsi="宋体" w:eastAsia="宋体" w:cs="宋体"/>
          <w:color w:val="auto"/>
          <w:sz w:val="22"/>
          <w:szCs w:val="22"/>
          <w:highlight w:val="none"/>
        </w:rPr>
        <w:t>b.按本项目专用合同条款的规定本季应得的奖</w:t>
      </w:r>
      <w:r>
        <w:rPr>
          <w:rFonts w:ascii="宋体" w:hAnsi="宋体" w:eastAsia="宋体" w:cs="宋体"/>
          <w:color w:val="auto"/>
          <w:spacing w:val="-1"/>
          <w:sz w:val="22"/>
          <w:szCs w:val="22"/>
          <w:highlight w:val="none"/>
        </w:rPr>
        <w:t>励及证明资料；</w:t>
      </w:r>
    </w:p>
    <w:p w14:paraId="0B0C85EE">
      <w:pPr>
        <w:spacing w:before="181" w:line="219" w:lineRule="auto"/>
        <w:ind w:left="493"/>
        <w:rPr>
          <w:rFonts w:ascii="宋体" w:hAnsi="宋体" w:eastAsia="宋体" w:cs="宋体"/>
          <w:color w:val="auto"/>
          <w:sz w:val="22"/>
          <w:szCs w:val="22"/>
          <w:highlight w:val="none"/>
        </w:rPr>
      </w:pPr>
      <w:r>
        <w:rPr>
          <w:rFonts w:ascii="宋体" w:hAnsi="宋体" w:eastAsia="宋体" w:cs="宋体"/>
          <w:color w:val="auto"/>
          <w:spacing w:val="-1"/>
          <w:sz w:val="22"/>
          <w:szCs w:val="22"/>
          <w:highlight w:val="none"/>
        </w:rPr>
        <w:t>c.按本项目专用合同条款规定本季应得的其他费用；</w:t>
      </w:r>
    </w:p>
    <w:p w14:paraId="7F3A8EB3">
      <w:pPr>
        <w:spacing w:before="183" w:line="219" w:lineRule="auto"/>
        <w:ind w:left="493"/>
        <w:rPr>
          <w:rFonts w:ascii="宋体" w:hAnsi="宋体" w:eastAsia="宋体" w:cs="宋体"/>
          <w:color w:val="auto"/>
          <w:spacing w:val="-1"/>
          <w:sz w:val="22"/>
          <w:szCs w:val="22"/>
          <w:highlight w:val="none"/>
        </w:rPr>
      </w:pPr>
      <w:r>
        <w:rPr>
          <w:rFonts w:ascii="宋体" w:hAnsi="宋体" w:eastAsia="宋体" w:cs="宋体"/>
          <w:color w:val="auto"/>
          <w:spacing w:val="-1"/>
          <w:sz w:val="22"/>
          <w:szCs w:val="22"/>
          <w:highlight w:val="none"/>
        </w:rPr>
        <w:t>d.按本项目专用合同条款的规定本季应扣除的罚款；</w:t>
      </w:r>
    </w:p>
    <w:p w14:paraId="55ECF852">
      <w:pPr>
        <w:spacing w:before="44" w:line="360" w:lineRule="auto"/>
        <w:ind w:left="10" w:leftChars="0" w:firstLine="440" w:firstLineChars="200"/>
        <w:rPr>
          <w:rFonts w:ascii="宋体" w:hAnsi="宋体" w:eastAsia="宋体" w:cs="宋体"/>
          <w:color w:val="auto"/>
          <w:sz w:val="18"/>
          <w:szCs w:val="18"/>
          <w:highlight w:val="none"/>
        </w:rPr>
      </w:pPr>
      <w:r>
        <w:rPr>
          <w:rFonts w:hint="eastAsia" w:ascii="宋体" w:hAnsi="宋体" w:eastAsia="宋体" w:cs="宋体"/>
          <w:color w:val="auto"/>
          <w:sz w:val="22"/>
          <w:szCs w:val="22"/>
          <w:highlight w:val="none"/>
          <w:lang w:val="en-US" w:eastAsia="zh-CN"/>
        </w:rPr>
        <w:t xml:space="preserve">9.3.4 </w:t>
      </w:r>
      <w:r>
        <w:rPr>
          <w:rFonts w:hint="eastAsia" w:ascii="宋体" w:hAnsi="宋体" w:eastAsia="宋体" w:cs="宋体"/>
          <w:color w:val="auto"/>
          <w:sz w:val="22"/>
          <w:szCs w:val="22"/>
          <w:highlight w:val="none"/>
        </w:rPr>
        <w:t>施工期间，按照施工完成的形象进度所占比例，</w:t>
      </w:r>
      <w:r>
        <w:rPr>
          <w:rFonts w:hint="eastAsia" w:ascii="宋体" w:hAnsi="宋体" w:eastAsia="宋体" w:cs="宋体"/>
          <w:color w:val="auto"/>
          <w:sz w:val="22"/>
          <w:szCs w:val="22"/>
          <w:highlight w:val="none"/>
          <w:lang w:val="en-US" w:eastAsia="zh-CN"/>
        </w:rPr>
        <w:t>委托人</w:t>
      </w:r>
      <w:r>
        <w:rPr>
          <w:rFonts w:hint="eastAsia" w:ascii="宋体" w:hAnsi="宋体" w:eastAsia="宋体" w:cs="宋体"/>
          <w:color w:val="auto"/>
          <w:sz w:val="22"/>
          <w:szCs w:val="22"/>
          <w:highlight w:val="none"/>
        </w:rPr>
        <w:t>应支付相应比例的监理费，但未交工验收前不得超过合同价的80%</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工程</w:t>
      </w:r>
      <w:r>
        <w:rPr>
          <w:rFonts w:hint="eastAsia" w:ascii="宋体" w:hAnsi="宋体" w:eastAsia="宋体" w:cs="宋体"/>
          <w:color w:val="auto"/>
          <w:sz w:val="22"/>
          <w:szCs w:val="22"/>
          <w:highlight w:val="none"/>
          <w:lang w:val="en-US" w:eastAsia="zh-CN"/>
        </w:rPr>
        <w:t>交（竣）工</w:t>
      </w:r>
      <w:r>
        <w:rPr>
          <w:rFonts w:hint="eastAsia" w:ascii="宋体" w:hAnsi="宋体" w:eastAsia="宋体" w:cs="宋体"/>
          <w:color w:val="auto"/>
          <w:sz w:val="22"/>
          <w:szCs w:val="22"/>
          <w:highlight w:val="none"/>
        </w:rPr>
        <w:t>验收合格后，</w:t>
      </w:r>
      <w:r>
        <w:rPr>
          <w:rFonts w:hint="eastAsia" w:ascii="宋体" w:hAnsi="宋体" w:eastAsia="宋体" w:cs="宋体"/>
          <w:color w:val="auto"/>
          <w:sz w:val="22"/>
          <w:szCs w:val="22"/>
          <w:highlight w:val="none"/>
          <w:lang w:val="en-US" w:eastAsia="zh-CN"/>
        </w:rPr>
        <w:t>委托人</w:t>
      </w:r>
      <w:r>
        <w:rPr>
          <w:rFonts w:hint="eastAsia" w:ascii="宋体" w:hAnsi="宋体" w:eastAsia="宋体" w:cs="宋体"/>
          <w:color w:val="auto"/>
          <w:sz w:val="22"/>
          <w:szCs w:val="22"/>
          <w:highlight w:val="none"/>
        </w:rPr>
        <w:t>应支付监理费用至合同价的100%</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lang w:val="en-US" w:eastAsia="zh-CN"/>
        </w:rPr>
        <w:t>委托人</w:t>
      </w:r>
      <w:r>
        <w:rPr>
          <w:rFonts w:hint="eastAsia" w:ascii="宋体" w:hAnsi="宋体" w:eastAsia="宋体" w:cs="宋体"/>
          <w:color w:val="auto"/>
          <w:sz w:val="22"/>
          <w:szCs w:val="22"/>
          <w:highlight w:val="none"/>
          <w:lang w:eastAsia="zh-CN"/>
        </w:rPr>
        <w:t>及监理人</w:t>
      </w:r>
      <w:r>
        <w:rPr>
          <w:rFonts w:hint="eastAsia" w:ascii="宋体" w:hAnsi="宋体" w:eastAsia="宋体" w:cs="宋体"/>
          <w:color w:val="auto"/>
          <w:sz w:val="22"/>
          <w:szCs w:val="22"/>
          <w:highlight w:val="none"/>
        </w:rPr>
        <w:t>双方一致确认，本合同项下的款项的支付均以县财政资金落实到位为前提。</w:t>
      </w:r>
      <w:r>
        <w:rPr>
          <w:rFonts w:hint="eastAsia" w:ascii="宋体" w:hAnsi="宋体" w:eastAsia="宋体" w:cs="宋体"/>
          <w:color w:val="auto"/>
          <w:sz w:val="22"/>
          <w:szCs w:val="22"/>
          <w:highlight w:val="none"/>
          <w:lang w:val="en-US" w:eastAsia="zh-CN"/>
        </w:rPr>
        <w:t>委托人</w:t>
      </w:r>
      <w:r>
        <w:rPr>
          <w:rFonts w:hint="eastAsia" w:ascii="宋体" w:hAnsi="宋体" w:eastAsia="宋体" w:cs="宋体"/>
          <w:color w:val="auto"/>
          <w:sz w:val="22"/>
          <w:szCs w:val="22"/>
          <w:highlight w:val="none"/>
        </w:rPr>
        <w:t>在县财政资金落实到位，并收到</w:t>
      </w:r>
      <w:r>
        <w:rPr>
          <w:rFonts w:hint="eastAsia" w:ascii="宋体" w:hAnsi="宋体" w:eastAsia="宋体" w:cs="宋体"/>
          <w:color w:val="auto"/>
          <w:sz w:val="22"/>
          <w:szCs w:val="22"/>
          <w:highlight w:val="none"/>
          <w:lang w:eastAsia="zh-CN"/>
        </w:rPr>
        <w:t>监理人</w:t>
      </w:r>
      <w:r>
        <w:rPr>
          <w:rFonts w:hint="eastAsia" w:ascii="宋体" w:hAnsi="宋体" w:eastAsia="宋体" w:cs="宋体"/>
          <w:color w:val="auto"/>
          <w:sz w:val="22"/>
          <w:szCs w:val="22"/>
          <w:highlight w:val="none"/>
        </w:rPr>
        <w:t>请款资料后，60日内完成财务审核并支付当期合同价款，</w:t>
      </w:r>
      <w:r>
        <w:rPr>
          <w:rFonts w:hint="eastAsia" w:ascii="宋体" w:hAnsi="宋体" w:eastAsia="宋体" w:cs="宋体"/>
          <w:color w:val="auto"/>
          <w:sz w:val="22"/>
          <w:szCs w:val="22"/>
          <w:highlight w:val="none"/>
          <w:lang w:eastAsia="zh-CN"/>
        </w:rPr>
        <w:t>监理人</w:t>
      </w:r>
      <w:r>
        <w:rPr>
          <w:rFonts w:hint="eastAsia" w:ascii="宋体" w:hAnsi="宋体" w:eastAsia="宋体" w:cs="宋体"/>
          <w:color w:val="auto"/>
          <w:sz w:val="22"/>
          <w:szCs w:val="22"/>
          <w:highlight w:val="none"/>
        </w:rPr>
        <w:t>需提供等额合规发票，且符合国家税务监管要求。因县财政资金拨付延迟导致</w:t>
      </w:r>
      <w:r>
        <w:rPr>
          <w:rFonts w:hint="eastAsia" w:ascii="宋体" w:hAnsi="宋体" w:eastAsia="宋体" w:cs="宋体"/>
          <w:color w:val="auto"/>
          <w:sz w:val="22"/>
          <w:szCs w:val="22"/>
          <w:highlight w:val="none"/>
          <w:lang w:val="en-US" w:eastAsia="zh-CN"/>
        </w:rPr>
        <w:t>委托人</w:t>
      </w:r>
      <w:r>
        <w:rPr>
          <w:rFonts w:hint="eastAsia" w:ascii="宋体" w:hAnsi="宋体" w:eastAsia="宋体" w:cs="宋体"/>
          <w:color w:val="auto"/>
          <w:sz w:val="22"/>
          <w:szCs w:val="22"/>
          <w:highlight w:val="none"/>
        </w:rPr>
        <w:t>未能按约定期限完成支付的，该情形视为不可抗力因素，</w:t>
      </w:r>
      <w:r>
        <w:rPr>
          <w:rFonts w:hint="eastAsia" w:ascii="宋体" w:hAnsi="宋体" w:eastAsia="宋体" w:cs="宋体"/>
          <w:color w:val="auto"/>
          <w:sz w:val="22"/>
          <w:szCs w:val="22"/>
          <w:highlight w:val="none"/>
          <w:lang w:eastAsia="zh-CN"/>
        </w:rPr>
        <w:t>发包人</w:t>
      </w:r>
      <w:r>
        <w:rPr>
          <w:rFonts w:hint="eastAsia" w:ascii="宋体" w:hAnsi="宋体" w:eastAsia="宋体" w:cs="宋体"/>
          <w:color w:val="auto"/>
          <w:sz w:val="22"/>
          <w:szCs w:val="22"/>
          <w:highlight w:val="none"/>
        </w:rPr>
        <w:t>无需承担逾期违约责任</w:t>
      </w:r>
      <w:r>
        <w:rPr>
          <w:rFonts w:hint="eastAsia" w:ascii="宋体" w:hAnsi="宋体" w:eastAsia="宋体" w:cs="宋体"/>
          <w:color w:val="auto"/>
          <w:sz w:val="22"/>
          <w:szCs w:val="22"/>
          <w:highlight w:val="none"/>
          <w:lang w:eastAsia="zh-CN"/>
        </w:rPr>
        <w:t>。</w:t>
      </w:r>
    </w:p>
    <w:p w14:paraId="7A4DBA2A">
      <w:pPr>
        <w:spacing w:before="44" w:line="360" w:lineRule="auto"/>
        <w:ind w:left="10" w:leftChars="0" w:firstLine="440" w:firstLineChars="200"/>
        <w:rPr>
          <w:rFonts w:ascii="宋体" w:hAnsi="宋体" w:eastAsia="宋体" w:cs="宋体"/>
          <w:color w:val="auto"/>
          <w:sz w:val="22"/>
          <w:szCs w:val="22"/>
          <w:highlight w:val="none"/>
        </w:rPr>
      </w:pPr>
      <w:r>
        <w:rPr>
          <w:rFonts w:ascii="宋体" w:hAnsi="宋体" w:eastAsia="宋体" w:cs="宋体"/>
          <w:color w:val="auto"/>
          <w:sz w:val="22"/>
          <w:szCs w:val="22"/>
          <w:highlight w:val="none"/>
        </w:rPr>
        <w:t>9.3.5 最终结清付款涉及政府投资资金的，支付规定如下：</w:t>
      </w:r>
      <w:r>
        <w:rPr>
          <w:rFonts w:hint="eastAsia" w:ascii="宋体" w:hAnsi="宋体" w:eastAsia="宋体" w:cs="宋体"/>
          <w:color w:val="auto"/>
          <w:sz w:val="22"/>
          <w:szCs w:val="22"/>
          <w:highlight w:val="none"/>
          <w:u w:val="single" w:color="auto"/>
          <w:lang w:eastAsia="zh-CN"/>
        </w:rPr>
        <w:t>按本专业条款缺陷责任期满及竣工验收支付规定执行</w:t>
      </w:r>
      <w:r>
        <w:rPr>
          <w:rFonts w:ascii="宋体" w:hAnsi="宋体" w:eastAsia="宋体" w:cs="宋体"/>
          <w:color w:val="auto"/>
          <w:spacing w:val="-1"/>
          <w:sz w:val="22"/>
          <w:szCs w:val="22"/>
          <w:highlight w:val="none"/>
          <w:u w:val="single" w:color="auto"/>
        </w:rPr>
        <w:t xml:space="preserve"> </w:t>
      </w:r>
      <w:r>
        <w:rPr>
          <w:rFonts w:ascii="宋体" w:hAnsi="宋体" w:eastAsia="宋体" w:cs="宋体"/>
          <w:color w:val="auto"/>
          <w:spacing w:val="-1"/>
          <w:sz w:val="22"/>
          <w:szCs w:val="22"/>
          <w:highlight w:val="none"/>
        </w:rPr>
        <w:t>。</w:t>
      </w:r>
    </w:p>
    <w:p w14:paraId="56679E9A">
      <w:pPr>
        <w:spacing w:line="331" w:lineRule="auto"/>
        <w:rPr>
          <w:rFonts w:ascii="Arial"/>
          <w:color w:val="auto"/>
          <w:sz w:val="21"/>
          <w:highlight w:val="none"/>
        </w:rPr>
      </w:pPr>
    </w:p>
    <w:p w14:paraId="27A9664F">
      <w:pPr>
        <w:spacing w:before="78" w:line="219" w:lineRule="auto"/>
        <w:ind w:left="9"/>
        <w:rPr>
          <w:rFonts w:ascii="宋体" w:hAnsi="宋体" w:eastAsia="宋体" w:cs="宋体"/>
          <w:color w:val="auto"/>
          <w:sz w:val="24"/>
          <w:szCs w:val="24"/>
          <w:highlight w:val="none"/>
        </w:rPr>
      </w:pPr>
      <w:r>
        <w:rPr>
          <w:rFonts w:ascii="宋体" w:hAnsi="宋体" w:eastAsia="宋体" w:cs="宋体"/>
          <w:b/>
          <w:bCs/>
          <w:color w:val="auto"/>
          <w:spacing w:val="-6"/>
          <w:sz w:val="24"/>
          <w:szCs w:val="24"/>
          <w:highlight w:val="none"/>
        </w:rPr>
        <w:t>9.5</w:t>
      </w:r>
      <w:r>
        <w:rPr>
          <w:rFonts w:ascii="宋体" w:hAnsi="宋体" w:eastAsia="宋体" w:cs="宋体"/>
          <w:color w:val="auto"/>
          <w:spacing w:val="20"/>
          <w:sz w:val="24"/>
          <w:szCs w:val="24"/>
          <w:highlight w:val="none"/>
        </w:rPr>
        <w:t xml:space="preserve"> </w:t>
      </w:r>
      <w:r>
        <w:rPr>
          <w:rFonts w:ascii="宋体" w:hAnsi="宋体" w:eastAsia="宋体" w:cs="宋体"/>
          <w:b/>
          <w:bCs/>
          <w:color w:val="auto"/>
          <w:spacing w:val="-6"/>
          <w:sz w:val="24"/>
          <w:szCs w:val="24"/>
          <w:highlight w:val="none"/>
        </w:rPr>
        <w:t>暂列金额</w:t>
      </w:r>
    </w:p>
    <w:p w14:paraId="3C9A0195">
      <w:pPr>
        <w:spacing w:before="144" w:line="393" w:lineRule="auto"/>
        <w:ind w:left="450"/>
        <w:rPr>
          <w:rFonts w:ascii="宋体" w:hAnsi="宋体" w:eastAsia="宋体" w:cs="宋体"/>
          <w:b/>
          <w:bCs/>
          <w:color w:val="auto"/>
          <w:spacing w:val="-10"/>
          <w:sz w:val="24"/>
          <w:szCs w:val="24"/>
          <w:highlight w:val="none"/>
        </w:rPr>
      </w:pPr>
      <w:r>
        <w:rPr>
          <w:rFonts w:ascii="宋体" w:hAnsi="宋体" w:eastAsia="宋体" w:cs="宋体"/>
          <w:color w:val="auto"/>
          <w:spacing w:val="-2"/>
          <w:sz w:val="22"/>
          <w:szCs w:val="22"/>
          <w:highlight w:val="none"/>
        </w:rPr>
        <w:t>本合同的暂列金额为监理服务费的</w:t>
      </w:r>
      <w:r>
        <w:rPr>
          <w:rFonts w:ascii="宋体" w:hAnsi="宋体" w:eastAsia="宋体" w:cs="宋体"/>
          <w:color w:val="auto"/>
          <w:spacing w:val="-2"/>
          <w:sz w:val="22"/>
          <w:szCs w:val="22"/>
          <w:highlight w:val="none"/>
          <w:u w:val="single" w:color="auto"/>
        </w:rPr>
        <w:t xml:space="preserve"> </w:t>
      </w:r>
      <w:r>
        <w:rPr>
          <w:rFonts w:hint="eastAsia" w:ascii="宋体" w:hAnsi="宋体" w:eastAsia="宋体" w:cs="宋体"/>
          <w:color w:val="auto"/>
          <w:spacing w:val="-2"/>
          <w:sz w:val="22"/>
          <w:szCs w:val="22"/>
          <w:highlight w:val="none"/>
          <w:u w:val="single" w:color="auto"/>
          <w:lang w:val="en-US" w:eastAsia="zh-CN"/>
        </w:rPr>
        <w:t>/</w:t>
      </w:r>
      <w:r>
        <w:rPr>
          <w:rFonts w:ascii="宋体" w:hAnsi="宋体" w:eastAsia="宋体" w:cs="宋体"/>
          <w:color w:val="auto"/>
          <w:spacing w:val="-2"/>
          <w:sz w:val="22"/>
          <w:szCs w:val="22"/>
          <w:highlight w:val="none"/>
          <w:u w:val="single" w:color="auto"/>
        </w:rPr>
        <w:t xml:space="preserve">  </w:t>
      </w:r>
      <w:r>
        <w:rPr>
          <w:rFonts w:ascii="宋体" w:hAnsi="宋体" w:eastAsia="宋体" w:cs="宋体"/>
          <w:color w:val="auto"/>
          <w:spacing w:val="-69"/>
          <w:sz w:val="22"/>
          <w:szCs w:val="22"/>
          <w:highlight w:val="none"/>
        </w:rPr>
        <w:t xml:space="preserve"> </w:t>
      </w:r>
      <w:r>
        <w:rPr>
          <w:rFonts w:ascii="宋体" w:hAnsi="宋体" w:eastAsia="宋体" w:cs="宋体"/>
          <w:color w:val="auto"/>
          <w:spacing w:val="-2"/>
          <w:sz w:val="22"/>
          <w:szCs w:val="22"/>
          <w:highlight w:val="none"/>
        </w:rPr>
        <w:t>％。</w:t>
      </w:r>
    </w:p>
    <w:p w14:paraId="38B2E965">
      <w:pPr>
        <w:spacing w:before="78" w:line="224" w:lineRule="auto"/>
        <w:ind w:left="26"/>
        <w:outlineLvl w:val="1"/>
        <w:rPr>
          <w:rFonts w:ascii="宋体" w:hAnsi="宋体" w:eastAsia="宋体" w:cs="宋体"/>
          <w:color w:val="auto"/>
          <w:sz w:val="24"/>
          <w:szCs w:val="24"/>
          <w:highlight w:val="none"/>
        </w:rPr>
      </w:pPr>
      <w:bookmarkStart w:id="342" w:name="_Toc1793"/>
      <w:bookmarkStart w:id="343" w:name="_Toc8594"/>
      <w:bookmarkStart w:id="344" w:name="_Toc13079"/>
      <w:r>
        <w:rPr>
          <w:rFonts w:ascii="宋体" w:hAnsi="宋体" w:eastAsia="宋体" w:cs="宋体"/>
          <w:b/>
          <w:bCs/>
          <w:color w:val="auto"/>
          <w:spacing w:val="-10"/>
          <w:sz w:val="24"/>
          <w:szCs w:val="24"/>
          <w:highlight w:val="none"/>
        </w:rPr>
        <w:t>11.</w:t>
      </w:r>
      <w:r>
        <w:rPr>
          <w:rFonts w:ascii="宋体" w:hAnsi="宋体" w:eastAsia="宋体" w:cs="宋体"/>
          <w:color w:val="auto"/>
          <w:spacing w:val="14"/>
          <w:sz w:val="24"/>
          <w:szCs w:val="24"/>
          <w:highlight w:val="none"/>
        </w:rPr>
        <w:t xml:space="preserve"> </w:t>
      </w:r>
      <w:r>
        <w:rPr>
          <w:rFonts w:ascii="宋体" w:hAnsi="宋体" w:eastAsia="宋体" w:cs="宋体"/>
          <w:b/>
          <w:bCs/>
          <w:color w:val="auto"/>
          <w:spacing w:val="-10"/>
          <w:sz w:val="24"/>
          <w:szCs w:val="24"/>
          <w:highlight w:val="none"/>
        </w:rPr>
        <w:t>违约</w:t>
      </w:r>
      <w:bookmarkEnd w:id="342"/>
      <w:bookmarkEnd w:id="343"/>
      <w:bookmarkEnd w:id="344"/>
    </w:p>
    <w:p w14:paraId="1D8A7679">
      <w:pPr>
        <w:spacing w:before="285" w:line="222" w:lineRule="auto"/>
        <w:ind w:left="26"/>
        <w:rPr>
          <w:rFonts w:ascii="宋体" w:hAnsi="宋体" w:eastAsia="宋体" w:cs="宋体"/>
          <w:color w:val="auto"/>
          <w:sz w:val="24"/>
          <w:szCs w:val="24"/>
          <w:highlight w:val="none"/>
        </w:rPr>
      </w:pPr>
      <w:r>
        <w:rPr>
          <w:rFonts w:ascii="宋体" w:hAnsi="宋体" w:eastAsia="宋体" w:cs="宋体"/>
          <w:b/>
          <w:bCs/>
          <w:color w:val="auto"/>
          <w:spacing w:val="-5"/>
          <w:sz w:val="24"/>
          <w:szCs w:val="24"/>
          <w:highlight w:val="none"/>
        </w:rPr>
        <w:t>11.1</w:t>
      </w:r>
      <w:r>
        <w:rPr>
          <w:rFonts w:ascii="宋体" w:hAnsi="宋体" w:eastAsia="宋体" w:cs="宋体"/>
          <w:color w:val="auto"/>
          <w:spacing w:val="-5"/>
          <w:sz w:val="24"/>
          <w:szCs w:val="24"/>
          <w:highlight w:val="none"/>
        </w:rPr>
        <w:t xml:space="preserve"> </w:t>
      </w:r>
      <w:r>
        <w:rPr>
          <w:rFonts w:ascii="宋体" w:hAnsi="宋体" w:eastAsia="宋体" w:cs="宋体"/>
          <w:b/>
          <w:bCs/>
          <w:color w:val="auto"/>
          <w:spacing w:val="-5"/>
          <w:sz w:val="24"/>
          <w:szCs w:val="24"/>
          <w:highlight w:val="none"/>
        </w:rPr>
        <w:t>监理人违约</w:t>
      </w:r>
    </w:p>
    <w:p w14:paraId="2BF3E0ED">
      <w:pPr>
        <w:spacing w:before="173" w:line="221" w:lineRule="auto"/>
        <w:ind w:left="465"/>
        <w:rPr>
          <w:rFonts w:ascii="宋体" w:hAnsi="宋体" w:eastAsia="宋体" w:cs="宋体"/>
          <w:color w:val="auto"/>
          <w:sz w:val="22"/>
          <w:szCs w:val="22"/>
          <w:highlight w:val="none"/>
        </w:rPr>
      </w:pPr>
      <w:r>
        <w:rPr>
          <w:rFonts w:ascii="宋体" w:hAnsi="宋体" w:eastAsia="宋体" w:cs="宋体"/>
          <w:color w:val="auto"/>
          <w:spacing w:val="-3"/>
          <w:sz w:val="22"/>
          <w:szCs w:val="22"/>
          <w:highlight w:val="none"/>
        </w:rPr>
        <w:t>11.1.2</w:t>
      </w:r>
      <w:r>
        <w:rPr>
          <w:rFonts w:ascii="宋体" w:hAnsi="宋体" w:eastAsia="宋体" w:cs="宋体"/>
          <w:color w:val="auto"/>
          <w:spacing w:val="-43"/>
          <w:sz w:val="22"/>
          <w:szCs w:val="22"/>
          <w:highlight w:val="none"/>
        </w:rPr>
        <w:t xml:space="preserve"> </w:t>
      </w:r>
      <w:r>
        <w:rPr>
          <w:rFonts w:ascii="宋体" w:hAnsi="宋体" w:eastAsia="宋体" w:cs="宋体"/>
          <w:color w:val="auto"/>
          <w:spacing w:val="-3"/>
          <w:sz w:val="22"/>
          <w:szCs w:val="22"/>
          <w:highlight w:val="none"/>
        </w:rPr>
        <w:t>款细化如下：</w:t>
      </w:r>
    </w:p>
    <w:p w14:paraId="4542B9F8">
      <w:pPr>
        <w:spacing w:before="167" w:line="220" w:lineRule="auto"/>
        <w:ind w:left="465"/>
        <w:rPr>
          <w:rFonts w:ascii="宋体" w:hAnsi="宋体" w:eastAsia="宋体" w:cs="宋体"/>
          <w:color w:val="auto"/>
          <w:sz w:val="22"/>
          <w:szCs w:val="22"/>
          <w:highlight w:val="none"/>
        </w:rPr>
      </w:pPr>
      <w:r>
        <w:rPr>
          <w:rFonts w:ascii="宋体" w:hAnsi="宋体" w:eastAsia="宋体" w:cs="宋体"/>
          <w:color w:val="auto"/>
          <w:spacing w:val="-1"/>
          <w:sz w:val="22"/>
          <w:szCs w:val="22"/>
          <w:highlight w:val="none"/>
        </w:rPr>
        <w:t>11.1.2 监理人发生违约情况时，委托人有权向监理人课以违约金，具体约定如下：</w:t>
      </w:r>
    </w:p>
    <w:p w14:paraId="74293906">
      <w:pPr>
        <w:rPr>
          <w:rFonts w:ascii="Arial"/>
          <w:color w:val="auto"/>
          <w:sz w:val="21"/>
          <w:highlight w:val="none"/>
        </w:rPr>
      </w:pPr>
    </w:p>
    <w:p w14:paraId="602F4A16">
      <w:pPr>
        <w:spacing w:before="92" w:line="234" w:lineRule="auto"/>
        <w:ind w:left="3212"/>
        <w:rPr>
          <w:rFonts w:ascii="宋体" w:hAnsi="宋体" w:eastAsia="宋体" w:cs="宋体"/>
          <w:color w:val="auto"/>
          <w:sz w:val="13"/>
          <w:szCs w:val="13"/>
          <w:highlight w:val="none"/>
        </w:rPr>
      </w:pPr>
      <w:r>
        <w:rPr>
          <w:rFonts w:ascii="宋体" w:hAnsi="宋体" w:eastAsia="宋体" w:cs="宋体"/>
          <w:b/>
          <w:bCs/>
          <w:color w:val="auto"/>
          <w:spacing w:val="-3"/>
          <w:sz w:val="28"/>
          <w:szCs w:val="28"/>
          <w:highlight w:val="none"/>
        </w:rPr>
        <w:t>监理人违约金一览表</w:t>
      </w:r>
      <w:r>
        <w:rPr>
          <w:color w:val="auto"/>
          <w:highlight w:val="none"/>
        </w:rPr>
        <w:fldChar w:fldCharType="begin"/>
      </w:r>
      <w:r>
        <w:rPr>
          <w:color w:val="auto"/>
          <w:highlight w:val="none"/>
        </w:rPr>
        <w:instrText xml:space="preserve"> HYPERLINK \l "bookmark148" </w:instrText>
      </w:r>
      <w:r>
        <w:rPr>
          <w:color w:val="auto"/>
          <w:highlight w:val="none"/>
        </w:rPr>
        <w:fldChar w:fldCharType="separate"/>
      </w:r>
      <w:r>
        <w:rPr>
          <w:rFonts w:ascii="宋体" w:hAnsi="宋体" w:eastAsia="宋体" w:cs="宋体"/>
          <w:b/>
          <w:bCs/>
          <w:color w:val="auto"/>
          <w:spacing w:val="-3"/>
          <w:position w:val="13"/>
          <w:sz w:val="13"/>
          <w:szCs w:val="13"/>
          <w:highlight w:val="none"/>
        </w:rPr>
        <w:t>②</w:t>
      </w:r>
      <w:r>
        <w:rPr>
          <w:rFonts w:ascii="宋体" w:hAnsi="宋体" w:eastAsia="宋体" w:cs="宋体"/>
          <w:b/>
          <w:bCs/>
          <w:color w:val="auto"/>
          <w:spacing w:val="-3"/>
          <w:position w:val="13"/>
          <w:sz w:val="13"/>
          <w:szCs w:val="13"/>
          <w:highlight w:val="none"/>
        </w:rPr>
        <w:fldChar w:fldCharType="end"/>
      </w:r>
    </w:p>
    <w:p w14:paraId="573EDE8F">
      <w:pPr>
        <w:spacing w:line="229" w:lineRule="exact"/>
        <w:rPr>
          <w:color w:val="auto"/>
          <w:highlight w:val="none"/>
        </w:rPr>
      </w:pPr>
    </w:p>
    <w:tbl>
      <w:tblPr>
        <w:tblStyle w:val="17"/>
        <w:tblW w:w="8895" w:type="dxa"/>
        <w:tblInd w:w="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10"/>
        <w:gridCol w:w="845"/>
        <w:gridCol w:w="7440"/>
      </w:tblGrid>
      <w:tr w14:paraId="276D7A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2" w:hRule="atLeast"/>
        </w:trPr>
        <w:tc>
          <w:tcPr>
            <w:tcW w:w="610" w:type="dxa"/>
            <w:textDirection w:val="tbRlV"/>
            <w:vAlign w:val="top"/>
          </w:tcPr>
          <w:p w14:paraId="612C4D17">
            <w:pPr>
              <w:pStyle w:val="18"/>
              <w:spacing w:before="193" w:line="216" w:lineRule="auto"/>
              <w:ind w:left="193"/>
              <w:rPr>
                <w:color w:val="auto"/>
                <w:highlight w:val="none"/>
              </w:rPr>
            </w:pPr>
            <w:r>
              <w:rPr>
                <w:b/>
                <w:bCs/>
                <w:color w:val="auto"/>
                <w:spacing w:val="6"/>
                <w:highlight w:val="none"/>
              </w:rPr>
              <w:t>类</w:t>
            </w:r>
            <w:r>
              <w:rPr>
                <w:color w:val="auto"/>
                <w:spacing w:val="-7"/>
                <w:highlight w:val="none"/>
              </w:rPr>
              <w:t xml:space="preserve"> </w:t>
            </w:r>
            <w:r>
              <w:rPr>
                <w:b/>
                <w:bCs/>
                <w:color w:val="auto"/>
                <w:spacing w:val="6"/>
                <w:highlight w:val="none"/>
              </w:rPr>
              <w:t>别</w:t>
            </w:r>
          </w:p>
        </w:tc>
        <w:tc>
          <w:tcPr>
            <w:tcW w:w="845" w:type="dxa"/>
            <w:vAlign w:val="top"/>
          </w:tcPr>
          <w:p w14:paraId="2E875ED0">
            <w:pPr>
              <w:spacing w:line="249" w:lineRule="auto"/>
              <w:rPr>
                <w:rFonts w:ascii="Arial"/>
                <w:color w:val="auto"/>
                <w:sz w:val="21"/>
                <w:highlight w:val="none"/>
              </w:rPr>
            </w:pPr>
          </w:p>
          <w:p w14:paraId="309ADC49">
            <w:pPr>
              <w:pStyle w:val="18"/>
              <w:spacing w:before="65" w:line="229" w:lineRule="auto"/>
              <w:ind w:left="222"/>
              <w:rPr>
                <w:color w:val="auto"/>
                <w:highlight w:val="none"/>
              </w:rPr>
            </w:pPr>
            <w:r>
              <w:rPr>
                <w:b/>
                <w:bCs/>
                <w:color w:val="auto"/>
                <w:spacing w:val="4"/>
                <w:highlight w:val="none"/>
              </w:rPr>
              <w:t>序号</w:t>
            </w:r>
          </w:p>
        </w:tc>
        <w:tc>
          <w:tcPr>
            <w:tcW w:w="7440" w:type="dxa"/>
            <w:vAlign w:val="top"/>
          </w:tcPr>
          <w:p w14:paraId="090E58DC">
            <w:pPr>
              <w:spacing w:line="249" w:lineRule="auto"/>
              <w:rPr>
                <w:rFonts w:ascii="Arial"/>
                <w:color w:val="auto"/>
                <w:sz w:val="21"/>
                <w:highlight w:val="none"/>
              </w:rPr>
            </w:pPr>
          </w:p>
          <w:p w14:paraId="6A40DCD6">
            <w:pPr>
              <w:pStyle w:val="18"/>
              <w:spacing w:before="65" w:line="228" w:lineRule="auto"/>
              <w:ind w:left="3033"/>
              <w:rPr>
                <w:color w:val="auto"/>
                <w:highlight w:val="none"/>
              </w:rPr>
            </w:pPr>
            <w:r>
              <w:rPr>
                <w:b/>
                <w:bCs/>
                <w:color w:val="auto"/>
                <w:spacing w:val="6"/>
                <w:highlight w:val="none"/>
              </w:rPr>
              <w:t>违约项目</w:t>
            </w:r>
          </w:p>
        </w:tc>
      </w:tr>
      <w:tr w14:paraId="249EC8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2" w:hRule="atLeast"/>
        </w:trPr>
        <w:tc>
          <w:tcPr>
            <w:tcW w:w="610" w:type="dxa"/>
            <w:vMerge w:val="restart"/>
            <w:tcBorders>
              <w:bottom w:val="nil"/>
            </w:tcBorders>
            <w:textDirection w:val="tbRlV"/>
            <w:vAlign w:val="top"/>
          </w:tcPr>
          <w:p w14:paraId="53CF3883">
            <w:pPr>
              <w:pStyle w:val="18"/>
              <w:spacing w:before="194" w:line="216" w:lineRule="auto"/>
              <w:ind w:left="2473"/>
              <w:rPr>
                <w:color w:val="auto"/>
                <w:highlight w:val="none"/>
              </w:rPr>
            </w:pPr>
            <w:r>
              <w:rPr>
                <w:b/>
                <w:bCs/>
                <w:color w:val="auto"/>
                <w:spacing w:val="6"/>
                <w:highlight w:val="none"/>
              </w:rPr>
              <w:t>职</w:t>
            </w:r>
            <w:r>
              <w:rPr>
                <w:color w:val="auto"/>
                <w:spacing w:val="-5"/>
                <w:highlight w:val="none"/>
              </w:rPr>
              <w:t xml:space="preserve"> </w:t>
            </w:r>
            <w:r>
              <w:rPr>
                <w:b/>
                <w:bCs/>
                <w:color w:val="auto"/>
                <w:spacing w:val="6"/>
                <w:highlight w:val="none"/>
              </w:rPr>
              <w:t>业</w:t>
            </w:r>
            <w:r>
              <w:rPr>
                <w:color w:val="auto"/>
                <w:spacing w:val="-6"/>
                <w:highlight w:val="none"/>
              </w:rPr>
              <w:t xml:space="preserve"> </w:t>
            </w:r>
            <w:r>
              <w:rPr>
                <w:b/>
                <w:bCs/>
                <w:color w:val="auto"/>
                <w:spacing w:val="6"/>
                <w:highlight w:val="none"/>
              </w:rPr>
              <w:t>操</w:t>
            </w:r>
            <w:r>
              <w:rPr>
                <w:color w:val="auto"/>
                <w:spacing w:val="-9"/>
                <w:highlight w:val="none"/>
              </w:rPr>
              <w:t xml:space="preserve"> </w:t>
            </w:r>
            <w:r>
              <w:rPr>
                <w:b/>
                <w:bCs/>
                <w:color w:val="auto"/>
                <w:spacing w:val="6"/>
                <w:highlight w:val="none"/>
              </w:rPr>
              <w:t>守</w:t>
            </w:r>
          </w:p>
        </w:tc>
        <w:tc>
          <w:tcPr>
            <w:tcW w:w="845" w:type="dxa"/>
            <w:vAlign w:val="top"/>
          </w:tcPr>
          <w:p w14:paraId="666108B2">
            <w:pPr>
              <w:spacing w:line="243" w:lineRule="auto"/>
              <w:rPr>
                <w:rFonts w:ascii="Arial"/>
                <w:color w:val="auto"/>
                <w:sz w:val="21"/>
                <w:highlight w:val="none"/>
              </w:rPr>
            </w:pPr>
          </w:p>
          <w:p w14:paraId="5FC967B2">
            <w:pPr>
              <w:spacing w:line="244" w:lineRule="auto"/>
              <w:rPr>
                <w:rFonts w:ascii="Arial"/>
                <w:color w:val="auto"/>
                <w:sz w:val="21"/>
                <w:highlight w:val="none"/>
              </w:rPr>
            </w:pPr>
          </w:p>
          <w:p w14:paraId="0FD43352">
            <w:pPr>
              <w:spacing w:line="244" w:lineRule="auto"/>
              <w:rPr>
                <w:rFonts w:ascii="Arial"/>
                <w:color w:val="auto"/>
                <w:sz w:val="21"/>
                <w:highlight w:val="none"/>
              </w:rPr>
            </w:pPr>
          </w:p>
          <w:p w14:paraId="7A7AC0AD">
            <w:pPr>
              <w:spacing w:before="58" w:line="195" w:lineRule="auto"/>
              <w:ind w:left="395"/>
              <w:rPr>
                <w:rFonts w:ascii="Times New Roman" w:hAnsi="Times New Roman" w:eastAsia="Times New Roman" w:cs="Times New Roman"/>
                <w:color w:val="auto"/>
                <w:sz w:val="20"/>
                <w:szCs w:val="20"/>
                <w:highlight w:val="none"/>
              </w:rPr>
            </w:pPr>
            <w:r>
              <w:rPr>
                <w:rFonts w:ascii="Times New Roman" w:hAnsi="Times New Roman" w:eastAsia="Times New Roman" w:cs="Times New Roman"/>
                <w:color w:val="auto"/>
                <w:sz w:val="20"/>
                <w:szCs w:val="20"/>
                <w:highlight w:val="none"/>
              </w:rPr>
              <w:t>1</w:t>
            </w:r>
          </w:p>
        </w:tc>
        <w:tc>
          <w:tcPr>
            <w:tcW w:w="7440" w:type="dxa"/>
            <w:vAlign w:val="top"/>
          </w:tcPr>
          <w:p w14:paraId="582981CC">
            <w:pPr>
              <w:pStyle w:val="18"/>
              <w:spacing w:before="116" w:line="279" w:lineRule="auto"/>
              <w:ind w:left="116" w:right="101" w:firstLine="2"/>
              <w:jc w:val="both"/>
              <w:rPr>
                <w:color w:val="auto"/>
                <w:highlight w:val="none"/>
              </w:rPr>
            </w:pPr>
            <w:r>
              <w:rPr>
                <w:color w:val="auto"/>
                <w:spacing w:val="12"/>
                <w:highlight w:val="none"/>
              </w:rPr>
              <w:t>监理工程师如在质量及安全管理、计量和变更设计工作中弄虚作假，包括但不仅限于存在质量不合格项目或承包人未实施的项目进入月度计量的情况，每发</w:t>
            </w:r>
            <w:r>
              <w:rPr>
                <w:color w:val="auto"/>
                <w:spacing w:val="5"/>
                <w:highlight w:val="none"/>
              </w:rPr>
              <w:t>现一次：</w:t>
            </w:r>
          </w:p>
          <w:p w14:paraId="64691D93">
            <w:pPr>
              <w:pStyle w:val="18"/>
              <w:spacing w:before="2" w:line="228" w:lineRule="auto"/>
              <w:ind w:left="122"/>
              <w:rPr>
                <w:color w:val="auto"/>
                <w:highlight w:val="none"/>
              </w:rPr>
            </w:pPr>
            <w:r>
              <w:rPr>
                <w:color w:val="auto"/>
                <w:sz w:val="18"/>
                <w:szCs w:val="18"/>
                <w:highlight w:val="none"/>
              </w:rPr>
              <w:t xml:space="preserve">（1） </w:t>
            </w:r>
            <w:r>
              <w:rPr>
                <w:color w:val="auto"/>
                <w:highlight w:val="none"/>
              </w:rPr>
              <w:t>扣除监理服务费</w:t>
            </w:r>
            <w:r>
              <w:rPr>
                <w:color w:val="auto"/>
                <w:spacing w:val="-43"/>
                <w:highlight w:val="none"/>
              </w:rPr>
              <w:t xml:space="preserve"> </w:t>
            </w:r>
            <w:r>
              <w:rPr>
                <w:rFonts w:ascii="Times New Roman" w:hAnsi="Times New Roman" w:eastAsia="Times New Roman" w:cs="Times New Roman"/>
                <w:color w:val="auto"/>
                <w:highlight w:val="none"/>
                <w:u w:val="single" w:color="auto"/>
              </w:rPr>
              <w:t>5</w:t>
            </w:r>
            <w:r>
              <w:rPr>
                <w:rFonts w:ascii="Times New Roman" w:hAnsi="Times New Roman" w:eastAsia="Times New Roman" w:cs="Times New Roman"/>
                <w:color w:val="auto"/>
                <w:highlight w:val="none"/>
              </w:rPr>
              <w:t xml:space="preserve"> </w:t>
            </w:r>
            <w:r>
              <w:rPr>
                <w:color w:val="auto"/>
                <w:highlight w:val="none"/>
              </w:rPr>
              <w:t>万元，同时替换该监理工程师；</w:t>
            </w:r>
          </w:p>
          <w:p w14:paraId="50F29561">
            <w:pPr>
              <w:pStyle w:val="18"/>
              <w:spacing w:before="55" w:line="227" w:lineRule="auto"/>
              <w:ind w:left="122"/>
              <w:rPr>
                <w:color w:val="auto"/>
                <w:highlight w:val="none"/>
              </w:rPr>
            </w:pPr>
            <w:r>
              <w:rPr>
                <w:color w:val="auto"/>
                <w:spacing w:val="8"/>
                <w:sz w:val="18"/>
                <w:szCs w:val="18"/>
                <w:highlight w:val="none"/>
              </w:rPr>
              <w:t>（2）</w:t>
            </w:r>
            <w:r>
              <w:rPr>
                <w:color w:val="auto"/>
                <w:spacing w:val="-11"/>
                <w:sz w:val="18"/>
                <w:szCs w:val="18"/>
                <w:highlight w:val="none"/>
              </w:rPr>
              <w:t xml:space="preserve"> </w:t>
            </w:r>
            <w:r>
              <w:rPr>
                <w:color w:val="auto"/>
                <w:spacing w:val="8"/>
                <w:highlight w:val="none"/>
              </w:rPr>
              <w:t>如给委托人造成重大损失、情节严重的将移交司法机关处理。</w:t>
            </w:r>
          </w:p>
        </w:tc>
      </w:tr>
      <w:tr w14:paraId="1EE735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17" w:hRule="atLeast"/>
        </w:trPr>
        <w:tc>
          <w:tcPr>
            <w:tcW w:w="610" w:type="dxa"/>
            <w:vMerge w:val="continue"/>
            <w:tcBorders>
              <w:top w:val="nil"/>
              <w:bottom w:val="nil"/>
            </w:tcBorders>
            <w:textDirection w:val="tbRlV"/>
            <w:vAlign w:val="top"/>
          </w:tcPr>
          <w:p w14:paraId="5DEBA515">
            <w:pPr>
              <w:rPr>
                <w:rFonts w:ascii="Arial"/>
                <w:color w:val="auto"/>
                <w:sz w:val="21"/>
                <w:highlight w:val="none"/>
              </w:rPr>
            </w:pPr>
          </w:p>
        </w:tc>
        <w:tc>
          <w:tcPr>
            <w:tcW w:w="845" w:type="dxa"/>
            <w:vAlign w:val="top"/>
          </w:tcPr>
          <w:p w14:paraId="60958B91">
            <w:pPr>
              <w:spacing w:line="328" w:lineRule="auto"/>
              <w:rPr>
                <w:rFonts w:ascii="Arial"/>
                <w:color w:val="auto"/>
                <w:sz w:val="21"/>
                <w:highlight w:val="none"/>
              </w:rPr>
            </w:pPr>
          </w:p>
          <w:p w14:paraId="51FBC2A1">
            <w:pPr>
              <w:spacing w:line="328" w:lineRule="auto"/>
              <w:rPr>
                <w:rFonts w:ascii="Arial"/>
                <w:color w:val="auto"/>
                <w:sz w:val="21"/>
                <w:highlight w:val="none"/>
              </w:rPr>
            </w:pPr>
          </w:p>
          <w:p w14:paraId="6B93A7E2">
            <w:pPr>
              <w:spacing w:before="58" w:line="195" w:lineRule="auto"/>
              <w:ind w:left="375"/>
              <w:rPr>
                <w:rFonts w:ascii="Times New Roman" w:hAnsi="Times New Roman" w:eastAsia="Times New Roman" w:cs="Times New Roman"/>
                <w:color w:val="auto"/>
                <w:sz w:val="20"/>
                <w:szCs w:val="20"/>
                <w:highlight w:val="none"/>
              </w:rPr>
            </w:pPr>
            <w:r>
              <w:rPr>
                <w:rFonts w:ascii="Times New Roman" w:hAnsi="Times New Roman" w:eastAsia="Times New Roman" w:cs="Times New Roman"/>
                <w:color w:val="auto"/>
                <w:sz w:val="20"/>
                <w:szCs w:val="20"/>
                <w:highlight w:val="none"/>
              </w:rPr>
              <w:t>2</w:t>
            </w:r>
          </w:p>
        </w:tc>
        <w:tc>
          <w:tcPr>
            <w:tcW w:w="7440" w:type="dxa"/>
            <w:vAlign w:val="top"/>
          </w:tcPr>
          <w:p w14:paraId="7D3D4B66">
            <w:pPr>
              <w:pStyle w:val="18"/>
              <w:spacing w:before="118" w:line="280" w:lineRule="auto"/>
              <w:ind w:left="119" w:right="187" w:hanging="1"/>
              <w:rPr>
                <w:color w:val="auto"/>
                <w:highlight w:val="none"/>
              </w:rPr>
            </w:pPr>
            <w:r>
              <w:rPr>
                <w:color w:val="auto"/>
                <w:spacing w:val="10"/>
                <w:highlight w:val="none"/>
              </w:rPr>
              <w:t>监理工程师不得借职务之便违规向承包人介绍分</w:t>
            </w:r>
            <w:r>
              <w:rPr>
                <w:color w:val="auto"/>
                <w:spacing w:val="9"/>
                <w:highlight w:val="none"/>
              </w:rPr>
              <w:t>包队伍、推销原材料、介绍务</w:t>
            </w:r>
            <w:r>
              <w:rPr>
                <w:color w:val="auto"/>
                <w:spacing w:val="7"/>
                <w:highlight w:val="none"/>
              </w:rPr>
              <w:t>工人员，如有发生：</w:t>
            </w:r>
          </w:p>
          <w:p w14:paraId="7181591B">
            <w:pPr>
              <w:pStyle w:val="18"/>
              <w:spacing w:line="227" w:lineRule="auto"/>
              <w:ind w:left="122"/>
              <w:rPr>
                <w:color w:val="auto"/>
                <w:highlight w:val="none"/>
              </w:rPr>
            </w:pPr>
            <w:r>
              <w:rPr>
                <w:color w:val="auto"/>
                <w:spacing w:val="-2"/>
                <w:sz w:val="18"/>
                <w:szCs w:val="18"/>
                <w:highlight w:val="none"/>
              </w:rPr>
              <w:t xml:space="preserve">（1） </w:t>
            </w:r>
            <w:r>
              <w:rPr>
                <w:color w:val="auto"/>
                <w:spacing w:val="-2"/>
                <w:highlight w:val="none"/>
              </w:rPr>
              <w:t>扣除监理服务费</w:t>
            </w:r>
            <w:r>
              <w:rPr>
                <w:color w:val="auto"/>
                <w:spacing w:val="-43"/>
                <w:highlight w:val="none"/>
              </w:rPr>
              <w:t xml:space="preserve"> </w:t>
            </w:r>
            <w:r>
              <w:rPr>
                <w:rFonts w:ascii="Times New Roman" w:hAnsi="Times New Roman" w:eastAsia="Times New Roman" w:cs="Times New Roman"/>
                <w:color w:val="auto"/>
                <w:spacing w:val="-2"/>
                <w:highlight w:val="none"/>
                <w:u w:val="single" w:color="auto"/>
              </w:rPr>
              <w:t>5</w:t>
            </w:r>
            <w:r>
              <w:rPr>
                <w:rFonts w:ascii="Times New Roman" w:hAnsi="Times New Roman" w:eastAsia="Times New Roman" w:cs="Times New Roman"/>
                <w:color w:val="auto"/>
                <w:spacing w:val="-2"/>
                <w:highlight w:val="none"/>
              </w:rPr>
              <w:t xml:space="preserve"> </w:t>
            </w:r>
            <w:r>
              <w:rPr>
                <w:color w:val="auto"/>
                <w:spacing w:val="-2"/>
                <w:highlight w:val="none"/>
              </w:rPr>
              <w:t>万元；</w:t>
            </w:r>
          </w:p>
          <w:p w14:paraId="1C26558D">
            <w:pPr>
              <w:pStyle w:val="18"/>
              <w:spacing w:before="58" w:line="227" w:lineRule="auto"/>
              <w:ind w:left="122"/>
              <w:rPr>
                <w:color w:val="auto"/>
                <w:highlight w:val="none"/>
              </w:rPr>
            </w:pPr>
            <w:r>
              <w:rPr>
                <w:color w:val="auto"/>
                <w:spacing w:val="8"/>
                <w:sz w:val="18"/>
                <w:szCs w:val="18"/>
                <w:highlight w:val="none"/>
              </w:rPr>
              <w:t>（2）</w:t>
            </w:r>
            <w:r>
              <w:rPr>
                <w:color w:val="auto"/>
                <w:spacing w:val="-7"/>
                <w:sz w:val="18"/>
                <w:szCs w:val="18"/>
                <w:highlight w:val="none"/>
              </w:rPr>
              <w:t xml:space="preserve"> </w:t>
            </w:r>
            <w:r>
              <w:rPr>
                <w:color w:val="auto"/>
                <w:spacing w:val="8"/>
                <w:highlight w:val="none"/>
              </w:rPr>
              <w:t>撤换该监理工程师并将分包队伍、材料供应商及有关人员清除出场。</w:t>
            </w:r>
          </w:p>
        </w:tc>
      </w:tr>
      <w:tr w14:paraId="68A4FD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18" w:hRule="atLeast"/>
        </w:trPr>
        <w:tc>
          <w:tcPr>
            <w:tcW w:w="610" w:type="dxa"/>
            <w:vMerge w:val="continue"/>
            <w:tcBorders>
              <w:top w:val="nil"/>
              <w:bottom w:val="nil"/>
            </w:tcBorders>
            <w:textDirection w:val="tbRlV"/>
            <w:vAlign w:val="top"/>
          </w:tcPr>
          <w:p w14:paraId="3DE2683E">
            <w:pPr>
              <w:rPr>
                <w:rFonts w:ascii="Arial"/>
                <w:color w:val="auto"/>
                <w:sz w:val="21"/>
                <w:highlight w:val="none"/>
              </w:rPr>
            </w:pPr>
          </w:p>
        </w:tc>
        <w:tc>
          <w:tcPr>
            <w:tcW w:w="845" w:type="dxa"/>
            <w:vAlign w:val="top"/>
          </w:tcPr>
          <w:p w14:paraId="5C6FC6C3">
            <w:pPr>
              <w:spacing w:line="330" w:lineRule="auto"/>
              <w:rPr>
                <w:rFonts w:ascii="Arial"/>
                <w:color w:val="auto"/>
                <w:sz w:val="21"/>
                <w:highlight w:val="none"/>
              </w:rPr>
            </w:pPr>
          </w:p>
          <w:p w14:paraId="73BFC00D">
            <w:pPr>
              <w:spacing w:line="330" w:lineRule="auto"/>
              <w:rPr>
                <w:rFonts w:ascii="Arial"/>
                <w:color w:val="auto"/>
                <w:sz w:val="21"/>
                <w:highlight w:val="none"/>
              </w:rPr>
            </w:pPr>
          </w:p>
          <w:p w14:paraId="4D8483CE">
            <w:pPr>
              <w:spacing w:before="57" w:line="195" w:lineRule="auto"/>
              <w:ind w:left="379"/>
              <w:rPr>
                <w:rFonts w:ascii="Times New Roman" w:hAnsi="Times New Roman" w:eastAsia="Times New Roman" w:cs="Times New Roman"/>
                <w:color w:val="auto"/>
                <w:sz w:val="20"/>
                <w:szCs w:val="20"/>
                <w:highlight w:val="none"/>
              </w:rPr>
            </w:pPr>
            <w:r>
              <w:rPr>
                <w:rFonts w:ascii="Times New Roman" w:hAnsi="Times New Roman" w:eastAsia="Times New Roman" w:cs="Times New Roman"/>
                <w:color w:val="auto"/>
                <w:sz w:val="20"/>
                <w:szCs w:val="20"/>
                <w:highlight w:val="none"/>
              </w:rPr>
              <w:t>3</w:t>
            </w:r>
          </w:p>
        </w:tc>
        <w:tc>
          <w:tcPr>
            <w:tcW w:w="7440" w:type="dxa"/>
            <w:vAlign w:val="top"/>
          </w:tcPr>
          <w:p w14:paraId="120052A3">
            <w:pPr>
              <w:pStyle w:val="18"/>
              <w:spacing w:before="135" w:line="280" w:lineRule="auto"/>
              <w:ind w:left="117" w:right="91" w:firstLine="1"/>
              <w:jc w:val="both"/>
              <w:rPr>
                <w:color w:val="auto"/>
                <w:highlight w:val="none"/>
              </w:rPr>
            </w:pPr>
            <w:r>
              <w:rPr>
                <w:color w:val="auto"/>
                <w:spacing w:val="19"/>
                <w:highlight w:val="none"/>
              </w:rPr>
              <w:t>监理工程师在监理工作中发生越权审批或肢解变更</w:t>
            </w:r>
            <w:r>
              <w:rPr>
                <w:color w:val="auto"/>
                <w:spacing w:val="18"/>
                <w:highlight w:val="none"/>
              </w:rPr>
              <w:t>项目、变相越权审批等行</w:t>
            </w:r>
            <w:r>
              <w:rPr>
                <w:color w:val="auto"/>
                <w:spacing w:val="6"/>
                <w:highlight w:val="none"/>
              </w:rPr>
              <w:t>为，每次处以</w:t>
            </w:r>
            <w:r>
              <w:rPr>
                <w:color w:val="auto"/>
                <w:spacing w:val="-63"/>
                <w:highlight w:val="none"/>
              </w:rPr>
              <w:t xml:space="preserve"> </w:t>
            </w:r>
            <w:r>
              <w:rPr>
                <w:rFonts w:ascii="Times New Roman" w:hAnsi="Times New Roman" w:eastAsia="Times New Roman" w:cs="Times New Roman"/>
                <w:color w:val="auto"/>
                <w:spacing w:val="-25"/>
                <w:highlight w:val="none"/>
                <w:u w:val="single" w:color="auto"/>
              </w:rPr>
              <w:t xml:space="preserve"> </w:t>
            </w:r>
            <w:r>
              <w:rPr>
                <w:rFonts w:ascii="Times New Roman" w:hAnsi="Times New Roman" w:eastAsia="Times New Roman" w:cs="Times New Roman"/>
                <w:color w:val="auto"/>
                <w:spacing w:val="6"/>
                <w:highlight w:val="none"/>
                <w:u w:val="single" w:color="auto"/>
              </w:rPr>
              <w:t>1</w:t>
            </w:r>
            <w:r>
              <w:rPr>
                <w:rFonts w:ascii="Times New Roman" w:hAnsi="Times New Roman" w:eastAsia="Times New Roman" w:cs="Times New Roman"/>
                <w:color w:val="auto"/>
                <w:spacing w:val="6"/>
                <w:highlight w:val="none"/>
              </w:rPr>
              <w:t xml:space="preserve"> </w:t>
            </w:r>
            <w:r>
              <w:rPr>
                <w:color w:val="auto"/>
                <w:spacing w:val="6"/>
                <w:highlight w:val="none"/>
              </w:rPr>
              <w:t>万元的违约金，情节特别严重的处以</w:t>
            </w:r>
            <w:r>
              <w:rPr>
                <w:color w:val="auto"/>
                <w:spacing w:val="-50"/>
                <w:highlight w:val="none"/>
              </w:rPr>
              <w:t xml:space="preserve"> </w:t>
            </w:r>
            <w:r>
              <w:rPr>
                <w:rFonts w:ascii="Times New Roman" w:hAnsi="Times New Roman" w:eastAsia="Times New Roman" w:cs="Times New Roman"/>
                <w:color w:val="auto"/>
                <w:spacing w:val="6"/>
                <w:highlight w:val="none"/>
                <w:u w:val="single" w:color="auto"/>
              </w:rPr>
              <w:t>3</w:t>
            </w:r>
            <w:r>
              <w:rPr>
                <w:rFonts w:ascii="Times New Roman" w:hAnsi="Times New Roman" w:eastAsia="Times New Roman" w:cs="Times New Roman"/>
                <w:color w:val="auto"/>
                <w:spacing w:val="6"/>
                <w:highlight w:val="none"/>
              </w:rPr>
              <w:t xml:space="preserve"> </w:t>
            </w:r>
            <w:r>
              <w:rPr>
                <w:color w:val="auto"/>
                <w:spacing w:val="5"/>
                <w:highlight w:val="none"/>
              </w:rPr>
              <w:t>万元的违约金，给委托人</w:t>
            </w:r>
            <w:r>
              <w:rPr>
                <w:color w:val="auto"/>
                <w:spacing w:val="4"/>
                <w:highlight w:val="none"/>
              </w:rPr>
              <w:t>造成经济损失的，监理人应以损失额的</w:t>
            </w:r>
            <w:r>
              <w:rPr>
                <w:color w:val="auto"/>
                <w:spacing w:val="-40"/>
                <w:highlight w:val="none"/>
              </w:rPr>
              <w:t xml:space="preserve"> </w:t>
            </w:r>
            <w:r>
              <w:rPr>
                <w:rFonts w:ascii="Times New Roman" w:hAnsi="Times New Roman" w:eastAsia="Times New Roman" w:cs="Times New Roman"/>
                <w:color w:val="auto"/>
                <w:spacing w:val="4"/>
                <w:highlight w:val="none"/>
                <w:u w:val="single" w:color="auto"/>
              </w:rPr>
              <w:t>30</w:t>
            </w:r>
            <w:r>
              <w:rPr>
                <w:rFonts w:ascii="Calibri" w:hAnsi="Calibri" w:eastAsia="Calibri" w:cs="Calibri"/>
                <w:color w:val="auto"/>
                <w:spacing w:val="4"/>
                <w:highlight w:val="none"/>
              </w:rPr>
              <w:t>%</w:t>
            </w:r>
            <w:r>
              <w:rPr>
                <w:color w:val="auto"/>
                <w:spacing w:val="4"/>
                <w:highlight w:val="none"/>
              </w:rPr>
              <w:t>（在合同条款</w:t>
            </w:r>
            <w:r>
              <w:rPr>
                <w:color w:val="auto"/>
                <w:spacing w:val="-35"/>
                <w:highlight w:val="none"/>
              </w:rPr>
              <w:t xml:space="preserve"> </w:t>
            </w:r>
            <w:r>
              <w:rPr>
                <w:rFonts w:ascii="Times New Roman" w:hAnsi="Times New Roman" w:eastAsia="Times New Roman" w:cs="Times New Roman"/>
                <w:color w:val="auto"/>
                <w:spacing w:val="4"/>
                <w:highlight w:val="none"/>
              </w:rPr>
              <w:t>11</w:t>
            </w:r>
            <w:r>
              <w:rPr>
                <w:rFonts w:ascii="Calibri" w:hAnsi="Calibri" w:eastAsia="Calibri" w:cs="Calibri"/>
                <w:color w:val="auto"/>
                <w:spacing w:val="4"/>
                <w:highlight w:val="none"/>
              </w:rPr>
              <w:t>.</w:t>
            </w:r>
            <w:r>
              <w:rPr>
                <w:rFonts w:ascii="Times New Roman" w:hAnsi="Times New Roman" w:eastAsia="Times New Roman" w:cs="Times New Roman"/>
                <w:color w:val="auto"/>
                <w:spacing w:val="4"/>
                <w:highlight w:val="none"/>
              </w:rPr>
              <w:t xml:space="preserve">5 </w:t>
            </w:r>
            <w:r>
              <w:rPr>
                <w:color w:val="auto"/>
                <w:spacing w:val="4"/>
                <w:highlight w:val="none"/>
              </w:rPr>
              <w:t>款规定的赔偿限额</w:t>
            </w:r>
            <w:r>
              <w:rPr>
                <w:color w:val="auto"/>
                <w:spacing w:val="1"/>
                <w:highlight w:val="none"/>
              </w:rPr>
              <w:t>内）赔付给委托人，同</w:t>
            </w:r>
            <w:r>
              <w:rPr>
                <w:color w:val="auto"/>
                <w:spacing w:val="-48"/>
                <w:highlight w:val="none"/>
              </w:rPr>
              <w:t xml:space="preserve"> </w:t>
            </w:r>
            <w:r>
              <w:rPr>
                <w:color w:val="auto"/>
                <w:spacing w:val="1"/>
                <w:highlight w:val="none"/>
              </w:rPr>
              <w:t>时该人员必须被撤换。</w:t>
            </w:r>
          </w:p>
        </w:tc>
      </w:tr>
      <w:tr w14:paraId="007D99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2" w:hRule="atLeast"/>
        </w:trPr>
        <w:tc>
          <w:tcPr>
            <w:tcW w:w="610" w:type="dxa"/>
            <w:vMerge w:val="continue"/>
            <w:tcBorders>
              <w:top w:val="nil"/>
              <w:bottom w:val="nil"/>
            </w:tcBorders>
            <w:textDirection w:val="tbRlV"/>
            <w:vAlign w:val="top"/>
          </w:tcPr>
          <w:p w14:paraId="57A75990">
            <w:pPr>
              <w:rPr>
                <w:rFonts w:ascii="Arial"/>
                <w:color w:val="auto"/>
                <w:sz w:val="21"/>
                <w:highlight w:val="none"/>
              </w:rPr>
            </w:pPr>
          </w:p>
        </w:tc>
        <w:tc>
          <w:tcPr>
            <w:tcW w:w="845" w:type="dxa"/>
            <w:vAlign w:val="top"/>
          </w:tcPr>
          <w:p w14:paraId="171F378D">
            <w:pPr>
              <w:spacing w:line="278" w:lineRule="auto"/>
              <w:rPr>
                <w:rFonts w:ascii="Arial"/>
                <w:color w:val="auto"/>
                <w:sz w:val="21"/>
                <w:highlight w:val="none"/>
              </w:rPr>
            </w:pPr>
          </w:p>
          <w:p w14:paraId="5F07468D">
            <w:pPr>
              <w:spacing w:line="279" w:lineRule="auto"/>
              <w:rPr>
                <w:rFonts w:ascii="Arial"/>
                <w:color w:val="auto"/>
                <w:sz w:val="21"/>
                <w:highlight w:val="none"/>
              </w:rPr>
            </w:pPr>
          </w:p>
          <w:p w14:paraId="390A0EC4">
            <w:pPr>
              <w:spacing w:before="58" w:line="195" w:lineRule="auto"/>
              <w:ind w:left="374"/>
              <w:rPr>
                <w:rFonts w:ascii="Times New Roman" w:hAnsi="Times New Roman" w:eastAsia="Times New Roman" w:cs="Times New Roman"/>
                <w:color w:val="auto"/>
                <w:sz w:val="20"/>
                <w:szCs w:val="20"/>
                <w:highlight w:val="none"/>
              </w:rPr>
            </w:pPr>
            <w:r>
              <w:rPr>
                <w:rFonts w:ascii="Times New Roman" w:hAnsi="Times New Roman" w:eastAsia="Times New Roman" w:cs="Times New Roman"/>
                <w:color w:val="auto"/>
                <w:sz w:val="20"/>
                <w:szCs w:val="20"/>
                <w:highlight w:val="none"/>
              </w:rPr>
              <w:t>4</w:t>
            </w:r>
          </w:p>
        </w:tc>
        <w:tc>
          <w:tcPr>
            <w:tcW w:w="7440" w:type="dxa"/>
            <w:vAlign w:val="top"/>
          </w:tcPr>
          <w:p w14:paraId="46CE4094">
            <w:pPr>
              <w:pStyle w:val="18"/>
              <w:spacing w:before="35" w:line="227" w:lineRule="auto"/>
              <w:ind w:left="121"/>
              <w:rPr>
                <w:color w:val="auto"/>
                <w:highlight w:val="none"/>
              </w:rPr>
            </w:pPr>
            <w:r>
              <w:rPr>
                <w:color w:val="auto"/>
                <w:spacing w:val="9"/>
                <w:highlight w:val="none"/>
              </w:rPr>
              <w:t>如发现监理人的投标文件中所报业绩资料有弄虚作假的：</w:t>
            </w:r>
          </w:p>
          <w:p w14:paraId="3D56B171">
            <w:pPr>
              <w:pStyle w:val="18"/>
              <w:spacing w:before="53" w:line="228" w:lineRule="auto"/>
              <w:ind w:left="128"/>
              <w:rPr>
                <w:color w:val="auto"/>
                <w:highlight w:val="none"/>
              </w:rPr>
            </w:pPr>
            <w:r>
              <w:rPr>
                <w:color w:val="auto"/>
                <w:spacing w:val="7"/>
                <w:highlight w:val="none"/>
              </w:rPr>
              <w:t>（</w:t>
            </w:r>
            <w:r>
              <w:rPr>
                <w:rFonts w:ascii="Times New Roman" w:hAnsi="Times New Roman" w:eastAsia="Times New Roman" w:cs="Times New Roman"/>
                <w:color w:val="auto"/>
                <w:spacing w:val="7"/>
                <w:highlight w:val="none"/>
              </w:rPr>
              <w:t>1</w:t>
            </w:r>
            <w:r>
              <w:rPr>
                <w:color w:val="auto"/>
                <w:spacing w:val="7"/>
                <w:highlight w:val="none"/>
              </w:rPr>
              <w:t>）发现一项处以监理服务费</w:t>
            </w:r>
            <w:r>
              <w:rPr>
                <w:rFonts w:ascii="Times New Roman" w:hAnsi="Times New Roman" w:eastAsia="Times New Roman" w:cs="Times New Roman"/>
                <w:color w:val="auto"/>
                <w:spacing w:val="7"/>
                <w:highlight w:val="none"/>
                <w:u w:val="single" w:color="auto"/>
              </w:rPr>
              <w:t xml:space="preserve"> 5 </w:t>
            </w:r>
            <w:r>
              <w:rPr>
                <w:color w:val="auto"/>
                <w:spacing w:val="7"/>
                <w:highlight w:val="none"/>
              </w:rPr>
              <w:t>万元的违约金；</w:t>
            </w:r>
          </w:p>
          <w:p w14:paraId="189A175D">
            <w:pPr>
              <w:pStyle w:val="18"/>
              <w:spacing w:before="55" w:line="254" w:lineRule="auto"/>
              <w:ind w:left="118" w:right="98" w:firstLine="9"/>
              <w:rPr>
                <w:color w:val="auto"/>
                <w:highlight w:val="none"/>
              </w:rPr>
            </w:pPr>
            <w:r>
              <w:rPr>
                <w:color w:val="auto"/>
                <w:spacing w:val="15"/>
                <w:highlight w:val="none"/>
              </w:rPr>
              <w:t>（</w:t>
            </w:r>
            <w:r>
              <w:rPr>
                <w:rFonts w:ascii="Times New Roman" w:hAnsi="Times New Roman" w:eastAsia="Times New Roman" w:cs="Times New Roman"/>
                <w:color w:val="auto"/>
                <w:spacing w:val="15"/>
                <w:highlight w:val="none"/>
              </w:rPr>
              <w:t>2</w:t>
            </w:r>
            <w:r>
              <w:rPr>
                <w:color w:val="auto"/>
                <w:spacing w:val="15"/>
                <w:highlight w:val="none"/>
              </w:rPr>
              <w:t>）情况恶劣的，委托人有权单方面终止监理合同，并没收监理人的</w:t>
            </w:r>
            <w:r>
              <w:rPr>
                <w:color w:val="auto"/>
                <w:spacing w:val="14"/>
                <w:highlight w:val="none"/>
              </w:rPr>
              <w:t>履约担</w:t>
            </w:r>
            <w:r>
              <w:rPr>
                <w:color w:val="auto"/>
                <w:spacing w:val="2"/>
                <w:highlight w:val="none"/>
              </w:rPr>
              <w:t>保金。</w:t>
            </w:r>
          </w:p>
        </w:tc>
      </w:tr>
      <w:tr w14:paraId="3F576C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8" w:hRule="atLeast"/>
        </w:trPr>
        <w:tc>
          <w:tcPr>
            <w:tcW w:w="610" w:type="dxa"/>
            <w:vMerge w:val="continue"/>
            <w:tcBorders>
              <w:top w:val="nil"/>
            </w:tcBorders>
            <w:textDirection w:val="tbRlV"/>
            <w:vAlign w:val="top"/>
          </w:tcPr>
          <w:p w14:paraId="53A6660B">
            <w:pPr>
              <w:rPr>
                <w:rFonts w:ascii="Arial"/>
                <w:color w:val="auto"/>
                <w:sz w:val="21"/>
                <w:highlight w:val="none"/>
              </w:rPr>
            </w:pPr>
          </w:p>
        </w:tc>
        <w:tc>
          <w:tcPr>
            <w:tcW w:w="845" w:type="dxa"/>
            <w:vAlign w:val="top"/>
          </w:tcPr>
          <w:p w14:paraId="4E16ECF2">
            <w:pPr>
              <w:spacing w:line="386" w:lineRule="auto"/>
              <w:rPr>
                <w:rFonts w:ascii="Arial"/>
                <w:color w:val="auto"/>
                <w:sz w:val="21"/>
                <w:highlight w:val="none"/>
              </w:rPr>
            </w:pPr>
          </w:p>
          <w:p w14:paraId="0747485B">
            <w:pPr>
              <w:spacing w:before="57" w:line="192" w:lineRule="auto"/>
              <w:ind w:left="381"/>
              <w:rPr>
                <w:rFonts w:ascii="Times New Roman" w:hAnsi="Times New Roman" w:eastAsia="Times New Roman" w:cs="Times New Roman"/>
                <w:color w:val="auto"/>
                <w:sz w:val="20"/>
                <w:szCs w:val="20"/>
                <w:highlight w:val="none"/>
              </w:rPr>
            </w:pPr>
            <w:r>
              <w:rPr>
                <w:rFonts w:ascii="Times New Roman" w:hAnsi="Times New Roman" w:eastAsia="Times New Roman" w:cs="Times New Roman"/>
                <w:color w:val="auto"/>
                <w:sz w:val="20"/>
                <w:szCs w:val="20"/>
                <w:highlight w:val="none"/>
              </w:rPr>
              <w:t>5</w:t>
            </w:r>
          </w:p>
        </w:tc>
        <w:tc>
          <w:tcPr>
            <w:tcW w:w="7440" w:type="dxa"/>
            <w:vAlign w:val="top"/>
          </w:tcPr>
          <w:p w14:paraId="5822D421">
            <w:pPr>
              <w:pStyle w:val="18"/>
              <w:spacing w:before="138" w:line="227" w:lineRule="auto"/>
              <w:ind w:left="120"/>
              <w:rPr>
                <w:color w:val="auto"/>
                <w:highlight w:val="none"/>
              </w:rPr>
            </w:pPr>
            <w:r>
              <w:rPr>
                <w:color w:val="auto"/>
                <w:spacing w:val="9"/>
                <w:highlight w:val="none"/>
              </w:rPr>
              <w:t>投标文件中所报主要监理人员中的工作经历或证件有弄虚作假的：</w:t>
            </w:r>
          </w:p>
          <w:p w14:paraId="27A4D09F">
            <w:pPr>
              <w:pStyle w:val="18"/>
              <w:spacing w:before="56" w:line="228" w:lineRule="auto"/>
              <w:ind w:left="122"/>
              <w:rPr>
                <w:color w:val="auto"/>
                <w:highlight w:val="none"/>
              </w:rPr>
            </w:pPr>
            <w:r>
              <w:rPr>
                <w:color w:val="auto"/>
                <w:spacing w:val="1"/>
                <w:sz w:val="18"/>
                <w:szCs w:val="18"/>
                <w:highlight w:val="none"/>
              </w:rPr>
              <w:t xml:space="preserve">（1） </w:t>
            </w:r>
            <w:r>
              <w:rPr>
                <w:color w:val="auto"/>
                <w:spacing w:val="1"/>
                <w:highlight w:val="none"/>
              </w:rPr>
              <w:t>发现一人处以监理服务费</w:t>
            </w:r>
            <w:r>
              <w:rPr>
                <w:color w:val="auto"/>
                <w:spacing w:val="-63"/>
                <w:highlight w:val="none"/>
              </w:rPr>
              <w:t xml:space="preserve"> </w:t>
            </w:r>
            <w:r>
              <w:rPr>
                <w:rFonts w:ascii="Times New Roman" w:hAnsi="Times New Roman" w:eastAsia="Times New Roman" w:cs="Times New Roman"/>
                <w:color w:val="auto"/>
                <w:spacing w:val="-25"/>
                <w:highlight w:val="none"/>
                <w:u w:val="single" w:color="auto"/>
              </w:rPr>
              <w:t xml:space="preserve"> </w:t>
            </w:r>
            <w:r>
              <w:rPr>
                <w:rFonts w:ascii="Times New Roman" w:hAnsi="Times New Roman" w:eastAsia="Times New Roman" w:cs="Times New Roman"/>
                <w:color w:val="auto"/>
                <w:spacing w:val="1"/>
                <w:highlight w:val="none"/>
                <w:u w:val="single" w:color="auto"/>
              </w:rPr>
              <w:t>1</w:t>
            </w:r>
            <w:r>
              <w:rPr>
                <w:rFonts w:ascii="Times New Roman" w:hAnsi="Times New Roman" w:eastAsia="Times New Roman" w:cs="Times New Roman"/>
                <w:color w:val="auto"/>
                <w:spacing w:val="1"/>
                <w:highlight w:val="none"/>
              </w:rPr>
              <w:t xml:space="preserve"> </w:t>
            </w:r>
            <w:r>
              <w:rPr>
                <w:color w:val="auto"/>
                <w:spacing w:val="1"/>
                <w:highlight w:val="none"/>
              </w:rPr>
              <w:t>万元</w:t>
            </w:r>
            <w:r>
              <w:rPr>
                <w:color w:val="auto"/>
                <w:highlight w:val="none"/>
              </w:rPr>
              <w:t>的违约金；</w:t>
            </w:r>
          </w:p>
          <w:p w14:paraId="65DD081F">
            <w:pPr>
              <w:pStyle w:val="18"/>
              <w:spacing w:before="55" w:line="228" w:lineRule="auto"/>
              <w:ind w:left="122"/>
              <w:rPr>
                <w:color w:val="auto"/>
                <w:highlight w:val="none"/>
              </w:rPr>
            </w:pPr>
            <w:r>
              <w:rPr>
                <w:color w:val="auto"/>
                <w:spacing w:val="2"/>
                <w:sz w:val="18"/>
                <w:szCs w:val="18"/>
                <w:highlight w:val="none"/>
              </w:rPr>
              <w:t xml:space="preserve">（2） </w:t>
            </w:r>
            <w:r>
              <w:rPr>
                <w:color w:val="auto"/>
                <w:spacing w:val="2"/>
                <w:highlight w:val="none"/>
              </w:rPr>
              <w:t>情节恶劣的，委托人有权要求更换该人员。</w:t>
            </w:r>
          </w:p>
        </w:tc>
      </w:tr>
    </w:tbl>
    <w:p w14:paraId="4DD0D825">
      <w:pPr>
        <w:rPr>
          <w:rFonts w:ascii="Arial"/>
          <w:color w:val="auto"/>
          <w:sz w:val="21"/>
          <w:highlight w:val="none"/>
        </w:rPr>
      </w:pPr>
    </w:p>
    <w:p w14:paraId="5357560E">
      <w:pPr>
        <w:spacing w:line="241" w:lineRule="auto"/>
        <w:rPr>
          <w:rFonts w:ascii="Arial"/>
          <w:color w:val="auto"/>
          <w:sz w:val="21"/>
          <w:highlight w:val="none"/>
        </w:rPr>
      </w:pPr>
    </w:p>
    <w:p w14:paraId="1616C88B">
      <w:pPr>
        <w:spacing w:line="241" w:lineRule="auto"/>
        <w:rPr>
          <w:rFonts w:ascii="Arial"/>
          <w:color w:val="auto"/>
          <w:sz w:val="21"/>
          <w:highlight w:val="none"/>
        </w:rPr>
      </w:pPr>
      <w:r>
        <w:rPr>
          <w:color w:val="auto"/>
          <w:highlight w:val="none"/>
        </w:rPr>
        <w:pict>
          <v:shape id="_x0000_s1090" o:spid="_x0000_s1090" style="position:absolute;left:0pt;margin-left:0pt;margin-top:7.7pt;height:0pt;width:144pt;z-index:251698176;mso-width-relative:page;mso-height-relative:page;" filled="f" stroked="t" coordsize="2880,0" path="m0,0l2880,0e">
            <v:fill on="f" focussize="0,0"/>
            <v:stroke weight="0pt" color="#000000" miterlimit="0" joinstyle="bevel" endcap="square"/>
            <v:imagedata o:title=""/>
            <o:lock v:ext="edit"/>
          </v:shape>
        </w:pict>
      </w:r>
    </w:p>
    <w:p w14:paraId="248C0E58">
      <w:pPr>
        <w:spacing w:before="59" w:line="220" w:lineRule="auto"/>
        <w:ind w:left="5"/>
        <w:rPr>
          <w:rFonts w:ascii="宋体" w:hAnsi="宋体" w:eastAsia="宋体" w:cs="宋体"/>
          <w:color w:val="auto"/>
          <w:sz w:val="18"/>
          <w:szCs w:val="18"/>
          <w:highlight w:val="none"/>
        </w:rPr>
      </w:pPr>
      <w:bookmarkStart w:id="345" w:name="bookmark147"/>
      <w:bookmarkEnd w:id="345"/>
      <w:bookmarkStart w:id="346" w:name="bookmark148"/>
      <w:bookmarkEnd w:id="346"/>
      <w:r>
        <w:rPr>
          <w:rFonts w:ascii="宋体" w:hAnsi="宋体" w:eastAsia="宋体" w:cs="宋体"/>
          <w:color w:val="auto"/>
          <w:spacing w:val="-1"/>
          <w:sz w:val="18"/>
          <w:szCs w:val="18"/>
          <w:highlight w:val="none"/>
        </w:rPr>
        <w:t>① 暂列金额最高不超过监理服务费用总额的</w:t>
      </w:r>
      <w:r>
        <w:rPr>
          <w:rFonts w:ascii="宋体" w:hAnsi="宋体" w:eastAsia="宋体" w:cs="宋体"/>
          <w:color w:val="auto"/>
          <w:spacing w:val="-29"/>
          <w:sz w:val="18"/>
          <w:szCs w:val="18"/>
          <w:highlight w:val="none"/>
        </w:rPr>
        <w:t xml:space="preserve"> </w:t>
      </w:r>
      <w:r>
        <w:rPr>
          <w:rFonts w:ascii="宋体" w:hAnsi="宋体" w:eastAsia="宋体" w:cs="宋体"/>
          <w:color w:val="auto"/>
          <w:spacing w:val="-1"/>
          <w:sz w:val="18"/>
          <w:szCs w:val="18"/>
          <w:highlight w:val="none"/>
        </w:rPr>
        <w:t>3％。</w:t>
      </w:r>
    </w:p>
    <w:p w14:paraId="6D8A73C4">
      <w:pPr>
        <w:spacing w:before="19" w:line="220" w:lineRule="auto"/>
        <w:ind w:left="4"/>
        <w:rPr>
          <w:rFonts w:ascii="宋体" w:hAnsi="宋体" w:eastAsia="宋体" w:cs="宋体"/>
          <w:color w:val="auto"/>
          <w:sz w:val="18"/>
          <w:szCs w:val="18"/>
          <w:highlight w:val="none"/>
        </w:rPr>
      </w:pPr>
      <w:r>
        <w:rPr>
          <w:rFonts w:ascii="宋体" w:hAnsi="宋体" w:eastAsia="宋体" w:cs="宋体"/>
          <w:color w:val="auto"/>
          <w:sz w:val="18"/>
          <w:szCs w:val="18"/>
          <w:highlight w:val="none"/>
        </w:rPr>
        <w:t>② 本表可由招标人根据实际情况予以调整，或以委托人制定的管</w:t>
      </w:r>
      <w:r>
        <w:rPr>
          <w:rFonts w:ascii="宋体" w:hAnsi="宋体" w:eastAsia="宋体" w:cs="宋体"/>
          <w:color w:val="auto"/>
          <w:spacing w:val="-1"/>
          <w:sz w:val="18"/>
          <w:szCs w:val="18"/>
          <w:highlight w:val="none"/>
        </w:rPr>
        <w:t>理办法为准。</w:t>
      </w:r>
    </w:p>
    <w:p w14:paraId="7F9A6E26">
      <w:pPr>
        <w:spacing w:line="220" w:lineRule="auto"/>
        <w:rPr>
          <w:rFonts w:ascii="宋体" w:hAnsi="宋体" w:eastAsia="宋体" w:cs="宋体"/>
          <w:color w:val="auto"/>
          <w:sz w:val="18"/>
          <w:szCs w:val="18"/>
          <w:highlight w:val="none"/>
        </w:rPr>
        <w:sectPr>
          <w:footerReference r:id="rId60" w:type="default"/>
          <w:pgSz w:w="11906" w:h="16839"/>
          <w:pgMar w:top="1403" w:right="1503" w:bottom="1297" w:left="1417" w:header="0" w:footer="1069" w:gutter="0"/>
          <w:pgNumType w:fmt="decimal"/>
          <w:cols w:space="720" w:num="1"/>
        </w:sectPr>
      </w:pPr>
    </w:p>
    <w:tbl>
      <w:tblPr>
        <w:tblStyle w:val="17"/>
        <w:tblW w:w="889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10"/>
        <w:gridCol w:w="845"/>
        <w:gridCol w:w="7440"/>
      </w:tblGrid>
      <w:tr w14:paraId="0A8EC5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2" w:hRule="atLeast"/>
        </w:trPr>
        <w:tc>
          <w:tcPr>
            <w:tcW w:w="610" w:type="dxa"/>
            <w:textDirection w:val="tbRlV"/>
            <w:vAlign w:val="top"/>
          </w:tcPr>
          <w:p w14:paraId="52748B5B">
            <w:pPr>
              <w:pStyle w:val="18"/>
              <w:spacing w:before="193" w:line="216" w:lineRule="auto"/>
              <w:ind w:left="194"/>
              <w:rPr>
                <w:color w:val="auto"/>
                <w:highlight w:val="none"/>
              </w:rPr>
            </w:pPr>
            <w:r>
              <w:rPr>
                <w:b/>
                <w:bCs/>
                <w:color w:val="auto"/>
                <w:spacing w:val="6"/>
                <w:highlight w:val="none"/>
              </w:rPr>
              <w:t>类</w:t>
            </w:r>
            <w:r>
              <w:rPr>
                <w:color w:val="auto"/>
                <w:spacing w:val="-9"/>
                <w:highlight w:val="none"/>
              </w:rPr>
              <w:t xml:space="preserve"> </w:t>
            </w:r>
            <w:r>
              <w:rPr>
                <w:b/>
                <w:bCs/>
                <w:color w:val="auto"/>
                <w:spacing w:val="6"/>
                <w:highlight w:val="none"/>
              </w:rPr>
              <w:t>别</w:t>
            </w:r>
          </w:p>
        </w:tc>
        <w:tc>
          <w:tcPr>
            <w:tcW w:w="845" w:type="dxa"/>
            <w:vAlign w:val="top"/>
          </w:tcPr>
          <w:p w14:paraId="2B2D2B29">
            <w:pPr>
              <w:spacing w:line="250" w:lineRule="auto"/>
              <w:rPr>
                <w:rFonts w:ascii="Arial"/>
                <w:color w:val="auto"/>
                <w:sz w:val="21"/>
                <w:highlight w:val="none"/>
              </w:rPr>
            </w:pPr>
          </w:p>
          <w:p w14:paraId="34FEBAC4">
            <w:pPr>
              <w:pStyle w:val="18"/>
              <w:spacing w:before="65" w:line="229" w:lineRule="auto"/>
              <w:ind w:left="222"/>
              <w:rPr>
                <w:color w:val="auto"/>
                <w:highlight w:val="none"/>
              </w:rPr>
            </w:pPr>
            <w:r>
              <w:rPr>
                <w:b/>
                <w:bCs/>
                <w:color w:val="auto"/>
                <w:spacing w:val="4"/>
                <w:highlight w:val="none"/>
              </w:rPr>
              <w:t>序号</w:t>
            </w:r>
          </w:p>
        </w:tc>
        <w:tc>
          <w:tcPr>
            <w:tcW w:w="7440" w:type="dxa"/>
            <w:vAlign w:val="top"/>
          </w:tcPr>
          <w:p w14:paraId="6CD34F5B">
            <w:pPr>
              <w:spacing w:line="250" w:lineRule="auto"/>
              <w:rPr>
                <w:rFonts w:ascii="Arial"/>
                <w:color w:val="auto"/>
                <w:sz w:val="21"/>
                <w:highlight w:val="none"/>
              </w:rPr>
            </w:pPr>
          </w:p>
          <w:p w14:paraId="4275342C">
            <w:pPr>
              <w:pStyle w:val="18"/>
              <w:spacing w:before="65" w:line="228" w:lineRule="auto"/>
              <w:ind w:left="3033"/>
              <w:rPr>
                <w:color w:val="auto"/>
                <w:highlight w:val="none"/>
              </w:rPr>
            </w:pPr>
            <w:r>
              <w:rPr>
                <w:b/>
                <w:bCs/>
                <w:color w:val="auto"/>
                <w:spacing w:val="6"/>
                <w:highlight w:val="none"/>
              </w:rPr>
              <w:t>违约项目</w:t>
            </w:r>
          </w:p>
        </w:tc>
      </w:tr>
      <w:tr w14:paraId="44D49E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21" w:hRule="atLeast"/>
        </w:trPr>
        <w:tc>
          <w:tcPr>
            <w:tcW w:w="610" w:type="dxa"/>
            <w:vMerge w:val="restart"/>
            <w:tcBorders>
              <w:bottom w:val="nil"/>
            </w:tcBorders>
            <w:vAlign w:val="top"/>
          </w:tcPr>
          <w:p w14:paraId="31F31DB8">
            <w:pPr>
              <w:rPr>
                <w:rFonts w:ascii="Arial"/>
                <w:color w:val="auto"/>
                <w:sz w:val="21"/>
                <w:highlight w:val="none"/>
              </w:rPr>
            </w:pPr>
          </w:p>
        </w:tc>
        <w:tc>
          <w:tcPr>
            <w:tcW w:w="845" w:type="dxa"/>
            <w:vAlign w:val="top"/>
          </w:tcPr>
          <w:p w14:paraId="0CDE9CD0">
            <w:pPr>
              <w:spacing w:line="245" w:lineRule="auto"/>
              <w:rPr>
                <w:rFonts w:ascii="Arial"/>
                <w:color w:val="auto"/>
                <w:sz w:val="21"/>
                <w:highlight w:val="none"/>
              </w:rPr>
            </w:pPr>
          </w:p>
          <w:p w14:paraId="56C934BE">
            <w:pPr>
              <w:spacing w:line="245" w:lineRule="auto"/>
              <w:rPr>
                <w:rFonts w:ascii="Arial"/>
                <w:color w:val="auto"/>
                <w:sz w:val="21"/>
                <w:highlight w:val="none"/>
              </w:rPr>
            </w:pPr>
          </w:p>
          <w:p w14:paraId="2378F795">
            <w:pPr>
              <w:spacing w:line="245" w:lineRule="auto"/>
              <w:rPr>
                <w:rFonts w:ascii="Arial"/>
                <w:color w:val="auto"/>
                <w:sz w:val="21"/>
                <w:highlight w:val="none"/>
              </w:rPr>
            </w:pPr>
          </w:p>
          <w:p w14:paraId="1CF6FE48">
            <w:pPr>
              <w:spacing w:before="57" w:line="195" w:lineRule="auto"/>
              <w:ind w:left="380"/>
              <w:rPr>
                <w:rFonts w:ascii="Times New Roman" w:hAnsi="Times New Roman" w:eastAsia="Times New Roman" w:cs="Times New Roman"/>
                <w:color w:val="auto"/>
                <w:sz w:val="20"/>
                <w:szCs w:val="20"/>
                <w:highlight w:val="none"/>
              </w:rPr>
            </w:pPr>
            <w:r>
              <w:rPr>
                <w:rFonts w:ascii="Times New Roman" w:hAnsi="Times New Roman" w:eastAsia="Times New Roman" w:cs="Times New Roman"/>
                <w:color w:val="auto"/>
                <w:sz w:val="20"/>
                <w:szCs w:val="20"/>
                <w:highlight w:val="none"/>
              </w:rPr>
              <w:t>6</w:t>
            </w:r>
          </w:p>
        </w:tc>
        <w:tc>
          <w:tcPr>
            <w:tcW w:w="7440" w:type="dxa"/>
            <w:vAlign w:val="top"/>
          </w:tcPr>
          <w:p w14:paraId="04921DB6">
            <w:pPr>
              <w:pStyle w:val="18"/>
              <w:spacing w:before="190" w:line="279" w:lineRule="auto"/>
              <w:ind w:left="117" w:right="177" w:firstLine="2"/>
              <w:rPr>
                <w:color w:val="auto"/>
                <w:highlight w:val="none"/>
              </w:rPr>
            </w:pPr>
            <w:r>
              <w:rPr>
                <w:color w:val="auto"/>
                <w:spacing w:val="7"/>
                <w:highlight w:val="none"/>
              </w:rPr>
              <w:t>投标时列报的人员不能满足</w:t>
            </w:r>
            <w:r>
              <w:rPr>
                <w:color w:val="auto"/>
                <w:spacing w:val="-33"/>
                <w:highlight w:val="none"/>
              </w:rPr>
              <w:t xml:space="preserve"> </w:t>
            </w:r>
            <w:r>
              <w:rPr>
                <w:rFonts w:ascii="Times New Roman" w:hAnsi="Times New Roman" w:eastAsia="Times New Roman" w:cs="Times New Roman"/>
                <w:color w:val="auto"/>
                <w:spacing w:val="7"/>
                <w:highlight w:val="none"/>
              </w:rPr>
              <w:t>5</w:t>
            </w:r>
            <w:r>
              <w:rPr>
                <w:rFonts w:ascii="Times New Roman" w:hAnsi="Times New Roman" w:eastAsia="Times New Roman" w:cs="Times New Roman"/>
                <w:color w:val="auto"/>
                <w:spacing w:val="7"/>
                <w:highlight w:val="none"/>
                <w:u w:val="single" w:color="auto"/>
              </w:rPr>
              <w:t>0</w:t>
            </w:r>
            <w:r>
              <w:rPr>
                <w:rFonts w:ascii="Calibri" w:hAnsi="Calibri" w:eastAsia="Calibri" w:cs="Calibri"/>
                <w:color w:val="auto"/>
                <w:spacing w:val="7"/>
                <w:highlight w:val="none"/>
              </w:rPr>
              <w:t>%</w:t>
            </w:r>
            <w:r>
              <w:rPr>
                <w:color w:val="auto"/>
                <w:spacing w:val="7"/>
                <w:highlight w:val="none"/>
              </w:rPr>
              <w:t>为本单位自有人员的（</w:t>
            </w:r>
            <w:r>
              <w:rPr>
                <w:color w:val="auto"/>
                <w:spacing w:val="-20"/>
                <w:highlight w:val="none"/>
              </w:rPr>
              <w:t xml:space="preserve"> </w:t>
            </w:r>
            <w:r>
              <w:rPr>
                <w:color w:val="auto"/>
                <w:spacing w:val="7"/>
                <w:highlight w:val="none"/>
              </w:rPr>
              <w:t>自有人员是指为监理人</w:t>
            </w:r>
            <w:r>
              <w:rPr>
                <w:color w:val="auto"/>
                <w:spacing w:val="4"/>
                <w:highlight w:val="none"/>
              </w:rPr>
              <w:t>服务年限不少于</w:t>
            </w:r>
            <w:r>
              <w:rPr>
                <w:color w:val="auto"/>
                <w:spacing w:val="-48"/>
                <w:highlight w:val="none"/>
              </w:rPr>
              <w:t xml:space="preserve"> </w:t>
            </w:r>
            <w:r>
              <w:rPr>
                <w:rFonts w:ascii="Times New Roman" w:hAnsi="Times New Roman" w:eastAsia="Times New Roman" w:cs="Times New Roman"/>
                <w:color w:val="auto"/>
                <w:spacing w:val="4"/>
                <w:highlight w:val="none"/>
              </w:rPr>
              <w:t xml:space="preserve">3 </w:t>
            </w:r>
            <w:r>
              <w:rPr>
                <w:color w:val="auto"/>
                <w:spacing w:val="4"/>
                <w:highlight w:val="none"/>
              </w:rPr>
              <w:t>年的人员</w:t>
            </w:r>
            <w:r>
              <w:rPr>
                <w:color w:val="auto"/>
                <w:spacing w:val="17"/>
                <w:highlight w:val="none"/>
              </w:rPr>
              <w:t>），</w:t>
            </w:r>
            <w:r>
              <w:rPr>
                <w:color w:val="auto"/>
                <w:spacing w:val="4"/>
                <w:highlight w:val="none"/>
              </w:rPr>
              <w:t>按下列条款处理：</w:t>
            </w:r>
          </w:p>
          <w:p w14:paraId="58CEAB92">
            <w:pPr>
              <w:pStyle w:val="18"/>
              <w:spacing w:line="228" w:lineRule="auto"/>
              <w:ind w:left="122"/>
              <w:rPr>
                <w:color w:val="auto"/>
                <w:highlight w:val="none"/>
              </w:rPr>
            </w:pPr>
            <w:r>
              <w:rPr>
                <w:color w:val="auto"/>
                <w:spacing w:val="-1"/>
                <w:sz w:val="18"/>
                <w:szCs w:val="18"/>
                <w:highlight w:val="none"/>
              </w:rPr>
              <w:t xml:space="preserve">（1） </w:t>
            </w:r>
            <w:r>
              <w:rPr>
                <w:color w:val="auto"/>
                <w:spacing w:val="-1"/>
                <w:highlight w:val="none"/>
              </w:rPr>
              <w:t>处以</w:t>
            </w:r>
            <w:r>
              <w:rPr>
                <w:rFonts w:ascii="Times New Roman" w:hAnsi="Times New Roman" w:eastAsia="Times New Roman" w:cs="Times New Roman"/>
                <w:color w:val="auto"/>
                <w:spacing w:val="-1"/>
                <w:highlight w:val="none"/>
                <w:u w:val="single" w:color="auto"/>
              </w:rPr>
              <w:t>5</w:t>
            </w:r>
            <w:r>
              <w:rPr>
                <w:rFonts w:ascii="Times New Roman" w:hAnsi="Times New Roman" w:eastAsia="Times New Roman" w:cs="Times New Roman"/>
                <w:color w:val="auto"/>
                <w:spacing w:val="-1"/>
                <w:highlight w:val="none"/>
              </w:rPr>
              <w:t xml:space="preserve"> </w:t>
            </w:r>
            <w:r>
              <w:rPr>
                <w:color w:val="auto"/>
                <w:spacing w:val="-1"/>
                <w:highlight w:val="none"/>
              </w:rPr>
              <w:t>万元的违约金；</w:t>
            </w:r>
          </w:p>
          <w:p w14:paraId="7744126E">
            <w:pPr>
              <w:pStyle w:val="18"/>
              <w:spacing w:before="22" w:line="284" w:lineRule="auto"/>
              <w:ind w:left="109" w:right="317" w:firstLine="12"/>
              <w:rPr>
                <w:color w:val="auto"/>
                <w:highlight w:val="none"/>
              </w:rPr>
            </w:pPr>
            <w:r>
              <w:rPr>
                <w:color w:val="auto"/>
                <w:spacing w:val="6"/>
                <w:sz w:val="18"/>
                <w:szCs w:val="18"/>
                <w:highlight w:val="none"/>
              </w:rPr>
              <w:t xml:space="preserve">（2） </w:t>
            </w:r>
            <w:r>
              <w:rPr>
                <w:color w:val="auto"/>
                <w:spacing w:val="6"/>
                <w:highlight w:val="none"/>
              </w:rPr>
              <w:t>同时须按要求补足至最低限度要求，如不执行，委托人将处以</w:t>
            </w:r>
            <w:r>
              <w:rPr>
                <w:color w:val="auto"/>
                <w:spacing w:val="-46"/>
                <w:highlight w:val="none"/>
              </w:rPr>
              <w:t xml:space="preserve"> </w:t>
            </w:r>
            <w:r>
              <w:rPr>
                <w:rFonts w:ascii="Times New Roman" w:hAnsi="Times New Roman" w:eastAsia="Times New Roman" w:cs="Times New Roman"/>
                <w:color w:val="auto"/>
                <w:spacing w:val="6"/>
                <w:highlight w:val="none"/>
                <w:u w:val="single" w:color="auto"/>
              </w:rPr>
              <w:t>500</w:t>
            </w:r>
            <w:r>
              <w:rPr>
                <w:color w:val="auto"/>
                <w:spacing w:val="6"/>
                <w:highlight w:val="none"/>
              </w:rPr>
              <w:t>元</w:t>
            </w:r>
            <w:r>
              <w:rPr>
                <w:rFonts w:ascii="Calibri" w:hAnsi="Calibri" w:eastAsia="Calibri" w:cs="Calibri"/>
                <w:color w:val="auto"/>
                <w:spacing w:val="6"/>
                <w:highlight w:val="none"/>
              </w:rPr>
              <w:t>/</w:t>
            </w:r>
            <w:r>
              <w:rPr>
                <w:color w:val="auto"/>
                <w:spacing w:val="6"/>
                <w:highlight w:val="none"/>
              </w:rPr>
              <w:t>天</w:t>
            </w:r>
            <w:r>
              <w:rPr>
                <w:rFonts w:ascii="Calibri" w:hAnsi="Calibri" w:eastAsia="Calibri" w:cs="Calibri"/>
                <w:color w:val="auto"/>
                <w:spacing w:val="9"/>
                <w:highlight w:val="none"/>
              </w:rPr>
              <w:t>/</w:t>
            </w:r>
            <w:r>
              <w:rPr>
                <w:color w:val="auto"/>
                <w:spacing w:val="9"/>
                <w:highlight w:val="none"/>
              </w:rPr>
              <w:t>人的违约金直至监理人纠正至满足要求为止。</w:t>
            </w:r>
          </w:p>
        </w:tc>
      </w:tr>
      <w:tr w14:paraId="748852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610" w:type="dxa"/>
            <w:vMerge w:val="continue"/>
            <w:tcBorders>
              <w:top w:val="nil"/>
              <w:bottom w:val="nil"/>
            </w:tcBorders>
            <w:vAlign w:val="top"/>
          </w:tcPr>
          <w:p w14:paraId="13559E47">
            <w:pPr>
              <w:rPr>
                <w:rFonts w:ascii="Arial"/>
                <w:color w:val="auto"/>
                <w:sz w:val="21"/>
                <w:highlight w:val="none"/>
              </w:rPr>
            </w:pPr>
          </w:p>
        </w:tc>
        <w:tc>
          <w:tcPr>
            <w:tcW w:w="845" w:type="dxa"/>
            <w:vAlign w:val="top"/>
          </w:tcPr>
          <w:p w14:paraId="2A1C4DEA">
            <w:pPr>
              <w:spacing w:line="260" w:lineRule="auto"/>
              <w:rPr>
                <w:rFonts w:ascii="Arial"/>
                <w:color w:val="auto"/>
                <w:sz w:val="21"/>
                <w:highlight w:val="none"/>
              </w:rPr>
            </w:pPr>
          </w:p>
          <w:p w14:paraId="57FD2CCE">
            <w:pPr>
              <w:spacing w:before="58" w:line="192" w:lineRule="auto"/>
              <w:ind w:left="379"/>
              <w:rPr>
                <w:rFonts w:ascii="Times New Roman" w:hAnsi="Times New Roman" w:eastAsia="Times New Roman" w:cs="Times New Roman"/>
                <w:color w:val="auto"/>
                <w:sz w:val="20"/>
                <w:szCs w:val="20"/>
                <w:highlight w:val="none"/>
              </w:rPr>
            </w:pPr>
            <w:r>
              <w:rPr>
                <w:rFonts w:ascii="Times New Roman" w:hAnsi="Times New Roman" w:eastAsia="Times New Roman" w:cs="Times New Roman"/>
                <w:color w:val="auto"/>
                <w:sz w:val="20"/>
                <w:szCs w:val="20"/>
                <w:highlight w:val="none"/>
              </w:rPr>
              <w:t>7</w:t>
            </w:r>
          </w:p>
        </w:tc>
        <w:tc>
          <w:tcPr>
            <w:tcW w:w="7440" w:type="dxa"/>
            <w:vAlign w:val="top"/>
          </w:tcPr>
          <w:p w14:paraId="76AF75A9">
            <w:pPr>
              <w:pStyle w:val="18"/>
              <w:spacing w:before="130" w:line="267" w:lineRule="auto"/>
              <w:ind w:left="120" w:right="187" w:hanging="2"/>
              <w:rPr>
                <w:color w:val="auto"/>
                <w:highlight w:val="none"/>
              </w:rPr>
            </w:pPr>
            <w:r>
              <w:rPr>
                <w:color w:val="auto"/>
                <w:spacing w:val="10"/>
                <w:highlight w:val="none"/>
              </w:rPr>
              <w:t>监理人或监理人员不得以任何名义向承包人索要</w:t>
            </w:r>
            <w:r>
              <w:rPr>
                <w:color w:val="auto"/>
                <w:spacing w:val="9"/>
                <w:highlight w:val="none"/>
              </w:rPr>
              <w:t>各种费用、物品或器具等，每</w:t>
            </w:r>
            <w:r>
              <w:rPr>
                <w:color w:val="auto"/>
                <w:spacing w:val="7"/>
                <w:highlight w:val="none"/>
              </w:rPr>
              <w:t>发现一次处以监理服务费</w:t>
            </w:r>
            <w:r>
              <w:rPr>
                <w:color w:val="auto"/>
                <w:spacing w:val="-42"/>
                <w:highlight w:val="none"/>
              </w:rPr>
              <w:t xml:space="preserve"> </w:t>
            </w:r>
            <w:r>
              <w:rPr>
                <w:rFonts w:ascii="Times New Roman" w:hAnsi="Times New Roman" w:eastAsia="Times New Roman" w:cs="Times New Roman"/>
                <w:color w:val="auto"/>
                <w:spacing w:val="-24"/>
                <w:highlight w:val="none"/>
                <w:u w:val="single" w:color="auto"/>
              </w:rPr>
              <w:t xml:space="preserve"> </w:t>
            </w:r>
            <w:r>
              <w:rPr>
                <w:rFonts w:ascii="Times New Roman" w:hAnsi="Times New Roman" w:eastAsia="Times New Roman" w:cs="Times New Roman"/>
                <w:color w:val="auto"/>
                <w:spacing w:val="7"/>
                <w:highlight w:val="none"/>
                <w:u w:val="single" w:color="auto"/>
              </w:rPr>
              <w:t>10</w:t>
            </w:r>
            <w:r>
              <w:rPr>
                <w:rFonts w:ascii="Times New Roman" w:hAnsi="Times New Roman" w:eastAsia="Times New Roman" w:cs="Times New Roman"/>
                <w:color w:val="auto"/>
                <w:spacing w:val="7"/>
                <w:highlight w:val="none"/>
              </w:rPr>
              <w:t xml:space="preserve"> </w:t>
            </w:r>
            <w:r>
              <w:rPr>
                <w:color w:val="auto"/>
                <w:spacing w:val="7"/>
                <w:highlight w:val="none"/>
              </w:rPr>
              <w:t>万元的违约金，并撤换该人员。</w:t>
            </w:r>
          </w:p>
        </w:tc>
      </w:tr>
      <w:tr w14:paraId="68B5B9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8" w:hRule="atLeast"/>
        </w:trPr>
        <w:tc>
          <w:tcPr>
            <w:tcW w:w="610" w:type="dxa"/>
            <w:vMerge w:val="continue"/>
            <w:tcBorders>
              <w:top w:val="nil"/>
              <w:bottom w:val="nil"/>
            </w:tcBorders>
            <w:vAlign w:val="top"/>
          </w:tcPr>
          <w:p w14:paraId="5B74DE60">
            <w:pPr>
              <w:rPr>
                <w:rFonts w:ascii="Arial"/>
                <w:color w:val="auto"/>
                <w:sz w:val="21"/>
                <w:highlight w:val="none"/>
              </w:rPr>
            </w:pPr>
          </w:p>
        </w:tc>
        <w:tc>
          <w:tcPr>
            <w:tcW w:w="845" w:type="dxa"/>
            <w:vAlign w:val="top"/>
          </w:tcPr>
          <w:p w14:paraId="7B00019A">
            <w:pPr>
              <w:spacing w:line="256" w:lineRule="auto"/>
              <w:rPr>
                <w:rFonts w:ascii="Arial"/>
                <w:color w:val="auto"/>
                <w:sz w:val="21"/>
                <w:highlight w:val="none"/>
              </w:rPr>
            </w:pPr>
          </w:p>
          <w:p w14:paraId="71F673F6">
            <w:pPr>
              <w:spacing w:before="57" w:line="195" w:lineRule="auto"/>
              <w:ind w:left="383"/>
              <w:rPr>
                <w:rFonts w:ascii="Times New Roman" w:hAnsi="Times New Roman" w:eastAsia="Times New Roman" w:cs="Times New Roman"/>
                <w:color w:val="auto"/>
                <w:sz w:val="20"/>
                <w:szCs w:val="20"/>
                <w:highlight w:val="none"/>
              </w:rPr>
            </w:pPr>
            <w:r>
              <w:rPr>
                <w:rFonts w:ascii="Times New Roman" w:hAnsi="Times New Roman" w:eastAsia="Times New Roman" w:cs="Times New Roman"/>
                <w:color w:val="auto"/>
                <w:sz w:val="20"/>
                <w:szCs w:val="20"/>
                <w:highlight w:val="none"/>
              </w:rPr>
              <w:t>8</w:t>
            </w:r>
          </w:p>
        </w:tc>
        <w:tc>
          <w:tcPr>
            <w:tcW w:w="7440" w:type="dxa"/>
            <w:vAlign w:val="top"/>
          </w:tcPr>
          <w:p w14:paraId="15CB5DC5">
            <w:pPr>
              <w:pStyle w:val="18"/>
              <w:spacing w:before="129" w:line="267" w:lineRule="auto"/>
              <w:ind w:left="117" w:right="187" w:firstLine="1"/>
              <w:rPr>
                <w:color w:val="auto"/>
                <w:highlight w:val="none"/>
              </w:rPr>
            </w:pPr>
            <w:r>
              <w:rPr>
                <w:color w:val="auto"/>
                <w:spacing w:val="10"/>
                <w:highlight w:val="none"/>
              </w:rPr>
              <w:t>监理人违反监理合同的规定，将监理服务的任何</w:t>
            </w:r>
            <w:r>
              <w:rPr>
                <w:color w:val="auto"/>
                <w:spacing w:val="9"/>
                <w:highlight w:val="none"/>
              </w:rPr>
              <w:t>部分转让或分包的，委托人有权单方面终止监理合同，并没收监理人的履约担保金。</w:t>
            </w:r>
          </w:p>
        </w:tc>
      </w:tr>
      <w:tr w14:paraId="64110E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5" w:hRule="atLeast"/>
        </w:trPr>
        <w:tc>
          <w:tcPr>
            <w:tcW w:w="610" w:type="dxa"/>
            <w:vMerge w:val="continue"/>
            <w:tcBorders>
              <w:top w:val="nil"/>
            </w:tcBorders>
            <w:vAlign w:val="top"/>
          </w:tcPr>
          <w:p w14:paraId="07021AF1">
            <w:pPr>
              <w:rPr>
                <w:rFonts w:ascii="Arial"/>
                <w:color w:val="auto"/>
                <w:sz w:val="21"/>
                <w:highlight w:val="none"/>
              </w:rPr>
            </w:pPr>
          </w:p>
        </w:tc>
        <w:tc>
          <w:tcPr>
            <w:tcW w:w="845" w:type="dxa"/>
            <w:vAlign w:val="top"/>
          </w:tcPr>
          <w:p w14:paraId="457CF19C">
            <w:pPr>
              <w:spacing w:before="216" w:line="195" w:lineRule="auto"/>
              <w:ind w:left="379"/>
              <w:rPr>
                <w:rFonts w:ascii="Times New Roman" w:hAnsi="Times New Roman" w:eastAsia="Times New Roman" w:cs="Times New Roman"/>
                <w:color w:val="auto"/>
                <w:sz w:val="20"/>
                <w:szCs w:val="20"/>
                <w:highlight w:val="none"/>
              </w:rPr>
            </w:pPr>
            <w:r>
              <w:rPr>
                <w:rFonts w:ascii="Times New Roman" w:hAnsi="Times New Roman" w:eastAsia="Times New Roman" w:cs="Times New Roman"/>
                <w:color w:val="auto"/>
                <w:sz w:val="20"/>
                <w:szCs w:val="20"/>
                <w:highlight w:val="none"/>
              </w:rPr>
              <w:t>9</w:t>
            </w:r>
          </w:p>
        </w:tc>
        <w:tc>
          <w:tcPr>
            <w:tcW w:w="7440" w:type="dxa"/>
            <w:vAlign w:val="top"/>
          </w:tcPr>
          <w:p w14:paraId="5013DF5F">
            <w:pPr>
              <w:pStyle w:val="18"/>
              <w:spacing w:before="118" w:line="279" w:lineRule="auto"/>
              <w:ind w:left="134" w:right="187" w:hanging="16"/>
              <w:rPr>
                <w:color w:val="auto"/>
                <w:highlight w:val="none"/>
              </w:rPr>
            </w:pPr>
            <w:r>
              <w:rPr>
                <w:color w:val="auto"/>
                <w:spacing w:val="10"/>
                <w:highlight w:val="none"/>
              </w:rPr>
              <w:t>监理人不履行职责，造成工程质量、安全事故或</w:t>
            </w:r>
            <w:r>
              <w:rPr>
                <w:color w:val="auto"/>
                <w:spacing w:val="9"/>
                <w:highlight w:val="none"/>
              </w:rPr>
              <w:t>与承包人串通损害委托人利益</w:t>
            </w:r>
            <w:r>
              <w:rPr>
                <w:color w:val="auto"/>
                <w:spacing w:val="7"/>
                <w:highlight w:val="none"/>
              </w:rPr>
              <w:t>的，委托人有权采取以下措施：</w:t>
            </w:r>
          </w:p>
          <w:p w14:paraId="064259F8">
            <w:pPr>
              <w:pStyle w:val="18"/>
              <w:spacing w:before="1" w:line="254" w:lineRule="auto"/>
              <w:ind w:left="118" w:right="391" w:firstLine="4"/>
              <w:rPr>
                <w:color w:val="auto"/>
                <w:highlight w:val="none"/>
              </w:rPr>
            </w:pPr>
            <w:r>
              <w:rPr>
                <w:color w:val="auto"/>
                <w:spacing w:val="6"/>
                <w:sz w:val="18"/>
                <w:szCs w:val="18"/>
                <w:highlight w:val="none"/>
              </w:rPr>
              <w:t xml:space="preserve">（1） </w:t>
            </w:r>
            <w:r>
              <w:rPr>
                <w:color w:val="auto"/>
                <w:spacing w:val="6"/>
                <w:highlight w:val="none"/>
              </w:rPr>
              <w:t>处以</w:t>
            </w:r>
            <w:r>
              <w:rPr>
                <w:rFonts w:ascii="Times New Roman" w:hAnsi="Times New Roman" w:eastAsia="Times New Roman" w:cs="Times New Roman"/>
                <w:color w:val="auto"/>
                <w:spacing w:val="6"/>
                <w:highlight w:val="none"/>
                <w:u w:val="single" w:color="auto"/>
              </w:rPr>
              <w:t>2</w:t>
            </w:r>
            <w:r>
              <w:rPr>
                <w:rFonts w:ascii="Times New Roman" w:hAnsi="Times New Roman" w:eastAsia="Times New Roman" w:cs="Times New Roman"/>
                <w:color w:val="auto"/>
                <w:spacing w:val="6"/>
                <w:highlight w:val="none"/>
              </w:rPr>
              <w:t xml:space="preserve"> </w:t>
            </w:r>
            <w:r>
              <w:rPr>
                <w:color w:val="auto"/>
                <w:spacing w:val="6"/>
                <w:highlight w:val="none"/>
              </w:rPr>
              <w:t>万元的违约金。给委托人造成经济损失的，监理人应以损失额的</w:t>
            </w:r>
            <w:r>
              <w:rPr>
                <w:rFonts w:ascii="Times New Roman" w:hAnsi="Times New Roman" w:eastAsia="Times New Roman" w:cs="Times New Roman"/>
                <w:color w:val="auto"/>
                <w:spacing w:val="7"/>
                <w:highlight w:val="none"/>
                <w:u w:val="single" w:color="auto"/>
              </w:rPr>
              <w:t>30</w:t>
            </w:r>
            <w:r>
              <w:rPr>
                <w:rFonts w:ascii="Calibri" w:hAnsi="Calibri" w:eastAsia="Calibri" w:cs="Calibri"/>
                <w:color w:val="auto"/>
                <w:spacing w:val="7"/>
                <w:highlight w:val="none"/>
              </w:rPr>
              <w:t>%</w:t>
            </w:r>
            <w:r>
              <w:rPr>
                <w:color w:val="auto"/>
                <w:spacing w:val="7"/>
                <w:highlight w:val="none"/>
              </w:rPr>
              <w:t>（在合同条款</w:t>
            </w:r>
            <w:r>
              <w:rPr>
                <w:color w:val="auto"/>
                <w:spacing w:val="-26"/>
                <w:highlight w:val="none"/>
              </w:rPr>
              <w:t xml:space="preserve"> </w:t>
            </w:r>
            <w:r>
              <w:rPr>
                <w:rFonts w:ascii="Calibri" w:hAnsi="Calibri" w:eastAsia="Calibri" w:cs="Calibri"/>
                <w:color w:val="auto"/>
                <w:spacing w:val="7"/>
                <w:highlight w:val="none"/>
              </w:rPr>
              <w:t>11.5</w:t>
            </w:r>
            <w:r>
              <w:rPr>
                <w:rFonts w:ascii="Calibri" w:hAnsi="Calibri" w:eastAsia="Calibri" w:cs="Calibri"/>
                <w:color w:val="auto"/>
                <w:spacing w:val="14"/>
                <w:highlight w:val="none"/>
              </w:rPr>
              <w:t xml:space="preserve"> </w:t>
            </w:r>
            <w:r>
              <w:rPr>
                <w:color w:val="auto"/>
                <w:spacing w:val="7"/>
                <w:highlight w:val="none"/>
              </w:rPr>
              <w:t>款规定的赔偿限额内）赔付给委托人。</w:t>
            </w:r>
          </w:p>
          <w:p w14:paraId="265B1940">
            <w:pPr>
              <w:pStyle w:val="18"/>
              <w:spacing w:before="55" w:line="254" w:lineRule="auto"/>
              <w:ind w:left="118" w:right="463" w:firstLine="6"/>
              <w:rPr>
                <w:color w:val="auto"/>
                <w:highlight w:val="none"/>
              </w:rPr>
            </w:pPr>
            <w:r>
              <w:rPr>
                <w:color w:val="auto"/>
                <w:spacing w:val="9"/>
                <w:sz w:val="18"/>
                <w:szCs w:val="18"/>
                <w:highlight w:val="none"/>
              </w:rPr>
              <w:t xml:space="preserve">（2） </w:t>
            </w:r>
            <w:r>
              <w:rPr>
                <w:color w:val="auto"/>
                <w:spacing w:val="9"/>
                <w:highlight w:val="none"/>
              </w:rPr>
              <w:t>情节严重的，委托人将单方面终止监理合同，并没收监理人的履约担</w:t>
            </w:r>
            <w:r>
              <w:rPr>
                <w:color w:val="auto"/>
                <w:highlight w:val="none"/>
              </w:rPr>
              <w:t>保。</w:t>
            </w:r>
          </w:p>
        </w:tc>
      </w:tr>
      <w:tr w14:paraId="1D3162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9" w:hRule="atLeast"/>
        </w:trPr>
        <w:tc>
          <w:tcPr>
            <w:tcW w:w="610" w:type="dxa"/>
            <w:vMerge w:val="restart"/>
            <w:tcBorders>
              <w:bottom w:val="nil"/>
            </w:tcBorders>
            <w:textDirection w:val="tbRlV"/>
            <w:vAlign w:val="top"/>
          </w:tcPr>
          <w:p w14:paraId="3E4F7A49">
            <w:pPr>
              <w:pStyle w:val="18"/>
              <w:spacing w:before="194" w:line="217" w:lineRule="auto"/>
              <w:ind w:left="3274"/>
              <w:rPr>
                <w:color w:val="auto"/>
                <w:highlight w:val="none"/>
              </w:rPr>
            </w:pPr>
            <w:r>
              <w:rPr>
                <w:b/>
                <w:bCs/>
                <w:color w:val="auto"/>
                <w:spacing w:val="6"/>
                <w:highlight w:val="none"/>
              </w:rPr>
              <w:t>工</w:t>
            </w:r>
            <w:r>
              <w:rPr>
                <w:color w:val="auto"/>
                <w:spacing w:val="-8"/>
                <w:highlight w:val="none"/>
              </w:rPr>
              <w:t xml:space="preserve"> </w:t>
            </w:r>
            <w:r>
              <w:rPr>
                <w:b/>
                <w:bCs/>
                <w:color w:val="auto"/>
                <w:spacing w:val="6"/>
                <w:highlight w:val="none"/>
              </w:rPr>
              <w:t>作</w:t>
            </w:r>
            <w:r>
              <w:rPr>
                <w:color w:val="auto"/>
                <w:spacing w:val="-6"/>
                <w:highlight w:val="none"/>
              </w:rPr>
              <w:t xml:space="preserve"> </w:t>
            </w:r>
            <w:r>
              <w:rPr>
                <w:b/>
                <w:bCs/>
                <w:color w:val="auto"/>
                <w:spacing w:val="6"/>
                <w:highlight w:val="none"/>
              </w:rPr>
              <w:t>态</w:t>
            </w:r>
            <w:r>
              <w:rPr>
                <w:color w:val="auto"/>
                <w:spacing w:val="-6"/>
                <w:highlight w:val="none"/>
              </w:rPr>
              <w:t xml:space="preserve"> </w:t>
            </w:r>
            <w:r>
              <w:rPr>
                <w:b/>
                <w:bCs/>
                <w:color w:val="auto"/>
                <w:spacing w:val="6"/>
                <w:highlight w:val="none"/>
              </w:rPr>
              <w:t>度</w:t>
            </w:r>
          </w:p>
        </w:tc>
        <w:tc>
          <w:tcPr>
            <w:tcW w:w="845" w:type="dxa"/>
            <w:vAlign w:val="top"/>
          </w:tcPr>
          <w:p w14:paraId="25CBC5CB">
            <w:pPr>
              <w:spacing w:line="382" w:lineRule="auto"/>
              <w:rPr>
                <w:rFonts w:ascii="Arial"/>
                <w:color w:val="auto"/>
                <w:sz w:val="21"/>
                <w:highlight w:val="none"/>
              </w:rPr>
            </w:pPr>
          </w:p>
          <w:p w14:paraId="5D2AB9C4">
            <w:pPr>
              <w:spacing w:before="57" w:line="195" w:lineRule="auto"/>
              <w:ind w:left="343"/>
              <w:rPr>
                <w:rFonts w:ascii="Times New Roman" w:hAnsi="Times New Roman" w:eastAsia="Times New Roman" w:cs="Times New Roman"/>
                <w:color w:val="auto"/>
                <w:sz w:val="20"/>
                <w:szCs w:val="20"/>
                <w:highlight w:val="none"/>
              </w:rPr>
            </w:pPr>
            <w:r>
              <w:rPr>
                <w:rFonts w:ascii="Times New Roman" w:hAnsi="Times New Roman" w:eastAsia="Times New Roman" w:cs="Times New Roman"/>
                <w:color w:val="auto"/>
                <w:spacing w:val="-8"/>
                <w:sz w:val="20"/>
                <w:szCs w:val="20"/>
                <w:highlight w:val="none"/>
              </w:rPr>
              <w:t>10</w:t>
            </w:r>
          </w:p>
        </w:tc>
        <w:tc>
          <w:tcPr>
            <w:tcW w:w="7440" w:type="dxa"/>
            <w:vAlign w:val="top"/>
          </w:tcPr>
          <w:p w14:paraId="74303692">
            <w:pPr>
              <w:pStyle w:val="18"/>
              <w:spacing w:before="131" w:line="270" w:lineRule="auto"/>
              <w:ind w:left="117" w:right="79" w:firstLine="2"/>
              <w:jc w:val="both"/>
              <w:rPr>
                <w:color w:val="auto"/>
                <w:highlight w:val="none"/>
              </w:rPr>
            </w:pPr>
            <w:r>
              <w:rPr>
                <w:color w:val="auto"/>
                <w:spacing w:val="7"/>
                <w:highlight w:val="none"/>
              </w:rPr>
              <w:t>最新《公路工程施工监理规范》</w:t>
            </w:r>
            <w:r>
              <w:rPr>
                <w:color w:val="auto"/>
                <w:spacing w:val="4"/>
                <w:highlight w:val="none"/>
              </w:rPr>
              <w:t xml:space="preserve"> </w:t>
            </w:r>
            <w:r>
              <w:rPr>
                <w:color w:val="auto"/>
                <w:spacing w:val="7"/>
                <w:highlight w:val="none"/>
              </w:rPr>
              <w:t>附录</w:t>
            </w:r>
            <w:r>
              <w:rPr>
                <w:color w:val="auto"/>
                <w:spacing w:val="-48"/>
                <w:highlight w:val="none"/>
              </w:rPr>
              <w:t xml:space="preserve"> </w:t>
            </w:r>
            <w:r>
              <w:rPr>
                <w:rFonts w:ascii="Times New Roman" w:hAnsi="Times New Roman" w:eastAsia="Times New Roman" w:cs="Times New Roman"/>
                <w:color w:val="auto"/>
                <w:spacing w:val="7"/>
                <w:highlight w:val="none"/>
              </w:rPr>
              <w:t>A</w:t>
            </w:r>
            <w:r>
              <w:rPr>
                <w:rFonts w:ascii="Times New Roman" w:hAnsi="Times New Roman" w:eastAsia="Times New Roman" w:cs="Times New Roman"/>
                <w:color w:val="auto"/>
                <w:spacing w:val="26"/>
                <w:highlight w:val="none"/>
              </w:rPr>
              <w:t xml:space="preserve"> </w:t>
            </w:r>
            <w:r>
              <w:rPr>
                <w:color w:val="auto"/>
                <w:spacing w:val="7"/>
                <w:highlight w:val="none"/>
              </w:rPr>
              <w:t>中规定的工序、部位必须进行旁站，隐</w:t>
            </w:r>
            <w:r>
              <w:rPr>
                <w:color w:val="auto"/>
                <w:spacing w:val="16"/>
                <w:highlight w:val="none"/>
              </w:rPr>
              <w:t>蔽工程必须全过程旁站。若发现无旁站时，每发现一次给予监理人</w:t>
            </w:r>
            <w:r>
              <w:rPr>
                <w:color w:val="auto"/>
                <w:spacing w:val="-24"/>
                <w:highlight w:val="none"/>
              </w:rPr>
              <w:t xml:space="preserve"> </w:t>
            </w:r>
            <w:r>
              <w:rPr>
                <w:rFonts w:ascii="Times New Roman" w:hAnsi="Times New Roman" w:eastAsia="Times New Roman" w:cs="Times New Roman"/>
                <w:color w:val="auto"/>
                <w:spacing w:val="16"/>
                <w:highlight w:val="none"/>
                <w:u w:val="single" w:color="auto"/>
              </w:rPr>
              <w:t>3000</w:t>
            </w:r>
            <w:r>
              <w:rPr>
                <w:color w:val="auto"/>
                <w:spacing w:val="16"/>
                <w:highlight w:val="none"/>
              </w:rPr>
              <w:t>元的</w:t>
            </w:r>
            <w:r>
              <w:rPr>
                <w:color w:val="auto"/>
                <w:spacing w:val="5"/>
                <w:highlight w:val="none"/>
              </w:rPr>
              <w:t>违约金。</w:t>
            </w:r>
          </w:p>
        </w:tc>
      </w:tr>
      <w:tr w14:paraId="6A06EA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trPr>
        <w:tc>
          <w:tcPr>
            <w:tcW w:w="610" w:type="dxa"/>
            <w:vMerge w:val="continue"/>
            <w:tcBorders>
              <w:top w:val="nil"/>
              <w:bottom w:val="nil"/>
            </w:tcBorders>
            <w:textDirection w:val="tbRlV"/>
            <w:vAlign w:val="top"/>
          </w:tcPr>
          <w:p w14:paraId="45AFC66D">
            <w:pPr>
              <w:rPr>
                <w:rFonts w:ascii="Arial"/>
                <w:color w:val="auto"/>
                <w:sz w:val="21"/>
                <w:highlight w:val="none"/>
              </w:rPr>
            </w:pPr>
          </w:p>
        </w:tc>
        <w:tc>
          <w:tcPr>
            <w:tcW w:w="845" w:type="dxa"/>
            <w:vAlign w:val="top"/>
          </w:tcPr>
          <w:p w14:paraId="4CEF7330">
            <w:pPr>
              <w:spacing w:line="259" w:lineRule="auto"/>
              <w:rPr>
                <w:rFonts w:ascii="Arial"/>
                <w:color w:val="auto"/>
                <w:sz w:val="21"/>
                <w:highlight w:val="none"/>
              </w:rPr>
            </w:pPr>
          </w:p>
          <w:p w14:paraId="3F4ED751">
            <w:pPr>
              <w:spacing w:before="57" w:line="195" w:lineRule="auto"/>
              <w:ind w:left="343"/>
              <w:rPr>
                <w:rFonts w:ascii="Times New Roman" w:hAnsi="Times New Roman" w:eastAsia="Times New Roman" w:cs="Times New Roman"/>
                <w:color w:val="auto"/>
                <w:sz w:val="20"/>
                <w:szCs w:val="20"/>
                <w:highlight w:val="none"/>
              </w:rPr>
            </w:pPr>
            <w:r>
              <w:rPr>
                <w:rFonts w:ascii="Times New Roman" w:hAnsi="Times New Roman" w:eastAsia="Times New Roman" w:cs="Times New Roman"/>
                <w:color w:val="auto"/>
                <w:spacing w:val="-8"/>
                <w:sz w:val="20"/>
                <w:szCs w:val="20"/>
                <w:highlight w:val="none"/>
              </w:rPr>
              <w:t>11</w:t>
            </w:r>
          </w:p>
        </w:tc>
        <w:tc>
          <w:tcPr>
            <w:tcW w:w="7440" w:type="dxa"/>
            <w:vAlign w:val="top"/>
          </w:tcPr>
          <w:p w14:paraId="5E8C1669">
            <w:pPr>
              <w:pStyle w:val="18"/>
              <w:spacing w:before="187" w:line="286" w:lineRule="auto"/>
              <w:ind w:left="118"/>
              <w:rPr>
                <w:color w:val="auto"/>
                <w:highlight w:val="none"/>
              </w:rPr>
            </w:pPr>
            <w:r>
              <w:rPr>
                <w:color w:val="auto"/>
                <w:spacing w:val="8"/>
                <w:highlight w:val="none"/>
              </w:rPr>
              <w:t>监理人员必须及时检查和签认现场资料，如违反处以</w:t>
            </w:r>
            <w:r>
              <w:rPr>
                <w:color w:val="auto"/>
                <w:spacing w:val="-44"/>
                <w:highlight w:val="none"/>
              </w:rPr>
              <w:t xml:space="preserve"> </w:t>
            </w:r>
            <w:r>
              <w:rPr>
                <w:rFonts w:ascii="Times New Roman" w:hAnsi="Times New Roman" w:eastAsia="Times New Roman" w:cs="Times New Roman"/>
                <w:color w:val="auto"/>
                <w:spacing w:val="8"/>
                <w:highlight w:val="none"/>
                <w:u w:val="single" w:color="auto"/>
              </w:rPr>
              <w:t>3000</w:t>
            </w:r>
            <w:r>
              <w:rPr>
                <w:rFonts w:ascii="Times New Roman" w:hAnsi="Times New Roman" w:eastAsia="Times New Roman" w:cs="Times New Roman"/>
                <w:color w:val="auto"/>
                <w:spacing w:val="8"/>
                <w:highlight w:val="none"/>
              </w:rPr>
              <w:t xml:space="preserve"> </w:t>
            </w:r>
            <w:r>
              <w:rPr>
                <w:color w:val="auto"/>
                <w:spacing w:val="8"/>
                <w:highlight w:val="none"/>
              </w:rPr>
              <w:t>元</w:t>
            </w:r>
            <w:r>
              <w:rPr>
                <w:rFonts w:ascii="Calibri" w:hAnsi="Calibri" w:eastAsia="Calibri" w:cs="Calibri"/>
                <w:color w:val="auto"/>
                <w:spacing w:val="8"/>
                <w:highlight w:val="none"/>
              </w:rPr>
              <w:t>/</w:t>
            </w:r>
            <w:r>
              <w:rPr>
                <w:color w:val="auto"/>
                <w:spacing w:val="8"/>
                <w:highlight w:val="none"/>
              </w:rPr>
              <w:t>项</w:t>
            </w:r>
            <w:r>
              <w:rPr>
                <w:rFonts w:ascii="Calibri" w:hAnsi="Calibri" w:eastAsia="Calibri" w:cs="Calibri"/>
                <w:color w:val="auto"/>
                <w:spacing w:val="8"/>
                <w:highlight w:val="none"/>
              </w:rPr>
              <w:t>/</w:t>
            </w:r>
            <w:r>
              <w:rPr>
                <w:color w:val="auto"/>
                <w:spacing w:val="8"/>
                <w:highlight w:val="none"/>
              </w:rPr>
              <w:t>次的违约金。</w:t>
            </w:r>
          </w:p>
        </w:tc>
      </w:tr>
      <w:tr w14:paraId="098C52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610" w:type="dxa"/>
            <w:vMerge w:val="continue"/>
            <w:tcBorders>
              <w:top w:val="nil"/>
              <w:bottom w:val="nil"/>
            </w:tcBorders>
            <w:textDirection w:val="tbRlV"/>
            <w:vAlign w:val="top"/>
          </w:tcPr>
          <w:p w14:paraId="4FC6D4A3">
            <w:pPr>
              <w:rPr>
                <w:rFonts w:ascii="Arial"/>
                <w:color w:val="auto"/>
                <w:sz w:val="21"/>
                <w:highlight w:val="none"/>
              </w:rPr>
            </w:pPr>
          </w:p>
        </w:tc>
        <w:tc>
          <w:tcPr>
            <w:tcW w:w="845" w:type="dxa"/>
            <w:vAlign w:val="top"/>
          </w:tcPr>
          <w:p w14:paraId="3C859C02">
            <w:pPr>
              <w:spacing w:line="256" w:lineRule="auto"/>
              <w:rPr>
                <w:rFonts w:ascii="Arial"/>
                <w:color w:val="auto"/>
                <w:sz w:val="21"/>
                <w:highlight w:val="none"/>
              </w:rPr>
            </w:pPr>
          </w:p>
          <w:p w14:paraId="08B61A51">
            <w:pPr>
              <w:spacing w:before="57" w:line="195" w:lineRule="auto"/>
              <w:ind w:left="343"/>
              <w:rPr>
                <w:rFonts w:ascii="Times New Roman" w:hAnsi="Times New Roman" w:eastAsia="Times New Roman" w:cs="Times New Roman"/>
                <w:color w:val="auto"/>
                <w:sz w:val="20"/>
                <w:szCs w:val="20"/>
                <w:highlight w:val="none"/>
              </w:rPr>
            </w:pPr>
            <w:r>
              <w:rPr>
                <w:rFonts w:ascii="Times New Roman" w:hAnsi="Times New Roman" w:eastAsia="Times New Roman" w:cs="Times New Roman"/>
                <w:color w:val="auto"/>
                <w:spacing w:val="-8"/>
                <w:sz w:val="20"/>
                <w:szCs w:val="20"/>
                <w:highlight w:val="none"/>
              </w:rPr>
              <w:t>12</w:t>
            </w:r>
          </w:p>
        </w:tc>
        <w:tc>
          <w:tcPr>
            <w:tcW w:w="7440" w:type="dxa"/>
            <w:vAlign w:val="top"/>
          </w:tcPr>
          <w:p w14:paraId="4CB8D9BB">
            <w:pPr>
              <w:pStyle w:val="18"/>
              <w:spacing w:before="132" w:line="266" w:lineRule="auto"/>
              <w:ind w:left="140" w:right="187" w:hanging="22"/>
              <w:rPr>
                <w:color w:val="auto"/>
                <w:highlight w:val="none"/>
              </w:rPr>
            </w:pPr>
            <w:r>
              <w:rPr>
                <w:color w:val="auto"/>
                <w:spacing w:val="10"/>
                <w:highlight w:val="none"/>
              </w:rPr>
              <w:t>监理人员未发现施工现场严重违规作业或发现但</w:t>
            </w:r>
            <w:r>
              <w:rPr>
                <w:color w:val="auto"/>
                <w:spacing w:val="9"/>
                <w:highlight w:val="none"/>
              </w:rPr>
              <w:t>没有采取有效措施制止的，处</w:t>
            </w:r>
            <w:r>
              <w:rPr>
                <w:color w:val="auto"/>
                <w:spacing w:val="5"/>
                <w:highlight w:val="none"/>
              </w:rPr>
              <w:t>以</w:t>
            </w:r>
            <w:r>
              <w:rPr>
                <w:color w:val="auto"/>
                <w:spacing w:val="-33"/>
                <w:highlight w:val="none"/>
              </w:rPr>
              <w:t xml:space="preserve"> </w:t>
            </w:r>
            <w:r>
              <w:rPr>
                <w:rFonts w:ascii="Times New Roman" w:hAnsi="Times New Roman" w:eastAsia="Times New Roman" w:cs="Times New Roman"/>
                <w:color w:val="auto"/>
                <w:spacing w:val="5"/>
                <w:highlight w:val="none"/>
                <w:u w:val="single" w:color="auto"/>
              </w:rPr>
              <w:t>5000</w:t>
            </w:r>
            <w:r>
              <w:rPr>
                <w:rFonts w:ascii="Times New Roman" w:hAnsi="Times New Roman" w:eastAsia="Times New Roman" w:cs="Times New Roman"/>
                <w:color w:val="auto"/>
                <w:spacing w:val="5"/>
                <w:highlight w:val="none"/>
              </w:rPr>
              <w:t xml:space="preserve"> </w:t>
            </w:r>
            <w:r>
              <w:rPr>
                <w:color w:val="auto"/>
                <w:spacing w:val="5"/>
                <w:highlight w:val="none"/>
              </w:rPr>
              <w:t>元</w:t>
            </w:r>
            <w:r>
              <w:rPr>
                <w:rFonts w:ascii="Calibri" w:hAnsi="Calibri" w:eastAsia="Calibri" w:cs="Calibri"/>
                <w:color w:val="auto"/>
                <w:spacing w:val="5"/>
                <w:highlight w:val="none"/>
              </w:rPr>
              <w:t>/</w:t>
            </w:r>
            <w:r>
              <w:rPr>
                <w:color w:val="auto"/>
                <w:spacing w:val="5"/>
                <w:highlight w:val="none"/>
              </w:rPr>
              <w:t>次的违约金，撤换有关人员。</w:t>
            </w:r>
          </w:p>
        </w:tc>
      </w:tr>
      <w:tr w14:paraId="01F9C1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610" w:type="dxa"/>
            <w:vMerge w:val="continue"/>
            <w:tcBorders>
              <w:top w:val="nil"/>
              <w:bottom w:val="nil"/>
            </w:tcBorders>
            <w:textDirection w:val="tbRlV"/>
            <w:vAlign w:val="top"/>
          </w:tcPr>
          <w:p w14:paraId="7773576E">
            <w:pPr>
              <w:rPr>
                <w:rFonts w:ascii="Arial"/>
                <w:color w:val="auto"/>
                <w:sz w:val="21"/>
                <w:highlight w:val="none"/>
              </w:rPr>
            </w:pPr>
          </w:p>
        </w:tc>
        <w:tc>
          <w:tcPr>
            <w:tcW w:w="845" w:type="dxa"/>
            <w:vAlign w:val="top"/>
          </w:tcPr>
          <w:p w14:paraId="3B0BE73A">
            <w:pPr>
              <w:spacing w:line="445" w:lineRule="auto"/>
              <w:rPr>
                <w:rFonts w:ascii="Arial"/>
                <w:color w:val="auto"/>
                <w:sz w:val="21"/>
                <w:highlight w:val="none"/>
              </w:rPr>
            </w:pPr>
          </w:p>
          <w:p w14:paraId="16BE7255">
            <w:pPr>
              <w:spacing w:before="58" w:line="195" w:lineRule="auto"/>
              <w:ind w:left="343"/>
              <w:rPr>
                <w:rFonts w:ascii="Times New Roman" w:hAnsi="Times New Roman" w:eastAsia="Times New Roman" w:cs="Times New Roman"/>
                <w:color w:val="auto"/>
                <w:sz w:val="20"/>
                <w:szCs w:val="20"/>
                <w:highlight w:val="none"/>
              </w:rPr>
            </w:pPr>
            <w:r>
              <w:rPr>
                <w:rFonts w:ascii="Times New Roman" w:hAnsi="Times New Roman" w:eastAsia="Times New Roman" w:cs="Times New Roman"/>
                <w:color w:val="auto"/>
                <w:spacing w:val="-8"/>
                <w:sz w:val="20"/>
                <w:szCs w:val="20"/>
                <w:highlight w:val="none"/>
              </w:rPr>
              <w:t>13</w:t>
            </w:r>
          </w:p>
        </w:tc>
        <w:tc>
          <w:tcPr>
            <w:tcW w:w="7440" w:type="dxa"/>
            <w:vAlign w:val="top"/>
          </w:tcPr>
          <w:p w14:paraId="5B18D8D8">
            <w:pPr>
              <w:pStyle w:val="18"/>
              <w:spacing w:before="134" w:line="265" w:lineRule="auto"/>
              <w:ind w:left="117" w:right="201"/>
              <w:rPr>
                <w:color w:val="auto"/>
                <w:highlight w:val="none"/>
              </w:rPr>
            </w:pPr>
            <w:r>
              <w:rPr>
                <w:color w:val="auto"/>
                <w:spacing w:val="9"/>
                <w:highlight w:val="none"/>
              </w:rPr>
              <w:t>监理工程师抽验频率达不到</w:t>
            </w:r>
            <w:r>
              <w:rPr>
                <w:color w:val="auto"/>
                <w:spacing w:val="-45"/>
                <w:highlight w:val="none"/>
              </w:rPr>
              <w:t xml:space="preserve"> </w:t>
            </w:r>
            <w:r>
              <w:rPr>
                <w:rFonts w:ascii="Times New Roman" w:hAnsi="Times New Roman" w:eastAsia="Times New Roman" w:cs="Times New Roman"/>
                <w:color w:val="auto"/>
                <w:spacing w:val="9"/>
                <w:highlight w:val="none"/>
              </w:rPr>
              <w:t>20</w:t>
            </w:r>
            <w:r>
              <w:rPr>
                <w:rFonts w:ascii="Calibri" w:hAnsi="Calibri" w:eastAsia="Calibri" w:cs="Calibri"/>
                <w:color w:val="auto"/>
                <w:spacing w:val="9"/>
                <w:highlight w:val="none"/>
              </w:rPr>
              <w:t>%</w:t>
            </w:r>
            <w:r>
              <w:rPr>
                <w:color w:val="auto"/>
                <w:spacing w:val="9"/>
                <w:highlight w:val="none"/>
              </w:rPr>
              <w:t>或规范规定的频率的：按被检项目单元每少一</w:t>
            </w:r>
            <w:r>
              <w:rPr>
                <w:color w:val="auto"/>
                <w:spacing w:val="8"/>
                <w:highlight w:val="none"/>
              </w:rPr>
              <w:t>个百分点给予</w:t>
            </w:r>
            <w:r>
              <w:rPr>
                <w:color w:val="auto"/>
                <w:spacing w:val="-43"/>
                <w:highlight w:val="none"/>
              </w:rPr>
              <w:t xml:space="preserve"> </w:t>
            </w:r>
            <w:r>
              <w:rPr>
                <w:rFonts w:ascii="Times New Roman" w:hAnsi="Times New Roman" w:eastAsia="Times New Roman" w:cs="Times New Roman"/>
                <w:color w:val="auto"/>
                <w:spacing w:val="8"/>
                <w:highlight w:val="none"/>
                <w:u w:val="single" w:color="auto"/>
              </w:rPr>
              <w:t>3000</w:t>
            </w:r>
            <w:r>
              <w:rPr>
                <w:rFonts w:ascii="Times New Roman" w:hAnsi="Times New Roman" w:eastAsia="Times New Roman" w:cs="Times New Roman"/>
                <w:color w:val="auto"/>
                <w:spacing w:val="8"/>
                <w:highlight w:val="none"/>
              </w:rPr>
              <w:t xml:space="preserve"> </w:t>
            </w:r>
            <w:r>
              <w:rPr>
                <w:color w:val="auto"/>
                <w:spacing w:val="8"/>
                <w:highlight w:val="none"/>
              </w:rPr>
              <w:t>元的违约金，同时视实际情</w:t>
            </w:r>
            <w:r>
              <w:rPr>
                <w:color w:val="auto"/>
                <w:spacing w:val="7"/>
                <w:highlight w:val="none"/>
              </w:rPr>
              <w:t>况进行补检；</w:t>
            </w:r>
          </w:p>
        </w:tc>
      </w:tr>
      <w:tr w14:paraId="436D27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610" w:type="dxa"/>
            <w:vMerge w:val="continue"/>
            <w:tcBorders>
              <w:top w:val="nil"/>
              <w:bottom w:val="nil"/>
            </w:tcBorders>
            <w:textDirection w:val="tbRlV"/>
            <w:vAlign w:val="top"/>
          </w:tcPr>
          <w:p w14:paraId="2CBF15BE">
            <w:pPr>
              <w:rPr>
                <w:rFonts w:ascii="Arial"/>
                <w:color w:val="auto"/>
                <w:sz w:val="21"/>
                <w:highlight w:val="none"/>
              </w:rPr>
            </w:pPr>
          </w:p>
        </w:tc>
        <w:tc>
          <w:tcPr>
            <w:tcW w:w="845" w:type="dxa"/>
            <w:vAlign w:val="top"/>
          </w:tcPr>
          <w:p w14:paraId="4DB32090">
            <w:pPr>
              <w:spacing w:before="233" w:line="195" w:lineRule="auto"/>
              <w:ind w:left="343"/>
              <w:rPr>
                <w:rFonts w:ascii="Times New Roman" w:hAnsi="Times New Roman" w:eastAsia="Times New Roman" w:cs="Times New Roman"/>
                <w:color w:val="auto"/>
                <w:sz w:val="20"/>
                <w:szCs w:val="20"/>
                <w:highlight w:val="none"/>
              </w:rPr>
            </w:pPr>
            <w:r>
              <w:rPr>
                <w:rFonts w:ascii="Times New Roman" w:hAnsi="Times New Roman" w:eastAsia="Times New Roman" w:cs="Times New Roman"/>
                <w:color w:val="auto"/>
                <w:spacing w:val="-8"/>
                <w:sz w:val="20"/>
                <w:szCs w:val="20"/>
                <w:highlight w:val="none"/>
              </w:rPr>
              <w:t>14</w:t>
            </w:r>
          </w:p>
        </w:tc>
        <w:tc>
          <w:tcPr>
            <w:tcW w:w="7440" w:type="dxa"/>
            <w:vAlign w:val="top"/>
          </w:tcPr>
          <w:p w14:paraId="0B104E83">
            <w:pPr>
              <w:pStyle w:val="18"/>
              <w:spacing w:before="132" w:line="266" w:lineRule="auto"/>
              <w:ind w:left="118" w:right="187"/>
              <w:rPr>
                <w:color w:val="auto"/>
                <w:highlight w:val="none"/>
              </w:rPr>
            </w:pPr>
            <w:r>
              <w:rPr>
                <w:color w:val="auto"/>
                <w:spacing w:val="10"/>
                <w:highlight w:val="none"/>
              </w:rPr>
              <w:t>监理工程师不得利用承包人的试验室和不得使用</w:t>
            </w:r>
            <w:r>
              <w:rPr>
                <w:color w:val="auto"/>
                <w:spacing w:val="9"/>
                <w:highlight w:val="none"/>
              </w:rPr>
              <w:t>承包人仪器设备或采取旁站的</w:t>
            </w:r>
            <w:r>
              <w:rPr>
                <w:color w:val="auto"/>
                <w:spacing w:val="7"/>
                <w:highlight w:val="none"/>
              </w:rPr>
              <w:t>方式采集抽验数据，发现一次给予</w:t>
            </w:r>
            <w:r>
              <w:rPr>
                <w:color w:val="auto"/>
                <w:spacing w:val="-53"/>
                <w:highlight w:val="none"/>
              </w:rPr>
              <w:t xml:space="preserve"> </w:t>
            </w:r>
            <w:r>
              <w:rPr>
                <w:rFonts w:ascii="Times New Roman" w:hAnsi="Times New Roman" w:eastAsia="Times New Roman" w:cs="Times New Roman"/>
                <w:color w:val="auto"/>
                <w:spacing w:val="-25"/>
                <w:highlight w:val="none"/>
                <w:u w:val="single" w:color="auto"/>
              </w:rPr>
              <w:t xml:space="preserve"> </w:t>
            </w:r>
            <w:r>
              <w:rPr>
                <w:rFonts w:ascii="Times New Roman" w:hAnsi="Times New Roman" w:eastAsia="Times New Roman" w:cs="Times New Roman"/>
                <w:color w:val="auto"/>
                <w:spacing w:val="7"/>
                <w:highlight w:val="none"/>
                <w:u w:val="single" w:color="auto"/>
              </w:rPr>
              <w:t>1000</w:t>
            </w:r>
            <w:r>
              <w:rPr>
                <w:rFonts w:ascii="Times New Roman" w:hAnsi="Times New Roman" w:eastAsia="Times New Roman" w:cs="Times New Roman"/>
                <w:color w:val="auto"/>
                <w:spacing w:val="7"/>
                <w:highlight w:val="none"/>
              </w:rPr>
              <w:t xml:space="preserve"> </w:t>
            </w:r>
            <w:r>
              <w:rPr>
                <w:color w:val="auto"/>
                <w:spacing w:val="7"/>
                <w:highlight w:val="none"/>
              </w:rPr>
              <w:t>元的违</w:t>
            </w:r>
            <w:r>
              <w:rPr>
                <w:color w:val="auto"/>
                <w:spacing w:val="6"/>
                <w:highlight w:val="none"/>
              </w:rPr>
              <w:t>约金。</w:t>
            </w:r>
          </w:p>
        </w:tc>
      </w:tr>
      <w:tr w14:paraId="1F45D8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7" w:hRule="atLeast"/>
        </w:trPr>
        <w:tc>
          <w:tcPr>
            <w:tcW w:w="610" w:type="dxa"/>
            <w:vMerge w:val="continue"/>
            <w:tcBorders>
              <w:top w:val="nil"/>
              <w:bottom w:val="nil"/>
            </w:tcBorders>
            <w:textDirection w:val="tbRlV"/>
            <w:vAlign w:val="top"/>
          </w:tcPr>
          <w:p w14:paraId="0828FF17">
            <w:pPr>
              <w:rPr>
                <w:rFonts w:ascii="Arial"/>
                <w:color w:val="auto"/>
                <w:sz w:val="21"/>
                <w:highlight w:val="none"/>
              </w:rPr>
            </w:pPr>
          </w:p>
        </w:tc>
        <w:tc>
          <w:tcPr>
            <w:tcW w:w="845" w:type="dxa"/>
            <w:vAlign w:val="top"/>
          </w:tcPr>
          <w:p w14:paraId="2E49820D">
            <w:pPr>
              <w:spacing w:line="292" w:lineRule="auto"/>
              <w:rPr>
                <w:rFonts w:ascii="Arial"/>
                <w:color w:val="auto"/>
                <w:sz w:val="21"/>
                <w:highlight w:val="none"/>
              </w:rPr>
            </w:pPr>
          </w:p>
          <w:p w14:paraId="0EB8D9CD">
            <w:pPr>
              <w:spacing w:line="292" w:lineRule="auto"/>
              <w:rPr>
                <w:rFonts w:ascii="Arial"/>
                <w:color w:val="auto"/>
                <w:sz w:val="21"/>
                <w:highlight w:val="none"/>
              </w:rPr>
            </w:pPr>
          </w:p>
          <w:p w14:paraId="6E928DAC">
            <w:pPr>
              <w:spacing w:line="292" w:lineRule="auto"/>
              <w:rPr>
                <w:rFonts w:ascii="Arial"/>
                <w:color w:val="auto"/>
                <w:sz w:val="21"/>
                <w:highlight w:val="none"/>
              </w:rPr>
            </w:pPr>
          </w:p>
          <w:p w14:paraId="61488FF6">
            <w:pPr>
              <w:spacing w:before="57" w:line="195" w:lineRule="auto"/>
              <w:ind w:left="343"/>
              <w:rPr>
                <w:rFonts w:ascii="Times New Roman" w:hAnsi="Times New Roman" w:eastAsia="Times New Roman" w:cs="Times New Roman"/>
                <w:color w:val="auto"/>
                <w:sz w:val="20"/>
                <w:szCs w:val="20"/>
                <w:highlight w:val="none"/>
              </w:rPr>
            </w:pPr>
            <w:r>
              <w:rPr>
                <w:rFonts w:ascii="Times New Roman" w:hAnsi="Times New Roman" w:eastAsia="Times New Roman" w:cs="Times New Roman"/>
                <w:color w:val="auto"/>
                <w:spacing w:val="-8"/>
                <w:sz w:val="20"/>
                <w:szCs w:val="20"/>
                <w:highlight w:val="none"/>
              </w:rPr>
              <w:t>15</w:t>
            </w:r>
          </w:p>
        </w:tc>
        <w:tc>
          <w:tcPr>
            <w:tcW w:w="7440" w:type="dxa"/>
            <w:vAlign w:val="top"/>
          </w:tcPr>
          <w:p w14:paraId="2CB6A6F6">
            <w:pPr>
              <w:pStyle w:val="18"/>
              <w:spacing w:before="189" w:line="274" w:lineRule="auto"/>
              <w:ind w:left="149" w:right="101"/>
              <w:jc w:val="both"/>
              <w:rPr>
                <w:color w:val="auto"/>
                <w:highlight w:val="none"/>
              </w:rPr>
            </w:pPr>
            <w:r>
              <w:rPr>
                <w:color w:val="auto"/>
                <w:spacing w:val="11"/>
                <w:highlight w:val="none"/>
              </w:rPr>
              <w:t>经监理工程师审核后上报的计划统计报表、计量支付报表及工程变更资料，如</w:t>
            </w:r>
            <w:r>
              <w:rPr>
                <w:color w:val="auto"/>
                <w:spacing w:val="8"/>
                <w:highlight w:val="none"/>
              </w:rPr>
              <w:t>出现未按规定时间报送</w:t>
            </w:r>
            <w:r>
              <w:rPr>
                <w:rFonts w:ascii="Calibri" w:hAnsi="Calibri" w:eastAsia="Calibri" w:cs="Calibri"/>
                <w:color w:val="auto"/>
                <w:spacing w:val="8"/>
                <w:highlight w:val="none"/>
              </w:rPr>
              <w:t>,</w:t>
            </w:r>
            <w:r>
              <w:rPr>
                <w:color w:val="auto"/>
                <w:spacing w:val="8"/>
                <w:highlight w:val="none"/>
              </w:rPr>
              <w:t>处以</w:t>
            </w:r>
            <w:r>
              <w:rPr>
                <w:color w:val="auto"/>
                <w:spacing w:val="-58"/>
                <w:highlight w:val="none"/>
              </w:rPr>
              <w:t xml:space="preserve"> </w:t>
            </w:r>
            <w:r>
              <w:rPr>
                <w:rFonts w:ascii="Times New Roman" w:hAnsi="Times New Roman" w:eastAsia="Times New Roman" w:cs="Times New Roman"/>
                <w:color w:val="auto"/>
                <w:spacing w:val="-25"/>
                <w:highlight w:val="none"/>
                <w:u w:val="single" w:color="auto"/>
              </w:rPr>
              <w:t xml:space="preserve"> </w:t>
            </w:r>
            <w:r>
              <w:rPr>
                <w:rFonts w:ascii="Times New Roman" w:hAnsi="Times New Roman" w:eastAsia="Times New Roman" w:cs="Times New Roman"/>
                <w:color w:val="auto"/>
                <w:spacing w:val="8"/>
                <w:highlight w:val="none"/>
                <w:u w:val="single" w:color="auto"/>
              </w:rPr>
              <w:t>1000</w:t>
            </w:r>
            <w:r>
              <w:rPr>
                <w:color w:val="auto"/>
                <w:spacing w:val="8"/>
                <w:highlight w:val="none"/>
              </w:rPr>
              <w:t>元</w:t>
            </w:r>
            <w:r>
              <w:rPr>
                <w:rFonts w:ascii="Calibri" w:hAnsi="Calibri" w:eastAsia="Calibri" w:cs="Calibri"/>
                <w:color w:val="auto"/>
                <w:spacing w:val="8"/>
                <w:highlight w:val="none"/>
              </w:rPr>
              <w:t>/</w:t>
            </w:r>
            <w:r>
              <w:rPr>
                <w:color w:val="auto"/>
                <w:spacing w:val="8"/>
                <w:highlight w:val="none"/>
              </w:rPr>
              <w:t>项</w:t>
            </w:r>
            <w:r>
              <w:rPr>
                <w:rFonts w:ascii="Calibri" w:hAnsi="Calibri" w:eastAsia="Calibri" w:cs="Calibri"/>
                <w:color w:val="auto"/>
                <w:spacing w:val="8"/>
                <w:highlight w:val="none"/>
              </w:rPr>
              <w:t>/</w:t>
            </w:r>
            <w:r>
              <w:rPr>
                <w:color w:val="auto"/>
                <w:spacing w:val="8"/>
                <w:highlight w:val="none"/>
              </w:rPr>
              <w:t>次的违约金；出现人为错漏、不负责任</w:t>
            </w:r>
            <w:r>
              <w:rPr>
                <w:color w:val="auto"/>
                <w:spacing w:val="23"/>
                <w:highlight w:val="none"/>
              </w:rPr>
              <w:t>乱签字、不按合同条款规定计量导致出现偏差且单项偏差</w:t>
            </w:r>
            <w:r>
              <w:rPr>
                <w:color w:val="auto"/>
                <w:spacing w:val="22"/>
                <w:highlight w:val="none"/>
              </w:rPr>
              <w:t>达到</w:t>
            </w:r>
            <w:r>
              <w:rPr>
                <w:color w:val="auto"/>
                <w:spacing w:val="-19"/>
                <w:highlight w:val="none"/>
              </w:rPr>
              <w:t xml:space="preserve"> </w:t>
            </w:r>
            <w:r>
              <w:rPr>
                <w:rFonts w:ascii="Times New Roman" w:hAnsi="Times New Roman" w:eastAsia="Times New Roman" w:cs="Times New Roman"/>
                <w:color w:val="auto"/>
                <w:spacing w:val="22"/>
                <w:highlight w:val="none"/>
              </w:rPr>
              <w:t>20</w:t>
            </w:r>
            <w:r>
              <w:rPr>
                <w:rFonts w:ascii="Calibri" w:hAnsi="Calibri" w:eastAsia="Calibri" w:cs="Calibri"/>
                <w:color w:val="auto"/>
                <w:spacing w:val="22"/>
                <w:highlight w:val="none"/>
              </w:rPr>
              <w:t>%</w:t>
            </w:r>
            <w:r>
              <w:rPr>
                <w:color w:val="auto"/>
                <w:spacing w:val="22"/>
                <w:highlight w:val="none"/>
              </w:rPr>
              <w:t>或以上</w:t>
            </w:r>
            <w:r>
              <w:rPr>
                <w:color w:val="auto"/>
                <w:spacing w:val="8"/>
                <w:highlight w:val="none"/>
              </w:rPr>
              <w:t>的，处以</w:t>
            </w:r>
            <w:r>
              <w:rPr>
                <w:rFonts w:ascii="Times New Roman" w:hAnsi="Times New Roman" w:eastAsia="Times New Roman" w:cs="Times New Roman"/>
                <w:color w:val="auto"/>
                <w:spacing w:val="8"/>
                <w:highlight w:val="none"/>
                <w:u w:val="single" w:color="auto"/>
              </w:rPr>
              <w:t>3000</w:t>
            </w:r>
            <w:r>
              <w:rPr>
                <w:color w:val="auto"/>
                <w:spacing w:val="8"/>
                <w:highlight w:val="none"/>
              </w:rPr>
              <w:t>元</w:t>
            </w:r>
            <w:r>
              <w:rPr>
                <w:rFonts w:ascii="Calibri" w:hAnsi="Calibri" w:eastAsia="Calibri" w:cs="Calibri"/>
                <w:color w:val="auto"/>
                <w:spacing w:val="8"/>
                <w:highlight w:val="none"/>
              </w:rPr>
              <w:t>/</w:t>
            </w:r>
            <w:r>
              <w:rPr>
                <w:color w:val="auto"/>
                <w:spacing w:val="8"/>
                <w:highlight w:val="none"/>
              </w:rPr>
              <w:t>项</w:t>
            </w:r>
            <w:r>
              <w:rPr>
                <w:rFonts w:ascii="Calibri" w:hAnsi="Calibri" w:eastAsia="Calibri" w:cs="Calibri"/>
                <w:color w:val="auto"/>
                <w:spacing w:val="8"/>
                <w:highlight w:val="none"/>
              </w:rPr>
              <w:t>/</w:t>
            </w:r>
            <w:r>
              <w:rPr>
                <w:color w:val="auto"/>
                <w:spacing w:val="8"/>
                <w:highlight w:val="none"/>
              </w:rPr>
              <w:t>次的违约金，撤换有关人员。</w:t>
            </w:r>
          </w:p>
        </w:tc>
      </w:tr>
      <w:tr w14:paraId="220333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7" w:hRule="atLeast"/>
        </w:trPr>
        <w:tc>
          <w:tcPr>
            <w:tcW w:w="610" w:type="dxa"/>
            <w:vMerge w:val="continue"/>
            <w:tcBorders>
              <w:top w:val="nil"/>
              <w:bottom w:val="nil"/>
            </w:tcBorders>
            <w:textDirection w:val="tbRlV"/>
            <w:vAlign w:val="top"/>
          </w:tcPr>
          <w:p w14:paraId="072C5538">
            <w:pPr>
              <w:rPr>
                <w:rFonts w:ascii="Arial"/>
                <w:color w:val="auto"/>
                <w:sz w:val="21"/>
                <w:highlight w:val="none"/>
              </w:rPr>
            </w:pPr>
          </w:p>
        </w:tc>
        <w:tc>
          <w:tcPr>
            <w:tcW w:w="845" w:type="dxa"/>
            <w:vAlign w:val="top"/>
          </w:tcPr>
          <w:p w14:paraId="3AE100B3">
            <w:pPr>
              <w:spacing w:line="257" w:lineRule="auto"/>
              <w:rPr>
                <w:rFonts w:ascii="Arial"/>
                <w:color w:val="auto"/>
                <w:sz w:val="21"/>
                <w:highlight w:val="none"/>
              </w:rPr>
            </w:pPr>
          </w:p>
          <w:p w14:paraId="5AD27C1E">
            <w:pPr>
              <w:spacing w:line="257" w:lineRule="auto"/>
              <w:rPr>
                <w:rFonts w:ascii="Arial"/>
                <w:color w:val="auto"/>
                <w:sz w:val="21"/>
                <w:highlight w:val="none"/>
              </w:rPr>
            </w:pPr>
          </w:p>
          <w:p w14:paraId="374A634D">
            <w:pPr>
              <w:spacing w:before="57" w:line="195" w:lineRule="auto"/>
              <w:ind w:left="343"/>
              <w:rPr>
                <w:rFonts w:ascii="Times New Roman" w:hAnsi="Times New Roman" w:eastAsia="Times New Roman" w:cs="Times New Roman"/>
                <w:color w:val="auto"/>
                <w:sz w:val="20"/>
                <w:szCs w:val="20"/>
                <w:highlight w:val="none"/>
              </w:rPr>
            </w:pPr>
            <w:r>
              <w:rPr>
                <w:rFonts w:ascii="Times New Roman" w:hAnsi="Times New Roman" w:eastAsia="Times New Roman" w:cs="Times New Roman"/>
                <w:color w:val="auto"/>
                <w:spacing w:val="-8"/>
                <w:sz w:val="20"/>
                <w:szCs w:val="20"/>
                <w:highlight w:val="none"/>
              </w:rPr>
              <w:t>16</w:t>
            </w:r>
          </w:p>
        </w:tc>
        <w:tc>
          <w:tcPr>
            <w:tcW w:w="7440" w:type="dxa"/>
            <w:vAlign w:val="top"/>
          </w:tcPr>
          <w:p w14:paraId="11734671">
            <w:pPr>
              <w:pStyle w:val="18"/>
              <w:spacing w:before="191" w:line="281" w:lineRule="auto"/>
              <w:ind w:left="117" w:right="187"/>
              <w:rPr>
                <w:color w:val="auto"/>
                <w:highlight w:val="none"/>
              </w:rPr>
            </w:pPr>
            <w:r>
              <w:rPr>
                <w:color w:val="auto"/>
                <w:spacing w:val="10"/>
                <w:highlight w:val="none"/>
              </w:rPr>
              <w:t>监理人未按要求建立有关台账及整理有关资料的</w:t>
            </w:r>
            <w:r>
              <w:rPr>
                <w:color w:val="auto"/>
                <w:spacing w:val="9"/>
                <w:highlight w:val="none"/>
              </w:rPr>
              <w:t>，或台账及资料反映的内容与</w:t>
            </w:r>
            <w:r>
              <w:rPr>
                <w:color w:val="auto"/>
                <w:spacing w:val="8"/>
                <w:highlight w:val="none"/>
              </w:rPr>
              <w:t>工程实施进展脱节的，发现一次给予</w:t>
            </w:r>
            <w:r>
              <w:rPr>
                <w:color w:val="auto"/>
                <w:spacing w:val="-25"/>
                <w:highlight w:val="none"/>
              </w:rPr>
              <w:t xml:space="preserve"> </w:t>
            </w:r>
            <w:r>
              <w:rPr>
                <w:rFonts w:ascii="Times New Roman" w:hAnsi="Times New Roman" w:eastAsia="Times New Roman" w:cs="Times New Roman"/>
                <w:color w:val="auto"/>
                <w:spacing w:val="8"/>
                <w:highlight w:val="none"/>
                <w:u w:val="single" w:color="auto"/>
              </w:rPr>
              <w:t>3000</w:t>
            </w:r>
            <w:r>
              <w:rPr>
                <w:rFonts w:ascii="Times New Roman" w:hAnsi="Times New Roman" w:eastAsia="Times New Roman" w:cs="Times New Roman"/>
                <w:color w:val="auto"/>
                <w:spacing w:val="8"/>
                <w:highlight w:val="none"/>
              </w:rPr>
              <w:t xml:space="preserve"> </w:t>
            </w:r>
            <w:r>
              <w:rPr>
                <w:color w:val="auto"/>
                <w:spacing w:val="8"/>
                <w:highlight w:val="none"/>
              </w:rPr>
              <w:t>元的违约金；监理人未按委托人要求提供有关资料及工程汇报材料，或未及时提供的，发现一次处以</w:t>
            </w:r>
            <w:r>
              <w:rPr>
                <w:color w:val="auto"/>
                <w:spacing w:val="-27"/>
                <w:highlight w:val="none"/>
              </w:rPr>
              <w:t xml:space="preserve"> </w:t>
            </w:r>
            <w:r>
              <w:rPr>
                <w:rFonts w:ascii="Times New Roman" w:hAnsi="Times New Roman" w:eastAsia="Times New Roman" w:cs="Times New Roman"/>
                <w:color w:val="auto"/>
                <w:spacing w:val="8"/>
                <w:highlight w:val="none"/>
                <w:u w:val="single" w:color="auto"/>
              </w:rPr>
              <w:t>3000</w:t>
            </w:r>
            <w:r>
              <w:rPr>
                <w:rFonts w:ascii="Times New Roman" w:hAnsi="Times New Roman" w:eastAsia="Times New Roman" w:cs="Times New Roman"/>
                <w:color w:val="auto"/>
                <w:spacing w:val="8"/>
                <w:highlight w:val="none"/>
              </w:rPr>
              <w:t xml:space="preserve"> </w:t>
            </w:r>
            <w:r>
              <w:rPr>
                <w:color w:val="auto"/>
                <w:spacing w:val="8"/>
                <w:highlight w:val="none"/>
              </w:rPr>
              <w:t>元的</w:t>
            </w:r>
            <w:r>
              <w:rPr>
                <w:color w:val="auto"/>
                <w:spacing w:val="5"/>
                <w:highlight w:val="none"/>
              </w:rPr>
              <w:t>违约金。</w:t>
            </w:r>
          </w:p>
        </w:tc>
      </w:tr>
      <w:tr w14:paraId="674AE2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0" w:hRule="atLeast"/>
        </w:trPr>
        <w:tc>
          <w:tcPr>
            <w:tcW w:w="610" w:type="dxa"/>
            <w:vMerge w:val="continue"/>
            <w:tcBorders>
              <w:top w:val="nil"/>
            </w:tcBorders>
            <w:textDirection w:val="tbRlV"/>
            <w:vAlign w:val="top"/>
          </w:tcPr>
          <w:p w14:paraId="75ACE302">
            <w:pPr>
              <w:rPr>
                <w:rFonts w:ascii="Arial"/>
                <w:color w:val="auto"/>
                <w:sz w:val="21"/>
                <w:highlight w:val="none"/>
              </w:rPr>
            </w:pPr>
          </w:p>
        </w:tc>
        <w:tc>
          <w:tcPr>
            <w:tcW w:w="845" w:type="dxa"/>
            <w:vAlign w:val="top"/>
          </w:tcPr>
          <w:p w14:paraId="07C27BDB">
            <w:pPr>
              <w:spacing w:line="259" w:lineRule="auto"/>
              <w:rPr>
                <w:rFonts w:ascii="Arial"/>
                <w:color w:val="auto"/>
                <w:sz w:val="21"/>
                <w:highlight w:val="none"/>
              </w:rPr>
            </w:pPr>
          </w:p>
          <w:p w14:paraId="1A26AEDC">
            <w:pPr>
              <w:spacing w:line="260" w:lineRule="auto"/>
              <w:rPr>
                <w:rFonts w:ascii="Arial"/>
                <w:color w:val="auto"/>
                <w:sz w:val="21"/>
                <w:highlight w:val="none"/>
              </w:rPr>
            </w:pPr>
          </w:p>
          <w:p w14:paraId="7F76A462">
            <w:pPr>
              <w:spacing w:before="57" w:line="195" w:lineRule="auto"/>
              <w:ind w:left="343"/>
              <w:rPr>
                <w:rFonts w:ascii="Times New Roman" w:hAnsi="Times New Roman" w:eastAsia="Times New Roman" w:cs="Times New Roman"/>
                <w:color w:val="auto"/>
                <w:sz w:val="20"/>
                <w:szCs w:val="20"/>
                <w:highlight w:val="none"/>
              </w:rPr>
            </w:pPr>
            <w:r>
              <w:rPr>
                <w:rFonts w:ascii="Times New Roman" w:hAnsi="Times New Roman" w:eastAsia="Times New Roman" w:cs="Times New Roman"/>
                <w:color w:val="auto"/>
                <w:spacing w:val="-8"/>
                <w:sz w:val="20"/>
                <w:szCs w:val="20"/>
                <w:highlight w:val="none"/>
              </w:rPr>
              <w:t>17</w:t>
            </w:r>
          </w:p>
        </w:tc>
        <w:tc>
          <w:tcPr>
            <w:tcW w:w="7440" w:type="dxa"/>
            <w:vAlign w:val="top"/>
          </w:tcPr>
          <w:p w14:paraId="54ED627B">
            <w:pPr>
              <w:pStyle w:val="18"/>
              <w:spacing w:before="192" w:line="280" w:lineRule="auto"/>
              <w:ind w:left="118" w:right="101"/>
              <w:jc w:val="both"/>
              <w:rPr>
                <w:color w:val="auto"/>
                <w:highlight w:val="none"/>
              </w:rPr>
            </w:pPr>
            <w:r>
              <w:rPr>
                <w:color w:val="auto"/>
                <w:spacing w:val="12"/>
                <w:highlight w:val="none"/>
              </w:rPr>
              <w:t>监理人应负责编制竣工档案与结算文件的一致性，重点审查竣工图工程量与结算工程量的一致性，若发现竣工图工程量与结算工程量不一致，每发现一违约</w:t>
            </w:r>
            <w:r>
              <w:rPr>
                <w:color w:val="auto"/>
                <w:spacing w:val="2"/>
                <w:highlight w:val="none"/>
              </w:rPr>
              <w:t>金款</w:t>
            </w:r>
            <w:r>
              <w:rPr>
                <w:color w:val="auto"/>
                <w:spacing w:val="-40"/>
                <w:highlight w:val="none"/>
              </w:rPr>
              <w:t xml:space="preserve"> </w:t>
            </w:r>
            <w:r>
              <w:rPr>
                <w:rFonts w:ascii="Times New Roman" w:hAnsi="Times New Roman" w:eastAsia="Times New Roman" w:cs="Times New Roman"/>
                <w:color w:val="auto"/>
                <w:spacing w:val="2"/>
                <w:highlight w:val="none"/>
                <w:u w:val="single" w:color="auto"/>
              </w:rPr>
              <w:t>500</w:t>
            </w:r>
            <w:r>
              <w:rPr>
                <w:rFonts w:ascii="Times New Roman" w:hAnsi="Times New Roman" w:eastAsia="Times New Roman" w:cs="Times New Roman"/>
                <w:color w:val="auto"/>
                <w:spacing w:val="2"/>
                <w:highlight w:val="none"/>
              </w:rPr>
              <w:t xml:space="preserve"> </w:t>
            </w:r>
            <w:r>
              <w:rPr>
                <w:color w:val="auto"/>
                <w:spacing w:val="2"/>
                <w:highlight w:val="none"/>
              </w:rPr>
              <w:t>元。</w:t>
            </w:r>
          </w:p>
        </w:tc>
      </w:tr>
    </w:tbl>
    <w:p w14:paraId="6D770CBD">
      <w:pPr>
        <w:rPr>
          <w:rFonts w:ascii="Arial"/>
          <w:color w:val="auto"/>
          <w:sz w:val="21"/>
          <w:highlight w:val="none"/>
        </w:rPr>
      </w:pPr>
    </w:p>
    <w:p w14:paraId="7B7C3BE4">
      <w:pPr>
        <w:rPr>
          <w:rFonts w:ascii="Arial" w:hAnsi="Arial" w:eastAsia="Arial" w:cs="Arial"/>
          <w:color w:val="auto"/>
          <w:sz w:val="21"/>
          <w:szCs w:val="21"/>
          <w:highlight w:val="none"/>
        </w:rPr>
        <w:sectPr>
          <w:footerReference r:id="rId61" w:type="default"/>
          <w:pgSz w:w="11906" w:h="16839"/>
          <w:pgMar w:top="1416" w:right="1503" w:bottom="1297" w:left="1502" w:header="0" w:footer="1069" w:gutter="0"/>
          <w:pgNumType w:fmt="decimal"/>
          <w:cols w:space="720" w:num="1"/>
        </w:sectPr>
      </w:pPr>
    </w:p>
    <w:tbl>
      <w:tblPr>
        <w:tblStyle w:val="17"/>
        <w:tblW w:w="889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10"/>
        <w:gridCol w:w="845"/>
        <w:gridCol w:w="7440"/>
      </w:tblGrid>
      <w:tr w14:paraId="4BDAEF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2" w:hRule="atLeast"/>
        </w:trPr>
        <w:tc>
          <w:tcPr>
            <w:tcW w:w="610" w:type="dxa"/>
            <w:textDirection w:val="tbRlV"/>
            <w:vAlign w:val="top"/>
          </w:tcPr>
          <w:p w14:paraId="3A5FF6EF">
            <w:pPr>
              <w:pStyle w:val="18"/>
              <w:spacing w:before="193" w:line="216" w:lineRule="auto"/>
              <w:ind w:left="194"/>
              <w:rPr>
                <w:color w:val="auto"/>
                <w:highlight w:val="none"/>
              </w:rPr>
            </w:pPr>
            <w:r>
              <w:rPr>
                <w:b/>
                <w:bCs/>
                <w:color w:val="auto"/>
                <w:spacing w:val="6"/>
                <w:highlight w:val="none"/>
              </w:rPr>
              <w:t>类</w:t>
            </w:r>
            <w:r>
              <w:rPr>
                <w:color w:val="auto"/>
                <w:spacing w:val="-9"/>
                <w:highlight w:val="none"/>
              </w:rPr>
              <w:t xml:space="preserve"> </w:t>
            </w:r>
            <w:r>
              <w:rPr>
                <w:b/>
                <w:bCs/>
                <w:color w:val="auto"/>
                <w:spacing w:val="6"/>
                <w:highlight w:val="none"/>
              </w:rPr>
              <w:t>别</w:t>
            </w:r>
          </w:p>
        </w:tc>
        <w:tc>
          <w:tcPr>
            <w:tcW w:w="845" w:type="dxa"/>
            <w:vAlign w:val="top"/>
          </w:tcPr>
          <w:p w14:paraId="693B1225">
            <w:pPr>
              <w:spacing w:line="250" w:lineRule="auto"/>
              <w:rPr>
                <w:rFonts w:ascii="Arial"/>
                <w:color w:val="auto"/>
                <w:sz w:val="21"/>
                <w:highlight w:val="none"/>
              </w:rPr>
            </w:pPr>
          </w:p>
          <w:p w14:paraId="33D69071">
            <w:pPr>
              <w:pStyle w:val="18"/>
              <w:spacing w:before="65" w:line="229" w:lineRule="auto"/>
              <w:ind w:left="222"/>
              <w:rPr>
                <w:color w:val="auto"/>
                <w:highlight w:val="none"/>
              </w:rPr>
            </w:pPr>
            <w:r>
              <w:rPr>
                <w:b/>
                <w:bCs/>
                <w:color w:val="auto"/>
                <w:spacing w:val="4"/>
                <w:highlight w:val="none"/>
              </w:rPr>
              <w:t>序号</w:t>
            </w:r>
          </w:p>
        </w:tc>
        <w:tc>
          <w:tcPr>
            <w:tcW w:w="7440" w:type="dxa"/>
            <w:vAlign w:val="top"/>
          </w:tcPr>
          <w:p w14:paraId="5B1302AE">
            <w:pPr>
              <w:spacing w:line="250" w:lineRule="auto"/>
              <w:rPr>
                <w:rFonts w:ascii="Arial"/>
                <w:color w:val="auto"/>
                <w:sz w:val="21"/>
                <w:highlight w:val="none"/>
              </w:rPr>
            </w:pPr>
          </w:p>
          <w:p w14:paraId="66052157">
            <w:pPr>
              <w:pStyle w:val="18"/>
              <w:spacing w:before="65" w:line="228" w:lineRule="auto"/>
              <w:ind w:left="3033"/>
              <w:rPr>
                <w:color w:val="auto"/>
                <w:highlight w:val="none"/>
              </w:rPr>
            </w:pPr>
            <w:r>
              <w:rPr>
                <w:b/>
                <w:bCs/>
                <w:color w:val="auto"/>
                <w:spacing w:val="6"/>
                <w:highlight w:val="none"/>
              </w:rPr>
              <w:t>违约项目</w:t>
            </w:r>
          </w:p>
        </w:tc>
      </w:tr>
      <w:tr w14:paraId="10675B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6" w:hRule="atLeast"/>
        </w:trPr>
        <w:tc>
          <w:tcPr>
            <w:tcW w:w="610" w:type="dxa"/>
            <w:vMerge w:val="restart"/>
            <w:tcBorders>
              <w:bottom w:val="nil"/>
            </w:tcBorders>
            <w:textDirection w:val="tbRlV"/>
            <w:vAlign w:val="top"/>
          </w:tcPr>
          <w:p w14:paraId="42ED171B">
            <w:pPr>
              <w:pStyle w:val="18"/>
              <w:spacing w:before="194" w:line="215" w:lineRule="auto"/>
              <w:ind w:left="2114"/>
              <w:rPr>
                <w:color w:val="auto"/>
                <w:highlight w:val="none"/>
              </w:rPr>
            </w:pPr>
            <w:r>
              <w:rPr>
                <w:b/>
                <w:bCs/>
                <w:color w:val="auto"/>
                <w:spacing w:val="6"/>
                <w:highlight w:val="none"/>
              </w:rPr>
              <w:t>人</w:t>
            </w:r>
            <w:r>
              <w:rPr>
                <w:color w:val="auto"/>
                <w:spacing w:val="-7"/>
                <w:highlight w:val="none"/>
              </w:rPr>
              <w:t xml:space="preserve"> </w:t>
            </w:r>
            <w:r>
              <w:rPr>
                <w:b/>
                <w:bCs/>
                <w:color w:val="auto"/>
                <w:spacing w:val="6"/>
                <w:highlight w:val="none"/>
              </w:rPr>
              <w:t>员</w:t>
            </w:r>
          </w:p>
        </w:tc>
        <w:tc>
          <w:tcPr>
            <w:tcW w:w="845" w:type="dxa"/>
            <w:vAlign w:val="top"/>
          </w:tcPr>
          <w:p w14:paraId="5690FE7C">
            <w:pPr>
              <w:spacing w:line="253" w:lineRule="auto"/>
              <w:rPr>
                <w:rFonts w:ascii="Arial"/>
                <w:color w:val="auto"/>
                <w:sz w:val="21"/>
                <w:highlight w:val="none"/>
              </w:rPr>
            </w:pPr>
          </w:p>
          <w:p w14:paraId="47E599A0">
            <w:pPr>
              <w:spacing w:before="57" w:line="195" w:lineRule="auto"/>
              <w:ind w:left="343"/>
              <w:rPr>
                <w:rFonts w:ascii="Times New Roman" w:hAnsi="Times New Roman" w:eastAsia="Times New Roman" w:cs="Times New Roman"/>
                <w:color w:val="auto"/>
                <w:sz w:val="20"/>
                <w:szCs w:val="20"/>
                <w:highlight w:val="none"/>
              </w:rPr>
            </w:pPr>
            <w:r>
              <w:rPr>
                <w:rFonts w:ascii="Times New Roman" w:hAnsi="Times New Roman" w:eastAsia="Times New Roman" w:cs="Times New Roman"/>
                <w:color w:val="auto"/>
                <w:spacing w:val="-8"/>
                <w:sz w:val="20"/>
                <w:szCs w:val="20"/>
                <w:highlight w:val="none"/>
              </w:rPr>
              <w:t>18</w:t>
            </w:r>
          </w:p>
        </w:tc>
        <w:tc>
          <w:tcPr>
            <w:tcW w:w="7440" w:type="dxa"/>
            <w:vAlign w:val="top"/>
          </w:tcPr>
          <w:p w14:paraId="4DE68C77">
            <w:pPr>
              <w:pStyle w:val="18"/>
              <w:spacing w:before="177" w:line="286" w:lineRule="auto"/>
              <w:ind w:left="118"/>
              <w:rPr>
                <w:color w:val="auto"/>
                <w:highlight w:val="none"/>
              </w:rPr>
            </w:pPr>
            <w:r>
              <w:rPr>
                <w:color w:val="auto"/>
                <w:spacing w:val="9"/>
                <w:highlight w:val="none"/>
              </w:rPr>
              <w:t>监理人未经委托人同意擅自更换档案管理人员</w:t>
            </w:r>
            <w:r>
              <w:rPr>
                <w:color w:val="auto"/>
                <w:spacing w:val="8"/>
                <w:highlight w:val="none"/>
              </w:rPr>
              <w:t>的，处以</w:t>
            </w:r>
            <w:r>
              <w:rPr>
                <w:color w:val="auto"/>
                <w:spacing w:val="-48"/>
                <w:highlight w:val="none"/>
              </w:rPr>
              <w:t xml:space="preserve"> </w:t>
            </w:r>
            <w:r>
              <w:rPr>
                <w:rFonts w:ascii="Times New Roman" w:hAnsi="Times New Roman" w:eastAsia="Times New Roman" w:cs="Times New Roman"/>
                <w:color w:val="auto"/>
                <w:spacing w:val="8"/>
                <w:highlight w:val="none"/>
                <w:u w:val="single" w:color="auto"/>
              </w:rPr>
              <w:t>2</w:t>
            </w:r>
            <w:r>
              <w:rPr>
                <w:rFonts w:ascii="Times New Roman" w:hAnsi="Times New Roman" w:eastAsia="Times New Roman" w:cs="Times New Roman"/>
                <w:color w:val="auto"/>
                <w:spacing w:val="8"/>
                <w:highlight w:val="none"/>
              </w:rPr>
              <w:t xml:space="preserve"> </w:t>
            </w:r>
            <w:r>
              <w:rPr>
                <w:color w:val="auto"/>
                <w:spacing w:val="8"/>
                <w:highlight w:val="none"/>
              </w:rPr>
              <w:t>万元</w:t>
            </w:r>
            <w:r>
              <w:rPr>
                <w:rFonts w:ascii="Calibri" w:hAnsi="Calibri" w:eastAsia="Calibri" w:cs="Calibri"/>
                <w:color w:val="auto"/>
                <w:spacing w:val="8"/>
                <w:highlight w:val="none"/>
              </w:rPr>
              <w:t>/</w:t>
            </w:r>
            <w:r>
              <w:rPr>
                <w:color w:val="auto"/>
                <w:spacing w:val="8"/>
                <w:highlight w:val="none"/>
              </w:rPr>
              <w:t>人的违约金。</w:t>
            </w:r>
          </w:p>
        </w:tc>
      </w:tr>
      <w:tr w14:paraId="551029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17" w:hRule="atLeast"/>
        </w:trPr>
        <w:tc>
          <w:tcPr>
            <w:tcW w:w="610" w:type="dxa"/>
            <w:vMerge w:val="continue"/>
            <w:tcBorders>
              <w:top w:val="nil"/>
              <w:bottom w:val="nil"/>
            </w:tcBorders>
            <w:textDirection w:val="tbRlV"/>
            <w:vAlign w:val="top"/>
          </w:tcPr>
          <w:p w14:paraId="04AC2D16">
            <w:pPr>
              <w:rPr>
                <w:rFonts w:ascii="Arial"/>
                <w:color w:val="auto"/>
                <w:sz w:val="21"/>
                <w:highlight w:val="none"/>
              </w:rPr>
            </w:pPr>
          </w:p>
        </w:tc>
        <w:tc>
          <w:tcPr>
            <w:tcW w:w="845" w:type="dxa"/>
            <w:vAlign w:val="top"/>
          </w:tcPr>
          <w:p w14:paraId="5FD58619">
            <w:pPr>
              <w:spacing w:line="338" w:lineRule="auto"/>
              <w:rPr>
                <w:rFonts w:ascii="Arial"/>
                <w:color w:val="auto"/>
                <w:sz w:val="21"/>
                <w:highlight w:val="none"/>
              </w:rPr>
            </w:pPr>
          </w:p>
          <w:p w14:paraId="323C66B1">
            <w:pPr>
              <w:spacing w:line="339" w:lineRule="auto"/>
              <w:rPr>
                <w:rFonts w:ascii="Arial"/>
                <w:color w:val="auto"/>
                <w:sz w:val="21"/>
                <w:highlight w:val="none"/>
              </w:rPr>
            </w:pPr>
          </w:p>
          <w:p w14:paraId="42911A1D">
            <w:pPr>
              <w:spacing w:before="58" w:line="195" w:lineRule="auto"/>
              <w:ind w:left="343"/>
              <w:rPr>
                <w:rFonts w:ascii="Times New Roman" w:hAnsi="Times New Roman" w:eastAsia="Times New Roman" w:cs="Times New Roman"/>
                <w:color w:val="auto"/>
                <w:sz w:val="20"/>
                <w:szCs w:val="20"/>
                <w:highlight w:val="none"/>
              </w:rPr>
            </w:pPr>
            <w:r>
              <w:rPr>
                <w:rFonts w:ascii="Times New Roman" w:hAnsi="Times New Roman" w:eastAsia="Times New Roman" w:cs="Times New Roman"/>
                <w:color w:val="auto"/>
                <w:spacing w:val="-8"/>
                <w:sz w:val="20"/>
                <w:szCs w:val="20"/>
                <w:highlight w:val="none"/>
              </w:rPr>
              <w:t>19</w:t>
            </w:r>
          </w:p>
        </w:tc>
        <w:tc>
          <w:tcPr>
            <w:tcW w:w="7440" w:type="dxa"/>
            <w:vAlign w:val="top"/>
          </w:tcPr>
          <w:p w14:paraId="029386A7">
            <w:pPr>
              <w:pStyle w:val="18"/>
              <w:spacing w:before="157" w:line="236" w:lineRule="auto"/>
              <w:ind w:left="121" w:right="187" w:hanging="4"/>
              <w:rPr>
                <w:color w:val="auto"/>
                <w:highlight w:val="none"/>
              </w:rPr>
            </w:pPr>
            <w:r>
              <w:rPr>
                <w:color w:val="auto"/>
                <w:spacing w:val="10"/>
                <w:highlight w:val="none"/>
              </w:rPr>
              <w:t>委托人要求核查的监理人员的证件原件（执业资格证</w:t>
            </w:r>
            <w:r>
              <w:rPr>
                <w:color w:val="auto"/>
                <w:spacing w:val="9"/>
                <w:highlight w:val="none"/>
              </w:rPr>
              <w:t>、职称证等）不能提供或</w:t>
            </w:r>
            <w:r>
              <w:rPr>
                <w:color w:val="auto"/>
                <w:spacing w:val="8"/>
                <w:highlight w:val="none"/>
              </w:rPr>
              <w:t>不能按时提供的，按下列条款处理：</w:t>
            </w:r>
          </w:p>
          <w:p w14:paraId="56BCE5FE">
            <w:pPr>
              <w:pStyle w:val="18"/>
              <w:spacing w:line="282" w:lineRule="auto"/>
              <w:ind w:left="128"/>
              <w:rPr>
                <w:color w:val="auto"/>
                <w:highlight w:val="none"/>
              </w:rPr>
            </w:pPr>
            <w:r>
              <w:rPr>
                <w:color w:val="auto"/>
                <w:spacing w:val="4"/>
                <w:highlight w:val="none"/>
              </w:rPr>
              <w:t>（</w:t>
            </w:r>
            <w:r>
              <w:rPr>
                <w:rFonts w:ascii="Times New Roman" w:hAnsi="Times New Roman" w:eastAsia="Times New Roman" w:cs="Times New Roman"/>
                <w:color w:val="auto"/>
                <w:spacing w:val="4"/>
                <w:highlight w:val="none"/>
              </w:rPr>
              <w:t>1</w:t>
            </w:r>
            <w:r>
              <w:rPr>
                <w:color w:val="auto"/>
                <w:spacing w:val="4"/>
                <w:highlight w:val="none"/>
              </w:rPr>
              <w:t>）处以</w:t>
            </w:r>
            <w:r>
              <w:rPr>
                <w:rFonts w:ascii="Times New Roman" w:hAnsi="Times New Roman" w:eastAsia="Times New Roman" w:cs="Times New Roman"/>
                <w:color w:val="auto"/>
                <w:spacing w:val="37"/>
                <w:highlight w:val="none"/>
                <w:u w:val="single" w:color="auto"/>
              </w:rPr>
              <w:t xml:space="preserve"> </w:t>
            </w:r>
            <w:r>
              <w:rPr>
                <w:rFonts w:ascii="Times New Roman" w:hAnsi="Times New Roman" w:eastAsia="Times New Roman" w:cs="Times New Roman"/>
                <w:color w:val="auto"/>
                <w:spacing w:val="4"/>
                <w:highlight w:val="none"/>
                <w:u w:val="single" w:color="auto"/>
              </w:rPr>
              <w:t xml:space="preserve">1 </w:t>
            </w:r>
            <w:r>
              <w:rPr>
                <w:color w:val="auto"/>
                <w:spacing w:val="4"/>
                <w:highlight w:val="none"/>
              </w:rPr>
              <w:t>万元</w:t>
            </w:r>
            <w:r>
              <w:rPr>
                <w:rFonts w:ascii="Calibri" w:hAnsi="Calibri" w:eastAsia="Calibri" w:cs="Calibri"/>
                <w:color w:val="auto"/>
                <w:spacing w:val="4"/>
                <w:highlight w:val="none"/>
              </w:rPr>
              <w:t>/</w:t>
            </w:r>
            <w:r>
              <w:rPr>
                <w:color w:val="auto"/>
                <w:spacing w:val="4"/>
                <w:highlight w:val="none"/>
              </w:rPr>
              <w:t>人次的违约金；</w:t>
            </w:r>
          </w:p>
          <w:p w14:paraId="34D73991">
            <w:pPr>
              <w:pStyle w:val="18"/>
              <w:spacing w:line="253" w:lineRule="auto"/>
              <w:ind w:left="119" w:right="27" w:firstLine="8"/>
              <w:rPr>
                <w:color w:val="auto"/>
                <w:highlight w:val="none"/>
              </w:rPr>
            </w:pPr>
            <w:r>
              <w:rPr>
                <w:color w:val="auto"/>
                <w:spacing w:val="8"/>
                <w:highlight w:val="none"/>
              </w:rPr>
              <w:t>（</w:t>
            </w:r>
            <w:r>
              <w:rPr>
                <w:rFonts w:ascii="Times New Roman" w:hAnsi="Times New Roman" w:eastAsia="Times New Roman" w:cs="Times New Roman"/>
                <w:color w:val="auto"/>
                <w:spacing w:val="8"/>
                <w:highlight w:val="none"/>
              </w:rPr>
              <w:t>2</w:t>
            </w:r>
            <w:r>
              <w:rPr>
                <w:color w:val="auto"/>
                <w:spacing w:val="8"/>
                <w:highlight w:val="none"/>
              </w:rPr>
              <w:t>）同时委托人有权要求监理人进行更换，如不按要求进行更换的，处以</w:t>
            </w:r>
            <w:r>
              <w:rPr>
                <w:color w:val="auto"/>
                <w:spacing w:val="-43"/>
                <w:highlight w:val="none"/>
              </w:rPr>
              <w:t xml:space="preserve"> </w:t>
            </w:r>
            <w:r>
              <w:rPr>
                <w:rFonts w:ascii="Times New Roman" w:hAnsi="Times New Roman" w:eastAsia="Times New Roman" w:cs="Times New Roman"/>
                <w:color w:val="auto"/>
                <w:spacing w:val="-26"/>
                <w:highlight w:val="none"/>
                <w:u w:val="single" w:color="auto"/>
              </w:rPr>
              <w:t xml:space="preserve"> </w:t>
            </w:r>
            <w:r>
              <w:rPr>
                <w:rFonts w:ascii="Times New Roman" w:hAnsi="Times New Roman" w:eastAsia="Times New Roman" w:cs="Times New Roman"/>
                <w:color w:val="auto"/>
                <w:spacing w:val="8"/>
                <w:highlight w:val="none"/>
                <w:u w:val="single" w:color="auto"/>
              </w:rPr>
              <w:t>1000</w:t>
            </w:r>
            <w:r>
              <w:rPr>
                <w:color w:val="auto"/>
                <w:spacing w:val="8"/>
                <w:highlight w:val="none"/>
              </w:rPr>
              <w:t>元</w:t>
            </w:r>
            <w:r>
              <w:rPr>
                <w:rFonts w:ascii="Calibri" w:hAnsi="Calibri" w:eastAsia="Calibri" w:cs="Calibri"/>
                <w:color w:val="auto"/>
                <w:spacing w:val="8"/>
                <w:highlight w:val="none"/>
              </w:rPr>
              <w:t>/</w:t>
            </w:r>
            <w:r>
              <w:rPr>
                <w:color w:val="auto"/>
                <w:spacing w:val="8"/>
                <w:highlight w:val="none"/>
              </w:rPr>
              <w:t>天的违约金直至监理人更换为止。</w:t>
            </w:r>
          </w:p>
        </w:tc>
      </w:tr>
      <w:tr w14:paraId="6E2CDD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8" w:hRule="atLeast"/>
        </w:trPr>
        <w:tc>
          <w:tcPr>
            <w:tcW w:w="610" w:type="dxa"/>
            <w:vMerge w:val="continue"/>
            <w:tcBorders>
              <w:top w:val="nil"/>
              <w:bottom w:val="nil"/>
            </w:tcBorders>
            <w:textDirection w:val="tbRlV"/>
            <w:vAlign w:val="top"/>
          </w:tcPr>
          <w:p w14:paraId="6F878623">
            <w:pPr>
              <w:rPr>
                <w:rFonts w:ascii="Arial"/>
                <w:color w:val="auto"/>
                <w:sz w:val="21"/>
                <w:highlight w:val="none"/>
              </w:rPr>
            </w:pPr>
          </w:p>
        </w:tc>
        <w:tc>
          <w:tcPr>
            <w:tcW w:w="845" w:type="dxa"/>
            <w:vAlign w:val="top"/>
          </w:tcPr>
          <w:p w14:paraId="3060C7D4">
            <w:pPr>
              <w:spacing w:line="254" w:lineRule="auto"/>
              <w:rPr>
                <w:rFonts w:ascii="Arial"/>
                <w:color w:val="auto"/>
                <w:sz w:val="21"/>
                <w:highlight w:val="none"/>
              </w:rPr>
            </w:pPr>
          </w:p>
          <w:p w14:paraId="5429BCC0">
            <w:pPr>
              <w:spacing w:line="254" w:lineRule="auto"/>
              <w:rPr>
                <w:rFonts w:ascii="Arial"/>
                <w:color w:val="auto"/>
                <w:sz w:val="21"/>
                <w:highlight w:val="none"/>
              </w:rPr>
            </w:pPr>
          </w:p>
          <w:p w14:paraId="36FEEAF2">
            <w:pPr>
              <w:spacing w:line="255" w:lineRule="auto"/>
              <w:rPr>
                <w:rFonts w:ascii="Arial"/>
                <w:color w:val="auto"/>
                <w:sz w:val="21"/>
                <w:highlight w:val="none"/>
              </w:rPr>
            </w:pPr>
          </w:p>
          <w:p w14:paraId="546FB886">
            <w:pPr>
              <w:spacing w:before="58" w:line="195" w:lineRule="auto"/>
              <w:ind w:left="323"/>
              <w:rPr>
                <w:rFonts w:ascii="Times New Roman" w:hAnsi="Times New Roman" w:eastAsia="Times New Roman" w:cs="Times New Roman"/>
                <w:color w:val="auto"/>
                <w:sz w:val="20"/>
                <w:szCs w:val="20"/>
                <w:highlight w:val="none"/>
              </w:rPr>
            </w:pPr>
            <w:r>
              <w:rPr>
                <w:rFonts w:ascii="Times New Roman" w:hAnsi="Times New Roman" w:eastAsia="Times New Roman" w:cs="Times New Roman"/>
                <w:color w:val="auto"/>
                <w:spacing w:val="2"/>
                <w:sz w:val="20"/>
                <w:szCs w:val="20"/>
                <w:highlight w:val="none"/>
              </w:rPr>
              <w:t>20</w:t>
            </w:r>
          </w:p>
        </w:tc>
        <w:tc>
          <w:tcPr>
            <w:tcW w:w="7440" w:type="dxa"/>
            <w:vAlign w:val="top"/>
          </w:tcPr>
          <w:p w14:paraId="775F057C">
            <w:pPr>
              <w:pStyle w:val="18"/>
              <w:spacing w:before="35"/>
              <w:ind w:left="120" w:right="187" w:hanging="3"/>
              <w:jc w:val="both"/>
              <w:rPr>
                <w:color w:val="auto"/>
                <w:highlight w:val="none"/>
              </w:rPr>
            </w:pPr>
            <w:r>
              <w:rPr>
                <w:color w:val="auto"/>
                <w:spacing w:val="10"/>
                <w:highlight w:val="none"/>
              </w:rPr>
              <w:t>委托人发现监理人在投标时列报的监理人员不完全满</w:t>
            </w:r>
            <w:r>
              <w:rPr>
                <w:color w:val="auto"/>
                <w:spacing w:val="9"/>
                <w:highlight w:val="none"/>
              </w:rPr>
              <w:t>足相应岗位资格要求（如</w:t>
            </w:r>
            <w:r>
              <w:rPr>
                <w:color w:val="auto"/>
                <w:spacing w:val="10"/>
                <w:highlight w:val="none"/>
              </w:rPr>
              <w:t>工作经验，工作能力、监理服务年限、年龄</w:t>
            </w:r>
            <w:r>
              <w:rPr>
                <w:color w:val="auto"/>
                <w:spacing w:val="9"/>
                <w:highlight w:val="none"/>
              </w:rPr>
              <w:t>、执业资格证等）的，按下列条款</w:t>
            </w:r>
            <w:r>
              <w:rPr>
                <w:color w:val="auto"/>
                <w:spacing w:val="2"/>
                <w:highlight w:val="none"/>
              </w:rPr>
              <w:t>处理：</w:t>
            </w:r>
          </w:p>
          <w:p w14:paraId="46C16365">
            <w:pPr>
              <w:pStyle w:val="18"/>
              <w:spacing w:line="282" w:lineRule="auto"/>
              <w:ind w:left="128"/>
              <w:rPr>
                <w:color w:val="auto"/>
                <w:highlight w:val="none"/>
              </w:rPr>
            </w:pPr>
            <w:r>
              <w:rPr>
                <w:color w:val="auto"/>
                <w:spacing w:val="5"/>
                <w:highlight w:val="none"/>
              </w:rPr>
              <w:t>（</w:t>
            </w:r>
            <w:r>
              <w:rPr>
                <w:rFonts w:ascii="Times New Roman" w:hAnsi="Times New Roman" w:eastAsia="Times New Roman" w:cs="Times New Roman"/>
                <w:color w:val="auto"/>
                <w:spacing w:val="5"/>
                <w:highlight w:val="none"/>
              </w:rPr>
              <w:t>1</w:t>
            </w:r>
            <w:r>
              <w:rPr>
                <w:color w:val="auto"/>
                <w:spacing w:val="5"/>
                <w:highlight w:val="none"/>
              </w:rPr>
              <w:t>）处以</w:t>
            </w:r>
            <w:r>
              <w:rPr>
                <w:rFonts w:ascii="Times New Roman" w:hAnsi="Times New Roman" w:eastAsia="Times New Roman" w:cs="Times New Roman"/>
                <w:color w:val="auto"/>
                <w:spacing w:val="5"/>
                <w:highlight w:val="none"/>
                <w:u w:val="single" w:color="auto"/>
              </w:rPr>
              <w:t xml:space="preserve"> 3 </w:t>
            </w:r>
            <w:r>
              <w:rPr>
                <w:color w:val="auto"/>
                <w:spacing w:val="5"/>
                <w:highlight w:val="none"/>
              </w:rPr>
              <w:t>万元</w:t>
            </w:r>
            <w:r>
              <w:rPr>
                <w:rFonts w:ascii="Calibri" w:hAnsi="Calibri" w:eastAsia="Calibri" w:cs="Calibri"/>
                <w:color w:val="auto"/>
                <w:spacing w:val="5"/>
                <w:highlight w:val="none"/>
              </w:rPr>
              <w:t>/</w:t>
            </w:r>
            <w:r>
              <w:rPr>
                <w:color w:val="auto"/>
                <w:spacing w:val="5"/>
                <w:highlight w:val="none"/>
              </w:rPr>
              <w:t>人的违约金；</w:t>
            </w:r>
          </w:p>
          <w:p w14:paraId="3FFFFFE1">
            <w:pPr>
              <w:pStyle w:val="18"/>
              <w:spacing w:before="1" w:line="233" w:lineRule="auto"/>
              <w:ind w:left="119" w:right="27" w:firstLine="8"/>
              <w:rPr>
                <w:color w:val="auto"/>
                <w:highlight w:val="none"/>
              </w:rPr>
            </w:pPr>
            <w:r>
              <w:rPr>
                <w:color w:val="auto"/>
                <w:spacing w:val="8"/>
                <w:highlight w:val="none"/>
              </w:rPr>
              <w:t>（</w:t>
            </w:r>
            <w:r>
              <w:rPr>
                <w:rFonts w:ascii="Times New Roman" w:hAnsi="Times New Roman" w:eastAsia="Times New Roman" w:cs="Times New Roman"/>
                <w:color w:val="auto"/>
                <w:spacing w:val="8"/>
                <w:highlight w:val="none"/>
              </w:rPr>
              <w:t>2</w:t>
            </w:r>
            <w:r>
              <w:rPr>
                <w:color w:val="auto"/>
                <w:spacing w:val="8"/>
                <w:highlight w:val="none"/>
              </w:rPr>
              <w:t>）同时委托人有权要求监理人进行更换，如不按要求进行更换的，处以</w:t>
            </w:r>
            <w:r>
              <w:rPr>
                <w:color w:val="auto"/>
                <w:spacing w:val="-43"/>
                <w:highlight w:val="none"/>
              </w:rPr>
              <w:t xml:space="preserve"> </w:t>
            </w:r>
            <w:r>
              <w:rPr>
                <w:rFonts w:ascii="Times New Roman" w:hAnsi="Times New Roman" w:eastAsia="Times New Roman" w:cs="Times New Roman"/>
                <w:color w:val="auto"/>
                <w:spacing w:val="-26"/>
                <w:highlight w:val="none"/>
                <w:u w:val="single" w:color="auto"/>
              </w:rPr>
              <w:t xml:space="preserve"> </w:t>
            </w:r>
            <w:r>
              <w:rPr>
                <w:rFonts w:ascii="Times New Roman" w:hAnsi="Times New Roman" w:eastAsia="Times New Roman" w:cs="Times New Roman"/>
                <w:color w:val="auto"/>
                <w:spacing w:val="8"/>
                <w:highlight w:val="none"/>
                <w:u w:val="single" w:color="auto"/>
              </w:rPr>
              <w:t>1000</w:t>
            </w:r>
            <w:r>
              <w:rPr>
                <w:color w:val="auto"/>
                <w:spacing w:val="8"/>
                <w:highlight w:val="none"/>
              </w:rPr>
              <w:t>元</w:t>
            </w:r>
            <w:r>
              <w:rPr>
                <w:rFonts w:ascii="Calibri" w:hAnsi="Calibri" w:eastAsia="Calibri" w:cs="Calibri"/>
                <w:color w:val="auto"/>
                <w:spacing w:val="8"/>
                <w:highlight w:val="none"/>
              </w:rPr>
              <w:t>/</w:t>
            </w:r>
            <w:r>
              <w:rPr>
                <w:color w:val="auto"/>
                <w:spacing w:val="8"/>
                <w:highlight w:val="none"/>
              </w:rPr>
              <w:t>天</w:t>
            </w:r>
            <w:r>
              <w:rPr>
                <w:rFonts w:ascii="Calibri" w:hAnsi="Calibri" w:eastAsia="Calibri" w:cs="Calibri"/>
                <w:color w:val="auto"/>
                <w:spacing w:val="8"/>
                <w:highlight w:val="none"/>
              </w:rPr>
              <w:t>/</w:t>
            </w:r>
            <w:r>
              <w:rPr>
                <w:color w:val="auto"/>
                <w:spacing w:val="8"/>
                <w:highlight w:val="none"/>
              </w:rPr>
              <w:t>人的违约金直至监理人更换为止。</w:t>
            </w:r>
          </w:p>
        </w:tc>
      </w:tr>
      <w:tr w14:paraId="5671B3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4" w:hRule="atLeast"/>
        </w:trPr>
        <w:tc>
          <w:tcPr>
            <w:tcW w:w="610" w:type="dxa"/>
            <w:vMerge w:val="continue"/>
            <w:tcBorders>
              <w:top w:val="nil"/>
            </w:tcBorders>
            <w:textDirection w:val="tbRlV"/>
            <w:vAlign w:val="top"/>
          </w:tcPr>
          <w:p w14:paraId="2CDE9061">
            <w:pPr>
              <w:rPr>
                <w:rFonts w:ascii="Arial"/>
                <w:color w:val="auto"/>
                <w:sz w:val="21"/>
                <w:highlight w:val="none"/>
              </w:rPr>
            </w:pPr>
          </w:p>
        </w:tc>
        <w:tc>
          <w:tcPr>
            <w:tcW w:w="845" w:type="dxa"/>
            <w:vAlign w:val="top"/>
          </w:tcPr>
          <w:p w14:paraId="0BC8F07F">
            <w:pPr>
              <w:spacing w:line="259" w:lineRule="auto"/>
              <w:rPr>
                <w:rFonts w:ascii="Arial"/>
                <w:color w:val="auto"/>
                <w:sz w:val="21"/>
                <w:highlight w:val="none"/>
              </w:rPr>
            </w:pPr>
          </w:p>
          <w:p w14:paraId="7492708E">
            <w:pPr>
              <w:spacing w:before="57" w:line="195" w:lineRule="auto"/>
              <w:ind w:left="323"/>
              <w:rPr>
                <w:rFonts w:ascii="Times New Roman" w:hAnsi="Times New Roman" w:eastAsia="Times New Roman" w:cs="Times New Roman"/>
                <w:color w:val="auto"/>
                <w:sz w:val="20"/>
                <w:szCs w:val="20"/>
                <w:highlight w:val="none"/>
              </w:rPr>
            </w:pPr>
            <w:r>
              <w:rPr>
                <w:rFonts w:ascii="Times New Roman" w:hAnsi="Times New Roman" w:eastAsia="Times New Roman" w:cs="Times New Roman"/>
                <w:color w:val="auto"/>
                <w:spacing w:val="2"/>
                <w:sz w:val="20"/>
                <w:szCs w:val="20"/>
                <w:highlight w:val="none"/>
              </w:rPr>
              <w:t>21</w:t>
            </w:r>
          </w:p>
        </w:tc>
        <w:tc>
          <w:tcPr>
            <w:tcW w:w="7440" w:type="dxa"/>
            <w:vAlign w:val="top"/>
          </w:tcPr>
          <w:p w14:paraId="5972BAB2">
            <w:pPr>
              <w:spacing w:line="241" w:lineRule="auto"/>
              <w:rPr>
                <w:rFonts w:ascii="Arial"/>
                <w:color w:val="auto"/>
                <w:sz w:val="21"/>
                <w:highlight w:val="none"/>
              </w:rPr>
            </w:pPr>
          </w:p>
          <w:p w14:paraId="332A717B">
            <w:pPr>
              <w:pStyle w:val="18"/>
              <w:spacing w:before="65" w:line="269" w:lineRule="auto"/>
              <w:ind w:left="124" w:right="238" w:hanging="7"/>
              <w:rPr>
                <w:color w:val="auto"/>
                <w:highlight w:val="none"/>
              </w:rPr>
            </w:pPr>
            <w:r>
              <w:rPr>
                <w:color w:val="auto"/>
                <w:spacing w:val="8"/>
                <w:highlight w:val="none"/>
              </w:rPr>
              <w:t>委托人有权根据工程进展和工程建设需要增加监理人员，监理人应配合解决，</w:t>
            </w:r>
            <w:r>
              <w:rPr>
                <w:color w:val="auto"/>
                <w:spacing w:val="7"/>
                <w:highlight w:val="none"/>
              </w:rPr>
              <w:t>否则处以</w:t>
            </w:r>
            <w:r>
              <w:rPr>
                <w:color w:val="auto"/>
                <w:spacing w:val="-53"/>
                <w:highlight w:val="none"/>
              </w:rPr>
              <w:t xml:space="preserve"> </w:t>
            </w:r>
            <w:r>
              <w:rPr>
                <w:rFonts w:ascii="Times New Roman" w:hAnsi="Times New Roman" w:eastAsia="Times New Roman" w:cs="Times New Roman"/>
                <w:color w:val="auto"/>
                <w:spacing w:val="-25"/>
                <w:highlight w:val="none"/>
                <w:u w:val="single" w:color="auto"/>
              </w:rPr>
              <w:t xml:space="preserve"> </w:t>
            </w:r>
            <w:r>
              <w:rPr>
                <w:rFonts w:ascii="Times New Roman" w:hAnsi="Times New Roman" w:eastAsia="Times New Roman" w:cs="Times New Roman"/>
                <w:color w:val="auto"/>
                <w:spacing w:val="7"/>
                <w:highlight w:val="none"/>
                <w:u w:val="single" w:color="auto"/>
              </w:rPr>
              <w:t>1000</w:t>
            </w:r>
            <w:r>
              <w:rPr>
                <w:rFonts w:ascii="Times New Roman" w:hAnsi="Times New Roman" w:eastAsia="Times New Roman" w:cs="Times New Roman"/>
                <w:color w:val="auto"/>
                <w:spacing w:val="7"/>
                <w:highlight w:val="none"/>
              </w:rPr>
              <w:t xml:space="preserve"> </w:t>
            </w:r>
            <w:r>
              <w:rPr>
                <w:color w:val="auto"/>
                <w:spacing w:val="7"/>
                <w:highlight w:val="none"/>
              </w:rPr>
              <w:t>元</w:t>
            </w:r>
            <w:r>
              <w:rPr>
                <w:rFonts w:ascii="Calibri" w:hAnsi="Calibri" w:eastAsia="Calibri" w:cs="Calibri"/>
                <w:color w:val="auto"/>
                <w:spacing w:val="7"/>
                <w:highlight w:val="none"/>
              </w:rPr>
              <w:t>/</w:t>
            </w:r>
            <w:r>
              <w:rPr>
                <w:color w:val="auto"/>
                <w:spacing w:val="7"/>
                <w:highlight w:val="none"/>
              </w:rPr>
              <w:t>天</w:t>
            </w:r>
            <w:r>
              <w:rPr>
                <w:rFonts w:ascii="Calibri" w:hAnsi="Calibri" w:eastAsia="Calibri" w:cs="Calibri"/>
                <w:color w:val="auto"/>
                <w:spacing w:val="7"/>
                <w:highlight w:val="none"/>
              </w:rPr>
              <w:t>/</w:t>
            </w:r>
            <w:r>
              <w:rPr>
                <w:color w:val="auto"/>
                <w:spacing w:val="7"/>
                <w:highlight w:val="none"/>
              </w:rPr>
              <w:t>人的违约金直</w:t>
            </w:r>
            <w:r>
              <w:rPr>
                <w:color w:val="auto"/>
                <w:spacing w:val="6"/>
                <w:highlight w:val="none"/>
              </w:rPr>
              <w:t>至监理人员到位为止。</w:t>
            </w:r>
          </w:p>
        </w:tc>
      </w:tr>
      <w:tr w14:paraId="1F14F7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18" w:hRule="atLeast"/>
        </w:trPr>
        <w:tc>
          <w:tcPr>
            <w:tcW w:w="610" w:type="dxa"/>
            <w:vMerge w:val="restart"/>
            <w:tcBorders>
              <w:bottom w:val="nil"/>
            </w:tcBorders>
            <w:vAlign w:val="top"/>
          </w:tcPr>
          <w:p w14:paraId="6B85A9AC">
            <w:pPr>
              <w:rPr>
                <w:rFonts w:ascii="Arial"/>
                <w:color w:val="auto"/>
                <w:sz w:val="21"/>
                <w:highlight w:val="none"/>
              </w:rPr>
            </w:pPr>
          </w:p>
        </w:tc>
        <w:tc>
          <w:tcPr>
            <w:tcW w:w="845" w:type="dxa"/>
            <w:vAlign w:val="top"/>
          </w:tcPr>
          <w:p w14:paraId="44A4F0E0">
            <w:pPr>
              <w:spacing w:line="256" w:lineRule="auto"/>
              <w:rPr>
                <w:rFonts w:ascii="Arial"/>
                <w:color w:val="auto"/>
                <w:sz w:val="21"/>
                <w:highlight w:val="none"/>
              </w:rPr>
            </w:pPr>
          </w:p>
          <w:p w14:paraId="32DF9526">
            <w:pPr>
              <w:spacing w:line="256" w:lineRule="auto"/>
              <w:rPr>
                <w:rFonts w:ascii="Arial"/>
                <w:color w:val="auto"/>
                <w:sz w:val="21"/>
                <w:highlight w:val="none"/>
              </w:rPr>
            </w:pPr>
          </w:p>
          <w:p w14:paraId="3493F8F6">
            <w:pPr>
              <w:spacing w:line="256" w:lineRule="auto"/>
              <w:rPr>
                <w:rFonts w:ascii="Arial"/>
                <w:color w:val="auto"/>
                <w:sz w:val="21"/>
                <w:highlight w:val="none"/>
              </w:rPr>
            </w:pPr>
          </w:p>
          <w:p w14:paraId="015B5C1B">
            <w:pPr>
              <w:spacing w:line="257" w:lineRule="auto"/>
              <w:rPr>
                <w:rFonts w:ascii="Arial"/>
                <w:color w:val="auto"/>
                <w:sz w:val="21"/>
                <w:highlight w:val="none"/>
              </w:rPr>
            </w:pPr>
          </w:p>
          <w:p w14:paraId="26B31804">
            <w:pPr>
              <w:spacing w:before="58" w:line="195" w:lineRule="auto"/>
              <w:ind w:left="323"/>
              <w:rPr>
                <w:rFonts w:ascii="Times New Roman" w:hAnsi="Times New Roman" w:eastAsia="Times New Roman" w:cs="Times New Roman"/>
                <w:color w:val="auto"/>
                <w:sz w:val="20"/>
                <w:szCs w:val="20"/>
                <w:highlight w:val="none"/>
              </w:rPr>
            </w:pPr>
            <w:r>
              <w:rPr>
                <w:rFonts w:ascii="Times New Roman" w:hAnsi="Times New Roman" w:eastAsia="Times New Roman" w:cs="Times New Roman"/>
                <w:color w:val="auto"/>
                <w:spacing w:val="2"/>
                <w:sz w:val="20"/>
                <w:szCs w:val="20"/>
                <w:highlight w:val="none"/>
              </w:rPr>
              <w:t>22</w:t>
            </w:r>
          </w:p>
        </w:tc>
        <w:tc>
          <w:tcPr>
            <w:tcW w:w="7440" w:type="dxa"/>
            <w:vAlign w:val="top"/>
          </w:tcPr>
          <w:p w14:paraId="27C8B0E2">
            <w:pPr>
              <w:pStyle w:val="18"/>
              <w:spacing w:before="125" w:line="277" w:lineRule="auto"/>
              <w:ind w:left="118" w:right="120"/>
              <w:rPr>
                <w:color w:val="auto"/>
                <w:highlight w:val="none"/>
              </w:rPr>
            </w:pPr>
            <w:r>
              <w:rPr>
                <w:color w:val="auto"/>
                <w:spacing w:val="12"/>
                <w:highlight w:val="none"/>
              </w:rPr>
              <w:t>监理人拟投入本项目的总监（驻地）、专业监</w:t>
            </w:r>
            <w:r>
              <w:rPr>
                <w:color w:val="auto"/>
                <w:spacing w:val="11"/>
                <w:highlight w:val="none"/>
              </w:rPr>
              <w:t>理工程师等必须为本项目专职人</w:t>
            </w:r>
            <w:r>
              <w:rPr>
                <w:color w:val="auto"/>
                <w:spacing w:val="10"/>
                <w:highlight w:val="none"/>
              </w:rPr>
              <w:t>员，不得兼任其他项目监理职务；必须保证每月</w:t>
            </w:r>
            <w:r>
              <w:rPr>
                <w:rFonts w:ascii="Times New Roman" w:hAnsi="Times New Roman" w:eastAsia="Times New Roman" w:cs="Times New Roman"/>
                <w:color w:val="auto"/>
                <w:spacing w:val="10"/>
                <w:highlight w:val="none"/>
              </w:rPr>
              <w:t xml:space="preserve">22 </w:t>
            </w:r>
            <w:r>
              <w:rPr>
                <w:color w:val="auto"/>
                <w:spacing w:val="10"/>
                <w:highlight w:val="none"/>
              </w:rPr>
              <w:t>天以上留在施工现场；离</w:t>
            </w:r>
            <w:r>
              <w:rPr>
                <w:color w:val="auto"/>
                <w:spacing w:val="8"/>
                <w:highlight w:val="none"/>
              </w:rPr>
              <w:t>开施工现场超过</w:t>
            </w:r>
            <w:r>
              <w:rPr>
                <w:color w:val="auto"/>
                <w:spacing w:val="-47"/>
                <w:highlight w:val="none"/>
              </w:rPr>
              <w:t xml:space="preserve"> </w:t>
            </w:r>
            <w:r>
              <w:rPr>
                <w:rFonts w:ascii="Times New Roman" w:hAnsi="Times New Roman" w:eastAsia="Times New Roman" w:cs="Times New Roman"/>
                <w:color w:val="auto"/>
                <w:spacing w:val="8"/>
                <w:highlight w:val="none"/>
              </w:rPr>
              <w:t xml:space="preserve">2 </w:t>
            </w:r>
            <w:r>
              <w:rPr>
                <w:color w:val="auto"/>
                <w:spacing w:val="8"/>
                <w:highlight w:val="none"/>
              </w:rPr>
              <w:t>天（含</w:t>
            </w:r>
            <w:r>
              <w:rPr>
                <w:color w:val="auto"/>
                <w:spacing w:val="-48"/>
                <w:highlight w:val="none"/>
              </w:rPr>
              <w:t xml:space="preserve"> </w:t>
            </w:r>
            <w:r>
              <w:rPr>
                <w:rFonts w:ascii="Times New Roman" w:hAnsi="Times New Roman" w:eastAsia="Times New Roman" w:cs="Times New Roman"/>
                <w:color w:val="auto"/>
                <w:spacing w:val="8"/>
                <w:highlight w:val="none"/>
              </w:rPr>
              <w:t xml:space="preserve">2 </w:t>
            </w:r>
            <w:r>
              <w:rPr>
                <w:color w:val="auto"/>
                <w:spacing w:val="8"/>
                <w:highlight w:val="none"/>
              </w:rPr>
              <w:t>天）时间须经委托</w:t>
            </w:r>
            <w:r>
              <w:rPr>
                <w:color w:val="auto"/>
                <w:spacing w:val="7"/>
                <w:highlight w:val="none"/>
              </w:rPr>
              <w:t>人批准。如违反：</w:t>
            </w:r>
          </w:p>
          <w:p w14:paraId="682C5B6B">
            <w:pPr>
              <w:pStyle w:val="18"/>
              <w:spacing w:before="1" w:line="269" w:lineRule="auto"/>
              <w:ind w:left="119" w:right="142" w:firstLine="5"/>
              <w:rPr>
                <w:color w:val="auto"/>
                <w:highlight w:val="none"/>
              </w:rPr>
            </w:pPr>
            <w:r>
              <w:rPr>
                <w:color w:val="auto"/>
                <w:spacing w:val="4"/>
                <w:sz w:val="18"/>
                <w:szCs w:val="18"/>
                <w:highlight w:val="none"/>
              </w:rPr>
              <w:t xml:space="preserve">（1） </w:t>
            </w:r>
            <w:r>
              <w:rPr>
                <w:color w:val="auto"/>
                <w:spacing w:val="4"/>
                <w:highlight w:val="none"/>
              </w:rPr>
              <w:t>兼任其他项目监理职务的，处以</w:t>
            </w:r>
            <w:r>
              <w:rPr>
                <w:color w:val="auto"/>
                <w:spacing w:val="-50"/>
                <w:highlight w:val="none"/>
              </w:rPr>
              <w:t xml:space="preserve"> </w:t>
            </w:r>
            <w:r>
              <w:rPr>
                <w:rFonts w:ascii="Times New Roman" w:hAnsi="Times New Roman" w:eastAsia="Times New Roman" w:cs="Times New Roman"/>
                <w:color w:val="auto"/>
                <w:spacing w:val="4"/>
                <w:highlight w:val="none"/>
                <w:u w:val="single" w:color="auto"/>
              </w:rPr>
              <w:t>5</w:t>
            </w:r>
            <w:r>
              <w:rPr>
                <w:rFonts w:ascii="Times New Roman" w:hAnsi="Times New Roman" w:eastAsia="Times New Roman" w:cs="Times New Roman"/>
                <w:color w:val="auto"/>
                <w:spacing w:val="4"/>
                <w:highlight w:val="none"/>
              </w:rPr>
              <w:t xml:space="preserve"> </w:t>
            </w:r>
            <w:r>
              <w:rPr>
                <w:color w:val="auto"/>
                <w:spacing w:val="4"/>
                <w:highlight w:val="none"/>
              </w:rPr>
              <w:t>万元</w:t>
            </w:r>
            <w:r>
              <w:rPr>
                <w:rFonts w:ascii="Calibri" w:hAnsi="Calibri" w:eastAsia="Calibri" w:cs="Calibri"/>
                <w:color w:val="auto"/>
                <w:spacing w:val="3"/>
                <w:highlight w:val="none"/>
              </w:rPr>
              <w:t>/</w:t>
            </w:r>
            <w:r>
              <w:rPr>
                <w:color w:val="auto"/>
                <w:spacing w:val="3"/>
                <w:highlight w:val="none"/>
              </w:rPr>
              <w:t>人的违约金，同时处以</w:t>
            </w:r>
            <w:r>
              <w:rPr>
                <w:color w:val="auto"/>
                <w:spacing w:val="-51"/>
                <w:highlight w:val="none"/>
              </w:rPr>
              <w:t xml:space="preserve"> </w:t>
            </w:r>
            <w:r>
              <w:rPr>
                <w:rFonts w:ascii="Times New Roman" w:hAnsi="Times New Roman" w:eastAsia="Times New Roman" w:cs="Times New Roman"/>
                <w:color w:val="auto"/>
                <w:spacing w:val="3"/>
                <w:highlight w:val="none"/>
                <w:u w:val="single" w:color="auto"/>
              </w:rPr>
              <w:t>5000</w:t>
            </w:r>
            <w:r>
              <w:rPr>
                <w:color w:val="auto"/>
                <w:spacing w:val="3"/>
                <w:highlight w:val="none"/>
              </w:rPr>
              <w:t>元</w:t>
            </w:r>
            <w:r>
              <w:rPr>
                <w:rFonts w:ascii="Calibri" w:hAnsi="Calibri" w:eastAsia="Calibri" w:cs="Calibri"/>
                <w:color w:val="auto"/>
                <w:spacing w:val="3"/>
                <w:highlight w:val="none"/>
              </w:rPr>
              <w:t>/</w:t>
            </w:r>
            <w:r>
              <w:rPr>
                <w:color w:val="auto"/>
                <w:spacing w:val="3"/>
                <w:highlight w:val="none"/>
              </w:rPr>
              <w:t>天</w:t>
            </w:r>
            <w:r>
              <w:rPr>
                <w:rFonts w:ascii="Calibri" w:hAnsi="Calibri" w:eastAsia="Calibri" w:cs="Calibri"/>
                <w:color w:val="auto"/>
                <w:spacing w:val="3"/>
                <w:highlight w:val="none"/>
              </w:rPr>
              <w:t>/</w:t>
            </w:r>
            <w:r>
              <w:rPr>
                <w:color w:val="auto"/>
                <w:spacing w:val="8"/>
                <w:highlight w:val="none"/>
              </w:rPr>
              <w:t>人次的违约金直至监理人纠正为止；</w:t>
            </w:r>
          </w:p>
          <w:p w14:paraId="3FF2DCD8">
            <w:pPr>
              <w:pStyle w:val="18"/>
              <w:spacing w:before="23" w:line="286" w:lineRule="auto"/>
              <w:ind w:left="122"/>
              <w:rPr>
                <w:color w:val="auto"/>
                <w:highlight w:val="none"/>
              </w:rPr>
            </w:pPr>
            <w:r>
              <w:rPr>
                <w:color w:val="auto"/>
                <w:spacing w:val="6"/>
                <w:sz w:val="18"/>
                <w:szCs w:val="18"/>
                <w:highlight w:val="none"/>
              </w:rPr>
              <w:t>（2）</w:t>
            </w:r>
            <w:r>
              <w:rPr>
                <w:color w:val="auto"/>
                <w:spacing w:val="-2"/>
                <w:sz w:val="18"/>
                <w:szCs w:val="18"/>
                <w:highlight w:val="none"/>
              </w:rPr>
              <w:t xml:space="preserve"> </w:t>
            </w:r>
            <w:r>
              <w:rPr>
                <w:color w:val="auto"/>
                <w:spacing w:val="6"/>
                <w:highlight w:val="none"/>
              </w:rPr>
              <w:t>不足</w:t>
            </w:r>
            <w:r>
              <w:rPr>
                <w:rFonts w:ascii="Times New Roman" w:hAnsi="Times New Roman" w:eastAsia="Times New Roman" w:cs="Times New Roman"/>
                <w:color w:val="auto"/>
                <w:spacing w:val="6"/>
                <w:highlight w:val="none"/>
              </w:rPr>
              <w:t>22</w:t>
            </w:r>
            <w:r>
              <w:rPr>
                <w:rFonts w:ascii="Times New Roman" w:hAnsi="Times New Roman" w:eastAsia="Times New Roman" w:cs="Times New Roman"/>
                <w:color w:val="auto"/>
                <w:spacing w:val="-17"/>
                <w:highlight w:val="none"/>
              </w:rPr>
              <w:t xml:space="preserve"> </w:t>
            </w:r>
            <w:r>
              <w:rPr>
                <w:color w:val="auto"/>
                <w:spacing w:val="6"/>
                <w:highlight w:val="none"/>
              </w:rPr>
              <w:t>天</w:t>
            </w:r>
            <w:r>
              <w:rPr>
                <w:rFonts w:ascii="Calibri" w:hAnsi="Calibri" w:eastAsia="Calibri" w:cs="Calibri"/>
                <w:color w:val="auto"/>
                <w:spacing w:val="6"/>
                <w:highlight w:val="none"/>
              </w:rPr>
              <w:t>/</w:t>
            </w:r>
            <w:r>
              <w:rPr>
                <w:color w:val="auto"/>
                <w:spacing w:val="6"/>
                <w:highlight w:val="none"/>
              </w:rPr>
              <w:t>月留在现场的，同时处以不足天数的违约金：</w:t>
            </w:r>
            <w:r>
              <w:rPr>
                <w:rFonts w:ascii="Times New Roman" w:hAnsi="Times New Roman" w:eastAsia="Times New Roman" w:cs="Times New Roman"/>
                <w:color w:val="auto"/>
                <w:spacing w:val="6"/>
                <w:highlight w:val="none"/>
                <w:u w:val="single" w:color="auto"/>
              </w:rPr>
              <w:t>5000</w:t>
            </w:r>
            <w:r>
              <w:rPr>
                <w:color w:val="auto"/>
                <w:spacing w:val="6"/>
                <w:highlight w:val="none"/>
              </w:rPr>
              <w:t>元</w:t>
            </w:r>
            <w:r>
              <w:rPr>
                <w:rFonts w:ascii="Calibri" w:hAnsi="Calibri" w:eastAsia="Calibri" w:cs="Calibri"/>
                <w:color w:val="auto"/>
                <w:spacing w:val="6"/>
                <w:highlight w:val="none"/>
              </w:rPr>
              <w:t>/</w:t>
            </w:r>
            <w:r>
              <w:rPr>
                <w:color w:val="auto"/>
                <w:spacing w:val="6"/>
                <w:highlight w:val="none"/>
              </w:rPr>
              <w:t>天；</w:t>
            </w:r>
          </w:p>
          <w:p w14:paraId="46AB698F">
            <w:pPr>
              <w:pStyle w:val="18"/>
              <w:spacing w:before="24" w:line="249" w:lineRule="auto"/>
              <w:ind w:left="109" w:right="429" w:firstLine="12"/>
              <w:rPr>
                <w:color w:val="auto"/>
                <w:highlight w:val="none"/>
              </w:rPr>
            </w:pPr>
            <w:r>
              <w:rPr>
                <w:color w:val="auto"/>
                <w:spacing w:val="4"/>
                <w:sz w:val="18"/>
                <w:szCs w:val="18"/>
                <w:highlight w:val="none"/>
              </w:rPr>
              <w:t xml:space="preserve">（3） </w:t>
            </w:r>
            <w:r>
              <w:rPr>
                <w:color w:val="auto"/>
                <w:spacing w:val="4"/>
                <w:highlight w:val="none"/>
              </w:rPr>
              <w:t>未经委托人同意擅自离开现场超过</w:t>
            </w:r>
            <w:r>
              <w:rPr>
                <w:color w:val="auto"/>
                <w:spacing w:val="-55"/>
                <w:highlight w:val="none"/>
              </w:rPr>
              <w:t xml:space="preserve"> </w:t>
            </w:r>
            <w:r>
              <w:rPr>
                <w:rFonts w:ascii="Times New Roman" w:hAnsi="Times New Roman" w:eastAsia="Times New Roman" w:cs="Times New Roman"/>
                <w:color w:val="auto"/>
                <w:spacing w:val="4"/>
                <w:highlight w:val="none"/>
              </w:rPr>
              <w:t xml:space="preserve">2 </w:t>
            </w:r>
            <w:r>
              <w:rPr>
                <w:color w:val="auto"/>
                <w:spacing w:val="4"/>
                <w:highlight w:val="none"/>
              </w:rPr>
              <w:t>天时间的，按超过天数处</w:t>
            </w:r>
            <w:r>
              <w:rPr>
                <w:color w:val="auto"/>
                <w:spacing w:val="3"/>
                <w:highlight w:val="none"/>
              </w:rPr>
              <w:t>以</w:t>
            </w:r>
            <w:r>
              <w:rPr>
                <w:rFonts w:ascii="Times New Roman" w:hAnsi="Times New Roman" w:eastAsia="Times New Roman" w:cs="Times New Roman"/>
                <w:color w:val="auto"/>
                <w:spacing w:val="3"/>
                <w:highlight w:val="none"/>
                <w:u w:val="single" w:color="auto"/>
              </w:rPr>
              <w:t>5000</w:t>
            </w:r>
            <w:r>
              <w:rPr>
                <w:color w:val="auto"/>
                <w:spacing w:val="3"/>
                <w:highlight w:val="none"/>
              </w:rPr>
              <w:t>元</w:t>
            </w:r>
            <w:r>
              <w:rPr>
                <w:rFonts w:ascii="Calibri" w:hAnsi="Calibri" w:eastAsia="Calibri" w:cs="Calibri"/>
                <w:color w:val="auto"/>
                <w:spacing w:val="7"/>
                <w:highlight w:val="none"/>
              </w:rPr>
              <w:t>/</w:t>
            </w:r>
            <w:r>
              <w:rPr>
                <w:color w:val="auto"/>
                <w:spacing w:val="7"/>
                <w:highlight w:val="none"/>
              </w:rPr>
              <w:t>天的违约金。</w:t>
            </w:r>
          </w:p>
        </w:tc>
      </w:tr>
      <w:tr w14:paraId="15DE9B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7" w:hRule="atLeast"/>
        </w:trPr>
        <w:tc>
          <w:tcPr>
            <w:tcW w:w="610" w:type="dxa"/>
            <w:vMerge w:val="continue"/>
            <w:tcBorders>
              <w:top w:val="nil"/>
            </w:tcBorders>
            <w:vAlign w:val="top"/>
          </w:tcPr>
          <w:p w14:paraId="6740D115">
            <w:pPr>
              <w:rPr>
                <w:rFonts w:ascii="Arial"/>
                <w:color w:val="auto"/>
                <w:sz w:val="21"/>
                <w:highlight w:val="none"/>
              </w:rPr>
            </w:pPr>
          </w:p>
        </w:tc>
        <w:tc>
          <w:tcPr>
            <w:tcW w:w="845" w:type="dxa"/>
            <w:vAlign w:val="top"/>
          </w:tcPr>
          <w:p w14:paraId="37C29341">
            <w:pPr>
              <w:spacing w:line="259" w:lineRule="auto"/>
              <w:rPr>
                <w:rFonts w:ascii="Arial"/>
                <w:color w:val="auto"/>
                <w:sz w:val="21"/>
                <w:highlight w:val="none"/>
              </w:rPr>
            </w:pPr>
          </w:p>
          <w:p w14:paraId="3514882C">
            <w:pPr>
              <w:spacing w:line="260" w:lineRule="auto"/>
              <w:rPr>
                <w:rFonts w:ascii="Arial"/>
                <w:color w:val="auto"/>
                <w:sz w:val="21"/>
                <w:highlight w:val="none"/>
              </w:rPr>
            </w:pPr>
          </w:p>
          <w:p w14:paraId="5275A3E5">
            <w:pPr>
              <w:spacing w:before="58" w:line="195" w:lineRule="auto"/>
              <w:ind w:left="323"/>
              <w:rPr>
                <w:rFonts w:ascii="Times New Roman" w:hAnsi="Times New Roman" w:eastAsia="Times New Roman" w:cs="Times New Roman"/>
                <w:color w:val="auto"/>
                <w:sz w:val="20"/>
                <w:szCs w:val="20"/>
                <w:highlight w:val="none"/>
              </w:rPr>
            </w:pPr>
            <w:r>
              <w:rPr>
                <w:rFonts w:ascii="Times New Roman" w:hAnsi="Times New Roman" w:eastAsia="Times New Roman" w:cs="Times New Roman"/>
                <w:color w:val="auto"/>
                <w:spacing w:val="2"/>
                <w:sz w:val="20"/>
                <w:szCs w:val="20"/>
                <w:highlight w:val="none"/>
              </w:rPr>
              <w:t>23</w:t>
            </w:r>
          </w:p>
        </w:tc>
        <w:tc>
          <w:tcPr>
            <w:tcW w:w="7440" w:type="dxa"/>
            <w:vAlign w:val="top"/>
          </w:tcPr>
          <w:p w14:paraId="4C361A4C">
            <w:pPr>
              <w:pStyle w:val="18"/>
              <w:spacing w:before="128" w:line="272" w:lineRule="auto"/>
              <w:ind w:left="117" w:right="101"/>
              <w:jc w:val="both"/>
              <w:rPr>
                <w:color w:val="auto"/>
                <w:highlight w:val="none"/>
              </w:rPr>
            </w:pPr>
            <w:r>
              <w:rPr>
                <w:color w:val="auto"/>
                <w:spacing w:val="12"/>
                <w:highlight w:val="none"/>
              </w:rPr>
              <w:t>监理人应按合同规定自行配备试验、检测等必要设备并要按合同规定的规格保质保量按时到位投入使用，否则按不到位仪器设备清单价格或市场价格（如无</w:t>
            </w:r>
            <w:r>
              <w:rPr>
                <w:color w:val="auto"/>
                <w:spacing w:val="6"/>
                <w:highlight w:val="none"/>
              </w:rPr>
              <w:t>清单价格）</w:t>
            </w:r>
            <w:r>
              <w:rPr>
                <w:color w:val="auto"/>
                <w:spacing w:val="-55"/>
                <w:highlight w:val="none"/>
              </w:rPr>
              <w:t xml:space="preserve"> </w:t>
            </w:r>
            <w:r>
              <w:rPr>
                <w:color w:val="auto"/>
                <w:spacing w:val="6"/>
                <w:highlight w:val="none"/>
              </w:rPr>
              <w:t>的两倍从监理服务费总额中予以扣除，并处以</w:t>
            </w:r>
            <w:r>
              <w:rPr>
                <w:color w:val="auto"/>
                <w:spacing w:val="-57"/>
                <w:highlight w:val="none"/>
              </w:rPr>
              <w:t xml:space="preserve"> </w:t>
            </w:r>
            <w:r>
              <w:rPr>
                <w:rFonts w:ascii="Times New Roman" w:hAnsi="Times New Roman" w:eastAsia="Times New Roman" w:cs="Times New Roman"/>
                <w:color w:val="auto"/>
                <w:spacing w:val="-25"/>
                <w:highlight w:val="none"/>
                <w:u w:val="single" w:color="auto"/>
              </w:rPr>
              <w:t xml:space="preserve"> </w:t>
            </w:r>
            <w:r>
              <w:rPr>
                <w:rFonts w:ascii="Times New Roman" w:hAnsi="Times New Roman" w:eastAsia="Times New Roman" w:cs="Times New Roman"/>
                <w:color w:val="auto"/>
                <w:spacing w:val="6"/>
                <w:highlight w:val="none"/>
                <w:u w:val="single" w:color="auto"/>
              </w:rPr>
              <w:t>1000</w:t>
            </w:r>
            <w:r>
              <w:rPr>
                <w:color w:val="auto"/>
                <w:spacing w:val="6"/>
                <w:highlight w:val="none"/>
              </w:rPr>
              <w:t>元</w:t>
            </w:r>
            <w:r>
              <w:rPr>
                <w:rFonts w:ascii="Calibri" w:hAnsi="Calibri" w:eastAsia="Calibri" w:cs="Calibri"/>
                <w:color w:val="auto"/>
                <w:spacing w:val="6"/>
                <w:highlight w:val="none"/>
              </w:rPr>
              <w:t>/</w:t>
            </w:r>
            <w:r>
              <w:rPr>
                <w:color w:val="auto"/>
                <w:spacing w:val="6"/>
                <w:highlight w:val="none"/>
              </w:rPr>
              <w:t>天的违约金直</w:t>
            </w:r>
            <w:r>
              <w:rPr>
                <w:color w:val="auto"/>
                <w:spacing w:val="9"/>
                <w:highlight w:val="none"/>
              </w:rPr>
              <w:t>至该仪器或设备到位为止</w:t>
            </w:r>
          </w:p>
        </w:tc>
      </w:tr>
      <w:tr w14:paraId="379FFC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9" w:hRule="atLeast"/>
        </w:trPr>
        <w:tc>
          <w:tcPr>
            <w:tcW w:w="610" w:type="dxa"/>
            <w:textDirection w:val="tbRlV"/>
            <w:vAlign w:val="top"/>
          </w:tcPr>
          <w:p w14:paraId="50ED2A4D">
            <w:pPr>
              <w:pStyle w:val="18"/>
              <w:spacing w:before="194" w:line="215" w:lineRule="auto"/>
              <w:ind w:left="259"/>
              <w:rPr>
                <w:color w:val="auto"/>
                <w:highlight w:val="none"/>
              </w:rPr>
            </w:pPr>
            <w:r>
              <w:rPr>
                <w:b/>
                <w:bCs/>
                <w:color w:val="auto"/>
                <w:spacing w:val="6"/>
                <w:highlight w:val="none"/>
              </w:rPr>
              <w:t>设</w:t>
            </w:r>
            <w:r>
              <w:rPr>
                <w:color w:val="auto"/>
                <w:spacing w:val="-7"/>
                <w:highlight w:val="none"/>
              </w:rPr>
              <w:t xml:space="preserve"> </w:t>
            </w:r>
            <w:r>
              <w:rPr>
                <w:b/>
                <w:bCs/>
                <w:color w:val="auto"/>
                <w:spacing w:val="6"/>
                <w:highlight w:val="none"/>
              </w:rPr>
              <w:t>备</w:t>
            </w:r>
          </w:p>
        </w:tc>
        <w:tc>
          <w:tcPr>
            <w:tcW w:w="845" w:type="dxa"/>
            <w:vAlign w:val="top"/>
          </w:tcPr>
          <w:p w14:paraId="69F513BB">
            <w:pPr>
              <w:spacing w:line="384" w:lineRule="auto"/>
              <w:rPr>
                <w:rFonts w:ascii="Arial"/>
                <w:color w:val="auto"/>
                <w:sz w:val="21"/>
                <w:highlight w:val="none"/>
              </w:rPr>
            </w:pPr>
          </w:p>
          <w:p w14:paraId="427135F1">
            <w:pPr>
              <w:spacing w:before="57" w:line="195" w:lineRule="auto"/>
              <w:ind w:left="323"/>
              <w:rPr>
                <w:rFonts w:ascii="Times New Roman" w:hAnsi="Times New Roman" w:eastAsia="Times New Roman" w:cs="Times New Roman"/>
                <w:color w:val="auto"/>
                <w:sz w:val="20"/>
                <w:szCs w:val="20"/>
                <w:highlight w:val="none"/>
              </w:rPr>
            </w:pPr>
            <w:r>
              <w:rPr>
                <w:rFonts w:ascii="Times New Roman" w:hAnsi="Times New Roman" w:eastAsia="Times New Roman" w:cs="Times New Roman"/>
                <w:color w:val="auto"/>
                <w:spacing w:val="2"/>
                <w:sz w:val="20"/>
                <w:szCs w:val="20"/>
                <w:highlight w:val="none"/>
              </w:rPr>
              <w:t>24</w:t>
            </w:r>
          </w:p>
        </w:tc>
        <w:tc>
          <w:tcPr>
            <w:tcW w:w="7440" w:type="dxa"/>
            <w:vAlign w:val="top"/>
          </w:tcPr>
          <w:p w14:paraId="6385B815">
            <w:pPr>
              <w:pStyle w:val="18"/>
              <w:spacing w:before="134" w:line="269" w:lineRule="auto"/>
              <w:ind w:left="117" w:right="101"/>
              <w:jc w:val="both"/>
              <w:rPr>
                <w:color w:val="auto"/>
                <w:highlight w:val="none"/>
              </w:rPr>
            </w:pPr>
            <w:r>
              <w:rPr>
                <w:color w:val="auto"/>
                <w:spacing w:val="12"/>
                <w:highlight w:val="none"/>
              </w:rPr>
              <w:t>根据工程实际需要，委托人有权要求监理人增加仪器、设备的数量或新增部分仪器或设备，如监理人拒绝执行，委托人将按书面通知要求到位的最后期限起</w:t>
            </w:r>
            <w:r>
              <w:rPr>
                <w:color w:val="auto"/>
                <w:spacing w:val="7"/>
                <w:highlight w:val="none"/>
              </w:rPr>
              <w:t>算，处以</w:t>
            </w:r>
            <w:r>
              <w:rPr>
                <w:color w:val="auto"/>
                <w:spacing w:val="-53"/>
                <w:highlight w:val="none"/>
              </w:rPr>
              <w:t xml:space="preserve"> </w:t>
            </w:r>
            <w:r>
              <w:rPr>
                <w:rFonts w:ascii="Times New Roman" w:hAnsi="Times New Roman" w:eastAsia="Times New Roman" w:cs="Times New Roman"/>
                <w:color w:val="auto"/>
                <w:spacing w:val="-25"/>
                <w:highlight w:val="none"/>
                <w:u w:val="single" w:color="auto"/>
              </w:rPr>
              <w:t xml:space="preserve"> </w:t>
            </w:r>
            <w:r>
              <w:rPr>
                <w:rFonts w:ascii="Times New Roman" w:hAnsi="Times New Roman" w:eastAsia="Times New Roman" w:cs="Times New Roman"/>
                <w:color w:val="auto"/>
                <w:spacing w:val="7"/>
                <w:highlight w:val="none"/>
                <w:u w:val="single" w:color="auto"/>
              </w:rPr>
              <w:t>1000</w:t>
            </w:r>
            <w:r>
              <w:rPr>
                <w:rFonts w:ascii="Times New Roman" w:hAnsi="Times New Roman" w:eastAsia="Times New Roman" w:cs="Times New Roman"/>
                <w:color w:val="auto"/>
                <w:spacing w:val="7"/>
                <w:highlight w:val="none"/>
              </w:rPr>
              <w:t xml:space="preserve"> </w:t>
            </w:r>
            <w:r>
              <w:rPr>
                <w:color w:val="auto"/>
                <w:spacing w:val="7"/>
                <w:highlight w:val="none"/>
              </w:rPr>
              <w:t>元</w:t>
            </w:r>
            <w:r>
              <w:rPr>
                <w:rFonts w:ascii="Calibri" w:hAnsi="Calibri" w:eastAsia="Calibri" w:cs="Calibri"/>
                <w:color w:val="auto"/>
                <w:spacing w:val="7"/>
                <w:highlight w:val="none"/>
              </w:rPr>
              <w:t>/</w:t>
            </w:r>
            <w:r>
              <w:rPr>
                <w:color w:val="auto"/>
                <w:spacing w:val="7"/>
                <w:highlight w:val="none"/>
              </w:rPr>
              <w:t>天的违约金直至该仪器或设备到位为止。</w:t>
            </w:r>
          </w:p>
        </w:tc>
      </w:tr>
      <w:tr w14:paraId="5618B5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8" w:hRule="atLeast"/>
        </w:trPr>
        <w:tc>
          <w:tcPr>
            <w:tcW w:w="610" w:type="dxa"/>
            <w:textDirection w:val="tbRlV"/>
            <w:vAlign w:val="top"/>
          </w:tcPr>
          <w:p w14:paraId="1ACFCC13">
            <w:pPr>
              <w:pStyle w:val="18"/>
              <w:spacing w:before="194" w:line="214" w:lineRule="auto"/>
              <w:ind w:left="262"/>
              <w:rPr>
                <w:color w:val="auto"/>
                <w:highlight w:val="none"/>
              </w:rPr>
            </w:pPr>
            <w:r>
              <w:rPr>
                <w:b/>
                <w:bCs/>
                <w:color w:val="auto"/>
                <w:spacing w:val="6"/>
                <w:highlight w:val="none"/>
              </w:rPr>
              <w:t>工</w:t>
            </w:r>
            <w:r>
              <w:rPr>
                <w:color w:val="auto"/>
                <w:spacing w:val="-9"/>
                <w:highlight w:val="none"/>
              </w:rPr>
              <w:t xml:space="preserve"> </w:t>
            </w:r>
            <w:r>
              <w:rPr>
                <w:b/>
                <w:bCs/>
                <w:color w:val="auto"/>
                <w:spacing w:val="6"/>
                <w:highlight w:val="none"/>
              </w:rPr>
              <w:t>期</w:t>
            </w:r>
          </w:p>
        </w:tc>
        <w:tc>
          <w:tcPr>
            <w:tcW w:w="845" w:type="dxa"/>
            <w:vAlign w:val="top"/>
          </w:tcPr>
          <w:p w14:paraId="399E3794">
            <w:pPr>
              <w:spacing w:line="384" w:lineRule="auto"/>
              <w:rPr>
                <w:rFonts w:ascii="Arial"/>
                <w:color w:val="auto"/>
                <w:sz w:val="21"/>
                <w:highlight w:val="none"/>
              </w:rPr>
            </w:pPr>
          </w:p>
          <w:p w14:paraId="4EF340DC">
            <w:pPr>
              <w:spacing w:before="58" w:line="195" w:lineRule="auto"/>
              <w:ind w:left="323"/>
              <w:rPr>
                <w:rFonts w:ascii="Times New Roman" w:hAnsi="Times New Roman" w:eastAsia="Times New Roman" w:cs="Times New Roman"/>
                <w:color w:val="auto"/>
                <w:sz w:val="20"/>
                <w:szCs w:val="20"/>
                <w:highlight w:val="none"/>
              </w:rPr>
            </w:pPr>
            <w:r>
              <w:rPr>
                <w:rFonts w:ascii="Times New Roman" w:hAnsi="Times New Roman" w:eastAsia="Times New Roman" w:cs="Times New Roman"/>
                <w:color w:val="auto"/>
                <w:spacing w:val="2"/>
                <w:sz w:val="20"/>
                <w:szCs w:val="20"/>
                <w:highlight w:val="none"/>
              </w:rPr>
              <w:t>25</w:t>
            </w:r>
          </w:p>
        </w:tc>
        <w:tc>
          <w:tcPr>
            <w:tcW w:w="7440" w:type="dxa"/>
            <w:vAlign w:val="top"/>
          </w:tcPr>
          <w:p w14:paraId="197D238C">
            <w:pPr>
              <w:pStyle w:val="18"/>
              <w:spacing w:before="133" w:line="269" w:lineRule="auto"/>
              <w:ind w:left="119" w:right="101" w:firstLine="14"/>
              <w:jc w:val="both"/>
              <w:rPr>
                <w:color w:val="auto"/>
                <w:highlight w:val="none"/>
              </w:rPr>
            </w:pPr>
            <w:r>
              <w:rPr>
                <w:color w:val="auto"/>
                <w:spacing w:val="11"/>
                <w:highlight w:val="none"/>
              </w:rPr>
              <w:t>因监理原因整个工程未按期完工（包括任何一个合同段没有按期完工</w:t>
            </w:r>
            <w:r>
              <w:rPr>
                <w:color w:val="auto"/>
                <w:spacing w:val="2"/>
                <w:highlight w:val="none"/>
              </w:rPr>
              <w:t>）</w:t>
            </w:r>
            <w:r>
              <w:rPr>
                <w:color w:val="auto"/>
                <w:spacing w:val="-58"/>
                <w:highlight w:val="none"/>
              </w:rPr>
              <w:t xml:space="preserve"> </w:t>
            </w:r>
            <w:r>
              <w:rPr>
                <w:color w:val="auto"/>
                <w:spacing w:val="2"/>
                <w:highlight w:val="none"/>
              </w:rPr>
              <w:t>，</w:t>
            </w:r>
            <w:r>
              <w:rPr>
                <w:color w:val="auto"/>
                <w:spacing w:val="11"/>
                <w:highlight w:val="none"/>
              </w:rPr>
              <w:t>监理</w:t>
            </w:r>
            <w:r>
              <w:rPr>
                <w:color w:val="auto"/>
                <w:spacing w:val="12"/>
                <w:highlight w:val="none"/>
              </w:rPr>
              <w:t>人须承担以下责任：每拖延一天，委托人按未按期完工合同段承包人的拖期损</w:t>
            </w:r>
            <w:r>
              <w:rPr>
                <w:color w:val="auto"/>
                <w:spacing w:val="7"/>
                <w:highlight w:val="none"/>
              </w:rPr>
              <w:t>失赔偿金的</w:t>
            </w:r>
            <w:r>
              <w:rPr>
                <w:rFonts w:ascii="Times New Roman" w:hAnsi="Times New Roman" w:eastAsia="Times New Roman" w:cs="Times New Roman"/>
                <w:color w:val="auto"/>
                <w:spacing w:val="7"/>
                <w:highlight w:val="none"/>
                <w:u w:val="single" w:color="auto"/>
              </w:rPr>
              <w:t>5</w:t>
            </w:r>
            <w:r>
              <w:rPr>
                <w:rFonts w:ascii="Calibri" w:hAnsi="Calibri" w:eastAsia="Calibri" w:cs="Calibri"/>
                <w:color w:val="auto"/>
                <w:spacing w:val="7"/>
                <w:highlight w:val="none"/>
                <w:u w:val="single" w:color="auto"/>
              </w:rPr>
              <w:t>%</w:t>
            </w:r>
            <w:r>
              <w:rPr>
                <w:color w:val="auto"/>
                <w:spacing w:val="7"/>
                <w:highlight w:val="none"/>
              </w:rPr>
              <w:t>计罚。</w:t>
            </w:r>
          </w:p>
        </w:tc>
      </w:tr>
      <w:tr w14:paraId="715E95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9" w:hRule="atLeast"/>
        </w:trPr>
        <w:tc>
          <w:tcPr>
            <w:tcW w:w="610" w:type="dxa"/>
            <w:vMerge w:val="restart"/>
            <w:tcBorders>
              <w:bottom w:val="nil"/>
            </w:tcBorders>
            <w:textDirection w:val="tbRlV"/>
            <w:vAlign w:val="top"/>
          </w:tcPr>
          <w:p w14:paraId="0CE69C5F">
            <w:pPr>
              <w:pStyle w:val="18"/>
              <w:spacing w:before="194" w:line="216" w:lineRule="auto"/>
              <w:ind w:left="261"/>
              <w:rPr>
                <w:color w:val="auto"/>
                <w:highlight w:val="none"/>
              </w:rPr>
            </w:pPr>
            <w:r>
              <w:rPr>
                <w:b/>
                <w:bCs/>
                <w:color w:val="auto"/>
                <w:spacing w:val="6"/>
                <w:highlight w:val="none"/>
              </w:rPr>
              <w:t>其</w:t>
            </w:r>
            <w:r>
              <w:rPr>
                <w:color w:val="auto"/>
                <w:spacing w:val="-7"/>
                <w:highlight w:val="none"/>
              </w:rPr>
              <w:t xml:space="preserve"> </w:t>
            </w:r>
            <w:r>
              <w:rPr>
                <w:b/>
                <w:bCs/>
                <w:color w:val="auto"/>
                <w:spacing w:val="6"/>
                <w:highlight w:val="none"/>
              </w:rPr>
              <w:t>他</w:t>
            </w:r>
          </w:p>
        </w:tc>
        <w:tc>
          <w:tcPr>
            <w:tcW w:w="845" w:type="dxa"/>
            <w:vAlign w:val="top"/>
          </w:tcPr>
          <w:p w14:paraId="1F0D055D">
            <w:pPr>
              <w:spacing w:line="384" w:lineRule="auto"/>
              <w:rPr>
                <w:rFonts w:ascii="Arial"/>
                <w:color w:val="auto"/>
                <w:sz w:val="21"/>
                <w:highlight w:val="none"/>
              </w:rPr>
            </w:pPr>
          </w:p>
          <w:p w14:paraId="21879D1E">
            <w:pPr>
              <w:spacing w:before="57" w:line="195" w:lineRule="auto"/>
              <w:ind w:left="323"/>
              <w:rPr>
                <w:rFonts w:ascii="Times New Roman" w:hAnsi="Times New Roman" w:eastAsia="Times New Roman" w:cs="Times New Roman"/>
                <w:color w:val="auto"/>
                <w:sz w:val="20"/>
                <w:szCs w:val="20"/>
                <w:highlight w:val="none"/>
              </w:rPr>
            </w:pPr>
            <w:r>
              <w:rPr>
                <w:rFonts w:ascii="Times New Roman" w:hAnsi="Times New Roman" w:eastAsia="Times New Roman" w:cs="Times New Roman"/>
                <w:color w:val="auto"/>
                <w:spacing w:val="2"/>
                <w:sz w:val="20"/>
                <w:szCs w:val="20"/>
                <w:highlight w:val="none"/>
              </w:rPr>
              <w:t>26</w:t>
            </w:r>
          </w:p>
        </w:tc>
        <w:tc>
          <w:tcPr>
            <w:tcW w:w="7440" w:type="dxa"/>
            <w:vAlign w:val="top"/>
          </w:tcPr>
          <w:p w14:paraId="5E08191A">
            <w:pPr>
              <w:pStyle w:val="18"/>
              <w:spacing w:before="131" w:line="270" w:lineRule="auto"/>
              <w:ind w:left="117" w:right="101" w:firstLine="3"/>
              <w:jc w:val="both"/>
              <w:rPr>
                <w:color w:val="auto"/>
                <w:highlight w:val="none"/>
              </w:rPr>
            </w:pPr>
            <w:r>
              <w:rPr>
                <w:color w:val="auto"/>
                <w:spacing w:val="12"/>
                <w:highlight w:val="none"/>
              </w:rPr>
              <w:t>未按照《广东省公路施工标准化指南》和《广东省高速公路工程施工组织设计和施工方案标准化管理指南》有关规定进行管理或开展监理工作的，每次处以</w:t>
            </w:r>
            <w:r>
              <w:rPr>
                <w:color w:val="auto"/>
                <w:spacing w:val="3"/>
                <w:highlight w:val="none"/>
              </w:rPr>
              <w:t>违约金</w:t>
            </w:r>
            <w:r>
              <w:rPr>
                <w:color w:val="auto"/>
                <w:spacing w:val="-53"/>
                <w:highlight w:val="none"/>
              </w:rPr>
              <w:t xml:space="preserve"> </w:t>
            </w:r>
            <w:r>
              <w:rPr>
                <w:rFonts w:ascii="Times New Roman" w:hAnsi="Times New Roman" w:eastAsia="Times New Roman" w:cs="Times New Roman"/>
                <w:color w:val="auto"/>
                <w:spacing w:val="-25"/>
                <w:highlight w:val="none"/>
                <w:u w:val="single" w:color="auto"/>
              </w:rPr>
              <w:t xml:space="preserve"> </w:t>
            </w:r>
            <w:r>
              <w:rPr>
                <w:rFonts w:ascii="Times New Roman" w:hAnsi="Times New Roman" w:eastAsia="Times New Roman" w:cs="Times New Roman"/>
                <w:color w:val="auto"/>
                <w:spacing w:val="3"/>
                <w:highlight w:val="none"/>
                <w:u w:val="single" w:color="auto"/>
              </w:rPr>
              <w:t>1</w:t>
            </w:r>
            <w:r>
              <w:rPr>
                <w:rFonts w:ascii="Calibri" w:hAnsi="Calibri" w:eastAsia="Calibri" w:cs="Calibri"/>
                <w:color w:val="auto"/>
                <w:spacing w:val="3"/>
                <w:highlight w:val="none"/>
                <w:u w:val="single" w:color="auto"/>
              </w:rPr>
              <w:t>,</w:t>
            </w:r>
            <w:r>
              <w:rPr>
                <w:rFonts w:ascii="Times New Roman" w:hAnsi="Times New Roman" w:eastAsia="Times New Roman" w:cs="Times New Roman"/>
                <w:color w:val="auto"/>
                <w:spacing w:val="3"/>
                <w:highlight w:val="none"/>
                <w:u w:val="single" w:color="auto"/>
              </w:rPr>
              <w:t>000</w:t>
            </w:r>
            <w:r>
              <w:rPr>
                <w:rFonts w:ascii="Calibri" w:hAnsi="Calibri" w:eastAsia="Calibri" w:cs="Calibri"/>
                <w:color w:val="auto"/>
                <w:spacing w:val="3"/>
                <w:highlight w:val="none"/>
                <w:u w:val="single" w:color="auto"/>
              </w:rPr>
              <w:t>--</w:t>
            </w:r>
            <w:r>
              <w:rPr>
                <w:rFonts w:ascii="Times New Roman" w:hAnsi="Times New Roman" w:eastAsia="Times New Roman" w:cs="Times New Roman"/>
                <w:color w:val="auto"/>
                <w:spacing w:val="3"/>
                <w:highlight w:val="none"/>
                <w:u w:val="single" w:color="auto"/>
              </w:rPr>
              <w:t>10</w:t>
            </w:r>
            <w:r>
              <w:rPr>
                <w:rFonts w:ascii="Calibri" w:hAnsi="Calibri" w:eastAsia="Calibri" w:cs="Calibri"/>
                <w:color w:val="auto"/>
                <w:spacing w:val="3"/>
                <w:highlight w:val="none"/>
                <w:u w:val="single" w:color="auto"/>
              </w:rPr>
              <w:t>,</w:t>
            </w:r>
            <w:r>
              <w:rPr>
                <w:rFonts w:ascii="Times New Roman" w:hAnsi="Times New Roman" w:eastAsia="Times New Roman" w:cs="Times New Roman"/>
                <w:color w:val="auto"/>
                <w:spacing w:val="3"/>
                <w:highlight w:val="none"/>
                <w:u w:val="single" w:color="auto"/>
              </w:rPr>
              <w:t>000</w:t>
            </w:r>
            <w:r>
              <w:rPr>
                <w:rFonts w:ascii="Times New Roman" w:hAnsi="Times New Roman" w:eastAsia="Times New Roman" w:cs="Times New Roman"/>
                <w:color w:val="auto"/>
                <w:spacing w:val="3"/>
                <w:highlight w:val="none"/>
              </w:rPr>
              <w:t xml:space="preserve"> </w:t>
            </w:r>
            <w:r>
              <w:rPr>
                <w:color w:val="auto"/>
                <w:spacing w:val="3"/>
                <w:highlight w:val="none"/>
              </w:rPr>
              <w:t>元。</w:t>
            </w:r>
          </w:p>
        </w:tc>
      </w:tr>
      <w:tr w14:paraId="29B418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1" w:hRule="atLeast"/>
        </w:trPr>
        <w:tc>
          <w:tcPr>
            <w:tcW w:w="610" w:type="dxa"/>
            <w:vMerge w:val="continue"/>
            <w:tcBorders>
              <w:top w:val="nil"/>
            </w:tcBorders>
            <w:textDirection w:val="tbRlV"/>
            <w:vAlign w:val="top"/>
          </w:tcPr>
          <w:p w14:paraId="7E0505A0">
            <w:pPr>
              <w:rPr>
                <w:rFonts w:ascii="Arial"/>
                <w:color w:val="auto"/>
                <w:sz w:val="21"/>
                <w:highlight w:val="none"/>
              </w:rPr>
            </w:pPr>
          </w:p>
        </w:tc>
        <w:tc>
          <w:tcPr>
            <w:tcW w:w="845" w:type="dxa"/>
            <w:vAlign w:val="top"/>
          </w:tcPr>
          <w:p w14:paraId="69DD4FF1">
            <w:pPr>
              <w:spacing w:line="447" w:lineRule="auto"/>
              <w:rPr>
                <w:rFonts w:ascii="Arial"/>
                <w:color w:val="auto"/>
                <w:sz w:val="21"/>
                <w:highlight w:val="none"/>
              </w:rPr>
            </w:pPr>
          </w:p>
          <w:p w14:paraId="44547C92">
            <w:pPr>
              <w:spacing w:before="57" w:line="195" w:lineRule="auto"/>
              <w:ind w:left="323"/>
              <w:rPr>
                <w:rFonts w:ascii="Times New Roman" w:hAnsi="Times New Roman" w:eastAsia="Times New Roman" w:cs="Times New Roman"/>
                <w:color w:val="auto"/>
                <w:sz w:val="20"/>
                <w:szCs w:val="20"/>
                <w:highlight w:val="none"/>
              </w:rPr>
            </w:pPr>
            <w:r>
              <w:rPr>
                <w:rFonts w:ascii="Times New Roman" w:hAnsi="Times New Roman" w:eastAsia="Times New Roman" w:cs="Times New Roman"/>
                <w:color w:val="auto"/>
                <w:spacing w:val="2"/>
                <w:sz w:val="20"/>
                <w:szCs w:val="20"/>
                <w:highlight w:val="none"/>
              </w:rPr>
              <w:t>27</w:t>
            </w:r>
          </w:p>
        </w:tc>
        <w:tc>
          <w:tcPr>
            <w:tcW w:w="7440" w:type="dxa"/>
            <w:vAlign w:val="top"/>
          </w:tcPr>
          <w:p w14:paraId="32EC5636">
            <w:pPr>
              <w:pStyle w:val="18"/>
              <w:spacing w:before="284" w:line="278" w:lineRule="auto"/>
              <w:ind w:left="118" w:right="152"/>
              <w:rPr>
                <w:color w:val="auto"/>
                <w:highlight w:val="none"/>
              </w:rPr>
            </w:pPr>
            <w:r>
              <w:rPr>
                <w:color w:val="auto"/>
                <w:spacing w:val="11"/>
                <w:highlight w:val="none"/>
              </w:rPr>
              <w:t>监理人中标法人单位未按合同约定或发包人要求，</w:t>
            </w:r>
            <w:r>
              <w:rPr>
                <w:color w:val="auto"/>
                <w:spacing w:val="10"/>
                <w:highlight w:val="none"/>
              </w:rPr>
              <w:t>对总监办进行监管和支持，</w:t>
            </w:r>
            <w:r>
              <w:rPr>
                <w:color w:val="auto"/>
                <w:spacing w:val="7"/>
                <w:highlight w:val="none"/>
              </w:rPr>
              <w:t>重要事项未提级管理，每次处以违约金</w:t>
            </w:r>
            <w:r>
              <w:rPr>
                <w:color w:val="auto"/>
                <w:spacing w:val="-27"/>
                <w:highlight w:val="none"/>
              </w:rPr>
              <w:t xml:space="preserve"> </w:t>
            </w:r>
            <w:r>
              <w:rPr>
                <w:rFonts w:ascii="Calibri" w:hAnsi="Calibri" w:eastAsia="Calibri" w:cs="Calibri"/>
                <w:color w:val="auto"/>
                <w:spacing w:val="7"/>
                <w:highlight w:val="none"/>
                <w:u w:val="single" w:color="auto"/>
              </w:rPr>
              <w:t>5</w:t>
            </w:r>
            <w:r>
              <w:rPr>
                <w:rFonts w:ascii="Calibri" w:hAnsi="Calibri" w:eastAsia="Calibri" w:cs="Calibri"/>
                <w:color w:val="auto"/>
                <w:spacing w:val="23"/>
                <w:w w:val="101"/>
                <w:highlight w:val="none"/>
                <w:u w:val="single" w:color="auto"/>
              </w:rPr>
              <w:t xml:space="preserve"> </w:t>
            </w:r>
            <w:r>
              <w:rPr>
                <w:color w:val="auto"/>
                <w:spacing w:val="7"/>
                <w:highlight w:val="none"/>
              </w:rPr>
              <w:t>万元。</w:t>
            </w:r>
          </w:p>
        </w:tc>
      </w:tr>
    </w:tbl>
    <w:p w14:paraId="34442687">
      <w:pPr>
        <w:rPr>
          <w:rFonts w:ascii="Arial"/>
          <w:color w:val="auto"/>
          <w:sz w:val="21"/>
          <w:highlight w:val="none"/>
        </w:rPr>
      </w:pPr>
    </w:p>
    <w:p w14:paraId="28B8060E">
      <w:pPr>
        <w:rPr>
          <w:rFonts w:ascii="Arial" w:hAnsi="Arial" w:eastAsia="Arial" w:cs="Arial"/>
          <w:color w:val="auto"/>
          <w:sz w:val="21"/>
          <w:szCs w:val="21"/>
          <w:highlight w:val="none"/>
        </w:rPr>
        <w:sectPr>
          <w:footerReference r:id="rId62" w:type="default"/>
          <w:pgSz w:w="11906" w:h="16839"/>
          <w:pgMar w:top="1416" w:right="1503" w:bottom="1297" w:left="1502" w:header="0" w:footer="1069" w:gutter="0"/>
          <w:pgNumType w:fmt="decimal"/>
          <w:cols w:space="720" w:num="1"/>
        </w:sectPr>
      </w:pPr>
    </w:p>
    <w:tbl>
      <w:tblPr>
        <w:tblStyle w:val="17"/>
        <w:tblW w:w="890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3"/>
        <w:gridCol w:w="853"/>
        <w:gridCol w:w="7450"/>
      </w:tblGrid>
      <w:tr w14:paraId="4A24B7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2" w:hRule="atLeast"/>
        </w:trPr>
        <w:tc>
          <w:tcPr>
            <w:tcW w:w="603" w:type="dxa"/>
            <w:textDirection w:val="tbRlV"/>
            <w:vAlign w:val="top"/>
          </w:tcPr>
          <w:p w14:paraId="4F71D6EE">
            <w:pPr>
              <w:pStyle w:val="18"/>
              <w:spacing w:before="186" w:line="216" w:lineRule="auto"/>
              <w:ind w:left="194"/>
              <w:rPr>
                <w:color w:val="auto"/>
                <w:highlight w:val="none"/>
              </w:rPr>
            </w:pPr>
            <w:r>
              <w:rPr>
                <w:b/>
                <w:bCs/>
                <w:color w:val="auto"/>
                <w:spacing w:val="6"/>
                <w:highlight w:val="none"/>
              </w:rPr>
              <w:t>类</w:t>
            </w:r>
            <w:r>
              <w:rPr>
                <w:color w:val="auto"/>
                <w:spacing w:val="-9"/>
                <w:highlight w:val="none"/>
              </w:rPr>
              <w:t xml:space="preserve"> </w:t>
            </w:r>
            <w:r>
              <w:rPr>
                <w:b/>
                <w:bCs/>
                <w:color w:val="auto"/>
                <w:spacing w:val="6"/>
                <w:highlight w:val="none"/>
              </w:rPr>
              <w:t>别</w:t>
            </w:r>
          </w:p>
        </w:tc>
        <w:tc>
          <w:tcPr>
            <w:tcW w:w="853" w:type="dxa"/>
            <w:vAlign w:val="top"/>
          </w:tcPr>
          <w:p w14:paraId="3D5491B0">
            <w:pPr>
              <w:spacing w:line="250" w:lineRule="auto"/>
              <w:rPr>
                <w:rFonts w:ascii="Arial"/>
                <w:color w:val="auto"/>
                <w:sz w:val="21"/>
                <w:highlight w:val="none"/>
              </w:rPr>
            </w:pPr>
          </w:p>
          <w:p w14:paraId="7A149B7D">
            <w:pPr>
              <w:pStyle w:val="18"/>
              <w:spacing w:before="65" w:line="229" w:lineRule="auto"/>
              <w:ind w:left="229"/>
              <w:rPr>
                <w:color w:val="auto"/>
                <w:highlight w:val="none"/>
              </w:rPr>
            </w:pPr>
            <w:r>
              <w:rPr>
                <w:b/>
                <w:bCs/>
                <w:color w:val="auto"/>
                <w:spacing w:val="4"/>
                <w:highlight w:val="none"/>
              </w:rPr>
              <w:t>序号</w:t>
            </w:r>
          </w:p>
        </w:tc>
        <w:tc>
          <w:tcPr>
            <w:tcW w:w="7450" w:type="dxa"/>
            <w:vAlign w:val="top"/>
          </w:tcPr>
          <w:p w14:paraId="062AA6FA">
            <w:pPr>
              <w:spacing w:line="250" w:lineRule="auto"/>
              <w:rPr>
                <w:rFonts w:ascii="Arial"/>
                <w:color w:val="auto"/>
                <w:sz w:val="21"/>
                <w:highlight w:val="none"/>
              </w:rPr>
            </w:pPr>
          </w:p>
          <w:p w14:paraId="27F10150">
            <w:pPr>
              <w:pStyle w:val="18"/>
              <w:spacing w:before="65" w:line="228" w:lineRule="auto"/>
              <w:ind w:left="3032"/>
              <w:rPr>
                <w:color w:val="auto"/>
                <w:highlight w:val="none"/>
              </w:rPr>
            </w:pPr>
            <w:r>
              <w:rPr>
                <w:b/>
                <w:bCs/>
                <w:color w:val="auto"/>
                <w:spacing w:val="6"/>
                <w:highlight w:val="none"/>
              </w:rPr>
              <w:t>违约项目</w:t>
            </w:r>
          </w:p>
        </w:tc>
      </w:tr>
      <w:tr w14:paraId="4B44F0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5" w:hRule="atLeast"/>
        </w:trPr>
        <w:tc>
          <w:tcPr>
            <w:tcW w:w="603" w:type="dxa"/>
            <w:vMerge w:val="restart"/>
            <w:tcBorders>
              <w:bottom w:val="nil"/>
            </w:tcBorders>
            <w:vAlign w:val="top"/>
          </w:tcPr>
          <w:p w14:paraId="15C52DA6">
            <w:pPr>
              <w:rPr>
                <w:rFonts w:ascii="Arial"/>
                <w:color w:val="auto"/>
                <w:sz w:val="21"/>
                <w:highlight w:val="none"/>
              </w:rPr>
            </w:pPr>
          </w:p>
        </w:tc>
        <w:tc>
          <w:tcPr>
            <w:tcW w:w="853" w:type="dxa"/>
            <w:vAlign w:val="top"/>
          </w:tcPr>
          <w:p w14:paraId="2F69603E">
            <w:pPr>
              <w:spacing w:line="281" w:lineRule="auto"/>
              <w:rPr>
                <w:rFonts w:ascii="Arial"/>
                <w:color w:val="auto"/>
                <w:sz w:val="21"/>
                <w:highlight w:val="none"/>
              </w:rPr>
            </w:pPr>
          </w:p>
          <w:p w14:paraId="782DAE76">
            <w:pPr>
              <w:spacing w:before="58" w:line="195" w:lineRule="auto"/>
              <w:ind w:left="330"/>
              <w:rPr>
                <w:rFonts w:ascii="Times New Roman" w:hAnsi="Times New Roman" w:eastAsia="Times New Roman" w:cs="Times New Roman"/>
                <w:color w:val="auto"/>
                <w:sz w:val="20"/>
                <w:szCs w:val="20"/>
                <w:highlight w:val="none"/>
              </w:rPr>
            </w:pPr>
            <w:r>
              <w:rPr>
                <w:rFonts w:ascii="Times New Roman" w:hAnsi="Times New Roman" w:eastAsia="Times New Roman" w:cs="Times New Roman"/>
                <w:color w:val="auto"/>
                <w:spacing w:val="2"/>
                <w:sz w:val="20"/>
                <w:szCs w:val="20"/>
                <w:highlight w:val="none"/>
              </w:rPr>
              <w:t>28</w:t>
            </w:r>
          </w:p>
        </w:tc>
        <w:tc>
          <w:tcPr>
            <w:tcW w:w="7450" w:type="dxa"/>
            <w:vAlign w:val="top"/>
          </w:tcPr>
          <w:p w14:paraId="02002738">
            <w:pPr>
              <w:pStyle w:val="18"/>
              <w:spacing w:before="117" w:line="262" w:lineRule="auto"/>
              <w:ind w:left="121" w:right="114" w:hanging="4"/>
              <w:rPr>
                <w:color w:val="auto"/>
                <w:highlight w:val="none"/>
              </w:rPr>
            </w:pPr>
            <w:r>
              <w:rPr>
                <w:color w:val="auto"/>
                <w:spacing w:val="13"/>
                <w:highlight w:val="none"/>
              </w:rPr>
              <w:t>监理人未按合同约定或发包人要求组织监理人员适岗培训，每次处以违约金</w:t>
            </w:r>
            <w:r>
              <w:rPr>
                <w:color w:val="auto"/>
                <w:spacing w:val="-32"/>
                <w:highlight w:val="none"/>
              </w:rPr>
              <w:t xml:space="preserve"> </w:t>
            </w:r>
            <w:r>
              <w:rPr>
                <w:rFonts w:ascii="Calibri" w:hAnsi="Calibri" w:eastAsia="Calibri" w:cs="Calibri"/>
                <w:color w:val="auto"/>
                <w:spacing w:val="13"/>
                <w:highlight w:val="none"/>
                <w:u w:val="single" w:color="auto"/>
              </w:rPr>
              <w:t>5</w:t>
            </w:r>
            <w:r>
              <w:rPr>
                <w:color w:val="auto"/>
                <w:spacing w:val="1"/>
                <w:highlight w:val="none"/>
              </w:rPr>
              <w:t>万元。</w:t>
            </w:r>
          </w:p>
        </w:tc>
      </w:tr>
      <w:tr w14:paraId="549531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3" w:hRule="atLeast"/>
        </w:trPr>
        <w:tc>
          <w:tcPr>
            <w:tcW w:w="603" w:type="dxa"/>
            <w:vMerge w:val="continue"/>
            <w:tcBorders>
              <w:top w:val="nil"/>
            </w:tcBorders>
            <w:vAlign w:val="top"/>
          </w:tcPr>
          <w:p w14:paraId="0F0A051C">
            <w:pPr>
              <w:rPr>
                <w:rFonts w:ascii="Arial"/>
                <w:color w:val="auto"/>
                <w:sz w:val="21"/>
                <w:highlight w:val="none"/>
              </w:rPr>
            </w:pPr>
          </w:p>
        </w:tc>
        <w:tc>
          <w:tcPr>
            <w:tcW w:w="853" w:type="dxa"/>
            <w:vAlign w:val="top"/>
          </w:tcPr>
          <w:p w14:paraId="574DE658">
            <w:pPr>
              <w:spacing w:before="181" w:line="195" w:lineRule="auto"/>
              <w:ind w:left="330"/>
              <w:rPr>
                <w:rFonts w:ascii="Times New Roman" w:hAnsi="Times New Roman" w:eastAsia="Times New Roman" w:cs="Times New Roman"/>
                <w:color w:val="auto"/>
                <w:sz w:val="20"/>
                <w:szCs w:val="20"/>
                <w:highlight w:val="none"/>
              </w:rPr>
            </w:pPr>
            <w:r>
              <w:rPr>
                <w:rFonts w:ascii="Times New Roman" w:hAnsi="Times New Roman" w:eastAsia="Times New Roman" w:cs="Times New Roman"/>
                <w:color w:val="auto"/>
                <w:spacing w:val="2"/>
                <w:sz w:val="20"/>
                <w:szCs w:val="20"/>
                <w:highlight w:val="none"/>
              </w:rPr>
              <w:t>29</w:t>
            </w:r>
          </w:p>
        </w:tc>
        <w:tc>
          <w:tcPr>
            <w:tcW w:w="7450" w:type="dxa"/>
            <w:vAlign w:val="top"/>
          </w:tcPr>
          <w:p w14:paraId="51228198">
            <w:pPr>
              <w:pStyle w:val="18"/>
              <w:spacing w:before="126" w:line="266" w:lineRule="auto"/>
              <w:ind w:left="121" w:right="114"/>
              <w:rPr>
                <w:color w:val="auto"/>
                <w:highlight w:val="none"/>
              </w:rPr>
            </w:pPr>
            <w:r>
              <w:rPr>
                <w:color w:val="auto"/>
                <w:spacing w:val="13"/>
                <w:highlight w:val="none"/>
              </w:rPr>
              <w:t>总监办未按合同约定工作内容，积极协助发包人进行管理，每次处</w:t>
            </w:r>
            <w:r>
              <w:rPr>
                <w:color w:val="auto"/>
                <w:spacing w:val="12"/>
                <w:highlight w:val="none"/>
              </w:rPr>
              <w:t>以违约金</w:t>
            </w:r>
            <w:r>
              <w:rPr>
                <w:color w:val="auto"/>
                <w:spacing w:val="-32"/>
                <w:highlight w:val="none"/>
              </w:rPr>
              <w:t xml:space="preserve"> </w:t>
            </w:r>
            <w:r>
              <w:rPr>
                <w:rFonts w:ascii="Calibri" w:hAnsi="Calibri" w:eastAsia="Calibri" w:cs="Calibri"/>
                <w:color w:val="auto"/>
                <w:spacing w:val="12"/>
                <w:highlight w:val="none"/>
              </w:rPr>
              <w:t>5</w:t>
            </w:r>
            <w:r>
              <w:rPr>
                <w:color w:val="auto"/>
                <w:spacing w:val="1"/>
                <w:highlight w:val="none"/>
              </w:rPr>
              <w:t>万元。</w:t>
            </w:r>
          </w:p>
        </w:tc>
      </w:tr>
      <w:tr w14:paraId="5FFD00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83" w:hRule="atLeast"/>
        </w:trPr>
        <w:tc>
          <w:tcPr>
            <w:tcW w:w="603" w:type="dxa"/>
            <w:vAlign w:val="top"/>
          </w:tcPr>
          <w:p w14:paraId="430CA671">
            <w:pPr>
              <w:rPr>
                <w:rFonts w:ascii="Arial"/>
                <w:color w:val="auto"/>
                <w:sz w:val="21"/>
                <w:highlight w:val="none"/>
              </w:rPr>
            </w:pPr>
          </w:p>
        </w:tc>
        <w:tc>
          <w:tcPr>
            <w:tcW w:w="853" w:type="dxa"/>
            <w:vAlign w:val="top"/>
          </w:tcPr>
          <w:p w14:paraId="3BE00D86">
            <w:pPr>
              <w:spacing w:line="336" w:lineRule="auto"/>
              <w:rPr>
                <w:rFonts w:ascii="Arial"/>
                <w:color w:val="auto"/>
                <w:sz w:val="21"/>
                <w:highlight w:val="none"/>
              </w:rPr>
            </w:pPr>
          </w:p>
          <w:p w14:paraId="60E6AB3F">
            <w:pPr>
              <w:spacing w:line="337" w:lineRule="auto"/>
              <w:rPr>
                <w:rFonts w:ascii="Arial"/>
                <w:color w:val="auto"/>
                <w:sz w:val="21"/>
                <w:highlight w:val="none"/>
              </w:rPr>
            </w:pPr>
          </w:p>
          <w:p w14:paraId="3B12D92E">
            <w:pPr>
              <w:spacing w:before="58" w:line="195" w:lineRule="auto"/>
              <w:ind w:left="334"/>
              <w:rPr>
                <w:rFonts w:ascii="Times New Roman" w:hAnsi="Times New Roman" w:eastAsia="Times New Roman" w:cs="Times New Roman"/>
                <w:color w:val="auto"/>
                <w:sz w:val="20"/>
                <w:szCs w:val="20"/>
                <w:highlight w:val="none"/>
              </w:rPr>
            </w:pPr>
            <w:r>
              <w:rPr>
                <w:rFonts w:ascii="Times New Roman" w:hAnsi="Times New Roman" w:eastAsia="Times New Roman" w:cs="Times New Roman"/>
                <w:color w:val="auto"/>
                <w:sz w:val="20"/>
                <w:szCs w:val="20"/>
                <w:highlight w:val="none"/>
              </w:rPr>
              <w:t>30</w:t>
            </w:r>
          </w:p>
        </w:tc>
        <w:tc>
          <w:tcPr>
            <w:tcW w:w="7450" w:type="dxa"/>
            <w:vAlign w:val="top"/>
          </w:tcPr>
          <w:p w14:paraId="0A07B5E5">
            <w:pPr>
              <w:pStyle w:val="18"/>
              <w:spacing w:before="117" w:line="282" w:lineRule="auto"/>
              <w:ind w:left="118" w:right="114" w:hanging="2"/>
              <w:rPr>
                <w:color w:val="auto"/>
                <w:highlight w:val="none"/>
              </w:rPr>
            </w:pPr>
            <w:r>
              <w:rPr>
                <w:color w:val="auto"/>
                <w:spacing w:val="11"/>
                <w:highlight w:val="none"/>
              </w:rPr>
              <w:t>对施工单位的《项目管理方案》审查不到位，视情况处每次</w:t>
            </w:r>
            <w:r>
              <w:rPr>
                <w:color w:val="auto"/>
                <w:spacing w:val="-10"/>
                <w:highlight w:val="none"/>
              </w:rPr>
              <w:t xml:space="preserve"> </w:t>
            </w:r>
            <w:r>
              <w:rPr>
                <w:rFonts w:ascii="Calibri" w:hAnsi="Calibri" w:eastAsia="Calibri" w:cs="Calibri"/>
                <w:color w:val="auto"/>
                <w:spacing w:val="11"/>
                <w:highlight w:val="none"/>
              </w:rPr>
              <w:t>1</w:t>
            </w:r>
            <w:r>
              <w:rPr>
                <w:rFonts w:ascii="Calibri" w:hAnsi="Calibri" w:eastAsia="Calibri" w:cs="Calibri"/>
                <w:color w:val="auto"/>
                <w:spacing w:val="28"/>
                <w:w w:val="101"/>
                <w:highlight w:val="none"/>
              </w:rPr>
              <w:t xml:space="preserve"> </w:t>
            </w:r>
            <w:r>
              <w:rPr>
                <w:color w:val="auto"/>
                <w:spacing w:val="11"/>
                <w:highlight w:val="none"/>
              </w:rPr>
              <w:t>万—</w:t>
            </w:r>
            <w:r>
              <w:rPr>
                <w:rFonts w:ascii="Calibri" w:hAnsi="Calibri" w:eastAsia="Calibri" w:cs="Calibri"/>
                <w:color w:val="auto"/>
                <w:spacing w:val="11"/>
                <w:highlight w:val="none"/>
              </w:rPr>
              <w:t>2</w:t>
            </w:r>
            <w:r>
              <w:rPr>
                <w:rFonts w:ascii="Calibri" w:hAnsi="Calibri" w:eastAsia="Calibri" w:cs="Calibri"/>
                <w:color w:val="auto"/>
                <w:spacing w:val="27"/>
                <w:w w:val="101"/>
                <w:highlight w:val="none"/>
              </w:rPr>
              <w:t xml:space="preserve"> </w:t>
            </w:r>
            <w:r>
              <w:rPr>
                <w:color w:val="auto"/>
                <w:spacing w:val="11"/>
                <w:highlight w:val="none"/>
              </w:rPr>
              <w:t>万元违约</w:t>
            </w:r>
            <w:r>
              <w:rPr>
                <w:color w:val="auto"/>
                <w:spacing w:val="-1"/>
                <w:highlight w:val="none"/>
              </w:rPr>
              <w:t>金。</w:t>
            </w:r>
          </w:p>
          <w:p w14:paraId="71477E9C">
            <w:pPr>
              <w:pStyle w:val="18"/>
              <w:spacing w:before="78" w:line="228" w:lineRule="auto"/>
              <w:ind w:left="120"/>
              <w:rPr>
                <w:color w:val="auto"/>
                <w:highlight w:val="none"/>
              </w:rPr>
            </w:pPr>
            <w:r>
              <w:rPr>
                <w:color w:val="auto"/>
                <w:spacing w:val="5"/>
                <w:highlight w:val="none"/>
              </w:rPr>
              <w:t>未按时检查处以违约金</w:t>
            </w:r>
            <w:r>
              <w:rPr>
                <w:color w:val="auto"/>
                <w:spacing w:val="-31"/>
                <w:highlight w:val="none"/>
              </w:rPr>
              <w:t xml:space="preserve"> </w:t>
            </w:r>
            <w:r>
              <w:rPr>
                <w:rFonts w:ascii="Calibri" w:hAnsi="Calibri" w:eastAsia="Calibri" w:cs="Calibri"/>
                <w:color w:val="auto"/>
                <w:spacing w:val="5"/>
                <w:highlight w:val="none"/>
              </w:rPr>
              <w:t>0.5</w:t>
            </w:r>
            <w:r>
              <w:rPr>
                <w:rFonts w:ascii="Calibri" w:hAnsi="Calibri" w:eastAsia="Calibri" w:cs="Calibri"/>
                <w:color w:val="auto"/>
                <w:spacing w:val="26"/>
                <w:highlight w:val="none"/>
              </w:rPr>
              <w:t xml:space="preserve"> </w:t>
            </w:r>
            <w:r>
              <w:rPr>
                <w:color w:val="auto"/>
                <w:spacing w:val="5"/>
                <w:highlight w:val="none"/>
              </w:rPr>
              <w:t>万—</w:t>
            </w:r>
            <w:r>
              <w:rPr>
                <w:rFonts w:ascii="Calibri" w:hAnsi="Calibri" w:eastAsia="Calibri" w:cs="Calibri"/>
                <w:color w:val="auto"/>
                <w:spacing w:val="5"/>
                <w:highlight w:val="none"/>
              </w:rPr>
              <w:t>1</w:t>
            </w:r>
            <w:r>
              <w:rPr>
                <w:rFonts w:ascii="Calibri" w:hAnsi="Calibri" w:eastAsia="Calibri" w:cs="Calibri"/>
                <w:color w:val="auto"/>
                <w:spacing w:val="23"/>
                <w:highlight w:val="none"/>
              </w:rPr>
              <w:t xml:space="preserve"> </w:t>
            </w:r>
            <w:r>
              <w:rPr>
                <w:color w:val="auto"/>
                <w:spacing w:val="5"/>
                <w:highlight w:val="none"/>
              </w:rPr>
              <w:t>万元。</w:t>
            </w:r>
          </w:p>
          <w:p w14:paraId="504E9555">
            <w:pPr>
              <w:pStyle w:val="18"/>
              <w:spacing w:before="149" w:line="211" w:lineRule="auto"/>
              <w:ind w:left="116"/>
              <w:rPr>
                <w:color w:val="auto"/>
                <w:sz w:val="22"/>
                <w:szCs w:val="22"/>
                <w:highlight w:val="none"/>
              </w:rPr>
            </w:pPr>
            <w:r>
              <w:rPr>
                <w:color w:val="auto"/>
                <w:spacing w:val="7"/>
                <w:highlight w:val="none"/>
              </w:rPr>
              <w:t>检查不到位，没有及时督促整改处以违约金</w:t>
            </w:r>
            <w:r>
              <w:rPr>
                <w:color w:val="auto"/>
                <w:spacing w:val="-37"/>
                <w:highlight w:val="none"/>
              </w:rPr>
              <w:t xml:space="preserve"> </w:t>
            </w:r>
            <w:r>
              <w:rPr>
                <w:rFonts w:ascii="Calibri" w:hAnsi="Calibri" w:eastAsia="Calibri" w:cs="Calibri"/>
                <w:color w:val="auto"/>
                <w:spacing w:val="7"/>
                <w:highlight w:val="none"/>
              </w:rPr>
              <w:t>0.5</w:t>
            </w:r>
            <w:r>
              <w:rPr>
                <w:rFonts w:ascii="Calibri" w:hAnsi="Calibri" w:eastAsia="Calibri" w:cs="Calibri"/>
                <w:color w:val="auto"/>
                <w:spacing w:val="23"/>
                <w:highlight w:val="none"/>
              </w:rPr>
              <w:t xml:space="preserve"> </w:t>
            </w:r>
            <w:r>
              <w:rPr>
                <w:color w:val="auto"/>
                <w:spacing w:val="7"/>
                <w:highlight w:val="none"/>
              </w:rPr>
              <w:t>万—</w:t>
            </w:r>
            <w:r>
              <w:rPr>
                <w:rFonts w:ascii="Calibri" w:hAnsi="Calibri" w:eastAsia="Calibri" w:cs="Calibri"/>
                <w:color w:val="auto"/>
                <w:spacing w:val="7"/>
                <w:highlight w:val="none"/>
              </w:rPr>
              <w:t>1</w:t>
            </w:r>
            <w:r>
              <w:rPr>
                <w:rFonts w:ascii="Calibri" w:hAnsi="Calibri" w:eastAsia="Calibri" w:cs="Calibri"/>
                <w:color w:val="auto"/>
                <w:spacing w:val="25"/>
                <w:w w:val="101"/>
                <w:highlight w:val="none"/>
              </w:rPr>
              <w:t xml:space="preserve"> </w:t>
            </w:r>
            <w:r>
              <w:rPr>
                <w:color w:val="auto"/>
                <w:spacing w:val="7"/>
                <w:highlight w:val="none"/>
              </w:rPr>
              <w:t>万元</w:t>
            </w:r>
            <w:r>
              <w:rPr>
                <w:color w:val="auto"/>
                <w:spacing w:val="7"/>
                <w:sz w:val="22"/>
                <w:szCs w:val="22"/>
                <w:highlight w:val="none"/>
              </w:rPr>
              <w:t>。</w:t>
            </w:r>
          </w:p>
        </w:tc>
      </w:tr>
      <w:tr w14:paraId="672287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5" w:hRule="atLeast"/>
        </w:trPr>
        <w:tc>
          <w:tcPr>
            <w:tcW w:w="603" w:type="dxa"/>
            <w:vMerge w:val="restart"/>
            <w:tcBorders>
              <w:bottom w:val="nil"/>
            </w:tcBorders>
            <w:textDirection w:val="tbRlV"/>
            <w:vAlign w:val="top"/>
          </w:tcPr>
          <w:p w14:paraId="71C4C742">
            <w:pPr>
              <w:pStyle w:val="18"/>
              <w:spacing w:before="192" w:line="217" w:lineRule="auto"/>
              <w:ind w:left="4412"/>
              <w:rPr>
                <w:color w:val="auto"/>
                <w:highlight w:val="none"/>
              </w:rPr>
            </w:pPr>
            <w:r>
              <w:rPr>
                <w:b/>
                <w:bCs/>
                <w:color w:val="auto"/>
                <w:spacing w:val="6"/>
                <w:highlight w:val="none"/>
              </w:rPr>
              <w:t>安</w:t>
            </w:r>
            <w:r>
              <w:rPr>
                <w:color w:val="auto"/>
                <w:spacing w:val="-8"/>
                <w:highlight w:val="none"/>
              </w:rPr>
              <w:t xml:space="preserve"> </w:t>
            </w:r>
            <w:r>
              <w:rPr>
                <w:b/>
                <w:bCs/>
                <w:color w:val="auto"/>
                <w:spacing w:val="6"/>
                <w:highlight w:val="none"/>
              </w:rPr>
              <w:t>全</w:t>
            </w:r>
            <w:r>
              <w:rPr>
                <w:color w:val="auto"/>
                <w:spacing w:val="-8"/>
                <w:highlight w:val="none"/>
              </w:rPr>
              <w:t xml:space="preserve"> </w:t>
            </w:r>
            <w:r>
              <w:rPr>
                <w:b/>
                <w:bCs/>
                <w:color w:val="auto"/>
                <w:spacing w:val="6"/>
                <w:highlight w:val="none"/>
              </w:rPr>
              <w:t>罚</w:t>
            </w:r>
            <w:r>
              <w:rPr>
                <w:color w:val="auto"/>
                <w:spacing w:val="-9"/>
                <w:highlight w:val="none"/>
              </w:rPr>
              <w:t xml:space="preserve"> </w:t>
            </w:r>
            <w:r>
              <w:rPr>
                <w:b/>
                <w:bCs/>
                <w:color w:val="auto"/>
                <w:spacing w:val="6"/>
                <w:highlight w:val="none"/>
              </w:rPr>
              <w:t>款</w:t>
            </w:r>
          </w:p>
        </w:tc>
        <w:tc>
          <w:tcPr>
            <w:tcW w:w="853" w:type="dxa"/>
            <w:vAlign w:val="top"/>
          </w:tcPr>
          <w:p w14:paraId="0C970A7E">
            <w:pPr>
              <w:spacing w:before="228" w:line="195" w:lineRule="auto"/>
              <w:ind w:left="393"/>
              <w:rPr>
                <w:rFonts w:ascii="Times New Roman" w:hAnsi="Times New Roman" w:eastAsia="Times New Roman" w:cs="Times New Roman"/>
                <w:color w:val="auto"/>
                <w:sz w:val="20"/>
                <w:szCs w:val="20"/>
                <w:highlight w:val="none"/>
              </w:rPr>
            </w:pPr>
            <w:r>
              <w:rPr>
                <w:rFonts w:ascii="Times New Roman" w:hAnsi="Times New Roman" w:eastAsia="Times New Roman" w:cs="Times New Roman"/>
                <w:color w:val="auto"/>
                <w:sz w:val="20"/>
                <w:szCs w:val="20"/>
                <w:highlight w:val="none"/>
              </w:rPr>
              <w:t>1</w:t>
            </w:r>
          </w:p>
        </w:tc>
        <w:tc>
          <w:tcPr>
            <w:tcW w:w="7450" w:type="dxa"/>
            <w:vAlign w:val="top"/>
          </w:tcPr>
          <w:p w14:paraId="1B8CB87A">
            <w:pPr>
              <w:pStyle w:val="18"/>
              <w:spacing w:before="130" w:line="221" w:lineRule="auto"/>
              <w:ind w:left="223"/>
              <w:rPr>
                <w:rFonts w:ascii="Times New Roman" w:hAnsi="Times New Roman" w:eastAsia="Times New Roman" w:cs="Times New Roman"/>
                <w:color w:val="auto"/>
                <w:highlight w:val="none"/>
              </w:rPr>
            </w:pPr>
            <w:r>
              <w:rPr>
                <w:color w:val="auto"/>
                <w:spacing w:val="8"/>
                <w:highlight w:val="none"/>
              </w:rPr>
              <w:t>监理人员违反施工现场安全管理规定的，每人次罚款</w:t>
            </w:r>
            <w:r>
              <w:rPr>
                <w:color w:val="auto"/>
                <w:spacing w:val="-37"/>
                <w:highlight w:val="none"/>
              </w:rPr>
              <w:t xml:space="preserve"> </w:t>
            </w:r>
            <w:r>
              <w:rPr>
                <w:rFonts w:ascii="Times New Roman" w:hAnsi="Times New Roman" w:eastAsia="Times New Roman" w:cs="Times New Roman"/>
                <w:color w:val="auto"/>
                <w:spacing w:val="8"/>
                <w:highlight w:val="none"/>
              </w:rPr>
              <w:t>5</w:t>
            </w:r>
            <w:r>
              <w:rPr>
                <w:rFonts w:ascii="Times New Roman" w:hAnsi="Times New Roman" w:eastAsia="Times New Roman" w:cs="Times New Roman"/>
                <w:color w:val="auto"/>
                <w:spacing w:val="7"/>
                <w:highlight w:val="none"/>
              </w:rPr>
              <w:t xml:space="preserve">00 </w:t>
            </w:r>
            <w:r>
              <w:rPr>
                <w:color w:val="auto"/>
                <w:spacing w:val="7"/>
                <w:highlight w:val="none"/>
              </w:rPr>
              <w:t>元</w:t>
            </w:r>
            <w:r>
              <w:rPr>
                <w:rFonts w:ascii="Times New Roman" w:hAnsi="Times New Roman" w:eastAsia="Times New Roman" w:cs="Times New Roman"/>
                <w:color w:val="auto"/>
                <w:spacing w:val="7"/>
                <w:highlight w:val="none"/>
              </w:rPr>
              <w:t>;</w:t>
            </w:r>
          </w:p>
        </w:tc>
      </w:tr>
      <w:tr w14:paraId="0137CB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7" w:hRule="atLeast"/>
        </w:trPr>
        <w:tc>
          <w:tcPr>
            <w:tcW w:w="603" w:type="dxa"/>
            <w:vMerge w:val="continue"/>
            <w:tcBorders>
              <w:top w:val="nil"/>
              <w:bottom w:val="nil"/>
            </w:tcBorders>
            <w:textDirection w:val="tbRlV"/>
            <w:vAlign w:val="top"/>
          </w:tcPr>
          <w:p w14:paraId="5333817A">
            <w:pPr>
              <w:rPr>
                <w:rFonts w:ascii="Arial"/>
                <w:color w:val="auto"/>
                <w:sz w:val="21"/>
                <w:highlight w:val="none"/>
              </w:rPr>
            </w:pPr>
          </w:p>
        </w:tc>
        <w:tc>
          <w:tcPr>
            <w:tcW w:w="853" w:type="dxa"/>
            <w:vAlign w:val="top"/>
          </w:tcPr>
          <w:p w14:paraId="42D6DCAD">
            <w:pPr>
              <w:spacing w:line="293" w:lineRule="auto"/>
              <w:rPr>
                <w:rFonts w:ascii="Arial"/>
                <w:color w:val="auto"/>
                <w:sz w:val="21"/>
                <w:highlight w:val="none"/>
              </w:rPr>
            </w:pPr>
          </w:p>
          <w:p w14:paraId="33FBB85C">
            <w:pPr>
              <w:spacing w:before="57" w:line="195" w:lineRule="auto"/>
              <w:ind w:left="373"/>
              <w:rPr>
                <w:rFonts w:ascii="Times New Roman" w:hAnsi="Times New Roman" w:eastAsia="Times New Roman" w:cs="Times New Roman"/>
                <w:color w:val="auto"/>
                <w:sz w:val="20"/>
                <w:szCs w:val="20"/>
                <w:highlight w:val="none"/>
              </w:rPr>
            </w:pPr>
            <w:r>
              <w:rPr>
                <w:rFonts w:ascii="Times New Roman" w:hAnsi="Times New Roman" w:eastAsia="Times New Roman" w:cs="Times New Roman"/>
                <w:color w:val="auto"/>
                <w:sz w:val="20"/>
                <w:szCs w:val="20"/>
                <w:highlight w:val="none"/>
              </w:rPr>
              <w:t>2</w:t>
            </w:r>
          </w:p>
        </w:tc>
        <w:tc>
          <w:tcPr>
            <w:tcW w:w="7450" w:type="dxa"/>
            <w:vAlign w:val="top"/>
          </w:tcPr>
          <w:p w14:paraId="4F8A9A41">
            <w:pPr>
              <w:pStyle w:val="18"/>
              <w:spacing w:before="121" w:line="261" w:lineRule="auto"/>
              <w:ind w:left="225" w:right="301" w:hanging="4"/>
              <w:rPr>
                <w:rFonts w:ascii="Times New Roman" w:hAnsi="Times New Roman" w:eastAsia="Times New Roman" w:cs="Times New Roman"/>
                <w:color w:val="auto"/>
                <w:highlight w:val="none"/>
              </w:rPr>
            </w:pPr>
            <w:r>
              <w:rPr>
                <w:color w:val="auto"/>
                <w:spacing w:val="10"/>
                <w:highlight w:val="none"/>
              </w:rPr>
              <w:t>施工现场存在严重安全隐患，监理人未及时发现或发</w:t>
            </w:r>
            <w:r>
              <w:rPr>
                <w:color w:val="auto"/>
                <w:spacing w:val="9"/>
                <w:highlight w:val="none"/>
              </w:rPr>
              <w:t>现后未采取措施的，每</w:t>
            </w:r>
            <w:r>
              <w:rPr>
                <w:color w:val="auto"/>
                <w:spacing w:val="3"/>
                <w:highlight w:val="none"/>
              </w:rPr>
              <w:t>项罚款</w:t>
            </w:r>
            <w:r>
              <w:rPr>
                <w:color w:val="auto"/>
                <w:spacing w:val="-37"/>
                <w:highlight w:val="none"/>
              </w:rPr>
              <w:t xml:space="preserve"> </w:t>
            </w:r>
            <w:r>
              <w:rPr>
                <w:rFonts w:ascii="Times New Roman" w:hAnsi="Times New Roman" w:eastAsia="Times New Roman" w:cs="Times New Roman"/>
                <w:color w:val="auto"/>
                <w:spacing w:val="3"/>
                <w:highlight w:val="none"/>
              </w:rPr>
              <w:t xml:space="preserve">3000 </w:t>
            </w:r>
            <w:r>
              <w:rPr>
                <w:color w:val="auto"/>
                <w:spacing w:val="3"/>
                <w:highlight w:val="none"/>
              </w:rPr>
              <w:t>元</w:t>
            </w:r>
            <w:r>
              <w:rPr>
                <w:rFonts w:ascii="Times New Roman" w:hAnsi="Times New Roman" w:eastAsia="Times New Roman" w:cs="Times New Roman"/>
                <w:color w:val="auto"/>
                <w:spacing w:val="3"/>
                <w:highlight w:val="none"/>
              </w:rPr>
              <w:t>;</w:t>
            </w:r>
          </w:p>
        </w:tc>
      </w:tr>
      <w:tr w14:paraId="340871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7" w:hRule="atLeast"/>
        </w:trPr>
        <w:tc>
          <w:tcPr>
            <w:tcW w:w="603" w:type="dxa"/>
            <w:vMerge w:val="continue"/>
            <w:tcBorders>
              <w:top w:val="nil"/>
              <w:bottom w:val="nil"/>
            </w:tcBorders>
            <w:textDirection w:val="tbRlV"/>
            <w:vAlign w:val="top"/>
          </w:tcPr>
          <w:p w14:paraId="7FC7FF52">
            <w:pPr>
              <w:rPr>
                <w:rFonts w:ascii="Arial"/>
                <w:color w:val="auto"/>
                <w:sz w:val="21"/>
                <w:highlight w:val="none"/>
              </w:rPr>
            </w:pPr>
          </w:p>
        </w:tc>
        <w:tc>
          <w:tcPr>
            <w:tcW w:w="853" w:type="dxa"/>
            <w:vAlign w:val="top"/>
          </w:tcPr>
          <w:p w14:paraId="4FAB28BF">
            <w:pPr>
              <w:spacing w:line="294" w:lineRule="auto"/>
              <w:rPr>
                <w:rFonts w:ascii="Arial"/>
                <w:color w:val="auto"/>
                <w:sz w:val="21"/>
                <w:highlight w:val="none"/>
              </w:rPr>
            </w:pPr>
          </w:p>
          <w:p w14:paraId="52A2E8B6">
            <w:pPr>
              <w:spacing w:before="58" w:line="195" w:lineRule="auto"/>
              <w:ind w:left="377"/>
              <w:rPr>
                <w:rFonts w:ascii="Times New Roman" w:hAnsi="Times New Roman" w:eastAsia="Times New Roman" w:cs="Times New Roman"/>
                <w:color w:val="auto"/>
                <w:sz w:val="20"/>
                <w:szCs w:val="20"/>
                <w:highlight w:val="none"/>
              </w:rPr>
            </w:pPr>
            <w:r>
              <w:rPr>
                <w:rFonts w:ascii="Times New Roman" w:hAnsi="Times New Roman" w:eastAsia="Times New Roman" w:cs="Times New Roman"/>
                <w:color w:val="auto"/>
                <w:sz w:val="20"/>
                <w:szCs w:val="20"/>
                <w:highlight w:val="none"/>
              </w:rPr>
              <w:t>3</w:t>
            </w:r>
          </w:p>
        </w:tc>
        <w:tc>
          <w:tcPr>
            <w:tcW w:w="7450" w:type="dxa"/>
            <w:vAlign w:val="top"/>
          </w:tcPr>
          <w:p w14:paraId="543F9708">
            <w:pPr>
              <w:pStyle w:val="18"/>
              <w:spacing w:before="121" w:line="261" w:lineRule="auto"/>
              <w:ind w:left="230" w:right="301" w:hanging="9"/>
              <w:rPr>
                <w:rFonts w:ascii="Times New Roman" w:hAnsi="Times New Roman" w:eastAsia="Times New Roman" w:cs="Times New Roman"/>
                <w:color w:val="auto"/>
                <w:highlight w:val="none"/>
              </w:rPr>
            </w:pPr>
            <w:r>
              <w:rPr>
                <w:color w:val="auto"/>
                <w:spacing w:val="10"/>
                <w:highlight w:val="none"/>
              </w:rPr>
              <w:t>施工单位未按规定整改期限及时整改安全隐患，监理</w:t>
            </w:r>
            <w:r>
              <w:rPr>
                <w:color w:val="auto"/>
                <w:spacing w:val="9"/>
                <w:highlight w:val="none"/>
              </w:rPr>
              <w:t>人未采取措施的，每项</w:t>
            </w:r>
            <w:r>
              <w:rPr>
                <w:color w:val="auto"/>
                <w:highlight w:val="none"/>
              </w:rPr>
              <w:t>罚款</w:t>
            </w:r>
            <w:r>
              <w:rPr>
                <w:color w:val="auto"/>
                <w:spacing w:val="-23"/>
                <w:highlight w:val="none"/>
              </w:rPr>
              <w:t xml:space="preserve"> </w:t>
            </w:r>
            <w:r>
              <w:rPr>
                <w:rFonts w:ascii="Times New Roman" w:hAnsi="Times New Roman" w:eastAsia="Times New Roman" w:cs="Times New Roman"/>
                <w:color w:val="auto"/>
                <w:highlight w:val="none"/>
              </w:rPr>
              <w:t xml:space="preserve">1000 </w:t>
            </w:r>
            <w:r>
              <w:rPr>
                <w:color w:val="auto"/>
                <w:highlight w:val="none"/>
              </w:rPr>
              <w:t>元</w:t>
            </w:r>
            <w:r>
              <w:rPr>
                <w:rFonts w:ascii="Times New Roman" w:hAnsi="Times New Roman" w:eastAsia="Times New Roman" w:cs="Times New Roman"/>
                <w:color w:val="auto"/>
                <w:highlight w:val="none"/>
              </w:rPr>
              <w:t>;</w:t>
            </w:r>
          </w:p>
        </w:tc>
      </w:tr>
      <w:tr w14:paraId="6DE6C1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6" w:hRule="atLeast"/>
        </w:trPr>
        <w:tc>
          <w:tcPr>
            <w:tcW w:w="603" w:type="dxa"/>
            <w:vMerge w:val="continue"/>
            <w:tcBorders>
              <w:top w:val="nil"/>
              <w:bottom w:val="nil"/>
            </w:tcBorders>
            <w:textDirection w:val="tbRlV"/>
            <w:vAlign w:val="top"/>
          </w:tcPr>
          <w:p w14:paraId="66EDDB24">
            <w:pPr>
              <w:rPr>
                <w:rFonts w:ascii="Arial"/>
                <w:color w:val="auto"/>
                <w:sz w:val="21"/>
                <w:highlight w:val="none"/>
              </w:rPr>
            </w:pPr>
          </w:p>
        </w:tc>
        <w:tc>
          <w:tcPr>
            <w:tcW w:w="853" w:type="dxa"/>
            <w:vAlign w:val="top"/>
          </w:tcPr>
          <w:p w14:paraId="14BA5BCD">
            <w:pPr>
              <w:spacing w:line="256" w:lineRule="auto"/>
              <w:rPr>
                <w:rFonts w:ascii="Arial"/>
                <w:color w:val="auto"/>
                <w:sz w:val="21"/>
                <w:highlight w:val="none"/>
              </w:rPr>
            </w:pPr>
          </w:p>
          <w:p w14:paraId="36252394">
            <w:pPr>
              <w:spacing w:line="257" w:lineRule="auto"/>
              <w:rPr>
                <w:rFonts w:ascii="Arial"/>
                <w:color w:val="auto"/>
                <w:sz w:val="21"/>
                <w:highlight w:val="none"/>
              </w:rPr>
            </w:pPr>
          </w:p>
          <w:p w14:paraId="173AD644">
            <w:pPr>
              <w:spacing w:line="257" w:lineRule="auto"/>
              <w:rPr>
                <w:rFonts w:ascii="Arial"/>
                <w:color w:val="auto"/>
                <w:sz w:val="21"/>
                <w:highlight w:val="none"/>
              </w:rPr>
            </w:pPr>
          </w:p>
          <w:p w14:paraId="7E324B96">
            <w:pPr>
              <w:spacing w:line="257" w:lineRule="auto"/>
              <w:rPr>
                <w:rFonts w:ascii="Arial"/>
                <w:color w:val="auto"/>
                <w:sz w:val="21"/>
                <w:highlight w:val="none"/>
              </w:rPr>
            </w:pPr>
          </w:p>
          <w:p w14:paraId="605E2BD0">
            <w:pPr>
              <w:spacing w:line="257" w:lineRule="auto"/>
              <w:rPr>
                <w:rFonts w:ascii="Arial"/>
                <w:color w:val="auto"/>
                <w:sz w:val="21"/>
                <w:highlight w:val="none"/>
              </w:rPr>
            </w:pPr>
          </w:p>
          <w:p w14:paraId="0C0137B8">
            <w:pPr>
              <w:spacing w:line="257" w:lineRule="auto"/>
              <w:rPr>
                <w:rFonts w:ascii="Arial"/>
                <w:color w:val="auto"/>
                <w:sz w:val="21"/>
                <w:highlight w:val="none"/>
              </w:rPr>
            </w:pPr>
          </w:p>
          <w:p w14:paraId="1BE428EE">
            <w:pPr>
              <w:spacing w:line="257" w:lineRule="auto"/>
              <w:rPr>
                <w:rFonts w:ascii="Arial"/>
                <w:color w:val="auto"/>
                <w:sz w:val="21"/>
                <w:highlight w:val="none"/>
              </w:rPr>
            </w:pPr>
          </w:p>
          <w:p w14:paraId="425970DB">
            <w:pPr>
              <w:spacing w:before="58" w:line="195" w:lineRule="auto"/>
              <w:ind w:left="372"/>
              <w:rPr>
                <w:rFonts w:ascii="Times New Roman" w:hAnsi="Times New Roman" w:eastAsia="Times New Roman" w:cs="Times New Roman"/>
                <w:color w:val="auto"/>
                <w:sz w:val="20"/>
                <w:szCs w:val="20"/>
                <w:highlight w:val="none"/>
              </w:rPr>
            </w:pPr>
            <w:r>
              <w:rPr>
                <w:rFonts w:ascii="Times New Roman" w:hAnsi="Times New Roman" w:eastAsia="Times New Roman" w:cs="Times New Roman"/>
                <w:color w:val="auto"/>
                <w:spacing w:val="1"/>
                <w:sz w:val="20"/>
                <w:szCs w:val="20"/>
                <w:highlight w:val="none"/>
              </w:rPr>
              <w:t>4</w:t>
            </w:r>
          </w:p>
        </w:tc>
        <w:tc>
          <w:tcPr>
            <w:tcW w:w="7450" w:type="dxa"/>
            <w:vAlign w:val="top"/>
          </w:tcPr>
          <w:p w14:paraId="157E9F43">
            <w:pPr>
              <w:pStyle w:val="18"/>
              <w:spacing w:before="119" w:line="227" w:lineRule="auto"/>
              <w:ind w:left="221"/>
              <w:rPr>
                <w:color w:val="auto"/>
                <w:highlight w:val="none"/>
              </w:rPr>
            </w:pPr>
            <w:r>
              <w:rPr>
                <w:color w:val="auto"/>
                <w:spacing w:val="8"/>
                <w:highlight w:val="none"/>
              </w:rPr>
              <w:t>施工单位存在下列情况，监理人未采取措施的，每项罚款</w:t>
            </w:r>
            <w:r>
              <w:rPr>
                <w:color w:val="auto"/>
                <w:spacing w:val="-43"/>
                <w:highlight w:val="none"/>
              </w:rPr>
              <w:t xml:space="preserve"> </w:t>
            </w:r>
            <w:r>
              <w:rPr>
                <w:rFonts w:ascii="Times New Roman" w:hAnsi="Times New Roman" w:eastAsia="Times New Roman" w:cs="Times New Roman"/>
                <w:color w:val="auto"/>
                <w:spacing w:val="8"/>
                <w:highlight w:val="none"/>
              </w:rPr>
              <w:t xml:space="preserve">2000 </w:t>
            </w:r>
            <w:r>
              <w:rPr>
                <w:color w:val="auto"/>
                <w:spacing w:val="8"/>
                <w:highlight w:val="none"/>
              </w:rPr>
              <w:t>元：</w:t>
            </w:r>
          </w:p>
          <w:p w14:paraId="480354EC">
            <w:pPr>
              <w:pStyle w:val="18"/>
              <w:spacing w:before="143" w:line="226" w:lineRule="auto"/>
              <w:ind w:left="232"/>
              <w:rPr>
                <w:color w:val="auto"/>
                <w:highlight w:val="none"/>
              </w:rPr>
            </w:pPr>
            <w:r>
              <w:rPr>
                <w:color w:val="auto"/>
                <w:spacing w:val="8"/>
                <w:highlight w:val="none"/>
              </w:rPr>
              <w:t>（一）未按规定开展桥梁隧道工程施工安全风险评估的。</w:t>
            </w:r>
          </w:p>
          <w:p w14:paraId="1EA2DE8D">
            <w:pPr>
              <w:pStyle w:val="18"/>
              <w:spacing w:before="145" w:line="254" w:lineRule="auto"/>
              <w:ind w:left="223" w:right="205" w:firstLine="9"/>
              <w:rPr>
                <w:color w:val="auto"/>
                <w:highlight w:val="none"/>
              </w:rPr>
            </w:pPr>
            <w:r>
              <w:rPr>
                <w:color w:val="auto"/>
                <w:spacing w:val="12"/>
                <w:highlight w:val="none"/>
              </w:rPr>
              <w:t>（二）未按规定完成专项施工安全技术方案的编制、论证、审核、审批手续</w:t>
            </w:r>
            <w:r>
              <w:rPr>
                <w:color w:val="auto"/>
                <w:spacing w:val="6"/>
                <w:highlight w:val="none"/>
              </w:rPr>
              <w:t>而擅自施工的。</w:t>
            </w:r>
          </w:p>
          <w:p w14:paraId="77B58226">
            <w:pPr>
              <w:pStyle w:val="18"/>
              <w:spacing w:before="141" w:line="228" w:lineRule="auto"/>
              <w:ind w:left="232"/>
              <w:rPr>
                <w:color w:val="auto"/>
                <w:highlight w:val="none"/>
              </w:rPr>
            </w:pPr>
            <w:r>
              <w:rPr>
                <w:color w:val="auto"/>
                <w:spacing w:val="8"/>
                <w:highlight w:val="none"/>
              </w:rPr>
              <w:t>（三）未按已审批专项方案的安全技术要求施工的。</w:t>
            </w:r>
          </w:p>
          <w:p w14:paraId="4FC2F334">
            <w:pPr>
              <w:pStyle w:val="18"/>
              <w:spacing w:before="144" w:line="228" w:lineRule="auto"/>
              <w:ind w:left="232"/>
              <w:rPr>
                <w:color w:val="auto"/>
                <w:highlight w:val="none"/>
              </w:rPr>
            </w:pPr>
            <w:r>
              <w:rPr>
                <w:color w:val="auto"/>
                <w:spacing w:val="9"/>
                <w:highlight w:val="none"/>
              </w:rPr>
              <w:t>（四）危险性较大分部分项工程未经组织验收而擅自开展下一步施工的。</w:t>
            </w:r>
          </w:p>
          <w:p w14:paraId="16B8E917">
            <w:pPr>
              <w:pStyle w:val="18"/>
              <w:spacing w:before="142" w:line="252" w:lineRule="auto"/>
              <w:ind w:left="222" w:right="205" w:firstLine="10"/>
              <w:rPr>
                <w:color w:val="auto"/>
                <w:highlight w:val="none"/>
              </w:rPr>
            </w:pPr>
            <w:r>
              <w:rPr>
                <w:color w:val="auto"/>
                <w:spacing w:val="12"/>
                <w:highlight w:val="none"/>
              </w:rPr>
              <w:t>（五）未按规定办理爆破工程施工、涉石油天燃气管道施工、跨路施工、交</w:t>
            </w:r>
            <w:r>
              <w:rPr>
                <w:color w:val="auto"/>
                <w:spacing w:val="9"/>
                <w:highlight w:val="none"/>
              </w:rPr>
              <w:t>通管制及水上水下作业的相关安全许可手续而擅自施工的。</w:t>
            </w:r>
          </w:p>
          <w:p w14:paraId="2A7339A5">
            <w:pPr>
              <w:pStyle w:val="18"/>
              <w:spacing w:before="145" w:line="227" w:lineRule="auto"/>
              <w:ind w:left="232"/>
              <w:rPr>
                <w:color w:val="auto"/>
                <w:highlight w:val="none"/>
              </w:rPr>
            </w:pPr>
            <w:r>
              <w:rPr>
                <w:color w:val="auto"/>
                <w:spacing w:val="9"/>
                <w:highlight w:val="none"/>
              </w:rPr>
              <w:t>（六）所使用的特种设备未经生产许可或未经专业检测机构检验合格的。</w:t>
            </w:r>
          </w:p>
          <w:p w14:paraId="6906AD55">
            <w:pPr>
              <w:pStyle w:val="18"/>
              <w:spacing w:before="142" w:line="228" w:lineRule="auto"/>
              <w:ind w:left="232"/>
              <w:rPr>
                <w:color w:val="auto"/>
                <w:highlight w:val="none"/>
              </w:rPr>
            </w:pPr>
            <w:r>
              <w:rPr>
                <w:color w:val="auto"/>
                <w:spacing w:val="8"/>
                <w:highlight w:val="none"/>
              </w:rPr>
              <w:t>（七）未按照上级文件要求贯彻落实实名制系统。</w:t>
            </w:r>
          </w:p>
        </w:tc>
      </w:tr>
      <w:tr w14:paraId="787D9E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66" w:hRule="atLeast"/>
        </w:trPr>
        <w:tc>
          <w:tcPr>
            <w:tcW w:w="603" w:type="dxa"/>
            <w:vMerge w:val="continue"/>
            <w:tcBorders>
              <w:top w:val="nil"/>
              <w:bottom w:val="nil"/>
            </w:tcBorders>
            <w:textDirection w:val="tbRlV"/>
            <w:vAlign w:val="top"/>
          </w:tcPr>
          <w:p w14:paraId="3C6A7E78">
            <w:pPr>
              <w:rPr>
                <w:rFonts w:ascii="Arial"/>
                <w:color w:val="auto"/>
                <w:sz w:val="21"/>
                <w:highlight w:val="none"/>
              </w:rPr>
            </w:pPr>
          </w:p>
        </w:tc>
        <w:tc>
          <w:tcPr>
            <w:tcW w:w="853" w:type="dxa"/>
            <w:vAlign w:val="top"/>
          </w:tcPr>
          <w:p w14:paraId="6E6212D1">
            <w:pPr>
              <w:spacing w:line="293" w:lineRule="auto"/>
              <w:rPr>
                <w:rFonts w:ascii="Arial"/>
                <w:color w:val="auto"/>
                <w:sz w:val="21"/>
                <w:highlight w:val="none"/>
              </w:rPr>
            </w:pPr>
          </w:p>
          <w:p w14:paraId="205B877D">
            <w:pPr>
              <w:spacing w:line="293" w:lineRule="auto"/>
              <w:rPr>
                <w:rFonts w:ascii="Arial"/>
                <w:color w:val="auto"/>
                <w:sz w:val="21"/>
                <w:highlight w:val="none"/>
              </w:rPr>
            </w:pPr>
          </w:p>
          <w:p w14:paraId="52653479">
            <w:pPr>
              <w:spacing w:line="293" w:lineRule="auto"/>
              <w:rPr>
                <w:rFonts w:ascii="Arial"/>
                <w:color w:val="auto"/>
                <w:sz w:val="21"/>
                <w:highlight w:val="none"/>
              </w:rPr>
            </w:pPr>
          </w:p>
          <w:p w14:paraId="4126EB2D">
            <w:pPr>
              <w:spacing w:before="57" w:line="192" w:lineRule="auto"/>
              <w:ind w:left="379"/>
              <w:rPr>
                <w:rFonts w:ascii="Times New Roman" w:hAnsi="Times New Roman" w:eastAsia="Times New Roman" w:cs="Times New Roman"/>
                <w:color w:val="auto"/>
                <w:sz w:val="20"/>
                <w:szCs w:val="20"/>
                <w:highlight w:val="none"/>
              </w:rPr>
            </w:pPr>
            <w:r>
              <w:rPr>
                <w:rFonts w:ascii="Times New Roman" w:hAnsi="Times New Roman" w:eastAsia="Times New Roman" w:cs="Times New Roman"/>
                <w:color w:val="auto"/>
                <w:sz w:val="20"/>
                <w:szCs w:val="20"/>
                <w:highlight w:val="none"/>
              </w:rPr>
              <w:t>5</w:t>
            </w:r>
          </w:p>
        </w:tc>
        <w:tc>
          <w:tcPr>
            <w:tcW w:w="7450" w:type="dxa"/>
            <w:vAlign w:val="top"/>
          </w:tcPr>
          <w:p w14:paraId="2770CBCD">
            <w:pPr>
              <w:pStyle w:val="18"/>
              <w:spacing w:before="123" w:line="228" w:lineRule="auto"/>
              <w:ind w:left="228"/>
              <w:rPr>
                <w:color w:val="auto"/>
                <w:highlight w:val="none"/>
              </w:rPr>
            </w:pPr>
            <w:r>
              <w:rPr>
                <w:color w:val="auto"/>
                <w:spacing w:val="6"/>
                <w:highlight w:val="none"/>
              </w:rPr>
              <w:t>总监办存在下列情况的，每项罚款</w:t>
            </w:r>
            <w:r>
              <w:rPr>
                <w:color w:val="auto"/>
                <w:spacing w:val="-26"/>
                <w:highlight w:val="none"/>
              </w:rPr>
              <w:t xml:space="preserve"> </w:t>
            </w:r>
            <w:r>
              <w:rPr>
                <w:rFonts w:ascii="Times New Roman" w:hAnsi="Times New Roman" w:eastAsia="Times New Roman" w:cs="Times New Roman"/>
                <w:color w:val="auto"/>
                <w:spacing w:val="6"/>
                <w:highlight w:val="none"/>
              </w:rPr>
              <w:t xml:space="preserve">2000 </w:t>
            </w:r>
            <w:r>
              <w:rPr>
                <w:color w:val="auto"/>
                <w:spacing w:val="6"/>
                <w:highlight w:val="none"/>
              </w:rPr>
              <w:t>元：</w:t>
            </w:r>
          </w:p>
          <w:p w14:paraId="3804B5F7">
            <w:pPr>
              <w:pStyle w:val="18"/>
              <w:spacing w:before="142" w:line="227" w:lineRule="auto"/>
              <w:ind w:left="232"/>
              <w:rPr>
                <w:color w:val="auto"/>
                <w:highlight w:val="none"/>
              </w:rPr>
            </w:pPr>
            <w:r>
              <w:rPr>
                <w:color w:val="auto"/>
                <w:spacing w:val="9"/>
                <w:highlight w:val="none"/>
              </w:rPr>
              <w:t>（一）未按规定制定安全管理规章制度、安全监理规（计）</w:t>
            </w:r>
            <w:r>
              <w:rPr>
                <w:color w:val="auto"/>
                <w:spacing w:val="8"/>
                <w:highlight w:val="none"/>
              </w:rPr>
              <w:t>划的；</w:t>
            </w:r>
          </w:p>
          <w:p w14:paraId="09C80C5F">
            <w:pPr>
              <w:pStyle w:val="18"/>
              <w:spacing w:before="143" w:line="253" w:lineRule="auto"/>
              <w:ind w:left="222" w:right="205" w:firstLine="10"/>
              <w:rPr>
                <w:color w:val="auto"/>
                <w:highlight w:val="none"/>
              </w:rPr>
            </w:pPr>
            <w:r>
              <w:rPr>
                <w:color w:val="auto"/>
                <w:spacing w:val="12"/>
                <w:highlight w:val="none"/>
              </w:rPr>
              <w:t>（二）未按制定的安全管理规章制度、安全监理规（计）划的要求开展安全</w:t>
            </w:r>
            <w:r>
              <w:rPr>
                <w:color w:val="auto"/>
                <w:spacing w:val="8"/>
                <w:highlight w:val="none"/>
              </w:rPr>
              <w:t>检查、安全会议、教育培训、安全技术交底、</w:t>
            </w:r>
            <w:r>
              <w:rPr>
                <w:color w:val="auto"/>
                <w:spacing w:val="-50"/>
                <w:highlight w:val="none"/>
              </w:rPr>
              <w:t xml:space="preserve"> </w:t>
            </w:r>
            <w:r>
              <w:rPr>
                <w:color w:val="auto"/>
                <w:spacing w:val="8"/>
                <w:highlight w:val="none"/>
              </w:rPr>
              <w:t>自我考评、建立</w:t>
            </w:r>
            <w:r>
              <w:rPr>
                <w:color w:val="auto"/>
                <w:spacing w:val="7"/>
                <w:highlight w:val="none"/>
              </w:rPr>
              <w:t>管理台账的；</w:t>
            </w:r>
          </w:p>
          <w:p w14:paraId="0B9843A8">
            <w:pPr>
              <w:pStyle w:val="18"/>
              <w:spacing w:before="142" w:line="228" w:lineRule="auto"/>
              <w:ind w:left="232"/>
              <w:rPr>
                <w:color w:val="auto"/>
                <w:highlight w:val="none"/>
              </w:rPr>
            </w:pPr>
            <w:r>
              <w:rPr>
                <w:color w:val="auto"/>
                <w:spacing w:val="8"/>
                <w:highlight w:val="none"/>
              </w:rPr>
              <w:t>（三）未按规定报送安全管理资料的。</w:t>
            </w:r>
          </w:p>
        </w:tc>
      </w:tr>
      <w:tr w14:paraId="400CD5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77" w:hRule="atLeast"/>
        </w:trPr>
        <w:tc>
          <w:tcPr>
            <w:tcW w:w="603" w:type="dxa"/>
            <w:vMerge w:val="continue"/>
            <w:tcBorders>
              <w:top w:val="nil"/>
              <w:bottom w:val="nil"/>
            </w:tcBorders>
            <w:textDirection w:val="tbRlV"/>
            <w:vAlign w:val="top"/>
          </w:tcPr>
          <w:p w14:paraId="2B38A6DC">
            <w:pPr>
              <w:rPr>
                <w:rFonts w:ascii="Arial"/>
                <w:color w:val="auto"/>
                <w:sz w:val="21"/>
                <w:highlight w:val="none"/>
              </w:rPr>
            </w:pPr>
          </w:p>
        </w:tc>
        <w:tc>
          <w:tcPr>
            <w:tcW w:w="853" w:type="dxa"/>
            <w:vAlign w:val="top"/>
          </w:tcPr>
          <w:p w14:paraId="76B653EC">
            <w:pPr>
              <w:spacing w:line="277" w:lineRule="auto"/>
              <w:rPr>
                <w:rFonts w:ascii="Arial"/>
                <w:color w:val="auto"/>
                <w:sz w:val="21"/>
                <w:highlight w:val="none"/>
              </w:rPr>
            </w:pPr>
          </w:p>
          <w:p w14:paraId="6CB33D96">
            <w:pPr>
              <w:spacing w:line="277" w:lineRule="auto"/>
              <w:rPr>
                <w:rFonts w:ascii="Arial"/>
                <w:color w:val="auto"/>
                <w:sz w:val="21"/>
                <w:highlight w:val="none"/>
              </w:rPr>
            </w:pPr>
          </w:p>
          <w:p w14:paraId="4CD8D701">
            <w:pPr>
              <w:spacing w:line="278" w:lineRule="auto"/>
              <w:rPr>
                <w:rFonts w:ascii="Arial"/>
                <w:color w:val="auto"/>
                <w:sz w:val="21"/>
                <w:highlight w:val="none"/>
              </w:rPr>
            </w:pPr>
          </w:p>
          <w:p w14:paraId="79646D02">
            <w:pPr>
              <w:spacing w:before="57" w:line="195" w:lineRule="auto"/>
              <w:ind w:left="377"/>
              <w:rPr>
                <w:rFonts w:ascii="Times New Roman" w:hAnsi="Times New Roman" w:eastAsia="Times New Roman" w:cs="Times New Roman"/>
                <w:color w:val="auto"/>
                <w:sz w:val="20"/>
                <w:szCs w:val="20"/>
                <w:highlight w:val="none"/>
              </w:rPr>
            </w:pPr>
            <w:r>
              <w:rPr>
                <w:rFonts w:ascii="Times New Roman" w:hAnsi="Times New Roman" w:eastAsia="Times New Roman" w:cs="Times New Roman"/>
                <w:color w:val="auto"/>
                <w:sz w:val="20"/>
                <w:szCs w:val="20"/>
                <w:highlight w:val="none"/>
              </w:rPr>
              <w:t>6</w:t>
            </w:r>
          </w:p>
        </w:tc>
        <w:tc>
          <w:tcPr>
            <w:tcW w:w="7450" w:type="dxa"/>
            <w:vAlign w:val="top"/>
          </w:tcPr>
          <w:p w14:paraId="617175CD">
            <w:pPr>
              <w:pStyle w:val="18"/>
              <w:spacing w:before="121" w:line="228" w:lineRule="auto"/>
              <w:ind w:left="228"/>
              <w:rPr>
                <w:color w:val="auto"/>
                <w:highlight w:val="none"/>
              </w:rPr>
            </w:pPr>
            <w:r>
              <w:rPr>
                <w:color w:val="auto"/>
                <w:spacing w:val="6"/>
                <w:highlight w:val="none"/>
              </w:rPr>
              <w:t>总监办存在下列情况的，每次罚款</w:t>
            </w:r>
            <w:r>
              <w:rPr>
                <w:color w:val="auto"/>
                <w:spacing w:val="-26"/>
                <w:highlight w:val="none"/>
              </w:rPr>
              <w:t xml:space="preserve"> </w:t>
            </w:r>
            <w:r>
              <w:rPr>
                <w:rFonts w:ascii="Times New Roman" w:hAnsi="Times New Roman" w:eastAsia="Times New Roman" w:cs="Times New Roman"/>
                <w:color w:val="auto"/>
                <w:spacing w:val="6"/>
                <w:highlight w:val="none"/>
              </w:rPr>
              <w:t xml:space="preserve">3000 </w:t>
            </w:r>
            <w:r>
              <w:rPr>
                <w:color w:val="auto"/>
                <w:spacing w:val="6"/>
                <w:highlight w:val="none"/>
              </w:rPr>
              <w:t>元：</w:t>
            </w:r>
          </w:p>
          <w:p w14:paraId="24E75F7C">
            <w:pPr>
              <w:pStyle w:val="18"/>
              <w:spacing w:before="143" w:line="253" w:lineRule="auto"/>
              <w:ind w:left="225" w:right="205" w:firstLine="6"/>
              <w:rPr>
                <w:color w:val="auto"/>
                <w:highlight w:val="none"/>
              </w:rPr>
            </w:pPr>
            <w:r>
              <w:rPr>
                <w:color w:val="auto"/>
                <w:spacing w:val="12"/>
                <w:highlight w:val="none"/>
              </w:rPr>
              <w:t>（一）总监办安全负责人及专职安全监理未经请假批准，未参加建设单位组</w:t>
            </w:r>
            <w:r>
              <w:rPr>
                <w:color w:val="auto"/>
                <w:spacing w:val="8"/>
                <w:highlight w:val="none"/>
              </w:rPr>
              <w:t>织的安全生产管理活动的。</w:t>
            </w:r>
          </w:p>
          <w:p w14:paraId="080FAE43">
            <w:pPr>
              <w:pStyle w:val="18"/>
              <w:spacing w:before="144" w:line="252" w:lineRule="auto"/>
              <w:ind w:left="225" w:right="205" w:firstLine="7"/>
              <w:rPr>
                <w:color w:val="auto"/>
                <w:highlight w:val="none"/>
              </w:rPr>
            </w:pPr>
            <w:r>
              <w:rPr>
                <w:color w:val="auto"/>
                <w:spacing w:val="12"/>
                <w:highlight w:val="none"/>
              </w:rPr>
              <w:t>（二）爆破作业、预制梁吊装、大型构件吊装、大型设备拼装、挂篮移篮施</w:t>
            </w:r>
            <w:r>
              <w:rPr>
                <w:color w:val="auto"/>
                <w:spacing w:val="9"/>
                <w:highlight w:val="none"/>
              </w:rPr>
              <w:t>工、架桥机或移动模架移机施工现场无监理人员监督管理的。</w:t>
            </w:r>
          </w:p>
        </w:tc>
      </w:tr>
      <w:tr w14:paraId="1B41CA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6" w:hRule="atLeast"/>
        </w:trPr>
        <w:tc>
          <w:tcPr>
            <w:tcW w:w="603" w:type="dxa"/>
            <w:vMerge w:val="continue"/>
            <w:tcBorders>
              <w:top w:val="nil"/>
            </w:tcBorders>
            <w:textDirection w:val="tbRlV"/>
            <w:vAlign w:val="top"/>
          </w:tcPr>
          <w:p w14:paraId="3C54442A">
            <w:pPr>
              <w:rPr>
                <w:rFonts w:ascii="Arial"/>
                <w:color w:val="auto"/>
                <w:sz w:val="21"/>
                <w:highlight w:val="none"/>
              </w:rPr>
            </w:pPr>
          </w:p>
        </w:tc>
        <w:tc>
          <w:tcPr>
            <w:tcW w:w="853" w:type="dxa"/>
            <w:vAlign w:val="top"/>
          </w:tcPr>
          <w:p w14:paraId="0DC0DAB2">
            <w:pPr>
              <w:spacing w:line="342" w:lineRule="auto"/>
              <w:rPr>
                <w:rFonts w:ascii="Arial"/>
                <w:color w:val="auto"/>
                <w:sz w:val="21"/>
                <w:highlight w:val="none"/>
              </w:rPr>
            </w:pPr>
          </w:p>
          <w:p w14:paraId="222E9459">
            <w:pPr>
              <w:spacing w:before="57" w:line="192" w:lineRule="auto"/>
              <w:ind w:left="376"/>
              <w:rPr>
                <w:rFonts w:ascii="Times New Roman" w:hAnsi="Times New Roman" w:eastAsia="Times New Roman" w:cs="Times New Roman"/>
                <w:color w:val="auto"/>
                <w:sz w:val="20"/>
                <w:szCs w:val="20"/>
                <w:highlight w:val="none"/>
              </w:rPr>
            </w:pPr>
            <w:r>
              <w:rPr>
                <w:rFonts w:ascii="Times New Roman" w:hAnsi="Times New Roman" w:eastAsia="Times New Roman" w:cs="Times New Roman"/>
                <w:color w:val="auto"/>
                <w:sz w:val="20"/>
                <w:szCs w:val="20"/>
                <w:highlight w:val="none"/>
              </w:rPr>
              <w:t>7</w:t>
            </w:r>
          </w:p>
        </w:tc>
        <w:tc>
          <w:tcPr>
            <w:tcW w:w="7450" w:type="dxa"/>
            <w:vAlign w:val="top"/>
          </w:tcPr>
          <w:p w14:paraId="13C67056">
            <w:pPr>
              <w:pStyle w:val="18"/>
              <w:spacing w:before="122" w:line="228" w:lineRule="auto"/>
              <w:ind w:left="228"/>
              <w:rPr>
                <w:color w:val="auto"/>
                <w:highlight w:val="none"/>
              </w:rPr>
            </w:pPr>
            <w:r>
              <w:rPr>
                <w:color w:val="auto"/>
                <w:spacing w:val="6"/>
                <w:highlight w:val="none"/>
              </w:rPr>
              <w:t>总监办存在下列情况的，每项罚款</w:t>
            </w:r>
            <w:r>
              <w:rPr>
                <w:color w:val="auto"/>
                <w:spacing w:val="-26"/>
                <w:highlight w:val="none"/>
              </w:rPr>
              <w:t xml:space="preserve"> </w:t>
            </w:r>
            <w:r>
              <w:rPr>
                <w:rFonts w:ascii="Times New Roman" w:hAnsi="Times New Roman" w:eastAsia="Times New Roman" w:cs="Times New Roman"/>
                <w:color w:val="auto"/>
                <w:spacing w:val="6"/>
                <w:highlight w:val="none"/>
              </w:rPr>
              <w:t xml:space="preserve">5000 </w:t>
            </w:r>
            <w:r>
              <w:rPr>
                <w:color w:val="auto"/>
                <w:spacing w:val="6"/>
                <w:highlight w:val="none"/>
              </w:rPr>
              <w:t>元：</w:t>
            </w:r>
          </w:p>
          <w:p w14:paraId="567A4194">
            <w:pPr>
              <w:pStyle w:val="18"/>
              <w:spacing w:before="141" w:line="228" w:lineRule="auto"/>
              <w:ind w:left="232"/>
              <w:rPr>
                <w:color w:val="auto"/>
                <w:highlight w:val="none"/>
              </w:rPr>
            </w:pPr>
            <w:r>
              <w:rPr>
                <w:color w:val="auto"/>
                <w:spacing w:val="12"/>
                <w:highlight w:val="none"/>
              </w:rPr>
              <w:t>（一）未按规定及时审批施工组织设计、临时用电方案、专项施工安全技术</w:t>
            </w:r>
          </w:p>
        </w:tc>
      </w:tr>
    </w:tbl>
    <w:p w14:paraId="00D0301A">
      <w:pPr>
        <w:rPr>
          <w:rFonts w:ascii="Arial"/>
          <w:color w:val="auto"/>
          <w:sz w:val="21"/>
          <w:highlight w:val="none"/>
        </w:rPr>
      </w:pPr>
    </w:p>
    <w:p w14:paraId="1E960494">
      <w:pPr>
        <w:rPr>
          <w:rFonts w:ascii="Arial" w:hAnsi="Arial" w:eastAsia="Arial" w:cs="Arial"/>
          <w:color w:val="auto"/>
          <w:sz w:val="21"/>
          <w:szCs w:val="21"/>
          <w:highlight w:val="none"/>
        </w:rPr>
        <w:sectPr>
          <w:footerReference r:id="rId63" w:type="default"/>
          <w:pgSz w:w="11906" w:h="16839"/>
          <w:pgMar w:top="1416" w:right="1492" w:bottom="1297" w:left="1502" w:header="0" w:footer="1069" w:gutter="0"/>
          <w:pgNumType w:fmt="decimal"/>
          <w:cols w:space="720" w:num="1"/>
        </w:sectPr>
      </w:pPr>
    </w:p>
    <w:tbl>
      <w:tblPr>
        <w:tblStyle w:val="17"/>
        <w:tblW w:w="8898" w:type="dxa"/>
        <w:tblInd w:w="2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92"/>
        <w:gridCol w:w="858"/>
        <w:gridCol w:w="7448"/>
      </w:tblGrid>
      <w:tr w14:paraId="44E1F4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1" w:hRule="atLeast"/>
        </w:trPr>
        <w:tc>
          <w:tcPr>
            <w:tcW w:w="592" w:type="dxa"/>
            <w:vMerge w:val="restart"/>
            <w:tcBorders>
              <w:bottom w:val="nil"/>
            </w:tcBorders>
            <w:vAlign w:val="top"/>
          </w:tcPr>
          <w:p w14:paraId="32C74354">
            <w:pPr>
              <w:rPr>
                <w:rFonts w:ascii="Arial"/>
                <w:color w:val="auto"/>
                <w:sz w:val="21"/>
                <w:highlight w:val="none"/>
              </w:rPr>
            </w:pPr>
          </w:p>
        </w:tc>
        <w:tc>
          <w:tcPr>
            <w:tcW w:w="858" w:type="dxa"/>
            <w:vAlign w:val="top"/>
          </w:tcPr>
          <w:p w14:paraId="28A69B1E">
            <w:pPr>
              <w:rPr>
                <w:rFonts w:ascii="Arial"/>
                <w:color w:val="auto"/>
                <w:sz w:val="21"/>
                <w:highlight w:val="none"/>
              </w:rPr>
            </w:pPr>
          </w:p>
        </w:tc>
        <w:tc>
          <w:tcPr>
            <w:tcW w:w="7448" w:type="dxa"/>
            <w:vAlign w:val="top"/>
          </w:tcPr>
          <w:p w14:paraId="46C0D9F0">
            <w:pPr>
              <w:pStyle w:val="18"/>
              <w:spacing w:before="36" w:line="228" w:lineRule="auto"/>
              <w:ind w:left="221"/>
              <w:rPr>
                <w:color w:val="auto"/>
                <w:highlight w:val="none"/>
              </w:rPr>
            </w:pPr>
            <w:r>
              <w:rPr>
                <w:color w:val="auto"/>
                <w:spacing w:val="4"/>
                <w:highlight w:val="none"/>
              </w:rPr>
              <w:t>方案的。</w:t>
            </w:r>
          </w:p>
          <w:p w14:paraId="235B565E">
            <w:pPr>
              <w:pStyle w:val="18"/>
              <w:spacing w:before="141" w:line="254" w:lineRule="auto"/>
              <w:ind w:left="221" w:right="205" w:firstLine="9"/>
              <w:rPr>
                <w:color w:val="auto"/>
                <w:highlight w:val="none"/>
              </w:rPr>
            </w:pPr>
            <w:r>
              <w:rPr>
                <w:color w:val="auto"/>
                <w:spacing w:val="12"/>
                <w:highlight w:val="none"/>
              </w:rPr>
              <w:t>（二）审批的施工组织设计、临时用电方案、专项施工安全技术方案存在严</w:t>
            </w:r>
            <w:r>
              <w:rPr>
                <w:color w:val="auto"/>
                <w:spacing w:val="5"/>
                <w:highlight w:val="none"/>
              </w:rPr>
              <w:t>重错漏的。</w:t>
            </w:r>
          </w:p>
          <w:p w14:paraId="2AF59BC9">
            <w:pPr>
              <w:pStyle w:val="18"/>
              <w:spacing w:before="140" w:line="228" w:lineRule="auto"/>
              <w:ind w:left="230"/>
              <w:rPr>
                <w:color w:val="auto"/>
                <w:highlight w:val="none"/>
              </w:rPr>
            </w:pPr>
            <w:r>
              <w:rPr>
                <w:color w:val="auto"/>
                <w:spacing w:val="7"/>
                <w:highlight w:val="none"/>
              </w:rPr>
              <w:t>（三）</w:t>
            </w:r>
            <w:r>
              <w:rPr>
                <w:color w:val="auto"/>
                <w:spacing w:val="-14"/>
                <w:highlight w:val="none"/>
              </w:rPr>
              <w:t xml:space="preserve"> </w:t>
            </w:r>
            <w:r>
              <w:rPr>
                <w:color w:val="auto"/>
                <w:spacing w:val="7"/>
                <w:highlight w:val="none"/>
              </w:rPr>
              <w:t>未按照上级文件要求贯彻落实实名制系统。</w:t>
            </w:r>
          </w:p>
        </w:tc>
      </w:tr>
      <w:tr w14:paraId="449D6A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6" w:hRule="atLeast"/>
        </w:trPr>
        <w:tc>
          <w:tcPr>
            <w:tcW w:w="592" w:type="dxa"/>
            <w:vMerge w:val="continue"/>
            <w:tcBorders>
              <w:top w:val="nil"/>
              <w:bottom w:val="nil"/>
            </w:tcBorders>
            <w:vAlign w:val="top"/>
          </w:tcPr>
          <w:p w14:paraId="7C84645D">
            <w:pPr>
              <w:rPr>
                <w:rFonts w:ascii="Arial"/>
                <w:color w:val="auto"/>
                <w:sz w:val="21"/>
                <w:highlight w:val="none"/>
              </w:rPr>
            </w:pPr>
          </w:p>
        </w:tc>
        <w:tc>
          <w:tcPr>
            <w:tcW w:w="858" w:type="dxa"/>
            <w:vAlign w:val="top"/>
          </w:tcPr>
          <w:p w14:paraId="29DB4DEF">
            <w:pPr>
              <w:spacing w:line="294" w:lineRule="auto"/>
              <w:rPr>
                <w:rFonts w:ascii="Arial"/>
                <w:color w:val="auto"/>
                <w:sz w:val="21"/>
                <w:highlight w:val="none"/>
              </w:rPr>
            </w:pPr>
          </w:p>
          <w:p w14:paraId="135CDDB3">
            <w:pPr>
              <w:spacing w:before="57" w:line="195" w:lineRule="auto"/>
              <w:ind w:left="384"/>
              <w:rPr>
                <w:rFonts w:ascii="Times New Roman" w:hAnsi="Times New Roman" w:eastAsia="Times New Roman" w:cs="Times New Roman"/>
                <w:color w:val="auto"/>
                <w:sz w:val="20"/>
                <w:szCs w:val="20"/>
                <w:highlight w:val="none"/>
              </w:rPr>
            </w:pPr>
            <w:r>
              <w:rPr>
                <w:rFonts w:ascii="Times New Roman" w:hAnsi="Times New Roman" w:eastAsia="Times New Roman" w:cs="Times New Roman"/>
                <w:color w:val="auto"/>
                <w:sz w:val="20"/>
                <w:szCs w:val="20"/>
                <w:highlight w:val="none"/>
              </w:rPr>
              <w:t>8</w:t>
            </w:r>
          </w:p>
        </w:tc>
        <w:tc>
          <w:tcPr>
            <w:tcW w:w="7448" w:type="dxa"/>
            <w:vAlign w:val="top"/>
          </w:tcPr>
          <w:p w14:paraId="61295F64">
            <w:pPr>
              <w:pStyle w:val="18"/>
              <w:spacing w:before="120" w:line="261" w:lineRule="auto"/>
              <w:ind w:left="221" w:right="493" w:hanging="2"/>
              <w:rPr>
                <w:color w:val="auto"/>
                <w:highlight w:val="none"/>
              </w:rPr>
            </w:pPr>
            <w:r>
              <w:rPr>
                <w:color w:val="auto"/>
                <w:spacing w:val="8"/>
                <w:highlight w:val="none"/>
              </w:rPr>
              <w:t>在各级单位开展的</w:t>
            </w:r>
            <w:r>
              <w:rPr>
                <w:color w:val="auto"/>
                <w:spacing w:val="-34"/>
                <w:highlight w:val="none"/>
              </w:rPr>
              <w:t xml:space="preserve"> </w:t>
            </w:r>
            <w:r>
              <w:rPr>
                <w:rFonts w:ascii="Times New Roman" w:hAnsi="Times New Roman" w:eastAsia="Times New Roman" w:cs="Times New Roman"/>
                <w:color w:val="auto"/>
                <w:spacing w:val="8"/>
                <w:highlight w:val="none"/>
              </w:rPr>
              <w:t>“</w:t>
            </w:r>
            <w:r>
              <w:rPr>
                <w:color w:val="auto"/>
                <w:spacing w:val="8"/>
                <w:highlight w:val="none"/>
              </w:rPr>
              <w:t>平安工地</w:t>
            </w:r>
            <w:r>
              <w:rPr>
                <w:rFonts w:ascii="Times New Roman" w:hAnsi="Times New Roman" w:eastAsia="Times New Roman" w:cs="Times New Roman"/>
                <w:color w:val="auto"/>
                <w:spacing w:val="8"/>
                <w:highlight w:val="none"/>
              </w:rPr>
              <w:t>”</w:t>
            </w:r>
            <w:r>
              <w:rPr>
                <w:color w:val="auto"/>
                <w:spacing w:val="8"/>
                <w:highlight w:val="none"/>
              </w:rPr>
              <w:t>考核中，考核等级不合格的，每次罚款</w:t>
            </w:r>
            <w:r>
              <w:rPr>
                <w:color w:val="auto"/>
                <w:spacing w:val="-37"/>
                <w:highlight w:val="none"/>
              </w:rPr>
              <w:t xml:space="preserve"> </w:t>
            </w:r>
            <w:r>
              <w:rPr>
                <w:rFonts w:ascii="Times New Roman" w:hAnsi="Times New Roman" w:eastAsia="Times New Roman" w:cs="Times New Roman"/>
                <w:color w:val="auto"/>
                <w:spacing w:val="8"/>
                <w:highlight w:val="none"/>
              </w:rPr>
              <w:t xml:space="preserve">5 </w:t>
            </w:r>
            <w:r>
              <w:rPr>
                <w:color w:val="auto"/>
                <w:spacing w:val="8"/>
                <w:highlight w:val="none"/>
              </w:rPr>
              <w:t>万</w:t>
            </w:r>
            <w:r>
              <w:rPr>
                <w:color w:val="auto"/>
                <w:spacing w:val="-1"/>
                <w:highlight w:val="none"/>
              </w:rPr>
              <w:t>元。</w:t>
            </w:r>
          </w:p>
        </w:tc>
      </w:tr>
      <w:tr w14:paraId="05633D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592" w:type="dxa"/>
            <w:vMerge w:val="continue"/>
            <w:tcBorders>
              <w:top w:val="nil"/>
              <w:bottom w:val="nil"/>
            </w:tcBorders>
            <w:vAlign w:val="top"/>
          </w:tcPr>
          <w:p w14:paraId="4A4D9951">
            <w:pPr>
              <w:rPr>
                <w:rFonts w:ascii="Arial"/>
                <w:color w:val="auto"/>
                <w:sz w:val="21"/>
                <w:highlight w:val="none"/>
              </w:rPr>
            </w:pPr>
          </w:p>
        </w:tc>
        <w:tc>
          <w:tcPr>
            <w:tcW w:w="858" w:type="dxa"/>
            <w:vAlign w:val="top"/>
          </w:tcPr>
          <w:p w14:paraId="4A48A19A">
            <w:pPr>
              <w:spacing w:before="219" w:line="195" w:lineRule="auto"/>
              <w:ind w:left="380"/>
              <w:rPr>
                <w:rFonts w:ascii="Times New Roman" w:hAnsi="Times New Roman" w:eastAsia="Times New Roman" w:cs="Times New Roman"/>
                <w:color w:val="auto"/>
                <w:sz w:val="20"/>
                <w:szCs w:val="20"/>
                <w:highlight w:val="none"/>
              </w:rPr>
            </w:pPr>
            <w:r>
              <w:rPr>
                <w:rFonts w:ascii="Times New Roman" w:hAnsi="Times New Roman" w:eastAsia="Times New Roman" w:cs="Times New Roman"/>
                <w:color w:val="auto"/>
                <w:sz w:val="20"/>
                <w:szCs w:val="20"/>
                <w:highlight w:val="none"/>
              </w:rPr>
              <w:t>9</w:t>
            </w:r>
          </w:p>
        </w:tc>
        <w:tc>
          <w:tcPr>
            <w:tcW w:w="7448" w:type="dxa"/>
            <w:vAlign w:val="top"/>
          </w:tcPr>
          <w:p w14:paraId="1A8A0939">
            <w:pPr>
              <w:pStyle w:val="18"/>
              <w:spacing w:before="122" w:line="228" w:lineRule="auto"/>
              <w:ind w:left="223"/>
              <w:rPr>
                <w:color w:val="auto"/>
                <w:highlight w:val="none"/>
              </w:rPr>
            </w:pPr>
            <w:r>
              <w:rPr>
                <w:color w:val="auto"/>
                <w:spacing w:val="10"/>
                <w:highlight w:val="none"/>
              </w:rPr>
              <w:t>未通过开工前安全生产条件核查而影响工程开工的，处罚</w:t>
            </w:r>
            <w:r>
              <w:rPr>
                <w:rFonts w:ascii="Times New Roman" w:hAnsi="Times New Roman" w:eastAsia="Times New Roman" w:cs="Times New Roman"/>
                <w:color w:val="auto"/>
                <w:spacing w:val="10"/>
                <w:highlight w:val="none"/>
              </w:rPr>
              <w:t xml:space="preserve">2 </w:t>
            </w:r>
            <w:r>
              <w:rPr>
                <w:color w:val="auto"/>
                <w:spacing w:val="10"/>
                <w:highlight w:val="none"/>
              </w:rPr>
              <w:t>万元。</w:t>
            </w:r>
          </w:p>
        </w:tc>
      </w:tr>
      <w:tr w14:paraId="697846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2" w:hRule="atLeast"/>
        </w:trPr>
        <w:tc>
          <w:tcPr>
            <w:tcW w:w="592" w:type="dxa"/>
            <w:vMerge w:val="continue"/>
            <w:tcBorders>
              <w:top w:val="nil"/>
            </w:tcBorders>
            <w:vAlign w:val="top"/>
          </w:tcPr>
          <w:p w14:paraId="27535398">
            <w:pPr>
              <w:rPr>
                <w:rFonts w:ascii="Arial"/>
                <w:color w:val="auto"/>
                <w:sz w:val="21"/>
                <w:highlight w:val="none"/>
              </w:rPr>
            </w:pPr>
          </w:p>
        </w:tc>
        <w:tc>
          <w:tcPr>
            <w:tcW w:w="858" w:type="dxa"/>
            <w:vAlign w:val="top"/>
          </w:tcPr>
          <w:p w14:paraId="114A511F">
            <w:pPr>
              <w:spacing w:line="445" w:lineRule="auto"/>
              <w:rPr>
                <w:rFonts w:ascii="Arial"/>
                <w:color w:val="auto"/>
                <w:sz w:val="21"/>
                <w:highlight w:val="none"/>
              </w:rPr>
            </w:pPr>
          </w:p>
          <w:p w14:paraId="36EA55A0">
            <w:pPr>
              <w:spacing w:before="57" w:line="195" w:lineRule="auto"/>
              <w:ind w:left="343"/>
              <w:rPr>
                <w:rFonts w:ascii="Times New Roman" w:hAnsi="Times New Roman" w:eastAsia="Times New Roman" w:cs="Times New Roman"/>
                <w:color w:val="auto"/>
                <w:sz w:val="20"/>
                <w:szCs w:val="20"/>
                <w:highlight w:val="none"/>
              </w:rPr>
            </w:pPr>
            <w:r>
              <w:rPr>
                <w:rFonts w:ascii="Times New Roman" w:hAnsi="Times New Roman" w:eastAsia="Times New Roman" w:cs="Times New Roman"/>
                <w:color w:val="auto"/>
                <w:spacing w:val="-8"/>
                <w:sz w:val="20"/>
                <w:szCs w:val="20"/>
                <w:highlight w:val="none"/>
              </w:rPr>
              <w:t>10</w:t>
            </w:r>
          </w:p>
        </w:tc>
        <w:tc>
          <w:tcPr>
            <w:tcW w:w="7448" w:type="dxa"/>
            <w:vAlign w:val="top"/>
          </w:tcPr>
          <w:p w14:paraId="74264B19">
            <w:pPr>
              <w:pStyle w:val="18"/>
              <w:spacing w:before="124" w:line="267" w:lineRule="auto"/>
              <w:ind w:left="230" w:right="205" w:hanging="4"/>
              <w:rPr>
                <w:color w:val="auto"/>
                <w:highlight w:val="none"/>
              </w:rPr>
            </w:pPr>
            <w:r>
              <w:rPr>
                <w:color w:val="auto"/>
                <w:spacing w:val="12"/>
                <w:highlight w:val="none"/>
              </w:rPr>
              <w:t>总监办存在其他违反有关安全生产法律、法规、规章、规范、标准以及本项</w:t>
            </w:r>
            <w:r>
              <w:rPr>
                <w:color w:val="auto"/>
                <w:spacing w:val="10"/>
                <w:highlight w:val="none"/>
              </w:rPr>
              <w:t>目建设工程安全生产管理办法规定的，视情节轻重，罚款</w:t>
            </w:r>
            <w:r>
              <w:rPr>
                <w:color w:val="auto"/>
                <w:spacing w:val="-21"/>
                <w:highlight w:val="none"/>
              </w:rPr>
              <w:t xml:space="preserve"> </w:t>
            </w:r>
            <w:r>
              <w:rPr>
                <w:rFonts w:ascii="Times New Roman" w:hAnsi="Times New Roman" w:eastAsia="Times New Roman" w:cs="Times New Roman"/>
                <w:color w:val="auto"/>
                <w:spacing w:val="10"/>
                <w:highlight w:val="none"/>
              </w:rPr>
              <w:t xml:space="preserve">1 </w:t>
            </w:r>
            <w:r>
              <w:rPr>
                <w:color w:val="auto"/>
                <w:spacing w:val="10"/>
                <w:highlight w:val="none"/>
              </w:rPr>
              <w:t>千元</w:t>
            </w:r>
            <w:r>
              <w:rPr>
                <w:color w:val="auto"/>
                <w:spacing w:val="9"/>
                <w:highlight w:val="none"/>
              </w:rPr>
              <w:t>至</w:t>
            </w:r>
            <w:r>
              <w:rPr>
                <w:color w:val="auto"/>
                <w:spacing w:val="-18"/>
                <w:highlight w:val="none"/>
              </w:rPr>
              <w:t xml:space="preserve"> </w:t>
            </w:r>
            <w:r>
              <w:rPr>
                <w:rFonts w:ascii="Times New Roman" w:hAnsi="Times New Roman" w:eastAsia="Times New Roman" w:cs="Times New Roman"/>
                <w:color w:val="auto"/>
                <w:spacing w:val="9"/>
                <w:highlight w:val="none"/>
              </w:rPr>
              <w:t xml:space="preserve">1 </w:t>
            </w:r>
            <w:r>
              <w:rPr>
                <w:color w:val="auto"/>
                <w:spacing w:val="9"/>
                <w:highlight w:val="none"/>
              </w:rPr>
              <w:t>万元。</w:t>
            </w:r>
            <w:r>
              <w:rPr>
                <w:color w:val="auto"/>
                <w:spacing w:val="8"/>
                <w:highlight w:val="none"/>
              </w:rPr>
              <w:t>多次发生同类存在问题，可加倍处罚。</w:t>
            </w:r>
          </w:p>
        </w:tc>
      </w:tr>
    </w:tbl>
    <w:p w14:paraId="6CB1F892">
      <w:pPr>
        <w:spacing w:line="305" w:lineRule="auto"/>
        <w:rPr>
          <w:rFonts w:ascii="Arial"/>
          <w:color w:val="auto"/>
          <w:sz w:val="21"/>
          <w:highlight w:val="none"/>
        </w:rPr>
      </w:pPr>
    </w:p>
    <w:p w14:paraId="41658053">
      <w:pPr>
        <w:spacing w:line="305" w:lineRule="auto"/>
        <w:rPr>
          <w:rFonts w:ascii="Arial"/>
          <w:color w:val="auto"/>
          <w:sz w:val="21"/>
          <w:highlight w:val="none"/>
        </w:rPr>
      </w:pPr>
    </w:p>
    <w:p w14:paraId="6948B6B7">
      <w:pPr>
        <w:spacing w:line="306" w:lineRule="auto"/>
        <w:rPr>
          <w:rFonts w:ascii="Arial"/>
          <w:color w:val="auto"/>
          <w:sz w:val="21"/>
          <w:highlight w:val="none"/>
        </w:rPr>
      </w:pPr>
    </w:p>
    <w:p w14:paraId="7260AD65">
      <w:pPr>
        <w:spacing w:before="78" w:line="221" w:lineRule="auto"/>
        <w:ind w:left="138"/>
        <w:rPr>
          <w:rFonts w:ascii="宋体" w:hAnsi="宋体" w:eastAsia="宋体" w:cs="宋体"/>
          <w:color w:val="auto"/>
          <w:sz w:val="24"/>
          <w:szCs w:val="24"/>
          <w:highlight w:val="none"/>
        </w:rPr>
      </w:pPr>
      <w:r>
        <w:rPr>
          <w:rFonts w:ascii="宋体" w:hAnsi="宋体" w:eastAsia="宋体" w:cs="宋体"/>
          <w:b/>
          <w:bCs/>
          <w:color w:val="auto"/>
          <w:spacing w:val="-5"/>
          <w:sz w:val="24"/>
          <w:szCs w:val="24"/>
          <w:highlight w:val="none"/>
        </w:rPr>
        <w:t>11.2</w:t>
      </w:r>
      <w:r>
        <w:rPr>
          <w:rFonts w:ascii="宋体" w:hAnsi="宋体" w:eastAsia="宋体" w:cs="宋体"/>
          <w:color w:val="auto"/>
          <w:spacing w:val="-5"/>
          <w:sz w:val="24"/>
          <w:szCs w:val="24"/>
          <w:highlight w:val="none"/>
        </w:rPr>
        <w:t xml:space="preserve"> </w:t>
      </w:r>
      <w:r>
        <w:rPr>
          <w:rFonts w:ascii="宋体" w:hAnsi="宋体" w:eastAsia="宋体" w:cs="宋体"/>
          <w:b/>
          <w:bCs/>
          <w:color w:val="auto"/>
          <w:spacing w:val="-5"/>
          <w:sz w:val="24"/>
          <w:szCs w:val="24"/>
          <w:highlight w:val="none"/>
        </w:rPr>
        <w:t>委托人违约</w:t>
      </w:r>
    </w:p>
    <w:p w14:paraId="73F9A70E">
      <w:pPr>
        <w:spacing w:before="174" w:line="302" w:lineRule="auto"/>
        <w:ind w:left="4235" w:right="820" w:hanging="3657"/>
        <w:rPr>
          <w:rFonts w:ascii="宋体" w:hAnsi="宋体" w:eastAsia="宋体" w:cs="宋体"/>
          <w:color w:val="auto"/>
          <w:sz w:val="28"/>
          <w:szCs w:val="28"/>
          <w:highlight w:val="none"/>
        </w:rPr>
      </w:pPr>
      <w:r>
        <w:rPr>
          <w:rFonts w:ascii="宋体" w:hAnsi="宋体" w:eastAsia="宋体" w:cs="宋体"/>
          <w:color w:val="auto"/>
          <w:spacing w:val="-2"/>
          <w:sz w:val="22"/>
          <w:szCs w:val="22"/>
          <w:highlight w:val="none"/>
        </w:rPr>
        <w:t>11.2.2</w:t>
      </w:r>
      <w:r>
        <w:rPr>
          <w:rFonts w:ascii="宋体" w:hAnsi="宋体" w:eastAsia="宋体" w:cs="宋体"/>
          <w:color w:val="auto"/>
          <w:spacing w:val="-47"/>
          <w:sz w:val="22"/>
          <w:szCs w:val="22"/>
          <w:highlight w:val="none"/>
        </w:rPr>
        <w:t xml:space="preserve"> </w:t>
      </w:r>
      <w:r>
        <w:rPr>
          <w:rFonts w:ascii="宋体" w:hAnsi="宋体" w:eastAsia="宋体" w:cs="宋体"/>
          <w:color w:val="auto"/>
          <w:spacing w:val="-2"/>
          <w:sz w:val="22"/>
          <w:szCs w:val="22"/>
          <w:highlight w:val="none"/>
        </w:rPr>
        <w:t>委托人发生违约情况时，监理人有权向委托人课以违约金，</w:t>
      </w:r>
      <w:r>
        <w:rPr>
          <w:rFonts w:ascii="宋体" w:hAnsi="宋体" w:eastAsia="宋体" w:cs="宋体"/>
          <w:color w:val="auto"/>
          <w:spacing w:val="-3"/>
          <w:sz w:val="22"/>
          <w:szCs w:val="22"/>
          <w:highlight w:val="none"/>
        </w:rPr>
        <w:t>具体约定如下：</w:t>
      </w:r>
      <w:r>
        <w:rPr>
          <w:rFonts w:ascii="宋体" w:hAnsi="宋体" w:eastAsia="宋体" w:cs="宋体"/>
          <w:b/>
          <w:bCs/>
          <w:color w:val="auto"/>
          <w:spacing w:val="-5"/>
          <w:sz w:val="28"/>
          <w:szCs w:val="28"/>
          <w:highlight w:val="none"/>
        </w:rPr>
        <w:t>违约一览表</w:t>
      </w:r>
    </w:p>
    <w:tbl>
      <w:tblPr>
        <w:tblStyle w:val="17"/>
        <w:tblW w:w="929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79"/>
        <w:gridCol w:w="6913"/>
      </w:tblGrid>
      <w:tr w14:paraId="7CEDE4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2379" w:type="dxa"/>
            <w:vAlign w:val="top"/>
          </w:tcPr>
          <w:p w14:paraId="40D15725">
            <w:pPr>
              <w:pStyle w:val="18"/>
              <w:spacing w:before="160" w:line="228" w:lineRule="auto"/>
              <w:ind w:left="983"/>
              <w:rPr>
                <w:color w:val="auto"/>
                <w:highlight w:val="none"/>
              </w:rPr>
            </w:pPr>
            <w:r>
              <w:rPr>
                <w:b/>
                <w:bCs/>
                <w:color w:val="auto"/>
                <w:spacing w:val="3"/>
                <w:highlight w:val="none"/>
              </w:rPr>
              <w:t>类别</w:t>
            </w:r>
          </w:p>
        </w:tc>
        <w:tc>
          <w:tcPr>
            <w:tcW w:w="6913" w:type="dxa"/>
            <w:vAlign w:val="top"/>
          </w:tcPr>
          <w:p w14:paraId="5004970C">
            <w:pPr>
              <w:pStyle w:val="18"/>
              <w:spacing w:before="143" w:line="265" w:lineRule="exact"/>
              <w:ind w:left="2987"/>
              <w:rPr>
                <w:color w:val="auto"/>
                <w:sz w:val="10"/>
                <w:szCs w:val="10"/>
                <w:highlight w:val="none"/>
              </w:rPr>
            </w:pPr>
            <w:r>
              <w:rPr>
                <w:b/>
                <w:bCs/>
                <w:color w:val="auto"/>
                <w:spacing w:val="6"/>
                <w:highlight w:val="none"/>
              </w:rPr>
              <w:t>违约项目</w:t>
            </w:r>
          </w:p>
        </w:tc>
      </w:tr>
      <w:tr w14:paraId="2D9B15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2379" w:type="dxa"/>
            <w:vAlign w:val="top"/>
          </w:tcPr>
          <w:p w14:paraId="63EECCBF">
            <w:pPr>
              <w:pStyle w:val="18"/>
              <w:spacing w:before="31" w:line="272" w:lineRule="auto"/>
              <w:ind w:left="671" w:right="138" w:hanging="526"/>
              <w:rPr>
                <w:color w:val="auto"/>
                <w:highlight w:val="none"/>
              </w:rPr>
            </w:pPr>
            <w:r>
              <w:rPr>
                <w:color w:val="auto"/>
                <w:spacing w:val="9"/>
                <w:highlight w:val="none"/>
              </w:rPr>
              <w:t>委托人未按合同约定支</w:t>
            </w:r>
            <w:r>
              <w:rPr>
                <w:color w:val="auto"/>
                <w:spacing w:val="8"/>
                <w:highlight w:val="none"/>
              </w:rPr>
              <w:t>付监理报酬</w:t>
            </w:r>
          </w:p>
        </w:tc>
        <w:tc>
          <w:tcPr>
            <w:tcW w:w="6913" w:type="dxa"/>
            <w:vAlign w:val="center"/>
          </w:tcPr>
          <w:p w14:paraId="29CBE82F">
            <w:pPr>
              <w:jc w:val="center"/>
              <w:rPr>
                <w:rFonts w:hint="default" w:ascii="Arial" w:eastAsia="宋体"/>
                <w:color w:val="auto"/>
                <w:sz w:val="21"/>
                <w:highlight w:val="none"/>
                <w:lang w:val="en-US" w:eastAsia="zh-CN"/>
              </w:rPr>
            </w:pPr>
            <w:r>
              <w:rPr>
                <w:rFonts w:hint="eastAsia" w:eastAsia="宋体"/>
                <w:color w:val="auto"/>
                <w:sz w:val="21"/>
                <w:highlight w:val="none"/>
                <w:lang w:val="en-US" w:eastAsia="zh-CN"/>
              </w:rPr>
              <w:t>/</w:t>
            </w:r>
          </w:p>
        </w:tc>
      </w:tr>
      <w:tr w14:paraId="2F2C8F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2379" w:type="dxa"/>
            <w:vAlign w:val="top"/>
          </w:tcPr>
          <w:p w14:paraId="61CD8D88">
            <w:pPr>
              <w:pStyle w:val="18"/>
              <w:spacing w:before="31" w:line="228" w:lineRule="auto"/>
              <w:ind w:left="145"/>
              <w:rPr>
                <w:color w:val="auto"/>
                <w:highlight w:val="none"/>
              </w:rPr>
            </w:pPr>
            <w:r>
              <w:rPr>
                <w:color w:val="auto"/>
                <w:spacing w:val="9"/>
                <w:highlight w:val="none"/>
              </w:rPr>
              <w:t>委托人原因造成监理停</w:t>
            </w:r>
          </w:p>
          <w:p w14:paraId="3D42385D">
            <w:pPr>
              <w:pStyle w:val="18"/>
              <w:spacing w:before="66" w:line="231" w:lineRule="auto"/>
              <w:ind w:left="986"/>
              <w:rPr>
                <w:color w:val="auto"/>
                <w:highlight w:val="none"/>
              </w:rPr>
            </w:pPr>
            <w:r>
              <w:rPr>
                <w:color w:val="auto"/>
                <w:spacing w:val="4"/>
                <w:highlight w:val="none"/>
              </w:rPr>
              <w:t>止的</w:t>
            </w:r>
          </w:p>
        </w:tc>
        <w:tc>
          <w:tcPr>
            <w:tcW w:w="6913" w:type="dxa"/>
            <w:vAlign w:val="center"/>
          </w:tcPr>
          <w:p w14:paraId="72CB700E">
            <w:pPr>
              <w:jc w:val="center"/>
              <w:rPr>
                <w:rFonts w:hint="eastAsia" w:ascii="Arial" w:eastAsia="宋体"/>
                <w:color w:val="auto"/>
                <w:sz w:val="21"/>
                <w:highlight w:val="none"/>
                <w:lang w:val="en-US" w:eastAsia="zh-CN"/>
              </w:rPr>
            </w:pPr>
            <w:r>
              <w:rPr>
                <w:rFonts w:hint="eastAsia" w:eastAsia="宋体"/>
                <w:color w:val="auto"/>
                <w:sz w:val="21"/>
                <w:highlight w:val="none"/>
                <w:lang w:val="en-US" w:eastAsia="zh-CN"/>
              </w:rPr>
              <w:t>/</w:t>
            </w:r>
          </w:p>
        </w:tc>
      </w:tr>
      <w:tr w14:paraId="34A5AF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2379" w:type="dxa"/>
            <w:vAlign w:val="top"/>
          </w:tcPr>
          <w:p w14:paraId="088F6275">
            <w:pPr>
              <w:pStyle w:val="18"/>
              <w:spacing w:before="32" w:line="271" w:lineRule="auto"/>
              <w:ind w:left="777" w:right="138" w:hanging="632"/>
              <w:rPr>
                <w:color w:val="auto"/>
                <w:highlight w:val="none"/>
              </w:rPr>
            </w:pPr>
            <w:r>
              <w:rPr>
                <w:color w:val="auto"/>
                <w:spacing w:val="9"/>
                <w:highlight w:val="none"/>
              </w:rPr>
              <w:t>委托人无法履行或停止</w:t>
            </w:r>
            <w:r>
              <w:rPr>
                <w:color w:val="auto"/>
                <w:spacing w:val="6"/>
                <w:highlight w:val="none"/>
              </w:rPr>
              <w:t>履行合同</w:t>
            </w:r>
          </w:p>
        </w:tc>
        <w:tc>
          <w:tcPr>
            <w:tcW w:w="6913" w:type="dxa"/>
            <w:vAlign w:val="center"/>
          </w:tcPr>
          <w:p w14:paraId="39BF31E9">
            <w:pPr>
              <w:jc w:val="center"/>
              <w:rPr>
                <w:rFonts w:hint="eastAsia" w:ascii="Arial" w:eastAsia="宋体"/>
                <w:color w:val="auto"/>
                <w:sz w:val="21"/>
                <w:highlight w:val="none"/>
                <w:lang w:val="en-US" w:eastAsia="zh-CN"/>
              </w:rPr>
            </w:pPr>
            <w:r>
              <w:rPr>
                <w:rFonts w:hint="eastAsia" w:eastAsia="宋体"/>
                <w:color w:val="auto"/>
                <w:sz w:val="21"/>
                <w:highlight w:val="none"/>
                <w:lang w:val="en-US" w:eastAsia="zh-CN"/>
              </w:rPr>
              <w:t>/</w:t>
            </w:r>
          </w:p>
        </w:tc>
      </w:tr>
      <w:tr w14:paraId="08F809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2379" w:type="dxa"/>
            <w:vAlign w:val="top"/>
          </w:tcPr>
          <w:p w14:paraId="01D2555F">
            <w:pPr>
              <w:pStyle w:val="18"/>
              <w:spacing w:before="35" w:line="272" w:lineRule="auto"/>
              <w:ind w:left="688" w:right="138" w:hanging="543"/>
              <w:rPr>
                <w:color w:val="auto"/>
                <w:highlight w:val="none"/>
              </w:rPr>
            </w:pPr>
            <w:r>
              <w:rPr>
                <w:color w:val="auto"/>
                <w:spacing w:val="9"/>
                <w:highlight w:val="none"/>
              </w:rPr>
              <w:t>委托人不履行合同约定</w:t>
            </w:r>
            <w:r>
              <w:rPr>
                <w:color w:val="auto"/>
                <w:spacing w:val="4"/>
                <w:highlight w:val="none"/>
              </w:rPr>
              <w:t>的其他义务</w:t>
            </w:r>
          </w:p>
        </w:tc>
        <w:tc>
          <w:tcPr>
            <w:tcW w:w="6913" w:type="dxa"/>
            <w:vAlign w:val="center"/>
          </w:tcPr>
          <w:p w14:paraId="7F5158D1">
            <w:pPr>
              <w:jc w:val="center"/>
              <w:rPr>
                <w:rFonts w:hint="eastAsia" w:ascii="Arial" w:eastAsia="宋体"/>
                <w:color w:val="auto"/>
                <w:sz w:val="21"/>
                <w:highlight w:val="none"/>
                <w:lang w:val="en-US" w:eastAsia="zh-CN"/>
              </w:rPr>
            </w:pPr>
            <w:r>
              <w:rPr>
                <w:rFonts w:hint="eastAsia" w:eastAsia="宋体"/>
                <w:color w:val="auto"/>
                <w:sz w:val="21"/>
                <w:highlight w:val="none"/>
                <w:lang w:val="en-US" w:eastAsia="zh-CN"/>
              </w:rPr>
              <w:t>/</w:t>
            </w:r>
          </w:p>
        </w:tc>
      </w:tr>
    </w:tbl>
    <w:p w14:paraId="797BE318">
      <w:pPr>
        <w:spacing w:line="258" w:lineRule="auto"/>
        <w:rPr>
          <w:rFonts w:ascii="Arial"/>
          <w:color w:val="auto"/>
          <w:sz w:val="21"/>
          <w:highlight w:val="none"/>
        </w:rPr>
      </w:pPr>
    </w:p>
    <w:p w14:paraId="1879030E">
      <w:pPr>
        <w:spacing w:line="259" w:lineRule="auto"/>
        <w:rPr>
          <w:rFonts w:ascii="Arial"/>
          <w:color w:val="auto"/>
          <w:sz w:val="21"/>
          <w:highlight w:val="none"/>
        </w:rPr>
      </w:pPr>
    </w:p>
    <w:p w14:paraId="67AD02BA">
      <w:pPr>
        <w:spacing w:line="259" w:lineRule="auto"/>
        <w:rPr>
          <w:rFonts w:ascii="Arial"/>
          <w:color w:val="auto"/>
          <w:sz w:val="21"/>
          <w:highlight w:val="none"/>
        </w:rPr>
      </w:pPr>
    </w:p>
    <w:p w14:paraId="4E2B9E46">
      <w:pPr>
        <w:spacing w:before="78" w:line="219" w:lineRule="auto"/>
        <w:ind w:left="138"/>
        <w:outlineLvl w:val="1"/>
        <w:rPr>
          <w:rFonts w:ascii="宋体" w:hAnsi="宋体" w:eastAsia="宋体" w:cs="宋体"/>
          <w:color w:val="auto"/>
          <w:sz w:val="24"/>
          <w:szCs w:val="24"/>
          <w:highlight w:val="none"/>
        </w:rPr>
      </w:pPr>
      <w:bookmarkStart w:id="347" w:name="_Toc4078"/>
      <w:bookmarkStart w:id="348" w:name="_Toc27634"/>
      <w:bookmarkStart w:id="349" w:name="_Toc17325"/>
      <w:r>
        <w:rPr>
          <w:rFonts w:ascii="宋体" w:hAnsi="宋体" w:eastAsia="宋体" w:cs="宋体"/>
          <w:b/>
          <w:bCs/>
          <w:color w:val="auto"/>
          <w:spacing w:val="-7"/>
          <w:sz w:val="24"/>
          <w:szCs w:val="24"/>
          <w:highlight w:val="none"/>
        </w:rPr>
        <w:t>12.</w:t>
      </w:r>
      <w:r>
        <w:rPr>
          <w:rFonts w:ascii="宋体" w:hAnsi="宋体" w:eastAsia="宋体" w:cs="宋体"/>
          <w:color w:val="auto"/>
          <w:spacing w:val="17"/>
          <w:sz w:val="24"/>
          <w:szCs w:val="24"/>
          <w:highlight w:val="none"/>
        </w:rPr>
        <w:t xml:space="preserve"> </w:t>
      </w:r>
      <w:r>
        <w:rPr>
          <w:rFonts w:ascii="宋体" w:hAnsi="宋体" w:eastAsia="宋体" w:cs="宋体"/>
          <w:b/>
          <w:bCs/>
          <w:color w:val="auto"/>
          <w:spacing w:val="-7"/>
          <w:sz w:val="24"/>
          <w:szCs w:val="24"/>
          <w:highlight w:val="none"/>
        </w:rPr>
        <w:t>争议的解决</w:t>
      </w:r>
      <w:bookmarkEnd w:id="347"/>
      <w:bookmarkEnd w:id="348"/>
      <w:bookmarkEnd w:id="349"/>
    </w:p>
    <w:p w14:paraId="550E5185">
      <w:pPr>
        <w:spacing w:before="48" w:line="220" w:lineRule="auto"/>
        <w:ind w:left="566"/>
        <w:rPr>
          <w:rFonts w:ascii="宋体" w:hAnsi="宋体" w:eastAsia="宋体" w:cs="宋体"/>
          <w:color w:val="auto"/>
          <w:spacing w:val="-1"/>
          <w:sz w:val="22"/>
          <w:szCs w:val="22"/>
          <w:highlight w:val="none"/>
        </w:rPr>
      </w:pPr>
    </w:p>
    <w:p w14:paraId="3177AEA3">
      <w:pPr>
        <w:spacing w:before="48" w:line="220" w:lineRule="auto"/>
        <w:ind w:left="566"/>
        <w:rPr>
          <w:rFonts w:ascii="宋体" w:hAnsi="宋体" w:eastAsia="宋体" w:cs="宋体"/>
          <w:color w:val="auto"/>
          <w:sz w:val="22"/>
          <w:szCs w:val="22"/>
          <w:highlight w:val="none"/>
        </w:rPr>
      </w:pPr>
      <w:r>
        <w:rPr>
          <w:rFonts w:ascii="宋体" w:hAnsi="宋体" w:eastAsia="宋体" w:cs="宋体"/>
          <w:color w:val="auto"/>
          <w:spacing w:val="-1"/>
          <w:sz w:val="22"/>
          <w:szCs w:val="22"/>
          <w:highlight w:val="none"/>
        </w:rPr>
        <w:t>争议的最终解决方式：</w:t>
      </w:r>
      <w:r>
        <w:rPr>
          <w:rFonts w:ascii="宋体" w:hAnsi="宋体" w:eastAsia="宋体" w:cs="宋体"/>
          <w:color w:val="auto"/>
          <w:spacing w:val="-1"/>
          <w:sz w:val="22"/>
          <w:szCs w:val="22"/>
          <w:highlight w:val="none"/>
          <w:u w:val="single" w:color="auto"/>
        </w:rPr>
        <w:t xml:space="preserve">  诉讼  </w:t>
      </w:r>
    </w:p>
    <w:p w14:paraId="0870C344">
      <w:pPr>
        <w:spacing w:before="166" w:line="219" w:lineRule="auto"/>
        <w:ind w:left="543"/>
        <w:rPr>
          <w:rFonts w:ascii="宋体" w:hAnsi="宋体" w:eastAsia="宋体" w:cs="宋体"/>
          <w:color w:val="auto"/>
          <w:sz w:val="22"/>
          <w:szCs w:val="22"/>
          <w:highlight w:val="none"/>
        </w:rPr>
      </w:pPr>
      <w:r>
        <w:rPr>
          <w:rFonts w:ascii="宋体" w:hAnsi="宋体" w:eastAsia="宋体" w:cs="宋体"/>
          <w:color w:val="auto"/>
          <w:spacing w:val="-1"/>
          <w:sz w:val="22"/>
          <w:szCs w:val="22"/>
          <w:highlight w:val="none"/>
        </w:rPr>
        <w:t>如采用诉讼，诉讼机构名称：</w:t>
      </w:r>
      <w:r>
        <w:rPr>
          <w:rFonts w:ascii="宋体" w:hAnsi="宋体" w:eastAsia="宋体" w:cs="宋体"/>
          <w:color w:val="auto"/>
          <w:spacing w:val="-1"/>
          <w:sz w:val="22"/>
          <w:szCs w:val="22"/>
          <w:highlight w:val="none"/>
          <w:u w:val="single" w:color="auto"/>
        </w:rPr>
        <w:t xml:space="preserve"> </w:t>
      </w:r>
      <w:r>
        <w:rPr>
          <w:rFonts w:hint="eastAsia" w:ascii="宋体" w:hAnsi="宋体" w:eastAsia="宋体" w:cs="宋体"/>
          <w:color w:val="auto"/>
          <w:spacing w:val="-1"/>
          <w:sz w:val="22"/>
          <w:szCs w:val="22"/>
          <w:highlight w:val="none"/>
          <w:u w:val="single" w:color="auto"/>
          <w:lang w:val="en-US" w:eastAsia="zh-CN"/>
        </w:rPr>
        <w:t>乐昌市人民</w:t>
      </w:r>
      <w:r>
        <w:rPr>
          <w:rFonts w:ascii="宋体" w:hAnsi="宋体" w:eastAsia="宋体" w:cs="宋体"/>
          <w:color w:val="auto"/>
          <w:spacing w:val="-1"/>
          <w:sz w:val="22"/>
          <w:szCs w:val="22"/>
          <w:highlight w:val="none"/>
          <w:u w:val="single" w:color="auto"/>
        </w:rPr>
        <w:t xml:space="preserve"> </w:t>
      </w:r>
      <w:r>
        <w:rPr>
          <w:rFonts w:ascii="宋体" w:hAnsi="宋体" w:eastAsia="宋体" w:cs="宋体"/>
          <w:color w:val="auto"/>
          <w:spacing w:val="-96"/>
          <w:sz w:val="22"/>
          <w:szCs w:val="22"/>
          <w:highlight w:val="none"/>
        </w:rPr>
        <w:t xml:space="preserve"> </w:t>
      </w:r>
      <w:r>
        <w:rPr>
          <w:rFonts w:ascii="宋体" w:hAnsi="宋体" w:eastAsia="宋体" w:cs="宋体"/>
          <w:color w:val="auto"/>
          <w:spacing w:val="-1"/>
          <w:sz w:val="22"/>
          <w:szCs w:val="22"/>
          <w:highlight w:val="none"/>
        </w:rPr>
        <w:t>法院。</w:t>
      </w:r>
    </w:p>
    <w:p w14:paraId="5857D9B1">
      <w:pPr>
        <w:spacing w:line="259" w:lineRule="auto"/>
        <w:rPr>
          <w:rFonts w:ascii="Arial"/>
          <w:color w:val="auto"/>
          <w:sz w:val="21"/>
          <w:highlight w:val="none"/>
        </w:rPr>
      </w:pPr>
    </w:p>
    <w:p w14:paraId="46B8B562">
      <w:pPr>
        <w:spacing w:line="259" w:lineRule="auto"/>
        <w:rPr>
          <w:rFonts w:ascii="Arial"/>
          <w:color w:val="auto"/>
          <w:sz w:val="21"/>
          <w:highlight w:val="none"/>
        </w:rPr>
      </w:pPr>
    </w:p>
    <w:p w14:paraId="60C54315">
      <w:pPr>
        <w:spacing w:before="78" w:line="220" w:lineRule="auto"/>
        <w:ind w:left="138"/>
        <w:outlineLvl w:val="1"/>
        <w:rPr>
          <w:rFonts w:ascii="宋体" w:hAnsi="宋体" w:eastAsia="宋体" w:cs="宋体"/>
          <w:color w:val="auto"/>
          <w:sz w:val="24"/>
          <w:szCs w:val="24"/>
          <w:highlight w:val="none"/>
        </w:rPr>
      </w:pPr>
      <w:bookmarkStart w:id="350" w:name="bookmark149"/>
      <w:bookmarkEnd w:id="350"/>
      <w:bookmarkStart w:id="351" w:name="_Toc8527"/>
      <w:bookmarkStart w:id="352" w:name="_Toc23211"/>
      <w:bookmarkStart w:id="353" w:name="_Toc14259"/>
      <w:r>
        <w:rPr>
          <w:rFonts w:ascii="宋体" w:hAnsi="宋体" w:eastAsia="宋体" w:cs="宋体"/>
          <w:b/>
          <w:bCs/>
          <w:color w:val="auto"/>
          <w:spacing w:val="-8"/>
          <w:sz w:val="24"/>
          <w:szCs w:val="24"/>
          <w:highlight w:val="none"/>
        </w:rPr>
        <w:t>13.其他</w:t>
      </w:r>
      <w:bookmarkEnd w:id="351"/>
      <w:bookmarkEnd w:id="352"/>
      <w:bookmarkEnd w:id="353"/>
    </w:p>
    <w:p w14:paraId="21480172">
      <w:pPr>
        <w:spacing w:before="178" w:line="362" w:lineRule="auto"/>
        <w:ind w:left="121" w:right="113" w:firstLine="497"/>
        <w:rPr>
          <w:rFonts w:ascii="宋体" w:hAnsi="宋体" w:eastAsia="宋体" w:cs="宋体"/>
          <w:color w:val="auto"/>
          <w:sz w:val="22"/>
          <w:szCs w:val="22"/>
          <w:highlight w:val="none"/>
        </w:rPr>
      </w:pPr>
      <w:r>
        <w:rPr>
          <w:rFonts w:ascii="宋体" w:hAnsi="宋体" w:eastAsia="宋体" w:cs="宋体"/>
          <w:b/>
          <w:bCs/>
          <w:color w:val="auto"/>
          <w:spacing w:val="2"/>
          <w:sz w:val="22"/>
          <w:szCs w:val="22"/>
          <w:highlight w:val="none"/>
        </w:rPr>
        <w:t>13.1</w:t>
      </w:r>
      <w:r>
        <w:rPr>
          <w:rFonts w:ascii="宋体" w:hAnsi="宋体" w:eastAsia="宋体" w:cs="宋体"/>
          <w:color w:val="auto"/>
          <w:spacing w:val="-41"/>
          <w:sz w:val="22"/>
          <w:szCs w:val="22"/>
          <w:highlight w:val="none"/>
        </w:rPr>
        <w:t xml:space="preserve"> </w:t>
      </w:r>
      <w:r>
        <w:rPr>
          <w:rFonts w:ascii="宋体" w:hAnsi="宋体" w:eastAsia="宋体" w:cs="宋体"/>
          <w:color w:val="auto"/>
          <w:spacing w:val="2"/>
          <w:sz w:val="22"/>
          <w:szCs w:val="22"/>
          <w:highlight w:val="none"/>
        </w:rPr>
        <w:t>本项目建设期间临时用地严禁占用基本农田，严格控制占用耕地、林地；如</w:t>
      </w:r>
      <w:r>
        <w:rPr>
          <w:rFonts w:ascii="宋体" w:hAnsi="宋体" w:eastAsia="宋体" w:cs="宋体"/>
          <w:color w:val="auto"/>
          <w:spacing w:val="5"/>
          <w:sz w:val="22"/>
          <w:szCs w:val="22"/>
          <w:highlight w:val="none"/>
        </w:rPr>
        <w:t>确需占用耕地、林地的，必须按规定到当地主管部门办理相关手续。预制场</w:t>
      </w:r>
      <w:r>
        <w:rPr>
          <w:rFonts w:ascii="宋体" w:hAnsi="宋体" w:eastAsia="宋体" w:cs="宋体"/>
          <w:color w:val="auto"/>
          <w:spacing w:val="4"/>
          <w:sz w:val="22"/>
          <w:szCs w:val="22"/>
          <w:highlight w:val="none"/>
        </w:rPr>
        <w:t>、搅拌场</w:t>
      </w:r>
    </w:p>
    <w:p w14:paraId="6E2CE1E3">
      <w:pPr>
        <w:spacing w:line="358" w:lineRule="auto"/>
        <w:rPr>
          <w:rFonts w:ascii="Arial"/>
          <w:color w:val="auto"/>
          <w:sz w:val="22"/>
          <w:szCs w:val="22"/>
          <w:highlight w:val="none"/>
        </w:rPr>
      </w:pPr>
    </w:p>
    <w:p w14:paraId="3487BC1F">
      <w:pPr>
        <w:spacing w:line="217" w:lineRule="auto"/>
        <w:rPr>
          <w:rFonts w:ascii="宋体" w:hAnsi="宋体" w:eastAsia="宋体" w:cs="宋体"/>
          <w:color w:val="auto"/>
          <w:sz w:val="22"/>
          <w:szCs w:val="22"/>
          <w:highlight w:val="none"/>
        </w:rPr>
        <w:sectPr>
          <w:footerReference r:id="rId64" w:type="default"/>
          <w:pgSz w:w="11906" w:h="16839"/>
          <w:pgMar w:top="1416" w:right="1304" w:bottom="1297" w:left="1304" w:header="0" w:footer="1069" w:gutter="0"/>
          <w:pgNumType w:fmt="decimal"/>
          <w:cols w:space="720" w:num="1"/>
        </w:sectPr>
      </w:pPr>
    </w:p>
    <w:p w14:paraId="0CB2D61D">
      <w:pPr>
        <w:spacing w:before="48" w:line="359" w:lineRule="auto"/>
        <w:ind w:left="2" w:right="2"/>
        <w:jc w:val="both"/>
        <w:rPr>
          <w:rFonts w:ascii="宋体" w:hAnsi="宋体" w:eastAsia="宋体" w:cs="宋体"/>
          <w:color w:val="auto"/>
          <w:sz w:val="22"/>
          <w:szCs w:val="22"/>
          <w:highlight w:val="none"/>
        </w:rPr>
      </w:pPr>
      <w:r>
        <w:rPr>
          <w:rFonts w:ascii="宋体" w:hAnsi="宋体" w:eastAsia="宋体" w:cs="宋体"/>
          <w:color w:val="auto"/>
          <w:spacing w:val="5"/>
          <w:sz w:val="22"/>
          <w:szCs w:val="22"/>
          <w:highlight w:val="none"/>
        </w:rPr>
        <w:t>等容易造成永久性破坏的临时用地一般不得占用耕地；取土场应选址在</w:t>
      </w:r>
      <w:r>
        <w:rPr>
          <w:rFonts w:ascii="宋体" w:hAnsi="宋体" w:eastAsia="宋体" w:cs="宋体"/>
          <w:color w:val="auto"/>
          <w:spacing w:val="4"/>
          <w:sz w:val="22"/>
          <w:szCs w:val="22"/>
          <w:highlight w:val="none"/>
        </w:rPr>
        <w:t>荒山、荒坡等</w:t>
      </w:r>
      <w:r>
        <w:rPr>
          <w:rFonts w:ascii="宋体" w:hAnsi="宋体" w:eastAsia="宋体" w:cs="宋体"/>
          <w:color w:val="auto"/>
          <w:spacing w:val="5"/>
          <w:sz w:val="22"/>
          <w:szCs w:val="22"/>
          <w:highlight w:val="none"/>
        </w:rPr>
        <w:t>劣质地，合理设计控制取土深度，严禁在基本农田范围内取土；弃（土</w:t>
      </w:r>
      <w:r>
        <w:rPr>
          <w:rFonts w:ascii="宋体" w:hAnsi="宋体" w:eastAsia="宋体" w:cs="宋体"/>
          <w:color w:val="auto"/>
          <w:spacing w:val="4"/>
          <w:sz w:val="22"/>
          <w:szCs w:val="22"/>
          <w:highlight w:val="none"/>
        </w:rPr>
        <w:t>）渣场不得占</w:t>
      </w:r>
      <w:r>
        <w:rPr>
          <w:rFonts w:ascii="宋体" w:hAnsi="宋体" w:eastAsia="宋体" w:cs="宋体"/>
          <w:color w:val="auto"/>
          <w:spacing w:val="5"/>
          <w:sz w:val="22"/>
          <w:szCs w:val="22"/>
          <w:highlight w:val="none"/>
        </w:rPr>
        <w:t>用耕地，要充分考虑永久性征收与临时用地相结合，合理划定弃（土）</w:t>
      </w:r>
      <w:r>
        <w:rPr>
          <w:rFonts w:ascii="宋体" w:hAnsi="宋体" w:eastAsia="宋体" w:cs="宋体"/>
          <w:color w:val="auto"/>
          <w:spacing w:val="4"/>
          <w:sz w:val="22"/>
          <w:szCs w:val="22"/>
          <w:highlight w:val="none"/>
        </w:rPr>
        <w:t>渣场范围；租</w:t>
      </w:r>
      <w:r>
        <w:rPr>
          <w:rFonts w:ascii="宋体" w:hAnsi="宋体" w:eastAsia="宋体" w:cs="宋体"/>
          <w:color w:val="auto"/>
          <w:spacing w:val="-1"/>
          <w:sz w:val="22"/>
          <w:szCs w:val="22"/>
          <w:highlight w:val="none"/>
        </w:rPr>
        <w:t>用临时用地协议必须有复垦条款。</w:t>
      </w:r>
    </w:p>
    <w:p w14:paraId="770353B2">
      <w:pPr>
        <w:spacing w:line="359" w:lineRule="auto"/>
        <w:ind w:right="2" w:firstLine="498"/>
        <w:jc w:val="both"/>
        <w:rPr>
          <w:rFonts w:ascii="宋体" w:hAnsi="宋体" w:eastAsia="宋体" w:cs="宋体"/>
          <w:color w:val="auto"/>
          <w:sz w:val="22"/>
          <w:szCs w:val="22"/>
          <w:highlight w:val="none"/>
        </w:rPr>
      </w:pPr>
      <w:r>
        <w:rPr>
          <w:rFonts w:ascii="宋体" w:hAnsi="宋体" w:eastAsia="宋体" w:cs="宋体"/>
          <w:b/>
          <w:bCs/>
          <w:color w:val="auto"/>
          <w:spacing w:val="2"/>
          <w:sz w:val="22"/>
          <w:szCs w:val="22"/>
          <w:highlight w:val="none"/>
        </w:rPr>
        <w:t>13.2</w:t>
      </w:r>
      <w:r>
        <w:rPr>
          <w:rFonts w:ascii="宋体" w:hAnsi="宋体" w:eastAsia="宋体" w:cs="宋体"/>
          <w:color w:val="auto"/>
          <w:spacing w:val="-41"/>
          <w:sz w:val="22"/>
          <w:szCs w:val="22"/>
          <w:highlight w:val="none"/>
        </w:rPr>
        <w:t xml:space="preserve"> </w:t>
      </w:r>
      <w:r>
        <w:rPr>
          <w:rFonts w:ascii="宋体" w:hAnsi="宋体" w:eastAsia="宋体" w:cs="宋体"/>
          <w:color w:val="auto"/>
          <w:spacing w:val="2"/>
          <w:sz w:val="22"/>
          <w:szCs w:val="22"/>
          <w:highlight w:val="none"/>
        </w:rPr>
        <w:t>监理人应按照《广东省水利厅广东省交通运输厅关于进一步加强交通建设项</w:t>
      </w:r>
      <w:r>
        <w:rPr>
          <w:rFonts w:ascii="宋体" w:hAnsi="宋体" w:eastAsia="宋体" w:cs="宋体"/>
          <w:color w:val="auto"/>
          <w:sz w:val="22"/>
          <w:szCs w:val="22"/>
          <w:highlight w:val="none"/>
        </w:rPr>
        <w:t>目水土保持工作的通知》（粤水水保〔2020〕2</w:t>
      </w:r>
      <w:r>
        <w:rPr>
          <w:rFonts w:ascii="宋体" w:hAnsi="宋体" w:eastAsia="宋体" w:cs="宋体"/>
          <w:color w:val="auto"/>
          <w:spacing w:val="-45"/>
          <w:sz w:val="22"/>
          <w:szCs w:val="22"/>
          <w:highlight w:val="none"/>
        </w:rPr>
        <w:t xml:space="preserve"> </w:t>
      </w:r>
      <w:r>
        <w:rPr>
          <w:rFonts w:ascii="宋体" w:hAnsi="宋体" w:eastAsia="宋体" w:cs="宋体"/>
          <w:color w:val="auto"/>
          <w:sz w:val="22"/>
          <w:szCs w:val="22"/>
          <w:highlight w:val="none"/>
        </w:rPr>
        <w:t>号）的要</w:t>
      </w:r>
      <w:r>
        <w:rPr>
          <w:rFonts w:ascii="宋体" w:hAnsi="宋体" w:eastAsia="宋体" w:cs="宋体"/>
          <w:color w:val="auto"/>
          <w:spacing w:val="-1"/>
          <w:sz w:val="22"/>
          <w:szCs w:val="22"/>
          <w:highlight w:val="none"/>
        </w:rPr>
        <w:t>求开展水土保持监理工作，为</w:t>
      </w:r>
      <w:r>
        <w:rPr>
          <w:rFonts w:ascii="宋体" w:hAnsi="宋体" w:eastAsia="宋体" w:cs="宋体"/>
          <w:color w:val="auto"/>
          <w:spacing w:val="5"/>
          <w:sz w:val="22"/>
          <w:szCs w:val="22"/>
          <w:highlight w:val="none"/>
        </w:rPr>
        <w:t>在项目交工验收后及时完成水保验收工作，各监理人应负责协调、配合水土保</w:t>
      </w:r>
      <w:r>
        <w:rPr>
          <w:rFonts w:ascii="宋体" w:hAnsi="宋体" w:eastAsia="宋体" w:cs="宋体"/>
          <w:color w:val="auto"/>
          <w:spacing w:val="4"/>
          <w:sz w:val="22"/>
          <w:szCs w:val="22"/>
          <w:highlight w:val="none"/>
        </w:rPr>
        <w:t>持设施</w:t>
      </w:r>
      <w:r>
        <w:rPr>
          <w:rFonts w:ascii="宋体" w:hAnsi="宋体" w:eastAsia="宋体" w:cs="宋体"/>
          <w:color w:val="auto"/>
          <w:spacing w:val="5"/>
          <w:sz w:val="22"/>
          <w:szCs w:val="22"/>
          <w:highlight w:val="none"/>
        </w:rPr>
        <w:t>竣工验收技术报告编制的单位（含施工期水土流失监测、技术评估等工作）开</w:t>
      </w:r>
      <w:r>
        <w:rPr>
          <w:rFonts w:ascii="宋体" w:hAnsi="宋体" w:eastAsia="宋体" w:cs="宋体"/>
          <w:color w:val="auto"/>
          <w:spacing w:val="4"/>
          <w:sz w:val="22"/>
          <w:szCs w:val="22"/>
          <w:highlight w:val="none"/>
        </w:rPr>
        <w:t>展相关</w:t>
      </w:r>
      <w:r>
        <w:rPr>
          <w:rFonts w:ascii="宋体" w:hAnsi="宋体" w:eastAsia="宋体" w:cs="宋体"/>
          <w:color w:val="auto"/>
          <w:spacing w:val="5"/>
          <w:sz w:val="22"/>
          <w:szCs w:val="22"/>
          <w:highlight w:val="none"/>
        </w:rPr>
        <w:t>工作，并且按水土保持设施竣工验收技术报告编制单位提交的检测方案安排相</w:t>
      </w:r>
      <w:r>
        <w:rPr>
          <w:rFonts w:ascii="宋体" w:hAnsi="宋体" w:eastAsia="宋体" w:cs="宋体"/>
          <w:color w:val="auto"/>
          <w:spacing w:val="4"/>
          <w:sz w:val="22"/>
          <w:szCs w:val="22"/>
          <w:highlight w:val="none"/>
        </w:rPr>
        <w:t>关的水</w:t>
      </w:r>
      <w:r>
        <w:rPr>
          <w:rFonts w:ascii="宋体" w:hAnsi="宋体" w:eastAsia="宋体" w:cs="宋体"/>
          <w:color w:val="auto"/>
          <w:spacing w:val="-1"/>
          <w:sz w:val="22"/>
          <w:szCs w:val="22"/>
          <w:highlight w:val="none"/>
        </w:rPr>
        <w:t>土保持监理工作。水土保持监理具体工作为：</w:t>
      </w:r>
    </w:p>
    <w:p w14:paraId="21E561FB">
      <w:pPr>
        <w:spacing w:line="219" w:lineRule="auto"/>
        <w:ind w:left="498"/>
        <w:rPr>
          <w:rFonts w:ascii="宋体" w:hAnsi="宋体" w:eastAsia="宋体" w:cs="宋体"/>
          <w:color w:val="auto"/>
          <w:sz w:val="22"/>
          <w:szCs w:val="22"/>
          <w:highlight w:val="none"/>
        </w:rPr>
      </w:pPr>
      <w:r>
        <w:rPr>
          <w:rFonts w:ascii="宋体" w:hAnsi="宋体" w:eastAsia="宋体" w:cs="宋体"/>
          <w:b/>
          <w:bCs/>
          <w:color w:val="auto"/>
          <w:spacing w:val="-4"/>
          <w:sz w:val="22"/>
          <w:szCs w:val="22"/>
          <w:highlight w:val="none"/>
        </w:rPr>
        <w:t>13.2.1</w:t>
      </w:r>
      <w:r>
        <w:rPr>
          <w:rFonts w:ascii="宋体" w:hAnsi="宋体" w:eastAsia="宋体" w:cs="宋体"/>
          <w:color w:val="auto"/>
          <w:spacing w:val="-41"/>
          <w:sz w:val="22"/>
          <w:szCs w:val="22"/>
          <w:highlight w:val="none"/>
        </w:rPr>
        <w:t xml:space="preserve"> </w:t>
      </w:r>
      <w:r>
        <w:rPr>
          <w:rFonts w:ascii="宋体" w:hAnsi="宋体" w:eastAsia="宋体" w:cs="宋体"/>
          <w:b/>
          <w:bCs/>
          <w:color w:val="auto"/>
          <w:spacing w:val="-4"/>
          <w:sz w:val="22"/>
          <w:szCs w:val="22"/>
          <w:highlight w:val="none"/>
        </w:rPr>
        <w:t>施工准备阶段的水土保持监理工作</w:t>
      </w:r>
    </w:p>
    <w:p w14:paraId="1F307092">
      <w:pPr>
        <w:spacing w:before="180" w:line="219" w:lineRule="auto"/>
        <w:ind w:left="523"/>
        <w:rPr>
          <w:rFonts w:ascii="宋体" w:hAnsi="宋体" w:eastAsia="宋体" w:cs="宋体"/>
          <w:color w:val="auto"/>
          <w:sz w:val="22"/>
          <w:szCs w:val="22"/>
          <w:highlight w:val="none"/>
        </w:rPr>
      </w:pPr>
      <w:r>
        <w:rPr>
          <w:rFonts w:ascii="宋体" w:hAnsi="宋体" w:eastAsia="宋体" w:cs="宋体"/>
          <w:color w:val="auto"/>
          <w:spacing w:val="-3"/>
          <w:sz w:val="22"/>
          <w:szCs w:val="22"/>
          <w:highlight w:val="none"/>
        </w:rPr>
        <w:t>(1)成立水保监理领导小组，明确职责分工。</w:t>
      </w:r>
    </w:p>
    <w:p w14:paraId="40C937C6">
      <w:pPr>
        <w:spacing w:before="183" w:line="218" w:lineRule="auto"/>
        <w:ind w:left="523"/>
        <w:rPr>
          <w:rFonts w:ascii="宋体" w:hAnsi="宋体" w:eastAsia="宋体" w:cs="宋体"/>
          <w:color w:val="auto"/>
          <w:sz w:val="22"/>
          <w:szCs w:val="22"/>
          <w:highlight w:val="none"/>
        </w:rPr>
      </w:pPr>
      <w:r>
        <w:rPr>
          <w:rFonts w:ascii="宋体" w:hAnsi="宋体" w:eastAsia="宋体" w:cs="宋体"/>
          <w:color w:val="auto"/>
          <w:spacing w:val="-2"/>
          <w:sz w:val="22"/>
          <w:szCs w:val="22"/>
          <w:highlight w:val="none"/>
        </w:rPr>
        <w:t>(2)熟悉和学习设计图纸和水土保持方案报告和相关文件、法律法规。</w:t>
      </w:r>
    </w:p>
    <w:p w14:paraId="3E575030">
      <w:pPr>
        <w:spacing w:before="184" w:line="289" w:lineRule="auto"/>
        <w:ind w:left="13" w:right="2" w:firstLine="510"/>
        <w:rPr>
          <w:rFonts w:ascii="宋体" w:hAnsi="宋体" w:eastAsia="宋体" w:cs="宋体"/>
          <w:color w:val="auto"/>
          <w:sz w:val="22"/>
          <w:szCs w:val="22"/>
          <w:highlight w:val="none"/>
        </w:rPr>
      </w:pPr>
      <w:r>
        <w:rPr>
          <w:rFonts w:ascii="宋体" w:hAnsi="宋体" w:eastAsia="宋体" w:cs="宋体"/>
          <w:color w:val="auto"/>
          <w:spacing w:val="1"/>
          <w:sz w:val="22"/>
          <w:szCs w:val="22"/>
          <w:highlight w:val="none"/>
        </w:rPr>
        <w:t>(3)编制水保监理计划和单位工程水保监</w:t>
      </w:r>
      <w:r>
        <w:rPr>
          <w:rFonts w:ascii="宋体" w:hAnsi="宋体" w:eastAsia="宋体" w:cs="宋体"/>
          <w:color w:val="auto"/>
          <w:sz w:val="22"/>
          <w:szCs w:val="22"/>
          <w:highlight w:val="none"/>
        </w:rPr>
        <w:t>理实施细则，明确工程水土保持监理的重</w:t>
      </w:r>
      <w:r>
        <w:rPr>
          <w:rFonts w:ascii="宋体" w:hAnsi="宋体" w:eastAsia="宋体" w:cs="宋体"/>
          <w:color w:val="auto"/>
          <w:spacing w:val="-2"/>
          <w:sz w:val="22"/>
          <w:szCs w:val="22"/>
          <w:highlight w:val="none"/>
        </w:rPr>
        <w:t>点，难点、具体要求及监理的方法步骤等。</w:t>
      </w:r>
    </w:p>
    <w:p w14:paraId="4AEE9A88">
      <w:pPr>
        <w:spacing w:before="182" w:line="219" w:lineRule="auto"/>
        <w:ind w:left="523"/>
        <w:rPr>
          <w:rFonts w:ascii="宋体" w:hAnsi="宋体" w:eastAsia="宋体" w:cs="宋体"/>
          <w:color w:val="auto"/>
          <w:sz w:val="22"/>
          <w:szCs w:val="22"/>
          <w:highlight w:val="none"/>
        </w:rPr>
      </w:pPr>
      <w:r>
        <w:rPr>
          <w:rFonts w:ascii="宋体" w:hAnsi="宋体" w:eastAsia="宋体" w:cs="宋体"/>
          <w:color w:val="auto"/>
          <w:spacing w:val="-3"/>
          <w:sz w:val="22"/>
          <w:szCs w:val="22"/>
          <w:highlight w:val="none"/>
        </w:rPr>
        <w:t>(4)督促施工单位建立水保管理体系。</w:t>
      </w:r>
    </w:p>
    <w:p w14:paraId="49AC264A">
      <w:pPr>
        <w:spacing w:before="181" w:line="289" w:lineRule="auto"/>
        <w:ind w:left="3" w:right="2" w:firstLine="519"/>
        <w:rPr>
          <w:rFonts w:ascii="宋体" w:hAnsi="宋体" w:eastAsia="宋体" w:cs="宋体"/>
          <w:color w:val="auto"/>
          <w:sz w:val="22"/>
          <w:szCs w:val="22"/>
          <w:highlight w:val="none"/>
        </w:rPr>
      </w:pPr>
      <w:r>
        <w:rPr>
          <w:rFonts w:ascii="宋体" w:hAnsi="宋体" w:eastAsia="宋体" w:cs="宋体"/>
          <w:color w:val="auto"/>
          <w:spacing w:val="1"/>
          <w:sz w:val="22"/>
          <w:szCs w:val="22"/>
          <w:highlight w:val="none"/>
        </w:rPr>
        <w:t>(5)审查承包人编制的《施工组织设计》</w:t>
      </w:r>
      <w:r>
        <w:rPr>
          <w:rFonts w:ascii="宋体" w:hAnsi="宋体" w:eastAsia="宋体" w:cs="宋体"/>
          <w:color w:val="auto"/>
          <w:sz w:val="22"/>
          <w:szCs w:val="22"/>
          <w:highlight w:val="none"/>
        </w:rPr>
        <w:t>中边坡防护、取弃土场、临建设施、排水</w:t>
      </w:r>
      <w:r>
        <w:rPr>
          <w:rFonts w:ascii="宋体" w:hAnsi="宋体" w:eastAsia="宋体" w:cs="宋体"/>
          <w:color w:val="auto"/>
          <w:spacing w:val="-1"/>
          <w:sz w:val="22"/>
          <w:szCs w:val="22"/>
          <w:highlight w:val="none"/>
        </w:rPr>
        <w:t>工程、临时防护等分项工程技术方案和措施是否可行。</w:t>
      </w:r>
    </w:p>
    <w:p w14:paraId="2BC2B961">
      <w:pPr>
        <w:spacing w:before="183" w:line="219" w:lineRule="auto"/>
        <w:ind w:left="498"/>
        <w:rPr>
          <w:rFonts w:ascii="宋体" w:hAnsi="宋体" w:eastAsia="宋体" w:cs="宋体"/>
          <w:color w:val="auto"/>
          <w:sz w:val="22"/>
          <w:szCs w:val="22"/>
          <w:highlight w:val="none"/>
        </w:rPr>
      </w:pPr>
      <w:r>
        <w:rPr>
          <w:rFonts w:ascii="宋体" w:hAnsi="宋体" w:eastAsia="宋体" w:cs="宋体"/>
          <w:b/>
          <w:bCs/>
          <w:color w:val="auto"/>
          <w:spacing w:val="-3"/>
          <w:sz w:val="22"/>
          <w:szCs w:val="22"/>
          <w:highlight w:val="none"/>
        </w:rPr>
        <w:t>13.2.2</w:t>
      </w:r>
      <w:r>
        <w:rPr>
          <w:rFonts w:ascii="宋体" w:hAnsi="宋体" w:eastAsia="宋体" w:cs="宋体"/>
          <w:color w:val="auto"/>
          <w:spacing w:val="-3"/>
          <w:sz w:val="22"/>
          <w:szCs w:val="22"/>
          <w:highlight w:val="none"/>
        </w:rPr>
        <w:t xml:space="preserve"> </w:t>
      </w:r>
      <w:r>
        <w:rPr>
          <w:rFonts w:ascii="宋体" w:hAnsi="宋体" w:eastAsia="宋体" w:cs="宋体"/>
          <w:b/>
          <w:bCs/>
          <w:color w:val="auto"/>
          <w:spacing w:val="-3"/>
          <w:sz w:val="22"/>
          <w:szCs w:val="22"/>
          <w:highlight w:val="none"/>
        </w:rPr>
        <w:t>施工阶段的水土保持监理工作</w:t>
      </w:r>
    </w:p>
    <w:p w14:paraId="3E0440DE">
      <w:pPr>
        <w:spacing w:before="183" w:line="218" w:lineRule="auto"/>
        <w:ind w:left="523"/>
        <w:rPr>
          <w:rFonts w:ascii="宋体" w:hAnsi="宋体" w:eastAsia="宋体" w:cs="宋体"/>
          <w:color w:val="auto"/>
          <w:sz w:val="22"/>
          <w:szCs w:val="22"/>
          <w:highlight w:val="none"/>
        </w:rPr>
      </w:pPr>
      <w:r>
        <w:rPr>
          <w:rFonts w:ascii="宋体" w:hAnsi="宋体" w:eastAsia="宋体" w:cs="宋体"/>
          <w:color w:val="auto"/>
          <w:spacing w:val="-2"/>
          <w:sz w:val="22"/>
          <w:szCs w:val="22"/>
          <w:highlight w:val="none"/>
        </w:rPr>
        <w:t>(1) 审查开工报告中涉及水保工作内容的方案和措施是否可行。</w:t>
      </w:r>
    </w:p>
    <w:p w14:paraId="5D32E0CE">
      <w:pPr>
        <w:spacing w:before="182" w:line="219" w:lineRule="auto"/>
        <w:ind w:left="523"/>
        <w:rPr>
          <w:rFonts w:ascii="宋体" w:hAnsi="宋体" w:eastAsia="宋体" w:cs="宋体"/>
          <w:color w:val="auto"/>
          <w:sz w:val="22"/>
          <w:szCs w:val="22"/>
          <w:highlight w:val="none"/>
        </w:rPr>
      </w:pPr>
      <w:r>
        <w:rPr>
          <w:rFonts w:ascii="宋体" w:hAnsi="宋体" w:eastAsia="宋体" w:cs="宋体"/>
          <w:color w:val="auto"/>
          <w:spacing w:val="-5"/>
          <w:sz w:val="22"/>
          <w:szCs w:val="22"/>
          <w:highlight w:val="none"/>
        </w:rPr>
        <w:t>(2)水保监理巡视和检查</w:t>
      </w:r>
    </w:p>
    <w:p w14:paraId="481BF298">
      <w:pPr>
        <w:spacing w:before="184" w:line="359" w:lineRule="auto"/>
        <w:ind w:firstLine="480"/>
        <w:rPr>
          <w:rFonts w:ascii="宋体" w:hAnsi="宋体" w:eastAsia="宋体" w:cs="宋体"/>
          <w:color w:val="auto"/>
          <w:sz w:val="22"/>
          <w:szCs w:val="22"/>
          <w:highlight w:val="none"/>
        </w:rPr>
      </w:pPr>
      <w:r>
        <w:rPr>
          <w:rFonts w:ascii="宋体" w:hAnsi="宋体" w:eastAsia="宋体" w:cs="宋体"/>
          <w:color w:val="auto"/>
          <w:spacing w:val="5"/>
          <w:sz w:val="22"/>
          <w:szCs w:val="22"/>
          <w:highlight w:val="none"/>
        </w:rPr>
        <w:t>监理工程师在巡视、旁站中，应随时检查施工单位制订的水保措施的落实情况，</w:t>
      </w:r>
      <w:r>
        <w:rPr>
          <w:rFonts w:ascii="宋体" w:hAnsi="宋体" w:eastAsia="宋体" w:cs="宋体"/>
          <w:color w:val="auto"/>
          <w:spacing w:val="4"/>
          <w:sz w:val="22"/>
          <w:szCs w:val="22"/>
          <w:highlight w:val="none"/>
        </w:rPr>
        <w:t>检查的主要内容有：a. 水保管理体系。b. 水保教育。c.临建设施和施工便道排水和</w:t>
      </w:r>
      <w:r>
        <w:rPr>
          <w:rFonts w:ascii="宋体" w:hAnsi="宋体" w:eastAsia="宋体" w:cs="宋体"/>
          <w:color w:val="auto"/>
          <w:spacing w:val="2"/>
          <w:sz w:val="22"/>
          <w:szCs w:val="22"/>
          <w:highlight w:val="none"/>
        </w:rPr>
        <w:t>防护是否符合要求。d. 边坡防护是否及时进行防护</w:t>
      </w:r>
      <w:r>
        <w:rPr>
          <w:rFonts w:ascii="宋体" w:hAnsi="宋体" w:eastAsia="宋体" w:cs="宋体"/>
          <w:color w:val="auto"/>
          <w:spacing w:val="1"/>
          <w:sz w:val="22"/>
          <w:szCs w:val="22"/>
          <w:highlight w:val="none"/>
        </w:rPr>
        <w:t>，检查绿化工程成活率，是否做到了边坡无雨水冲刷、水土流失现象。e. 排水工程施工质量（包括路基临时排水设施）</w:t>
      </w:r>
      <w:r>
        <w:rPr>
          <w:rFonts w:ascii="宋体" w:hAnsi="宋体" w:eastAsia="宋体" w:cs="宋体"/>
          <w:color w:val="auto"/>
          <w:spacing w:val="5"/>
          <w:sz w:val="22"/>
          <w:szCs w:val="22"/>
          <w:highlight w:val="none"/>
        </w:rPr>
        <w:t>和连通情况，是否将地面水及地下水排入相应的涵洞，从而保证水土不</w:t>
      </w:r>
      <w:r>
        <w:rPr>
          <w:rFonts w:ascii="宋体" w:hAnsi="宋体" w:eastAsia="宋体" w:cs="宋体"/>
          <w:color w:val="auto"/>
          <w:spacing w:val="4"/>
          <w:sz w:val="22"/>
          <w:szCs w:val="22"/>
          <w:highlight w:val="none"/>
        </w:rPr>
        <w:t>流失。f.取、</w:t>
      </w:r>
      <w:r>
        <w:rPr>
          <w:rFonts w:ascii="宋体" w:hAnsi="宋体" w:eastAsia="宋体" w:cs="宋体"/>
          <w:color w:val="auto"/>
          <w:spacing w:val="5"/>
          <w:sz w:val="22"/>
          <w:szCs w:val="22"/>
          <w:highlight w:val="none"/>
        </w:rPr>
        <w:t>弃土场排水和防护措施是否符合要求。g. 桥</w:t>
      </w:r>
      <w:r>
        <w:rPr>
          <w:rFonts w:ascii="宋体" w:hAnsi="宋体" w:eastAsia="宋体" w:cs="宋体"/>
          <w:color w:val="auto"/>
          <w:spacing w:val="4"/>
          <w:sz w:val="22"/>
          <w:szCs w:val="22"/>
          <w:highlight w:val="none"/>
        </w:rPr>
        <w:t>梁桩基泥浆处理是否符合要求。h. 涉江</w:t>
      </w:r>
      <w:r>
        <w:rPr>
          <w:rFonts w:ascii="宋体" w:hAnsi="宋体" w:eastAsia="宋体" w:cs="宋体"/>
          <w:color w:val="auto"/>
          <w:spacing w:val="2"/>
          <w:sz w:val="22"/>
          <w:szCs w:val="22"/>
          <w:highlight w:val="none"/>
        </w:rPr>
        <w:t>涉河工程和生态敏感区水土保持措施是否符合要求</w:t>
      </w:r>
      <w:r>
        <w:rPr>
          <w:rFonts w:ascii="宋体" w:hAnsi="宋体" w:eastAsia="宋体" w:cs="宋体"/>
          <w:color w:val="auto"/>
          <w:spacing w:val="1"/>
          <w:sz w:val="22"/>
          <w:szCs w:val="22"/>
          <w:highlight w:val="none"/>
        </w:rPr>
        <w:t>。i. 如发现施工中存在违反有关水</w:t>
      </w:r>
      <w:r>
        <w:rPr>
          <w:rFonts w:ascii="宋体" w:hAnsi="宋体" w:eastAsia="宋体" w:cs="宋体"/>
          <w:color w:val="auto"/>
          <w:sz w:val="22"/>
          <w:szCs w:val="22"/>
          <w:highlight w:val="none"/>
        </w:rPr>
        <w:t>保规定、未按合同要求落实水保措施的情况，监理工程师应</w:t>
      </w:r>
      <w:r>
        <w:rPr>
          <w:rFonts w:ascii="宋体" w:hAnsi="宋体" w:eastAsia="宋体" w:cs="宋体"/>
          <w:color w:val="auto"/>
          <w:spacing w:val="-1"/>
          <w:sz w:val="22"/>
          <w:szCs w:val="22"/>
          <w:highlight w:val="none"/>
        </w:rPr>
        <w:t>书面指令施工单位整改。</w:t>
      </w:r>
    </w:p>
    <w:p w14:paraId="3A37422E">
      <w:pPr>
        <w:spacing w:before="1" w:line="219" w:lineRule="auto"/>
        <w:ind w:left="523"/>
        <w:rPr>
          <w:rFonts w:ascii="宋体" w:hAnsi="宋体" w:eastAsia="宋体" w:cs="宋体"/>
          <w:color w:val="auto"/>
          <w:sz w:val="22"/>
          <w:szCs w:val="22"/>
          <w:highlight w:val="none"/>
        </w:rPr>
      </w:pPr>
      <w:r>
        <w:rPr>
          <w:rFonts w:ascii="宋体" w:hAnsi="宋体" w:eastAsia="宋体" w:cs="宋体"/>
          <w:color w:val="auto"/>
          <w:spacing w:val="-6"/>
          <w:sz w:val="22"/>
          <w:szCs w:val="22"/>
          <w:highlight w:val="none"/>
        </w:rPr>
        <w:t>(3)协调水保监测</w:t>
      </w:r>
    </w:p>
    <w:p w14:paraId="693D37E4">
      <w:pPr>
        <w:spacing w:line="219" w:lineRule="auto"/>
        <w:rPr>
          <w:rFonts w:ascii="宋体" w:hAnsi="宋体" w:eastAsia="宋体" w:cs="宋体"/>
          <w:color w:val="auto"/>
          <w:sz w:val="22"/>
          <w:szCs w:val="22"/>
          <w:highlight w:val="none"/>
        </w:rPr>
        <w:sectPr>
          <w:footerReference r:id="rId65" w:type="default"/>
          <w:pgSz w:w="11906" w:h="16839"/>
          <w:pgMar w:top="1405" w:right="1415" w:bottom="1297" w:left="1424" w:header="0" w:footer="1069" w:gutter="0"/>
          <w:pgNumType w:fmt="decimal"/>
          <w:cols w:space="720" w:num="1"/>
        </w:sectPr>
      </w:pPr>
    </w:p>
    <w:p w14:paraId="10F7C178">
      <w:pPr>
        <w:spacing w:before="47" w:line="359" w:lineRule="auto"/>
        <w:ind w:left="3" w:firstLine="477"/>
        <w:rPr>
          <w:rFonts w:ascii="宋体" w:hAnsi="宋体" w:eastAsia="宋体" w:cs="宋体"/>
          <w:color w:val="auto"/>
          <w:sz w:val="22"/>
          <w:szCs w:val="22"/>
          <w:highlight w:val="none"/>
        </w:rPr>
      </w:pPr>
      <w:r>
        <w:rPr>
          <w:rFonts w:ascii="宋体" w:hAnsi="宋体" w:eastAsia="宋体" w:cs="宋体"/>
          <w:color w:val="auto"/>
          <w:spacing w:val="5"/>
          <w:sz w:val="22"/>
          <w:szCs w:val="22"/>
          <w:highlight w:val="none"/>
        </w:rPr>
        <w:t>根据施工过程中的重点和施工进度，协调外部监督监测单位进行相关监测工作。定时收集外部监督监测单位的水保监测报告，根据监测报告判断水保</w:t>
      </w:r>
      <w:r>
        <w:rPr>
          <w:rFonts w:ascii="宋体" w:hAnsi="宋体" w:eastAsia="宋体" w:cs="宋体"/>
          <w:color w:val="auto"/>
          <w:spacing w:val="4"/>
          <w:sz w:val="22"/>
          <w:szCs w:val="22"/>
          <w:highlight w:val="none"/>
        </w:rPr>
        <w:t>措施执行效果并</w:t>
      </w:r>
      <w:r>
        <w:rPr>
          <w:rFonts w:ascii="宋体" w:hAnsi="宋体" w:eastAsia="宋体" w:cs="宋体"/>
          <w:color w:val="auto"/>
          <w:spacing w:val="-1"/>
          <w:sz w:val="22"/>
          <w:szCs w:val="22"/>
          <w:highlight w:val="none"/>
        </w:rPr>
        <w:t>指导后续各项水保措施修订和落实工作。</w:t>
      </w:r>
    </w:p>
    <w:p w14:paraId="759EE2F9">
      <w:pPr>
        <w:spacing w:line="219" w:lineRule="auto"/>
        <w:ind w:left="523"/>
        <w:rPr>
          <w:rFonts w:ascii="宋体" w:hAnsi="宋体" w:eastAsia="宋体" w:cs="宋体"/>
          <w:color w:val="auto"/>
          <w:sz w:val="22"/>
          <w:szCs w:val="22"/>
          <w:highlight w:val="none"/>
        </w:rPr>
      </w:pPr>
      <w:r>
        <w:rPr>
          <w:rFonts w:ascii="宋体" w:hAnsi="宋体" w:eastAsia="宋体" w:cs="宋体"/>
          <w:color w:val="auto"/>
          <w:spacing w:val="-2"/>
          <w:sz w:val="22"/>
          <w:szCs w:val="22"/>
          <w:highlight w:val="none"/>
        </w:rPr>
        <w:t>(4) 协助水保主管部门和建设单位处理突发水保事件。</w:t>
      </w:r>
    </w:p>
    <w:p w14:paraId="31B710FB">
      <w:pPr>
        <w:spacing w:before="183" w:line="219" w:lineRule="auto"/>
        <w:ind w:left="523"/>
        <w:rPr>
          <w:rFonts w:ascii="宋体" w:hAnsi="宋体" w:eastAsia="宋体" w:cs="宋体"/>
          <w:color w:val="auto"/>
          <w:sz w:val="22"/>
          <w:szCs w:val="22"/>
          <w:highlight w:val="none"/>
        </w:rPr>
      </w:pPr>
      <w:r>
        <w:rPr>
          <w:rFonts w:ascii="宋体" w:hAnsi="宋体" w:eastAsia="宋体" w:cs="宋体"/>
          <w:color w:val="auto"/>
          <w:spacing w:val="-3"/>
          <w:sz w:val="22"/>
          <w:szCs w:val="22"/>
          <w:highlight w:val="none"/>
        </w:rPr>
        <w:t>(5) 建立、保管水保监理资料档案及影像资料。</w:t>
      </w:r>
    </w:p>
    <w:p w14:paraId="174ADF14">
      <w:pPr>
        <w:spacing w:before="180" w:line="219" w:lineRule="auto"/>
        <w:ind w:left="498"/>
        <w:rPr>
          <w:rFonts w:ascii="宋体" w:hAnsi="宋体" w:eastAsia="宋体" w:cs="宋体"/>
          <w:color w:val="auto"/>
          <w:sz w:val="22"/>
          <w:szCs w:val="22"/>
          <w:highlight w:val="none"/>
        </w:rPr>
      </w:pPr>
      <w:r>
        <w:rPr>
          <w:rFonts w:ascii="宋体" w:hAnsi="宋体" w:eastAsia="宋体" w:cs="宋体"/>
          <w:b/>
          <w:bCs/>
          <w:color w:val="auto"/>
          <w:spacing w:val="-3"/>
          <w:sz w:val="22"/>
          <w:szCs w:val="22"/>
          <w:highlight w:val="none"/>
        </w:rPr>
        <w:t>13.2.3</w:t>
      </w:r>
      <w:r>
        <w:rPr>
          <w:rFonts w:ascii="宋体" w:hAnsi="宋体" w:eastAsia="宋体" w:cs="宋体"/>
          <w:color w:val="auto"/>
          <w:spacing w:val="-3"/>
          <w:sz w:val="22"/>
          <w:szCs w:val="22"/>
          <w:highlight w:val="none"/>
        </w:rPr>
        <w:t xml:space="preserve">  </w:t>
      </w:r>
      <w:r>
        <w:rPr>
          <w:rFonts w:ascii="宋体" w:hAnsi="宋体" w:eastAsia="宋体" w:cs="宋体"/>
          <w:b/>
          <w:bCs/>
          <w:color w:val="auto"/>
          <w:spacing w:val="-3"/>
          <w:sz w:val="22"/>
          <w:szCs w:val="22"/>
          <w:highlight w:val="none"/>
        </w:rPr>
        <w:t>交、竣工阶段及缺陷责任期的水土保持监理工作</w:t>
      </w:r>
    </w:p>
    <w:p w14:paraId="0B211F13">
      <w:pPr>
        <w:spacing w:before="183" w:line="219" w:lineRule="auto"/>
        <w:ind w:left="523"/>
        <w:rPr>
          <w:rFonts w:ascii="宋体" w:hAnsi="宋体" w:eastAsia="宋体" w:cs="宋体"/>
          <w:color w:val="auto"/>
          <w:sz w:val="22"/>
          <w:szCs w:val="22"/>
          <w:highlight w:val="none"/>
        </w:rPr>
      </w:pPr>
      <w:r>
        <w:rPr>
          <w:rFonts w:ascii="宋体" w:hAnsi="宋体" w:eastAsia="宋体" w:cs="宋体"/>
          <w:color w:val="auto"/>
          <w:spacing w:val="-4"/>
          <w:sz w:val="22"/>
          <w:szCs w:val="22"/>
          <w:highlight w:val="none"/>
        </w:rPr>
        <w:t>(1) 交工验收水保监理工作内容</w:t>
      </w:r>
    </w:p>
    <w:p w14:paraId="0C2782B4">
      <w:pPr>
        <w:spacing w:before="180" w:line="359" w:lineRule="auto"/>
        <w:ind w:left="2" w:firstLine="479"/>
        <w:rPr>
          <w:rFonts w:ascii="宋体" w:hAnsi="宋体" w:eastAsia="宋体" w:cs="宋体"/>
          <w:color w:val="auto"/>
          <w:sz w:val="22"/>
          <w:szCs w:val="22"/>
          <w:highlight w:val="none"/>
        </w:rPr>
      </w:pPr>
      <w:r>
        <w:rPr>
          <w:rFonts w:ascii="宋体" w:hAnsi="宋体" w:eastAsia="宋体" w:cs="宋体"/>
          <w:color w:val="auto"/>
          <w:spacing w:val="5"/>
          <w:sz w:val="22"/>
          <w:szCs w:val="22"/>
          <w:highlight w:val="none"/>
        </w:rPr>
        <w:t>a． 组织交工验收前的水保工作内容初验，审查施工单位水保遗留问题的处理方</w:t>
      </w:r>
      <w:r>
        <w:rPr>
          <w:rFonts w:ascii="宋体" w:hAnsi="宋体" w:eastAsia="宋体" w:cs="宋体"/>
          <w:color w:val="auto"/>
          <w:spacing w:val="-1"/>
          <w:sz w:val="22"/>
          <w:szCs w:val="22"/>
          <w:highlight w:val="none"/>
        </w:rPr>
        <w:t>案和实施计划，并督促落实。b. 整理水保监理资料，并归档。</w:t>
      </w:r>
    </w:p>
    <w:p w14:paraId="552ACB60">
      <w:pPr>
        <w:spacing w:before="1" w:line="219" w:lineRule="auto"/>
        <w:ind w:left="523"/>
        <w:rPr>
          <w:rFonts w:ascii="宋体" w:hAnsi="宋体" w:eastAsia="宋体" w:cs="宋体"/>
          <w:color w:val="auto"/>
          <w:sz w:val="22"/>
          <w:szCs w:val="22"/>
          <w:highlight w:val="none"/>
        </w:rPr>
      </w:pPr>
      <w:r>
        <w:rPr>
          <w:rFonts w:ascii="宋体" w:hAnsi="宋体" w:eastAsia="宋体" w:cs="宋体"/>
          <w:color w:val="auto"/>
          <w:spacing w:val="-2"/>
          <w:sz w:val="22"/>
          <w:szCs w:val="22"/>
          <w:highlight w:val="none"/>
        </w:rPr>
        <w:t>(2) 交(竣)工验收及缺陷责任期内水保监理的工作内容。</w:t>
      </w:r>
    </w:p>
    <w:p w14:paraId="05657DCB">
      <w:pPr>
        <w:spacing w:before="183" w:line="359" w:lineRule="auto"/>
        <w:ind w:firstLine="481"/>
        <w:rPr>
          <w:rFonts w:ascii="宋体" w:hAnsi="宋体" w:eastAsia="宋体" w:cs="宋体"/>
          <w:color w:val="auto"/>
          <w:sz w:val="22"/>
          <w:szCs w:val="22"/>
          <w:highlight w:val="none"/>
        </w:rPr>
      </w:pPr>
      <w:r>
        <w:rPr>
          <w:rFonts w:ascii="宋体" w:hAnsi="宋体" w:eastAsia="宋体" w:cs="宋体"/>
          <w:color w:val="auto"/>
          <w:spacing w:val="5"/>
          <w:sz w:val="22"/>
          <w:szCs w:val="22"/>
          <w:highlight w:val="none"/>
        </w:rPr>
        <w:t>a 定期检查现场水保缺陷问题，审查施工单位水保缺陷问题的处理方案和实施计</w:t>
      </w:r>
      <w:r>
        <w:rPr>
          <w:rFonts w:ascii="宋体" w:hAnsi="宋体" w:eastAsia="宋体" w:cs="宋体"/>
          <w:color w:val="auto"/>
          <w:spacing w:val="-2"/>
          <w:sz w:val="22"/>
          <w:szCs w:val="22"/>
          <w:highlight w:val="none"/>
        </w:rPr>
        <w:t>划，并督促落实。</w:t>
      </w:r>
    </w:p>
    <w:p w14:paraId="54C18AA5">
      <w:pPr>
        <w:spacing w:line="219" w:lineRule="auto"/>
        <w:ind w:left="477"/>
        <w:rPr>
          <w:rFonts w:ascii="宋体" w:hAnsi="宋体" w:eastAsia="宋体" w:cs="宋体"/>
          <w:color w:val="auto"/>
          <w:sz w:val="22"/>
          <w:szCs w:val="22"/>
          <w:highlight w:val="none"/>
        </w:rPr>
      </w:pPr>
      <w:r>
        <w:rPr>
          <w:rFonts w:ascii="宋体" w:hAnsi="宋体" w:eastAsia="宋体" w:cs="宋体"/>
          <w:color w:val="auto"/>
          <w:spacing w:val="-1"/>
          <w:sz w:val="22"/>
          <w:szCs w:val="22"/>
          <w:highlight w:val="none"/>
        </w:rPr>
        <w:t>b</w:t>
      </w:r>
      <w:r>
        <w:rPr>
          <w:rFonts w:ascii="宋体" w:hAnsi="宋体" w:eastAsia="宋体" w:cs="宋体"/>
          <w:color w:val="auto"/>
          <w:spacing w:val="-47"/>
          <w:sz w:val="22"/>
          <w:szCs w:val="22"/>
          <w:highlight w:val="none"/>
        </w:rPr>
        <w:t xml:space="preserve"> </w:t>
      </w:r>
      <w:r>
        <w:rPr>
          <w:rFonts w:ascii="宋体" w:hAnsi="宋体" w:eastAsia="宋体" w:cs="宋体"/>
          <w:color w:val="auto"/>
          <w:spacing w:val="-1"/>
          <w:sz w:val="22"/>
          <w:szCs w:val="22"/>
          <w:highlight w:val="none"/>
        </w:rPr>
        <w:t>对项目水保修复工程的施工进行现场监理。</w:t>
      </w:r>
    </w:p>
    <w:p w14:paraId="18905E54">
      <w:pPr>
        <w:spacing w:before="183" w:line="288" w:lineRule="auto"/>
        <w:ind w:left="1" w:firstLine="483"/>
        <w:rPr>
          <w:rFonts w:ascii="宋体" w:hAnsi="宋体" w:eastAsia="宋体" w:cs="宋体"/>
          <w:color w:val="auto"/>
          <w:sz w:val="22"/>
          <w:szCs w:val="22"/>
          <w:highlight w:val="none"/>
        </w:rPr>
      </w:pPr>
      <w:r>
        <w:rPr>
          <w:rFonts w:ascii="宋体" w:hAnsi="宋体" w:eastAsia="宋体" w:cs="宋体"/>
          <w:color w:val="auto"/>
          <w:spacing w:val="-1"/>
          <w:sz w:val="22"/>
          <w:szCs w:val="22"/>
          <w:highlight w:val="none"/>
        </w:rPr>
        <w:t>c</w:t>
      </w:r>
      <w:r>
        <w:rPr>
          <w:rFonts w:ascii="宋体" w:hAnsi="宋体" w:eastAsia="宋体" w:cs="宋体"/>
          <w:color w:val="auto"/>
          <w:spacing w:val="-28"/>
          <w:sz w:val="22"/>
          <w:szCs w:val="22"/>
          <w:highlight w:val="none"/>
        </w:rPr>
        <w:t xml:space="preserve"> </w:t>
      </w:r>
      <w:r>
        <w:rPr>
          <w:rFonts w:ascii="宋体" w:hAnsi="宋体" w:eastAsia="宋体" w:cs="宋体"/>
          <w:color w:val="auto"/>
          <w:spacing w:val="-1"/>
          <w:sz w:val="22"/>
          <w:szCs w:val="22"/>
          <w:highlight w:val="none"/>
        </w:rPr>
        <w:t>督促各施工单位按合同及有关规定完成水保竣工资料的整理、归档，编写水保工</w:t>
      </w:r>
      <w:r>
        <w:rPr>
          <w:rFonts w:ascii="宋体" w:hAnsi="宋体" w:eastAsia="宋体" w:cs="宋体"/>
          <w:color w:val="auto"/>
          <w:spacing w:val="-2"/>
          <w:sz w:val="22"/>
          <w:szCs w:val="22"/>
          <w:highlight w:val="none"/>
        </w:rPr>
        <w:t>作总结报告。</w:t>
      </w:r>
    </w:p>
    <w:p w14:paraId="68874F2E">
      <w:pPr>
        <w:spacing w:before="185" w:line="218" w:lineRule="auto"/>
        <w:ind w:left="485"/>
        <w:rPr>
          <w:rFonts w:ascii="宋体" w:hAnsi="宋体" w:eastAsia="宋体" w:cs="宋体"/>
          <w:color w:val="auto"/>
          <w:sz w:val="22"/>
          <w:szCs w:val="22"/>
          <w:highlight w:val="none"/>
        </w:rPr>
      </w:pPr>
      <w:r>
        <w:rPr>
          <w:rFonts w:ascii="宋体" w:hAnsi="宋体" w:eastAsia="宋体" w:cs="宋体"/>
          <w:color w:val="auto"/>
          <w:spacing w:val="-1"/>
          <w:sz w:val="22"/>
          <w:szCs w:val="22"/>
          <w:highlight w:val="none"/>
        </w:rPr>
        <w:t>d</w:t>
      </w:r>
      <w:r>
        <w:rPr>
          <w:rFonts w:ascii="宋体" w:hAnsi="宋体" w:eastAsia="宋体" w:cs="宋体"/>
          <w:color w:val="auto"/>
          <w:spacing w:val="-47"/>
          <w:sz w:val="22"/>
          <w:szCs w:val="22"/>
          <w:highlight w:val="none"/>
        </w:rPr>
        <w:t xml:space="preserve"> </w:t>
      </w:r>
      <w:r>
        <w:rPr>
          <w:rFonts w:ascii="宋体" w:hAnsi="宋体" w:eastAsia="宋体" w:cs="宋体"/>
          <w:color w:val="auto"/>
          <w:spacing w:val="-1"/>
          <w:sz w:val="22"/>
          <w:szCs w:val="22"/>
          <w:highlight w:val="none"/>
        </w:rPr>
        <w:t>整理和完善水保监理竣工资料，并编写水保监理工作总结报告。</w:t>
      </w:r>
    </w:p>
    <w:p w14:paraId="2DA7D2DE">
      <w:pPr>
        <w:spacing w:before="182" w:line="219" w:lineRule="auto"/>
        <w:ind w:left="486"/>
        <w:rPr>
          <w:rFonts w:ascii="宋体" w:hAnsi="宋体" w:eastAsia="宋体" w:cs="宋体"/>
          <w:color w:val="auto"/>
          <w:sz w:val="22"/>
          <w:szCs w:val="22"/>
          <w:highlight w:val="none"/>
        </w:rPr>
      </w:pPr>
      <w:r>
        <w:rPr>
          <w:rFonts w:ascii="宋体" w:hAnsi="宋体" w:eastAsia="宋体" w:cs="宋体"/>
          <w:color w:val="auto"/>
          <w:spacing w:val="-3"/>
          <w:sz w:val="22"/>
          <w:szCs w:val="22"/>
          <w:highlight w:val="none"/>
        </w:rPr>
        <w:t>e</w:t>
      </w:r>
      <w:r>
        <w:rPr>
          <w:rFonts w:ascii="宋体" w:hAnsi="宋体" w:eastAsia="宋体" w:cs="宋体"/>
          <w:color w:val="auto"/>
          <w:spacing w:val="-47"/>
          <w:sz w:val="22"/>
          <w:szCs w:val="22"/>
          <w:highlight w:val="none"/>
        </w:rPr>
        <w:t xml:space="preserve"> </w:t>
      </w:r>
      <w:r>
        <w:rPr>
          <w:rFonts w:ascii="宋体" w:hAnsi="宋体" w:eastAsia="宋体" w:cs="宋体"/>
          <w:color w:val="auto"/>
          <w:spacing w:val="-3"/>
          <w:sz w:val="22"/>
          <w:szCs w:val="22"/>
          <w:highlight w:val="none"/>
        </w:rPr>
        <w:t>协助竣工水保验收。</w:t>
      </w:r>
    </w:p>
    <w:p w14:paraId="582641DE">
      <w:pPr>
        <w:spacing w:before="181" w:line="360" w:lineRule="auto"/>
        <w:ind w:firstLine="483"/>
        <w:rPr>
          <w:rFonts w:ascii="宋体" w:hAnsi="宋体" w:eastAsia="宋体" w:cs="宋体"/>
          <w:color w:val="auto"/>
          <w:sz w:val="22"/>
          <w:szCs w:val="22"/>
          <w:highlight w:val="none"/>
        </w:rPr>
      </w:pPr>
      <w:r>
        <w:rPr>
          <w:rFonts w:ascii="宋体" w:hAnsi="宋体" w:eastAsia="宋体" w:cs="宋体"/>
          <w:color w:val="auto"/>
          <w:sz w:val="22"/>
          <w:szCs w:val="22"/>
          <w:highlight w:val="none"/>
        </w:rPr>
        <w:t>f</w:t>
      </w:r>
      <w:r>
        <w:rPr>
          <w:rFonts w:ascii="宋体" w:hAnsi="宋体" w:eastAsia="宋体" w:cs="宋体"/>
          <w:color w:val="auto"/>
          <w:spacing w:val="-51"/>
          <w:sz w:val="22"/>
          <w:szCs w:val="22"/>
          <w:highlight w:val="none"/>
        </w:rPr>
        <w:t xml:space="preserve"> </w:t>
      </w:r>
      <w:r>
        <w:rPr>
          <w:rFonts w:ascii="宋体" w:hAnsi="宋体" w:eastAsia="宋体" w:cs="宋体"/>
          <w:color w:val="auto"/>
          <w:sz w:val="22"/>
          <w:szCs w:val="22"/>
          <w:highlight w:val="none"/>
        </w:rPr>
        <w:t>缺陷责任期内环水保监测、水保验收工作由委托人承</w:t>
      </w:r>
      <w:r>
        <w:rPr>
          <w:rFonts w:ascii="宋体" w:hAnsi="宋体" w:eastAsia="宋体" w:cs="宋体"/>
          <w:color w:val="auto"/>
          <w:spacing w:val="-1"/>
          <w:sz w:val="22"/>
          <w:szCs w:val="22"/>
          <w:highlight w:val="none"/>
        </w:rPr>
        <w:t>担，总监办协助委托人做好</w:t>
      </w:r>
      <w:r>
        <w:rPr>
          <w:rFonts w:ascii="宋体" w:hAnsi="宋体" w:eastAsia="宋体" w:cs="宋体"/>
          <w:color w:val="auto"/>
          <w:spacing w:val="-2"/>
          <w:sz w:val="22"/>
          <w:szCs w:val="22"/>
          <w:highlight w:val="none"/>
        </w:rPr>
        <w:t>相关工作。</w:t>
      </w:r>
    </w:p>
    <w:p w14:paraId="7E0A155D">
      <w:pPr>
        <w:spacing w:line="359" w:lineRule="auto"/>
        <w:ind w:firstLine="498"/>
        <w:jc w:val="both"/>
        <w:rPr>
          <w:rFonts w:ascii="宋体" w:hAnsi="宋体" w:eastAsia="宋体" w:cs="宋体"/>
          <w:color w:val="auto"/>
          <w:sz w:val="22"/>
          <w:szCs w:val="22"/>
          <w:highlight w:val="none"/>
        </w:rPr>
      </w:pPr>
      <w:r>
        <w:rPr>
          <w:rFonts w:ascii="宋体" w:hAnsi="宋体" w:eastAsia="宋体" w:cs="宋体"/>
          <w:b/>
          <w:bCs/>
          <w:color w:val="auto"/>
          <w:spacing w:val="2"/>
          <w:sz w:val="22"/>
          <w:szCs w:val="22"/>
          <w:highlight w:val="none"/>
        </w:rPr>
        <w:t>13.3</w:t>
      </w:r>
      <w:r>
        <w:rPr>
          <w:rFonts w:ascii="宋体" w:hAnsi="宋体" w:eastAsia="宋体" w:cs="宋体"/>
          <w:color w:val="auto"/>
          <w:spacing w:val="-41"/>
          <w:sz w:val="22"/>
          <w:szCs w:val="22"/>
          <w:highlight w:val="none"/>
        </w:rPr>
        <w:t xml:space="preserve"> </w:t>
      </w:r>
      <w:r>
        <w:rPr>
          <w:rFonts w:ascii="宋体" w:hAnsi="宋体" w:eastAsia="宋体" w:cs="宋体"/>
          <w:color w:val="auto"/>
          <w:spacing w:val="2"/>
          <w:sz w:val="22"/>
          <w:szCs w:val="22"/>
          <w:highlight w:val="none"/>
        </w:rPr>
        <w:t>为在项目交工验收后及时完成项目竣工环境保护验收工作，各监理人应负责</w:t>
      </w:r>
      <w:r>
        <w:rPr>
          <w:rFonts w:ascii="宋体" w:hAnsi="宋体" w:eastAsia="宋体" w:cs="宋体"/>
          <w:color w:val="auto"/>
          <w:spacing w:val="5"/>
          <w:sz w:val="22"/>
          <w:szCs w:val="22"/>
          <w:highlight w:val="none"/>
        </w:rPr>
        <w:t>协调、配合环境保护验收监测（调查）报告编制单位开展相关工作，并且按环</w:t>
      </w:r>
      <w:r>
        <w:rPr>
          <w:rFonts w:ascii="宋体" w:hAnsi="宋体" w:eastAsia="宋体" w:cs="宋体"/>
          <w:color w:val="auto"/>
          <w:spacing w:val="4"/>
          <w:sz w:val="22"/>
          <w:szCs w:val="22"/>
          <w:highlight w:val="none"/>
        </w:rPr>
        <w:t>境保护</w:t>
      </w:r>
      <w:r>
        <w:rPr>
          <w:rFonts w:ascii="宋体" w:hAnsi="宋体" w:eastAsia="宋体" w:cs="宋体"/>
          <w:color w:val="auto"/>
          <w:spacing w:val="5"/>
          <w:sz w:val="22"/>
          <w:szCs w:val="22"/>
          <w:highlight w:val="none"/>
        </w:rPr>
        <w:t>验收监测（调查）报告单位提交的保护方案安排相关的环境监理工作。环保监</w:t>
      </w:r>
      <w:r>
        <w:rPr>
          <w:rFonts w:ascii="宋体" w:hAnsi="宋体" w:eastAsia="宋体" w:cs="宋体"/>
          <w:color w:val="auto"/>
          <w:spacing w:val="4"/>
          <w:sz w:val="22"/>
          <w:szCs w:val="22"/>
          <w:highlight w:val="none"/>
        </w:rPr>
        <w:t>理具体</w:t>
      </w:r>
      <w:r>
        <w:rPr>
          <w:rFonts w:ascii="宋体" w:hAnsi="宋体" w:eastAsia="宋体" w:cs="宋体"/>
          <w:color w:val="auto"/>
          <w:spacing w:val="-3"/>
          <w:sz w:val="22"/>
          <w:szCs w:val="22"/>
          <w:highlight w:val="none"/>
        </w:rPr>
        <w:t>工作为：</w:t>
      </w:r>
    </w:p>
    <w:p w14:paraId="2DC3F2C9">
      <w:pPr>
        <w:spacing w:line="220" w:lineRule="auto"/>
        <w:ind w:left="491"/>
        <w:rPr>
          <w:rFonts w:ascii="宋体" w:hAnsi="宋体" w:eastAsia="宋体" w:cs="宋体"/>
          <w:color w:val="auto"/>
          <w:sz w:val="22"/>
          <w:szCs w:val="22"/>
          <w:highlight w:val="none"/>
        </w:rPr>
      </w:pPr>
      <w:r>
        <w:rPr>
          <w:rFonts w:ascii="宋体" w:hAnsi="宋体" w:eastAsia="宋体" w:cs="宋体"/>
          <w:b/>
          <w:bCs/>
          <w:color w:val="auto"/>
          <w:spacing w:val="-4"/>
          <w:sz w:val="22"/>
          <w:szCs w:val="22"/>
          <w:highlight w:val="none"/>
        </w:rPr>
        <w:t>13.3.1</w:t>
      </w:r>
      <w:r>
        <w:rPr>
          <w:rFonts w:ascii="宋体" w:hAnsi="宋体" w:eastAsia="宋体" w:cs="宋体"/>
          <w:color w:val="auto"/>
          <w:spacing w:val="-38"/>
          <w:sz w:val="22"/>
          <w:szCs w:val="22"/>
          <w:highlight w:val="none"/>
        </w:rPr>
        <w:t xml:space="preserve"> </w:t>
      </w:r>
      <w:r>
        <w:rPr>
          <w:rFonts w:ascii="宋体" w:hAnsi="宋体" w:eastAsia="宋体" w:cs="宋体"/>
          <w:b/>
          <w:bCs/>
          <w:color w:val="auto"/>
          <w:spacing w:val="-4"/>
          <w:sz w:val="22"/>
          <w:szCs w:val="22"/>
          <w:highlight w:val="none"/>
        </w:rPr>
        <w:t>施工准备阶段的环境保护监理工作</w:t>
      </w:r>
    </w:p>
    <w:p w14:paraId="002BE397">
      <w:pPr>
        <w:spacing w:before="183" w:line="219" w:lineRule="auto"/>
        <w:ind w:left="523"/>
        <w:rPr>
          <w:rFonts w:ascii="宋体" w:hAnsi="宋体" w:eastAsia="宋体" w:cs="宋体"/>
          <w:color w:val="auto"/>
          <w:sz w:val="22"/>
          <w:szCs w:val="22"/>
          <w:highlight w:val="none"/>
        </w:rPr>
      </w:pPr>
      <w:r>
        <w:rPr>
          <w:rFonts w:ascii="宋体" w:hAnsi="宋体" w:eastAsia="宋体" w:cs="宋体"/>
          <w:color w:val="auto"/>
          <w:spacing w:val="-3"/>
          <w:sz w:val="22"/>
          <w:szCs w:val="22"/>
          <w:highlight w:val="none"/>
        </w:rPr>
        <w:t>(1)成立环保监理领导小组，明确职责分工。</w:t>
      </w:r>
    </w:p>
    <w:p w14:paraId="529C29A1">
      <w:pPr>
        <w:spacing w:before="180" w:line="218" w:lineRule="auto"/>
        <w:ind w:left="523"/>
        <w:rPr>
          <w:rFonts w:ascii="宋体" w:hAnsi="宋体" w:eastAsia="宋体" w:cs="宋体"/>
          <w:color w:val="auto"/>
          <w:sz w:val="22"/>
          <w:szCs w:val="22"/>
          <w:highlight w:val="none"/>
        </w:rPr>
      </w:pPr>
      <w:r>
        <w:rPr>
          <w:rFonts w:ascii="宋体" w:hAnsi="宋体" w:eastAsia="宋体" w:cs="宋体"/>
          <w:color w:val="auto"/>
          <w:spacing w:val="-2"/>
          <w:sz w:val="22"/>
          <w:szCs w:val="22"/>
          <w:highlight w:val="none"/>
        </w:rPr>
        <w:t>(2)熟悉环评报告和设计文件，掌握工程</w:t>
      </w:r>
      <w:r>
        <w:rPr>
          <w:rFonts w:ascii="宋体" w:hAnsi="宋体" w:eastAsia="宋体" w:cs="宋体"/>
          <w:color w:val="auto"/>
          <w:spacing w:val="-3"/>
          <w:sz w:val="22"/>
          <w:szCs w:val="22"/>
          <w:highlight w:val="none"/>
        </w:rPr>
        <w:t>整体情况。</w:t>
      </w:r>
    </w:p>
    <w:p w14:paraId="6F9687B7">
      <w:pPr>
        <w:spacing w:before="183" w:line="289" w:lineRule="auto"/>
        <w:ind w:left="13" w:firstLine="510"/>
        <w:rPr>
          <w:rFonts w:ascii="宋体" w:hAnsi="宋体" w:eastAsia="宋体" w:cs="宋体"/>
          <w:color w:val="auto"/>
          <w:sz w:val="22"/>
          <w:szCs w:val="22"/>
          <w:highlight w:val="none"/>
        </w:rPr>
      </w:pPr>
      <w:r>
        <w:rPr>
          <w:rFonts w:ascii="宋体" w:hAnsi="宋体" w:eastAsia="宋体" w:cs="宋体"/>
          <w:color w:val="auto"/>
          <w:spacing w:val="1"/>
          <w:sz w:val="22"/>
          <w:szCs w:val="22"/>
          <w:highlight w:val="none"/>
        </w:rPr>
        <w:t>(3)对照设计文件、环境影响评价文件，</w:t>
      </w:r>
      <w:r>
        <w:rPr>
          <w:rFonts w:ascii="宋体" w:hAnsi="宋体" w:eastAsia="宋体" w:cs="宋体"/>
          <w:color w:val="auto"/>
          <w:sz w:val="22"/>
          <w:szCs w:val="22"/>
          <w:highlight w:val="none"/>
        </w:rPr>
        <w:t>调查和了解工程附近环境保护目标和敏感</w:t>
      </w:r>
      <w:r>
        <w:rPr>
          <w:rFonts w:ascii="宋体" w:hAnsi="宋体" w:eastAsia="宋体" w:cs="宋体"/>
          <w:color w:val="auto"/>
          <w:spacing w:val="-4"/>
          <w:sz w:val="22"/>
          <w:szCs w:val="22"/>
          <w:highlight w:val="none"/>
        </w:rPr>
        <w:t>点的分布情况。</w:t>
      </w:r>
    </w:p>
    <w:p w14:paraId="660C389B">
      <w:pPr>
        <w:spacing w:before="182" w:line="290" w:lineRule="auto"/>
        <w:ind w:left="2" w:firstLine="520"/>
        <w:rPr>
          <w:rFonts w:ascii="宋体" w:hAnsi="宋体" w:eastAsia="宋体" w:cs="宋体"/>
          <w:color w:val="auto"/>
          <w:sz w:val="22"/>
          <w:szCs w:val="22"/>
          <w:highlight w:val="none"/>
        </w:rPr>
      </w:pPr>
      <w:r>
        <w:rPr>
          <w:rFonts w:ascii="宋体" w:hAnsi="宋体" w:eastAsia="宋体" w:cs="宋体"/>
          <w:color w:val="auto"/>
          <w:spacing w:val="1"/>
          <w:sz w:val="22"/>
          <w:szCs w:val="22"/>
          <w:highlight w:val="none"/>
        </w:rPr>
        <w:t>(4)初步审查承包人提交的临时工程设计</w:t>
      </w:r>
      <w:r>
        <w:rPr>
          <w:rFonts w:ascii="宋体" w:hAnsi="宋体" w:eastAsia="宋体" w:cs="宋体"/>
          <w:color w:val="auto"/>
          <w:sz w:val="22"/>
          <w:szCs w:val="22"/>
          <w:highlight w:val="none"/>
        </w:rPr>
        <w:t>文件中的环境保护措施和方案，提交委托</w:t>
      </w:r>
      <w:r>
        <w:rPr>
          <w:rFonts w:ascii="宋体" w:hAnsi="宋体" w:eastAsia="宋体" w:cs="宋体"/>
          <w:color w:val="auto"/>
          <w:spacing w:val="-2"/>
          <w:sz w:val="22"/>
          <w:szCs w:val="22"/>
          <w:highlight w:val="none"/>
        </w:rPr>
        <w:t>人组织审查。</w:t>
      </w:r>
    </w:p>
    <w:p w14:paraId="66A97698">
      <w:pPr>
        <w:spacing w:line="290" w:lineRule="auto"/>
        <w:rPr>
          <w:rFonts w:ascii="宋体" w:hAnsi="宋体" w:eastAsia="宋体" w:cs="宋体"/>
          <w:color w:val="auto"/>
          <w:sz w:val="22"/>
          <w:szCs w:val="22"/>
          <w:highlight w:val="none"/>
        </w:rPr>
        <w:sectPr>
          <w:footerReference r:id="rId66" w:type="default"/>
          <w:pgSz w:w="11906" w:h="16839"/>
          <w:pgMar w:top="1405" w:right="1418" w:bottom="1297" w:left="1424" w:header="0" w:footer="1069" w:gutter="0"/>
          <w:pgNumType w:fmt="decimal"/>
          <w:cols w:space="720" w:num="1"/>
        </w:sectPr>
      </w:pPr>
    </w:p>
    <w:p w14:paraId="2CB73014">
      <w:pPr>
        <w:spacing w:before="48" w:line="219" w:lineRule="auto"/>
        <w:ind w:left="523"/>
        <w:rPr>
          <w:rFonts w:ascii="宋体" w:hAnsi="宋体" w:eastAsia="宋体" w:cs="宋体"/>
          <w:color w:val="auto"/>
          <w:sz w:val="22"/>
          <w:szCs w:val="22"/>
          <w:highlight w:val="none"/>
        </w:rPr>
      </w:pPr>
      <w:r>
        <w:rPr>
          <w:rFonts w:ascii="宋体" w:hAnsi="宋体" w:eastAsia="宋体" w:cs="宋体"/>
          <w:color w:val="auto"/>
          <w:spacing w:val="-2"/>
          <w:sz w:val="22"/>
          <w:szCs w:val="22"/>
          <w:highlight w:val="none"/>
        </w:rPr>
        <w:t>(5)编制施工环境保护监理计划和各单位工程的环境保护监理实施细则。</w:t>
      </w:r>
    </w:p>
    <w:p w14:paraId="74445B8E">
      <w:pPr>
        <w:spacing w:before="179" w:line="219" w:lineRule="auto"/>
        <w:ind w:left="523"/>
        <w:rPr>
          <w:rFonts w:ascii="宋体" w:hAnsi="宋体" w:eastAsia="宋体" w:cs="宋体"/>
          <w:color w:val="auto"/>
          <w:sz w:val="22"/>
          <w:szCs w:val="22"/>
          <w:highlight w:val="none"/>
        </w:rPr>
      </w:pPr>
      <w:r>
        <w:rPr>
          <w:rFonts w:ascii="宋体" w:hAnsi="宋体" w:eastAsia="宋体" w:cs="宋体"/>
          <w:color w:val="auto"/>
          <w:spacing w:val="-3"/>
          <w:sz w:val="22"/>
          <w:szCs w:val="22"/>
          <w:highlight w:val="none"/>
        </w:rPr>
        <w:t>(6)督促施工单位建立环境保护管理体系。</w:t>
      </w:r>
    </w:p>
    <w:p w14:paraId="502282A2">
      <w:pPr>
        <w:spacing w:before="184" w:line="219" w:lineRule="auto"/>
        <w:ind w:left="523"/>
        <w:rPr>
          <w:rFonts w:ascii="宋体" w:hAnsi="宋体" w:eastAsia="宋体" w:cs="宋体"/>
          <w:color w:val="auto"/>
          <w:sz w:val="22"/>
          <w:szCs w:val="22"/>
          <w:highlight w:val="none"/>
        </w:rPr>
      </w:pPr>
      <w:r>
        <w:rPr>
          <w:rFonts w:ascii="宋体" w:hAnsi="宋体" w:eastAsia="宋体" w:cs="宋体"/>
          <w:color w:val="auto"/>
          <w:spacing w:val="-2"/>
          <w:sz w:val="22"/>
          <w:szCs w:val="22"/>
          <w:highlight w:val="none"/>
        </w:rPr>
        <w:t>(7)审查承包人编制的《施工组织设计》中施工污染防治方案。</w:t>
      </w:r>
    </w:p>
    <w:p w14:paraId="073F8DD7">
      <w:pPr>
        <w:spacing w:before="180" w:line="220" w:lineRule="auto"/>
        <w:ind w:left="498"/>
        <w:rPr>
          <w:rFonts w:ascii="宋体" w:hAnsi="宋体" w:eastAsia="宋体" w:cs="宋体"/>
          <w:color w:val="auto"/>
          <w:sz w:val="22"/>
          <w:szCs w:val="22"/>
          <w:highlight w:val="none"/>
        </w:rPr>
      </w:pPr>
      <w:r>
        <w:rPr>
          <w:rFonts w:ascii="宋体" w:hAnsi="宋体" w:eastAsia="宋体" w:cs="宋体"/>
          <w:b/>
          <w:bCs/>
          <w:color w:val="auto"/>
          <w:spacing w:val="-3"/>
          <w:sz w:val="22"/>
          <w:szCs w:val="22"/>
          <w:highlight w:val="none"/>
        </w:rPr>
        <w:t>13.3.2</w:t>
      </w:r>
      <w:r>
        <w:rPr>
          <w:rFonts w:ascii="宋体" w:hAnsi="宋体" w:eastAsia="宋体" w:cs="宋体"/>
          <w:color w:val="auto"/>
          <w:spacing w:val="-3"/>
          <w:sz w:val="22"/>
          <w:szCs w:val="22"/>
          <w:highlight w:val="none"/>
        </w:rPr>
        <w:t xml:space="preserve"> </w:t>
      </w:r>
      <w:r>
        <w:rPr>
          <w:rFonts w:ascii="宋体" w:hAnsi="宋体" w:eastAsia="宋体" w:cs="宋体"/>
          <w:b/>
          <w:bCs/>
          <w:color w:val="auto"/>
          <w:spacing w:val="-3"/>
          <w:sz w:val="22"/>
          <w:szCs w:val="22"/>
          <w:highlight w:val="none"/>
        </w:rPr>
        <w:t>施工阶段的环境保护监理工作</w:t>
      </w:r>
    </w:p>
    <w:p w14:paraId="1993E781">
      <w:pPr>
        <w:spacing w:before="182" w:line="219" w:lineRule="auto"/>
        <w:ind w:left="523"/>
        <w:rPr>
          <w:rFonts w:ascii="宋体" w:hAnsi="宋体" w:eastAsia="宋体" w:cs="宋体"/>
          <w:color w:val="auto"/>
          <w:sz w:val="22"/>
          <w:szCs w:val="22"/>
          <w:highlight w:val="none"/>
        </w:rPr>
      </w:pPr>
      <w:r>
        <w:rPr>
          <w:rFonts w:ascii="宋体" w:hAnsi="宋体" w:eastAsia="宋体" w:cs="宋体"/>
          <w:color w:val="auto"/>
          <w:spacing w:val="-5"/>
          <w:sz w:val="22"/>
          <w:szCs w:val="22"/>
          <w:highlight w:val="none"/>
        </w:rPr>
        <w:t>(1)环保监理巡视和检查</w:t>
      </w:r>
    </w:p>
    <w:p w14:paraId="7A1A388B">
      <w:pPr>
        <w:spacing w:before="183" w:line="359" w:lineRule="auto"/>
        <w:ind w:firstLine="480"/>
        <w:rPr>
          <w:rFonts w:ascii="宋体" w:hAnsi="宋体" w:eastAsia="宋体" w:cs="宋体"/>
          <w:color w:val="auto"/>
          <w:sz w:val="22"/>
          <w:szCs w:val="22"/>
          <w:highlight w:val="none"/>
        </w:rPr>
      </w:pPr>
      <w:r>
        <w:rPr>
          <w:rFonts w:ascii="宋体" w:hAnsi="宋体" w:eastAsia="宋体" w:cs="宋体"/>
          <w:color w:val="auto"/>
          <w:spacing w:val="5"/>
          <w:sz w:val="22"/>
          <w:szCs w:val="22"/>
          <w:highlight w:val="none"/>
        </w:rPr>
        <w:t>监理工程师在巡视、旁站中，应随时检查施工单位制订的环境保护措施的落实情</w:t>
      </w:r>
      <w:r>
        <w:rPr>
          <w:rFonts w:ascii="宋体" w:hAnsi="宋体" w:eastAsia="宋体" w:cs="宋体"/>
          <w:color w:val="auto"/>
          <w:spacing w:val="2"/>
          <w:sz w:val="22"/>
          <w:szCs w:val="22"/>
          <w:highlight w:val="none"/>
        </w:rPr>
        <w:t>况，检查的主要内容有：a. 施工环境保</w:t>
      </w:r>
      <w:r>
        <w:rPr>
          <w:rFonts w:ascii="宋体" w:hAnsi="宋体" w:eastAsia="宋体" w:cs="宋体"/>
          <w:color w:val="auto"/>
          <w:spacing w:val="1"/>
          <w:sz w:val="22"/>
          <w:szCs w:val="22"/>
          <w:highlight w:val="none"/>
        </w:rPr>
        <w:t>护体系；b. 环保教育；c. 施工场地的布设是</w:t>
      </w:r>
      <w:r>
        <w:rPr>
          <w:rFonts w:ascii="宋体" w:hAnsi="宋体" w:eastAsia="宋体" w:cs="宋体"/>
          <w:color w:val="auto"/>
          <w:spacing w:val="2"/>
          <w:sz w:val="22"/>
          <w:szCs w:val="22"/>
          <w:highlight w:val="none"/>
        </w:rPr>
        <w:t>否符合相关环保要求；d. 职业危害的防护措施是否健全；e</w:t>
      </w:r>
      <w:r>
        <w:rPr>
          <w:rFonts w:ascii="宋体" w:hAnsi="宋体" w:eastAsia="宋体" w:cs="宋体"/>
          <w:color w:val="auto"/>
          <w:spacing w:val="1"/>
          <w:sz w:val="22"/>
          <w:szCs w:val="22"/>
          <w:highlight w:val="none"/>
        </w:rPr>
        <w:t>. 施工现场(含临时便道、</w:t>
      </w:r>
      <w:r>
        <w:rPr>
          <w:rFonts w:ascii="宋体" w:hAnsi="宋体" w:eastAsia="宋体" w:cs="宋体"/>
          <w:color w:val="auto"/>
          <w:spacing w:val="2"/>
          <w:sz w:val="22"/>
          <w:szCs w:val="22"/>
          <w:highlight w:val="none"/>
        </w:rPr>
        <w:t>拌和站、预制场等)和料场等是否洒水防尘；</w:t>
      </w:r>
      <w:r>
        <w:rPr>
          <w:rFonts w:ascii="宋体" w:hAnsi="宋体" w:eastAsia="宋体" w:cs="宋体"/>
          <w:color w:val="auto"/>
          <w:spacing w:val="1"/>
          <w:sz w:val="22"/>
          <w:szCs w:val="22"/>
          <w:highlight w:val="none"/>
        </w:rPr>
        <w:t>f. 是否按有关要求采取降噪措施；g. 材</w:t>
      </w:r>
      <w:r>
        <w:rPr>
          <w:rFonts w:ascii="宋体" w:hAnsi="宋体" w:eastAsia="宋体" w:cs="宋体"/>
          <w:color w:val="auto"/>
          <w:spacing w:val="5"/>
          <w:sz w:val="22"/>
          <w:szCs w:val="22"/>
          <w:highlight w:val="none"/>
        </w:rPr>
        <w:t>料堆场设置环境的合理性及采取措施减少运输漏洒情况；h.施工</w:t>
      </w:r>
      <w:r>
        <w:rPr>
          <w:rFonts w:ascii="宋体" w:hAnsi="宋体" w:eastAsia="宋体" w:cs="宋体"/>
          <w:color w:val="auto"/>
          <w:spacing w:val="4"/>
          <w:sz w:val="22"/>
          <w:szCs w:val="22"/>
          <w:highlight w:val="none"/>
        </w:rPr>
        <w:t>废水、渣土、生活污</w:t>
      </w:r>
      <w:r>
        <w:rPr>
          <w:rFonts w:ascii="宋体" w:hAnsi="宋体" w:eastAsia="宋体" w:cs="宋体"/>
          <w:color w:val="auto"/>
          <w:spacing w:val="2"/>
          <w:sz w:val="22"/>
          <w:szCs w:val="22"/>
          <w:highlight w:val="none"/>
        </w:rPr>
        <w:t>水、垃圾的处置是否合理；i. 是否按照批准在</w:t>
      </w:r>
      <w:r>
        <w:rPr>
          <w:rFonts w:ascii="宋体" w:hAnsi="宋体" w:eastAsia="宋体" w:cs="宋体"/>
          <w:color w:val="auto"/>
          <w:spacing w:val="1"/>
          <w:sz w:val="22"/>
          <w:szCs w:val="22"/>
          <w:highlight w:val="none"/>
        </w:rPr>
        <w:t>拟定的取弃土场取弃土，取土结束后是</w:t>
      </w:r>
      <w:r>
        <w:rPr>
          <w:rFonts w:ascii="宋体" w:hAnsi="宋体" w:eastAsia="宋体" w:cs="宋体"/>
          <w:color w:val="auto"/>
          <w:spacing w:val="2"/>
          <w:sz w:val="22"/>
          <w:szCs w:val="22"/>
          <w:highlight w:val="none"/>
        </w:rPr>
        <w:t>否采取了有效的排水防护和植被恢复措施；j. 如发现施工中存在</w:t>
      </w:r>
      <w:r>
        <w:rPr>
          <w:rFonts w:ascii="宋体" w:hAnsi="宋体" w:eastAsia="宋体" w:cs="宋体"/>
          <w:color w:val="auto"/>
          <w:spacing w:val="1"/>
          <w:sz w:val="22"/>
          <w:szCs w:val="22"/>
          <w:highlight w:val="none"/>
        </w:rPr>
        <w:t>违反有关环保规定、</w:t>
      </w:r>
      <w:r>
        <w:rPr>
          <w:rFonts w:ascii="宋体" w:hAnsi="宋体" w:eastAsia="宋体" w:cs="宋体"/>
          <w:color w:val="auto"/>
          <w:spacing w:val="2"/>
          <w:sz w:val="22"/>
          <w:szCs w:val="22"/>
          <w:highlight w:val="none"/>
        </w:rPr>
        <w:t>未按合同要求落实环保措施的情况，监理工程师应书面指</w:t>
      </w:r>
      <w:r>
        <w:rPr>
          <w:rFonts w:ascii="宋体" w:hAnsi="宋体" w:eastAsia="宋体" w:cs="宋体"/>
          <w:color w:val="auto"/>
          <w:spacing w:val="1"/>
          <w:sz w:val="22"/>
          <w:szCs w:val="22"/>
          <w:highlight w:val="none"/>
        </w:rPr>
        <w:t>令施工单位整改；k. 施工中</w:t>
      </w:r>
      <w:r>
        <w:rPr>
          <w:rFonts w:ascii="宋体" w:hAnsi="宋体" w:eastAsia="宋体" w:cs="宋体"/>
          <w:color w:val="auto"/>
          <w:spacing w:val="-1"/>
          <w:sz w:val="22"/>
          <w:szCs w:val="22"/>
          <w:highlight w:val="none"/>
        </w:rPr>
        <w:t>发现文物时，监理工程师应要求施工单位依法保护现场，</w:t>
      </w:r>
      <w:r>
        <w:rPr>
          <w:rFonts w:ascii="宋体" w:hAnsi="宋体" w:eastAsia="宋体" w:cs="宋体"/>
          <w:color w:val="auto"/>
          <w:spacing w:val="-2"/>
          <w:sz w:val="22"/>
          <w:szCs w:val="22"/>
          <w:highlight w:val="none"/>
        </w:rPr>
        <w:t>并报告有关部门和建设单位。</w:t>
      </w:r>
    </w:p>
    <w:p w14:paraId="73248028">
      <w:pPr>
        <w:spacing w:line="220" w:lineRule="auto"/>
        <w:ind w:left="523"/>
        <w:rPr>
          <w:rFonts w:ascii="宋体" w:hAnsi="宋体" w:eastAsia="宋体" w:cs="宋体"/>
          <w:color w:val="auto"/>
          <w:sz w:val="22"/>
          <w:szCs w:val="22"/>
          <w:highlight w:val="none"/>
        </w:rPr>
      </w:pPr>
      <w:r>
        <w:rPr>
          <w:rFonts w:ascii="宋体" w:hAnsi="宋体" w:eastAsia="宋体" w:cs="宋体"/>
          <w:color w:val="auto"/>
          <w:spacing w:val="-6"/>
          <w:sz w:val="22"/>
          <w:szCs w:val="22"/>
          <w:highlight w:val="none"/>
        </w:rPr>
        <w:t>(2) 协调环保监测</w:t>
      </w:r>
    </w:p>
    <w:p w14:paraId="1A8FEEE9">
      <w:pPr>
        <w:spacing w:before="181" w:line="359" w:lineRule="auto"/>
        <w:ind w:right="8" w:firstLine="480"/>
        <w:rPr>
          <w:rFonts w:ascii="宋体" w:hAnsi="宋体" w:eastAsia="宋体" w:cs="宋体"/>
          <w:color w:val="auto"/>
          <w:sz w:val="22"/>
          <w:szCs w:val="22"/>
          <w:highlight w:val="none"/>
        </w:rPr>
      </w:pPr>
      <w:r>
        <w:rPr>
          <w:rFonts w:ascii="宋体" w:hAnsi="宋体" w:eastAsia="宋体" w:cs="宋体"/>
          <w:color w:val="auto"/>
          <w:spacing w:val="5"/>
          <w:sz w:val="22"/>
          <w:szCs w:val="22"/>
          <w:highlight w:val="none"/>
        </w:rPr>
        <w:t>根据施工过程中的重点和施工进度，协调外部监督监测单位进行空气质量、地表水水质、声环境质量等项目监测工作。定时收集外部监督监测单位的环境监</w:t>
      </w:r>
      <w:r>
        <w:rPr>
          <w:rFonts w:ascii="宋体" w:hAnsi="宋体" w:eastAsia="宋体" w:cs="宋体"/>
          <w:color w:val="auto"/>
          <w:spacing w:val="4"/>
          <w:sz w:val="22"/>
          <w:szCs w:val="22"/>
          <w:highlight w:val="none"/>
        </w:rPr>
        <w:t>测报告，</w:t>
      </w:r>
      <w:r>
        <w:rPr>
          <w:rFonts w:ascii="宋体" w:hAnsi="宋体" w:eastAsia="宋体" w:cs="宋体"/>
          <w:color w:val="auto"/>
          <w:sz w:val="22"/>
          <w:szCs w:val="22"/>
          <w:highlight w:val="none"/>
        </w:rPr>
        <w:t>根据监测报告判断环保措施执行效果并指导后续各项环</w:t>
      </w:r>
      <w:r>
        <w:rPr>
          <w:rFonts w:ascii="宋体" w:hAnsi="宋体" w:eastAsia="宋体" w:cs="宋体"/>
          <w:color w:val="auto"/>
          <w:spacing w:val="-1"/>
          <w:sz w:val="22"/>
          <w:szCs w:val="22"/>
          <w:highlight w:val="none"/>
        </w:rPr>
        <w:t>保措施修订和落实工作。</w:t>
      </w:r>
    </w:p>
    <w:p w14:paraId="2C2C726E">
      <w:pPr>
        <w:spacing w:line="219" w:lineRule="auto"/>
        <w:ind w:left="523"/>
        <w:rPr>
          <w:rFonts w:ascii="宋体" w:hAnsi="宋体" w:eastAsia="宋体" w:cs="宋体"/>
          <w:color w:val="auto"/>
          <w:sz w:val="22"/>
          <w:szCs w:val="22"/>
          <w:highlight w:val="none"/>
        </w:rPr>
      </w:pPr>
      <w:r>
        <w:rPr>
          <w:rFonts w:ascii="宋体" w:hAnsi="宋体" w:eastAsia="宋体" w:cs="宋体"/>
          <w:color w:val="auto"/>
          <w:spacing w:val="-2"/>
          <w:sz w:val="22"/>
          <w:szCs w:val="22"/>
          <w:highlight w:val="none"/>
        </w:rPr>
        <w:t>(3) 协助环保主管部门和建设单位处理突发环保事件。</w:t>
      </w:r>
    </w:p>
    <w:p w14:paraId="613BABCD">
      <w:pPr>
        <w:spacing w:before="183" w:line="219" w:lineRule="auto"/>
        <w:ind w:left="523"/>
        <w:rPr>
          <w:rFonts w:ascii="宋体" w:hAnsi="宋体" w:eastAsia="宋体" w:cs="宋体"/>
          <w:color w:val="auto"/>
          <w:sz w:val="22"/>
          <w:szCs w:val="22"/>
          <w:highlight w:val="none"/>
        </w:rPr>
      </w:pPr>
      <w:r>
        <w:rPr>
          <w:rFonts w:ascii="宋体" w:hAnsi="宋体" w:eastAsia="宋体" w:cs="宋体"/>
          <w:color w:val="auto"/>
          <w:spacing w:val="-3"/>
          <w:sz w:val="22"/>
          <w:szCs w:val="22"/>
          <w:highlight w:val="none"/>
        </w:rPr>
        <w:t>(4) 建立、保管环境保护监理资料档案。</w:t>
      </w:r>
    </w:p>
    <w:p w14:paraId="756979DE">
      <w:pPr>
        <w:spacing w:before="181" w:line="219" w:lineRule="auto"/>
        <w:ind w:left="498"/>
        <w:rPr>
          <w:rFonts w:ascii="宋体" w:hAnsi="宋体" w:eastAsia="宋体" w:cs="宋体"/>
          <w:color w:val="auto"/>
          <w:sz w:val="22"/>
          <w:szCs w:val="22"/>
          <w:highlight w:val="none"/>
        </w:rPr>
      </w:pPr>
      <w:r>
        <w:rPr>
          <w:rFonts w:ascii="宋体" w:hAnsi="宋体" w:eastAsia="宋体" w:cs="宋体"/>
          <w:b/>
          <w:bCs/>
          <w:color w:val="auto"/>
          <w:spacing w:val="-3"/>
          <w:sz w:val="22"/>
          <w:szCs w:val="22"/>
          <w:highlight w:val="none"/>
        </w:rPr>
        <w:t>13.3.3</w:t>
      </w:r>
      <w:r>
        <w:rPr>
          <w:rFonts w:ascii="宋体" w:hAnsi="宋体" w:eastAsia="宋体" w:cs="宋体"/>
          <w:color w:val="auto"/>
          <w:spacing w:val="-3"/>
          <w:sz w:val="22"/>
          <w:szCs w:val="22"/>
          <w:highlight w:val="none"/>
        </w:rPr>
        <w:t xml:space="preserve">  </w:t>
      </w:r>
      <w:r>
        <w:rPr>
          <w:rFonts w:ascii="宋体" w:hAnsi="宋体" w:eastAsia="宋体" w:cs="宋体"/>
          <w:b/>
          <w:bCs/>
          <w:color w:val="auto"/>
          <w:spacing w:val="-3"/>
          <w:sz w:val="22"/>
          <w:szCs w:val="22"/>
          <w:highlight w:val="none"/>
        </w:rPr>
        <w:t>交、竣工阶段及缺陷责任期的环境保护监理工作</w:t>
      </w:r>
    </w:p>
    <w:p w14:paraId="36B9901C">
      <w:pPr>
        <w:spacing w:before="184" w:line="219" w:lineRule="auto"/>
        <w:ind w:left="523"/>
        <w:rPr>
          <w:rFonts w:ascii="宋体" w:hAnsi="宋体" w:eastAsia="宋体" w:cs="宋体"/>
          <w:color w:val="auto"/>
          <w:sz w:val="22"/>
          <w:szCs w:val="22"/>
          <w:highlight w:val="none"/>
        </w:rPr>
      </w:pPr>
      <w:r>
        <w:rPr>
          <w:rFonts w:ascii="宋体" w:hAnsi="宋体" w:eastAsia="宋体" w:cs="宋体"/>
          <w:color w:val="auto"/>
          <w:spacing w:val="-3"/>
          <w:sz w:val="22"/>
          <w:szCs w:val="22"/>
          <w:highlight w:val="none"/>
        </w:rPr>
        <w:t>(1) 交工验收环境保护监理工作内容</w:t>
      </w:r>
    </w:p>
    <w:p w14:paraId="4329485B">
      <w:pPr>
        <w:spacing w:before="180" w:line="219" w:lineRule="auto"/>
        <w:ind w:left="481"/>
        <w:rPr>
          <w:rFonts w:ascii="宋体" w:hAnsi="宋体" w:eastAsia="宋体" w:cs="宋体"/>
          <w:color w:val="auto"/>
          <w:sz w:val="22"/>
          <w:szCs w:val="22"/>
          <w:highlight w:val="none"/>
        </w:rPr>
      </w:pPr>
      <w:r>
        <w:rPr>
          <w:rFonts w:ascii="宋体" w:hAnsi="宋体" w:eastAsia="宋体" w:cs="宋体"/>
          <w:color w:val="auto"/>
          <w:spacing w:val="-1"/>
          <w:sz w:val="22"/>
          <w:szCs w:val="22"/>
          <w:highlight w:val="none"/>
        </w:rPr>
        <w:t>a. 组织交工验收前的环境保护工作内容初验；</w:t>
      </w:r>
    </w:p>
    <w:p w14:paraId="0FC0418B">
      <w:pPr>
        <w:spacing w:before="184" w:line="219" w:lineRule="auto"/>
        <w:ind w:left="477"/>
        <w:rPr>
          <w:rFonts w:ascii="宋体" w:hAnsi="宋体" w:eastAsia="宋体" w:cs="宋体"/>
          <w:color w:val="auto"/>
          <w:sz w:val="22"/>
          <w:szCs w:val="22"/>
          <w:highlight w:val="none"/>
        </w:rPr>
      </w:pPr>
      <w:r>
        <w:rPr>
          <w:rFonts w:ascii="宋体" w:hAnsi="宋体" w:eastAsia="宋体" w:cs="宋体"/>
          <w:color w:val="auto"/>
          <w:spacing w:val="-1"/>
          <w:sz w:val="22"/>
          <w:szCs w:val="22"/>
          <w:highlight w:val="none"/>
        </w:rPr>
        <w:t>b. 整理环境监理资料，并归档；</w:t>
      </w:r>
    </w:p>
    <w:p w14:paraId="65B38458">
      <w:pPr>
        <w:spacing w:before="183" w:line="219" w:lineRule="auto"/>
        <w:ind w:left="485"/>
        <w:rPr>
          <w:rFonts w:ascii="宋体" w:hAnsi="宋体" w:eastAsia="宋体" w:cs="宋体"/>
          <w:color w:val="auto"/>
          <w:sz w:val="22"/>
          <w:szCs w:val="22"/>
          <w:highlight w:val="none"/>
        </w:rPr>
      </w:pPr>
      <w:r>
        <w:rPr>
          <w:rFonts w:ascii="宋体" w:hAnsi="宋体" w:eastAsia="宋体" w:cs="宋体"/>
          <w:color w:val="auto"/>
          <w:spacing w:val="-1"/>
          <w:sz w:val="22"/>
          <w:szCs w:val="22"/>
          <w:highlight w:val="none"/>
        </w:rPr>
        <w:t>c.参加交工验收，协助委托人的交工验收工作。</w:t>
      </w:r>
    </w:p>
    <w:p w14:paraId="79851B90">
      <w:pPr>
        <w:spacing w:before="181" w:line="219" w:lineRule="auto"/>
        <w:ind w:left="523"/>
        <w:rPr>
          <w:rFonts w:ascii="宋体" w:hAnsi="宋体" w:eastAsia="宋体" w:cs="宋体"/>
          <w:color w:val="auto"/>
          <w:sz w:val="22"/>
          <w:szCs w:val="22"/>
          <w:highlight w:val="none"/>
        </w:rPr>
      </w:pPr>
      <w:r>
        <w:rPr>
          <w:rFonts w:ascii="宋体" w:hAnsi="宋体" w:eastAsia="宋体" w:cs="宋体"/>
          <w:color w:val="auto"/>
          <w:spacing w:val="-3"/>
          <w:sz w:val="22"/>
          <w:szCs w:val="22"/>
          <w:highlight w:val="none"/>
        </w:rPr>
        <w:t>(2) 缺陷责任期内环境保护监理的工作内容。</w:t>
      </w:r>
    </w:p>
    <w:p w14:paraId="4743CF15">
      <w:pPr>
        <w:spacing w:before="181" w:line="290" w:lineRule="auto"/>
        <w:ind w:right="8" w:firstLine="481"/>
        <w:rPr>
          <w:rFonts w:ascii="宋体" w:hAnsi="宋体" w:eastAsia="宋体" w:cs="宋体"/>
          <w:color w:val="auto"/>
          <w:sz w:val="22"/>
          <w:szCs w:val="22"/>
          <w:highlight w:val="none"/>
        </w:rPr>
      </w:pPr>
      <w:r>
        <w:rPr>
          <w:rFonts w:ascii="宋体" w:hAnsi="宋体" w:eastAsia="宋体" w:cs="宋体"/>
          <w:color w:val="auto"/>
          <w:spacing w:val="5"/>
          <w:sz w:val="22"/>
          <w:szCs w:val="22"/>
          <w:highlight w:val="none"/>
        </w:rPr>
        <w:t>a.定期检查施工单位对交工环境保护验收提出的环境保护遗漏问题整改措施和计</w:t>
      </w:r>
      <w:r>
        <w:rPr>
          <w:rFonts w:ascii="宋体" w:hAnsi="宋体" w:eastAsia="宋体" w:cs="宋体"/>
          <w:color w:val="auto"/>
          <w:spacing w:val="-2"/>
          <w:sz w:val="22"/>
          <w:szCs w:val="22"/>
          <w:highlight w:val="none"/>
        </w:rPr>
        <w:t>划的实施情况。</w:t>
      </w:r>
    </w:p>
    <w:p w14:paraId="285FE682">
      <w:pPr>
        <w:spacing w:before="179" w:line="289" w:lineRule="auto"/>
        <w:ind w:left="4" w:right="8" w:firstLine="472"/>
        <w:rPr>
          <w:rFonts w:ascii="宋体" w:hAnsi="宋体" w:eastAsia="宋体" w:cs="宋体"/>
          <w:color w:val="auto"/>
          <w:sz w:val="22"/>
          <w:szCs w:val="22"/>
          <w:highlight w:val="none"/>
        </w:rPr>
      </w:pPr>
      <w:r>
        <w:rPr>
          <w:rFonts w:ascii="宋体" w:hAnsi="宋体" w:eastAsia="宋体" w:cs="宋体"/>
          <w:color w:val="auto"/>
          <w:spacing w:val="5"/>
          <w:sz w:val="22"/>
          <w:szCs w:val="22"/>
          <w:highlight w:val="none"/>
        </w:rPr>
        <w:t>b.对项目环境保护设施工程的施工进行现场监理，并对环境保护设施运行情况进</w:t>
      </w:r>
      <w:r>
        <w:rPr>
          <w:rFonts w:ascii="宋体" w:hAnsi="宋体" w:eastAsia="宋体" w:cs="宋体"/>
          <w:color w:val="auto"/>
          <w:spacing w:val="-1"/>
          <w:sz w:val="22"/>
          <w:szCs w:val="22"/>
          <w:highlight w:val="none"/>
        </w:rPr>
        <w:t>行检查，如不能达到环评报告书中的相关要求，及时督促其整改。</w:t>
      </w:r>
    </w:p>
    <w:p w14:paraId="29948ECE">
      <w:pPr>
        <w:spacing w:line="289" w:lineRule="auto"/>
        <w:rPr>
          <w:rFonts w:ascii="宋体" w:hAnsi="宋体" w:eastAsia="宋体" w:cs="宋体"/>
          <w:color w:val="auto"/>
          <w:sz w:val="22"/>
          <w:szCs w:val="22"/>
          <w:highlight w:val="none"/>
        </w:rPr>
        <w:sectPr>
          <w:footerReference r:id="rId67" w:type="default"/>
          <w:pgSz w:w="11906" w:h="16839"/>
          <w:pgMar w:top="1405" w:right="1409" w:bottom="1297" w:left="1424" w:header="0" w:footer="1067" w:gutter="0"/>
          <w:pgNumType w:fmt="decimal"/>
          <w:cols w:space="720" w:num="1"/>
        </w:sectPr>
      </w:pPr>
    </w:p>
    <w:p w14:paraId="03788BCE">
      <w:pPr>
        <w:spacing w:before="48" w:line="288" w:lineRule="auto"/>
        <w:ind w:left="2" w:right="191" w:firstLine="482"/>
        <w:rPr>
          <w:rFonts w:ascii="宋体" w:hAnsi="宋体" w:eastAsia="宋体" w:cs="宋体"/>
          <w:color w:val="auto"/>
          <w:sz w:val="22"/>
          <w:szCs w:val="22"/>
          <w:highlight w:val="none"/>
        </w:rPr>
      </w:pPr>
      <w:r>
        <w:rPr>
          <w:rFonts w:ascii="宋体" w:hAnsi="宋体" w:eastAsia="宋体" w:cs="宋体"/>
          <w:color w:val="auto"/>
          <w:spacing w:val="3"/>
          <w:sz w:val="22"/>
          <w:szCs w:val="22"/>
          <w:highlight w:val="none"/>
        </w:rPr>
        <w:t>c.督促各施工单位按合同及有关规定完成施工环境保护竣工资料的整理、归档，</w:t>
      </w:r>
      <w:r>
        <w:rPr>
          <w:rFonts w:ascii="宋体" w:hAnsi="宋体" w:eastAsia="宋体" w:cs="宋体"/>
          <w:color w:val="auto"/>
          <w:spacing w:val="-1"/>
          <w:sz w:val="22"/>
          <w:szCs w:val="22"/>
          <w:highlight w:val="none"/>
        </w:rPr>
        <w:t>编写施工环境保护工作总结报告。</w:t>
      </w:r>
    </w:p>
    <w:p w14:paraId="588D3FB0">
      <w:pPr>
        <w:spacing w:before="184" w:line="218" w:lineRule="auto"/>
        <w:ind w:left="485"/>
        <w:rPr>
          <w:rFonts w:ascii="宋体" w:hAnsi="宋体" w:eastAsia="宋体" w:cs="宋体"/>
          <w:color w:val="auto"/>
          <w:sz w:val="22"/>
          <w:szCs w:val="22"/>
          <w:highlight w:val="none"/>
        </w:rPr>
      </w:pPr>
      <w:r>
        <w:rPr>
          <w:rFonts w:ascii="宋体" w:hAnsi="宋体" w:eastAsia="宋体" w:cs="宋体"/>
          <w:color w:val="auto"/>
          <w:sz w:val="22"/>
          <w:szCs w:val="22"/>
          <w:highlight w:val="none"/>
        </w:rPr>
        <w:t>d.整理和完善环境保护监理竣工资料，并编</w:t>
      </w:r>
      <w:r>
        <w:rPr>
          <w:rFonts w:ascii="宋体" w:hAnsi="宋体" w:eastAsia="宋体" w:cs="宋体"/>
          <w:color w:val="auto"/>
          <w:spacing w:val="-1"/>
          <w:sz w:val="22"/>
          <w:szCs w:val="22"/>
          <w:highlight w:val="none"/>
        </w:rPr>
        <w:t>写施工环境保护监理工作总结报告。</w:t>
      </w:r>
    </w:p>
    <w:p w14:paraId="06CBA467">
      <w:pPr>
        <w:spacing w:before="182" w:line="219" w:lineRule="auto"/>
        <w:ind w:left="486"/>
        <w:rPr>
          <w:rFonts w:ascii="宋体" w:hAnsi="宋体" w:eastAsia="宋体" w:cs="宋体"/>
          <w:color w:val="auto"/>
          <w:sz w:val="22"/>
          <w:szCs w:val="22"/>
          <w:highlight w:val="none"/>
        </w:rPr>
      </w:pPr>
      <w:r>
        <w:rPr>
          <w:rFonts w:ascii="宋体" w:hAnsi="宋体" w:eastAsia="宋体" w:cs="宋体"/>
          <w:color w:val="auto"/>
          <w:spacing w:val="-2"/>
          <w:sz w:val="22"/>
          <w:szCs w:val="22"/>
          <w:highlight w:val="none"/>
        </w:rPr>
        <w:t>e.协助竣工环境保护验收。</w:t>
      </w:r>
    </w:p>
    <w:p w14:paraId="2D483CAF">
      <w:pPr>
        <w:spacing w:before="182" w:line="289" w:lineRule="auto"/>
        <w:ind w:right="133" w:firstLine="483"/>
        <w:rPr>
          <w:rFonts w:ascii="宋体" w:hAnsi="宋体" w:eastAsia="宋体" w:cs="宋体"/>
          <w:color w:val="auto"/>
          <w:sz w:val="22"/>
          <w:szCs w:val="22"/>
          <w:highlight w:val="none"/>
        </w:rPr>
      </w:pPr>
      <w:r>
        <w:rPr>
          <w:rFonts w:ascii="宋体" w:hAnsi="宋体" w:eastAsia="宋体" w:cs="宋体"/>
          <w:color w:val="auto"/>
          <w:spacing w:val="5"/>
          <w:sz w:val="22"/>
          <w:szCs w:val="22"/>
          <w:highlight w:val="none"/>
        </w:rPr>
        <w:t>f.缺陷责任期内环保监测、环境应急预案报备工作由委托人承担，总监办</w:t>
      </w:r>
      <w:r>
        <w:rPr>
          <w:rFonts w:ascii="宋体" w:hAnsi="宋体" w:eastAsia="宋体" w:cs="宋体"/>
          <w:color w:val="auto"/>
          <w:spacing w:val="4"/>
          <w:sz w:val="22"/>
          <w:szCs w:val="22"/>
          <w:highlight w:val="none"/>
        </w:rPr>
        <w:t>协助委</w:t>
      </w:r>
      <w:r>
        <w:rPr>
          <w:rFonts w:ascii="宋体" w:hAnsi="宋体" w:eastAsia="宋体" w:cs="宋体"/>
          <w:color w:val="auto"/>
          <w:spacing w:val="-2"/>
          <w:sz w:val="22"/>
          <w:szCs w:val="22"/>
          <w:highlight w:val="none"/>
        </w:rPr>
        <w:t>托人做好相关工作。</w:t>
      </w:r>
    </w:p>
    <w:p w14:paraId="24D4073C">
      <w:pPr>
        <w:spacing w:before="183" w:line="219" w:lineRule="auto"/>
        <w:ind w:left="503"/>
        <w:rPr>
          <w:rFonts w:ascii="宋体" w:hAnsi="宋体" w:eastAsia="宋体" w:cs="宋体"/>
          <w:color w:val="auto"/>
          <w:sz w:val="22"/>
          <w:szCs w:val="22"/>
          <w:highlight w:val="none"/>
        </w:rPr>
      </w:pPr>
      <w:r>
        <w:rPr>
          <w:rFonts w:ascii="宋体" w:hAnsi="宋体" w:eastAsia="宋体" w:cs="宋体"/>
          <w:b/>
          <w:bCs/>
          <w:color w:val="auto"/>
          <w:spacing w:val="-4"/>
          <w:sz w:val="22"/>
          <w:szCs w:val="22"/>
          <w:highlight w:val="none"/>
        </w:rPr>
        <w:t>13.4关于竣工文件的补充条款：</w:t>
      </w:r>
    </w:p>
    <w:p w14:paraId="4C9FFAD6">
      <w:pPr>
        <w:spacing w:before="179" w:line="290" w:lineRule="auto"/>
        <w:ind w:left="3" w:right="133" w:firstLine="493"/>
        <w:rPr>
          <w:rFonts w:ascii="宋体" w:hAnsi="宋体" w:eastAsia="宋体" w:cs="宋体"/>
          <w:color w:val="auto"/>
          <w:sz w:val="22"/>
          <w:szCs w:val="22"/>
          <w:highlight w:val="none"/>
        </w:rPr>
      </w:pPr>
      <w:r>
        <w:rPr>
          <w:rFonts w:ascii="宋体" w:hAnsi="宋体" w:eastAsia="宋体" w:cs="宋体"/>
          <w:color w:val="auto"/>
          <w:spacing w:val="1"/>
          <w:sz w:val="22"/>
          <w:szCs w:val="22"/>
          <w:highlight w:val="none"/>
        </w:rPr>
        <w:t>（1）监理文件必须与工程施工同步形成、同步收集，并按照档案预组卷的标准同</w:t>
      </w:r>
      <w:r>
        <w:rPr>
          <w:rFonts w:ascii="宋体" w:hAnsi="宋体" w:eastAsia="宋体" w:cs="宋体"/>
          <w:color w:val="auto"/>
          <w:spacing w:val="-2"/>
          <w:sz w:val="22"/>
          <w:szCs w:val="22"/>
          <w:highlight w:val="none"/>
        </w:rPr>
        <w:t>步进行系统的整理。</w:t>
      </w:r>
    </w:p>
    <w:p w14:paraId="215AE453">
      <w:pPr>
        <w:spacing w:before="180" w:line="290" w:lineRule="auto"/>
        <w:ind w:right="133" w:firstLine="496"/>
        <w:rPr>
          <w:rFonts w:ascii="宋体" w:hAnsi="宋体" w:eastAsia="宋体" w:cs="宋体"/>
          <w:color w:val="auto"/>
          <w:sz w:val="22"/>
          <w:szCs w:val="22"/>
          <w:highlight w:val="none"/>
        </w:rPr>
      </w:pPr>
      <w:r>
        <w:rPr>
          <w:rFonts w:ascii="宋体" w:hAnsi="宋体" w:eastAsia="宋体" w:cs="宋体"/>
          <w:color w:val="auto"/>
          <w:spacing w:val="1"/>
          <w:sz w:val="22"/>
          <w:szCs w:val="22"/>
          <w:highlight w:val="none"/>
        </w:rPr>
        <w:t>（2）工程开工后，监理人应及时建立档案管理机构，明确分管领导、管理部门和</w:t>
      </w:r>
      <w:r>
        <w:rPr>
          <w:rFonts w:ascii="宋体" w:hAnsi="宋体" w:eastAsia="宋体" w:cs="宋体"/>
          <w:color w:val="auto"/>
          <w:spacing w:val="-1"/>
          <w:sz w:val="22"/>
          <w:szCs w:val="22"/>
          <w:highlight w:val="none"/>
        </w:rPr>
        <w:t>配备适应工作需要的档案管理人员，并保持相对稳定。</w:t>
      </w:r>
    </w:p>
    <w:p w14:paraId="15A8785E">
      <w:pPr>
        <w:spacing w:before="180" w:line="219" w:lineRule="auto"/>
        <w:ind w:left="497"/>
        <w:rPr>
          <w:rFonts w:ascii="宋体" w:hAnsi="宋体" w:eastAsia="宋体" w:cs="宋体"/>
          <w:color w:val="auto"/>
          <w:spacing w:val="-1"/>
          <w:sz w:val="22"/>
          <w:szCs w:val="22"/>
          <w:highlight w:val="none"/>
        </w:rPr>
      </w:pPr>
      <w:r>
        <w:rPr>
          <w:rFonts w:ascii="宋体" w:hAnsi="宋体" w:eastAsia="宋体" w:cs="宋体"/>
          <w:color w:val="auto"/>
          <w:spacing w:val="-1"/>
          <w:sz w:val="22"/>
          <w:szCs w:val="22"/>
          <w:highlight w:val="none"/>
        </w:rPr>
        <w:t>（3）监理人应监督、指导施工用表、施工原始文件的填写及管理性文件的上报。</w:t>
      </w:r>
    </w:p>
    <w:p w14:paraId="6CE284BA">
      <w:pPr>
        <w:spacing w:before="180" w:line="219" w:lineRule="auto"/>
        <w:ind w:left="497"/>
        <w:rPr>
          <w:rFonts w:ascii="宋体" w:hAnsi="宋体" w:eastAsia="宋体" w:cs="宋体"/>
          <w:color w:val="auto"/>
          <w:sz w:val="22"/>
          <w:szCs w:val="22"/>
          <w:highlight w:val="none"/>
        </w:rPr>
      </w:pPr>
      <w:r>
        <w:rPr>
          <w:rFonts w:ascii="宋体" w:hAnsi="宋体" w:eastAsia="宋体" w:cs="宋体"/>
          <w:color w:val="auto"/>
          <w:spacing w:val="-2"/>
          <w:sz w:val="22"/>
          <w:szCs w:val="22"/>
          <w:highlight w:val="none"/>
        </w:rPr>
        <w:t>（3）档案的装具和设施设备应满足档案管理的要求，保证文件材料和档案的安全。</w:t>
      </w:r>
    </w:p>
    <w:p w14:paraId="2951BF5F">
      <w:pPr>
        <w:spacing w:before="184" w:line="219" w:lineRule="auto"/>
        <w:ind w:left="497"/>
        <w:rPr>
          <w:rFonts w:ascii="宋体" w:hAnsi="宋体" w:eastAsia="宋体" w:cs="宋体"/>
          <w:color w:val="auto"/>
          <w:sz w:val="22"/>
          <w:szCs w:val="22"/>
          <w:highlight w:val="none"/>
        </w:rPr>
      </w:pPr>
      <w:r>
        <w:rPr>
          <w:rFonts w:ascii="宋体" w:hAnsi="宋体" w:eastAsia="宋体" w:cs="宋体"/>
          <w:color w:val="auto"/>
          <w:spacing w:val="-1"/>
          <w:sz w:val="22"/>
          <w:szCs w:val="22"/>
          <w:highlight w:val="none"/>
        </w:rPr>
        <w:t>（4）监理文件的形成应规范、清晰，数据真实、准确。</w:t>
      </w:r>
    </w:p>
    <w:p w14:paraId="1905DBD4">
      <w:pPr>
        <w:spacing w:before="181" w:line="293" w:lineRule="auto"/>
        <w:ind w:left="1" w:right="133" w:firstLine="495"/>
        <w:rPr>
          <w:rFonts w:ascii="宋体" w:hAnsi="宋体" w:eastAsia="宋体" w:cs="宋体"/>
          <w:color w:val="auto"/>
          <w:sz w:val="22"/>
          <w:szCs w:val="22"/>
          <w:highlight w:val="none"/>
        </w:rPr>
      </w:pPr>
      <w:r>
        <w:rPr>
          <w:rFonts w:ascii="宋体" w:hAnsi="宋体" w:eastAsia="宋体" w:cs="宋体"/>
          <w:color w:val="auto"/>
          <w:spacing w:val="1"/>
          <w:sz w:val="22"/>
          <w:szCs w:val="22"/>
          <w:highlight w:val="none"/>
        </w:rPr>
        <w:t>（5）监理文件应按照交通运输部关于公路建设项目档案的归档范围收集齐全、完</w:t>
      </w:r>
      <w:r>
        <w:rPr>
          <w:rFonts w:ascii="宋体" w:hAnsi="宋体" w:eastAsia="宋体" w:cs="宋体"/>
          <w:color w:val="auto"/>
          <w:spacing w:val="-6"/>
          <w:sz w:val="22"/>
          <w:szCs w:val="22"/>
          <w:highlight w:val="none"/>
        </w:rPr>
        <w:t>整。</w:t>
      </w:r>
    </w:p>
    <w:p w14:paraId="0224AC1E">
      <w:pPr>
        <w:spacing w:before="171" w:line="289" w:lineRule="auto"/>
        <w:ind w:left="1" w:right="133" w:firstLine="495"/>
        <w:rPr>
          <w:rFonts w:ascii="宋体" w:hAnsi="宋体" w:eastAsia="宋体" w:cs="宋体"/>
          <w:color w:val="auto"/>
          <w:sz w:val="22"/>
          <w:szCs w:val="22"/>
          <w:highlight w:val="none"/>
        </w:rPr>
      </w:pPr>
      <w:r>
        <w:rPr>
          <w:rFonts w:ascii="宋体" w:hAnsi="宋体" w:eastAsia="宋体" w:cs="宋体"/>
          <w:color w:val="auto"/>
          <w:spacing w:val="1"/>
          <w:sz w:val="22"/>
          <w:szCs w:val="22"/>
          <w:highlight w:val="none"/>
        </w:rPr>
        <w:t>（6）标段交工或项目通车前，监理文件应按照预组卷（除未装订和打页码外，其</w:t>
      </w:r>
      <w:r>
        <w:rPr>
          <w:rFonts w:ascii="宋体" w:hAnsi="宋体" w:eastAsia="宋体" w:cs="宋体"/>
          <w:color w:val="auto"/>
          <w:spacing w:val="-1"/>
          <w:sz w:val="22"/>
          <w:szCs w:val="22"/>
          <w:highlight w:val="none"/>
        </w:rPr>
        <w:t>余同档案专项验收的标准一样）的标准完成。</w:t>
      </w:r>
    </w:p>
    <w:p w14:paraId="034414BE">
      <w:pPr>
        <w:spacing w:before="182" w:line="289" w:lineRule="auto"/>
        <w:ind w:right="133" w:firstLine="497"/>
        <w:rPr>
          <w:rFonts w:ascii="宋体" w:hAnsi="宋体" w:eastAsia="宋体" w:cs="宋体"/>
          <w:color w:val="auto"/>
          <w:sz w:val="22"/>
          <w:szCs w:val="22"/>
          <w:highlight w:val="none"/>
        </w:rPr>
      </w:pPr>
      <w:r>
        <w:rPr>
          <w:rFonts w:ascii="宋体" w:hAnsi="宋体" w:eastAsia="宋体" w:cs="宋体"/>
          <w:color w:val="auto"/>
          <w:spacing w:val="1"/>
          <w:sz w:val="22"/>
          <w:szCs w:val="22"/>
          <w:highlight w:val="none"/>
        </w:rPr>
        <w:t>（7）项目交工或通车前，监理人应对各标段施工文件、对应中心试验室移交的试</w:t>
      </w:r>
      <w:r>
        <w:rPr>
          <w:rFonts w:ascii="宋体" w:hAnsi="宋体" w:eastAsia="宋体" w:cs="宋体"/>
          <w:color w:val="auto"/>
          <w:sz w:val="22"/>
          <w:szCs w:val="22"/>
          <w:highlight w:val="none"/>
        </w:rPr>
        <w:t>验检测资料的完整、准确、系统性进行检查，</w:t>
      </w:r>
      <w:r>
        <w:rPr>
          <w:rFonts w:ascii="宋体" w:hAnsi="宋体" w:eastAsia="宋体" w:cs="宋体"/>
          <w:color w:val="auto"/>
          <w:spacing w:val="-1"/>
          <w:sz w:val="22"/>
          <w:szCs w:val="22"/>
          <w:highlight w:val="none"/>
        </w:rPr>
        <w:t>并形成书面评价意见。</w:t>
      </w:r>
    </w:p>
    <w:p w14:paraId="1AF48D5B">
      <w:pPr>
        <w:spacing w:before="183" w:line="359" w:lineRule="auto"/>
        <w:ind w:left="3" w:right="130" w:firstLine="481"/>
        <w:rPr>
          <w:rFonts w:ascii="宋体" w:hAnsi="宋体" w:eastAsia="宋体" w:cs="宋体"/>
          <w:color w:val="auto"/>
          <w:sz w:val="22"/>
          <w:szCs w:val="22"/>
          <w:highlight w:val="none"/>
        </w:rPr>
      </w:pPr>
      <w:r>
        <w:rPr>
          <w:rFonts w:ascii="宋体" w:hAnsi="宋体" w:eastAsia="宋体" w:cs="宋体"/>
          <w:color w:val="auto"/>
          <w:spacing w:val="4"/>
          <w:sz w:val="22"/>
          <w:szCs w:val="22"/>
          <w:highlight w:val="none"/>
        </w:rPr>
        <w:t>试验检测资料（验收试验等用于分部分项工程质量评</w:t>
      </w:r>
      <w:r>
        <w:rPr>
          <w:rFonts w:ascii="宋体" w:hAnsi="宋体" w:eastAsia="宋体" w:cs="宋体"/>
          <w:color w:val="auto"/>
          <w:spacing w:val="3"/>
          <w:sz w:val="22"/>
          <w:szCs w:val="22"/>
          <w:highlight w:val="none"/>
        </w:rPr>
        <w:t>定资料等）</w:t>
      </w:r>
      <w:r>
        <w:rPr>
          <w:rFonts w:ascii="宋体" w:hAnsi="宋体" w:eastAsia="宋体" w:cs="宋体"/>
          <w:color w:val="auto"/>
          <w:spacing w:val="-69"/>
          <w:sz w:val="22"/>
          <w:szCs w:val="22"/>
          <w:highlight w:val="none"/>
        </w:rPr>
        <w:t xml:space="preserve"> </w:t>
      </w:r>
      <w:r>
        <w:rPr>
          <w:rFonts w:ascii="宋体" w:hAnsi="宋体" w:eastAsia="宋体" w:cs="宋体"/>
          <w:color w:val="auto"/>
          <w:spacing w:val="3"/>
          <w:sz w:val="22"/>
          <w:szCs w:val="22"/>
          <w:highlight w:val="none"/>
        </w:rPr>
        <w:t>由中心试验室定</w:t>
      </w:r>
      <w:r>
        <w:rPr>
          <w:rFonts w:ascii="宋体" w:hAnsi="宋体" w:eastAsia="宋体" w:cs="宋体"/>
          <w:color w:val="auto"/>
          <w:spacing w:val="-1"/>
          <w:sz w:val="22"/>
          <w:szCs w:val="22"/>
          <w:highlight w:val="none"/>
        </w:rPr>
        <w:t>期向监理人提交，由监理人负责整理、归档。</w:t>
      </w:r>
    </w:p>
    <w:p w14:paraId="77132422">
      <w:pPr>
        <w:spacing w:before="3" w:line="313" w:lineRule="auto"/>
        <w:ind w:right="133" w:firstLine="496"/>
        <w:rPr>
          <w:rFonts w:ascii="宋体" w:hAnsi="宋体" w:eastAsia="宋体" w:cs="宋体"/>
          <w:color w:val="auto"/>
          <w:sz w:val="22"/>
          <w:szCs w:val="22"/>
          <w:highlight w:val="none"/>
        </w:rPr>
      </w:pPr>
      <w:r>
        <w:rPr>
          <w:rFonts w:ascii="宋体" w:hAnsi="宋体" w:eastAsia="宋体" w:cs="宋体"/>
          <w:color w:val="auto"/>
          <w:spacing w:val="5"/>
          <w:sz w:val="22"/>
          <w:szCs w:val="22"/>
          <w:highlight w:val="none"/>
        </w:rPr>
        <w:t>（8）项目交工或通车6个月内，监理文件应按</w:t>
      </w:r>
      <w:r>
        <w:rPr>
          <w:rFonts w:ascii="宋体" w:hAnsi="宋体" w:eastAsia="宋体" w:cs="宋体"/>
          <w:color w:val="auto"/>
          <w:spacing w:val="4"/>
          <w:sz w:val="22"/>
          <w:szCs w:val="22"/>
          <w:highlight w:val="none"/>
        </w:rPr>
        <w:t>照国家科技档案的标准和交通运输</w:t>
      </w:r>
      <w:r>
        <w:rPr>
          <w:rFonts w:ascii="宋体" w:hAnsi="宋体" w:eastAsia="宋体" w:cs="宋体"/>
          <w:color w:val="auto"/>
          <w:spacing w:val="5"/>
          <w:sz w:val="22"/>
          <w:szCs w:val="22"/>
          <w:highlight w:val="none"/>
        </w:rPr>
        <w:t>部规定的归档范围，全部完成组卷和编目。经委托人单位组织检查验收后，</w:t>
      </w:r>
      <w:r>
        <w:rPr>
          <w:rFonts w:ascii="宋体" w:hAnsi="宋体" w:eastAsia="宋体" w:cs="宋体"/>
          <w:color w:val="auto"/>
          <w:spacing w:val="4"/>
          <w:sz w:val="22"/>
          <w:szCs w:val="22"/>
          <w:highlight w:val="none"/>
        </w:rPr>
        <w:t>移交给委</w:t>
      </w:r>
      <w:r>
        <w:rPr>
          <w:rFonts w:ascii="宋体" w:hAnsi="宋体" w:eastAsia="宋体" w:cs="宋体"/>
          <w:color w:val="auto"/>
          <w:spacing w:val="-4"/>
          <w:sz w:val="22"/>
          <w:szCs w:val="22"/>
          <w:highlight w:val="none"/>
        </w:rPr>
        <w:t>托人。</w:t>
      </w:r>
    </w:p>
    <w:p w14:paraId="38F27970">
      <w:pPr>
        <w:spacing w:before="177" w:line="289" w:lineRule="auto"/>
        <w:ind w:left="46" w:right="133" w:firstLine="450"/>
        <w:rPr>
          <w:rFonts w:ascii="宋体" w:hAnsi="宋体" w:eastAsia="宋体" w:cs="宋体"/>
          <w:color w:val="auto"/>
          <w:sz w:val="22"/>
          <w:szCs w:val="22"/>
          <w:highlight w:val="none"/>
        </w:rPr>
      </w:pPr>
      <w:r>
        <w:rPr>
          <w:rFonts w:ascii="宋体" w:hAnsi="宋体" w:eastAsia="宋体" w:cs="宋体"/>
          <w:color w:val="auto"/>
          <w:spacing w:val="1"/>
          <w:sz w:val="22"/>
          <w:szCs w:val="22"/>
          <w:highlight w:val="none"/>
        </w:rPr>
        <w:t>（9）如监理人因竣工文件未按时完成或质量问题影响到本项目的交工验收以及项</w:t>
      </w:r>
      <w:r>
        <w:rPr>
          <w:rFonts w:ascii="宋体" w:hAnsi="宋体" w:eastAsia="宋体" w:cs="宋体"/>
          <w:color w:val="auto"/>
          <w:spacing w:val="-2"/>
          <w:sz w:val="22"/>
          <w:szCs w:val="22"/>
          <w:highlight w:val="none"/>
        </w:rPr>
        <w:t>目档案专项验收，委托人有权视情节轻重从监理费或履约保函中扣除相关的费用。</w:t>
      </w:r>
    </w:p>
    <w:p w14:paraId="0A4F18E5">
      <w:pPr>
        <w:spacing w:before="183" w:line="288" w:lineRule="auto"/>
        <w:ind w:right="133" w:firstLine="496"/>
        <w:rPr>
          <w:rFonts w:ascii="宋体" w:hAnsi="宋体" w:eastAsia="宋体" w:cs="宋体"/>
          <w:color w:val="auto"/>
          <w:sz w:val="22"/>
          <w:szCs w:val="22"/>
          <w:highlight w:val="none"/>
        </w:rPr>
      </w:pPr>
      <w:r>
        <w:rPr>
          <w:rFonts w:ascii="宋体" w:hAnsi="宋体" w:eastAsia="宋体" w:cs="宋体"/>
          <w:color w:val="auto"/>
          <w:spacing w:val="5"/>
          <w:sz w:val="22"/>
          <w:szCs w:val="22"/>
          <w:highlight w:val="none"/>
        </w:rPr>
        <w:t>（10）监理人应全面核查施工承包人动态汇总</w:t>
      </w:r>
      <w:r>
        <w:rPr>
          <w:rFonts w:ascii="宋体" w:hAnsi="宋体" w:eastAsia="宋体" w:cs="宋体"/>
          <w:color w:val="auto"/>
          <w:spacing w:val="4"/>
          <w:sz w:val="22"/>
          <w:szCs w:val="22"/>
          <w:highlight w:val="none"/>
        </w:rPr>
        <w:t>修编的图纸和竣工图，图纸成果质</w:t>
      </w:r>
      <w:r>
        <w:rPr>
          <w:rFonts w:ascii="宋体" w:hAnsi="宋体" w:eastAsia="宋体" w:cs="宋体"/>
          <w:color w:val="auto"/>
          <w:spacing w:val="-1"/>
          <w:sz w:val="22"/>
          <w:szCs w:val="22"/>
          <w:highlight w:val="none"/>
        </w:rPr>
        <w:t>量应符合主要施工合同的造价数据链文件编制要求和闭合。</w:t>
      </w:r>
    </w:p>
    <w:p w14:paraId="66BE54B5">
      <w:pPr>
        <w:spacing w:before="185" w:line="219" w:lineRule="auto"/>
        <w:ind w:left="503"/>
        <w:rPr>
          <w:rFonts w:ascii="宋体" w:hAnsi="宋体" w:eastAsia="宋体" w:cs="宋体"/>
          <w:color w:val="auto"/>
          <w:sz w:val="22"/>
          <w:szCs w:val="22"/>
          <w:highlight w:val="none"/>
        </w:rPr>
      </w:pPr>
      <w:r>
        <w:rPr>
          <w:rFonts w:ascii="宋体" w:hAnsi="宋体" w:eastAsia="宋体" w:cs="宋体"/>
          <w:b/>
          <w:bCs/>
          <w:color w:val="auto"/>
          <w:spacing w:val="-3"/>
          <w:sz w:val="22"/>
          <w:szCs w:val="22"/>
          <w:highlight w:val="none"/>
        </w:rPr>
        <w:t>13.5监理人驻地（含总监办、监理驻地</w:t>
      </w:r>
      <w:r>
        <w:rPr>
          <w:rFonts w:ascii="宋体" w:hAnsi="宋体" w:eastAsia="宋体" w:cs="宋体"/>
          <w:b/>
          <w:bCs/>
          <w:color w:val="auto"/>
          <w:spacing w:val="-4"/>
          <w:sz w:val="22"/>
          <w:szCs w:val="22"/>
          <w:highlight w:val="none"/>
        </w:rPr>
        <w:t>办）</w:t>
      </w:r>
    </w:p>
    <w:p w14:paraId="40435367">
      <w:pPr>
        <w:spacing w:line="219" w:lineRule="auto"/>
        <w:rPr>
          <w:rFonts w:ascii="宋体" w:hAnsi="宋体" w:eastAsia="宋体" w:cs="宋体"/>
          <w:color w:val="auto"/>
          <w:sz w:val="22"/>
          <w:szCs w:val="22"/>
          <w:highlight w:val="none"/>
        </w:rPr>
        <w:sectPr>
          <w:footerReference r:id="rId68" w:type="default"/>
          <w:pgSz w:w="11906" w:h="16839"/>
          <w:pgMar w:top="1405" w:right="1285" w:bottom="1297" w:left="1424" w:header="0" w:footer="1067" w:gutter="0"/>
          <w:pgNumType w:fmt="decimal"/>
          <w:cols w:space="720" w:num="1"/>
        </w:sectPr>
      </w:pPr>
    </w:p>
    <w:p w14:paraId="54B2D376">
      <w:pPr>
        <w:spacing w:before="47" w:line="289" w:lineRule="auto"/>
        <w:ind w:left="1" w:firstLine="496"/>
        <w:rPr>
          <w:rFonts w:ascii="宋体" w:hAnsi="宋体" w:eastAsia="宋体" w:cs="宋体"/>
          <w:color w:val="auto"/>
          <w:sz w:val="22"/>
          <w:szCs w:val="22"/>
          <w:highlight w:val="none"/>
        </w:rPr>
      </w:pPr>
      <w:r>
        <w:rPr>
          <w:rFonts w:ascii="宋体" w:hAnsi="宋体" w:eastAsia="宋体" w:cs="宋体"/>
          <w:color w:val="auto"/>
          <w:spacing w:val="1"/>
          <w:sz w:val="22"/>
          <w:szCs w:val="22"/>
          <w:highlight w:val="none"/>
        </w:rPr>
        <w:t>（1）监理人不得以任何形式接受施工单位租借的场所作为驻地，也不得与施工单</w:t>
      </w:r>
      <w:r>
        <w:rPr>
          <w:rFonts w:ascii="宋体" w:hAnsi="宋体" w:eastAsia="宋体" w:cs="宋体"/>
          <w:color w:val="auto"/>
          <w:spacing w:val="-3"/>
          <w:sz w:val="22"/>
          <w:szCs w:val="22"/>
          <w:highlight w:val="none"/>
        </w:rPr>
        <w:t>位共租。</w:t>
      </w:r>
    </w:p>
    <w:p w14:paraId="2DCF1AF4">
      <w:pPr>
        <w:spacing w:before="182" w:line="289" w:lineRule="auto"/>
        <w:ind w:left="5" w:firstLine="492"/>
        <w:rPr>
          <w:rFonts w:ascii="宋体" w:hAnsi="宋体" w:eastAsia="宋体" w:cs="宋体"/>
          <w:color w:val="auto"/>
          <w:sz w:val="22"/>
          <w:szCs w:val="22"/>
          <w:highlight w:val="none"/>
        </w:rPr>
      </w:pPr>
      <w:r>
        <w:rPr>
          <w:rFonts w:ascii="宋体" w:hAnsi="宋体" w:eastAsia="宋体" w:cs="宋体"/>
          <w:color w:val="auto"/>
          <w:spacing w:val="1"/>
          <w:sz w:val="22"/>
          <w:szCs w:val="22"/>
          <w:highlight w:val="none"/>
        </w:rPr>
        <w:t>（2）有条件的情况下，委托人可为监理人选择驻地，以便三方协调沟通，驻地建</w:t>
      </w:r>
      <w:r>
        <w:rPr>
          <w:rFonts w:ascii="宋体" w:hAnsi="宋体" w:eastAsia="宋体" w:cs="宋体"/>
          <w:color w:val="auto"/>
          <w:spacing w:val="-1"/>
          <w:sz w:val="22"/>
          <w:szCs w:val="22"/>
          <w:highlight w:val="none"/>
        </w:rPr>
        <w:t>设装修、租金、水电及其他相关费用由各方按使用面积分担或协商确定。</w:t>
      </w:r>
    </w:p>
    <w:p w14:paraId="66BBFC2F">
      <w:pPr>
        <w:spacing w:before="183" w:line="219" w:lineRule="auto"/>
        <w:ind w:left="504"/>
        <w:rPr>
          <w:rFonts w:ascii="宋体" w:hAnsi="宋体" w:eastAsia="宋体" w:cs="宋体"/>
          <w:color w:val="auto"/>
          <w:sz w:val="24"/>
          <w:szCs w:val="24"/>
          <w:highlight w:val="none"/>
        </w:rPr>
      </w:pPr>
      <w:r>
        <w:rPr>
          <w:rFonts w:ascii="宋体" w:hAnsi="宋体" w:eastAsia="宋体" w:cs="宋体"/>
          <w:b/>
          <w:bCs/>
          <w:color w:val="auto"/>
          <w:spacing w:val="-3"/>
          <w:sz w:val="24"/>
          <w:szCs w:val="24"/>
          <w:highlight w:val="none"/>
        </w:rPr>
        <w:t>13.6监理人与中心试验室试验检测服务工程质量监管职责</w:t>
      </w:r>
    </w:p>
    <w:p w14:paraId="4C1AC227">
      <w:pPr>
        <w:spacing w:before="180" w:line="336" w:lineRule="auto"/>
        <w:ind w:firstLine="497"/>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按照“整体效率最优、专业人做专业事”的原则，优化调整工作界面，明确中心试验室为工地试验室的主要监督管理单位；改变只对来样负责，在原材料管理、取样送样、成品检测等方面赋予中心试验室全过程管理责权，提高监管效率，故在此对监理单位与中心试验室试验检测服务单位的工程质量监管职责特进行明确如下：</w:t>
      </w:r>
    </w:p>
    <w:p w14:paraId="000A41F5">
      <w:pPr>
        <w:spacing w:before="180" w:line="336" w:lineRule="auto"/>
        <w:ind w:firstLine="497"/>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 xml:space="preserve">13.6.1监理人与中心试验室在试验检测方面的工作关系 </w:t>
      </w:r>
    </w:p>
    <w:p w14:paraId="74376E81">
      <w:pPr>
        <w:spacing w:before="180" w:line="336" w:lineRule="auto"/>
        <w:ind w:firstLine="497"/>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 xml:space="preserve">（1）监理人和中心试验室同属建设单位的委托机构并对建设单位负责，接受建设单位的监督和管理。 </w:t>
      </w:r>
    </w:p>
    <w:p w14:paraId="2090C86D">
      <w:pPr>
        <w:spacing w:before="180" w:line="336" w:lineRule="auto"/>
        <w:ind w:firstLine="497"/>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（1.1）监理人可不自行组建中心试验室，本合同约定的全部试验检测工作，监理人应通过委托具备相应资质的第三方试验检测机构完成。</w:t>
      </w:r>
    </w:p>
    <w:p w14:paraId="3696F0A1">
      <w:pPr>
        <w:spacing w:before="180" w:line="336" w:lineRule="auto"/>
        <w:ind w:firstLine="497"/>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（1.2）监理人对外委检测工作的全过程负监督管理责任，包括但不限于：检测机构的选择与考察、见证取样送检、检测过程的监督、检测报告的审核与确认。</w:t>
      </w:r>
    </w:p>
    <w:p w14:paraId="152462EF">
      <w:pPr>
        <w:spacing w:before="180" w:line="336" w:lineRule="auto"/>
        <w:ind w:firstLine="497"/>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（1.3）监理人应建立外委试验管理台账，并定期向建设单位报送外委检测工作情况。</w:t>
      </w:r>
    </w:p>
    <w:p w14:paraId="5474A557">
      <w:pPr>
        <w:spacing w:before="180" w:line="336" w:lineRule="auto"/>
        <w:ind w:firstLine="497"/>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（1.4）因外委检测机构的数据失实、弄虚作假等原因导致工程质量问题或损失的，监理人应首 先向建设单位承担责任，再依据其与检测机构的合同进行追偿。</w:t>
      </w:r>
    </w:p>
    <w:p w14:paraId="4DB5CD50">
      <w:pPr>
        <w:spacing w:before="180" w:line="336" w:lineRule="auto"/>
        <w:ind w:firstLine="497"/>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（1.5）本合同总价已包含监理人完成全部试验检测工作(含外委检测)所需的一切费用，监理人应负责与选定的第三方检测机构结算并支付相关费用。</w:t>
      </w:r>
    </w:p>
    <w:p w14:paraId="6A4206E7">
      <w:pPr>
        <w:spacing w:before="180" w:line="336" w:lineRule="auto"/>
        <w:ind w:firstLine="497"/>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（2）总监理工程师办公室(以下简称“总监办”， 本“总监办”含监理驻地办)和中心试验室是委托人委托的两家法人单位的现场派出机构，在委托人合同授权范围内对共同管辖的施工合同段履行工程质量监管职责，在工作中既要严格遵守合同，坚持原则，又要沟通协调、互相配合，不得相互推诿。中心试验室以试验检测工作为主配合总监办做好工程质量监管工作，独立完成合同规定的试验检测任务。</w:t>
      </w:r>
    </w:p>
    <w:p w14:paraId="340F6526">
      <w:pPr>
        <w:spacing w:before="183" w:line="219" w:lineRule="auto"/>
        <w:ind w:left="498"/>
        <w:rPr>
          <w:rFonts w:ascii="宋体" w:hAnsi="宋体" w:eastAsia="宋体" w:cs="宋体"/>
          <w:color w:val="auto"/>
          <w:sz w:val="22"/>
          <w:szCs w:val="22"/>
          <w:highlight w:val="none"/>
        </w:rPr>
      </w:pPr>
      <w:r>
        <w:rPr>
          <w:rFonts w:ascii="宋体" w:hAnsi="宋体" w:eastAsia="宋体" w:cs="宋体"/>
          <w:color w:val="auto"/>
          <w:spacing w:val="-2"/>
          <w:sz w:val="22"/>
          <w:szCs w:val="22"/>
          <w:highlight w:val="none"/>
        </w:rPr>
        <w:t>（3）总监办与中心试验室工作界面划分</w:t>
      </w:r>
    </w:p>
    <w:p w14:paraId="4EBA441D">
      <w:pPr>
        <w:spacing w:before="183" w:line="219" w:lineRule="auto"/>
        <w:ind w:left="479"/>
        <w:rPr>
          <w:rFonts w:ascii="宋体" w:hAnsi="宋体" w:eastAsia="宋体" w:cs="宋体"/>
          <w:color w:val="auto"/>
          <w:sz w:val="22"/>
          <w:szCs w:val="22"/>
          <w:highlight w:val="none"/>
        </w:rPr>
      </w:pPr>
      <w:r>
        <w:rPr>
          <w:rFonts w:ascii="宋体" w:hAnsi="宋体" w:eastAsia="宋体" w:cs="宋体"/>
          <w:b/>
          <w:bCs/>
          <w:color w:val="auto"/>
          <w:spacing w:val="-2"/>
          <w:sz w:val="22"/>
          <w:szCs w:val="22"/>
          <w:highlight w:val="none"/>
        </w:rPr>
        <w:t>A.中心试验室的试验检测工作范围</w:t>
      </w:r>
    </w:p>
    <w:p w14:paraId="7A88AAA4">
      <w:pPr>
        <w:spacing w:before="181" w:line="312" w:lineRule="auto"/>
        <w:ind w:left="1" w:firstLine="485"/>
        <w:rPr>
          <w:rFonts w:ascii="宋体" w:hAnsi="宋体" w:eastAsia="宋体" w:cs="宋体"/>
          <w:color w:val="auto"/>
          <w:sz w:val="22"/>
          <w:szCs w:val="22"/>
          <w:highlight w:val="none"/>
        </w:rPr>
      </w:pPr>
      <w:r>
        <w:rPr>
          <w:rFonts w:ascii="宋体" w:hAnsi="宋体" w:eastAsia="宋体" w:cs="宋体"/>
          <w:color w:val="auto"/>
          <w:spacing w:val="5"/>
          <w:sz w:val="22"/>
          <w:szCs w:val="22"/>
          <w:highlight w:val="none"/>
        </w:rPr>
        <w:t>a.承担按《公路工程施工监理规范》、《公路工程质量检验评定标准</w:t>
      </w:r>
      <w:r>
        <w:rPr>
          <w:rFonts w:ascii="宋体" w:hAnsi="宋体" w:eastAsia="宋体" w:cs="宋体"/>
          <w:color w:val="auto"/>
          <w:spacing w:val="4"/>
          <w:sz w:val="22"/>
          <w:szCs w:val="22"/>
          <w:highlight w:val="none"/>
        </w:rPr>
        <w:t>》</w:t>
      </w:r>
      <w:r>
        <w:rPr>
          <w:rFonts w:hint="eastAsia" w:ascii="宋体" w:hAnsi="宋体" w:eastAsia="宋体" w:cs="宋体"/>
          <w:color w:val="auto"/>
          <w:spacing w:val="4"/>
          <w:sz w:val="22"/>
          <w:szCs w:val="22"/>
          <w:highlight w:val="none"/>
          <w:lang w:eastAsia="zh-CN"/>
        </w:rPr>
        <w:t>、《公路水运工程质量检测管理办法》(交通运输部令2023年第9号)及项目所在地的工地试验室管理办法</w:t>
      </w:r>
      <w:r>
        <w:rPr>
          <w:rFonts w:ascii="宋体" w:hAnsi="宋体" w:eastAsia="宋体" w:cs="宋体"/>
          <w:color w:val="auto"/>
          <w:spacing w:val="4"/>
          <w:sz w:val="22"/>
          <w:szCs w:val="22"/>
          <w:highlight w:val="none"/>
        </w:rPr>
        <w:t>规定的验</w:t>
      </w:r>
      <w:r>
        <w:rPr>
          <w:rFonts w:ascii="宋体" w:hAnsi="宋体" w:eastAsia="宋体" w:cs="宋体"/>
          <w:color w:val="auto"/>
          <w:spacing w:val="5"/>
          <w:sz w:val="22"/>
          <w:szCs w:val="22"/>
          <w:highlight w:val="none"/>
        </w:rPr>
        <w:t>证试验、室内试验、标准试验、抽样试验、验收试验等工作的取（采）样和</w:t>
      </w:r>
      <w:r>
        <w:rPr>
          <w:rFonts w:ascii="宋体" w:hAnsi="宋体" w:eastAsia="宋体" w:cs="宋体"/>
          <w:color w:val="auto"/>
          <w:spacing w:val="4"/>
          <w:sz w:val="22"/>
          <w:szCs w:val="22"/>
          <w:highlight w:val="none"/>
        </w:rPr>
        <w:t>试验并出</w:t>
      </w:r>
      <w:r>
        <w:rPr>
          <w:rFonts w:ascii="宋体" w:hAnsi="宋体" w:eastAsia="宋体" w:cs="宋体"/>
          <w:color w:val="auto"/>
          <w:spacing w:val="-1"/>
          <w:sz w:val="22"/>
          <w:szCs w:val="22"/>
          <w:highlight w:val="none"/>
        </w:rPr>
        <w:t>具试验报告，并对其真实性负责。</w:t>
      </w:r>
    </w:p>
    <w:p w14:paraId="6D6E09C5">
      <w:pPr>
        <w:spacing w:before="184" w:line="290" w:lineRule="auto"/>
        <w:ind w:left="1" w:firstLine="476"/>
        <w:rPr>
          <w:rFonts w:ascii="宋体" w:hAnsi="宋体" w:eastAsia="宋体" w:cs="宋体"/>
          <w:color w:val="auto"/>
          <w:sz w:val="22"/>
          <w:szCs w:val="22"/>
          <w:highlight w:val="none"/>
        </w:rPr>
      </w:pPr>
      <w:r>
        <w:rPr>
          <w:rFonts w:ascii="宋体" w:hAnsi="宋体" w:eastAsia="宋体" w:cs="宋体"/>
          <w:color w:val="auto"/>
          <w:spacing w:val="2"/>
          <w:sz w:val="22"/>
          <w:szCs w:val="22"/>
          <w:highlight w:val="none"/>
        </w:rPr>
        <w:t>b．代表委托人对原材料、构配件、实体工程质量进行抽检，以及</w:t>
      </w:r>
      <w:r>
        <w:rPr>
          <w:rFonts w:ascii="宋体" w:hAnsi="宋体" w:eastAsia="宋体" w:cs="宋体"/>
          <w:color w:val="auto"/>
          <w:spacing w:val="1"/>
          <w:sz w:val="22"/>
          <w:szCs w:val="22"/>
          <w:highlight w:val="none"/>
        </w:rPr>
        <w:t>委托人组织的质</w:t>
      </w:r>
      <w:r>
        <w:rPr>
          <w:rFonts w:ascii="宋体" w:hAnsi="宋体" w:eastAsia="宋体" w:cs="宋体"/>
          <w:color w:val="auto"/>
          <w:spacing w:val="-1"/>
          <w:sz w:val="22"/>
          <w:szCs w:val="22"/>
          <w:highlight w:val="none"/>
        </w:rPr>
        <w:t>量大检查过程中需进行的试验检测工作。</w:t>
      </w:r>
    </w:p>
    <w:p w14:paraId="1B76AF44">
      <w:pPr>
        <w:spacing w:before="180" w:line="219" w:lineRule="auto"/>
        <w:ind w:left="486"/>
        <w:rPr>
          <w:rFonts w:ascii="宋体" w:hAnsi="宋体" w:eastAsia="宋体" w:cs="宋体"/>
          <w:color w:val="auto"/>
          <w:sz w:val="22"/>
          <w:szCs w:val="22"/>
          <w:highlight w:val="none"/>
        </w:rPr>
      </w:pPr>
      <w:r>
        <w:rPr>
          <w:rFonts w:ascii="宋体" w:hAnsi="宋体" w:eastAsia="宋体" w:cs="宋体"/>
          <w:color w:val="auto"/>
          <w:sz w:val="22"/>
          <w:szCs w:val="22"/>
          <w:highlight w:val="none"/>
        </w:rPr>
        <w:t>c．承担原材料和混凝土、砂浆、压浆浆液等</w:t>
      </w:r>
      <w:r>
        <w:rPr>
          <w:rFonts w:ascii="宋体" w:hAnsi="宋体" w:eastAsia="宋体" w:cs="宋体"/>
          <w:color w:val="auto"/>
          <w:spacing w:val="-1"/>
          <w:sz w:val="22"/>
          <w:szCs w:val="22"/>
          <w:highlight w:val="none"/>
        </w:rPr>
        <w:t>现场试件的取样、送样及试验工作。</w:t>
      </w:r>
    </w:p>
    <w:p w14:paraId="7C6DE06F">
      <w:pPr>
        <w:spacing w:before="181" w:line="289" w:lineRule="auto"/>
        <w:ind w:left="2" w:firstLine="483"/>
        <w:rPr>
          <w:rFonts w:ascii="宋体" w:hAnsi="宋体" w:eastAsia="宋体" w:cs="宋体"/>
          <w:color w:val="auto"/>
          <w:sz w:val="22"/>
          <w:szCs w:val="22"/>
          <w:highlight w:val="none"/>
        </w:rPr>
      </w:pPr>
      <w:r>
        <w:rPr>
          <w:rFonts w:ascii="宋体" w:hAnsi="宋体" w:eastAsia="宋体" w:cs="宋体"/>
          <w:color w:val="auto"/>
          <w:spacing w:val="5"/>
          <w:sz w:val="22"/>
          <w:szCs w:val="22"/>
          <w:highlight w:val="none"/>
        </w:rPr>
        <w:t>d.负责完成委托人组织的优质优价评比及质量检查时的混凝土回弹强度</w:t>
      </w:r>
      <w:r>
        <w:rPr>
          <w:rFonts w:ascii="宋体" w:hAnsi="宋体" w:eastAsia="宋体" w:cs="宋体"/>
          <w:color w:val="auto"/>
          <w:spacing w:val="4"/>
          <w:sz w:val="22"/>
          <w:szCs w:val="22"/>
          <w:highlight w:val="none"/>
        </w:rPr>
        <w:t>及钢筋保</w:t>
      </w:r>
      <w:r>
        <w:rPr>
          <w:rFonts w:ascii="宋体" w:hAnsi="宋体" w:eastAsia="宋体" w:cs="宋体"/>
          <w:color w:val="auto"/>
          <w:sz w:val="22"/>
          <w:szCs w:val="22"/>
          <w:highlight w:val="none"/>
        </w:rPr>
        <w:t>护层试验检测并及时出具试验检测报告，以作为质量</w:t>
      </w:r>
      <w:r>
        <w:rPr>
          <w:rFonts w:ascii="宋体" w:hAnsi="宋体" w:eastAsia="宋体" w:cs="宋体"/>
          <w:color w:val="auto"/>
          <w:spacing w:val="-1"/>
          <w:sz w:val="22"/>
          <w:szCs w:val="22"/>
          <w:highlight w:val="none"/>
        </w:rPr>
        <w:t>评比检查依据及质检资料。</w:t>
      </w:r>
    </w:p>
    <w:p w14:paraId="7331173F">
      <w:pPr>
        <w:spacing w:before="181" w:line="289" w:lineRule="auto"/>
        <w:ind w:left="2" w:firstLine="483"/>
        <w:rPr>
          <w:rFonts w:ascii="宋体" w:hAnsi="宋体" w:eastAsia="宋体" w:cs="宋体"/>
          <w:color w:val="auto"/>
          <w:spacing w:val="5"/>
          <w:sz w:val="22"/>
          <w:szCs w:val="22"/>
          <w:highlight w:val="none"/>
        </w:rPr>
      </w:pPr>
      <w:r>
        <w:rPr>
          <w:rFonts w:ascii="宋体" w:hAnsi="宋体" w:eastAsia="宋体" w:cs="宋体"/>
          <w:color w:val="auto"/>
          <w:spacing w:val="5"/>
          <w:sz w:val="22"/>
          <w:szCs w:val="22"/>
          <w:highlight w:val="none"/>
        </w:rPr>
        <w:t>e．完成委托人及质量监督机构安排的其他试验检测任务。</w:t>
      </w:r>
    </w:p>
    <w:p w14:paraId="5C7E8BF6">
      <w:pPr>
        <w:spacing w:before="181" w:line="289" w:lineRule="auto"/>
        <w:ind w:left="2" w:firstLine="483"/>
        <w:rPr>
          <w:rFonts w:ascii="宋体" w:hAnsi="宋体" w:eastAsia="宋体" w:cs="宋体"/>
          <w:color w:val="auto"/>
          <w:spacing w:val="5"/>
          <w:sz w:val="22"/>
          <w:szCs w:val="22"/>
          <w:highlight w:val="none"/>
        </w:rPr>
      </w:pPr>
      <w:r>
        <w:rPr>
          <w:rFonts w:ascii="宋体" w:hAnsi="宋体" w:eastAsia="宋体" w:cs="宋体"/>
          <w:color w:val="auto"/>
          <w:spacing w:val="5"/>
          <w:sz w:val="22"/>
          <w:szCs w:val="22"/>
          <w:highlight w:val="none"/>
        </w:rPr>
        <w:t>f.审查和批准施工单位对外委托的检测单位，报委托人备案。施工单位有外委试验检测，中心试验室应派员参加取样、送样的见证工作。</w:t>
      </w:r>
    </w:p>
    <w:p w14:paraId="2758CE69">
      <w:pPr>
        <w:spacing w:before="181" w:line="289" w:lineRule="auto"/>
        <w:ind w:left="2" w:firstLine="483"/>
        <w:rPr>
          <w:rFonts w:ascii="宋体" w:hAnsi="宋体" w:eastAsia="宋体" w:cs="宋体"/>
          <w:color w:val="auto"/>
          <w:spacing w:val="5"/>
          <w:sz w:val="22"/>
          <w:szCs w:val="22"/>
          <w:highlight w:val="none"/>
        </w:rPr>
      </w:pPr>
      <w:r>
        <w:rPr>
          <w:rFonts w:ascii="宋体" w:hAnsi="宋体" w:eastAsia="宋体" w:cs="宋体"/>
          <w:color w:val="auto"/>
          <w:spacing w:val="5"/>
          <w:sz w:val="22"/>
          <w:szCs w:val="22"/>
          <w:highlight w:val="none"/>
        </w:rPr>
        <w:t>g.负责督促施工准备阶段施工单位工地试验室的建设和审查试验室认定材料，配合委托人组织做好施工单位工地试验室临时资质的考核工作；负责检查施工单位工地试验室的试验管理工作，不定期检查其试验室，核查试验室仪器设备完好情况、标定情况以及人员变更情况，并有权要求施工单位增加中心试验室试验检测服务单位员、更换不称职的中心试验室试验检测服务单位人员和配备足够的试验仪器、设备等，必要情况下向委托人汇报。</w:t>
      </w:r>
    </w:p>
    <w:p w14:paraId="0A6A21DC">
      <w:pPr>
        <w:spacing w:before="180" w:line="219" w:lineRule="auto"/>
        <w:ind w:left="478"/>
        <w:rPr>
          <w:rFonts w:ascii="宋体" w:hAnsi="宋体" w:eastAsia="宋体" w:cs="宋体"/>
          <w:color w:val="auto"/>
          <w:sz w:val="22"/>
          <w:szCs w:val="22"/>
          <w:highlight w:val="none"/>
        </w:rPr>
      </w:pPr>
      <w:r>
        <w:rPr>
          <w:rFonts w:ascii="宋体" w:hAnsi="宋体" w:eastAsia="宋体" w:cs="宋体"/>
          <w:color w:val="auto"/>
          <w:spacing w:val="-1"/>
          <w:sz w:val="22"/>
          <w:szCs w:val="22"/>
          <w:highlight w:val="none"/>
        </w:rPr>
        <w:t>h. 协助委托人完成交工各项试验检测工作。</w:t>
      </w:r>
    </w:p>
    <w:p w14:paraId="1932C717">
      <w:pPr>
        <w:spacing w:before="183" w:line="219" w:lineRule="auto"/>
        <w:ind w:left="475"/>
        <w:rPr>
          <w:rFonts w:ascii="宋体" w:hAnsi="宋体" w:eastAsia="宋体" w:cs="宋体"/>
          <w:color w:val="auto"/>
          <w:sz w:val="22"/>
          <w:szCs w:val="22"/>
          <w:highlight w:val="none"/>
        </w:rPr>
      </w:pPr>
      <w:r>
        <w:rPr>
          <w:rFonts w:ascii="宋体" w:hAnsi="宋体" w:eastAsia="宋体" w:cs="宋体"/>
          <w:b/>
          <w:bCs/>
          <w:color w:val="auto"/>
          <w:spacing w:val="-2"/>
          <w:sz w:val="22"/>
          <w:szCs w:val="22"/>
          <w:highlight w:val="none"/>
        </w:rPr>
        <w:t>B.</w:t>
      </w:r>
      <w:r>
        <w:rPr>
          <w:rFonts w:ascii="宋体" w:hAnsi="宋体" w:eastAsia="宋体" w:cs="宋体"/>
          <w:color w:val="auto"/>
          <w:spacing w:val="-2"/>
          <w:sz w:val="22"/>
          <w:szCs w:val="22"/>
          <w:highlight w:val="none"/>
        </w:rPr>
        <w:t xml:space="preserve"> </w:t>
      </w:r>
      <w:r>
        <w:rPr>
          <w:rFonts w:ascii="宋体" w:hAnsi="宋体" w:eastAsia="宋体" w:cs="宋体"/>
          <w:b/>
          <w:bCs/>
          <w:color w:val="auto"/>
          <w:spacing w:val="-2"/>
          <w:sz w:val="22"/>
          <w:szCs w:val="22"/>
          <w:highlight w:val="none"/>
        </w:rPr>
        <w:t>总监办监理工程师工作范围</w:t>
      </w:r>
    </w:p>
    <w:p w14:paraId="66A2C5D2">
      <w:pPr>
        <w:spacing w:before="181" w:line="359" w:lineRule="auto"/>
        <w:ind w:left="46" w:right="128" w:firstLine="440"/>
        <w:rPr>
          <w:rFonts w:ascii="宋体" w:hAnsi="宋体" w:eastAsia="宋体" w:cs="宋体"/>
          <w:color w:val="auto"/>
          <w:sz w:val="22"/>
          <w:szCs w:val="22"/>
          <w:highlight w:val="none"/>
        </w:rPr>
      </w:pPr>
      <w:r>
        <w:rPr>
          <w:rFonts w:ascii="宋体" w:hAnsi="宋体" w:eastAsia="宋体" w:cs="宋体"/>
          <w:color w:val="auto"/>
          <w:spacing w:val="5"/>
          <w:sz w:val="22"/>
          <w:szCs w:val="22"/>
          <w:highlight w:val="none"/>
        </w:rPr>
        <w:t>总监办进行中心试验室工作范围外以及为加强现场质量控制所进行的试验检测项</w:t>
      </w:r>
      <w:r>
        <w:rPr>
          <w:rFonts w:ascii="宋体" w:hAnsi="宋体" w:eastAsia="宋体" w:cs="宋体"/>
          <w:color w:val="auto"/>
          <w:spacing w:val="-7"/>
          <w:sz w:val="22"/>
          <w:szCs w:val="22"/>
          <w:highlight w:val="none"/>
        </w:rPr>
        <w:t>目，包括但不限于：</w:t>
      </w:r>
    </w:p>
    <w:p w14:paraId="632C51F3">
      <w:pPr>
        <w:spacing w:line="313" w:lineRule="auto"/>
        <w:ind w:left="2" w:right="125" w:firstLine="479"/>
        <w:rPr>
          <w:rFonts w:ascii="宋体" w:hAnsi="宋体" w:eastAsia="宋体" w:cs="宋体"/>
          <w:color w:val="auto"/>
          <w:sz w:val="22"/>
          <w:szCs w:val="22"/>
          <w:highlight w:val="none"/>
        </w:rPr>
      </w:pPr>
      <w:r>
        <w:rPr>
          <w:rFonts w:ascii="宋体" w:hAnsi="宋体" w:eastAsia="宋体" w:cs="宋体"/>
          <w:color w:val="auto"/>
          <w:spacing w:val="5"/>
          <w:sz w:val="22"/>
          <w:szCs w:val="22"/>
          <w:highlight w:val="none"/>
        </w:rPr>
        <w:t>a.对基准点引出的工程控制桩进行复测，对施工放线的路线平面控制点、各种结</w:t>
      </w:r>
      <w:r>
        <w:rPr>
          <w:rFonts w:ascii="宋体" w:hAnsi="宋体" w:eastAsia="宋体" w:cs="宋体"/>
          <w:color w:val="auto"/>
          <w:sz w:val="22"/>
          <w:szCs w:val="22"/>
          <w:highlight w:val="none"/>
        </w:rPr>
        <w:t>构物定位的轴线控制桩位以及各高程控制点等重点桩位进行</w:t>
      </w:r>
      <w:r>
        <w:rPr>
          <w:rFonts w:ascii="宋体" w:hAnsi="宋体" w:eastAsia="宋体" w:cs="宋体"/>
          <w:color w:val="auto"/>
          <w:spacing w:val="-1"/>
          <w:sz w:val="22"/>
          <w:szCs w:val="22"/>
          <w:highlight w:val="none"/>
        </w:rPr>
        <w:t>不少于</w:t>
      </w:r>
      <w:r>
        <w:rPr>
          <w:rFonts w:ascii="宋体" w:hAnsi="宋体" w:eastAsia="宋体" w:cs="宋体"/>
          <w:color w:val="auto"/>
          <w:spacing w:val="-45"/>
          <w:sz w:val="22"/>
          <w:szCs w:val="22"/>
          <w:highlight w:val="none"/>
        </w:rPr>
        <w:t xml:space="preserve"> </w:t>
      </w:r>
      <w:r>
        <w:rPr>
          <w:rFonts w:ascii="宋体" w:hAnsi="宋体" w:eastAsia="宋体" w:cs="宋体"/>
          <w:color w:val="auto"/>
          <w:spacing w:val="-1"/>
          <w:sz w:val="22"/>
          <w:szCs w:val="22"/>
          <w:highlight w:val="none"/>
        </w:rPr>
        <w:t>30%复测，经复测不符合规定时应要求其重新测设。</w:t>
      </w:r>
    </w:p>
    <w:p w14:paraId="2D965785">
      <w:pPr>
        <w:spacing w:before="180" w:line="290" w:lineRule="auto"/>
        <w:ind w:left="7" w:right="128" w:firstLine="469"/>
        <w:rPr>
          <w:rFonts w:ascii="宋体" w:hAnsi="宋体" w:eastAsia="宋体" w:cs="宋体"/>
          <w:color w:val="auto"/>
          <w:sz w:val="22"/>
          <w:szCs w:val="22"/>
          <w:highlight w:val="none"/>
        </w:rPr>
      </w:pPr>
      <w:r>
        <w:rPr>
          <w:rFonts w:ascii="宋体" w:hAnsi="宋体" w:eastAsia="宋体" w:cs="宋体"/>
          <w:color w:val="auto"/>
          <w:spacing w:val="5"/>
          <w:sz w:val="22"/>
          <w:szCs w:val="22"/>
          <w:highlight w:val="none"/>
        </w:rPr>
        <w:t>b.完成《公路工程质量检验评定标准》中规定的测量工作内容包括结构尺寸、标</w:t>
      </w:r>
      <w:r>
        <w:rPr>
          <w:rFonts w:ascii="宋体" w:hAnsi="宋体" w:eastAsia="宋体" w:cs="宋体"/>
          <w:color w:val="auto"/>
          <w:spacing w:val="-6"/>
          <w:sz w:val="22"/>
          <w:szCs w:val="22"/>
          <w:highlight w:val="none"/>
        </w:rPr>
        <w:t>高等；</w:t>
      </w:r>
    </w:p>
    <w:p w14:paraId="0E0E8860">
      <w:pPr>
        <w:spacing w:before="180" w:line="289" w:lineRule="auto"/>
        <w:ind w:left="23" w:right="128" w:firstLine="462"/>
        <w:rPr>
          <w:rFonts w:ascii="宋体" w:hAnsi="宋体" w:eastAsia="宋体" w:cs="宋体"/>
          <w:color w:val="auto"/>
          <w:sz w:val="22"/>
          <w:szCs w:val="22"/>
          <w:highlight w:val="none"/>
        </w:rPr>
      </w:pPr>
      <w:r>
        <w:rPr>
          <w:rFonts w:ascii="宋体" w:hAnsi="宋体" w:eastAsia="宋体" w:cs="宋体"/>
          <w:color w:val="auto"/>
          <w:spacing w:val="2"/>
          <w:sz w:val="22"/>
          <w:szCs w:val="22"/>
          <w:highlight w:val="none"/>
        </w:rPr>
        <w:t>c．完成《公路工程施工监理规范》及《公路</w:t>
      </w:r>
      <w:r>
        <w:rPr>
          <w:rFonts w:ascii="宋体" w:hAnsi="宋体" w:eastAsia="宋体" w:cs="宋体"/>
          <w:color w:val="auto"/>
          <w:spacing w:val="1"/>
          <w:sz w:val="22"/>
          <w:szCs w:val="22"/>
          <w:highlight w:val="none"/>
        </w:rPr>
        <w:t>工程质量检验评定标准》中规定的除</w:t>
      </w:r>
      <w:r>
        <w:rPr>
          <w:rFonts w:ascii="宋体" w:hAnsi="宋体" w:eastAsia="宋体" w:cs="宋体"/>
          <w:color w:val="auto"/>
          <w:spacing w:val="-3"/>
          <w:sz w:val="22"/>
          <w:szCs w:val="22"/>
          <w:highlight w:val="none"/>
        </w:rPr>
        <w:t>中心试验室承担的其他检测内容。</w:t>
      </w:r>
    </w:p>
    <w:p w14:paraId="71158AEB">
      <w:pPr>
        <w:spacing w:before="182" w:line="290" w:lineRule="auto"/>
        <w:ind w:left="6" w:firstLine="479"/>
        <w:rPr>
          <w:rFonts w:ascii="宋体" w:hAnsi="宋体" w:eastAsia="宋体" w:cs="宋体"/>
          <w:color w:val="auto"/>
          <w:sz w:val="22"/>
          <w:szCs w:val="22"/>
          <w:highlight w:val="none"/>
        </w:rPr>
      </w:pPr>
      <w:r>
        <w:rPr>
          <w:rFonts w:ascii="宋体" w:hAnsi="宋体" w:eastAsia="宋体" w:cs="宋体"/>
          <w:color w:val="auto"/>
          <w:spacing w:val="-1"/>
          <w:sz w:val="22"/>
          <w:szCs w:val="22"/>
          <w:highlight w:val="none"/>
        </w:rPr>
        <w:t>d．负责《公路工程质量检验评定标准》要</w:t>
      </w:r>
      <w:r>
        <w:rPr>
          <w:rFonts w:ascii="宋体" w:hAnsi="宋体" w:eastAsia="宋体" w:cs="宋体"/>
          <w:color w:val="auto"/>
          <w:spacing w:val="-2"/>
          <w:sz w:val="22"/>
          <w:szCs w:val="22"/>
          <w:highlight w:val="none"/>
        </w:rPr>
        <w:t>求的评定指标以外但直接影响工程质量、</w:t>
      </w:r>
      <w:r>
        <w:rPr>
          <w:rFonts w:ascii="宋体" w:hAnsi="宋体" w:eastAsia="宋体" w:cs="宋体"/>
          <w:color w:val="auto"/>
          <w:spacing w:val="-1"/>
          <w:sz w:val="22"/>
          <w:szCs w:val="22"/>
          <w:highlight w:val="none"/>
        </w:rPr>
        <w:t>结构性能的其他部分质量指标检测任务；</w:t>
      </w:r>
    </w:p>
    <w:p w14:paraId="437DCCB2">
      <w:pPr>
        <w:spacing w:before="178" w:line="313" w:lineRule="auto"/>
        <w:ind w:right="128" w:firstLine="485"/>
        <w:rPr>
          <w:rFonts w:ascii="宋体" w:hAnsi="宋体" w:eastAsia="宋体" w:cs="宋体"/>
          <w:color w:val="auto"/>
          <w:sz w:val="22"/>
          <w:szCs w:val="22"/>
          <w:highlight w:val="none"/>
        </w:rPr>
      </w:pPr>
      <w:r>
        <w:rPr>
          <w:rFonts w:ascii="宋体" w:hAnsi="宋体" w:eastAsia="宋体" w:cs="宋体"/>
          <w:color w:val="auto"/>
          <w:spacing w:val="3"/>
          <w:sz w:val="22"/>
          <w:szCs w:val="22"/>
          <w:highlight w:val="none"/>
        </w:rPr>
        <w:t>e．监理机构应安排监理人员对合同约定和现行《公路工程施工监理规范》附录</w:t>
      </w:r>
      <w:r>
        <w:rPr>
          <w:rFonts w:ascii="宋体" w:hAnsi="宋体" w:eastAsia="宋体" w:cs="宋体"/>
          <w:color w:val="auto"/>
          <w:spacing w:val="-53"/>
          <w:sz w:val="22"/>
          <w:szCs w:val="22"/>
          <w:highlight w:val="none"/>
        </w:rPr>
        <w:t xml:space="preserve"> </w:t>
      </w:r>
      <w:r>
        <w:rPr>
          <w:rFonts w:ascii="宋体" w:hAnsi="宋体" w:eastAsia="宋体" w:cs="宋体"/>
          <w:color w:val="auto"/>
          <w:spacing w:val="3"/>
          <w:sz w:val="22"/>
          <w:szCs w:val="22"/>
          <w:highlight w:val="none"/>
        </w:rPr>
        <w:t>A</w:t>
      </w:r>
      <w:r>
        <w:rPr>
          <w:rFonts w:ascii="宋体" w:hAnsi="宋体" w:eastAsia="宋体" w:cs="宋体"/>
          <w:color w:val="auto"/>
          <w:spacing w:val="5"/>
          <w:sz w:val="22"/>
          <w:szCs w:val="22"/>
          <w:highlight w:val="none"/>
        </w:rPr>
        <w:t>所列旁站项目的施工过程进行旁站，对主要工程的关键项目进行检测见证，</w:t>
      </w:r>
      <w:r>
        <w:rPr>
          <w:rFonts w:ascii="宋体" w:hAnsi="宋体" w:eastAsia="宋体" w:cs="宋体"/>
          <w:color w:val="auto"/>
          <w:spacing w:val="4"/>
          <w:sz w:val="22"/>
          <w:szCs w:val="22"/>
          <w:highlight w:val="none"/>
        </w:rPr>
        <w:t>并签写旁</w:t>
      </w:r>
      <w:r>
        <w:rPr>
          <w:rFonts w:ascii="宋体" w:hAnsi="宋体" w:eastAsia="宋体" w:cs="宋体"/>
          <w:color w:val="auto"/>
          <w:spacing w:val="-1"/>
          <w:sz w:val="22"/>
          <w:szCs w:val="22"/>
          <w:highlight w:val="none"/>
        </w:rPr>
        <w:t>站记录，签认检测见证结果。</w:t>
      </w:r>
    </w:p>
    <w:p w14:paraId="0C0E9FC7">
      <w:pPr>
        <w:spacing w:before="182" w:line="290" w:lineRule="auto"/>
        <w:ind w:left="3" w:right="128" w:firstLine="480"/>
        <w:rPr>
          <w:rFonts w:ascii="宋体" w:hAnsi="宋体" w:eastAsia="宋体" w:cs="宋体"/>
          <w:color w:val="auto"/>
          <w:sz w:val="22"/>
          <w:szCs w:val="22"/>
          <w:highlight w:val="none"/>
        </w:rPr>
      </w:pPr>
      <w:r>
        <w:rPr>
          <w:rFonts w:ascii="宋体" w:hAnsi="宋体" w:eastAsia="宋体" w:cs="宋体"/>
          <w:color w:val="auto"/>
          <w:spacing w:val="2"/>
          <w:sz w:val="22"/>
          <w:szCs w:val="22"/>
          <w:highlight w:val="none"/>
        </w:rPr>
        <w:t>f. 负责施工过程中混凝土质量（坍落度、</w:t>
      </w:r>
      <w:r>
        <w:rPr>
          <w:rFonts w:ascii="宋体" w:hAnsi="宋体" w:eastAsia="宋体" w:cs="宋体"/>
          <w:color w:val="auto"/>
          <w:spacing w:val="1"/>
          <w:sz w:val="22"/>
          <w:szCs w:val="22"/>
          <w:highlight w:val="none"/>
        </w:rPr>
        <w:t>扩展度等）及钢筋保护层厚度的质量检</w:t>
      </w:r>
      <w:r>
        <w:rPr>
          <w:rFonts w:ascii="宋体" w:hAnsi="宋体" w:eastAsia="宋体" w:cs="宋体"/>
          <w:color w:val="auto"/>
          <w:spacing w:val="-2"/>
          <w:sz w:val="22"/>
          <w:szCs w:val="22"/>
          <w:highlight w:val="none"/>
        </w:rPr>
        <w:t>查及验收评定。</w:t>
      </w:r>
    </w:p>
    <w:p w14:paraId="0111AC6C">
      <w:pPr>
        <w:spacing w:before="181" w:line="219" w:lineRule="auto"/>
        <w:ind w:left="479"/>
        <w:rPr>
          <w:rFonts w:ascii="宋体" w:hAnsi="宋体" w:eastAsia="宋体" w:cs="宋体"/>
          <w:color w:val="auto"/>
          <w:sz w:val="22"/>
          <w:szCs w:val="22"/>
          <w:highlight w:val="none"/>
        </w:rPr>
      </w:pPr>
      <w:r>
        <w:rPr>
          <w:rFonts w:ascii="宋体" w:hAnsi="宋体" w:eastAsia="宋体" w:cs="宋体"/>
          <w:b/>
          <w:bCs/>
          <w:color w:val="auto"/>
          <w:spacing w:val="-3"/>
          <w:sz w:val="22"/>
          <w:szCs w:val="22"/>
          <w:highlight w:val="none"/>
        </w:rPr>
        <w:t>C．试验检测结果争议的处理</w:t>
      </w:r>
    </w:p>
    <w:p w14:paraId="4F082996">
      <w:pPr>
        <w:spacing w:before="181" w:line="359" w:lineRule="auto"/>
        <w:ind w:left="1" w:right="128" w:firstLine="494"/>
        <w:rPr>
          <w:rFonts w:ascii="宋体" w:hAnsi="宋体" w:eastAsia="宋体" w:cs="宋体"/>
          <w:color w:val="auto"/>
          <w:sz w:val="22"/>
          <w:szCs w:val="22"/>
          <w:highlight w:val="none"/>
        </w:rPr>
      </w:pPr>
      <w:r>
        <w:rPr>
          <w:rFonts w:ascii="宋体" w:hAnsi="宋体" w:eastAsia="宋体" w:cs="宋体"/>
          <w:color w:val="auto"/>
          <w:spacing w:val="5"/>
          <w:sz w:val="22"/>
          <w:szCs w:val="22"/>
          <w:highlight w:val="none"/>
        </w:rPr>
        <w:t>当委托人或监理对中心试验室检测工作质量存疑或存在争议</w:t>
      </w:r>
      <w:r>
        <w:rPr>
          <w:rFonts w:ascii="宋体" w:hAnsi="宋体" w:eastAsia="宋体" w:cs="宋体"/>
          <w:color w:val="auto"/>
          <w:spacing w:val="4"/>
          <w:sz w:val="22"/>
          <w:szCs w:val="22"/>
          <w:highlight w:val="none"/>
        </w:rPr>
        <w:t>时，委托人将组织各</w:t>
      </w:r>
      <w:r>
        <w:rPr>
          <w:rFonts w:ascii="宋体" w:hAnsi="宋体" w:eastAsia="宋体" w:cs="宋体"/>
          <w:color w:val="auto"/>
          <w:spacing w:val="-1"/>
          <w:sz w:val="22"/>
          <w:szCs w:val="22"/>
          <w:highlight w:val="none"/>
        </w:rPr>
        <w:t>方联合核查，必要时将提请质量监督单位进行仲裁。</w:t>
      </w:r>
    </w:p>
    <w:p w14:paraId="4EBB2011">
      <w:pPr>
        <w:spacing w:line="219" w:lineRule="auto"/>
        <w:ind w:left="503"/>
        <w:rPr>
          <w:rFonts w:ascii="宋体" w:hAnsi="宋体" w:eastAsia="宋体" w:cs="宋体"/>
          <w:color w:val="auto"/>
          <w:sz w:val="22"/>
          <w:szCs w:val="22"/>
          <w:highlight w:val="none"/>
        </w:rPr>
      </w:pPr>
      <w:r>
        <w:rPr>
          <w:rFonts w:ascii="宋体" w:hAnsi="宋体" w:eastAsia="宋体" w:cs="宋体"/>
          <w:color w:val="auto"/>
          <w:spacing w:val="-1"/>
          <w:sz w:val="22"/>
          <w:szCs w:val="22"/>
          <w:highlight w:val="none"/>
        </w:rPr>
        <w:t>13.6.2. 总监办的工程质量监管职责（包含但不限于以下工作）</w:t>
      </w:r>
    </w:p>
    <w:p w14:paraId="654DCFAC">
      <w:pPr>
        <w:spacing w:before="182" w:line="289" w:lineRule="auto"/>
        <w:ind w:left="123" w:right="128" w:firstLine="525"/>
        <w:rPr>
          <w:rFonts w:ascii="宋体" w:hAnsi="宋体" w:eastAsia="宋体" w:cs="宋体"/>
          <w:color w:val="auto"/>
          <w:sz w:val="22"/>
          <w:szCs w:val="22"/>
          <w:highlight w:val="none"/>
        </w:rPr>
      </w:pPr>
      <w:r>
        <w:rPr>
          <w:rFonts w:ascii="宋体" w:hAnsi="宋体" w:eastAsia="宋体" w:cs="宋体"/>
          <w:color w:val="auto"/>
          <w:sz w:val="22"/>
          <w:szCs w:val="22"/>
          <w:highlight w:val="none"/>
        </w:rPr>
        <w:t>(1)配合中心试验室做好施工单位工地试验室临时资质的考核等工作，参与中心试验室组织的施工单位工地试验室临时资质的考核。</w:t>
      </w:r>
    </w:p>
    <w:p w14:paraId="12835A79">
      <w:pPr>
        <w:spacing w:before="182" w:line="289" w:lineRule="auto"/>
        <w:ind w:left="123" w:right="128" w:firstLine="525"/>
        <w:rPr>
          <w:rFonts w:ascii="宋体" w:hAnsi="宋体" w:eastAsia="宋体" w:cs="宋体"/>
          <w:color w:val="auto"/>
          <w:sz w:val="22"/>
          <w:szCs w:val="22"/>
          <w:highlight w:val="none"/>
        </w:rPr>
      </w:pPr>
      <w:r>
        <w:rPr>
          <w:rFonts w:ascii="宋体" w:hAnsi="宋体" w:eastAsia="宋体" w:cs="宋体"/>
          <w:color w:val="auto"/>
          <w:sz w:val="22"/>
          <w:szCs w:val="22"/>
          <w:highlight w:val="none"/>
        </w:rPr>
        <w:t>(2)监理人按要求设置试验检测工程师，配合中心试验室对施工单位试验检测工作指导、检查、管理，并承担监理其他的试验检测工作。</w:t>
      </w:r>
    </w:p>
    <w:p w14:paraId="6090D294">
      <w:pPr>
        <w:spacing w:before="182" w:line="289" w:lineRule="auto"/>
        <w:ind w:left="123" w:right="128" w:firstLine="525"/>
        <w:rPr>
          <w:rFonts w:ascii="宋体" w:hAnsi="宋体" w:eastAsia="宋体" w:cs="宋体"/>
          <w:color w:val="auto"/>
          <w:sz w:val="22"/>
          <w:szCs w:val="22"/>
          <w:highlight w:val="none"/>
        </w:rPr>
      </w:pPr>
      <w:r>
        <w:rPr>
          <w:rFonts w:ascii="宋体" w:hAnsi="宋体" w:eastAsia="宋体" w:cs="宋体"/>
          <w:color w:val="auto"/>
          <w:sz w:val="22"/>
          <w:szCs w:val="22"/>
          <w:highlight w:val="none"/>
        </w:rPr>
        <w:t>(3)负责审批施工单位的试验检测工作计划，检查计划执行情况。</w:t>
      </w:r>
    </w:p>
    <w:p w14:paraId="4E3F4A1E">
      <w:pPr>
        <w:spacing w:before="182" w:line="289" w:lineRule="auto"/>
        <w:ind w:left="123" w:right="128" w:firstLine="525"/>
        <w:rPr>
          <w:rFonts w:ascii="宋体" w:hAnsi="宋体" w:eastAsia="宋体" w:cs="宋体"/>
          <w:color w:val="auto"/>
          <w:sz w:val="22"/>
          <w:szCs w:val="22"/>
          <w:highlight w:val="none"/>
        </w:rPr>
      </w:pPr>
      <w:r>
        <w:rPr>
          <w:rFonts w:ascii="宋体" w:hAnsi="宋体" w:eastAsia="宋体" w:cs="宋体"/>
          <w:color w:val="auto"/>
          <w:sz w:val="22"/>
          <w:szCs w:val="22"/>
          <w:highlight w:val="none"/>
        </w:rPr>
        <w:t>(4)监理人按要求设置试验检测工程师，负责施工单位试验检测监理工作，对施工</w:t>
      </w:r>
      <w:r>
        <w:rPr>
          <w:rFonts w:ascii="宋体" w:hAnsi="宋体" w:eastAsia="宋体" w:cs="宋体"/>
          <w:color w:val="auto"/>
          <w:spacing w:val="-1"/>
          <w:sz w:val="22"/>
          <w:szCs w:val="22"/>
          <w:highlight w:val="none"/>
        </w:rPr>
        <w:t>单位试验检测工作指导、检查、管理，负责与中心试验室的协调工作。</w:t>
      </w:r>
    </w:p>
    <w:p w14:paraId="20B7C940">
      <w:pPr>
        <w:spacing w:before="180" w:line="313" w:lineRule="auto"/>
        <w:ind w:left="122" w:right="128" w:firstLine="526"/>
        <w:rPr>
          <w:rFonts w:ascii="宋体" w:hAnsi="宋体" w:eastAsia="宋体" w:cs="宋体"/>
          <w:color w:val="auto"/>
          <w:sz w:val="22"/>
          <w:szCs w:val="22"/>
          <w:highlight w:val="none"/>
        </w:rPr>
      </w:pPr>
      <w:r>
        <w:rPr>
          <w:rFonts w:ascii="宋体" w:hAnsi="宋体" w:eastAsia="宋体" w:cs="宋体"/>
          <w:color w:val="auto"/>
          <w:spacing w:val="4"/>
          <w:sz w:val="22"/>
          <w:szCs w:val="22"/>
          <w:highlight w:val="none"/>
        </w:rPr>
        <w:t>(5) 监理人应在施工单位自检合格基础上按最新</w:t>
      </w:r>
      <w:r>
        <w:rPr>
          <w:rFonts w:ascii="宋体" w:hAnsi="宋体" w:eastAsia="宋体" w:cs="宋体"/>
          <w:color w:val="auto"/>
          <w:spacing w:val="3"/>
          <w:sz w:val="22"/>
          <w:szCs w:val="22"/>
          <w:highlight w:val="none"/>
        </w:rPr>
        <w:t>《公路工程施工监理规范》相关</w:t>
      </w:r>
      <w:r>
        <w:rPr>
          <w:rFonts w:ascii="宋体" w:hAnsi="宋体" w:eastAsia="宋体" w:cs="宋体"/>
          <w:color w:val="auto"/>
          <w:spacing w:val="5"/>
          <w:sz w:val="22"/>
          <w:szCs w:val="22"/>
          <w:highlight w:val="none"/>
        </w:rPr>
        <w:t>规定进行抽检，并按相关附录格式填写抽检记录，并负责施工单位试验检</w:t>
      </w:r>
      <w:r>
        <w:rPr>
          <w:rFonts w:ascii="宋体" w:hAnsi="宋体" w:eastAsia="宋体" w:cs="宋体"/>
          <w:color w:val="auto"/>
          <w:spacing w:val="4"/>
          <w:sz w:val="22"/>
          <w:szCs w:val="22"/>
          <w:highlight w:val="none"/>
        </w:rPr>
        <w:t>测的见证、</w:t>
      </w:r>
      <w:r>
        <w:rPr>
          <w:rFonts w:ascii="宋体" w:hAnsi="宋体" w:eastAsia="宋体" w:cs="宋体"/>
          <w:color w:val="auto"/>
          <w:spacing w:val="-1"/>
          <w:sz w:val="22"/>
          <w:szCs w:val="22"/>
          <w:highlight w:val="none"/>
        </w:rPr>
        <w:t>旁站和相关资料的签认。</w:t>
      </w:r>
    </w:p>
    <w:p w14:paraId="7DE5D913">
      <w:pPr>
        <w:spacing w:before="183" w:line="324" w:lineRule="auto"/>
        <w:ind w:left="120" w:right="128" w:firstLine="528"/>
        <w:rPr>
          <w:rFonts w:ascii="宋体" w:hAnsi="宋体" w:eastAsia="宋体" w:cs="宋体"/>
          <w:color w:val="auto"/>
          <w:sz w:val="22"/>
          <w:szCs w:val="22"/>
          <w:highlight w:val="none"/>
        </w:rPr>
      </w:pPr>
      <w:r>
        <w:rPr>
          <w:rFonts w:ascii="宋体" w:hAnsi="宋体" w:eastAsia="宋体" w:cs="宋体"/>
          <w:color w:val="auto"/>
          <w:sz w:val="22"/>
          <w:szCs w:val="22"/>
          <w:highlight w:val="none"/>
        </w:rPr>
        <w:t>(6)监理人负责原材料厂家考察、审核（审批）及进场材料使用前的审批工作。对</w:t>
      </w:r>
      <w:r>
        <w:rPr>
          <w:rFonts w:ascii="宋体" w:hAnsi="宋体" w:eastAsia="宋体" w:cs="宋体"/>
          <w:color w:val="auto"/>
          <w:spacing w:val="5"/>
          <w:sz w:val="22"/>
          <w:szCs w:val="22"/>
          <w:highlight w:val="none"/>
        </w:rPr>
        <w:t>施工单位外部采购和委托制作的主要工程构配件或设备，监理工程师应检查产</w:t>
      </w:r>
      <w:r>
        <w:rPr>
          <w:rFonts w:ascii="宋体" w:hAnsi="宋体" w:eastAsia="宋体" w:cs="宋体"/>
          <w:color w:val="auto"/>
          <w:spacing w:val="4"/>
          <w:sz w:val="22"/>
          <w:szCs w:val="22"/>
          <w:highlight w:val="none"/>
        </w:rPr>
        <w:t>品合格</w:t>
      </w:r>
      <w:r>
        <w:rPr>
          <w:rFonts w:ascii="宋体" w:hAnsi="宋体" w:eastAsia="宋体" w:cs="宋体"/>
          <w:color w:val="auto"/>
          <w:spacing w:val="5"/>
          <w:sz w:val="22"/>
          <w:szCs w:val="22"/>
          <w:highlight w:val="none"/>
        </w:rPr>
        <w:t>证明文件和施工单位自检报告，进场后对关键项目进行抽检验收合格后方可使</w:t>
      </w:r>
      <w:r>
        <w:rPr>
          <w:rFonts w:ascii="宋体" w:hAnsi="宋体" w:eastAsia="宋体" w:cs="宋体"/>
          <w:color w:val="auto"/>
          <w:spacing w:val="4"/>
          <w:sz w:val="22"/>
          <w:szCs w:val="22"/>
          <w:highlight w:val="none"/>
        </w:rPr>
        <w:t>用，对</w:t>
      </w:r>
      <w:r>
        <w:rPr>
          <w:rFonts w:ascii="宋体" w:hAnsi="宋体" w:eastAsia="宋体" w:cs="宋体"/>
          <w:color w:val="auto"/>
          <w:sz w:val="22"/>
          <w:szCs w:val="22"/>
          <w:highlight w:val="none"/>
        </w:rPr>
        <w:t>监理不能检测项目可委托中心试验室进行试</w:t>
      </w:r>
      <w:r>
        <w:rPr>
          <w:rFonts w:ascii="宋体" w:hAnsi="宋体" w:eastAsia="宋体" w:cs="宋体"/>
          <w:color w:val="auto"/>
          <w:spacing w:val="-1"/>
          <w:sz w:val="22"/>
          <w:szCs w:val="22"/>
          <w:highlight w:val="none"/>
        </w:rPr>
        <w:t>验或到厂家监督检验。</w:t>
      </w:r>
    </w:p>
    <w:p w14:paraId="38658A15">
      <w:pPr>
        <w:spacing w:before="182" w:line="289" w:lineRule="auto"/>
        <w:ind w:left="121" w:right="128" w:firstLine="527"/>
        <w:rPr>
          <w:rFonts w:ascii="宋体" w:hAnsi="宋体" w:eastAsia="宋体" w:cs="宋体"/>
          <w:color w:val="auto"/>
          <w:sz w:val="22"/>
          <w:szCs w:val="22"/>
          <w:highlight w:val="none"/>
        </w:rPr>
      </w:pPr>
      <w:r>
        <w:rPr>
          <w:rFonts w:ascii="宋体" w:hAnsi="宋体" w:eastAsia="宋体" w:cs="宋体"/>
          <w:color w:val="auto"/>
          <w:sz w:val="22"/>
          <w:szCs w:val="22"/>
          <w:highlight w:val="none"/>
        </w:rPr>
        <w:t>(7)负责施工单位现场各道工序质量控制，并有义务为中心试验室提供施工现场与试验检测相关的信息，同时监理人的试验检测工作须接受</w:t>
      </w:r>
      <w:r>
        <w:rPr>
          <w:rFonts w:ascii="宋体" w:hAnsi="宋体" w:eastAsia="宋体" w:cs="宋体"/>
          <w:color w:val="auto"/>
          <w:spacing w:val="-1"/>
          <w:sz w:val="22"/>
          <w:szCs w:val="22"/>
          <w:highlight w:val="none"/>
        </w:rPr>
        <w:t>中心试验室的技术指导。</w:t>
      </w:r>
    </w:p>
    <w:p w14:paraId="45C6342B">
      <w:pPr>
        <w:spacing w:before="182" w:line="312" w:lineRule="auto"/>
        <w:ind w:left="122" w:right="128" w:firstLine="526"/>
        <w:rPr>
          <w:rFonts w:ascii="宋体" w:hAnsi="宋体" w:eastAsia="宋体" w:cs="宋体"/>
          <w:color w:val="auto"/>
          <w:sz w:val="22"/>
          <w:szCs w:val="22"/>
          <w:highlight w:val="none"/>
        </w:rPr>
      </w:pPr>
      <w:r>
        <w:rPr>
          <w:rFonts w:ascii="宋体" w:hAnsi="宋体" w:eastAsia="宋体" w:cs="宋体"/>
          <w:color w:val="auto"/>
          <w:sz w:val="22"/>
          <w:szCs w:val="22"/>
          <w:highlight w:val="none"/>
        </w:rPr>
        <w:t>(8)为了对现场施工质量进行有效控制，总监办有权根据现场施工质量的动态变化</w:t>
      </w:r>
      <w:r>
        <w:rPr>
          <w:rFonts w:ascii="宋体" w:hAnsi="宋体" w:eastAsia="宋体" w:cs="宋体"/>
          <w:color w:val="auto"/>
          <w:spacing w:val="5"/>
          <w:sz w:val="22"/>
          <w:szCs w:val="22"/>
          <w:highlight w:val="none"/>
        </w:rPr>
        <w:t>情况，通知中心试验室对现场施工质量进行必要的取样试验或必要的现场</w:t>
      </w:r>
      <w:r>
        <w:rPr>
          <w:rFonts w:ascii="宋体" w:hAnsi="宋体" w:eastAsia="宋体" w:cs="宋体"/>
          <w:color w:val="auto"/>
          <w:spacing w:val="4"/>
          <w:sz w:val="22"/>
          <w:szCs w:val="22"/>
          <w:highlight w:val="none"/>
        </w:rPr>
        <w:t>检测（此项</w:t>
      </w:r>
      <w:r>
        <w:rPr>
          <w:rFonts w:ascii="宋体" w:hAnsi="宋体" w:eastAsia="宋体" w:cs="宋体"/>
          <w:color w:val="auto"/>
          <w:spacing w:val="-1"/>
          <w:sz w:val="22"/>
          <w:szCs w:val="22"/>
          <w:highlight w:val="none"/>
        </w:rPr>
        <w:t>工作不受检测单位检测频率的约束）。</w:t>
      </w:r>
    </w:p>
    <w:p w14:paraId="64A5D900">
      <w:pPr>
        <w:spacing w:before="183" w:line="289" w:lineRule="auto"/>
        <w:ind w:left="131" w:right="128" w:firstLine="516"/>
        <w:rPr>
          <w:rFonts w:ascii="宋体" w:hAnsi="宋体" w:eastAsia="宋体" w:cs="宋体"/>
          <w:color w:val="auto"/>
          <w:sz w:val="22"/>
          <w:szCs w:val="22"/>
          <w:highlight w:val="none"/>
        </w:rPr>
      </w:pPr>
      <w:r>
        <w:rPr>
          <w:rFonts w:ascii="宋体" w:hAnsi="宋体" w:eastAsia="宋体" w:cs="宋体"/>
          <w:color w:val="auto"/>
          <w:sz w:val="22"/>
          <w:szCs w:val="22"/>
          <w:highlight w:val="none"/>
        </w:rPr>
        <w:t>(9)协助委托人调查处理施工单位的质量问题、事故，向中心试验室提供相关的信</w:t>
      </w:r>
      <w:r>
        <w:rPr>
          <w:rFonts w:ascii="宋体" w:hAnsi="宋体" w:eastAsia="宋体" w:cs="宋体"/>
          <w:color w:val="auto"/>
          <w:spacing w:val="-2"/>
          <w:sz w:val="22"/>
          <w:szCs w:val="22"/>
          <w:highlight w:val="none"/>
        </w:rPr>
        <w:t>息，并向委托人报告有关情况。</w:t>
      </w:r>
    </w:p>
    <w:p w14:paraId="03159532">
      <w:pPr>
        <w:spacing w:before="183" w:line="219" w:lineRule="auto"/>
        <w:ind w:left="492"/>
        <w:rPr>
          <w:rFonts w:ascii="宋体" w:hAnsi="宋体" w:eastAsia="宋体" w:cs="宋体"/>
          <w:color w:val="auto"/>
          <w:sz w:val="22"/>
          <w:szCs w:val="22"/>
          <w:highlight w:val="none"/>
        </w:rPr>
      </w:pPr>
      <w:r>
        <w:rPr>
          <w:rFonts w:ascii="宋体" w:hAnsi="宋体" w:eastAsia="宋体" w:cs="宋体"/>
          <w:color w:val="auto"/>
          <w:spacing w:val="-1"/>
          <w:sz w:val="22"/>
          <w:szCs w:val="22"/>
          <w:highlight w:val="none"/>
        </w:rPr>
        <w:t>（10）负责组织工程的中间交工验收检测和单位、分部工程质量评定工作。</w:t>
      </w:r>
    </w:p>
    <w:p w14:paraId="6A9A1D4D">
      <w:pPr>
        <w:spacing w:before="183" w:line="219" w:lineRule="auto"/>
        <w:jc w:val="center"/>
        <w:rPr>
          <w:rFonts w:ascii="宋体" w:hAnsi="宋体" w:eastAsia="宋体" w:cs="宋体"/>
          <w:color w:val="auto"/>
          <w:sz w:val="22"/>
          <w:szCs w:val="22"/>
          <w:highlight w:val="none"/>
        </w:rPr>
      </w:pPr>
      <w:r>
        <w:rPr>
          <w:rFonts w:ascii="宋体" w:hAnsi="宋体" w:eastAsia="宋体" w:cs="宋体"/>
          <w:color w:val="auto"/>
          <w:spacing w:val="-2"/>
          <w:sz w:val="22"/>
          <w:szCs w:val="22"/>
          <w:highlight w:val="none"/>
        </w:rPr>
        <w:t>（11）参加委托人组织的交工验收和上级行业质监主管部门组织的检查及竣工验收。</w:t>
      </w:r>
    </w:p>
    <w:p w14:paraId="6CCBD5DC">
      <w:pPr>
        <w:spacing w:before="180" w:line="290" w:lineRule="auto"/>
        <w:ind w:left="119" w:firstLine="373"/>
        <w:rPr>
          <w:rFonts w:ascii="宋体" w:hAnsi="宋体" w:eastAsia="宋体" w:cs="宋体"/>
          <w:color w:val="auto"/>
          <w:sz w:val="22"/>
          <w:szCs w:val="22"/>
          <w:highlight w:val="none"/>
        </w:rPr>
      </w:pPr>
      <w:r>
        <w:rPr>
          <w:rFonts w:ascii="宋体" w:hAnsi="宋体" w:eastAsia="宋体" w:cs="宋体"/>
          <w:color w:val="auto"/>
          <w:spacing w:val="-2"/>
          <w:sz w:val="22"/>
          <w:szCs w:val="22"/>
          <w:highlight w:val="none"/>
        </w:rPr>
        <w:t>（12）代表业主抽检频率的5%的工作部分，采用总监办委托见证，中心试验室取样、</w:t>
      </w:r>
      <w:r>
        <w:rPr>
          <w:rFonts w:ascii="宋体" w:hAnsi="宋体" w:eastAsia="宋体" w:cs="宋体"/>
          <w:color w:val="auto"/>
          <w:sz w:val="22"/>
          <w:szCs w:val="22"/>
          <w:highlight w:val="none"/>
        </w:rPr>
        <w:t>送样的工作方式；代表监理抽检频率的10%由中心试验室进</w:t>
      </w:r>
      <w:r>
        <w:rPr>
          <w:rFonts w:ascii="宋体" w:hAnsi="宋体" w:eastAsia="宋体" w:cs="宋体"/>
          <w:color w:val="auto"/>
          <w:spacing w:val="-1"/>
          <w:sz w:val="22"/>
          <w:szCs w:val="22"/>
          <w:highlight w:val="none"/>
        </w:rPr>
        <w:t>行直接取样、送样。</w:t>
      </w:r>
    </w:p>
    <w:p w14:paraId="740A2B0D">
      <w:pPr>
        <w:spacing w:before="184" w:line="288" w:lineRule="auto"/>
        <w:ind w:left="125" w:right="128" w:firstLine="398"/>
        <w:rPr>
          <w:rFonts w:ascii="宋体" w:hAnsi="宋体" w:eastAsia="宋体" w:cs="宋体"/>
          <w:color w:val="auto"/>
          <w:sz w:val="22"/>
          <w:szCs w:val="22"/>
          <w:highlight w:val="none"/>
        </w:rPr>
      </w:pPr>
      <w:r>
        <w:rPr>
          <w:rFonts w:ascii="宋体" w:hAnsi="宋体" w:eastAsia="宋体" w:cs="宋体"/>
          <w:color w:val="auto"/>
          <w:spacing w:val="1"/>
          <w:sz w:val="22"/>
          <w:szCs w:val="22"/>
          <w:highlight w:val="none"/>
        </w:rPr>
        <w:t>(13)中心试验室检出不合格材料或构件</w:t>
      </w:r>
      <w:r>
        <w:rPr>
          <w:rFonts w:ascii="宋体" w:hAnsi="宋体" w:eastAsia="宋体" w:cs="宋体"/>
          <w:color w:val="auto"/>
          <w:sz w:val="22"/>
          <w:szCs w:val="22"/>
          <w:highlight w:val="none"/>
        </w:rPr>
        <w:t>后，及时向总监办发送试验数据，由总监办</w:t>
      </w:r>
      <w:r>
        <w:rPr>
          <w:rFonts w:ascii="宋体" w:hAnsi="宋体" w:eastAsia="宋体" w:cs="宋体"/>
          <w:color w:val="auto"/>
          <w:spacing w:val="-2"/>
          <w:sz w:val="22"/>
          <w:szCs w:val="22"/>
          <w:highlight w:val="none"/>
        </w:rPr>
        <w:t>发放指令单并跟踪处理。</w:t>
      </w:r>
    </w:p>
    <w:p w14:paraId="17FDC436">
      <w:pPr>
        <w:spacing w:before="182" w:line="219" w:lineRule="auto"/>
        <w:ind w:left="492"/>
        <w:rPr>
          <w:rFonts w:ascii="宋体" w:hAnsi="宋体" w:eastAsia="宋体" w:cs="宋体"/>
          <w:color w:val="auto"/>
          <w:sz w:val="22"/>
          <w:szCs w:val="22"/>
          <w:highlight w:val="none"/>
        </w:rPr>
      </w:pPr>
      <w:r>
        <w:rPr>
          <w:rFonts w:ascii="宋体" w:hAnsi="宋体" w:eastAsia="宋体" w:cs="宋体"/>
          <w:color w:val="auto"/>
          <w:spacing w:val="-1"/>
          <w:sz w:val="22"/>
          <w:szCs w:val="22"/>
          <w:highlight w:val="none"/>
        </w:rPr>
        <w:t>（14）根据合同文件，承担委托人授予的其他权利和义务。</w:t>
      </w:r>
    </w:p>
    <w:p w14:paraId="0F4222A6">
      <w:pPr>
        <w:spacing w:before="183" w:line="220" w:lineRule="auto"/>
        <w:ind w:left="492"/>
        <w:rPr>
          <w:rFonts w:ascii="宋体" w:hAnsi="宋体" w:eastAsia="宋体" w:cs="宋体"/>
          <w:color w:val="auto"/>
          <w:spacing w:val="-2"/>
          <w:sz w:val="22"/>
          <w:szCs w:val="22"/>
          <w:highlight w:val="none"/>
        </w:rPr>
      </w:pPr>
      <w:r>
        <w:rPr>
          <w:rFonts w:ascii="宋体" w:hAnsi="宋体" w:eastAsia="宋体" w:cs="宋体"/>
          <w:color w:val="auto"/>
          <w:spacing w:val="-2"/>
          <w:sz w:val="22"/>
          <w:szCs w:val="22"/>
          <w:highlight w:val="none"/>
        </w:rPr>
        <w:t>（15）详细的界面划分如下表所示</w:t>
      </w:r>
    </w:p>
    <w:p w14:paraId="53912D90">
      <w:pPr>
        <w:rPr>
          <w:rFonts w:ascii="宋体" w:hAnsi="宋体" w:eastAsia="宋体" w:cs="宋体"/>
          <w:color w:val="auto"/>
          <w:spacing w:val="-2"/>
          <w:sz w:val="22"/>
          <w:szCs w:val="22"/>
          <w:highlight w:val="none"/>
        </w:rPr>
      </w:pPr>
      <w:r>
        <w:rPr>
          <w:rFonts w:ascii="宋体" w:hAnsi="宋体" w:eastAsia="宋体" w:cs="宋体"/>
          <w:color w:val="auto"/>
          <w:spacing w:val="-2"/>
          <w:sz w:val="22"/>
          <w:szCs w:val="22"/>
          <w:highlight w:val="none"/>
        </w:rPr>
        <w:br w:type="page"/>
      </w:r>
    </w:p>
    <w:p w14:paraId="19C207BC">
      <w:pPr>
        <w:spacing w:before="183" w:line="220" w:lineRule="auto"/>
        <w:ind w:left="492"/>
        <w:rPr>
          <w:rFonts w:ascii="宋体" w:hAnsi="宋体" w:eastAsia="宋体" w:cs="宋体"/>
          <w:color w:val="auto"/>
          <w:spacing w:val="-2"/>
          <w:sz w:val="22"/>
          <w:szCs w:val="22"/>
          <w:highlight w:val="none"/>
        </w:rPr>
      </w:pPr>
    </w:p>
    <w:p w14:paraId="5965264B">
      <w:pPr>
        <w:spacing w:line="145" w:lineRule="exact"/>
        <w:rPr>
          <w:color w:val="auto"/>
          <w:highlight w:val="none"/>
        </w:rPr>
      </w:pPr>
    </w:p>
    <w:tbl>
      <w:tblPr>
        <w:tblStyle w:val="17"/>
        <w:tblW w:w="889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483"/>
        <w:gridCol w:w="1553"/>
        <w:gridCol w:w="1859"/>
      </w:tblGrid>
      <w:tr w14:paraId="19138E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7" w:hRule="atLeast"/>
        </w:trPr>
        <w:tc>
          <w:tcPr>
            <w:tcW w:w="5483" w:type="dxa"/>
            <w:vMerge w:val="restart"/>
            <w:tcBorders>
              <w:bottom w:val="nil"/>
            </w:tcBorders>
            <w:vAlign w:val="top"/>
          </w:tcPr>
          <w:p w14:paraId="490F545C">
            <w:pPr>
              <w:pStyle w:val="18"/>
              <w:spacing w:before="222" w:line="228" w:lineRule="auto"/>
              <w:ind w:left="1907"/>
              <w:rPr>
                <w:color w:val="auto"/>
                <w:highlight w:val="none"/>
              </w:rPr>
            </w:pPr>
            <w:r>
              <w:rPr>
                <w:color w:val="auto"/>
                <w:spacing w:val="8"/>
                <w:highlight w:val="none"/>
              </w:rPr>
              <w:t>试验检测工作内容</w:t>
            </w:r>
          </w:p>
        </w:tc>
        <w:tc>
          <w:tcPr>
            <w:tcW w:w="3412" w:type="dxa"/>
            <w:gridSpan w:val="2"/>
            <w:vAlign w:val="top"/>
          </w:tcPr>
          <w:p w14:paraId="70AFE56C">
            <w:pPr>
              <w:pStyle w:val="18"/>
              <w:spacing w:before="62" w:line="228" w:lineRule="auto"/>
              <w:ind w:left="660"/>
              <w:rPr>
                <w:color w:val="auto"/>
                <w:highlight w:val="none"/>
              </w:rPr>
            </w:pPr>
            <w:r>
              <w:rPr>
                <w:color w:val="auto"/>
                <w:spacing w:val="8"/>
                <w:highlight w:val="none"/>
              </w:rPr>
              <w:t>试验检测工作界面划分</w:t>
            </w:r>
          </w:p>
        </w:tc>
      </w:tr>
      <w:tr w14:paraId="2F5017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5483" w:type="dxa"/>
            <w:vMerge w:val="continue"/>
            <w:tcBorders>
              <w:top w:val="nil"/>
            </w:tcBorders>
            <w:vAlign w:val="top"/>
          </w:tcPr>
          <w:p w14:paraId="0C60EA4E">
            <w:pPr>
              <w:rPr>
                <w:rFonts w:ascii="Arial"/>
                <w:color w:val="auto"/>
                <w:sz w:val="21"/>
                <w:highlight w:val="none"/>
              </w:rPr>
            </w:pPr>
          </w:p>
        </w:tc>
        <w:tc>
          <w:tcPr>
            <w:tcW w:w="1553" w:type="dxa"/>
            <w:vAlign w:val="top"/>
          </w:tcPr>
          <w:p w14:paraId="12A7FE89">
            <w:pPr>
              <w:pStyle w:val="18"/>
              <w:spacing w:before="32" w:line="228" w:lineRule="auto"/>
              <w:ind w:left="364"/>
              <w:rPr>
                <w:color w:val="auto"/>
                <w:highlight w:val="none"/>
              </w:rPr>
            </w:pPr>
            <w:r>
              <w:rPr>
                <w:color w:val="auto"/>
                <w:spacing w:val="6"/>
                <w:highlight w:val="none"/>
              </w:rPr>
              <w:t>主要负责</w:t>
            </w:r>
          </w:p>
        </w:tc>
        <w:tc>
          <w:tcPr>
            <w:tcW w:w="1859" w:type="dxa"/>
            <w:vAlign w:val="top"/>
          </w:tcPr>
          <w:p w14:paraId="27660ACB">
            <w:pPr>
              <w:pStyle w:val="18"/>
              <w:spacing w:before="33" w:line="231" w:lineRule="auto"/>
              <w:ind w:left="725"/>
              <w:rPr>
                <w:color w:val="auto"/>
                <w:highlight w:val="none"/>
              </w:rPr>
            </w:pPr>
            <w:r>
              <w:rPr>
                <w:color w:val="auto"/>
                <w:spacing w:val="4"/>
                <w:highlight w:val="none"/>
              </w:rPr>
              <w:t>配合</w:t>
            </w:r>
          </w:p>
        </w:tc>
      </w:tr>
      <w:tr w14:paraId="7702E3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5483" w:type="dxa"/>
            <w:vMerge w:val="restart"/>
            <w:tcBorders>
              <w:bottom w:val="nil"/>
            </w:tcBorders>
            <w:vAlign w:val="top"/>
          </w:tcPr>
          <w:p w14:paraId="4A88C1FC">
            <w:pPr>
              <w:pStyle w:val="18"/>
              <w:spacing w:before="225" w:line="228" w:lineRule="auto"/>
              <w:ind w:left="1907"/>
              <w:rPr>
                <w:color w:val="auto"/>
                <w:highlight w:val="none"/>
              </w:rPr>
            </w:pPr>
            <w:r>
              <w:rPr>
                <w:color w:val="auto"/>
                <w:spacing w:val="8"/>
                <w:highlight w:val="none"/>
              </w:rPr>
              <w:t>试验检测工作内容</w:t>
            </w:r>
          </w:p>
        </w:tc>
        <w:tc>
          <w:tcPr>
            <w:tcW w:w="3412" w:type="dxa"/>
            <w:gridSpan w:val="2"/>
            <w:vAlign w:val="top"/>
          </w:tcPr>
          <w:p w14:paraId="3E25217B">
            <w:pPr>
              <w:pStyle w:val="18"/>
              <w:spacing w:before="64" w:line="228" w:lineRule="auto"/>
              <w:ind w:left="660"/>
              <w:rPr>
                <w:color w:val="auto"/>
                <w:highlight w:val="none"/>
              </w:rPr>
            </w:pPr>
            <w:r>
              <w:rPr>
                <w:color w:val="auto"/>
                <w:spacing w:val="8"/>
                <w:highlight w:val="none"/>
              </w:rPr>
              <w:t>试验检测工作界面划分</w:t>
            </w:r>
          </w:p>
        </w:tc>
      </w:tr>
      <w:tr w14:paraId="786341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5483" w:type="dxa"/>
            <w:vMerge w:val="continue"/>
            <w:tcBorders>
              <w:top w:val="nil"/>
            </w:tcBorders>
            <w:vAlign w:val="top"/>
          </w:tcPr>
          <w:p w14:paraId="05195730">
            <w:pPr>
              <w:rPr>
                <w:rFonts w:ascii="Arial"/>
                <w:color w:val="auto"/>
                <w:sz w:val="21"/>
                <w:highlight w:val="none"/>
              </w:rPr>
            </w:pPr>
          </w:p>
        </w:tc>
        <w:tc>
          <w:tcPr>
            <w:tcW w:w="1553" w:type="dxa"/>
            <w:vAlign w:val="top"/>
          </w:tcPr>
          <w:p w14:paraId="06CEF25B">
            <w:pPr>
              <w:pStyle w:val="18"/>
              <w:spacing w:before="31" w:line="228" w:lineRule="auto"/>
              <w:ind w:left="364"/>
              <w:rPr>
                <w:color w:val="auto"/>
                <w:highlight w:val="none"/>
              </w:rPr>
            </w:pPr>
            <w:r>
              <w:rPr>
                <w:color w:val="auto"/>
                <w:spacing w:val="6"/>
                <w:highlight w:val="none"/>
              </w:rPr>
              <w:t>主要负责</w:t>
            </w:r>
          </w:p>
        </w:tc>
        <w:tc>
          <w:tcPr>
            <w:tcW w:w="1859" w:type="dxa"/>
            <w:vAlign w:val="top"/>
          </w:tcPr>
          <w:p w14:paraId="713165B4">
            <w:pPr>
              <w:pStyle w:val="18"/>
              <w:spacing w:before="31" w:line="231" w:lineRule="auto"/>
              <w:ind w:left="725"/>
              <w:rPr>
                <w:color w:val="auto"/>
                <w:highlight w:val="none"/>
              </w:rPr>
            </w:pPr>
            <w:r>
              <w:rPr>
                <w:color w:val="auto"/>
                <w:spacing w:val="4"/>
                <w:highlight w:val="none"/>
              </w:rPr>
              <w:t>配合</w:t>
            </w:r>
          </w:p>
        </w:tc>
      </w:tr>
      <w:tr w14:paraId="1D063E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5483" w:type="dxa"/>
            <w:vAlign w:val="top"/>
          </w:tcPr>
          <w:p w14:paraId="6220FC9B">
            <w:pPr>
              <w:pStyle w:val="18"/>
              <w:spacing w:before="32" w:line="228" w:lineRule="auto"/>
              <w:ind w:left="130"/>
              <w:rPr>
                <w:color w:val="auto"/>
                <w:highlight w:val="none"/>
              </w:rPr>
            </w:pPr>
            <w:r>
              <w:rPr>
                <w:color w:val="auto"/>
                <w:spacing w:val="7"/>
                <w:highlight w:val="none"/>
              </w:rPr>
              <w:t>1.承包人工地试验室筹备督导；</w:t>
            </w:r>
          </w:p>
        </w:tc>
        <w:tc>
          <w:tcPr>
            <w:tcW w:w="1553" w:type="dxa"/>
            <w:vAlign w:val="top"/>
          </w:tcPr>
          <w:p w14:paraId="12E0FB46">
            <w:pPr>
              <w:pStyle w:val="18"/>
              <w:spacing w:before="32" w:line="228" w:lineRule="auto"/>
              <w:ind w:left="135"/>
              <w:rPr>
                <w:color w:val="auto"/>
                <w:highlight w:val="none"/>
              </w:rPr>
            </w:pPr>
            <w:r>
              <w:rPr>
                <w:color w:val="auto"/>
                <w:spacing w:val="4"/>
                <w:highlight w:val="none"/>
              </w:rPr>
              <w:t>中心试验室</w:t>
            </w:r>
          </w:p>
        </w:tc>
        <w:tc>
          <w:tcPr>
            <w:tcW w:w="1859" w:type="dxa"/>
            <w:vAlign w:val="top"/>
          </w:tcPr>
          <w:p w14:paraId="6B8A8134">
            <w:pPr>
              <w:pStyle w:val="18"/>
              <w:spacing w:before="31" w:line="231" w:lineRule="auto"/>
              <w:ind w:left="116"/>
              <w:rPr>
                <w:color w:val="auto"/>
                <w:highlight w:val="none"/>
              </w:rPr>
            </w:pPr>
            <w:r>
              <w:rPr>
                <w:color w:val="auto"/>
                <w:spacing w:val="6"/>
                <w:highlight w:val="none"/>
              </w:rPr>
              <w:t>监理人</w:t>
            </w:r>
          </w:p>
        </w:tc>
      </w:tr>
      <w:tr w14:paraId="7BF46F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5483" w:type="dxa"/>
            <w:vAlign w:val="top"/>
          </w:tcPr>
          <w:p w14:paraId="62C3674C">
            <w:pPr>
              <w:pStyle w:val="18"/>
              <w:spacing w:before="33" w:line="227" w:lineRule="auto"/>
              <w:ind w:left="117"/>
              <w:rPr>
                <w:color w:val="auto"/>
                <w:highlight w:val="none"/>
              </w:rPr>
            </w:pPr>
            <w:r>
              <w:rPr>
                <w:color w:val="auto"/>
                <w:spacing w:val="8"/>
                <w:highlight w:val="none"/>
              </w:rPr>
              <w:t>2.承包人工地试验室资质备案材料审查；</w:t>
            </w:r>
          </w:p>
        </w:tc>
        <w:tc>
          <w:tcPr>
            <w:tcW w:w="1553" w:type="dxa"/>
            <w:vAlign w:val="top"/>
          </w:tcPr>
          <w:p w14:paraId="4AE886E6">
            <w:pPr>
              <w:pStyle w:val="18"/>
              <w:spacing w:before="33" w:line="228" w:lineRule="auto"/>
              <w:ind w:left="135"/>
              <w:rPr>
                <w:color w:val="auto"/>
                <w:highlight w:val="none"/>
              </w:rPr>
            </w:pPr>
            <w:r>
              <w:rPr>
                <w:color w:val="auto"/>
                <w:spacing w:val="4"/>
                <w:highlight w:val="none"/>
              </w:rPr>
              <w:t>中心试验室</w:t>
            </w:r>
          </w:p>
        </w:tc>
        <w:tc>
          <w:tcPr>
            <w:tcW w:w="1859" w:type="dxa"/>
            <w:vAlign w:val="top"/>
          </w:tcPr>
          <w:p w14:paraId="7FE2D95F">
            <w:pPr>
              <w:pStyle w:val="18"/>
              <w:spacing w:before="32" w:line="231" w:lineRule="auto"/>
              <w:ind w:left="116"/>
              <w:rPr>
                <w:color w:val="auto"/>
                <w:highlight w:val="none"/>
              </w:rPr>
            </w:pPr>
            <w:r>
              <w:rPr>
                <w:color w:val="auto"/>
                <w:spacing w:val="6"/>
                <w:highlight w:val="none"/>
              </w:rPr>
              <w:t>监理人</w:t>
            </w:r>
          </w:p>
        </w:tc>
      </w:tr>
      <w:tr w14:paraId="31C747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5483" w:type="dxa"/>
            <w:vAlign w:val="top"/>
          </w:tcPr>
          <w:p w14:paraId="6F239CED">
            <w:pPr>
              <w:pStyle w:val="18"/>
              <w:spacing w:before="31" w:line="272" w:lineRule="auto"/>
              <w:ind w:left="125" w:right="122" w:hanging="6"/>
              <w:rPr>
                <w:color w:val="auto"/>
                <w:highlight w:val="none"/>
              </w:rPr>
            </w:pPr>
            <w:r>
              <w:rPr>
                <w:color w:val="auto"/>
                <w:spacing w:val="9"/>
                <w:highlight w:val="none"/>
              </w:rPr>
              <w:t>3.承包人工地试验室试验检测人员、设备的进场、变更的</w:t>
            </w:r>
            <w:r>
              <w:rPr>
                <w:color w:val="auto"/>
                <w:spacing w:val="6"/>
                <w:highlight w:val="none"/>
              </w:rPr>
              <w:t>审核（试验室</w:t>
            </w:r>
            <w:r>
              <w:rPr>
                <w:color w:val="auto"/>
                <w:highlight w:val="none"/>
              </w:rPr>
              <w:t>）；</w:t>
            </w:r>
          </w:p>
        </w:tc>
        <w:tc>
          <w:tcPr>
            <w:tcW w:w="1553" w:type="dxa"/>
            <w:vAlign w:val="top"/>
          </w:tcPr>
          <w:p w14:paraId="00316066">
            <w:pPr>
              <w:pStyle w:val="18"/>
              <w:spacing w:before="31" w:line="228" w:lineRule="auto"/>
              <w:ind w:left="135"/>
              <w:rPr>
                <w:color w:val="auto"/>
                <w:highlight w:val="none"/>
              </w:rPr>
            </w:pPr>
            <w:r>
              <w:rPr>
                <w:color w:val="auto"/>
                <w:spacing w:val="4"/>
                <w:highlight w:val="none"/>
              </w:rPr>
              <w:t>中心试验室</w:t>
            </w:r>
          </w:p>
        </w:tc>
        <w:tc>
          <w:tcPr>
            <w:tcW w:w="1859" w:type="dxa"/>
            <w:vAlign w:val="top"/>
          </w:tcPr>
          <w:p w14:paraId="4CC071B4">
            <w:pPr>
              <w:pStyle w:val="18"/>
              <w:spacing w:before="30" w:line="231" w:lineRule="auto"/>
              <w:ind w:left="116"/>
              <w:rPr>
                <w:color w:val="auto"/>
                <w:highlight w:val="none"/>
              </w:rPr>
            </w:pPr>
            <w:r>
              <w:rPr>
                <w:color w:val="auto"/>
                <w:spacing w:val="6"/>
                <w:highlight w:val="none"/>
              </w:rPr>
              <w:t>监理人</w:t>
            </w:r>
          </w:p>
        </w:tc>
      </w:tr>
      <w:tr w14:paraId="799890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5483" w:type="dxa"/>
            <w:vAlign w:val="top"/>
          </w:tcPr>
          <w:p w14:paraId="46841A95">
            <w:pPr>
              <w:pStyle w:val="18"/>
              <w:spacing w:before="30" w:line="227" w:lineRule="auto"/>
              <w:ind w:left="114"/>
              <w:rPr>
                <w:color w:val="auto"/>
                <w:highlight w:val="none"/>
              </w:rPr>
            </w:pPr>
            <w:r>
              <w:rPr>
                <w:color w:val="auto"/>
                <w:spacing w:val="8"/>
                <w:highlight w:val="none"/>
              </w:rPr>
              <w:t>4.月度工地试验室检查及督促整改；</w:t>
            </w:r>
          </w:p>
        </w:tc>
        <w:tc>
          <w:tcPr>
            <w:tcW w:w="1553" w:type="dxa"/>
            <w:vAlign w:val="top"/>
          </w:tcPr>
          <w:p w14:paraId="6FA9B3A2">
            <w:pPr>
              <w:pStyle w:val="18"/>
              <w:spacing w:before="31" w:line="228" w:lineRule="auto"/>
              <w:ind w:left="135"/>
              <w:rPr>
                <w:color w:val="auto"/>
                <w:highlight w:val="none"/>
              </w:rPr>
            </w:pPr>
            <w:r>
              <w:rPr>
                <w:color w:val="auto"/>
                <w:spacing w:val="4"/>
                <w:highlight w:val="none"/>
              </w:rPr>
              <w:t>中心试验室</w:t>
            </w:r>
          </w:p>
        </w:tc>
        <w:tc>
          <w:tcPr>
            <w:tcW w:w="1859" w:type="dxa"/>
            <w:vAlign w:val="top"/>
          </w:tcPr>
          <w:p w14:paraId="4BEA64C6">
            <w:pPr>
              <w:pStyle w:val="18"/>
              <w:spacing w:before="30" w:line="231" w:lineRule="auto"/>
              <w:ind w:left="116"/>
              <w:rPr>
                <w:color w:val="auto"/>
                <w:highlight w:val="none"/>
              </w:rPr>
            </w:pPr>
            <w:r>
              <w:rPr>
                <w:color w:val="auto"/>
                <w:spacing w:val="6"/>
                <w:highlight w:val="none"/>
              </w:rPr>
              <w:t>监理人</w:t>
            </w:r>
          </w:p>
        </w:tc>
      </w:tr>
      <w:tr w14:paraId="1AB51E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5483" w:type="dxa"/>
            <w:vAlign w:val="top"/>
          </w:tcPr>
          <w:p w14:paraId="669633C7">
            <w:pPr>
              <w:pStyle w:val="18"/>
              <w:spacing w:before="31" w:line="228" w:lineRule="auto"/>
              <w:ind w:left="119"/>
              <w:rPr>
                <w:color w:val="auto"/>
                <w:highlight w:val="none"/>
              </w:rPr>
            </w:pPr>
            <w:r>
              <w:rPr>
                <w:color w:val="auto"/>
                <w:spacing w:val="7"/>
                <w:highlight w:val="none"/>
              </w:rPr>
              <w:t>5.内业资料表格、台账的统一；</w:t>
            </w:r>
          </w:p>
        </w:tc>
        <w:tc>
          <w:tcPr>
            <w:tcW w:w="1553" w:type="dxa"/>
            <w:vAlign w:val="top"/>
          </w:tcPr>
          <w:p w14:paraId="73833B51">
            <w:pPr>
              <w:pStyle w:val="18"/>
              <w:spacing w:before="32" w:line="228" w:lineRule="auto"/>
              <w:ind w:left="135"/>
              <w:rPr>
                <w:color w:val="auto"/>
                <w:highlight w:val="none"/>
              </w:rPr>
            </w:pPr>
            <w:r>
              <w:rPr>
                <w:color w:val="auto"/>
                <w:spacing w:val="4"/>
                <w:highlight w:val="none"/>
              </w:rPr>
              <w:t>中心试验室</w:t>
            </w:r>
          </w:p>
        </w:tc>
        <w:tc>
          <w:tcPr>
            <w:tcW w:w="1859" w:type="dxa"/>
            <w:vAlign w:val="top"/>
          </w:tcPr>
          <w:p w14:paraId="092FB9A5">
            <w:pPr>
              <w:pStyle w:val="18"/>
              <w:spacing w:before="31" w:line="231" w:lineRule="auto"/>
              <w:ind w:left="116"/>
              <w:rPr>
                <w:color w:val="auto"/>
                <w:highlight w:val="none"/>
              </w:rPr>
            </w:pPr>
            <w:r>
              <w:rPr>
                <w:color w:val="auto"/>
                <w:spacing w:val="6"/>
                <w:highlight w:val="none"/>
              </w:rPr>
              <w:t>监理人</w:t>
            </w:r>
          </w:p>
        </w:tc>
      </w:tr>
      <w:tr w14:paraId="4CEA31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5483" w:type="dxa"/>
            <w:vAlign w:val="top"/>
          </w:tcPr>
          <w:p w14:paraId="58E43F11">
            <w:pPr>
              <w:pStyle w:val="18"/>
              <w:spacing w:before="32" w:line="227" w:lineRule="auto"/>
              <w:ind w:left="116"/>
              <w:rPr>
                <w:color w:val="auto"/>
                <w:highlight w:val="none"/>
              </w:rPr>
            </w:pPr>
            <w:r>
              <w:rPr>
                <w:color w:val="auto"/>
                <w:spacing w:val="8"/>
                <w:highlight w:val="none"/>
              </w:rPr>
              <w:t>6.原材料厂家考察、审核（批</w:t>
            </w:r>
            <w:r>
              <w:rPr>
                <w:color w:val="auto"/>
                <w:spacing w:val="3"/>
                <w:highlight w:val="none"/>
              </w:rPr>
              <w:t>）；</w:t>
            </w:r>
          </w:p>
        </w:tc>
        <w:tc>
          <w:tcPr>
            <w:tcW w:w="1553" w:type="dxa"/>
            <w:vAlign w:val="top"/>
          </w:tcPr>
          <w:p w14:paraId="7965DBE7">
            <w:pPr>
              <w:pStyle w:val="18"/>
              <w:spacing w:before="32" w:line="231" w:lineRule="auto"/>
              <w:ind w:left="116"/>
              <w:rPr>
                <w:color w:val="auto"/>
                <w:highlight w:val="none"/>
              </w:rPr>
            </w:pPr>
            <w:r>
              <w:rPr>
                <w:color w:val="auto"/>
                <w:spacing w:val="6"/>
                <w:highlight w:val="none"/>
              </w:rPr>
              <w:t>监理人</w:t>
            </w:r>
          </w:p>
        </w:tc>
        <w:tc>
          <w:tcPr>
            <w:tcW w:w="1859" w:type="dxa"/>
            <w:vAlign w:val="top"/>
          </w:tcPr>
          <w:p w14:paraId="1AE46449">
            <w:pPr>
              <w:pStyle w:val="18"/>
              <w:spacing w:before="33" w:line="228" w:lineRule="auto"/>
              <w:ind w:left="135"/>
              <w:rPr>
                <w:color w:val="auto"/>
                <w:highlight w:val="none"/>
              </w:rPr>
            </w:pPr>
            <w:r>
              <w:rPr>
                <w:color w:val="auto"/>
                <w:spacing w:val="4"/>
                <w:highlight w:val="none"/>
              </w:rPr>
              <w:t>中心试验室</w:t>
            </w:r>
          </w:p>
        </w:tc>
      </w:tr>
      <w:tr w14:paraId="1DD935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5483" w:type="dxa"/>
            <w:vAlign w:val="top"/>
          </w:tcPr>
          <w:p w14:paraId="7B091355">
            <w:pPr>
              <w:pStyle w:val="18"/>
              <w:spacing w:before="30" w:line="227" w:lineRule="auto"/>
              <w:ind w:left="119"/>
              <w:rPr>
                <w:color w:val="auto"/>
                <w:highlight w:val="none"/>
              </w:rPr>
            </w:pPr>
            <w:r>
              <w:rPr>
                <w:color w:val="auto"/>
                <w:spacing w:val="7"/>
                <w:highlight w:val="none"/>
              </w:rPr>
              <w:t>7.进场材料使用前审批；</w:t>
            </w:r>
          </w:p>
        </w:tc>
        <w:tc>
          <w:tcPr>
            <w:tcW w:w="1553" w:type="dxa"/>
            <w:vAlign w:val="top"/>
          </w:tcPr>
          <w:p w14:paraId="79AF0115">
            <w:pPr>
              <w:pStyle w:val="18"/>
              <w:spacing w:before="30" w:line="231" w:lineRule="auto"/>
              <w:ind w:left="116"/>
              <w:rPr>
                <w:color w:val="auto"/>
                <w:highlight w:val="none"/>
              </w:rPr>
            </w:pPr>
            <w:r>
              <w:rPr>
                <w:color w:val="auto"/>
                <w:spacing w:val="6"/>
                <w:highlight w:val="none"/>
              </w:rPr>
              <w:t>监理人</w:t>
            </w:r>
          </w:p>
        </w:tc>
        <w:tc>
          <w:tcPr>
            <w:tcW w:w="1859" w:type="dxa"/>
            <w:vAlign w:val="top"/>
          </w:tcPr>
          <w:p w14:paraId="1D6B2B17">
            <w:pPr>
              <w:pStyle w:val="18"/>
              <w:spacing w:before="31" w:line="228" w:lineRule="auto"/>
              <w:ind w:left="135"/>
              <w:rPr>
                <w:color w:val="auto"/>
                <w:highlight w:val="none"/>
              </w:rPr>
            </w:pPr>
            <w:r>
              <w:rPr>
                <w:color w:val="auto"/>
                <w:spacing w:val="4"/>
                <w:highlight w:val="none"/>
              </w:rPr>
              <w:t>中心试验室</w:t>
            </w:r>
          </w:p>
        </w:tc>
      </w:tr>
      <w:tr w14:paraId="129548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5483" w:type="dxa"/>
            <w:vAlign w:val="top"/>
          </w:tcPr>
          <w:p w14:paraId="050EA060">
            <w:pPr>
              <w:pStyle w:val="18"/>
              <w:spacing w:before="32" w:line="228" w:lineRule="auto"/>
              <w:ind w:left="115"/>
              <w:rPr>
                <w:color w:val="auto"/>
                <w:highlight w:val="none"/>
              </w:rPr>
            </w:pPr>
            <w:r>
              <w:rPr>
                <w:color w:val="auto"/>
                <w:spacing w:val="6"/>
                <w:highlight w:val="none"/>
              </w:rPr>
              <w:t>8.平行验证试验；</w:t>
            </w:r>
          </w:p>
        </w:tc>
        <w:tc>
          <w:tcPr>
            <w:tcW w:w="1553" w:type="dxa"/>
            <w:vAlign w:val="top"/>
          </w:tcPr>
          <w:p w14:paraId="1B361FCE">
            <w:pPr>
              <w:pStyle w:val="18"/>
              <w:spacing w:before="32" w:line="228" w:lineRule="auto"/>
              <w:ind w:left="135"/>
              <w:rPr>
                <w:color w:val="auto"/>
                <w:highlight w:val="none"/>
              </w:rPr>
            </w:pPr>
            <w:r>
              <w:rPr>
                <w:color w:val="auto"/>
                <w:spacing w:val="4"/>
                <w:highlight w:val="none"/>
              </w:rPr>
              <w:t>中心试验室</w:t>
            </w:r>
          </w:p>
        </w:tc>
        <w:tc>
          <w:tcPr>
            <w:tcW w:w="1859" w:type="dxa"/>
            <w:vAlign w:val="top"/>
          </w:tcPr>
          <w:p w14:paraId="5BA06491">
            <w:pPr>
              <w:pStyle w:val="18"/>
              <w:spacing w:before="31" w:line="231" w:lineRule="auto"/>
              <w:ind w:left="116"/>
              <w:rPr>
                <w:color w:val="auto"/>
                <w:highlight w:val="none"/>
              </w:rPr>
            </w:pPr>
            <w:r>
              <w:rPr>
                <w:color w:val="auto"/>
                <w:spacing w:val="6"/>
                <w:highlight w:val="none"/>
              </w:rPr>
              <w:t>监理人</w:t>
            </w:r>
          </w:p>
        </w:tc>
      </w:tr>
      <w:tr w14:paraId="5A864C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5483" w:type="dxa"/>
            <w:vAlign w:val="top"/>
          </w:tcPr>
          <w:p w14:paraId="6B0E4367">
            <w:pPr>
              <w:pStyle w:val="18"/>
              <w:spacing w:before="30" w:line="228" w:lineRule="auto"/>
              <w:ind w:left="115"/>
              <w:rPr>
                <w:color w:val="auto"/>
                <w:highlight w:val="none"/>
              </w:rPr>
            </w:pPr>
            <w:r>
              <w:rPr>
                <w:color w:val="auto"/>
                <w:spacing w:val="7"/>
                <w:highlight w:val="none"/>
              </w:rPr>
              <w:t>9.施工配合比审批；</w:t>
            </w:r>
          </w:p>
        </w:tc>
        <w:tc>
          <w:tcPr>
            <w:tcW w:w="1553" w:type="dxa"/>
            <w:vAlign w:val="top"/>
          </w:tcPr>
          <w:p w14:paraId="2F8E36F8">
            <w:pPr>
              <w:pStyle w:val="18"/>
              <w:spacing w:before="30" w:line="228" w:lineRule="auto"/>
              <w:ind w:left="135"/>
              <w:rPr>
                <w:color w:val="auto"/>
                <w:highlight w:val="none"/>
              </w:rPr>
            </w:pPr>
            <w:r>
              <w:rPr>
                <w:color w:val="auto"/>
                <w:spacing w:val="4"/>
                <w:highlight w:val="none"/>
              </w:rPr>
              <w:t>中心试验室</w:t>
            </w:r>
          </w:p>
        </w:tc>
        <w:tc>
          <w:tcPr>
            <w:tcW w:w="1859" w:type="dxa"/>
            <w:vAlign w:val="top"/>
          </w:tcPr>
          <w:p w14:paraId="0C021936">
            <w:pPr>
              <w:pStyle w:val="18"/>
              <w:spacing w:before="29" w:line="231" w:lineRule="auto"/>
              <w:ind w:left="116"/>
              <w:rPr>
                <w:color w:val="auto"/>
                <w:highlight w:val="none"/>
              </w:rPr>
            </w:pPr>
            <w:r>
              <w:rPr>
                <w:color w:val="auto"/>
                <w:spacing w:val="6"/>
                <w:highlight w:val="none"/>
              </w:rPr>
              <w:t>监理人</w:t>
            </w:r>
          </w:p>
        </w:tc>
      </w:tr>
      <w:tr w14:paraId="54F97E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5483" w:type="dxa"/>
            <w:vAlign w:val="top"/>
          </w:tcPr>
          <w:p w14:paraId="4E0C61A8">
            <w:pPr>
              <w:pStyle w:val="18"/>
              <w:spacing w:before="31" w:line="227" w:lineRule="auto"/>
              <w:ind w:left="130"/>
              <w:rPr>
                <w:color w:val="auto"/>
                <w:highlight w:val="none"/>
              </w:rPr>
            </w:pPr>
            <w:r>
              <w:rPr>
                <w:color w:val="auto"/>
                <w:spacing w:val="7"/>
                <w:highlight w:val="none"/>
              </w:rPr>
              <w:t>10.原材料、成品、半成品取样、送样；</w:t>
            </w:r>
          </w:p>
        </w:tc>
        <w:tc>
          <w:tcPr>
            <w:tcW w:w="1553" w:type="dxa"/>
            <w:vAlign w:val="top"/>
          </w:tcPr>
          <w:p w14:paraId="697F553D">
            <w:pPr>
              <w:pStyle w:val="18"/>
              <w:spacing w:before="31" w:line="228" w:lineRule="auto"/>
              <w:ind w:left="135"/>
              <w:rPr>
                <w:color w:val="auto"/>
                <w:highlight w:val="none"/>
              </w:rPr>
            </w:pPr>
            <w:r>
              <w:rPr>
                <w:color w:val="auto"/>
                <w:spacing w:val="4"/>
                <w:highlight w:val="none"/>
              </w:rPr>
              <w:t>中心试验室</w:t>
            </w:r>
          </w:p>
        </w:tc>
        <w:tc>
          <w:tcPr>
            <w:tcW w:w="1859" w:type="dxa"/>
            <w:vAlign w:val="top"/>
          </w:tcPr>
          <w:p w14:paraId="11A47C77">
            <w:pPr>
              <w:pStyle w:val="18"/>
              <w:spacing w:before="30" w:line="231" w:lineRule="auto"/>
              <w:ind w:left="116"/>
              <w:rPr>
                <w:color w:val="auto"/>
                <w:highlight w:val="none"/>
              </w:rPr>
            </w:pPr>
            <w:r>
              <w:rPr>
                <w:color w:val="auto"/>
                <w:spacing w:val="6"/>
                <w:highlight w:val="none"/>
              </w:rPr>
              <w:t>监理人</w:t>
            </w:r>
          </w:p>
        </w:tc>
      </w:tr>
      <w:tr w14:paraId="1E7667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5483" w:type="dxa"/>
            <w:vAlign w:val="top"/>
          </w:tcPr>
          <w:p w14:paraId="05ACA1E8">
            <w:pPr>
              <w:pStyle w:val="18"/>
              <w:spacing w:before="32" w:line="227" w:lineRule="auto"/>
              <w:ind w:left="130"/>
              <w:rPr>
                <w:color w:val="auto"/>
                <w:highlight w:val="none"/>
              </w:rPr>
            </w:pPr>
            <w:r>
              <w:rPr>
                <w:color w:val="auto"/>
                <w:spacing w:val="7"/>
                <w:highlight w:val="none"/>
              </w:rPr>
              <w:t>11.原材料、成品、半成品试验检测；</w:t>
            </w:r>
          </w:p>
        </w:tc>
        <w:tc>
          <w:tcPr>
            <w:tcW w:w="1553" w:type="dxa"/>
            <w:vAlign w:val="top"/>
          </w:tcPr>
          <w:p w14:paraId="4E77F297">
            <w:pPr>
              <w:pStyle w:val="18"/>
              <w:spacing w:before="32" w:line="228" w:lineRule="auto"/>
              <w:ind w:left="135"/>
              <w:rPr>
                <w:color w:val="auto"/>
                <w:highlight w:val="none"/>
              </w:rPr>
            </w:pPr>
            <w:r>
              <w:rPr>
                <w:color w:val="auto"/>
                <w:spacing w:val="4"/>
                <w:highlight w:val="none"/>
              </w:rPr>
              <w:t>中心试验室</w:t>
            </w:r>
          </w:p>
        </w:tc>
        <w:tc>
          <w:tcPr>
            <w:tcW w:w="1859" w:type="dxa"/>
            <w:vAlign w:val="top"/>
          </w:tcPr>
          <w:p w14:paraId="41EE6B6F">
            <w:pPr>
              <w:pStyle w:val="18"/>
              <w:spacing w:before="31" w:line="231" w:lineRule="auto"/>
              <w:ind w:left="116"/>
              <w:rPr>
                <w:color w:val="auto"/>
                <w:highlight w:val="none"/>
              </w:rPr>
            </w:pPr>
            <w:r>
              <w:rPr>
                <w:color w:val="auto"/>
                <w:spacing w:val="6"/>
                <w:highlight w:val="none"/>
              </w:rPr>
              <w:t>监理人</w:t>
            </w:r>
          </w:p>
        </w:tc>
      </w:tr>
      <w:tr w14:paraId="16792A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5483" w:type="dxa"/>
            <w:vAlign w:val="top"/>
          </w:tcPr>
          <w:p w14:paraId="1E044219">
            <w:pPr>
              <w:pStyle w:val="18"/>
              <w:spacing w:before="31" w:line="228" w:lineRule="auto"/>
              <w:ind w:left="130"/>
              <w:rPr>
                <w:color w:val="auto"/>
                <w:highlight w:val="none"/>
              </w:rPr>
            </w:pPr>
            <w:r>
              <w:rPr>
                <w:color w:val="auto"/>
                <w:spacing w:val="7"/>
                <w:highlight w:val="none"/>
              </w:rPr>
              <w:t>12.工地试验室自检试验过程监督；</w:t>
            </w:r>
          </w:p>
        </w:tc>
        <w:tc>
          <w:tcPr>
            <w:tcW w:w="1553" w:type="dxa"/>
            <w:vAlign w:val="top"/>
          </w:tcPr>
          <w:p w14:paraId="668F7E1A">
            <w:pPr>
              <w:pStyle w:val="18"/>
              <w:spacing w:before="32" w:line="228" w:lineRule="auto"/>
              <w:ind w:left="135"/>
              <w:rPr>
                <w:color w:val="auto"/>
                <w:highlight w:val="none"/>
              </w:rPr>
            </w:pPr>
            <w:r>
              <w:rPr>
                <w:color w:val="auto"/>
                <w:spacing w:val="4"/>
                <w:highlight w:val="none"/>
              </w:rPr>
              <w:t>中心试验室</w:t>
            </w:r>
          </w:p>
        </w:tc>
        <w:tc>
          <w:tcPr>
            <w:tcW w:w="1859" w:type="dxa"/>
            <w:vAlign w:val="top"/>
          </w:tcPr>
          <w:p w14:paraId="1293E487">
            <w:pPr>
              <w:pStyle w:val="18"/>
              <w:spacing w:before="31" w:line="231" w:lineRule="auto"/>
              <w:ind w:left="116"/>
              <w:rPr>
                <w:color w:val="auto"/>
                <w:highlight w:val="none"/>
              </w:rPr>
            </w:pPr>
            <w:r>
              <w:rPr>
                <w:color w:val="auto"/>
                <w:spacing w:val="6"/>
                <w:highlight w:val="none"/>
              </w:rPr>
              <w:t>监理人</w:t>
            </w:r>
          </w:p>
        </w:tc>
      </w:tr>
      <w:tr w14:paraId="41FAA6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5483" w:type="dxa"/>
            <w:vAlign w:val="top"/>
          </w:tcPr>
          <w:p w14:paraId="181EBB0D">
            <w:pPr>
              <w:pStyle w:val="18"/>
              <w:spacing w:before="31" w:line="226" w:lineRule="auto"/>
              <w:ind w:left="130"/>
              <w:rPr>
                <w:color w:val="auto"/>
                <w:highlight w:val="none"/>
              </w:rPr>
            </w:pPr>
            <w:r>
              <w:rPr>
                <w:color w:val="auto"/>
                <w:spacing w:val="7"/>
                <w:highlight w:val="none"/>
              </w:rPr>
              <w:t>13.需出具试验检测报告的现场原位测试；</w:t>
            </w:r>
          </w:p>
        </w:tc>
        <w:tc>
          <w:tcPr>
            <w:tcW w:w="1553" w:type="dxa"/>
            <w:vAlign w:val="top"/>
          </w:tcPr>
          <w:p w14:paraId="1466A84B">
            <w:pPr>
              <w:pStyle w:val="18"/>
              <w:spacing w:before="31" w:line="228" w:lineRule="auto"/>
              <w:ind w:left="135"/>
              <w:rPr>
                <w:color w:val="auto"/>
                <w:highlight w:val="none"/>
              </w:rPr>
            </w:pPr>
            <w:r>
              <w:rPr>
                <w:color w:val="auto"/>
                <w:spacing w:val="4"/>
                <w:highlight w:val="none"/>
              </w:rPr>
              <w:t>中心试验室</w:t>
            </w:r>
          </w:p>
        </w:tc>
        <w:tc>
          <w:tcPr>
            <w:tcW w:w="1859" w:type="dxa"/>
            <w:vAlign w:val="top"/>
          </w:tcPr>
          <w:p w14:paraId="3F3E8B0E">
            <w:pPr>
              <w:pStyle w:val="18"/>
              <w:spacing w:before="30" w:line="231" w:lineRule="auto"/>
              <w:ind w:left="116"/>
              <w:rPr>
                <w:color w:val="auto"/>
                <w:highlight w:val="none"/>
              </w:rPr>
            </w:pPr>
            <w:r>
              <w:rPr>
                <w:color w:val="auto"/>
                <w:spacing w:val="6"/>
                <w:highlight w:val="none"/>
              </w:rPr>
              <w:t>监理人</w:t>
            </w:r>
          </w:p>
        </w:tc>
      </w:tr>
      <w:tr w14:paraId="30BA3F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5483" w:type="dxa"/>
            <w:vAlign w:val="top"/>
          </w:tcPr>
          <w:p w14:paraId="7F912253">
            <w:pPr>
              <w:pStyle w:val="18"/>
              <w:spacing w:before="32" w:line="226" w:lineRule="auto"/>
              <w:ind w:left="130"/>
              <w:rPr>
                <w:color w:val="auto"/>
                <w:highlight w:val="none"/>
              </w:rPr>
            </w:pPr>
            <w:r>
              <w:rPr>
                <w:color w:val="auto"/>
                <w:spacing w:val="7"/>
                <w:highlight w:val="none"/>
              </w:rPr>
              <w:t>14.不需出具试验检测报告的现场原位测试；</w:t>
            </w:r>
          </w:p>
        </w:tc>
        <w:tc>
          <w:tcPr>
            <w:tcW w:w="1553" w:type="dxa"/>
            <w:vAlign w:val="top"/>
          </w:tcPr>
          <w:p w14:paraId="63766F8C">
            <w:pPr>
              <w:pStyle w:val="18"/>
              <w:spacing w:before="31" w:line="231" w:lineRule="auto"/>
              <w:ind w:left="116"/>
              <w:rPr>
                <w:color w:val="auto"/>
                <w:highlight w:val="none"/>
              </w:rPr>
            </w:pPr>
            <w:r>
              <w:rPr>
                <w:color w:val="auto"/>
                <w:spacing w:val="6"/>
                <w:highlight w:val="none"/>
              </w:rPr>
              <w:t>监理人</w:t>
            </w:r>
          </w:p>
        </w:tc>
        <w:tc>
          <w:tcPr>
            <w:tcW w:w="1859" w:type="dxa"/>
            <w:vAlign w:val="top"/>
          </w:tcPr>
          <w:p w14:paraId="60C1B5B8">
            <w:pPr>
              <w:pStyle w:val="18"/>
              <w:spacing w:before="32" w:line="228" w:lineRule="auto"/>
              <w:ind w:left="135"/>
              <w:rPr>
                <w:color w:val="auto"/>
                <w:highlight w:val="none"/>
              </w:rPr>
            </w:pPr>
            <w:r>
              <w:rPr>
                <w:color w:val="auto"/>
                <w:spacing w:val="4"/>
                <w:highlight w:val="none"/>
              </w:rPr>
              <w:t>中心试验室</w:t>
            </w:r>
          </w:p>
        </w:tc>
      </w:tr>
      <w:tr w14:paraId="675744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5483" w:type="dxa"/>
            <w:vAlign w:val="top"/>
          </w:tcPr>
          <w:p w14:paraId="5DA2CAAF">
            <w:pPr>
              <w:pStyle w:val="18"/>
              <w:spacing w:before="33" w:line="271" w:lineRule="auto"/>
              <w:ind w:left="116" w:right="225" w:firstLine="13"/>
              <w:rPr>
                <w:color w:val="auto"/>
                <w:highlight w:val="none"/>
              </w:rPr>
            </w:pPr>
            <w:r>
              <w:rPr>
                <w:color w:val="auto"/>
                <w:spacing w:val="8"/>
                <w:highlight w:val="none"/>
              </w:rPr>
              <w:t>15.混凝土拌合站施工配合比使用监控及施工配合比配料</w:t>
            </w:r>
            <w:r>
              <w:rPr>
                <w:color w:val="auto"/>
                <w:spacing w:val="5"/>
                <w:highlight w:val="none"/>
              </w:rPr>
              <w:t>单的签认；</w:t>
            </w:r>
          </w:p>
        </w:tc>
        <w:tc>
          <w:tcPr>
            <w:tcW w:w="1553" w:type="dxa"/>
            <w:vAlign w:val="top"/>
          </w:tcPr>
          <w:p w14:paraId="1EEF0B74">
            <w:pPr>
              <w:pStyle w:val="18"/>
              <w:spacing w:before="33" w:line="228" w:lineRule="auto"/>
              <w:ind w:left="135"/>
              <w:rPr>
                <w:color w:val="auto"/>
                <w:highlight w:val="none"/>
              </w:rPr>
            </w:pPr>
            <w:r>
              <w:rPr>
                <w:color w:val="auto"/>
                <w:spacing w:val="4"/>
                <w:highlight w:val="none"/>
              </w:rPr>
              <w:t>中心试验室</w:t>
            </w:r>
          </w:p>
        </w:tc>
        <w:tc>
          <w:tcPr>
            <w:tcW w:w="1859" w:type="dxa"/>
            <w:vAlign w:val="top"/>
          </w:tcPr>
          <w:p w14:paraId="03A53497">
            <w:pPr>
              <w:pStyle w:val="18"/>
              <w:spacing w:before="32" w:line="231" w:lineRule="auto"/>
              <w:ind w:left="116"/>
              <w:rPr>
                <w:color w:val="auto"/>
                <w:highlight w:val="none"/>
              </w:rPr>
            </w:pPr>
            <w:r>
              <w:rPr>
                <w:color w:val="auto"/>
                <w:spacing w:val="6"/>
                <w:highlight w:val="none"/>
              </w:rPr>
              <w:t>监理人</w:t>
            </w:r>
          </w:p>
        </w:tc>
      </w:tr>
      <w:tr w14:paraId="779623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5483" w:type="dxa"/>
            <w:vAlign w:val="top"/>
          </w:tcPr>
          <w:p w14:paraId="38CEF7E1">
            <w:pPr>
              <w:pStyle w:val="18"/>
              <w:spacing w:before="33" w:line="271" w:lineRule="auto"/>
              <w:ind w:left="149" w:right="122" w:hanging="35"/>
              <w:rPr>
                <w:color w:val="auto"/>
                <w:highlight w:val="none"/>
              </w:rPr>
            </w:pPr>
            <w:r>
              <w:rPr>
                <w:color w:val="auto"/>
                <w:spacing w:val="9"/>
                <w:highlight w:val="none"/>
              </w:rPr>
              <w:t>*16.混凝土施工过程中混凝土取样、送样等（中心</w:t>
            </w:r>
            <w:r>
              <w:rPr>
                <w:color w:val="auto"/>
                <w:spacing w:val="8"/>
                <w:highlight w:val="none"/>
              </w:rPr>
              <w:t>试验室</w:t>
            </w:r>
            <w:r>
              <w:rPr>
                <w:color w:val="auto"/>
                <w:spacing w:val="-2"/>
                <w:highlight w:val="none"/>
              </w:rPr>
              <w:t>自主取样</w:t>
            </w:r>
            <w:r>
              <w:rPr>
                <w:color w:val="auto"/>
                <w:spacing w:val="1"/>
                <w:highlight w:val="none"/>
              </w:rPr>
              <w:t>）；</w:t>
            </w:r>
          </w:p>
        </w:tc>
        <w:tc>
          <w:tcPr>
            <w:tcW w:w="1553" w:type="dxa"/>
            <w:vAlign w:val="top"/>
          </w:tcPr>
          <w:p w14:paraId="1A43E68B">
            <w:pPr>
              <w:pStyle w:val="18"/>
              <w:spacing w:before="33" w:line="228" w:lineRule="auto"/>
              <w:ind w:left="135"/>
              <w:rPr>
                <w:color w:val="auto"/>
                <w:highlight w:val="none"/>
              </w:rPr>
            </w:pPr>
            <w:r>
              <w:rPr>
                <w:color w:val="auto"/>
                <w:spacing w:val="4"/>
                <w:highlight w:val="none"/>
              </w:rPr>
              <w:t>中心试验室</w:t>
            </w:r>
          </w:p>
        </w:tc>
        <w:tc>
          <w:tcPr>
            <w:tcW w:w="1859" w:type="dxa"/>
            <w:vAlign w:val="top"/>
          </w:tcPr>
          <w:p w14:paraId="2BC45668">
            <w:pPr>
              <w:pStyle w:val="18"/>
              <w:spacing w:before="32" w:line="231" w:lineRule="auto"/>
              <w:ind w:left="116"/>
              <w:rPr>
                <w:color w:val="auto"/>
                <w:highlight w:val="none"/>
              </w:rPr>
            </w:pPr>
            <w:r>
              <w:rPr>
                <w:color w:val="auto"/>
                <w:spacing w:val="6"/>
                <w:highlight w:val="none"/>
              </w:rPr>
              <w:t>监理人</w:t>
            </w:r>
          </w:p>
        </w:tc>
      </w:tr>
      <w:tr w14:paraId="2AC758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5483" w:type="dxa"/>
            <w:vAlign w:val="top"/>
          </w:tcPr>
          <w:p w14:paraId="130BE57A">
            <w:pPr>
              <w:pStyle w:val="18"/>
              <w:spacing w:before="32" w:line="271" w:lineRule="auto"/>
              <w:ind w:left="115" w:right="225" w:firstLine="14"/>
              <w:rPr>
                <w:color w:val="auto"/>
                <w:highlight w:val="none"/>
              </w:rPr>
            </w:pPr>
            <w:r>
              <w:rPr>
                <w:color w:val="auto"/>
                <w:spacing w:val="8"/>
                <w:highlight w:val="none"/>
              </w:rPr>
              <w:t>17.施工现场工艺试验内容（如：锚杆、锚索、路基试验</w:t>
            </w:r>
            <w:r>
              <w:rPr>
                <w:color w:val="auto"/>
                <w:spacing w:val="2"/>
                <w:highlight w:val="none"/>
              </w:rPr>
              <w:t>段等）</w:t>
            </w:r>
          </w:p>
        </w:tc>
        <w:tc>
          <w:tcPr>
            <w:tcW w:w="1553" w:type="dxa"/>
            <w:vAlign w:val="top"/>
          </w:tcPr>
          <w:p w14:paraId="6B14420C">
            <w:pPr>
              <w:pStyle w:val="18"/>
              <w:spacing w:before="32" w:line="231" w:lineRule="auto"/>
              <w:ind w:left="116"/>
              <w:rPr>
                <w:color w:val="auto"/>
                <w:highlight w:val="none"/>
              </w:rPr>
            </w:pPr>
            <w:r>
              <w:rPr>
                <w:color w:val="auto"/>
                <w:spacing w:val="6"/>
                <w:highlight w:val="none"/>
              </w:rPr>
              <w:t>监理人</w:t>
            </w:r>
          </w:p>
        </w:tc>
        <w:tc>
          <w:tcPr>
            <w:tcW w:w="1859" w:type="dxa"/>
            <w:vAlign w:val="top"/>
          </w:tcPr>
          <w:p w14:paraId="4AC84521">
            <w:pPr>
              <w:pStyle w:val="18"/>
              <w:spacing w:before="33" w:line="228" w:lineRule="auto"/>
              <w:ind w:left="135"/>
              <w:rPr>
                <w:color w:val="auto"/>
                <w:highlight w:val="none"/>
              </w:rPr>
            </w:pPr>
            <w:r>
              <w:rPr>
                <w:color w:val="auto"/>
                <w:spacing w:val="4"/>
                <w:highlight w:val="none"/>
              </w:rPr>
              <w:t>中心试验室</w:t>
            </w:r>
          </w:p>
        </w:tc>
      </w:tr>
      <w:tr w14:paraId="586E25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5483" w:type="dxa"/>
            <w:vAlign w:val="top"/>
          </w:tcPr>
          <w:p w14:paraId="486A112C">
            <w:pPr>
              <w:pStyle w:val="18"/>
              <w:spacing w:before="33" w:line="228" w:lineRule="auto"/>
              <w:ind w:left="130"/>
              <w:rPr>
                <w:color w:val="auto"/>
                <w:highlight w:val="none"/>
              </w:rPr>
            </w:pPr>
            <w:r>
              <w:rPr>
                <w:color w:val="auto"/>
                <w:spacing w:val="8"/>
                <w:highlight w:val="none"/>
              </w:rPr>
              <w:t>18.室内工艺性能试验（如：钢筋直螺纹加工、焊接等）</w:t>
            </w:r>
          </w:p>
        </w:tc>
        <w:tc>
          <w:tcPr>
            <w:tcW w:w="1553" w:type="dxa"/>
            <w:vAlign w:val="top"/>
          </w:tcPr>
          <w:p w14:paraId="5C96B1CC">
            <w:pPr>
              <w:pStyle w:val="18"/>
              <w:spacing w:before="34" w:line="228" w:lineRule="auto"/>
              <w:ind w:left="135"/>
              <w:rPr>
                <w:color w:val="auto"/>
                <w:highlight w:val="none"/>
              </w:rPr>
            </w:pPr>
            <w:r>
              <w:rPr>
                <w:color w:val="auto"/>
                <w:spacing w:val="4"/>
                <w:highlight w:val="none"/>
              </w:rPr>
              <w:t>中心试验室</w:t>
            </w:r>
          </w:p>
        </w:tc>
        <w:tc>
          <w:tcPr>
            <w:tcW w:w="1859" w:type="dxa"/>
            <w:vAlign w:val="top"/>
          </w:tcPr>
          <w:p w14:paraId="7CD0DDA3">
            <w:pPr>
              <w:pStyle w:val="18"/>
              <w:spacing w:before="33" w:line="231" w:lineRule="auto"/>
              <w:ind w:left="116"/>
              <w:rPr>
                <w:color w:val="auto"/>
                <w:highlight w:val="none"/>
              </w:rPr>
            </w:pPr>
            <w:r>
              <w:rPr>
                <w:color w:val="auto"/>
                <w:spacing w:val="6"/>
                <w:highlight w:val="none"/>
              </w:rPr>
              <w:t>监理人</w:t>
            </w:r>
          </w:p>
        </w:tc>
      </w:tr>
      <w:tr w14:paraId="62C811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5483" w:type="dxa"/>
            <w:vAlign w:val="top"/>
          </w:tcPr>
          <w:p w14:paraId="1D0C45A0">
            <w:pPr>
              <w:pStyle w:val="18"/>
              <w:spacing w:before="34" w:line="228" w:lineRule="auto"/>
              <w:ind w:left="130"/>
              <w:rPr>
                <w:color w:val="auto"/>
                <w:highlight w:val="none"/>
              </w:rPr>
            </w:pPr>
            <w:r>
              <w:rPr>
                <w:color w:val="auto"/>
                <w:spacing w:val="7"/>
                <w:highlight w:val="none"/>
              </w:rPr>
              <w:t>19.工地试验室人员定期培训及考核</w:t>
            </w:r>
          </w:p>
        </w:tc>
        <w:tc>
          <w:tcPr>
            <w:tcW w:w="1553" w:type="dxa"/>
            <w:vAlign w:val="top"/>
          </w:tcPr>
          <w:p w14:paraId="1EEBE2B3">
            <w:pPr>
              <w:pStyle w:val="18"/>
              <w:spacing w:before="35" w:line="228" w:lineRule="auto"/>
              <w:ind w:left="135"/>
              <w:rPr>
                <w:color w:val="auto"/>
                <w:highlight w:val="none"/>
              </w:rPr>
            </w:pPr>
            <w:r>
              <w:rPr>
                <w:color w:val="auto"/>
                <w:spacing w:val="4"/>
                <w:highlight w:val="none"/>
              </w:rPr>
              <w:t>中心试验室</w:t>
            </w:r>
          </w:p>
        </w:tc>
        <w:tc>
          <w:tcPr>
            <w:tcW w:w="1859" w:type="dxa"/>
            <w:vAlign w:val="top"/>
          </w:tcPr>
          <w:p w14:paraId="6563C058">
            <w:pPr>
              <w:pStyle w:val="18"/>
              <w:spacing w:before="34" w:line="231" w:lineRule="auto"/>
              <w:ind w:left="116"/>
              <w:rPr>
                <w:color w:val="auto"/>
                <w:highlight w:val="none"/>
              </w:rPr>
            </w:pPr>
            <w:r>
              <w:rPr>
                <w:color w:val="auto"/>
                <w:spacing w:val="6"/>
                <w:highlight w:val="none"/>
              </w:rPr>
              <w:t>监理人</w:t>
            </w:r>
          </w:p>
        </w:tc>
      </w:tr>
      <w:tr w14:paraId="312801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5483" w:type="dxa"/>
            <w:vAlign w:val="top"/>
          </w:tcPr>
          <w:p w14:paraId="405B49AA">
            <w:pPr>
              <w:pStyle w:val="18"/>
              <w:spacing w:before="32" w:line="228" w:lineRule="auto"/>
              <w:ind w:left="117"/>
              <w:rPr>
                <w:color w:val="auto"/>
                <w:highlight w:val="none"/>
              </w:rPr>
            </w:pPr>
            <w:r>
              <w:rPr>
                <w:color w:val="auto"/>
                <w:spacing w:val="6"/>
                <w:highlight w:val="none"/>
              </w:rPr>
              <w:t>20.定期比对试验等；</w:t>
            </w:r>
          </w:p>
        </w:tc>
        <w:tc>
          <w:tcPr>
            <w:tcW w:w="1553" w:type="dxa"/>
            <w:vAlign w:val="top"/>
          </w:tcPr>
          <w:p w14:paraId="6E9F2C85">
            <w:pPr>
              <w:pStyle w:val="18"/>
              <w:spacing w:before="32" w:line="228" w:lineRule="auto"/>
              <w:ind w:left="135"/>
              <w:rPr>
                <w:color w:val="auto"/>
                <w:highlight w:val="none"/>
              </w:rPr>
            </w:pPr>
            <w:r>
              <w:rPr>
                <w:color w:val="auto"/>
                <w:spacing w:val="4"/>
                <w:highlight w:val="none"/>
              </w:rPr>
              <w:t>中心试验室</w:t>
            </w:r>
          </w:p>
        </w:tc>
        <w:tc>
          <w:tcPr>
            <w:tcW w:w="1859" w:type="dxa"/>
            <w:vAlign w:val="top"/>
          </w:tcPr>
          <w:p w14:paraId="00A1DBD8">
            <w:pPr>
              <w:pStyle w:val="18"/>
              <w:spacing w:before="31" w:line="231" w:lineRule="auto"/>
              <w:ind w:left="116"/>
              <w:rPr>
                <w:color w:val="auto"/>
                <w:highlight w:val="none"/>
              </w:rPr>
            </w:pPr>
            <w:r>
              <w:rPr>
                <w:color w:val="auto"/>
                <w:spacing w:val="6"/>
                <w:highlight w:val="none"/>
              </w:rPr>
              <w:t>监理人</w:t>
            </w:r>
          </w:p>
        </w:tc>
      </w:tr>
      <w:tr w14:paraId="424D13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5483" w:type="dxa"/>
            <w:vAlign w:val="top"/>
          </w:tcPr>
          <w:p w14:paraId="148730DA">
            <w:pPr>
              <w:pStyle w:val="18"/>
              <w:spacing w:before="33" w:line="228" w:lineRule="auto"/>
              <w:ind w:left="117"/>
              <w:rPr>
                <w:color w:val="auto"/>
                <w:highlight w:val="none"/>
              </w:rPr>
            </w:pPr>
            <w:r>
              <w:rPr>
                <w:color w:val="auto"/>
                <w:spacing w:val="8"/>
                <w:highlight w:val="none"/>
              </w:rPr>
              <w:t>21.施工单位自检试验委托单位的审核、审批；</w:t>
            </w:r>
          </w:p>
        </w:tc>
        <w:tc>
          <w:tcPr>
            <w:tcW w:w="1553" w:type="dxa"/>
            <w:vAlign w:val="top"/>
          </w:tcPr>
          <w:p w14:paraId="7AAAE2ED">
            <w:pPr>
              <w:pStyle w:val="18"/>
              <w:spacing w:before="33" w:line="228" w:lineRule="auto"/>
              <w:ind w:left="135"/>
              <w:rPr>
                <w:color w:val="auto"/>
                <w:highlight w:val="none"/>
              </w:rPr>
            </w:pPr>
            <w:r>
              <w:rPr>
                <w:color w:val="auto"/>
                <w:spacing w:val="4"/>
                <w:highlight w:val="none"/>
              </w:rPr>
              <w:t>中心试验室</w:t>
            </w:r>
          </w:p>
        </w:tc>
        <w:tc>
          <w:tcPr>
            <w:tcW w:w="1859" w:type="dxa"/>
            <w:vAlign w:val="top"/>
          </w:tcPr>
          <w:p w14:paraId="391D37CC">
            <w:pPr>
              <w:pStyle w:val="18"/>
              <w:spacing w:before="32" w:line="231" w:lineRule="auto"/>
              <w:ind w:left="116"/>
              <w:rPr>
                <w:color w:val="auto"/>
                <w:highlight w:val="none"/>
              </w:rPr>
            </w:pPr>
            <w:r>
              <w:rPr>
                <w:color w:val="auto"/>
                <w:spacing w:val="6"/>
                <w:highlight w:val="none"/>
              </w:rPr>
              <w:t>监理人</w:t>
            </w:r>
          </w:p>
        </w:tc>
      </w:tr>
      <w:tr w14:paraId="2FCE0D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5483" w:type="dxa"/>
            <w:vAlign w:val="top"/>
          </w:tcPr>
          <w:p w14:paraId="12BF7F36">
            <w:pPr>
              <w:pStyle w:val="18"/>
              <w:spacing w:before="34" w:line="227" w:lineRule="auto"/>
              <w:ind w:left="117"/>
              <w:rPr>
                <w:color w:val="auto"/>
                <w:highlight w:val="none"/>
              </w:rPr>
            </w:pPr>
            <w:r>
              <w:rPr>
                <w:color w:val="auto"/>
                <w:spacing w:val="8"/>
                <w:highlight w:val="none"/>
              </w:rPr>
              <w:t>22.施工单位特殊材料外委材料的取送样监督；</w:t>
            </w:r>
          </w:p>
        </w:tc>
        <w:tc>
          <w:tcPr>
            <w:tcW w:w="1553" w:type="dxa"/>
            <w:vAlign w:val="top"/>
          </w:tcPr>
          <w:p w14:paraId="2E3026E0">
            <w:pPr>
              <w:pStyle w:val="18"/>
              <w:spacing w:before="33" w:line="231" w:lineRule="auto"/>
              <w:ind w:left="116"/>
              <w:rPr>
                <w:color w:val="auto"/>
                <w:highlight w:val="none"/>
              </w:rPr>
            </w:pPr>
            <w:r>
              <w:rPr>
                <w:color w:val="auto"/>
                <w:spacing w:val="6"/>
                <w:highlight w:val="none"/>
              </w:rPr>
              <w:t>监理人</w:t>
            </w:r>
          </w:p>
        </w:tc>
        <w:tc>
          <w:tcPr>
            <w:tcW w:w="1859" w:type="dxa"/>
            <w:vAlign w:val="top"/>
          </w:tcPr>
          <w:p w14:paraId="1CDE15F4">
            <w:pPr>
              <w:pStyle w:val="18"/>
              <w:spacing w:before="34" w:line="228" w:lineRule="auto"/>
              <w:ind w:left="135"/>
              <w:rPr>
                <w:color w:val="auto"/>
                <w:highlight w:val="none"/>
              </w:rPr>
            </w:pPr>
            <w:r>
              <w:rPr>
                <w:color w:val="auto"/>
                <w:spacing w:val="4"/>
                <w:highlight w:val="none"/>
              </w:rPr>
              <w:t>中心试验室</w:t>
            </w:r>
          </w:p>
        </w:tc>
      </w:tr>
      <w:tr w14:paraId="100FC1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5483" w:type="dxa"/>
            <w:vAlign w:val="top"/>
          </w:tcPr>
          <w:p w14:paraId="18EAC384">
            <w:pPr>
              <w:pStyle w:val="18"/>
              <w:spacing w:before="35" w:line="228" w:lineRule="auto"/>
              <w:ind w:left="117"/>
              <w:rPr>
                <w:color w:val="auto"/>
                <w:highlight w:val="none"/>
              </w:rPr>
            </w:pPr>
            <w:r>
              <w:rPr>
                <w:color w:val="auto"/>
                <w:spacing w:val="8"/>
                <w:highlight w:val="none"/>
              </w:rPr>
              <w:t>23.施工单位自检频率的监控及统计审核；</w:t>
            </w:r>
          </w:p>
        </w:tc>
        <w:tc>
          <w:tcPr>
            <w:tcW w:w="1553" w:type="dxa"/>
            <w:vAlign w:val="top"/>
          </w:tcPr>
          <w:p w14:paraId="0BFBFA36">
            <w:pPr>
              <w:pStyle w:val="18"/>
              <w:spacing w:before="35" w:line="228" w:lineRule="auto"/>
              <w:ind w:left="135"/>
              <w:rPr>
                <w:color w:val="auto"/>
                <w:highlight w:val="none"/>
              </w:rPr>
            </w:pPr>
            <w:r>
              <w:rPr>
                <w:color w:val="auto"/>
                <w:spacing w:val="4"/>
                <w:highlight w:val="none"/>
              </w:rPr>
              <w:t>中心试验室</w:t>
            </w:r>
          </w:p>
        </w:tc>
        <w:tc>
          <w:tcPr>
            <w:tcW w:w="1859" w:type="dxa"/>
            <w:vAlign w:val="top"/>
          </w:tcPr>
          <w:p w14:paraId="4E229BEC">
            <w:pPr>
              <w:pStyle w:val="18"/>
              <w:spacing w:before="34" w:line="231" w:lineRule="auto"/>
              <w:ind w:left="116"/>
              <w:rPr>
                <w:color w:val="auto"/>
                <w:highlight w:val="none"/>
              </w:rPr>
            </w:pPr>
            <w:r>
              <w:rPr>
                <w:color w:val="auto"/>
                <w:spacing w:val="6"/>
                <w:highlight w:val="none"/>
              </w:rPr>
              <w:t>监理人</w:t>
            </w:r>
          </w:p>
        </w:tc>
      </w:tr>
      <w:tr w14:paraId="63298E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5483" w:type="dxa"/>
            <w:vAlign w:val="top"/>
          </w:tcPr>
          <w:p w14:paraId="0FA2D8A7">
            <w:pPr>
              <w:pStyle w:val="18"/>
              <w:spacing w:before="33" w:line="228" w:lineRule="auto"/>
              <w:ind w:left="117"/>
              <w:rPr>
                <w:color w:val="auto"/>
                <w:highlight w:val="none"/>
              </w:rPr>
            </w:pPr>
            <w:r>
              <w:rPr>
                <w:color w:val="auto"/>
                <w:spacing w:val="8"/>
                <w:highlight w:val="none"/>
              </w:rPr>
              <w:t>24.监理试验抽检频率的统计及跟踪、钢筋保护层测定；</w:t>
            </w:r>
          </w:p>
        </w:tc>
        <w:tc>
          <w:tcPr>
            <w:tcW w:w="1553" w:type="dxa"/>
            <w:vAlign w:val="top"/>
          </w:tcPr>
          <w:p w14:paraId="7BA34153">
            <w:pPr>
              <w:pStyle w:val="18"/>
              <w:spacing w:before="33" w:line="231" w:lineRule="auto"/>
              <w:ind w:left="116"/>
              <w:rPr>
                <w:color w:val="auto"/>
                <w:highlight w:val="none"/>
              </w:rPr>
            </w:pPr>
            <w:r>
              <w:rPr>
                <w:color w:val="auto"/>
                <w:spacing w:val="6"/>
                <w:highlight w:val="none"/>
              </w:rPr>
              <w:t>监理人</w:t>
            </w:r>
          </w:p>
        </w:tc>
        <w:tc>
          <w:tcPr>
            <w:tcW w:w="1859" w:type="dxa"/>
            <w:vAlign w:val="top"/>
          </w:tcPr>
          <w:p w14:paraId="69CE4C00">
            <w:pPr>
              <w:pStyle w:val="18"/>
              <w:spacing w:before="34" w:line="228" w:lineRule="auto"/>
              <w:ind w:left="135"/>
              <w:rPr>
                <w:color w:val="auto"/>
                <w:highlight w:val="none"/>
              </w:rPr>
            </w:pPr>
            <w:r>
              <w:rPr>
                <w:color w:val="auto"/>
                <w:spacing w:val="4"/>
                <w:highlight w:val="none"/>
              </w:rPr>
              <w:t>中心试验室</w:t>
            </w:r>
          </w:p>
        </w:tc>
      </w:tr>
      <w:tr w14:paraId="64328A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5483" w:type="dxa"/>
            <w:vAlign w:val="top"/>
          </w:tcPr>
          <w:p w14:paraId="77ADAF90">
            <w:pPr>
              <w:pStyle w:val="18"/>
              <w:spacing w:before="35" w:line="270" w:lineRule="auto"/>
              <w:ind w:left="116" w:right="225"/>
              <w:rPr>
                <w:color w:val="auto"/>
                <w:highlight w:val="none"/>
              </w:rPr>
            </w:pPr>
            <w:r>
              <w:rPr>
                <w:color w:val="auto"/>
                <w:spacing w:val="9"/>
                <w:highlight w:val="none"/>
              </w:rPr>
              <w:t>25.中间交工验收试验检测工作（结构物外形尺寸、偏位</w:t>
            </w:r>
            <w:r>
              <w:rPr>
                <w:color w:val="auto"/>
                <w:spacing w:val="-1"/>
                <w:highlight w:val="none"/>
              </w:rPr>
              <w:t>等）</w:t>
            </w:r>
          </w:p>
        </w:tc>
        <w:tc>
          <w:tcPr>
            <w:tcW w:w="1553" w:type="dxa"/>
            <w:vAlign w:val="top"/>
          </w:tcPr>
          <w:p w14:paraId="20718369">
            <w:pPr>
              <w:pStyle w:val="18"/>
              <w:spacing w:before="33" w:line="231" w:lineRule="auto"/>
              <w:ind w:left="116"/>
              <w:rPr>
                <w:color w:val="auto"/>
                <w:highlight w:val="none"/>
              </w:rPr>
            </w:pPr>
            <w:r>
              <w:rPr>
                <w:color w:val="auto"/>
                <w:spacing w:val="6"/>
                <w:highlight w:val="none"/>
              </w:rPr>
              <w:t>监理人</w:t>
            </w:r>
          </w:p>
        </w:tc>
        <w:tc>
          <w:tcPr>
            <w:tcW w:w="1859" w:type="dxa"/>
            <w:vAlign w:val="top"/>
          </w:tcPr>
          <w:p w14:paraId="551401B2">
            <w:pPr>
              <w:pStyle w:val="18"/>
              <w:spacing w:before="34" w:line="228" w:lineRule="auto"/>
              <w:ind w:left="135"/>
              <w:rPr>
                <w:color w:val="auto"/>
                <w:highlight w:val="none"/>
              </w:rPr>
            </w:pPr>
            <w:r>
              <w:rPr>
                <w:color w:val="auto"/>
                <w:spacing w:val="4"/>
                <w:highlight w:val="none"/>
              </w:rPr>
              <w:t>中心试验室</w:t>
            </w:r>
          </w:p>
        </w:tc>
      </w:tr>
      <w:tr w14:paraId="380505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5483" w:type="dxa"/>
            <w:vAlign w:val="top"/>
          </w:tcPr>
          <w:p w14:paraId="6CB3F10C">
            <w:pPr>
              <w:pStyle w:val="18"/>
              <w:spacing w:before="35" w:line="270" w:lineRule="auto"/>
              <w:ind w:left="117" w:right="225"/>
              <w:rPr>
                <w:color w:val="auto"/>
                <w:highlight w:val="none"/>
              </w:rPr>
            </w:pPr>
            <w:r>
              <w:rPr>
                <w:color w:val="auto"/>
                <w:spacing w:val="9"/>
                <w:highlight w:val="none"/>
              </w:rPr>
              <w:t>26.中间交工验收试验检测工作（路基压实度、结构物回</w:t>
            </w:r>
            <w:r>
              <w:rPr>
                <w:color w:val="auto"/>
                <w:spacing w:val="6"/>
                <w:highlight w:val="none"/>
              </w:rPr>
              <w:t>弹、保护层等）</w:t>
            </w:r>
          </w:p>
        </w:tc>
        <w:tc>
          <w:tcPr>
            <w:tcW w:w="1553" w:type="dxa"/>
            <w:vAlign w:val="top"/>
          </w:tcPr>
          <w:p w14:paraId="050C2AF0">
            <w:pPr>
              <w:pStyle w:val="18"/>
              <w:spacing w:before="35" w:line="228" w:lineRule="auto"/>
              <w:ind w:left="135"/>
              <w:rPr>
                <w:color w:val="auto"/>
                <w:highlight w:val="none"/>
              </w:rPr>
            </w:pPr>
            <w:r>
              <w:rPr>
                <w:color w:val="auto"/>
                <w:spacing w:val="4"/>
                <w:highlight w:val="none"/>
              </w:rPr>
              <w:t>中心试验室</w:t>
            </w:r>
          </w:p>
        </w:tc>
        <w:tc>
          <w:tcPr>
            <w:tcW w:w="1859" w:type="dxa"/>
            <w:vAlign w:val="top"/>
          </w:tcPr>
          <w:p w14:paraId="0100F8BD">
            <w:pPr>
              <w:pStyle w:val="18"/>
              <w:spacing w:before="34" w:line="231" w:lineRule="auto"/>
              <w:ind w:left="116"/>
              <w:rPr>
                <w:color w:val="auto"/>
                <w:highlight w:val="none"/>
              </w:rPr>
            </w:pPr>
            <w:r>
              <w:rPr>
                <w:color w:val="auto"/>
                <w:spacing w:val="6"/>
                <w:highlight w:val="none"/>
              </w:rPr>
              <w:t>监理人</w:t>
            </w:r>
          </w:p>
        </w:tc>
      </w:tr>
      <w:tr w14:paraId="259580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5483" w:type="dxa"/>
            <w:vAlign w:val="top"/>
          </w:tcPr>
          <w:p w14:paraId="68B19094">
            <w:pPr>
              <w:pStyle w:val="18"/>
              <w:spacing w:before="35" w:line="228" w:lineRule="auto"/>
              <w:ind w:left="117"/>
              <w:rPr>
                <w:color w:val="auto"/>
                <w:highlight w:val="none"/>
              </w:rPr>
            </w:pPr>
            <w:r>
              <w:rPr>
                <w:color w:val="auto"/>
                <w:spacing w:val="7"/>
                <w:highlight w:val="none"/>
              </w:rPr>
              <w:t>27.交工验收过程中的试验检测工作。</w:t>
            </w:r>
          </w:p>
        </w:tc>
        <w:tc>
          <w:tcPr>
            <w:tcW w:w="1553" w:type="dxa"/>
            <w:vAlign w:val="top"/>
          </w:tcPr>
          <w:p w14:paraId="73771218">
            <w:pPr>
              <w:pStyle w:val="18"/>
              <w:spacing w:before="36" w:line="228" w:lineRule="auto"/>
              <w:ind w:left="135"/>
              <w:rPr>
                <w:color w:val="auto"/>
                <w:highlight w:val="none"/>
              </w:rPr>
            </w:pPr>
            <w:r>
              <w:rPr>
                <w:color w:val="auto"/>
                <w:spacing w:val="4"/>
                <w:highlight w:val="none"/>
              </w:rPr>
              <w:t>中心试验室</w:t>
            </w:r>
          </w:p>
        </w:tc>
        <w:tc>
          <w:tcPr>
            <w:tcW w:w="1859" w:type="dxa"/>
            <w:vAlign w:val="top"/>
          </w:tcPr>
          <w:p w14:paraId="040EFD3E">
            <w:pPr>
              <w:pStyle w:val="18"/>
              <w:spacing w:before="35" w:line="231" w:lineRule="auto"/>
              <w:ind w:left="116"/>
              <w:rPr>
                <w:color w:val="auto"/>
                <w:highlight w:val="none"/>
              </w:rPr>
            </w:pPr>
            <w:r>
              <w:rPr>
                <w:color w:val="auto"/>
                <w:spacing w:val="6"/>
                <w:highlight w:val="none"/>
              </w:rPr>
              <w:t>监理人</w:t>
            </w:r>
          </w:p>
        </w:tc>
      </w:tr>
      <w:tr w14:paraId="78235E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5483" w:type="dxa"/>
            <w:vAlign w:val="top"/>
          </w:tcPr>
          <w:p w14:paraId="1F11B8C6">
            <w:pPr>
              <w:pStyle w:val="18"/>
              <w:spacing w:before="35" w:line="228" w:lineRule="auto"/>
              <w:ind w:left="117"/>
              <w:rPr>
                <w:color w:val="auto"/>
                <w:highlight w:val="none"/>
              </w:rPr>
            </w:pPr>
            <w:r>
              <w:rPr>
                <w:color w:val="auto"/>
                <w:spacing w:val="8"/>
                <w:highlight w:val="none"/>
              </w:rPr>
              <w:t>28.代表委托人日常质量巡查</w:t>
            </w:r>
          </w:p>
        </w:tc>
        <w:tc>
          <w:tcPr>
            <w:tcW w:w="1553" w:type="dxa"/>
            <w:vAlign w:val="top"/>
          </w:tcPr>
          <w:p w14:paraId="154AD3ED">
            <w:pPr>
              <w:pStyle w:val="18"/>
              <w:spacing w:before="36" w:line="228" w:lineRule="auto"/>
              <w:ind w:left="135"/>
              <w:rPr>
                <w:color w:val="auto"/>
                <w:highlight w:val="none"/>
              </w:rPr>
            </w:pPr>
            <w:r>
              <w:rPr>
                <w:color w:val="auto"/>
                <w:spacing w:val="4"/>
                <w:highlight w:val="none"/>
              </w:rPr>
              <w:t>中心试验室</w:t>
            </w:r>
          </w:p>
        </w:tc>
        <w:tc>
          <w:tcPr>
            <w:tcW w:w="1859" w:type="dxa"/>
            <w:vAlign w:val="top"/>
          </w:tcPr>
          <w:p w14:paraId="13764A19">
            <w:pPr>
              <w:pStyle w:val="18"/>
              <w:spacing w:before="35" w:line="231" w:lineRule="auto"/>
              <w:ind w:left="116"/>
              <w:rPr>
                <w:color w:val="auto"/>
                <w:highlight w:val="none"/>
              </w:rPr>
            </w:pPr>
            <w:r>
              <w:rPr>
                <w:color w:val="auto"/>
                <w:spacing w:val="6"/>
                <w:highlight w:val="none"/>
              </w:rPr>
              <w:t>监理人</w:t>
            </w:r>
          </w:p>
        </w:tc>
      </w:tr>
      <w:tr w14:paraId="752BCA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5483" w:type="dxa"/>
            <w:vAlign w:val="top"/>
          </w:tcPr>
          <w:p w14:paraId="7A1FFCD3">
            <w:pPr>
              <w:pStyle w:val="18"/>
              <w:spacing w:before="34" w:line="227" w:lineRule="auto"/>
              <w:ind w:left="117"/>
              <w:rPr>
                <w:color w:val="auto"/>
                <w:highlight w:val="none"/>
              </w:rPr>
            </w:pPr>
            <w:r>
              <w:rPr>
                <w:color w:val="auto"/>
                <w:spacing w:val="8"/>
                <w:highlight w:val="none"/>
              </w:rPr>
              <w:t>29.全部结构物构件强度回弹</w:t>
            </w:r>
          </w:p>
        </w:tc>
        <w:tc>
          <w:tcPr>
            <w:tcW w:w="1553" w:type="dxa"/>
            <w:vAlign w:val="top"/>
          </w:tcPr>
          <w:p w14:paraId="44363F6E">
            <w:pPr>
              <w:pStyle w:val="18"/>
              <w:spacing w:before="35" w:line="228" w:lineRule="auto"/>
              <w:ind w:left="135"/>
              <w:rPr>
                <w:color w:val="auto"/>
                <w:highlight w:val="none"/>
              </w:rPr>
            </w:pPr>
            <w:r>
              <w:rPr>
                <w:color w:val="auto"/>
                <w:spacing w:val="4"/>
                <w:highlight w:val="none"/>
              </w:rPr>
              <w:t>中心试验室</w:t>
            </w:r>
          </w:p>
        </w:tc>
        <w:tc>
          <w:tcPr>
            <w:tcW w:w="1859" w:type="dxa"/>
            <w:vAlign w:val="top"/>
          </w:tcPr>
          <w:p w14:paraId="4D969264">
            <w:pPr>
              <w:pStyle w:val="18"/>
              <w:spacing w:before="34" w:line="231" w:lineRule="auto"/>
              <w:ind w:left="116"/>
              <w:rPr>
                <w:color w:val="auto"/>
                <w:highlight w:val="none"/>
              </w:rPr>
            </w:pPr>
            <w:r>
              <w:rPr>
                <w:color w:val="auto"/>
                <w:spacing w:val="6"/>
                <w:highlight w:val="none"/>
              </w:rPr>
              <w:t>监理人</w:t>
            </w:r>
          </w:p>
        </w:tc>
      </w:tr>
      <w:tr w14:paraId="008710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5483" w:type="dxa"/>
            <w:vAlign w:val="top"/>
          </w:tcPr>
          <w:p w14:paraId="6FFB6E90">
            <w:pPr>
              <w:pStyle w:val="18"/>
              <w:spacing w:before="35" w:line="227" w:lineRule="auto"/>
              <w:ind w:left="119"/>
              <w:rPr>
                <w:color w:val="auto"/>
                <w:highlight w:val="none"/>
              </w:rPr>
            </w:pPr>
            <w:r>
              <w:rPr>
                <w:color w:val="auto"/>
                <w:spacing w:val="8"/>
                <w:highlight w:val="none"/>
              </w:rPr>
              <w:t>30.附属房建工程的试验检测工作</w:t>
            </w:r>
          </w:p>
        </w:tc>
        <w:tc>
          <w:tcPr>
            <w:tcW w:w="1553" w:type="dxa"/>
            <w:vAlign w:val="top"/>
          </w:tcPr>
          <w:p w14:paraId="55384734">
            <w:pPr>
              <w:pStyle w:val="18"/>
              <w:spacing w:before="36" w:line="228" w:lineRule="auto"/>
              <w:ind w:left="135"/>
              <w:rPr>
                <w:color w:val="auto"/>
                <w:highlight w:val="none"/>
              </w:rPr>
            </w:pPr>
            <w:r>
              <w:rPr>
                <w:color w:val="auto"/>
                <w:spacing w:val="4"/>
                <w:highlight w:val="none"/>
              </w:rPr>
              <w:t>中心试验室</w:t>
            </w:r>
          </w:p>
        </w:tc>
        <w:tc>
          <w:tcPr>
            <w:tcW w:w="1859" w:type="dxa"/>
            <w:vAlign w:val="top"/>
          </w:tcPr>
          <w:p w14:paraId="6D151310">
            <w:pPr>
              <w:pStyle w:val="18"/>
              <w:spacing w:before="35" w:line="231" w:lineRule="auto"/>
              <w:ind w:left="116"/>
              <w:rPr>
                <w:color w:val="auto"/>
                <w:highlight w:val="none"/>
              </w:rPr>
            </w:pPr>
            <w:r>
              <w:rPr>
                <w:color w:val="auto"/>
                <w:spacing w:val="6"/>
                <w:highlight w:val="none"/>
              </w:rPr>
              <w:t>监理人</w:t>
            </w:r>
          </w:p>
        </w:tc>
      </w:tr>
      <w:tr w14:paraId="403D4B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5483" w:type="dxa"/>
            <w:vAlign w:val="top"/>
          </w:tcPr>
          <w:p w14:paraId="6E9DCFB9">
            <w:pPr>
              <w:pStyle w:val="18"/>
              <w:spacing w:before="37" w:line="228" w:lineRule="auto"/>
              <w:ind w:left="119"/>
              <w:rPr>
                <w:color w:val="auto"/>
                <w:highlight w:val="none"/>
              </w:rPr>
            </w:pPr>
            <w:r>
              <w:rPr>
                <w:color w:val="auto"/>
                <w:spacing w:val="7"/>
                <w:highlight w:val="none"/>
              </w:rPr>
              <w:t>31.结构物质量评定</w:t>
            </w:r>
          </w:p>
        </w:tc>
        <w:tc>
          <w:tcPr>
            <w:tcW w:w="1553" w:type="dxa"/>
            <w:vAlign w:val="top"/>
          </w:tcPr>
          <w:p w14:paraId="260896C0">
            <w:pPr>
              <w:pStyle w:val="18"/>
              <w:spacing w:before="36" w:line="231" w:lineRule="auto"/>
              <w:ind w:left="116"/>
              <w:rPr>
                <w:color w:val="auto"/>
                <w:highlight w:val="none"/>
              </w:rPr>
            </w:pPr>
            <w:r>
              <w:rPr>
                <w:color w:val="auto"/>
                <w:spacing w:val="6"/>
                <w:highlight w:val="none"/>
              </w:rPr>
              <w:t>监理人</w:t>
            </w:r>
          </w:p>
        </w:tc>
        <w:tc>
          <w:tcPr>
            <w:tcW w:w="1859" w:type="dxa"/>
            <w:vAlign w:val="top"/>
          </w:tcPr>
          <w:p w14:paraId="4D41B6E1">
            <w:pPr>
              <w:pStyle w:val="18"/>
              <w:spacing w:before="37" w:line="228" w:lineRule="auto"/>
              <w:ind w:left="135"/>
              <w:rPr>
                <w:color w:val="auto"/>
                <w:highlight w:val="none"/>
              </w:rPr>
            </w:pPr>
            <w:r>
              <w:rPr>
                <w:color w:val="auto"/>
                <w:spacing w:val="4"/>
                <w:highlight w:val="none"/>
              </w:rPr>
              <w:t>中心试验室</w:t>
            </w:r>
          </w:p>
        </w:tc>
      </w:tr>
      <w:tr w14:paraId="577FC3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5483" w:type="dxa"/>
            <w:vAlign w:val="top"/>
          </w:tcPr>
          <w:p w14:paraId="006D46E9">
            <w:pPr>
              <w:pStyle w:val="18"/>
              <w:spacing w:before="34" w:line="228" w:lineRule="auto"/>
              <w:ind w:left="119"/>
              <w:rPr>
                <w:color w:val="auto"/>
                <w:highlight w:val="none"/>
              </w:rPr>
            </w:pPr>
            <w:r>
              <w:rPr>
                <w:color w:val="auto"/>
                <w:spacing w:val="8"/>
                <w:highlight w:val="none"/>
              </w:rPr>
              <w:t>32.编制检测计划和检测细则</w:t>
            </w:r>
          </w:p>
        </w:tc>
        <w:tc>
          <w:tcPr>
            <w:tcW w:w="1553" w:type="dxa"/>
            <w:vAlign w:val="top"/>
          </w:tcPr>
          <w:p w14:paraId="5FB48FF3">
            <w:pPr>
              <w:pStyle w:val="18"/>
              <w:spacing w:before="35" w:line="228" w:lineRule="auto"/>
              <w:ind w:left="135"/>
              <w:rPr>
                <w:color w:val="auto"/>
                <w:highlight w:val="none"/>
              </w:rPr>
            </w:pPr>
            <w:r>
              <w:rPr>
                <w:color w:val="auto"/>
                <w:spacing w:val="4"/>
                <w:highlight w:val="none"/>
              </w:rPr>
              <w:t>中心试验室</w:t>
            </w:r>
          </w:p>
        </w:tc>
        <w:tc>
          <w:tcPr>
            <w:tcW w:w="1859" w:type="dxa"/>
            <w:vAlign w:val="top"/>
          </w:tcPr>
          <w:p w14:paraId="1ACBE3B8">
            <w:pPr>
              <w:pStyle w:val="18"/>
              <w:spacing w:before="34" w:line="231" w:lineRule="auto"/>
              <w:ind w:left="116"/>
              <w:rPr>
                <w:color w:val="auto"/>
                <w:highlight w:val="none"/>
              </w:rPr>
            </w:pPr>
            <w:r>
              <w:rPr>
                <w:color w:val="auto"/>
                <w:spacing w:val="6"/>
                <w:highlight w:val="none"/>
              </w:rPr>
              <w:t>监理人</w:t>
            </w:r>
          </w:p>
        </w:tc>
      </w:tr>
    </w:tbl>
    <w:p w14:paraId="07D895CE">
      <w:pPr>
        <w:spacing w:line="268" w:lineRule="auto"/>
        <w:rPr>
          <w:rFonts w:ascii="Arial"/>
          <w:color w:val="auto"/>
          <w:sz w:val="21"/>
          <w:highlight w:val="none"/>
        </w:rPr>
      </w:pPr>
    </w:p>
    <w:p w14:paraId="3872052A">
      <w:pPr>
        <w:spacing w:before="78" w:line="219" w:lineRule="auto"/>
        <w:ind w:left="623"/>
        <w:rPr>
          <w:rFonts w:ascii="宋体" w:hAnsi="宋体" w:eastAsia="宋体" w:cs="宋体"/>
          <w:color w:val="auto"/>
          <w:sz w:val="22"/>
          <w:szCs w:val="22"/>
          <w:highlight w:val="none"/>
        </w:rPr>
      </w:pPr>
      <w:r>
        <w:rPr>
          <w:rFonts w:ascii="宋体" w:hAnsi="宋体" w:eastAsia="宋体" w:cs="宋体"/>
          <w:color w:val="auto"/>
          <w:spacing w:val="-2"/>
          <w:sz w:val="22"/>
          <w:szCs w:val="22"/>
          <w:highlight w:val="none"/>
        </w:rPr>
        <w:t>13.6.3.</w:t>
      </w:r>
      <w:r>
        <w:rPr>
          <w:rFonts w:ascii="宋体" w:hAnsi="宋体" w:eastAsia="宋体" w:cs="宋体"/>
          <w:color w:val="auto"/>
          <w:spacing w:val="37"/>
          <w:sz w:val="22"/>
          <w:szCs w:val="22"/>
          <w:highlight w:val="none"/>
        </w:rPr>
        <w:t xml:space="preserve"> </w:t>
      </w:r>
      <w:r>
        <w:rPr>
          <w:rFonts w:ascii="宋体" w:hAnsi="宋体" w:eastAsia="宋体" w:cs="宋体"/>
          <w:color w:val="auto"/>
          <w:spacing w:val="-2"/>
          <w:sz w:val="22"/>
          <w:szCs w:val="22"/>
          <w:highlight w:val="none"/>
        </w:rPr>
        <w:t>中心试验室的工程质量监管职责（包含但不限于以下工作）</w:t>
      </w:r>
    </w:p>
    <w:p w14:paraId="1B6401B1">
      <w:pPr>
        <w:spacing w:before="48" w:line="312" w:lineRule="auto"/>
        <w:ind w:right="114" w:firstLine="497"/>
        <w:rPr>
          <w:rFonts w:ascii="宋体" w:hAnsi="宋体" w:eastAsia="宋体" w:cs="宋体"/>
          <w:color w:val="auto"/>
          <w:sz w:val="22"/>
          <w:szCs w:val="22"/>
          <w:highlight w:val="none"/>
        </w:rPr>
      </w:pPr>
      <w:r>
        <w:rPr>
          <w:rFonts w:ascii="宋体" w:hAnsi="宋体" w:eastAsia="宋体" w:cs="宋体"/>
          <w:color w:val="auto"/>
          <w:spacing w:val="1"/>
          <w:sz w:val="22"/>
          <w:szCs w:val="22"/>
          <w:highlight w:val="none"/>
        </w:rPr>
        <w:t>（1）按照合同、最新《公路水运工程试验检测管理办法》和《公路工程施工监理</w:t>
      </w:r>
      <w:r>
        <w:rPr>
          <w:rFonts w:ascii="宋体" w:hAnsi="宋体" w:eastAsia="宋体" w:cs="宋体"/>
          <w:color w:val="auto"/>
          <w:spacing w:val="5"/>
          <w:sz w:val="22"/>
          <w:szCs w:val="22"/>
          <w:highlight w:val="none"/>
        </w:rPr>
        <w:t>规范》有关规定，负责工程检测服务合同范围内的验证试验、工艺试验、标准</w:t>
      </w:r>
      <w:r>
        <w:rPr>
          <w:rFonts w:ascii="宋体" w:hAnsi="宋体" w:eastAsia="宋体" w:cs="宋体"/>
          <w:color w:val="auto"/>
          <w:spacing w:val="4"/>
          <w:sz w:val="22"/>
          <w:szCs w:val="22"/>
          <w:highlight w:val="none"/>
        </w:rPr>
        <w:t>试验、</w:t>
      </w:r>
      <w:r>
        <w:rPr>
          <w:rFonts w:ascii="宋体" w:hAnsi="宋体" w:eastAsia="宋体" w:cs="宋体"/>
          <w:color w:val="auto"/>
          <w:sz w:val="22"/>
          <w:szCs w:val="22"/>
          <w:highlight w:val="none"/>
        </w:rPr>
        <w:t>抽检试验、验收试验等工作的采样和试验并出具结论报告</w:t>
      </w:r>
      <w:r>
        <w:rPr>
          <w:rFonts w:ascii="宋体" w:hAnsi="宋体" w:eastAsia="宋体" w:cs="宋体"/>
          <w:color w:val="auto"/>
          <w:spacing w:val="-1"/>
          <w:sz w:val="22"/>
          <w:szCs w:val="22"/>
          <w:highlight w:val="none"/>
        </w:rPr>
        <w:t>，并对其真实性负责。</w:t>
      </w:r>
    </w:p>
    <w:p w14:paraId="393BC752">
      <w:pPr>
        <w:spacing w:before="182" w:line="289" w:lineRule="auto"/>
        <w:ind w:right="114" w:firstLine="496"/>
        <w:rPr>
          <w:rFonts w:ascii="宋体" w:hAnsi="宋体" w:eastAsia="宋体" w:cs="宋体"/>
          <w:color w:val="auto"/>
          <w:sz w:val="22"/>
          <w:szCs w:val="22"/>
          <w:highlight w:val="none"/>
        </w:rPr>
      </w:pPr>
      <w:r>
        <w:rPr>
          <w:rFonts w:ascii="宋体" w:hAnsi="宋体" w:eastAsia="宋体" w:cs="宋体"/>
          <w:color w:val="auto"/>
          <w:spacing w:val="1"/>
          <w:sz w:val="22"/>
          <w:szCs w:val="22"/>
          <w:highlight w:val="none"/>
        </w:rPr>
        <w:t>（2）应及时、准确地为委托人或监理工程师提供试验报告、委托人认为有必要的</w:t>
      </w:r>
      <w:r>
        <w:rPr>
          <w:rFonts w:ascii="宋体" w:hAnsi="宋体" w:eastAsia="宋体" w:cs="宋体"/>
          <w:color w:val="auto"/>
          <w:sz w:val="22"/>
          <w:szCs w:val="22"/>
          <w:highlight w:val="none"/>
        </w:rPr>
        <w:t>试验检测分析意见，为监理工程师进行工程质</w:t>
      </w:r>
      <w:r>
        <w:rPr>
          <w:rFonts w:ascii="宋体" w:hAnsi="宋体" w:eastAsia="宋体" w:cs="宋体"/>
          <w:color w:val="auto"/>
          <w:spacing w:val="-1"/>
          <w:sz w:val="22"/>
          <w:szCs w:val="22"/>
          <w:highlight w:val="none"/>
        </w:rPr>
        <w:t>量控制和评估提供依据。</w:t>
      </w:r>
    </w:p>
    <w:p w14:paraId="6D95A5CE">
      <w:pPr>
        <w:spacing w:before="181" w:line="290" w:lineRule="auto"/>
        <w:ind w:left="24" w:firstLine="472"/>
        <w:rPr>
          <w:rFonts w:ascii="宋体" w:hAnsi="宋体" w:eastAsia="宋体" w:cs="宋体"/>
          <w:color w:val="auto"/>
          <w:sz w:val="22"/>
          <w:szCs w:val="22"/>
          <w:highlight w:val="none"/>
        </w:rPr>
      </w:pPr>
      <w:r>
        <w:rPr>
          <w:rFonts w:ascii="宋体" w:hAnsi="宋体" w:eastAsia="宋体" w:cs="宋体"/>
          <w:color w:val="auto"/>
          <w:spacing w:val="-2"/>
          <w:sz w:val="22"/>
          <w:szCs w:val="22"/>
          <w:highlight w:val="none"/>
        </w:rPr>
        <w:t>（3）依据监理工程师的工作计划同步编写试验检测工作计划，并报</w:t>
      </w:r>
      <w:r>
        <w:rPr>
          <w:rFonts w:ascii="宋体" w:hAnsi="宋体" w:eastAsia="宋体" w:cs="宋体"/>
          <w:color w:val="auto"/>
          <w:spacing w:val="-3"/>
          <w:sz w:val="22"/>
          <w:szCs w:val="22"/>
          <w:highlight w:val="none"/>
        </w:rPr>
        <w:t>送委托人审批，</w:t>
      </w:r>
      <w:r>
        <w:rPr>
          <w:rFonts w:ascii="宋体" w:hAnsi="宋体" w:eastAsia="宋体" w:cs="宋体"/>
          <w:color w:val="auto"/>
          <w:spacing w:val="-2"/>
          <w:sz w:val="22"/>
          <w:szCs w:val="22"/>
          <w:highlight w:val="none"/>
        </w:rPr>
        <w:t>同时中心试验室应据此安排做好试验检测服务工作。</w:t>
      </w:r>
    </w:p>
    <w:p w14:paraId="2DE6CEBC">
      <w:pPr>
        <w:spacing w:before="179" w:line="290" w:lineRule="auto"/>
        <w:ind w:left="6" w:firstLine="490"/>
        <w:rPr>
          <w:rFonts w:ascii="宋体" w:hAnsi="宋体" w:eastAsia="宋体" w:cs="宋体"/>
          <w:color w:val="auto"/>
          <w:sz w:val="22"/>
          <w:szCs w:val="22"/>
          <w:highlight w:val="none"/>
        </w:rPr>
      </w:pPr>
      <w:r>
        <w:rPr>
          <w:rFonts w:ascii="宋体" w:hAnsi="宋体" w:eastAsia="宋体" w:cs="宋体"/>
          <w:color w:val="auto"/>
          <w:spacing w:val="-2"/>
          <w:sz w:val="22"/>
          <w:szCs w:val="22"/>
          <w:highlight w:val="none"/>
        </w:rPr>
        <w:t>（4）根据总监办编制、审批的监理实施细则，参照编制相应的试验</w:t>
      </w:r>
      <w:r>
        <w:rPr>
          <w:rFonts w:ascii="宋体" w:hAnsi="宋体" w:eastAsia="宋体" w:cs="宋体"/>
          <w:color w:val="auto"/>
          <w:spacing w:val="-3"/>
          <w:sz w:val="22"/>
          <w:szCs w:val="22"/>
          <w:highlight w:val="none"/>
        </w:rPr>
        <w:t>检测实施细则，并报送委托人。</w:t>
      </w:r>
    </w:p>
    <w:p w14:paraId="6EFB409D">
      <w:pPr>
        <w:spacing w:before="180" w:line="219" w:lineRule="auto"/>
        <w:ind w:left="497"/>
        <w:rPr>
          <w:rFonts w:ascii="宋体" w:hAnsi="宋体" w:eastAsia="宋体" w:cs="宋体"/>
          <w:color w:val="auto"/>
          <w:sz w:val="22"/>
          <w:szCs w:val="22"/>
          <w:highlight w:val="none"/>
        </w:rPr>
      </w:pPr>
      <w:r>
        <w:rPr>
          <w:rFonts w:ascii="宋体" w:hAnsi="宋体" w:eastAsia="宋体" w:cs="宋体"/>
          <w:color w:val="auto"/>
          <w:spacing w:val="-1"/>
          <w:sz w:val="22"/>
          <w:szCs w:val="22"/>
          <w:highlight w:val="none"/>
        </w:rPr>
        <w:t>（5）负责审批施工单位的试验检测工作计划，检查计划执行情况。</w:t>
      </w:r>
    </w:p>
    <w:p w14:paraId="0484A4D6">
      <w:pPr>
        <w:spacing w:before="183" w:line="219" w:lineRule="auto"/>
        <w:ind w:left="497"/>
        <w:rPr>
          <w:rFonts w:ascii="宋体" w:hAnsi="宋体" w:eastAsia="宋体" w:cs="宋体"/>
          <w:color w:val="auto"/>
          <w:sz w:val="22"/>
          <w:szCs w:val="22"/>
          <w:highlight w:val="none"/>
        </w:rPr>
      </w:pPr>
      <w:r>
        <w:rPr>
          <w:rFonts w:ascii="宋体" w:hAnsi="宋体" w:eastAsia="宋体" w:cs="宋体"/>
          <w:color w:val="auto"/>
          <w:spacing w:val="-1"/>
          <w:sz w:val="22"/>
          <w:szCs w:val="22"/>
          <w:highlight w:val="none"/>
        </w:rPr>
        <w:t>（6）参与委托人组织的施工单位工地试验室临时资质的考核和验收工作。</w:t>
      </w:r>
    </w:p>
    <w:p w14:paraId="605F95BF">
      <w:pPr>
        <w:spacing w:before="182" w:line="313" w:lineRule="auto"/>
        <w:ind w:left="1" w:right="114" w:firstLine="495"/>
        <w:rPr>
          <w:rFonts w:ascii="宋体" w:hAnsi="宋体" w:eastAsia="宋体" w:cs="宋体"/>
          <w:color w:val="auto"/>
          <w:sz w:val="22"/>
          <w:szCs w:val="22"/>
          <w:highlight w:val="none"/>
        </w:rPr>
      </w:pPr>
      <w:r>
        <w:rPr>
          <w:rFonts w:ascii="宋体" w:hAnsi="宋体" w:eastAsia="宋体" w:cs="宋体"/>
          <w:color w:val="auto"/>
          <w:spacing w:val="1"/>
          <w:sz w:val="22"/>
          <w:szCs w:val="22"/>
          <w:highlight w:val="none"/>
        </w:rPr>
        <w:t>（7）执行监理工程师试验、检测工作指令，以《试验检测业务联系单》的形式传</w:t>
      </w:r>
      <w:r>
        <w:rPr>
          <w:rFonts w:ascii="宋体" w:hAnsi="宋体" w:eastAsia="宋体" w:cs="宋体"/>
          <w:color w:val="auto"/>
          <w:spacing w:val="5"/>
          <w:sz w:val="22"/>
          <w:szCs w:val="22"/>
          <w:highlight w:val="none"/>
        </w:rPr>
        <w:t>递，《试验检测业务联系单》发件人及接收人须签字，相关信息力求详细</w:t>
      </w:r>
      <w:r>
        <w:rPr>
          <w:rFonts w:ascii="宋体" w:hAnsi="宋体" w:eastAsia="宋体" w:cs="宋体"/>
          <w:color w:val="auto"/>
          <w:spacing w:val="4"/>
          <w:sz w:val="22"/>
          <w:szCs w:val="22"/>
          <w:highlight w:val="none"/>
        </w:rPr>
        <w:t>，具有可操</w:t>
      </w:r>
      <w:r>
        <w:rPr>
          <w:rFonts w:ascii="宋体" w:hAnsi="宋体" w:eastAsia="宋体" w:cs="宋体"/>
          <w:color w:val="auto"/>
          <w:spacing w:val="-4"/>
          <w:sz w:val="22"/>
          <w:szCs w:val="22"/>
          <w:highlight w:val="none"/>
        </w:rPr>
        <w:t>作性。</w:t>
      </w:r>
    </w:p>
    <w:p w14:paraId="644505B4">
      <w:pPr>
        <w:spacing w:before="179" w:line="289" w:lineRule="auto"/>
        <w:ind w:left="1" w:right="114" w:firstLine="495"/>
        <w:rPr>
          <w:rFonts w:ascii="宋体" w:hAnsi="宋体" w:eastAsia="宋体" w:cs="宋体"/>
          <w:color w:val="auto"/>
          <w:sz w:val="22"/>
          <w:szCs w:val="22"/>
          <w:highlight w:val="none"/>
        </w:rPr>
      </w:pPr>
      <w:r>
        <w:rPr>
          <w:rFonts w:ascii="宋体" w:hAnsi="宋体" w:eastAsia="宋体" w:cs="宋体"/>
          <w:color w:val="auto"/>
          <w:spacing w:val="1"/>
          <w:sz w:val="22"/>
          <w:szCs w:val="22"/>
          <w:highlight w:val="none"/>
        </w:rPr>
        <w:t>（8）负责审查施工单位报审的原材料和混合料试验资料，对主要原材料、主要混</w:t>
      </w:r>
      <w:r>
        <w:rPr>
          <w:rFonts w:ascii="宋体" w:hAnsi="宋体" w:eastAsia="宋体" w:cs="宋体"/>
          <w:color w:val="auto"/>
          <w:sz w:val="22"/>
          <w:szCs w:val="22"/>
          <w:highlight w:val="none"/>
        </w:rPr>
        <w:t>合料的配合比和路基填料的击实试验进行验证试验，并根</w:t>
      </w:r>
      <w:r>
        <w:rPr>
          <w:rFonts w:ascii="宋体" w:hAnsi="宋体" w:eastAsia="宋体" w:cs="宋体"/>
          <w:color w:val="auto"/>
          <w:spacing w:val="-1"/>
          <w:sz w:val="22"/>
          <w:szCs w:val="22"/>
          <w:highlight w:val="none"/>
        </w:rPr>
        <w:t>据验证报告进行批复审批。</w:t>
      </w:r>
    </w:p>
    <w:p w14:paraId="1D3125D3">
      <w:pPr>
        <w:spacing w:before="183" w:line="219" w:lineRule="auto"/>
        <w:ind w:left="497"/>
        <w:rPr>
          <w:rFonts w:ascii="宋体" w:hAnsi="宋体" w:eastAsia="宋体" w:cs="宋体"/>
          <w:color w:val="auto"/>
          <w:sz w:val="22"/>
          <w:szCs w:val="22"/>
          <w:highlight w:val="none"/>
        </w:rPr>
      </w:pPr>
      <w:r>
        <w:rPr>
          <w:rFonts w:ascii="宋体" w:hAnsi="宋体" w:eastAsia="宋体" w:cs="宋体"/>
          <w:color w:val="auto"/>
          <w:spacing w:val="-1"/>
          <w:sz w:val="22"/>
          <w:szCs w:val="22"/>
          <w:highlight w:val="none"/>
        </w:rPr>
        <w:t>（9）负责审批施工单位的试验检测计划，检查计划执行情况。</w:t>
      </w:r>
    </w:p>
    <w:p w14:paraId="16CD567C">
      <w:pPr>
        <w:spacing w:before="181" w:line="313" w:lineRule="auto"/>
        <w:ind w:right="75" w:firstLine="496"/>
        <w:rPr>
          <w:rFonts w:ascii="宋体" w:hAnsi="宋体" w:eastAsia="宋体" w:cs="宋体"/>
          <w:color w:val="auto"/>
          <w:sz w:val="22"/>
          <w:szCs w:val="22"/>
          <w:highlight w:val="none"/>
        </w:rPr>
      </w:pPr>
      <w:r>
        <w:rPr>
          <w:rFonts w:ascii="宋体" w:hAnsi="宋体" w:eastAsia="宋体" w:cs="宋体"/>
          <w:color w:val="auto"/>
          <w:spacing w:val="-1"/>
          <w:sz w:val="22"/>
          <w:szCs w:val="22"/>
          <w:highlight w:val="none"/>
        </w:rPr>
        <w:t>（10）中心试验室应在施工单位自检合格基础上按最新《公路工程施工监理规范》</w:t>
      </w:r>
      <w:r>
        <w:rPr>
          <w:rFonts w:ascii="宋体" w:hAnsi="宋体" w:eastAsia="宋体" w:cs="宋体"/>
          <w:color w:val="auto"/>
          <w:spacing w:val="5"/>
          <w:sz w:val="22"/>
          <w:szCs w:val="22"/>
          <w:highlight w:val="none"/>
        </w:rPr>
        <w:t>相关规定进行抽检，并按相关附录格式填写抽检记录，并负责施工单位试验</w:t>
      </w:r>
      <w:r>
        <w:rPr>
          <w:rFonts w:ascii="宋体" w:hAnsi="宋体" w:eastAsia="宋体" w:cs="宋体"/>
          <w:color w:val="auto"/>
          <w:spacing w:val="4"/>
          <w:sz w:val="22"/>
          <w:szCs w:val="22"/>
          <w:highlight w:val="none"/>
        </w:rPr>
        <w:t>检测的见</w:t>
      </w:r>
      <w:r>
        <w:rPr>
          <w:rFonts w:ascii="宋体" w:hAnsi="宋体" w:eastAsia="宋体" w:cs="宋体"/>
          <w:color w:val="auto"/>
          <w:spacing w:val="-1"/>
          <w:sz w:val="22"/>
          <w:szCs w:val="22"/>
          <w:highlight w:val="none"/>
        </w:rPr>
        <w:t>证、旁站和相关资料的签认。</w:t>
      </w:r>
    </w:p>
    <w:p w14:paraId="5249F729">
      <w:pPr>
        <w:spacing w:before="182" w:line="324" w:lineRule="auto"/>
        <w:ind w:left="1" w:right="114" w:firstLine="495"/>
        <w:rPr>
          <w:rFonts w:ascii="宋体" w:hAnsi="宋体" w:eastAsia="宋体" w:cs="宋体"/>
          <w:color w:val="auto"/>
          <w:sz w:val="22"/>
          <w:szCs w:val="22"/>
          <w:highlight w:val="none"/>
        </w:rPr>
      </w:pPr>
      <w:r>
        <w:rPr>
          <w:rFonts w:ascii="宋体" w:hAnsi="宋体" w:eastAsia="宋体" w:cs="宋体"/>
          <w:color w:val="auto"/>
          <w:spacing w:val="5"/>
          <w:sz w:val="22"/>
          <w:szCs w:val="22"/>
          <w:highlight w:val="none"/>
        </w:rPr>
        <w:t>（11）如监理工程师有其他试验、检测工作指</w:t>
      </w:r>
      <w:r>
        <w:rPr>
          <w:rFonts w:ascii="宋体" w:hAnsi="宋体" w:eastAsia="宋体" w:cs="宋体"/>
          <w:color w:val="auto"/>
          <w:spacing w:val="4"/>
          <w:sz w:val="22"/>
          <w:szCs w:val="22"/>
          <w:highlight w:val="none"/>
        </w:rPr>
        <w:t>令，以《试验检测业务联系单》的</w:t>
      </w:r>
      <w:r>
        <w:rPr>
          <w:rFonts w:ascii="宋体" w:hAnsi="宋体" w:eastAsia="宋体" w:cs="宋体"/>
          <w:color w:val="auto"/>
          <w:spacing w:val="5"/>
          <w:sz w:val="22"/>
          <w:szCs w:val="22"/>
          <w:highlight w:val="none"/>
        </w:rPr>
        <w:t>形式传递，《试验检测业务联系单》发件人及接收人须签字，相关信息力</w:t>
      </w:r>
      <w:r>
        <w:rPr>
          <w:rFonts w:ascii="宋体" w:hAnsi="宋体" w:eastAsia="宋体" w:cs="宋体"/>
          <w:color w:val="auto"/>
          <w:spacing w:val="4"/>
          <w:sz w:val="22"/>
          <w:szCs w:val="22"/>
          <w:highlight w:val="none"/>
        </w:rPr>
        <w:t>求详细，具</w:t>
      </w:r>
      <w:r>
        <w:rPr>
          <w:rFonts w:ascii="宋体" w:hAnsi="宋体" w:eastAsia="宋体" w:cs="宋体"/>
          <w:color w:val="auto"/>
          <w:spacing w:val="-3"/>
          <w:sz w:val="22"/>
          <w:szCs w:val="22"/>
          <w:highlight w:val="none"/>
        </w:rPr>
        <w:t>有可操作性。</w:t>
      </w:r>
      <w:r>
        <w:rPr>
          <w:rFonts w:ascii="宋体" w:hAnsi="宋体" w:eastAsia="宋体" w:cs="宋体"/>
          <w:color w:val="auto"/>
          <w:spacing w:val="-66"/>
          <w:sz w:val="22"/>
          <w:szCs w:val="22"/>
          <w:highlight w:val="none"/>
        </w:rPr>
        <w:t xml:space="preserve"> </w:t>
      </w:r>
      <w:r>
        <w:rPr>
          <w:rFonts w:ascii="宋体" w:hAnsi="宋体" w:eastAsia="宋体" w:cs="宋体"/>
          <w:color w:val="auto"/>
          <w:spacing w:val="-3"/>
          <w:sz w:val="22"/>
          <w:szCs w:val="22"/>
          <w:highlight w:val="none"/>
        </w:rPr>
        <w:t>日常代表监理人及发包人的抽检工作以材料或试件抽样单形式进行实施，</w:t>
      </w:r>
      <w:r>
        <w:rPr>
          <w:rFonts w:ascii="宋体" w:hAnsi="宋体" w:eastAsia="宋体" w:cs="宋体"/>
          <w:color w:val="auto"/>
          <w:spacing w:val="-2"/>
          <w:sz w:val="22"/>
          <w:szCs w:val="22"/>
          <w:highlight w:val="none"/>
        </w:rPr>
        <w:t>具有追溯性。</w:t>
      </w:r>
    </w:p>
    <w:p w14:paraId="7F8C5C0E">
      <w:pPr>
        <w:spacing w:before="182" w:line="289" w:lineRule="auto"/>
        <w:ind w:right="172" w:firstLine="496"/>
        <w:rPr>
          <w:rFonts w:ascii="宋体" w:hAnsi="宋体" w:eastAsia="宋体" w:cs="宋体"/>
          <w:color w:val="auto"/>
          <w:sz w:val="22"/>
          <w:szCs w:val="22"/>
          <w:highlight w:val="none"/>
        </w:rPr>
      </w:pPr>
      <w:r>
        <w:rPr>
          <w:rFonts w:ascii="宋体" w:hAnsi="宋体" w:eastAsia="宋体" w:cs="宋体"/>
          <w:color w:val="auto"/>
          <w:spacing w:val="3"/>
          <w:sz w:val="22"/>
          <w:szCs w:val="22"/>
          <w:highlight w:val="none"/>
        </w:rPr>
        <w:t>（12）参加委托人、监理工程师主持召开的工地例会及相关质量专题分析会</w:t>
      </w:r>
      <w:r>
        <w:rPr>
          <w:rFonts w:ascii="宋体" w:hAnsi="宋体" w:eastAsia="宋体" w:cs="宋体"/>
          <w:color w:val="auto"/>
          <w:spacing w:val="2"/>
          <w:sz w:val="22"/>
          <w:szCs w:val="22"/>
          <w:highlight w:val="none"/>
        </w:rPr>
        <w:t>议，</w:t>
      </w:r>
      <w:r>
        <w:rPr>
          <w:rFonts w:ascii="宋体" w:hAnsi="宋体" w:eastAsia="宋体" w:cs="宋体"/>
          <w:color w:val="auto"/>
          <w:spacing w:val="-1"/>
          <w:sz w:val="22"/>
          <w:szCs w:val="22"/>
          <w:highlight w:val="none"/>
        </w:rPr>
        <w:t>通报有关工程质量检测实施情况和试验检测结果。</w:t>
      </w:r>
    </w:p>
    <w:p w14:paraId="5C594658">
      <w:pPr>
        <w:spacing w:before="181" w:line="289" w:lineRule="auto"/>
        <w:ind w:left="2" w:right="114" w:firstLine="494"/>
        <w:rPr>
          <w:rFonts w:ascii="宋体" w:hAnsi="宋体" w:eastAsia="宋体" w:cs="宋体"/>
          <w:color w:val="auto"/>
          <w:sz w:val="22"/>
          <w:szCs w:val="22"/>
          <w:highlight w:val="none"/>
        </w:rPr>
      </w:pPr>
      <w:r>
        <w:rPr>
          <w:rFonts w:ascii="宋体" w:hAnsi="宋体" w:eastAsia="宋体" w:cs="宋体"/>
          <w:color w:val="auto"/>
          <w:spacing w:val="5"/>
          <w:sz w:val="22"/>
          <w:szCs w:val="22"/>
          <w:highlight w:val="none"/>
        </w:rPr>
        <w:t>（13）协助委托人调查处理施工单位的质量问</w:t>
      </w:r>
      <w:r>
        <w:rPr>
          <w:rFonts w:ascii="宋体" w:hAnsi="宋体" w:eastAsia="宋体" w:cs="宋体"/>
          <w:color w:val="auto"/>
          <w:spacing w:val="4"/>
          <w:sz w:val="22"/>
          <w:szCs w:val="22"/>
          <w:highlight w:val="none"/>
        </w:rPr>
        <w:t>题、事故，并向监理工程师和委托</w:t>
      </w:r>
      <w:r>
        <w:rPr>
          <w:rFonts w:ascii="宋体" w:hAnsi="宋体" w:eastAsia="宋体" w:cs="宋体"/>
          <w:color w:val="auto"/>
          <w:spacing w:val="-1"/>
          <w:sz w:val="22"/>
          <w:szCs w:val="22"/>
          <w:highlight w:val="none"/>
        </w:rPr>
        <w:t>人报告在检测中发现的问题。</w:t>
      </w:r>
    </w:p>
    <w:p w14:paraId="011C6964">
      <w:pPr>
        <w:spacing w:before="182" w:line="289" w:lineRule="auto"/>
        <w:ind w:left="7" w:right="114" w:firstLine="489"/>
        <w:rPr>
          <w:rFonts w:ascii="宋体" w:hAnsi="宋体" w:eastAsia="宋体" w:cs="宋体"/>
          <w:color w:val="auto"/>
          <w:sz w:val="22"/>
          <w:szCs w:val="22"/>
          <w:highlight w:val="none"/>
        </w:rPr>
      </w:pPr>
      <w:r>
        <w:rPr>
          <w:rFonts w:ascii="宋体" w:hAnsi="宋体" w:eastAsia="宋体" w:cs="宋体"/>
          <w:color w:val="auto"/>
          <w:spacing w:val="5"/>
          <w:sz w:val="22"/>
          <w:szCs w:val="22"/>
          <w:highlight w:val="none"/>
        </w:rPr>
        <w:t>（14）参与监理工程师组织的工程质量评定工</w:t>
      </w:r>
      <w:r>
        <w:rPr>
          <w:rFonts w:ascii="宋体" w:hAnsi="宋体" w:eastAsia="宋体" w:cs="宋体"/>
          <w:color w:val="auto"/>
          <w:spacing w:val="4"/>
          <w:sz w:val="22"/>
          <w:szCs w:val="22"/>
          <w:highlight w:val="none"/>
        </w:rPr>
        <w:t>作，编制中心试验室试验检测工作</w:t>
      </w:r>
      <w:r>
        <w:rPr>
          <w:rFonts w:ascii="宋体" w:hAnsi="宋体" w:eastAsia="宋体" w:cs="宋体"/>
          <w:color w:val="auto"/>
          <w:spacing w:val="-4"/>
          <w:sz w:val="22"/>
          <w:szCs w:val="22"/>
          <w:highlight w:val="none"/>
        </w:rPr>
        <w:t>总结报告。</w:t>
      </w:r>
    </w:p>
    <w:p w14:paraId="45A9FD96">
      <w:pPr>
        <w:spacing w:line="289" w:lineRule="auto"/>
        <w:rPr>
          <w:rFonts w:ascii="宋体" w:hAnsi="宋体" w:eastAsia="宋体" w:cs="宋体"/>
          <w:color w:val="auto"/>
          <w:sz w:val="22"/>
          <w:szCs w:val="22"/>
          <w:highlight w:val="none"/>
        </w:rPr>
        <w:sectPr>
          <w:footerReference r:id="rId69" w:type="default"/>
          <w:pgSz w:w="11906" w:h="16839"/>
          <w:pgMar w:top="1405" w:right="1303" w:bottom="1297" w:left="1424" w:header="0" w:footer="1067" w:gutter="0"/>
          <w:pgNumType w:fmt="decimal"/>
          <w:cols w:space="720" w:num="1"/>
        </w:sectPr>
      </w:pPr>
    </w:p>
    <w:p w14:paraId="710EEE3E">
      <w:pPr>
        <w:spacing w:before="47" w:line="289" w:lineRule="auto"/>
        <w:ind w:left="1" w:firstLine="495"/>
        <w:rPr>
          <w:rFonts w:ascii="宋体" w:hAnsi="宋体" w:eastAsia="宋体" w:cs="宋体"/>
          <w:color w:val="auto"/>
          <w:sz w:val="22"/>
          <w:szCs w:val="22"/>
          <w:highlight w:val="none"/>
        </w:rPr>
      </w:pPr>
      <w:r>
        <w:rPr>
          <w:rFonts w:ascii="宋体" w:hAnsi="宋体" w:eastAsia="宋体" w:cs="宋体"/>
          <w:color w:val="auto"/>
          <w:spacing w:val="5"/>
          <w:sz w:val="22"/>
          <w:szCs w:val="22"/>
          <w:highlight w:val="none"/>
        </w:rPr>
        <w:t>（15）参加监理工程师组织的中间交工验收、</w:t>
      </w:r>
      <w:r>
        <w:rPr>
          <w:rFonts w:ascii="宋体" w:hAnsi="宋体" w:eastAsia="宋体" w:cs="宋体"/>
          <w:color w:val="auto"/>
          <w:spacing w:val="4"/>
          <w:sz w:val="22"/>
          <w:szCs w:val="22"/>
          <w:highlight w:val="none"/>
        </w:rPr>
        <w:t>委托人组织的交工验收和上级行业</w:t>
      </w:r>
      <w:r>
        <w:rPr>
          <w:rFonts w:ascii="宋体" w:hAnsi="宋体" w:eastAsia="宋体" w:cs="宋体"/>
          <w:color w:val="auto"/>
          <w:spacing w:val="-1"/>
          <w:sz w:val="22"/>
          <w:szCs w:val="22"/>
          <w:highlight w:val="none"/>
        </w:rPr>
        <w:t>质监主管部门组织的检查及竣工验收。</w:t>
      </w:r>
    </w:p>
    <w:p w14:paraId="056F82D9">
      <w:pPr>
        <w:spacing w:before="183" w:line="219" w:lineRule="auto"/>
        <w:ind w:left="497"/>
        <w:rPr>
          <w:rFonts w:ascii="宋体" w:hAnsi="宋体" w:eastAsia="宋体" w:cs="宋体"/>
          <w:color w:val="auto"/>
          <w:sz w:val="22"/>
          <w:szCs w:val="22"/>
          <w:highlight w:val="none"/>
        </w:rPr>
      </w:pPr>
      <w:r>
        <w:rPr>
          <w:rFonts w:ascii="宋体" w:hAnsi="宋体" w:eastAsia="宋体" w:cs="宋体"/>
          <w:color w:val="auto"/>
          <w:spacing w:val="-1"/>
          <w:sz w:val="22"/>
          <w:szCs w:val="22"/>
          <w:highlight w:val="none"/>
        </w:rPr>
        <w:t>（16）根据合同文件规定，承担委托人授予的其他权利和义务。</w:t>
      </w:r>
    </w:p>
    <w:p w14:paraId="05A92988">
      <w:pPr>
        <w:spacing w:before="181" w:line="359" w:lineRule="auto"/>
        <w:ind w:left="2" w:firstLine="495"/>
        <w:jc w:val="both"/>
        <w:rPr>
          <w:rFonts w:ascii="宋体" w:hAnsi="宋体" w:eastAsia="宋体" w:cs="宋体"/>
          <w:color w:val="auto"/>
          <w:sz w:val="22"/>
          <w:szCs w:val="22"/>
          <w:highlight w:val="none"/>
        </w:rPr>
      </w:pPr>
      <w:r>
        <w:rPr>
          <w:rFonts w:ascii="宋体" w:hAnsi="宋体" w:eastAsia="宋体" w:cs="宋体"/>
          <w:color w:val="auto"/>
          <w:spacing w:val="1"/>
          <w:sz w:val="22"/>
          <w:szCs w:val="22"/>
          <w:highlight w:val="none"/>
        </w:rPr>
        <w:t>13.6.4 如监理人与中心试验室在试验检测工作界面存在冲突或模糊，或根据工程</w:t>
      </w:r>
      <w:r>
        <w:rPr>
          <w:rFonts w:ascii="宋体" w:hAnsi="宋体" w:eastAsia="宋体" w:cs="宋体"/>
          <w:color w:val="auto"/>
          <w:spacing w:val="5"/>
          <w:sz w:val="22"/>
          <w:szCs w:val="22"/>
          <w:highlight w:val="none"/>
        </w:rPr>
        <w:t>实际需要调整工作界面时，委托人将予以进一步明确或重新调整工作界</w:t>
      </w:r>
      <w:r>
        <w:rPr>
          <w:rFonts w:ascii="宋体" w:hAnsi="宋体" w:eastAsia="宋体" w:cs="宋体"/>
          <w:color w:val="auto"/>
          <w:spacing w:val="4"/>
          <w:sz w:val="22"/>
          <w:szCs w:val="22"/>
          <w:highlight w:val="none"/>
        </w:rPr>
        <w:t>面划分，监理</w:t>
      </w:r>
      <w:r>
        <w:rPr>
          <w:rFonts w:ascii="宋体" w:hAnsi="宋体" w:eastAsia="宋体" w:cs="宋体"/>
          <w:color w:val="auto"/>
          <w:spacing w:val="-1"/>
          <w:sz w:val="22"/>
          <w:szCs w:val="22"/>
          <w:highlight w:val="none"/>
        </w:rPr>
        <w:t>人与中心试验室均须无条件服从委托人的协调和安排。</w:t>
      </w:r>
    </w:p>
    <w:p w14:paraId="0715C749">
      <w:pPr>
        <w:spacing w:before="1" w:line="288" w:lineRule="auto"/>
        <w:ind w:left="4" w:firstLine="493"/>
        <w:rPr>
          <w:rFonts w:ascii="宋体" w:hAnsi="宋体" w:eastAsia="宋体" w:cs="宋体"/>
          <w:color w:val="auto"/>
          <w:sz w:val="22"/>
          <w:szCs w:val="22"/>
          <w:highlight w:val="none"/>
        </w:rPr>
      </w:pPr>
      <w:r>
        <w:rPr>
          <w:rFonts w:ascii="宋体" w:hAnsi="宋体" w:eastAsia="宋体" w:cs="宋体"/>
          <w:color w:val="auto"/>
          <w:spacing w:val="2"/>
          <w:sz w:val="22"/>
          <w:szCs w:val="22"/>
          <w:highlight w:val="none"/>
        </w:rPr>
        <w:t>13.7</w:t>
      </w:r>
      <w:r>
        <w:rPr>
          <w:rFonts w:ascii="宋体" w:hAnsi="宋体" w:eastAsia="宋体" w:cs="宋体"/>
          <w:color w:val="auto"/>
          <w:spacing w:val="-31"/>
          <w:sz w:val="22"/>
          <w:szCs w:val="22"/>
          <w:highlight w:val="none"/>
        </w:rPr>
        <w:t xml:space="preserve"> </w:t>
      </w:r>
      <w:r>
        <w:rPr>
          <w:rFonts w:ascii="宋体" w:hAnsi="宋体" w:eastAsia="宋体" w:cs="宋体"/>
          <w:color w:val="auto"/>
          <w:spacing w:val="2"/>
          <w:sz w:val="22"/>
          <w:szCs w:val="22"/>
          <w:highlight w:val="none"/>
        </w:rPr>
        <w:t>监理人应根据本项目施工图纸及合同等相关要求，对承包人的线外工程及取</w:t>
      </w:r>
      <w:r>
        <w:rPr>
          <w:rFonts w:ascii="宋体" w:hAnsi="宋体" w:eastAsia="宋体" w:cs="宋体"/>
          <w:color w:val="auto"/>
          <w:spacing w:val="-2"/>
          <w:sz w:val="22"/>
          <w:szCs w:val="22"/>
          <w:highlight w:val="none"/>
        </w:rPr>
        <w:t>弃土场进行监理。</w:t>
      </w:r>
    </w:p>
    <w:p w14:paraId="5DD9A855">
      <w:pPr>
        <w:spacing w:before="183" w:line="219" w:lineRule="auto"/>
        <w:ind w:left="498"/>
        <w:rPr>
          <w:rFonts w:ascii="宋体" w:hAnsi="宋体" w:eastAsia="宋体" w:cs="宋体"/>
          <w:color w:val="auto"/>
          <w:sz w:val="22"/>
          <w:szCs w:val="22"/>
          <w:highlight w:val="none"/>
        </w:rPr>
      </w:pPr>
      <w:r>
        <w:rPr>
          <w:rFonts w:ascii="宋体" w:hAnsi="宋体" w:eastAsia="宋体" w:cs="宋体"/>
          <w:b/>
          <w:bCs/>
          <w:color w:val="auto"/>
          <w:spacing w:val="-5"/>
          <w:sz w:val="22"/>
          <w:szCs w:val="22"/>
          <w:highlight w:val="none"/>
        </w:rPr>
        <w:t>13.8</w:t>
      </w:r>
      <w:r>
        <w:rPr>
          <w:rFonts w:ascii="宋体" w:hAnsi="宋体" w:eastAsia="宋体" w:cs="宋体"/>
          <w:color w:val="auto"/>
          <w:spacing w:val="-37"/>
          <w:sz w:val="22"/>
          <w:szCs w:val="22"/>
          <w:highlight w:val="none"/>
        </w:rPr>
        <w:t xml:space="preserve"> </w:t>
      </w:r>
      <w:r>
        <w:rPr>
          <w:rFonts w:ascii="宋体" w:hAnsi="宋体" w:eastAsia="宋体" w:cs="宋体"/>
          <w:b/>
          <w:bCs/>
          <w:color w:val="auto"/>
          <w:spacing w:val="-5"/>
          <w:sz w:val="22"/>
          <w:szCs w:val="22"/>
          <w:highlight w:val="none"/>
        </w:rPr>
        <w:t>关于过程结算的补充条款</w:t>
      </w:r>
    </w:p>
    <w:p w14:paraId="0C61A72B">
      <w:pPr>
        <w:spacing w:before="183" w:line="312" w:lineRule="auto"/>
        <w:ind w:firstLine="492"/>
        <w:rPr>
          <w:rFonts w:ascii="宋体" w:hAnsi="宋体" w:eastAsia="宋体" w:cs="宋体"/>
          <w:color w:val="auto"/>
          <w:sz w:val="22"/>
          <w:szCs w:val="22"/>
          <w:highlight w:val="none"/>
        </w:rPr>
      </w:pPr>
      <w:r>
        <w:rPr>
          <w:rFonts w:ascii="宋体" w:hAnsi="宋体" w:eastAsia="宋体" w:cs="宋体"/>
          <w:color w:val="auto"/>
          <w:spacing w:val="1"/>
          <w:sz w:val="22"/>
          <w:szCs w:val="22"/>
          <w:highlight w:val="none"/>
        </w:rPr>
        <w:t>（1）按照《广东省交通运输厅关于印发广东省公路建设项目过程结算工作指导意</w:t>
      </w:r>
      <w:r>
        <w:rPr>
          <w:rFonts w:ascii="宋体" w:hAnsi="宋体" w:eastAsia="宋体" w:cs="宋体"/>
          <w:color w:val="auto"/>
          <w:spacing w:val="-2"/>
          <w:sz w:val="22"/>
          <w:szCs w:val="22"/>
          <w:highlight w:val="none"/>
        </w:rPr>
        <w:t>见的通知》</w:t>
      </w:r>
      <w:r>
        <w:rPr>
          <w:rFonts w:ascii="宋体" w:hAnsi="宋体" w:eastAsia="宋体" w:cs="宋体"/>
          <w:color w:val="auto"/>
          <w:spacing w:val="71"/>
          <w:sz w:val="22"/>
          <w:szCs w:val="22"/>
          <w:highlight w:val="none"/>
        </w:rPr>
        <w:t xml:space="preserve"> </w:t>
      </w:r>
      <w:r>
        <w:rPr>
          <w:rFonts w:ascii="宋体" w:hAnsi="宋体" w:eastAsia="宋体" w:cs="宋体"/>
          <w:color w:val="auto"/>
          <w:spacing w:val="-2"/>
          <w:sz w:val="22"/>
          <w:szCs w:val="22"/>
          <w:highlight w:val="none"/>
        </w:rPr>
        <w:t>(粤交基 〔2022〕488</w:t>
      </w:r>
      <w:r>
        <w:rPr>
          <w:rFonts w:ascii="宋体" w:hAnsi="宋体" w:eastAsia="宋体" w:cs="宋体"/>
          <w:color w:val="auto"/>
          <w:spacing w:val="-45"/>
          <w:sz w:val="22"/>
          <w:szCs w:val="22"/>
          <w:highlight w:val="none"/>
        </w:rPr>
        <w:t xml:space="preserve"> </w:t>
      </w:r>
      <w:r>
        <w:rPr>
          <w:rFonts w:ascii="宋体" w:hAnsi="宋体" w:eastAsia="宋体" w:cs="宋体"/>
          <w:color w:val="auto"/>
          <w:spacing w:val="-2"/>
          <w:sz w:val="22"/>
          <w:szCs w:val="22"/>
          <w:highlight w:val="none"/>
        </w:rPr>
        <w:t>号)的规定，委托人根据实际情况开展监理费用的过</w:t>
      </w:r>
      <w:r>
        <w:rPr>
          <w:rFonts w:ascii="宋体" w:hAnsi="宋体" w:eastAsia="宋体" w:cs="宋体"/>
          <w:color w:val="auto"/>
          <w:spacing w:val="-1"/>
          <w:sz w:val="22"/>
          <w:szCs w:val="22"/>
          <w:highlight w:val="none"/>
        </w:rPr>
        <w:t>程结算时，监理人应无条件配合。</w:t>
      </w:r>
    </w:p>
    <w:p w14:paraId="5F5FC4EF">
      <w:pPr>
        <w:spacing w:before="184" w:line="312" w:lineRule="auto"/>
        <w:ind w:firstLine="492"/>
        <w:rPr>
          <w:rFonts w:ascii="宋体" w:hAnsi="宋体" w:eastAsia="宋体" w:cs="宋体"/>
          <w:color w:val="auto"/>
          <w:sz w:val="22"/>
          <w:szCs w:val="22"/>
          <w:highlight w:val="none"/>
        </w:rPr>
      </w:pPr>
      <w:r>
        <w:rPr>
          <w:rFonts w:ascii="宋体" w:hAnsi="宋体" w:eastAsia="宋体" w:cs="宋体"/>
          <w:color w:val="auto"/>
          <w:spacing w:val="1"/>
          <w:sz w:val="22"/>
          <w:szCs w:val="22"/>
          <w:highlight w:val="none"/>
        </w:rPr>
        <w:t>（2）施工过程中，监理人应督促各施工单位按广东省《公路工程造价管理指南》</w:t>
      </w:r>
      <w:r>
        <w:rPr>
          <w:rFonts w:ascii="宋体" w:hAnsi="宋体" w:eastAsia="宋体" w:cs="宋体"/>
          <w:color w:val="auto"/>
          <w:spacing w:val="5"/>
          <w:sz w:val="22"/>
          <w:szCs w:val="22"/>
          <w:highlight w:val="none"/>
        </w:rPr>
        <w:t>及施工合同要求编制过程结算文件，并对其编制的过程结算、竣工图进行初审</w:t>
      </w:r>
      <w:r>
        <w:rPr>
          <w:rFonts w:ascii="宋体" w:hAnsi="宋体" w:eastAsia="宋体" w:cs="宋体"/>
          <w:color w:val="auto"/>
          <w:spacing w:val="4"/>
          <w:sz w:val="22"/>
          <w:szCs w:val="22"/>
          <w:highlight w:val="none"/>
        </w:rPr>
        <w:t>，构成</w:t>
      </w:r>
      <w:r>
        <w:rPr>
          <w:rFonts w:ascii="宋体" w:hAnsi="宋体" w:eastAsia="宋体" w:cs="宋体"/>
          <w:color w:val="auto"/>
          <w:spacing w:val="-1"/>
          <w:sz w:val="22"/>
          <w:szCs w:val="22"/>
          <w:highlight w:val="none"/>
        </w:rPr>
        <w:t>公路建设项目竣工档案资料的组成部分。</w:t>
      </w:r>
    </w:p>
    <w:p w14:paraId="264D09CB">
      <w:pPr>
        <w:spacing w:before="184" w:line="219" w:lineRule="auto"/>
        <w:ind w:left="498"/>
        <w:rPr>
          <w:rFonts w:ascii="宋体" w:hAnsi="宋体" w:eastAsia="宋体" w:cs="宋体"/>
          <w:color w:val="auto"/>
          <w:sz w:val="22"/>
          <w:szCs w:val="22"/>
          <w:highlight w:val="none"/>
        </w:rPr>
      </w:pPr>
      <w:r>
        <w:rPr>
          <w:rFonts w:ascii="宋体" w:hAnsi="宋体" w:eastAsia="宋体" w:cs="宋体"/>
          <w:b/>
          <w:bCs/>
          <w:color w:val="auto"/>
          <w:spacing w:val="-7"/>
          <w:sz w:val="22"/>
          <w:szCs w:val="22"/>
          <w:highlight w:val="none"/>
        </w:rPr>
        <w:t>13.9</w:t>
      </w:r>
      <w:r>
        <w:rPr>
          <w:rFonts w:ascii="宋体" w:hAnsi="宋体" w:eastAsia="宋体" w:cs="宋体"/>
          <w:color w:val="auto"/>
          <w:spacing w:val="-46"/>
          <w:sz w:val="22"/>
          <w:szCs w:val="22"/>
          <w:highlight w:val="none"/>
        </w:rPr>
        <w:t xml:space="preserve"> </w:t>
      </w:r>
      <w:r>
        <w:rPr>
          <w:rFonts w:ascii="宋体" w:hAnsi="宋体" w:eastAsia="宋体" w:cs="宋体"/>
          <w:b/>
          <w:bCs/>
          <w:color w:val="auto"/>
          <w:spacing w:val="-7"/>
          <w:sz w:val="22"/>
          <w:szCs w:val="22"/>
          <w:highlight w:val="none"/>
        </w:rPr>
        <w:t>监理改革</w:t>
      </w:r>
    </w:p>
    <w:p w14:paraId="177B4C1D">
      <w:pPr>
        <w:spacing w:before="178" w:line="313" w:lineRule="auto"/>
        <w:ind w:firstLine="497"/>
        <w:rPr>
          <w:rFonts w:ascii="宋体" w:hAnsi="宋体" w:eastAsia="宋体" w:cs="宋体"/>
          <w:color w:val="auto"/>
          <w:sz w:val="22"/>
          <w:szCs w:val="22"/>
          <w:highlight w:val="none"/>
        </w:rPr>
      </w:pPr>
      <w:r>
        <w:rPr>
          <w:rFonts w:ascii="宋体" w:hAnsi="宋体" w:eastAsia="宋体" w:cs="宋体"/>
          <w:color w:val="auto"/>
          <w:spacing w:val="1"/>
          <w:sz w:val="22"/>
          <w:szCs w:val="22"/>
          <w:highlight w:val="none"/>
        </w:rPr>
        <w:t>13.9.1 监理定位。监理单位是受建设单位委托的受托方，在项目管理中不作为独</w:t>
      </w:r>
      <w:r>
        <w:rPr>
          <w:rFonts w:ascii="宋体" w:hAnsi="宋体" w:eastAsia="宋体" w:cs="宋体"/>
          <w:color w:val="auto"/>
          <w:spacing w:val="5"/>
          <w:sz w:val="22"/>
          <w:szCs w:val="22"/>
          <w:highlight w:val="none"/>
        </w:rPr>
        <w:t>立的第三方，是建设单位的协助管理方，应承担监理主体责任，按合同约定</w:t>
      </w:r>
      <w:r>
        <w:rPr>
          <w:rFonts w:ascii="宋体" w:hAnsi="宋体" w:eastAsia="宋体" w:cs="宋体"/>
          <w:color w:val="auto"/>
          <w:spacing w:val="4"/>
          <w:sz w:val="22"/>
          <w:szCs w:val="22"/>
          <w:highlight w:val="none"/>
        </w:rPr>
        <w:t>提供监理</w:t>
      </w:r>
      <w:r>
        <w:rPr>
          <w:rFonts w:ascii="宋体" w:hAnsi="宋体" w:eastAsia="宋体" w:cs="宋体"/>
          <w:color w:val="auto"/>
          <w:spacing w:val="-1"/>
          <w:sz w:val="22"/>
          <w:szCs w:val="22"/>
          <w:highlight w:val="none"/>
        </w:rPr>
        <w:t>服务，支撑建设单位落实首要责任与施工单位落实施工主体责任。</w:t>
      </w:r>
    </w:p>
    <w:p w14:paraId="42BC8D0F">
      <w:pPr>
        <w:spacing w:before="183" w:line="221" w:lineRule="auto"/>
        <w:ind w:left="498"/>
        <w:rPr>
          <w:rFonts w:ascii="宋体" w:hAnsi="宋体" w:eastAsia="宋体" w:cs="宋体"/>
          <w:color w:val="auto"/>
          <w:sz w:val="22"/>
          <w:szCs w:val="22"/>
          <w:highlight w:val="none"/>
        </w:rPr>
      </w:pPr>
      <w:r>
        <w:rPr>
          <w:rFonts w:ascii="宋体" w:hAnsi="宋体" w:eastAsia="宋体" w:cs="宋体"/>
          <w:color w:val="auto"/>
          <w:spacing w:val="-4"/>
          <w:sz w:val="22"/>
          <w:szCs w:val="22"/>
          <w:highlight w:val="none"/>
        </w:rPr>
        <w:t>13.9.2</w:t>
      </w:r>
      <w:r>
        <w:rPr>
          <w:rFonts w:ascii="宋体" w:hAnsi="宋体" w:eastAsia="宋体" w:cs="宋体"/>
          <w:color w:val="auto"/>
          <w:spacing w:val="-49"/>
          <w:sz w:val="22"/>
          <w:szCs w:val="22"/>
          <w:highlight w:val="none"/>
        </w:rPr>
        <w:t xml:space="preserve"> </w:t>
      </w:r>
      <w:r>
        <w:rPr>
          <w:rFonts w:ascii="宋体" w:hAnsi="宋体" w:eastAsia="宋体" w:cs="宋体"/>
          <w:color w:val="auto"/>
          <w:spacing w:val="-4"/>
          <w:sz w:val="22"/>
          <w:szCs w:val="22"/>
          <w:highlight w:val="none"/>
        </w:rPr>
        <w:t>监理职责</w:t>
      </w:r>
    </w:p>
    <w:p w14:paraId="4DCD7B37">
      <w:pPr>
        <w:spacing w:before="180" w:line="359" w:lineRule="auto"/>
        <w:ind w:left="1" w:firstLine="480"/>
        <w:jc w:val="both"/>
        <w:rPr>
          <w:rFonts w:ascii="宋体" w:hAnsi="宋体" w:eastAsia="宋体" w:cs="宋体"/>
          <w:color w:val="auto"/>
          <w:sz w:val="22"/>
          <w:szCs w:val="22"/>
          <w:highlight w:val="none"/>
        </w:rPr>
      </w:pPr>
      <w:r>
        <w:rPr>
          <w:rFonts w:ascii="宋体" w:hAnsi="宋体" w:eastAsia="宋体" w:cs="宋体"/>
          <w:color w:val="auto"/>
          <w:spacing w:val="5"/>
          <w:sz w:val="22"/>
          <w:szCs w:val="22"/>
          <w:highlight w:val="none"/>
        </w:rPr>
        <w:t>监理机构受建设单位委托，按合同约定对公路工程施工质量、安全、环（水）保等实施监管，协助建设单位开展费用、进度、合同、信息管理和协调等工</w:t>
      </w:r>
      <w:r>
        <w:rPr>
          <w:rFonts w:ascii="宋体" w:hAnsi="宋体" w:eastAsia="宋体" w:cs="宋体"/>
          <w:color w:val="auto"/>
          <w:spacing w:val="4"/>
          <w:sz w:val="22"/>
          <w:szCs w:val="22"/>
          <w:highlight w:val="none"/>
        </w:rPr>
        <w:t>作。监理机</w:t>
      </w:r>
      <w:r>
        <w:rPr>
          <w:rFonts w:ascii="宋体" w:hAnsi="宋体" w:eastAsia="宋体" w:cs="宋体"/>
          <w:color w:val="auto"/>
          <w:spacing w:val="5"/>
          <w:sz w:val="22"/>
          <w:szCs w:val="22"/>
          <w:highlight w:val="none"/>
        </w:rPr>
        <w:t>构应定期评价施工单位的质量、安全、环（水）保管理体系运行情况，适</w:t>
      </w:r>
      <w:r>
        <w:rPr>
          <w:rFonts w:ascii="宋体" w:hAnsi="宋体" w:eastAsia="宋体" w:cs="宋体"/>
          <w:color w:val="auto"/>
          <w:spacing w:val="4"/>
          <w:sz w:val="22"/>
          <w:szCs w:val="22"/>
          <w:highlight w:val="none"/>
        </w:rPr>
        <w:t>时开展差异</w:t>
      </w:r>
      <w:r>
        <w:rPr>
          <w:rFonts w:ascii="宋体" w:hAnsi="宋体" w:eastAsia="宋体" w:cs="宋体"/>
          <w:color w:val="auto"/>
          <w:spacing w:val="5"/>
          <w:sz w:val="22"/>
          <w:szCs w:val="22"/>
          <w:highlight w:val="none"/>
        </w:rPr>
        <w:t>化管理等监理工作，与建设单位共同推进项目建设的管理工作。在施工过</w:t>
      </w:r>
      <w:r>
        <w:rPr>
          <w:rFonts w:ascii="宋体" w:hAnsi="宋体" w:eastAsia="宋体" w:cs="宋体"/>
          <w:color w:val="auto"/>
          <w:spacing w:val="4"/>
          <w:sz w:val="22"/>
          <w:szCs w:val="22"/>
          <w:highlight w:val="none"/>
        </w:rPr>
        <w:t>程中定期或</w:t>
      </w:r>
      <w:r>
        <w:rPr>
          <w:rFonts w:ascii="宋体" w:hAnsi="宋体" w:eastAsia="宋体" w:cs="宋体"/>
          <w:color w:val="auto"/>
          <w:spacing w:val="5"/>
          <w:sz w:val="22"/>
          <w:szCs w:val="22"/>
          <w:highlight w:val="none"/>
        </w:rPr>
        <w:t>不定期对施工单位的档案的及时性、完整性、准确性进行监督、检查。公</w:t>
      </w:r>
      <w:r>
        <w:rPr>
          <w:rFonts w:ascii="宋体" w:hAnsi="宋体" w:eastAsia="宋体" w:cs="宋体"/>
          <w:color w:val="auto"/>
          <w:spacing w:val="4"/>
          <w:sz w:val="22"/>
          <w:szCs w:val="22"/>
          <w:highlight w:val="none"/>
        </w:rPr>
        <w:t>路工程监理</w:t>
      </w:r>
      <w:r>
        <w:rPr>
          <w:rFonts w:ascii="宋体" w:hAnsi="宋体" w:eastAsia="宋体" w:cs="宋体"/>
          <w:color w:val="auto"/>
          <w:spacing w:val="5"/>
          <w:sz w:val="22"/>
          <w:szCs w:val="22"/>
          <w:highlight w:val="none"/>
        </w:rPr>
        <w:t>实行总监负责制，中心试验室单独招标时，总监和中心试验室主任应分别</w:t>
      </w:r>
      <w:r>
        <w:rPr>
          <w:rFonts w:ascii="宋体" w:hAnsi="宋体" w:eastAsia="宋体" w:cs="宋体"/>
          <w:color w:val="auto"/>
          <w:spacing w:val="4"/>
          <w:sz w:val="22"/>
          <w:szCs w:val="22"/>
          <w:highlight w:val="none"/>
        </w:rPr>
        <w:t>对合同授权</w:t>
      </w:r>
      <w:r>
        <w:rPr>
          <w:rFonts w:ascii="宋体" w:hAnsi="宋体" w:eastAsia="宋体" w:cs="宋体"/>
          <w:color w:val="auto"/>
          <w:spacing w:val="-1"/>
          <w:sz w:val="22"/>
          <w:szCs w:val="22"/>
          <w:highlight w:val="none"/>
        </w:rPr>
        <w:t>范围内的监理工作负责。</w:t>
      </w:r>
    </w:p>
    <w:p w14:paraId="3238C10D">
      <w:pPr>
        <w:spacing w:before="1" w:line="219" w:lineRule="auto"/>
        <w:ind w:left="498"/>
        <w:rPr>
          <w:rFonts w:ascii="宋体" w:hAnsi="宋体" w:eastAsia="宋体" w:cs="宋体"/>
          <w:color w:val="auto"/>
          <w:sz w:val="22"/>
          <w:szCs w:val="22"/>
          <w:highlight w:val="none"/>
        </w:rPr>
      </w:pPr>
      <w:r>
        <w:rPr>
          <w:rFonts w:ascii="宋体" w:hAnsi="宋体" w:eastAsia="宋体" w:cs="宋体"/>
          <w:color w:val="auto"/>
          <w:spacing w:val="-4"/>
          <w:sz w:val="22"/>
          <w:szCs w:val="22"/>
          <w:highlight w:val="none"/>
        </w:rPr>
        <w:t>13.9.3</w:t>
      </w:r>
      <w:r>
        <w:rPr>
          <w:rFonts w:ascii="宋体" w:hAnsi="宋体" w:eastAsia="宋体" w:cs="宋体"/>
          <w:color w:val="auto"/>
          <w:spacing w:val="-41"/>
          <w:sz w:val="22"/>
          <w:szCs w:val="22"/>
          <w:highlight w:val="none"/>
        </w:rPr>
        <w:t xml:space="preserve"> </w:t>
      </w:r>
      <w:r>
        <w:rPr>
          <w:rFonts w:ascii="宋体" w:hAnsi="宋体" w:eastAsia="宋体" w:cs="宋体"/>
          <w:color w:val="auto"/>
          <w:spacing w:val="-4"/>
          <w:sz w:val="22"/>
          <w:szCs w:val="22"/>
          <w:highlight w:val="none"/>
        </w:rPr>
        <w:t>分包管理职责</w:t>
      </w:r>
    </w:p>
    <w:p w14:paraId="12453BA0">
      <w:pPr>
        <w:spacing w:before="180" w:line="362" w:lineRule="auto"/>
        <w:ind w:left="3" w:firstLine="478"/>
        <w:rPr>
          <w:rFonts w:ascii="宋体" w:hAnsi="宋体" w:eastAsia="宋体" w:cs="宋体"/>
          <w:color w:val="auto"/>
          <w:sz w:val="22"/>
          <w:szCs w:val="22"/>
          <w:highlight w:val="none"/>
        </w:rPr>
      </w:pPr>
      <w:r>
        <w:rPr>
          <w:rFonts w:ascii="宋体" w:hAnsi="宋体" w:eastAsia="宋体" w:cs="宋体"/>
          <w:color w:val="auto"/>
          <w:spacing w:val="2"/>
          <w:sz w:val="22"/>
          <w:szCs w:val="22"/>
          <w:highlight w:val="none"/>
        </w:rPr>
        <w:t>监理人按照《广东省交通运输厅关于印发《广东省交通</w:t>
      </w:r>
      <w:r>
        <w:rPr>
          <w:rFonts w:ascii="宋体" w:hAnsi="宋体" w:eastAsia="宋体" w:cs="宋体"/>
          <w:color w:val="auto"/>
          <w:spacing w:val="1"/>
          <w:sz w:val="22"/>
          <w:szCs w:val="22"/>
          <w:highlight w:val="none"/>
        </w:rPr>
        <w:t>运输厅&lt;关于公路工程施工</w:t>
      </w:r>
      <w:r>
        <w:rPr>
          <w:rFonts w:ascii="宋体" w:hAnsi="宋体" w:eastAsia="宋体" w:cs="宋体"/>
          <w:color w:val="auto"/>
          <w:spacing w:val="2"/>
          <w:sz w:val="22"/>
          <w:szCs w:val="22"/>
          <w:highlight w:val="none"/>
        </w:rPr>
        <w:t>分包管理实施细则&gt;的通知》（粤交〔2025〕1</w:t>
      </w:r>
      <w:r>
        <w:rPr>
          <w:rFonts w:ascii="宋体" w:hAnsi="宋体" w:eastAsia="宋体" w:cs="宋体"/>
          <w:color w:val="auto"/>
          <w:spacing w:val="-24"/>
          <w:sz w:val="22"/>
          <w:szCs w:val="22"/>
          <w:highlight w:val="none"/>
        </w:rPr>
        <w:t xml:space="preserve"> </w:t>
      </w:r>
      <w:r>
        <w:rPr>
          <w:rFonts w:ascii="宋体" w:hAnsi="宋体" w:eastAsia="宋体" w:cs="宋体"/>
          <w:color w:val="auto"/>
          <w:spacing w:val="2"/>
          <w:sz w:val="22"/>
          <w:szCs w:val="22"/>
          <w:highlight w:val="none"/>
        </w:rPr>
        <w:t>号）文件的相关管理规定和合同约定，</w:t>
      </w:r>
      <w:r>
        <w:rPr>
          <w:rFonts w:ascii="宋体" w:hAnsi="宋体" w:eastAsia="宋体" w:cs="宋体"/>
          <w:color w:val="auto"/>
          <w:spacing w:val="5"/>
          <w:sz w:val="22"/>
          <w:szCs w:val="22"/>
          <w:highlight w:val="none"/>
        </w:rPr>
        <w:t>负责对所监理合同段的施工分包活动的监理管理，发现</w:t>
      </w:r>
      <w:r>
        <w:rPr>
          <w:rFonts w:ascii="宋体" w:hAnsi="宋体" w:eastAsia="宋体" w:cs="宋体"/>
          <w:color w:val="auto"/>
          <w:spacing w:val="4"/>
          <w:sz w:val="22"/>
          <w:szCs w:val="22"/>
          <w:highlight w:val="none"/>
        </w:rPr>
        <w:t>承包人转包或违法分包行为应</w:t>
      </w:r>
      <w:r>
        <w:rPr>
          <w:rFonts w:ascii="宋体" w:hAnsi="宋体" w:eastAsia="宋体" w:cs="宋体"/>
          <w:color w:val="auto"/>
          <w:spacing w:val="-1"/>
          <w:sz w:val="22"/>
          <w:szCs w:val="22"/>
          <w:highlight w:val="none"/>
        </w:rPr>
        <w:t>及时制止，并通知委托人。监理人在收到承包人提</w:t>
      </w:r>
      <w:r>
        <w:rPr>
          <w:rFonts w:ascii="宋体" w:hAnsi="宋体" w:eastAsia="宋体" w:cs="宋体"/>
          <w:color w:val="auto"/>
          <w:spacing w:val="-2"/>
          <w:sz w:val="22"/>
          <w:szCs w:val="22"/>
          <w:highlight w:val="none"/>
        </w:rPr>
        <w:t>交的分包合同申请后，5 日内对拟签</w:t>
      </w:r>
      <w:r>
        <w:rPr>
          <w:rFonts w:ascii="宋体" w:hAnsi="宋体" w:eastAsia="宋体" w:cs="宋体"/>
          <w:color w:val="auto"/>
          <w:spacing w:val="5"/>
          <w:sz w:val="22"/>
          <w:szCs w:val="22"/>
          <w:highlight w:val="none"/>
        </w:rPr>
        <w:t>订的分包合同内容进行审查，并提出审查意见；分包工程的施工方案需经承包</w:t>
      </w:r>
      <w:r>
        <w:rPr>
          <w:rFonts w:ascii="宋体" w:hAnsi="宋体" w:eastAsia="宋体" w:cs="宋体"/>
          <w:color w:val="auto"/>
          <w:spacing w:val="4"/>
          <w:sz w:val="22"/>
          <w:szCs w:val="22"/>
          <w:highlight w:val="none"/>
        </w:rPr>
        <w:t>人审查</w:t>
      </w:r>
      <w:r>
        <w:rPr>
          <w:rFonts w:ascii="宋体" w:hAnsi="宋体" w:eastAsia="宋体" w:cs="宋体"/>
          <w:color w:val="auto"/>
          <w:spacing w:val="5"/>
          <w:sz w:val="22"/>
          <w:szCs w:val="22"/>
          <w:highlight w:val="none"/>
        </w:rPr>
        <w:t>同意后，报总监办书面同意后方可实施，监理人应配合委托人对承包人（分包</w:t>
      </w:r>
      <w:r>
        <w:rPr>
          <w:rFonts w:ascii="宋体" w:hAnsi="宋体" w:eastAsia="宋体" w:cs="宋体"/>
          <w:color w:val="auto"/>
          <w:spacing w:val="4"/>
          <w:sz w:val="22"/>
          <w:szCs w:val="22"/>
          <w:highlight w:val="none"/>
        </w:rPr>
        <w:t>人）的</w:t>
      </w:r>
      <w:r>
        <w:rPr>
          <w:rFonts w:ascii="宋体" w:hAnsi="宋体" w:eastAsia="宋体" w:cs="宋体"/>
          <w:color w:val="auto"/>
          <w:spacing w:val="6"/>
          <w:sz w:val="22"/>
          <w:szCs w:val="22"/>
          <w:highlight w:val="none"/>
        </w:rPr>
        <w:t>劳务合作情况进行监督检查；监理机构需核查劳务合作企业提供的特种设备“</w:t>
      </w:r>
      <w:r>
        <w:rPr>
          <w:rFonts w:ascii="宋体" w:hAnsi="宋体" w:eastAsia="宋体" w:cs="宋体"/>
          <w:color w:val="auto"/>
          <w:spacing w:val="-82"/>
          <w:sz w:val="22"/>
          <w:szCs w:val="22"/>
          <w:highlight w:val="none"/>
        </w:rPr>
        <w:t xml:space="preserve"> </w:t>
      </w:r>
      <w:r>
        <w:rPr>
          <w:rFonts w:ascii="宋体" w:hAnsi="宋体" w:eastAsia="宋体" w:cs="宋体"/>
          <w:color w:val="auto"/>
          <w:spacing w:val="6"/>
          <w:sz w:val="22"/>
          <w:szCs w:val="22"/>
          <w:highlight w:val="none"/>
        </w:rPr>
        <w:t>四证</w:t>
      </w:r>
      <w:r>
        <w:rPr>
          <w:rFonts w:ascii="宋体" w:hAnsi="宋体" w:eastAsia="宋体" w:cs="宋体"/>
          <w:color w:val="auto"/>
          <w:spacing w:val="-83"/>
          <w:sz w:val="22"/>
          <w:szCs w:val="22"/>
          <w:highlight w:val="none"/>
        </w:rPr>
        <w:t xml:space="preserve"> </w:t>
      </w:r>
      <w:r>
        <w:rPr>
          <w:rFonts w:ascii="宋体" w:hAnsi="宋体" w:eastAsia="宋体" w:cs="宋体"/>
          <w:color w:val="auto"/>
          <w:spacing w:val="6"/>
          <w:sz w:val="22"/>
          <w:szCs w:val="22"/>
          <w:highlight w:val="none"/>
        </w:rPr>
        <w:t>”</w:t>
      </w:r>
      <w:r>
        <w:rPr>
          <w:rFonts w:ascii="宋体" w:hAnsi="宋体" w:eastAsia="宋体" w:cs="宋体"/>
          <w:color w:val="auto"/>
          <w:sz w:val="22"/>
          <w:szCs w:val="22"/>
          <w:highlight w:val="none"/>
        </w:rPr>
        <w:t xml:space="preserve"> </w:t>
      </w:r>
      <w:r>
        <w:rPr>
          <w:rFonts w:ascii="宋体" w:hAnsi="宋体" w:eastAsia="宋体" w:cs="宋体"/>
          <w:color w:val="auto"/>
          <w:spacing w:val="4"/>
          <w:sz w:val="22"/>
          <w:szCs w:val="22"/>
          <w:highlight w:val="none"/>
        </w:rPr>
        <w:t>（出厂合格证、检验合格证、检验报告、使用登记证及操作人员证书</w:t>
      </w:r>
      <w:r>
        <w:rPr>
          <w:rFonts w:ascii="宋体" w:hAnsi="宋体" w:eastAsia="宋体" w:cs="宋体"/>
          <w:color w:val="auto"/>
          <w:spacing w:val="21"/>
          <w:sz w:val="22"/>
          <w:szCs w:val="22"/>
          <w:highlight w:val="none"/>
        </w:rPr>
        <w:t>），</w:t>
      </w:r>
      <w:r>
        <w:rPr>
          <w:rFonts w:ascii="宋体" w:hAnsi="宋体" w:eastAsia="宋体" w:cs="宋体"/>
          <w:color w:val="auto"/>
          <w:spacing w:val="4"/>
          <w:sz w:val="22"/>
          <w:szCs w:val="22"/>
          <w:highlight w:val="none"/>
        </w:rPr>
        <w:t>通过后方可</w:t>
      </w:r>
      <w:r>
        <w:rPr>
          <w:rFonts w:ascii="宋体" w:hAnsi="宋体" w:eastAsia="宋体" w:cs="宋体"/>
          <w:color w:val="auto"/>
          <w:spacing w:val="-2"/>
          <w:sz w:val="22"/>
          <w:szCs w:val="22"/>
          <w:highlight w:val="none"/>
        </w:rPr>
        <w:t>允许使用"。</w:t>
      </w:r>
    </w:p>
    <w:p w14:paraId="0CBF7C52">
      <w:pPr>
        <w:spacing w:line="218" w:lineRule="auto"/>
        <w:ind w:left="498"/>
        <w:rPr>
          <w:rFonts w:ascii="宋体" w:hAnsi="宋体" w:eastAsia="宋体" w:cs="宋体"/>
          <w:color w:val="auto"/>
          <w:sz w:val="22"/>
          <w:szCs w:val="22"/>
          <w:highlight w:val="none"/>
        </w:rPr>
      </w:pPr>
      <w:r>
        <w:rPr>
          <w:rFonts w:ascii="宋体" w:hAnsi="宋体" w:eastAsia="宋体" w:cs="宋体"/>
          <w:color w:val="auto"/>
          <w:spacing w:val="-4"/>
          <w:sz w:val="22"/>
          <w:szCs w:val="22"/>
          <w:highlight w:val="none"/>
        </w:rPr>
        <w:t>13.9.4</w:t>
      </w:r>
      <w:r>
        <w:rPr>
          <w:rFonts w:ascii="宋体" w:hAnsi="宋体" w:eastAsia="宋体" w:cs="宋体"/>
          <w:color w:val="auto"/>
          <w:spacing w:val="-41"/>
          <w:sz w:val="22"/>
          <w:szCs w:val="22"/>
          <w:highlight w:val="none"/>
        </w:rPr>
        <w:t xml:space="preserve"> </w:t>
      </w:r>
      <w:r>
        <w:rPr>
          <w:rFonts w:ascii="宋体" w:hAnsi="宋体" w:eastAsia="宋体" w:cs="宋体"/>
          <w:color w:val="auto"/>
          <w:spacing w:val="-4"/>
          <w:sz w:val="22"/>
          <w:szCs w:val="22"/>
          <w:highlight w:val="none"/>
        </w:rPr>
        <w:t>监理工作机制</w:t>
      </w:r>
    </w:p>
    <w:p w14:paraId="2C7E6917">
      <w:pPr>
        <w:spacing w:before="183" w:line="220" w:lineRule="auto"/>
        <w:ind w:left="498"/>
        <w:rPr>
          <w:rFonts w:ascii="宋体" w:hAnsi="宋体" w:eastAsia="宋体" w:cs="宋体"/>
          <w:color w:val="auto"/>
          <w:sz w:val="22"/>
          <w:szCs w:val="22"/>
          <w:highlight w:val="none"/>
        </w:rPr>
      </w:pPr>
      <w:r>
        <w:rPr>
          <w:rFonts w:ascii="宋体" w:hAnsi="宋体" w:eastAsia="宋体" w:cs="宋体"/>
          <w:color w:val="auto"/>
          <w:spacing w:val="-3"/>
          <w:sz w:val="22"/>
          <w:szCs w:val="22"/>
          <w:highlight w:val="none"/>
        </w:rPr>
        <w:t>13.9.4.1</w:t>
      </w:r>
      <w:r>
        <w:rPr>
          <w:rFonts w:ascii="宋体" w:hAnsi="宋体" w:eastAsia="宋体" w:cs="宋体"/>
          <w:color w:val="auto"/>
          <w:spacing w:val="-44"/>
          <w:sz w:val="22"/>
          <w:szCs w:val="22"/>
          <w:highlight w:val="none"/>
        </w:rPr>
        <w:t xml:space="preserve"> </w:t>
      </w:r>
      <w:r>
        <w:rPr>
          <w:rFonts w:ascii="宋体" w:hAnsi="宋体" w:eastAsia="宋体" w:cs="宋体"/>
          <w:color w:val="auto"/>
          <w:spacing w:val="-3"/>
          <w:sz w:val="22"/>
          <w:szCs w:val="22"/>
          <w:highlight w:val="none"/>
        </w:rPr>
        <w:t>监理工作的重点</w:t>
      </w:r>
    </w:p>
    <w:p w14:paraId="275F0530">
      <w:pPr>
        <w:spacing w:before="180" w:line="289" w:lineRule="auto"/>
        <w:ind w:left="4" w:right="115" w:firstLine="487"/>
        <w:rPr>
          <w:rFonts w:ascii="宋体" w:hAnsi="宋体" w:eastAsia="宋体" w:cs="宋体"/>
          <w:color w:val="auto"/>
          <w:sz w:val="22"/>
          <w:szCs w:val="22"/>
          <w:highlight w:val="none"/>
        </w:rPr>
      </w:pPr>
      <w:r>
        <w:rPr>
          <w:rFonts w:ascii="宋体" w:hAnsi="宋体" w:eastAsia="宋体" w:cs="宋体"/>
          <w:color w:val="auto"/>
          <w:spacing w:val="1"/>
          <w:sz w:val="22"/>
          <w:szCs w:val="22"/>
          <w:highlight w:val="none"/>
        </w:rPr>
        <w:t>（1）监理工作以质量、安全、环保为重点，突出施工组织设计、隐蔽工程验收与</w:t>
      </w:r>
      <w:r>
        <w:rPr>
          <w:rFonts w:ascii="宋体" w:hAnsi="宋体" w:eastAsia="宋体" w:cs="宋体"/>
          <w:color w:val="auto"/>
          <w:spacing w:val="-1"/>
          <w:sz w:val="22"/>
          <w:szCs w:val="22"/>
          <w:highlight w:val="none"/>
        </w:rPr>
        <w:t>关键作业质量控制、工序验收，建立以巡视为主要手段的监理机制。</w:t>
      </w:r>
    </w:p>
    <w:p w14:paraId="7ED8A2D3">
      <w:pPr>
        <w:spacing w:before="181" w:line="290" w:lineRule="auto"/>
        <w:ind w:left="3" w:right="115" w:firstLine="488"/>
        <w:rPr>
          <w:rFonts w:ascii="宋体" w:hAnsi="宋体" w:eastAsia="宋体" w:cs="宋体"/>
          <w:color w:val="auto"/>
          <w:sz w:val="22"/>
          <w:szCs w:val="22"/>
          <w:highlight w:val="none"/>
        </w:rPr>
      </w:pPr>
      <w:r>
        <w:rPr>
          <w:rFonts w:ascii="宋体" w:hAnsi="宋体" w:eastAsia="宋体" w:cs="宋体"/>
          <w:color w:val="auto"/>
          <w:spacing w:val="1"/>
          <w:sz w:val="22"/>
          <w:szCs w:val="22"/>
          <w:highlight w:val="none"/>
        </w:rPr>
        <w:t>（2）监理工作以监督施工单位质量、安全及环保等保证体系运行为核心，以巡视</w:t>
      </w:r>
      <w:r>
        <w:rPr>
          <w:rFonts w:ascii="宋体" w:hAnsi="宋体" w:eastAsia="宋体" w:cs="宋体"/>
          <w:color w:val="auto"/>
          <w:spacing w:val="-1"/>
          <w:sz w:val="22"/>
          <w:szCs w:val="22"/>
          <w:highlight w:val="none"/>
        </w:rPr>
        <w:t>为主的方式进行施工现场监理。</w:t>
      </w:r>
    </w:p>
    <w:p w14:paraId="099CD4DB">
      <w:pPr>
        <w:spacing w:before="185" w:line="326" w:lineRule="auto"/>
        <w:ind w:right="115" w:firstLine="492"/>
        <w:rPr>
          <w:rFonts w:ascii="宋体" w:hAnsi="宋体" w:eastAsia="宋体" w:cs="宋体"/>
          <w:color w:val="auto"/>
          <w:sz w:val="22"/>
          <w:szCs w:val="22"/>
          <w:highlight w:val="none"/>
        </w:rPr>
      </w:pPr>
      <w:r>
        <w:rPr>
          <w:rFonts w:ascii="宋体" w:hAnsi="宋体" w:eastAsia="宋体" w:cs="宋体"/>
          <w:color w:val="auto"/>
          <w:spacing w:val="1"/>
          <w:sz w:val="22"/>
          <w:szCs w:val="22"/>
          <w:highlight w:val="none"/>
        </w:rPr>
        <w:t>（3）做好施工方案编制审查与现场一致性核查，对施工方案实施闭环管理；构建</w:t>
      </w:r>
      <w:r>
        <w:rPr>
          <w:rFonts w:ascii="宋体" w:hAnsi="宋体" w:eastAsia="宋体" w:cs="宋体"/>
          <w:color w:val="auto"/>
          <w:spacing w:val="5"/>
          <w:sz w:val="22"/>
          <w:szCs w:val="22"/>
          <w:highlight w:val="none"/>
        </w:rPr>
        <w:t>并完善以关键环节控制为核心、以巡视为主要手段的监理工作标准体系；通过</w:t>
      </w:r>
      <w:r>
        <w:rPr>
          <w:rFonts w:ascii="宋体" w:hAnsi="宋体" w:eastAsia="宋体" w:cs="宋体"/>
          <w:color w:val="auto"/>
          <w:spacing w:val="4"/>
          <w:sz w:val="22"/>
          <w:szCs w:val="22"/>
          <w:highlight w:val="none"/>
        </w:rPr>
        <w:t>统计工</w:t>
      </w:r>
      <w:r>
        <w:rPr>
          <w:rFonts w:ascii="宋体" w:hAnsi="宋体" w:eastAsia="宋体" w:cs="宋体"/>
          <w:color w:val="auto"/>
          <w:spacing w:val="5"/>
          <w:sz w:val="22"/>
          <w:szCs w:val="22"/>
          <w:highlight w:val="none"/>
        </w:rPr>
        <w:t>序验收一次通过率等指标，核查施工单位质保体系的运行情况并针对性开展差</w:t>
      </w:r>
      <w:r>
        <w:rPr>
          <w:rFonts w:ascii="宋体" w:hAnsi="宋体" w:eastAsia="宋体" w:cs="宋体"/>
          <w:color w:val="auto"/>
          <w:spacing w:val="4"/>
          <w:sz w:val="22"/>
          <w:szCs w:val="22"/>
          <w:highlight w:val="none"/>
        </w:rPr>
        <w:t>异化监</w:t>
      </w:r>
      <w:r>
        <w:rPr>
          <w:rFonts w:ascii="宋体" w:hAnsi="宋体" w:eastAsia="宋体" w:cs="宋体"/>
          <w:color w:val="auto"/>
          <w:spacing w:val="-5"/>
          <w:sz w:val="22"/>
          <w:szCs w:val="22"/>
          <w:highlight w:val="none"/>
        </w:rPr>
        <w:t>理。</w:t>
      </w:r>
    </w:p>
    <w:p w14:paraId="69278B0B">
      <w:pPr>
        <w:spacing w:before="167" w:line="219" w:lineRule="auto"/>
        <w:ind w:left="498"/>
        <w:rPr>
          <w:rFonts w:ascii="宋体" w:hAnsi="宋体" w:eastAsia="宋体" w:cs="宋体"/>
          <w:color w:val="auto"/>
          <w:sz w:val="22"/>
          <w:szCs w:val="22"/>
          <w:highlight w:val="none"/>
        </w:rPr>
      </w:pPr>
      <w:r>
        <w:rPr>
          <w:rFonts w:ascii="宋体" w:hAnsi="宋体" w:eastAsia="宋体" w:cs="宋体"/>
          <w:color w:val="auto"/>
          <w:spacing w:val="-2"/>
          <w:sz w:val="22"/>
          <w:szCs w:val="22"/>
          <w:highlight w:val="none"/>
        </w:rPr>
        <w:t>13.9.4.2</w:t>
      </w:r>
      <w:r>
        <w:rPr>
          <w:rFonts w:ascii="宋体" w:hAnsi="宋体" w:eastAsia="宋体" w:cs="宋体"/>
          <w:color w:val="auto"/>
          <w:spacing w:val="-43"/>
          <w:sz w:val="22"/>
          <w:szCs w:val="22"/>
          <w:highlight w:val="none"/>
        </w:rPr>
        <w:t xml:space="preserve"> </w:t>
      </w:r>
      <w:r>
        <w:rPr>
          <w:rFonts w:ascii="宋体" w:hAnsi="宋体" w:eastAsia="宋体" w:cs="宋体"/>
          <w:color w:val="auto"/>
          <w:spacing w:val="-2"/>
          <w:sz w:val="22"/>
          <w:szCs w:val="22"/>
          <w:highlight w:val="none"/>
        </w:rPr>
        <w:t>监理工作的重点提高监理工作效率</w:t>
      </w:r>
    </w:p>
    <w:p w14:paraId="0D857392">
      <w:pPr>
        <w:spacing w:before="183" w:line="359" w:lineRule="auto"/>
        <w:ind w:left="1" w:right="115" w:firstLine="478"/>
        <w:rPr>
          <w:rFonts w:ascii="宋体" w:hAnsi="宋体" w:eastAsia="宋体" w:cs="宋体"/>
          <w:color w:val="auto"/>
          <w:sz w:val="22"/>
          <w:szCs w:val="22"/>
          <w:highlight w:val="none"/>
        </w:rPr>
      </w:pPr>
      <w:r>
        <w:rPr>
          <w:rFonts w:ascii="宋体" w:hAnsi="宋体" w:eastAsia="宋体" w:cs="宋体"/>
          <w:color w:val="auto"/>
          <w:spacing w:val="5"/>
          <w:sz w:val="22"/>
          <w:szCs w:val="22"/>
          <w:highlight w:val="none"/>
        </w:rPr>
        <w:t>优化工序验收项目，监理机构无需对施工单位自检资料签认，采用从分部工程开</w:t>
      </w:r>
      <w:r>
        <w:rPr>
          <w:rFonts w:ascii="宋体" w:hAnsi="宋体" w:eastAsia="宋体" w:cs="宋体"/>
          <w:color w:val="auto"/>
          <w:spacing w:val="-1"/>
          <w:sz w:val="22"/>
          <w:szCs w:val="22"/>
          <w:highlight w:val="none"/>
        </w:rPr>
        <w:t>始评定的方式评价工程质量。</w:t>
      </w:r>
    </w:p>
    <w:p w14:paraId="1747C48E">
      <w:pPr>
        <w:spacing w:before="1" w:line="359" w:lineRule="auto"/>
        <w:ind w:right="115" w:firstLine="483"/>
        <w:rPr>
          <w:rFonts w:ascii="宋体" w:hAnsi="宋体" w:eastAsia="宋体" w:cs="宋体"/>
          <w:color w:val="auto"/>
          <w:sz w:val="22"/>
          <w:szCs w:val="22"/>
          <w:highlight w:val="none"/>
        </w:rPr>
      </w:pPr>
      <w:r>
        <w:rPr>
          <w:rFonts w:ascii="宋体" w:hAnsi="宋体" w:eastAsia="宋体" w:cs="宋体"/>
          <w:color w:val="auto"/>
          <w:spacing w:val="5"/>
          <w:sz w:val="22"/>
          <w:szCs w:val="22"/>
          <w:highlight w:val="none"/>
        </w:rPr>
        <w:t>建立监理与检测协同机制，优化总监办与中心试验室工作界面、沟通渠道与协同</w:t>
      </w:r>
      <w:r>
        <w:rPr>
          <w:rFonts w:ascii="宋体" w:hAnsi="宋体" w:eastAsia="宋体" w:cs="宋体"/>
          <w:color w:val="auto"/>
          <w:spacing w:val="-1"/>
          <w:sz w:val="22"/>
          <w:szCs w:val="22"/>
          <w:highlight w:val="none"/>
        </w:rPr>
        <w:t>机制，提升管控质量。</w:t>
      </w:r>
    </w:p>
    <w:p w14:paraId="58A26B49">
      <w:pPr>
        <w:spacing w:before="2" w:line="359" w:lineRule="auto"/>
        <w:ind w:right="115" w:firstLine="480"/>
        <w:rPr>
          <w:rFonts w:ascii="宋体" w:hAnsi="宋体" w:eastAsia="宋体" w:cs="宋体"/>
          <w:color w:val="auto"/>
          <w:sz w:val="22"/>
          <w:szCs w:val="22"/>
          <w:highlight w:val="none"/>
        </w:rPr>
      </w:pPr>
      <w:r>
        <w:rPr>
          <w:rFonts w:ascii="宋体" w:hAnsi="宋体" w:eastAsia="宋体" w:cs="宋体"/>
          <w:color w:val="auto"/>
          <w:spacing w:val="5"/>
          <w:sz w:val="22"/>
          <w:szCs w:val="22"/>
          <w:highlight w:val="none"/>
        </w:rPr>
        <w:t>针对现场施工质量、安全管理重难点及不同阶段的管理需求，监理机构上级单位</w:t>
      </w:r>
      <w:r>
        <w:rPr>
          <w:rFonts w:ascii="宋体" w:hAnsi="宋体" w:eastAsia="宋体" w:cs="宋体"/>
          <w:color w:val="auto"/>
          <w:sz w:val="22"/>
          <w:szCs w:val="22"/>
          <w:highlight w:val="none"/>
        </w:rPr>
        <w:t>应加强技术指导，支持监理机构的工作，提高监理服务水平。"</w:t>
      </w:r>
    </w:p>
    <w:p w14:paraId="6092BE59">
      <w:pPr>
        <w:spacing w:line="220" w:lineRule="auto"/>
        <w:ind w:left="498"/>
        <w:rPr>
          <w:rFonts w:ascii="宋体" w:hAnsi="宋体" w:eastAsia="宋体" w:cs="宋体"/>
          <w:color w:val="auto"/>
          <w:sz w:val="22"/>
          <w:szCs w:val="22"/>
          <w:highlight w:val="none"/>
        </w:rPr>
      </w:pPr>
      <w:r>
        <w:rPr>
          <w:rFonts w:ascii="宋体" w:hAnsi="宋体" w:eastAsia="宋体" w:cs="宋体"/>
          <w:color w:val="auto"/>
          <w:spacing w:val="-3"/>
          <w:sz w:val="22"/>
          <w:szCs w:val="22"/>
          <w:highlight w:val="none"/>
        </w:rPr>
        <w:t>13.9.5 监理队伍建设</w:t>
      </w:r>
    </w:p>
    <w:p w14:paraId="463780C1">
      <w:pPr>
        <w:spacing w:before="179" w:line="359" w:lineRule="auto"/>
        <w:ind w:left="1" w:right="115" w:firstLine="480"/>
        <w:rPr>
          <w:rFonts w:ascii="宋体" w:hAnsi="宋体" w:eastAsia="宋体" w:cs="宋体"/>
          <w:color w:val="auto"/>
          <w:sz w:val="22"/>
          <w:szCs w:val="22"/>
          <w:highlight w:val="none"/>
        </w:rPr>
      </w:pPr>
      <w:r>
        <w:rPr>
          <w:rFonts w:ascii="宋体" w:hAnsi="宋体" w:eastAsia="宋体" w:cs="宋体"/>
          <w:color w:val="auto"/>
          <w:spacing w:val="5"/>
          <w:sz w:val="22"/>
          <w:szCs w:val="22"/>
          <w:highlight w:val="none"/>
        </w:rPr>
        <w:t>监理机构应根据工程规模、项目特点、施工组织设计与施工现场的实际需要，按照合同约定、委托人批复意见及相关指令，分阶段确定所需监理人员数量</w:t>
      </w:r>
      <w:r>
        <w:rPr>
          <w:rFonts w:ascii="宋体" w:hAnsi="宋体" w:eastAsia="宋体" w:cs="宋体"/>
          <w:color w:val="auto"/>
          <w:spacing w:val="4"/>
          <w:sz w:val="22"/>
          <w:szCs w:val="22"/>
          <w:highlight w:val="none"/>
        </w:rPr>
        <w:t>，动态配置</w:t>
      </w:r>
      <w:r>
        <w:rPr>
          <w:rFonts w:ascii="宋体" w:hAnsi="宋体" w:eastAsia="宋体" w:cs="宋体"/>
          <w:color w:val="auto"/>
          <w:spacing w:val="-3"/>
          <w:sz w:val="22"/>
          <w:szCs w:val="22"/>
          <w:highlight w:val="none"/>
        </w:rPr>
        <w:t>监理人员。</w:t>
      </w:r>
    </w:p>
    <w:p w14:paraId="36619E41">
      <w:pPr>
        <w:spacing w:before="1" w:line="218" w:lineRule="auto"/>
        <w:ind w:left="481"/>
        <w:rPr>
          <w:rFonts w:ascii="宋体" w:hAnsi="宋体" w:eastAsia="宋体" w:cs="宋体"/>
          <w:color w:val="auto"/>
          <w:sz w:val="22"/>
          <w:szCs w:val="22"/>
          <w:highlight w:val="none"/>
        </w:rPr>
      </w:pPr>
      <w:r>
        <w:rPr>
          <w:rFonts w:ascii="宋体" w:hAnsi="宋体" w:eastAsia="宋体" w:cs="宋体"/>
          <w:color w:val="auto"/>
          <w:sz w:val="22"/>
          <w:szCs w:val="22"/>
          <w:highlight w:val="none"/>
        </w:rPr>
        <w:t>监理机构应开展监理人员岗位培训、考核工作，人员素质应满足岗位工作需求。"</w:t>
      </w:r>
    </w:p>
    <w:p w14:paraId="4250891D">
      <w:pPr>
        <w:spacing w:before="183" w:line="219" w:lineRule="auto"/>
        <w:ind w:left="498"/>
        <w:rPr>
          <w:rFonts w:ascii="宋体" w:hAnsi="宋体" w:eastAsia="宋体" w:cs="宋体"/>
          <w:color w:val="auto"/>
          <w:sz w:val="22"/>
          <w:szCs w:val="22"/>
          <w:highlight w:val="none"/>
        </w:rPr>
      </w:pPr>
      <w:r>
        <w:rPr>
          <w:rFonts w:ascii="宋体" w:hAnsi="宋体" w:eastAsia="宋体" w:cs="宋体"/>
          <w:color w:val="auto"/>
          <w:spacing w:val="-3"/>
          <w:sz w:val="22"/>
          <w:szCs w:val="22"/>
          <w:highlight w:val="none"/>
        </w:rPr>
        <w:t>13.9.6 监理机构设置</w:t>
      </w:r>
    </w:p>
    <w:p w14:paraId="1BD4C95C">
      <w:pPr>
        <w:spacing w:before="47" w:line="359" w:lineRule="auto"/>
        <w:ind w:firstLine="480"/>
        <w:jc w:val="both"/>
        <w:rPr>
          <w:rFonts w:ascii="宋体" w:hAnsi="宋体" w:eastAsia="宋体" w:cs="宋体"/>
          <w:color w:val="auto"/>
          <w:sz w:val="22"/>
          <w:szCs w:val="22"/>
          <w:highlight w:val="none"/>
        </w:rPr>
      </w:pPr>
      <w:r>
        <w:rPr>
          <w:rFonts w:ascii="宋体" w:hAnsi="宋体" w:eastAsia="宋体" w:cs="宋体"/>
          <w:color w:val="auto"/>
          <w:spacing w:val="5"/>
          <w:sz w:val="22"/>
          <w:szCs w:val="22"/>
          <w:highlight w:val="none"/>
        </w:rPr>
        <w:t>监理机构受建设单位委托开展咨询服务时，宜设置咨询工作室，为项目提供决策服务。同时，应明确咨询服务内容及相应的费用标准。（该费用不包含在项</w:t>
      </w:r>
      <w:r>
        <w:rPr>
          <w:rFonts w:ascii="宋体" w:hAnsi="宋体" w:eastAsia="宋体" w:cs="宋体"/>
          <w:color w:val="auto"/>
          <w:spacing w:val="4"/>
          <w:sz w:val="22"/>
          <w:szCs w:val="22"/>
          <w:highlight w:val="none"/>
        </w:rPr>
        <w:t>目监理总</w:t>
      </w:r>
      <w:r>
        <w:rPr>
          <w:rFonts w:ascii="宋体" w:hAnsi="宋体" w:eastAsia="宋体" w:cs="宋体"/>
          <w:color w:val="auto"/>
          <w:spacing w:val="1"/>
          <w:sz w:val="22"/>
          <w:szCs w:val="22"/>
          <w:highlight w:val="none"/>
        </w:rPr>
        <w:t>费用中）"</w:t>
      </w:r>
    </w:p>
    <w:p w14:paraId="5F22EB8F">
      <w:pPr>
        <w:spacing w:line="219" w:lineRule="auto"/>
        <w:ind w:left="498"/>
        <w:rPr>
          <w:rFonts w:ascii="宋体" w:hAnsi="宋体" w:eastAsia="宋体" w:cs="宋体"/>
          <w:color w:val="auto"/>
          <w:sz w:val="22"/>
          <w:szCs w:val="22"/>
          <w:highlight w:val="none"/>
        </w:rPr>
      </w:pPr>
      <w:r>
        <w:rPr>
          <w:rFonts w:ascii="宋体" w:hAnsi="宋体" w:eastAsia="宋体" w:cs="宋体"/>
          <w:color w:val="auto"/>
          <w:spacing w:val="-2"/>
          <w:sz w:val="22"/>
          <w:szCs w:val="22"/>
          <w:highlight w:val="none"/>
        </w:rPr>
        <w:t>13.9.7 监理数字化建设</w:t>
      </w:r>
    </w:p>
    <w:p w14:paraId="723AD010">
      <w:pPr>
        <w:spacing w:before="183" w:line="359" w:lineRule="auto"/>
        <w:ind w:firstLine="481"/>
        <w:rPr>
          <w:rFonts w:ascii="宋体" w:hAnsi="宋体" w:eastAsia="宋体" w:cs="宋体"/>
          <w:color w:val="auto"/>
          <w:sz w:val="22"/>
          <w:szCs w:val="22"/>
          <w:highlight w:val="none"/>
        </w:rPr>
      </w:pPr>
      <w:r>
        <w:rPr>
          <w:rFonts w:ascii="宋体" w:hAnsi="宋体" w:eastAsia="宋体" w:cs="宋体"/>
          <w:color w:val="auto"/>
          <w:spacing w:val="5"/>
          <w:sz w:val="22"/>
          <w:szCs w:val="22"/>
          <w:highlight w:val="none"/>
        </w:rPr>
        <w:t>监理机构应按照行业发展的需求，发展自身管理的数字化建设，开放数字化平台及相关数据接口，对接建设单位数字化管理系统，积极配合建设单位对项目管</w:t>
      </w:r>
      <w:r>
        <w:rPr>
          <w:rFonts w:ascii="宋体" w:hAnsi="宋体" w:eastAsia="宋体" w:cs="宋体"/>
          <w:color w:val="auto"/>
          <w:spacing w:val="4"/>
          <w:sz w:val="22"/>
          <w:szCs w:val="22"/>
          <w:highlight w:val="none"/>
        </w:rPr>
        <w:t>理数字</w:t>
      </w:r>
      <w:r>
        <w:rPr>
          <w:rFonts w:ascii="宋体" w:hAnsi="宋体" w:eastAsia="宋体" w:cs="宋体"/>
          <w:color w:val="auto"/>
          <w:spacing w:val="5"/>
          <w:sz w:val="22"/>
          <w:szCs w:val="22"/>
          <w:highlight w:val="none"/>
        </w:rPr>
        <w:t>化的统筹和整合，助力建设单位打通各参建单位不同系统之间的信息壁垒，形</w:t>
      </w:r>
      <w:r>
        <w:rPr>
          <w:rFonts w:ascii="宋体" w:hAnsi="宋体" w:eastAsia="宋体" w:cs="宋体"/>
          <w:color w:val="auto"/>
          <w:spacing w:val="4"/>
          <w:sz w:val="22"/>
          <w:szCs w:val="22"/>
          <w:highlight w:val="none"/>
        </w:rPr>
        <w:t>成适应</w:t>
      </w:r>
      <w:r>
        <w:rPr>
          <w:rFonts w:ascii="宋体" w:hAnsi="宋体" w:eastAsia="宋体" w:cs="宋体"/>
          <w:color w:val="auto"/>
          <w:spacing w:val="5"/>
          <w:sz w:val="22"/>
          <w:szCs w:val="22"/>
          <w:highlight w:val="none"/>
        </w:rPr>
        <w:t>于项目的综合性数字化管理平台。监理机构的管理应充分利用共享数据的一体</w:t>
      </w:r>
      <w:r>
        <w:rPr>
          <w:rFonts w:ascii="宋体" w:hAnsi="宋体" w:eastAsia="宋体" w:cs="宋体"/>
          <w:color w:val="auto"/>
          <w:spacing w:val="4"/>
          <w:sz w:val="22"/>
          <w:szCs w:val="22"/>
          <w:highlight w:val="none"/>
        </w:rPr>
        <w:t>化数字</w:t>
      </w:r>
      <w:r>
        <w:rPr>
          <w:rFonts w:ascii="宋体" w:hAnsi="宋体" w:eastAsia="宋体" w:cs="宋体"/>
          <w:color w:val="auto"/>
          <w:spacing w:val="5"/>
          <w:sz w:val="22"/>
          <w:szCs w:val="22"/>
          <w:highlight w:val="none"/>
        </w:rPr>
        <w:t>化技术和平台，评估保证体系的运行状况，分析管理的薄弱环节，利用数字化</w:t>
      </w:r>
      <w:r>
        <w:rPr>
          <w:rFonts w:ascii="宋体" w:hAnsi="宋体" w:eastAsia="宋体" w:cs="宋体"/>
          <w:color w:val="auto"/>
          <w:spacing w:val="4"/>
          <w:sz w:val="22"/>
          <w:szCs w:val="22"/>
          <w:highlight w:val="none"/>
        </w:rPr>
        <w:t>手段和</w:t>
      </w:r>
      <w:r>
        <w:rPr>
          <w:rFonts w:ascii="宋体" w:hAnsi="宋体" w:eastAsia="宋体" w:cs="宋体"/>
          <w:color w:val="auto"/>
          <w:sz w:val="22"/>
          <w:szCs w:val="22"/>
          <w:highlight w:val="none"/>
        </w:rPr>
        <w:t>数据为监理管理工作提供支撑。"</w:t>
      </w:r>
    </w:p>
    <w:p w14:paraId="6C8F3FE4">
      <w:pPr>
        <w:spacing w:line="220" w:lineRule="auto"/>
        <w:ind w:left="498"/>
        <w:rPr>
          <w:rFonts w:ascii="宋体" w:hAnsi="宋体" w:eastAsia="宋体" w:cs="宋体"/>
          <w:color w:val="auto"/>
          <w:sz w:val="22"/>
          <w:szCs w:val="22"/>
          <w:highlight w:val="none"/>
        </w:rPr>
      </w:pPr>
      <w:r>
        <w:rPr>
          <w:rFonts w:ascii="宋体" w:hAnsi="宋体" w:eastAsia="宋体" w:cs="宋体"/>
          <w:color w:val="auto"/>
          <w:spacing w:val="-2"/>
          <w:sz w:val="22"/>
          <w:szCs w:val="22"/>
          <w:highlight w:val="none"/>
        </w:rPr>
        <w:t>13.9.8 质量安全问题应对</w:t>
      </w:r>
    </w:p>
    <w:p w14:paraId="1F28B5B5">
      <w:pPr>
        <w:spacing w:before="177" w:line="360" w:lineRule="auto"/>
        <w:ind w:firstLine="480"/>
        <w:rPr>
          <w:rFonts w:ascii="宋体" w:hAnsi="宋体" w:eastAsia="宋体" w:cs="宋体"/>
          <w:color w:val="auto"/>
          <w:sz w:val="22"/>
          <w:szCs w:val="22"/>
          <w:highlight w:val="none"/>
        </w:rPr>
      </w:pPr>
      <w:r>
        <w:rPr>
          <w:rFonts w:ascii="宋体" w:hAnsi="宋体" w:eastAsia="宋体" w:cs="宋体"/>
          <w:color w:val="auto"/>
          <w:spacing w:val="5"/>
          <w:sz w:val="22"/>
          <w:szCs w:val="22"/>
          <w:highlight w:val="none"/>
        </w:rPr>
        <w:t>监理机构在监理过程中发现施工存在质量问题或安全事故隐患的，应书面要求施工单位整改或停止施工，未整改或整改不合格的不得进行下一道工序施工，</w:t>
      </w:r>
      <w:r>
        <w:rPr>
          <w:rFonts w:ascii="宋体" w:hAnsi="宋体" w:eastAsia="宋体" w:cs="宋体"/>
          <w:color w:val="auto"/>
          <w:spacing w:val="4"/>
          <w:sz w:val="22"/>
          <w:szCs w:val="22"/>
          <w:highlight w:val="none"/>
        </w:rPr>
        <w:t>不得进行</w:t>
      </w:r>
      <w:r>
        <w:rPr>
          <w:rFonts w:ascii="宋体" w:hAnsi="宋体" w:eastAsia="宋体" w:cs="宋体"/>
          <w:color w:val="auto"/>
          <w:spacing w:val="5"/>
          <w:sz w:val="22"/>
          <w:szCs w:val="22"/>
          <w:highlight w:val="none"/>
        </w:rPr>
        <w:t>计量支付。施工单位拒不整改或不停止施工的，监理机构应及时向建设单位</w:t>
      </w:r>
      <w:r>
        <w:rPr>
          <w:rFonts w:ascii="宋体" w:hAnsi="宋体" w:eastAsia="宋体" w:cs="宋体"/>
          <w:color w:val="auto"/>
          <w:spacing w:val="4"/>
          <w:sz w:val="22"/>
          <w:szCs w:val="22"/>
          <w:highlight w:val="none"/>
        </w:rPr>
        <w:t>或监管部</w:t>
      </w:r>
      <w:r>
        <w:rPr>
          <w:rFonts w:ascii="宋体" w:hAnsi="宋体" w:eastAsia="宋体" w:cs="宋体"/>
          <w:color w:val="auto"/>
          <w:spacing w:val="1"/>
          <w:sz w:val="22"/>
          <w:szCs w:val="22"/>
          <w:highlight w:val="none"/>
        </w:rPr>
        <w:t>门报告。"</w:t>
      </w:r>
    </w:p>
    <w:p w14:paraId="0C7094AB">
      <w:pPr>
        <w:spacing w:before="1" w:line="227" w:lineRule="auto"/>
        <w:ind w:left="498"/>
        <w:rPr>
          <w:rFonts w:ascii="宋体" w:hAnsi="宋体" w:eastAsia="宋体" w:cs="宋体"/>
          <w:color w:val="auto"/>
          <w:sz w:val="22"/>
          <w:szCs w:val="22"/>
          <w:highlight w:val="none"/>
        </w:rPr>
      </w:pPr>
      <w:r>
        <w:rPr>
          <w:rFonts w:ascii="宋体" w:hAnsi="宋体" w:eastAsia="宋体" w:cs="宋体"/>
          <w:color w:val="auto"/>
          <w:spacing w:val="-4"/>
          <w:sz w:val="22"/>
          <w:szCs w:val="22"/>
          <w:highlight w:val="none"/>
        </w:rPr>
        <w:t>13.9.9</w:t>
      </w:r>
      <w:r>
        <w:rPr>
          <w:rFonts w:ascii="宋体" w:hAnsi="宋体" w:eastAsia="宋体" w:cs="宋体"/>
          <w:color w:val="auto"/>
          <w:spacing w:val="-49"/>
          <w:sz w:val="22"/>
          <w:szCs w:val="22"/>
          <w:highlight w:val="none"/>
        </w:rPr>
        <w:t xml:space="preserve"> </w:t>
      </w:r>
      <w:r>
        <w:rPr>
          <w:rFonts w:ascii="宋体" w:hAnsi="宋体" w:eastAsia="宋体" w:cs="宋体"/>
          <w:color w:val="auto"/>
          <w:spacing w:val="-4"/>
          <w:sz w:val="22"/>
          <w:szCs w:val="22"/>
          <w:highlight w:val="none"/>
        </w:rPr>
        <w:t>监理+N</w:t>
      </w:r>
    </w:p>
    <w:p w14:paraId="3E727CD9">
      <w:pPr>
        <w:spacing w:before="169" w:line="359" w:lineRule="auto"/>
        <w:ind w:firstLine="480"/>
        <w:rPr>
          <w:rFonts w:ascii="宋体" w:hAnsi="宋体" w:eastAsia="宋体" w:cs="宋体"/>
          <w:color w:val="auto"/>
          <w:sz w:val="22"/>
          <w:szCs w:val="22"/>
          <w:highlight w:val="none"/>
        </w:rPr>
      </w:pPr>
      <w:r>
        <w:rPr>
          <w:rFonts w:ascii="宋体" w:hAnsi="宋体" w:eastAsia="宋体" w:cs="宋体"/>
          <w:color w:val="auto"/>
          <w:spacing w:val="5"/>
          <w:sz w:val="22"/>
          <w:szCs w:val="22"/>
          <w:highlight w:val="none"/>
        </w:rPr>
        <w:t>监理检测企业应根据公路建设市场和高质量发展的需要，整合优势资源，构建灵活的服务架构和经营模式，丰富监理及咨询服务的内涵，强化技术支持，面</w:t>
      </w:r>
      <w:r>
        <w:rPr>
          <w:rFonts w:ascii="宋体" w:hAnsi="宋体" w:eastAsia="宋体" w:cs="宋体"/>
          <w:color w:val="auto"/>
          <w:spacing w:val="4"/>
          <w:sz w:val="22"/>
          <w:szCs w:val="22"/>
          <w:highlight w:val="none"/>
        </w:rPr>
        <w:t>向公路建</w:t>
      </w:r>
      <w:r>
        <w:rPr>
          <w:rFonts w:ascii="宋体" w:hAnsi="宋体" w:eastAsia="宋体" w:cs="宋体"/>
          <w:color w:val="auto"/>
          <w:spacing w:val="5"/>
          <w:sz w:val="22"/>
          <w:szCs w:val="22"/>
          <w:highlight w:val="none"/>
        </w:rPr>
        <w:t>设全产业链，提供专业、高水平的咨询服务，形成包括代建、咨询、可行性</w:t>
      </w:r>
      <w:r>
        <w:rPr>
          <w:rFonts w:ascii="宋体" w:hAnsi="宋体" w:eastAsia="宋体" w:cs="宋体"/>
          <w:color w:val="auto"/>
          <w:spacing w:val="4"/>
          <w:sz w:val="22"/>
          <w:szCs w:val="22"/>
          <w:highlight w:val="none"/>
        </w:rPr>
        <w:t>研究、设</w:t>
      </w:r>
      <w:r>
        <w:rPr>
          <w:rFonts w:ascii="宋体" w:hAnsi="宋体" w:eastAsia="宋体" w:cs="宋体"/>
          <w:color w:val="auto"/>
          <w:spacing w:val="-1"/>
          <w:sz w:val="22"/>
          <w:szCs w:val="22"/>
          <w:highlight w:val="none"/>
        </w:rPr>
        <w:t>计和监理等在内的多元化发展方向，提升监理+N</w:t>
      </w:r>
      <w:r>
        <w:rPr>
          <w:rFonts w:ascii="宋体" w:hAnsi="宋体" w:eastAsia="宋体" w:cs="宋体"/>
          <w:color w:val="auto"/>
          <w:spacing w:val="-25"/>
          <w:sz w:val="22"/>
          <w:szCs w:val="22"/>
          <w:highlight w:val="none"/>
        </w:rPr>
        <w:t xml:space="preserve"> </w:t>
      </w:r>
      <w:r>
        <w:rPr>
          <w:rFonts w:ascii="宋体" w:hAnsi="宋体" w:eastAsia="宋体" w:cs="宋体"/>
          <w:color w:val="auto"/>
          <w:spacing w:val="-1"/>
          <w:sz w:val="22"/>
          <w:szCs w:val="22"/>
          <w:highlight w:val="none"/>
        </w:rPr>
        <w:t>的服务品质。"</w:t>
      </w:r>
    </w:p>
    <w:p w14:paraId="0C1A6FC4">
      <w:pPr>
        <w:spacing w:line="220" w:lineRule="auto"/>
        <w:ind w:left="498"/>
        <w:rPr>
          <w:rFonts w:ascii="宋体" w:hAnsi="宋体" w:eastAsia="宋体" w:cs="宋体"/>
          <w:color w:val="auto"/>
          <w:sz w:val="22"/>
          <w:szCs w:val="22"/>
          <w:highlight w:val="none"/>
        </w:rPr>
      </w:pPr>
      <w:r>
        <w:rPr>
          <w:rFonts w:ascii="宋体" w:hAnsi="宋体" w:eastAsia="宋体" w:cs="宋体"/>
          <w:color w:val="auto"/>
          <w:spacing w:val="-3"/>
          <w:sz w:val="22"/>
          <w:szCs w:val="22"/>
          <w:highlight w:val="none"/>
        </w:rPr>
        <w:t>13.9.10 监理费用</w:t>
      </w:r>
    </w:p>
    <w:p w14:paraId="18CE2D1C">
      <w:pPr>
        <w:spacing w:before="183" w:line="324" w:lineRule="auto"/>
        <w:ind w:left="1" w:firstLine="490"/>
        <w:rPr>
          <w:rFonts w:ascii="宋体" w:hAnsi="宋体" w:eastAsia="宋体" w:cs="宋体"/>
          <w:color w:val="auto"/>
          <w:spacing w:val="1"/>
          <w:sz w:val="22"/>
          <w:szCs w:val="22"/>
          <w:highlight w:val="none"/>
        </w:rPr>
      </w:pPr>
      <w:r>
        <w:rPr>
          <w:rFonts w:ascii="宋体" w:hAnsi="宋体" w:eastAsia="宋体" w:cs="宋体"/>
          <w:color w:val="auto"/>
          <w:spacing w:val="4"/>
          <w:sz w:val="22"/>
          <w:szCs w:val="22"/>
          <w:highlight w:val="none"/>
        </w:rPr>
        <w:t>（1）项目采取“咨询+监理</w:t>
      </w:r>
      <w:r>
        <w:rPr>
          <w:rFonts w:ascii="宋体" w:hAnsi="宋体" w:eastAsia="宋体" w:cs="宋体"/>
          <w:color w:val="auto"/>
          <w:spacing w:val="-81"/>
          <w:sz w:val="22"/>
          <w:szCs w:val="22"/>
          <w:highlight w:val="none"/>
        </w:rPr>
        <w:t xml:space="preserve"> </w:t>
      </w:r>
      <w:r>
        <w:rPr>
          <w:rFonts w:ascii="宋体" w:hAnsi="宋体" w:eastAsia="宋体" w:cs="宋体"/>
          <w:color w:val="auto"/>
          <w:spacing w:val="4"/>
          <w:sz w:val="22"/>
          <w:szCs w:val="22"/>
          <w:highlight w:val="none"/>
        </w:rPr>
        <w:t>”模式时，咨询、监理</w:t>
      </w:r>
      <w:r>
        <w:rPr>
          <w:rFonts w:ascii="宋体" w:hAnsi="宋体" w:eastAsia="宋体" w:cs="宋体"/>
          <w:color w:val="auto"/>
          <w:spacing w:val="3"/>
          <w:sz w:val="22"/>
          <w:szCs w:val="22"/>
          <w:highlight w:val="none"/>
        </w:rPr>
        <w:t>取费应按相关标准分别计算，</w:t>
      </w:r>
      <w:r>
        <w:rPr>
          <w:rFonts w:ascii="宋体" w:hAnsi="宋体" w:eastAsia="宋体" w:cs="宋体"/>
          <w:color w:val="auto"/>
          <w:spacing w:val="1"/>
          <w:sz w:val="22"/>
          <w:szCs w:val="22"/>
          <w:highlight w:val="none"/>
        </w:rPr>
        <w:t>合计计入合同金额。</w:t>
      </w:r>
    </w:p>
    <w:p w14:paraId="374E44CE">
      <w:pPr>
        <w:spacing w:before="183" w:line="324" w:lineRule="auto"/>
        <w:ind w:left="1" w:firstLine="490"/>
        <w:rPr>
          <w:rFonts w:ascii="宋体" w:hAnsi="宋体" w:eastAsia="宋体" w:cs="宋体"/>
          <w:color w:val="auto"/>
          <w:sz w:val="22"/>
          <w:szCs w:val="22"/>
          <w:highlight w:val="none"/>
        </w:rPr>
      </w:pPr>
      <w:r>
        <w:rPr>
          <w:rFonts w:ascii="宋体" w:hAnsi="宋体" w:eastAsia="宋体" w:cs="宋体"/>
          <w:color w:val="auto"/>
          <w:spacing w:val="1"/>
          <w:sz w:val="22"/>
          <w:szCs w:val="22"/>
          <w:highlight w:val="none"/>
        </w:rPr>
        <w:t>（2）根据省厅监</w:t>
      </w:r>
      <w:r>
        <w:rPr>
          <w:rFonts w:ascii="宋体" w:hAnsi="宋体" w:eastAsia="宋体" w:cs="宋体"/>
          <w:color w:val="auto"/>
          <w:spacing w:val="5"/>
          <w:sz w:val="22"/>
          <w:szCs w:val="22"/>
          <w:highlight w:val="none"/>
        </w:rPr>
        <w:t>理改革的经验，为更好地推动监理行业高质量发展，发挥其应有的支撑作</w:t>
      </w:r>
      <w:r>
        <w:rPr>
          <w:rFonts w:ascii="宋体" w:hAnsi="宋体" w:eastAsia="宋体" w:cs="宋体"/>
          <w:color w:val="auto"/>
          <w:spacing w:val="4"/>
          <w:sz w:val="22"/>
          <w:szCs w:val="22"/>
          <w:highlight w:val="none"/>
        </w:rPr>
        <w:t>用，有条件</w:t>
      </w:r>
      <w:r>
        <w:rPr>
          <w:rFonts w:ascii="宋体" w:hAnsi="宋体" w:eastAsia="宋体" w:cs="宋体"/>
          <w:color w:val="auto"/>
          <w:spacing w:val="-1"/>
          <w:sz w:val="22"/>
          <w:szCs w:val="22"/>
          <w:highlight w:val="none"/>
        </w:rPr>
        <w:t>的委托人可根据实际情况探索监理费用“实物计量法</w:t>
      </w:r>
      <w:r>
        <w:rPr>
          <w:rFonts w:ascii="宋体" w:hAnsi="宋体" w:eastAsia="宋体" w:cs="宋体"/>
          <w:color w:val="auto"/>
          <w:spacing w:val="-89"/>
          <w:sz w:val="22"/>
          <w:szCs w:val="22"/>
          <w:highlight w:val="none"/>
        </w:rPr>
        <w:t xml:space="preserve"> </w:t>
      </w:r>
      <w:r>
        <w:rPr>
          <w:rFonts w:ascii="宋体" w:hAnsi="宋体" w:eastAsia="宋体" w:cs="宋体"/>
          <w:color w:val="auto"/>
          <w:spacing w:val="-1"/>
          <w:sz w:val="22"/>
          <w:szCs w:val="22"/>
          <w:highlight w:val="none"/>
        </w:rPr>
        <w:t>”。"</w:t>
      </w:r>
    </w:p>
    <w:p w14:paraId="6C889BB5">
      <w:pPr>
        <w:spacing w:before="180" w:line="219" w:lineRule="auto"/>
        <w:ind w:left="498"/>
        <w:rPr>
          <w:rFonts w:ascii="宋体" w:hAnsi="宋体" w:eastAsia="宋体" w:cs="宋体"/>
          <w:color w:val="auto"/>
          <w:sz w:val="22"/>
          <w:szCs w:val="22"/>
          <w:highlight w:val="none"/>
        </w:rPr>
      </w:pPr>
      <w:r>
        <w:rPr>
          <w:rFonts w:ascii="宋体" w:hAnsi="宋体" w:eastAsia="宋体" w:cs="宋体"/>
          <w:color w:val="auto"/>
          <w:spacing w:val="-3"/>
          <w:sz w:val="22"/>
          <w:szCs w:val="22"/>
          <w:highlight w:val="none"/>
        </w:rPr>
        <w:t>13.9.11</w:t>
      </w:r>
      <w:r>
        <w:rPr>
          <w:rFonts w:ascii="宋体" w:hAnsi="宋体" w:eastAsia="宋体" w:cs="宋体"/>
          <w:color w:val="auto"/>
          <w:spacing w:val="-50"/>
          <w:sz w:val="22"/>
          <w:szCs w:val="22"/>
          <w:highlight w:val="none"/>
        </w:rPr>
        <w:t xml:space="preserve"> </w:t>
      </w:r>
      <w:r>
        <w:rPr>
          <w:rFonts w:ascii="宋体" w:hAnsi="宋体" w:eastAsia="宋体" w:cs="宋体"/>
          <w:color w:val="auto"/>
          <w:spacing w:val="-3"/>
          <w:sz w:val="22"/>
          <w:szCs w:val="22"/>
          <w:highlight w:val="none"/>
        </w:rPr>
        <w:t>监理验收机制</w:t>
      </w:r>
    </w:p>
    <w:p w14:paraId="0271D5A9">
      <w:pPr>
        <w:spacing w:before="184" w:line="360" w:lineRule="auto"/>
        <w:ind w:left="3" w:firstLine="494"/>
        <w:jc w:val="both"/>
        <w:rPr>
          <w:rFonts w:ascii="宋体" w:hAnsi="宋体" w:eastAsia="宋体" w:cs="宋体"/>
          <w:color w:val="auto"/>
          <w:sz w:val="22"/>
          <w:szCs w:val="22"/>
          <w:highlight w:val="none"/>
        </w:rPr>
      </w:pPr>
      <w:r>
        <w:rPr>
          <w:rFonts w:ascii="宋体" w:hAnsi="宋体" w:eastAsia="宋体" w:cs="宋体"/>
          <w:color w:val="auto"/>
          <w:spacing w:val="-1"/>
          <w:sz w:val="22"/>
          <w:szCs w:val="22"/>
          <w:highlight w:val="none"/>
        </w:rPr>
        <w:t>13.9.11.1</w:t>
      </w:r>
      <w:r>
        <w:rPr>
          <w:rFonts w:ascii="宋体" w:hAnsi="宋体" w:eastAsia="宋体" w:cs="宋体"/>
          <w:color w:val="auto"/>
          <w:spacing w:val="-37"/>
          <w:sz w:val="22"/>
          <w:szCs w:val="22"/>
          <w:highlight w:val="none"/>
        </w:rPr>
        <w:t xml:space="preserve"> </w:t>
      </w:r>
      <w:r>
        <w:rPr>
          <w:rFonts w:ascii="宋体" w:hAnsi="宋体" w:eastAsia="宋体" w:cs="宋体"/>
          <w:color w:val="auto"/>
          <w:spacing w:val="-1"/>
          <w:sz w:val="22"/>
          <w:szCs w:val="22"/>
          <w:highlight w:val="none"/>
        </w:rPr>
        <w:t>监理机构应建立分级验收机制，总监应参与超过一定规模的危险性较大</w:t>
      </w:r>
      <w:r>
        <w:rPr>
          <w:rFonts w:ascii="宋体" w:hAnsi="宋体" w:eastAsia="宋体" w:cs="宋体"/>
          <w:color w:val="auto"/>
          <w:spacing w:val="5"/>
          <w:sz w:val="22"/>
          <w:szCs w:val="22"/>
          <w:highlight w:val="none"/>
        </w:rPr>
        <w:t>分部分项工程的关键工序验收；副总监应参与危险性较大分部分项工</w:t>
      </w:r>
      <w:r>
        <w:rPr>
          <w:rFonts w:ascii="宋体" w:hAnsi="宋体" w:eastAsia="宋体" w:cs="宋体"/>
          <w:color w:val="auto"/>
          <w:spacing w:val="4"/>
          <w:sz w:val="22"/>
          <w:szCs w:val="22"/>
          <w:highlight w:val="none"/>
        </w:rPr>
        <w:t>程的关键工序验</w:t>
      </w:r>
      <w:r>
        <w:rPr>
          <w:rFonts w:ascii="宋体" w:hAnsi="宋体" w:eastAsia="宋体" w:cs="宋体"/>
          <w:color w:val="auto"/>
          <w:spacing w:val="5"/>
          <w:sz w:val="22"/>
          <w:szCs w:val="22"/>
          <w:highlight w:val="none"/>
        </w:rPr>
        <w:t>收。监理机构应编制《关键工序验收责任清单》，明确规定参与工序</w:t>
      </w:r>
      <w:r>
        <w:rPr>
          <w:rFonts w:ascii="宋体" w:hAnsi="宋体" w:eastAsia="宋体" w:cs="宋体"/>
          <w:color w:val="auto"/>
          <w:spacing w:val="4"/>
          <w:sz w:val="22"/>
          <w:szCs w:val="22"/>
          <w:highlight w:val="none"/>
        </w:rPr>
        <w:t>验收的各层级监</w:t>
      </w:r>
      <w:r>
        <w:rPr>
          <w:rFonts w:ascii="宋体" w:hAnsi="宋体" w:eastAsia="宋体" w:cs="宋体"/>
          <w:color w:val="auto"/>
          <w:spacing w:val="1"/>
          <w:sz w:val="22"/>
          <w:szCs w:val="22"/>
          <w:highlight w:val="none"/>
        </w:rPr>
        <w:t>理人员及职责范围，涵盖项目工程重难点。总监/副总监参与的验收应形成专项记录，</w:t>
      </w:r>
      <w:r>
        <w:rPr>
          <w:rFonts w:ascii="宋体" w:hAnsi="宋体" w:eastAsia="宋体" w:cs="宋体"/>
          <w:color w:val="auto"/>
          <w:sz w:val="22"/>
          <w:szCs w:val="22"/>
          <w:highlight w:val="none"/>
        </w:rPr>
        <w:t>作为质量责任追溯依据。"</w:t>
      </w:r>
    </w:p>
    <w:p w14:paraId="29B294DC">
      <w:pPr>
        <w:spacing w:before="183" w:line="312" w:lineRule="auto"/>
        <w:ind w:left="2" w:right="109" w:firstLine="496"/>
        <w:rPr>
          <w:rFonts w:ascii="宋体" w:hAnsi="宋体" w:eastAsia="宋体" w:cs="宋体"/>
          <w:color w:val="auto"/>
          <w:sz w:val="22"/>
          <w:szCs w:val="22"/>
          <w:highlight w:val="none"/>
        </w:rPr>
      </w:pPr>
      <w:r>
        <w:rPr>
          <w:rFonts w:ascii="宋体" w:hAnsi="宋体" w:eastAsia="宋体" w:cs="宋体"/>
          <w:color w:val="auto"/>
          <w:spacing w:val="-1"/>
          <w:sz w:val="22"/>
          <w:szCs w:val="22"/>
          <w:highlight w:val="none"/>
        </w:rPr>
        <w:t>13.9.11.2</w:t>
      </w:r>
      <w:r>
        <w:rPr>
          <w:rFonts w:ascii="宋体" w:hAnsi="宋体" w:eastAsia="宋体" w:cs="宋体"/>
          <w:color w:val="auto"/>
          <w:spacing w:val="-37"/>
          <w:sz w:val="22"/>
          <w:szCs w:val="22"/>
          <w:highlight w:val="none"/>
        </w:rPr>
        <w:t xml:space="preserve"> </w:t>
      </w:r>
      <w:r>
        <w:rPr>
          <w:rFonts w:ascii="宋体" w:hAnsi="宋体" w:eastAsia="宋体" w:cs="宋体"/>
          <w:color w:val="auto"/>
          <w:spacing w:val="-1"/>
          <w:sz w:val="22"/>
          <w:szCs w:val="22"/>
          <w:highlight w:val="none"/>
        </w:rPr>
        <w:t>监理机构应实行施工方案审批、检查、验收的闭环管理，同时检查施工</w:t>
      </w:r>
      <w:r>
        <w:rPr>
          <w:rFonts w:ascii="宋体" w:hAnsi="宋体" w:eastAsia="宋体" w:cs="宋体"/>
          <w:color w:val="auto"/>
          <w:spacing w:val="5"/>
          <w:sz w:val="22"/>
          <w:szCs w:val="22"/>
          <w:highlight w:val="none"/>
        </w:rPr>
        <w:t>单位从施工方案编制至实施完成的闭环管理情况，形成施工方案双闭环管</w:t>
      </w:r>
      <w:r>
        <w:rPr>
          <w:rFonts w:ascii="宋体" w:hAnsi="宋体" w:eastAsia="宋体" w:cs="宋体"/>
          <w:color w:val="auto"/>
          <w:spacing w:val="4"/>
          <w:sz w:val="22"/>
          <w:szCs w:val="22"/>
          <w:highlight w:val="none"/>
        </w:rPr>
        <w:t>理。当施工</w:t>
      </w:r>
      <w:r>
        <w:rPr>
          <w:rFonts w:ascii="宋体" w:hAnsi="宋体" w:eastAsia="宋体" w:cs="宋体"/>
          <w:color w:val="auto"/>
          <w:spacing w:val="-1"/>
          <w:sz w:val="22"/>
          <w:szCs w:val="22"/>
          <w:highlight w:val="none"/>
        </w:rPr>
        <w:t>方案实施条件发生变化时，应监督施工单位按编审程序动态修编。</w:t>
      </w:r>
    </w:p>
    <w:p w14:paraId="1658932A">
      <w:pPr>
        <w:spacing w:before="182" w:line="219" w:lineRule="auto"/>
        <w:ind w:left="499"/>
        <w:rPr>
          <w:rFonts w:ascii="宋体" w:hAnsi="宋体" w:eastAsia="宋体" w:cs="宋体"/>
          <w:color w:val="auto"/>
          <w:sz w:val="22"/>
          <w:szCs w:val="22"/>
          <w:highlight w:val="none"/>
        </w:rPr>
      </w:pPr>
      <w:r>
        <w:rPr>
          <w:rFonts w:ascii="宋体" w:hAnsi="宋体" w:eastAsia="宋体" w:cs="宋体"/>
          <w:color w:val="auto"/>
          <w:spacing w:val="-2"/>
          <w:sz w:val="22"/>
          <w:szCs w:val="22"/>
          <w:highlight w:val="none"/>
        </w:rPr>
        <w:t>13.9.11.3</w:t>
      </w:r>
      <w:r>
        <w:rPr>
          <w:rFonts w:ascii="宋体" w:hAnsi="宋体" w:eastAsia="宋体" w:cs="宋体"/>
          <w:color w:val="auto"/>
          <w:spacing w:val="-43"/>
          <w:sz w:val="22"/>
          <w:szCs w:val="22"/>
          <w:highlight w:val="none"/>
        </w:rPr>
        <w:t xml:space="preserve"> </w:t>
      </w:r>
      <w:r>
        <w:rPr>
          <w:rFonts w:ascii="宋体" w:hAnsi="宋体" w:eastAsia="宋体" w:cs="宋体"/>
          <w:color w:val="auto"/>
          <w:spacing w:val="-2"/>
          <w:sz w:val="22"/>
          <w:szCs w:val="22"/>
          <w:highlight w:val="none"/>
        </w:rPr>
        <w:t>监理机构应组织开展首件工程制</w:t>
      </w:r>
    </w:p>
    <w:p w14:paraId="26D9097A">
      <w:pPr>
        <w:spacing w:before="181" w:line="289" w:lineRule="auto"/>
        <w:ind w:right="109" w:firstLine="493"/>
        <w:rPr>
          <w:rFonts w:ascii="宋体" w:hAnsi="宋体" w:eastAsia="宋体" w:cs="宋体"/>
          <w:color w:val="auto"/>
          <w:sz w:val="22"/>
          <w:szCs w:val="22"/>
          <w:highlight w:val="none"/>
        </w:rPr>
      </w:pPr>
      <w:r>
        <w:rPr>
          <w:rFonts w:ascii="宋体" w:hAnsi="宋体" w:eastAsia="宋体" w:cs="宋体"/>
          <w:color w:val="auto"/>
          <w:spacing w:val="1"/>
          <w:sz w:val="22"/>
          <w:szCs w:val="22"/>
          <w:highlight w:val="none"/>
        </w:rPr>
        <w:t>（1）对首件工程施工工艺控制，安全、质量、环（水）保等措施落实和质量指标</w:t>
      </w:r>
      <w:r>
        <w:rPr>
          <w:rFonts w:ascii="宋体" w:hAnsi="宋体" w:eastAsia="宋体" w:cs="宋体"/>
          <w:color w:val="auto"/>
          <w:spacing w:val="-1"/>
          <w:sz w:val="22"/>
          <w:szCs w:val="22"/>
          <w:highlight w:val="none"/>
        </w:rPr>
        <w:t>进行综合评价，查找不足，并督促施工单位进行改进。</w:t>
      </w:r>
    </w:p>
    <w:p w14:paraId="55567DDD">
      <w:pPr>
        <w:spacing w:before="184" w:line="312" w:lineRule="auto"/>
        <w:ind w:left="6" w:firstLine="486"/>
        <w:rPr>
          <w:rFonts w:ascii="宋体" w:hAnsi="宋体" w:eastAsia="宋体" w:cs="宋体"/>
          <w:color w:val="auto"/>
          <w:sz w:val="22"/>
          <w:szCs w:val="22"/>
          <w:highlight w:val="none"/>
        </w:rPr>
      </w:pPr>
      <w:r>
        <w:rPr>
          <w:rFonts w:ascii="宋体" w:hAnsi="宋体" w:eastAsia="宋体" w:cs="宋体"/>
          <w:color w:val="auto"/>
          <w:spacing w:val="-2"/>
          <w:sz w:val="22"/>
          <w:szCs w:val="22"/>
          <w:highlight w:val="none"/>
        </w:rPr>
        <w:t>（2）监理机构应依据建设单位管理办法及行业规范，编制首件工程</w:t>
      </w:r>
      <w:r>
        <w:rPr>
          <w:rFonts w:ascii="宋体" w:hAnsi="宋体" w:eastAsia="宋体" w:cs="宋体"/>
          <w:color w:val="auto"/>
          <w:spacing w:val="-3"/>
          <w:sz w:val="22"/>
          <w:szCs w:val="22"/>
          <w:highlight w:val="none"/>
        </w:rPr>
        <w:t>管理实施细则，</w:t>
      </w:r>
      <w:r>
        <w:rPr>
          <w:rFonts w:ascii="宋体" w:hAnsi="宋体" w:eastAsia="宋体" w:cs="宋体"/>
          <w:color w:val="auto"/>
          <w:spacing w:val="5"/>
          <w:sz w:val="22"/>
          <w:szCs w:val="22"/>
          <w:highlight w:val="none"/>
        </w:rPr>
        <w:t>明确工作程序、验收评价标准及岗位权责。实施细则须涵盖方案</w:t>
      </w:r>
      <w:r>
        <w:rPr>
          <w:rFonts w:ascii="宋体" w:hAnsi="宋体" w:eastAsia="宋体" w:cs="宋体"/>
          <w:color w:val="auto"/>
          <w:spacing w:val="4"/>
          <w:sz w:val="22"/>
          <w:szCs w:val="22"/>
          <w:highlight w:val="none"/>
        </w:rPr>
        <w:t>预审、过程监控、成</w:t>
      </w:r>
      <w:r>
        <w:rPr>
          <w:rFonts w:ascii="宋体" w:hAnsi="宋体" w:eastAsia="宋体" w:cs="宋体"/>
          <w:color w:val="auto"/>
          <w:spacing w:val="-1"/>
          <w:sz w:val="22"/>
          <w:szCs w:val="22"/>
          <w:highlight w:val="none"/>
        </w:rPr>
        <w:t>果评定、档案归集等全流程管理要求。</w:t>
      </w:r>
    </w:p>
    <w:p w14:paraId="6BC63ED9">
      <w:pPr>
        <w:spacing w:before="182" w:line="288" w:lineRule="auto"/>
        <w:ind w:left="2" w:right="109" w:firstLine="490"/>
        <w:rPr>
          <w:rFonts w:ascii="宋体" w:hAnsi="宋体" w:eastAsia="宋体" w:cs="宋体"/>
          <w:color w:val="auto"/>
          <w:sz w:val="22"/>
          <w:szCs w:val="22"/>
          <w:highlight w:val="none"/>
        </w:rPr>
      </w:pPr>
      <w:r>
        <w:rPr>
          <w:rFonts w:ascii="宋体" w:hAnsi="宋体" w:eastAsia="宋体" w:cs="宋体"/>
          <w:color w:val="auto"/>
          <w:spacing w:val="1"/>
          <w:sz w:val="22"/>
          <w:szCs w:val="22"/>
          <w:highlight w:val="none"/>
        </w:rPr>
        <w:t>（3）对于涉及桥梁、隧道、高边坡等重大风险源的首件工程，总监或副总监应全</w:t>
      </w:r>
      <w:r>
        <w:rPr>
          <w:rFonts w:ascii="宋体" w:hAnsi="宋体" w:eastAsia="宋体" w:cs="宋体"/>
          <w:color w:val="auto"/>
          <w:sz w:val="22"/>
          <w:szCs w:val="22"/>
          <w:highlight w:val="none"/>
        </w:rPr>
        <w:t>过程参与方案评审、过程监督及验收评估，并在验收文件签署确认意见。"</w:t>
      </w:r>
    </w:p>
    <w:p w14:paraId="7FF8E678">
      <w:pPr>
        <w:spacing w:before="187" w:line="312" w:lineRule="auto"/>
        <w:ind w:left="2" w:right="109" w:firstLine="496"/>
        <w:rPr>
          <w:rFonts w:ascii="宋体" w:hAnsi="宋体" w:eastAsia="宋体" w:cs="宋体"/>
          <w:color w:val="auto"/>
          <w:sz w:val="22"/>
          <w:szCs w:val="22"/>
          <w:highlight w:val="none"/>
        </w:rPr>
      </w:pPr>
      <w:r>
        <w:rPr>
          <w:rFonts w:ascii="宋体" w:hAnsi="宋体" w:eastAsia="宋体" w:cs="宋体"/>
          <w:color w:val="auto"/>
          <w:spacing w:val="-1"/>
          <w:sz w:val="22"/>
          <w:szCs w:val="22"/>
          <w:highlight w:val="none"/>
        </w:rPr>
        <w:t>13.9.11.4</w:t>
      </w:r>
      <w:r>
        <w:rPr>
          <w:rFonts w:ascii="宋体" w:hAnsi="宋体" w:eastAsia="宋体" w:cs="宋体"/>
          <w:color w:val="auto"/>
          <w:spacing w:val="-37"/>
          <w:sz w:val="22"/>
          <w:szCs w:val="22"/>
          <w:highlight w:val="none"/>
        </w:rPr>
        <w:t xml:space="preserve"> </w:t>
      </w:r>
      <w:r>
        <w:rPr>
          <w:rFonts w:ascii="宋体" w:hAnsi="宋体" w:eastAsia="宋体" w:cs="宋体"/>
          <w:color w:val="auto"/>
          <w:spacing w:val="-1"/>
          <w:sz w:val="22"/>
          <w:szCs w:val="22"/>
          <w:highlight w:val="none"/>
        </w:rPr>
        <w:t>在施工过程中，监理机构应对施工单位主体责任落实情况、施工合同执</w:t>
      </w:r>
      <w:r>
        <w:rPr>
          <w:rFonts w:ascii="宋体" w:hAnsi="宋体" w:eastAsia="宋体" w:cs="宋体"/>
          <w:color w:val="auto"/>
          <w:spacing w:val="5"/>
          <w:sz w:val="22"/>
          <w:szCs w:val="22"/>
          <w:highlight w:val="none"/>
        </w:rPr>
        <w:t>行情况和质量安全等保证体系运行情况进行监督检查，将管监分离制、三</w:t>
      </w:r>
      <w:r>
        <w:rPr>
          <w:rFonts w:ascii="宋体" w:hAnsi="宋体" w:eastAsia="宋体" w:cs="宋体"/>
          <w:color w:val="auto"/>
          <w:spacing w:val="4"/>
          <w:sz w:val="22"/>
          <w:szCs w:val="22"/>
          <w:highlight w:val="none"/>
        </w:rPr>
        <w:t>检制是否按</w:t>
      </w:r>
      <w:r>
        <w:rPr>
          <w:rFonts w:ascii="宋体" w:hAnsi="宋体" w:eastAsia="宋体" w:cs="宋体"/>
          <w:color w:val="auto"/>
          <w:spacing w:val="-1"/>
          <w:sz w:val="22"/>
          <w:szCs w:val="22"/>
          <w:highlight w:val="none"/>
        </w:rPr>
        <w:t>要求执行纳入保证体系运行检查内容。</w:t>
      </w:r>
    </w:p>
    <w:p w14:paraId="03EAC112">
      <w:pPr>
        <w:spacing w:before="182" w:line="312" w:lineRule="auto"/>
        <w:ind w:left="1" w:right="109" w:firstLine="497"/>
        <w:rPr>
          <w:rFonts w:ascii="宋体" w:hAnsi="宋体" w:eastAsia="宋体" w:cs="宋体"/>
          <w:color w:val="auto"/>
          <w:sz w:val="22"/>
          <w:szCs w:val="22"/>
          <w:highlight w:val="none"/>
        </w:rPr>
      </w:pPr>
      <w:r>
        <w:rPr>
          <w:rFonts w:ascii="宋体" w:hAnsi="宋体" w:eastAsia="宋体" w:cs="宋体"/>
          <w:color w:val="auto"/>
          <w:spacing w:val="-1"/>
          <w:sz w:val="22"/>
          <w:szCs w:val="22"/>
          <w:highlight w:val="none"/>
        </w:rPr>
        <w:t>13.9.11.5</w:t>
      </w:r>
      <w:r>
        <w:rPr>
          <w:rFonts w:ascii="宋体" w:hAnsi="宋体" w:eastAsia="宋体" w:cs="宋体"/>
          <w:color w:val="auto"/>
          <w:spacing w:val="-37"/>
          <w:sz w:val="22"/>
          <w:szCs w:val="22"/>
          <w:highlight w:val="none"/>
        </w:rPr>
        <w:t xml:space="preserve"> </w:t>
      </w:r>
      <w:r>
        <w:rPr>
          <w:rFonts w:ascii="宋体" w:hAnsi="宋体" w:eastAsia="宋体" w:cs="宋体"/>
          <w:color w:val="auto"/>
          <w:spacing w:val="-1"/>
          <w:sz w:val="22"/>
          <w:szCs w:val="22"/>
          <w:highlight w:val="none"/>
        </w:rPr>
        <w:t>监理机构宜制定差异化管理办法和工序验收一次性通过率管理办法，当</w:t>
      </w:r>
      <w:r>
        <w:rPr>
          <w:rFonts w:ascii="宋体" w:hAnsi="宋体" w:eastAsia="宋体" w:cs="宋体"/>
          <w:color w:val="auto"/>
          <w:spacing w:val="5"/>
          <w:sz w:val="22"/>
          <w:szCs w:val="22"/>
          <w:highlight w:val="none"/>
        </w:rPr>
        <w:t>出现工序报检一次性通过率较低、实体检测指标较大波动及安全、质量突出</w:t>
      </w:r>
      <w:r>
        <w:rPr>
          <w:rFonts w:ascii="宋体" w:hAnsi="宋体" w:eastAsia="宋体" w:cs="宋体"/>
          <w:color w:val="auto"/>
          <w:spacing w:val="4"/>
          <w:sz w:val="22"/>
          <w:szCs w:val="22"/>
          <w:highlight w:val="none"/>
        </w:rPr>
        <w:t>问题时，</w:t>
      </w:r>
      <w:r>
        <w:rPr>
          <w:rFonts w:ascii="宋体" w:hAnsi="宋体" w:eastAsia="宋体" w:cs="宋体"/>
          <w:color w:val="auto"/>
          <w:spacing w:val="-1"/>
          <w:sz w:val="22"/>
          <w:szCs w:val="22"/>
          <w:highlight w:val="none"/>
        </w:rPr>
        <w:t>应及时开展差异化管理。</w:t>
      </w:r>
    </w:p>
    <w:p w14:paraId="3F7D020F">
      <w:pPr>
        <w:spacing w:before="184" w:line="312" w:lineRule="auto"/>
        <w:ind w:right="109" w:firstLine="498"/>
        <w:rPr>
          <w:rFonts w:ascii="宋体" w:hAnsi="宋体" w:eastAsia="宋体" w:cs="宋体"/>
          <w:color w:val="auto"/>
          <w:sz w:val="22"/>
          <w:szCs w:val="22"/>
          <w:highlight w:val="none"/>
        </w:rPr>
      </w:pPr>
      <w:r>
        <w:rPr>
          <w:rFonts w:ascii="宋体" w:hAnsi="宋体" w:eastAsia="宋体" w:cs="宋体"/>
          <w:color w:val="auto"/>
          <w:spacing w:val="-1"/>
          <w:sz w:val="22"/>
          <w:szCs w:val="22"/>
          <w:highlight w:val="none"/>
        </w:rPr>
        <w:t>13.9.11.6</w:t>
      </w:r>
      <w:r>
        <w:rPr>
          <w:rFonts w:ascii="宋体" w:hAnsi="宋体" w:eastAsia="宋体" w:cs="宋体"/>
          <w:color w:val="auto"/>
          <w:spacing w:val="-37"/>
          <w:sz w:val="22"/>
          <w:szCs w:val="22"/>
          <w:highlight w:val="none"/>
        </w:rPr>
        <w:t xml:space="preserve"> </w:t>
      </w:r>
      <w:r>
        <w:rPr>
          <w:rFonts w:ascii="宋体" w:hAnsi="宋体" w:eastAsia="宋体" w:cs="宋体"/>
          <w:color w:val="auto"/>
          <w:spacing w:val="-1"/>
          <w:sz w:val="22"/>
          <w:szCs w:val="22"/>
          <w:highlight w:val="none"/>
        </w:rPr>
        <w:t>监理工程师应采取以巡视为主的方式进行施工现场监理，应制定监理巡</w:t>
      </w:r>
      <w:r>
        <w:rPr>
          <w:rFonts w:ascii="宋体" w:hAnsi="宋体" w:eastAsia="宋体" w:cs="宋体"/>
          <w:color w:val="auto"/>
          <w:spacing w:val="-3"/>
          <w:sz w:val="22"/>
          <w:szCs w:val="22"/>
          <w:highlight w:val="none"/>
        </w:rPr>
        <w:t>视专项细则，按计划定期或不定期巡视施工现场，对施工的主要工程每天不少于</w:t>
      </w:r>
      <w:r>
        <w:rPr>
          <w:rFonts w:ascii="宋体" w:hAnsi="宋体" w:eastAsia="宋体" w:cs="宋体"/>
          <w:color w:val="auto"/>
          <w:spacing w:val="-20"/>
          <w:sz w:val="22"/>
          <w:szCs w:val="22"/>
          <w:highlight w:val="none"/>
        </w:rPr>
        <w:t xml:space="preserve"> </w:t>
      </w:r>
      <w:r>
        <w:rPr>
          <w:rFonts w:ascii="宋体" w:hAnsi="宋体" w:eastAsia="宋体" w:cs="宋体"/>
          <w:color w:val="auto"/>
          <w:spacing w:val="-3"/>
          <w:sz w:val="22"/>
          <w:szCs w:val="22"/>
          <w:highlight w:val="none"/>
        </w:rPr>
        <w:t>1</w:t>
      </w:r>
      <w:r>
        <w:rPr>
          <w:rFonts w:ascii="宋体" w:hAnsi="宋体" w:eastAsia="宋体" w:cs="宋体"/>
          <w:color w:val="auto"/>
          <w:spacing w:val="-44"/>
          <w:sz w:val="22"/>
          <w:szCs w:val="22"/>
          <w:highlight w:val="none"/>
        </w:rPr>
        <w:t xml:space="preserve"> </w:t>
      </w:r>
      <w:r>
        <w:rPr>
          <w:rFonts w:ascii="宋体" w:hAnsi="宋体" w:eastAsia="宋体" w:cs="宋体"/>
          <w:color w:val="auto"/>
          <w:spacing w:val="-3"/>
          <w:sz w:val="22"/>
          <w:szCs w:val="22"/>
          <w:highlight w:val="none"/>
        </w:rPr>
        <w:t>次，</w:t>
      </w:r>
      <w:r>
        <w:rPr>
          <w:rFonts w:ascii="宋体" w:hAnsi="宋体" w:eastAsia="宋体" w:cs="宋体"/>
          <w:color w:val="auto"/>
          <w:spacing w:val="-1"/>
          <w:sz w:val="22"/>
          <w:szCs w:val="22"/>
          <w:highlight w:val="none"/>
        </w:rPr>
        <w:t>并填写巡视记录（格式见附录</w:t>
      </w:r>
      <w:r>
        <w:rPr>
          <w:rFonts w:ascii="宋体" w:hAnsi="宋体" w:eastAsia="宋体" w:cs="宋体"/>
          <w:color w:val="auto"/>
          <w:spacing w:val="-40"/>
          <w:sz w:val="22"/>
          <w:szCs w:val="22"/>
          <w:highlight w:val="none"/>
        </w:rPr>
        <w:t xml:space="preserve"> </w:t>
      </w:r>
      <w:r>
        <w:rPr>
          <w:rFonts w:ascii="宋体" w:hAnsi="宋体" w:eastAsia="宋体" w:cs="宋体"/>
          <w:color w:val="auto"/>
          <w:spacing w:val="-1"/>
          <w:sz w:val="22"/>
          <w:szCs w:val="22"/>
          <w:highlight w:val="none"/>
        </w:rPr>
        <w:t>B.1）。巡视应包括下列主要内容：</w:t>
      </w:r>
    </w:p>
    <w:p w14:paraId="537FD0E6">
      <w:pPr>
        <w:spacing w:before="183" w:line="289" w:lineRule="auto"/>
        <w:ind w:left="4" w:right="109" w:firstLine="488"/>
        <w:rPr>
          <w:rFonts w:ascii="宋体" w:hAnsi="宋体" w:eastAsia="宋体" w:cs="宋体"/>
          <w:color w:val="auto"/>
          <w:sz w:val="22"/>
          <w:szCs w:val="22"/>
          <w:highlight w:val="none"/>
        </w:rPr>
      </w:pPr>
      <w:r>
        <w:rPr>
          <w:rFonts w:ascii="宋体" w:hAnsi="宋体" w:eastAsia="宋体" w:cs="宋体"/>
          <w:color w:val="auto"/>
          <w:spacing w:val="1"/>
          <w:sz w:val="22"/>
          <w:szCs w:val="22"/>
          <w:highlight w:val="none"/>
        </w:rPr>
        <w:t>（1）施工现场管理人员特别是质量、安全管理人员是否到位，特种作业人员是否</w:t>
      </w:r>
      <w:r>
        <w:rPr>
          <w:rFonts w:ascii="宋体" w:hAnsi="宋体" w:eastAsia="宋体" w:cs="宋体"/>
          <w:color w:val="auto"/>
          <w:spacing w:val="-3"/>
          <w:sz w:val="22"/>
          <w:szCs w:val="22"/>
          <w:highlight w:val="none"/>
        </w:rPr>
        <w:t>持证上岗；</w:t>
      </w:r>
    </w:p>
    <w:p w14:paraId="0A73DAF0">
      <w:pPr>
        <w:spacing w:before="183" w:line="219" w:lineRule="auto"/>
        <w:ind w:left="493"/>
        <w:rPr>
          <w:rFonts w:ascii="宋体" w:hAnsi="宋体" w:eastAsia="宋体" w:cs="宋体"/>
          <w:color w:val="auto"/>
          <w:sz w:val="22"/>
          <w:szCs w:val="22"/>
          <w:highlight w:val="none"/>
        </w:rPr>
      </w:pPr>
      <w:r>
        <w:rPr>
          <w:rFonts w:ascii="宋体" w:hAnsi="宋体" w:eastAsia="宋体" w:cs="宋体"/>
          <w:color w:val="auto"/>
          <w:spacing w:val="-1"/>
          <w:sz w:val="22"/>
          <w:szCs w:val="22"/>
          <w:highlight w:val="none"/>
        </w:rPr>
        <w:t>（2）使用的原材料或混合料、构配件和主要施工机械设备是否与批准的一致；</w:t>
      </w:r>
    </w:p>
    <w:p w14:paraId="3D61DBC1">
      <w:pPr>
        <w:spacing w:before="184" w:line="219" w:lineRule="auto"/>
        <w:ind w:left="493"/>
        <w:rPr>
          <w:rFonts w:ascii="宋体" w:hAnsi="宋体" w:eastAsia="宋体" w:cs="宋体"/>
          <w:color w:val="auto"/>
          <w:sz w:val="22"/>
          <w:szCs w:val="22"/>
          <w:highlight w:val="none"/>
        </w:rPr>
      </w:pPr>
      <w:r>
        <w:rPr>
          <w:rFonts w:ascii="宋体" w:hAnsi="宋体" w:eastAsia="宋体" w:cs="宋体"/>
          <w:color w:val="auto"/>
          <w:spacing w:val="-1"/>
          <w:sz w:val="22"/>
          <w:szCs w:val="22"/>
          <w:highlight w:val="none"/>
        </w:rPr>
        <w:t>（3）是否按技术标准、工程设计文件、批准的施工组织设计和方案施工；</w:t>
      </w:r>
    </w:p>
    <w:p w14:paraId="642C315F">
      <w:pPr>
        <w:spacing w:before="180" w:line="289" w:lineRule="auto"/>
        <w:ind w:right="109" w:firstLine="492"/>
        <w:rPr>
          <w:rFonts w:ascii="宋体" w:hAnsi="宋体" w:eastAsia="宋体" w:cs="宋体"/>
          <w:color w:val="auto"/>
          <w:sz w:val="22"/>
          <w:szCs w:val="22"/>
          <w:highlight w:val="none"/>
        </w:rPr>
      </w:pPr>
      <w:r>
        <w:rPr>
          <w:rFonts w:ascii="宋体" w:hAnsi="宋体" w:eastAsia="宋体" w:cs="宋体"/>
          <w:color w:val="auto"/>
          <w:spacing w:val="1"/>
          <w:sz w:val="22"/>
          <w:szCs w:val="22"/>
          <w:highlight w:val="none"/>
        </w:rPr>
        <w:t>（4）质量、安全、环（水）保和施工标准化等措施是否落实，抽查施工自检和工</w:t>
      </w:r>
      <w:r>
        <w:rPr>
          <w:rFonts w:ascii="宋体" w:hAnsi="宋体" w:eastAsia="宋体" w:cs="宋体"/>
          <w:color w:val="auto"/>
          <w:spacing w:val="-1"/>
          <w:sz w:val="22"/>
          <w:szCs w:val="22"/>
          <w:highlight w:val="none"/>
        </w:rPr>
        <w:t>序交接是否符合规定。</w:t>
      </w:r>
    </w:p>
    <w:p w14:paraId="187ADC72">
      <w:pPr>
        <w:spacing w:before="184" w:line="360" w:lineRule="auto"/>
        <w:ind w:right="107" w:firstLine="498"/>
        <w:jc w:val="both"/>
        <w:rPr>
          <w:rFonts w:ascii="宋体" w:hAnsi="宋体" w:eastAsia="宋体" w:cs="宋体"/>
          <w:color w:val="auto"/>
          <w:sz w:val="22"/>
          <w:szCs w:val="22"/>
          <w:highlight w:val="none"/>
        </w:rPr>
      </w:pPr>
      <w:r>
        <w:rPr>
          <w:rFonts w:ascii="宋体" w:hAnsi="宋体" w:eastAsia="宋体" w:cs="宋体"/>
          <w:color w:val="auto"/>
          <w:spacing w:val="-2"/>
          <w:sz w:val="22"/>
          <w:szCs w:val="22"/>
          <w:highlight w:val="none"/>
        </w:rPr>
        <w:t>13.9.11.7 监理机构应安排监理人员对附录</w:t>
      </w:r>
      <w:r>
        <w:rPr>
          <w:rFonts w:ascii="宋体" w:hAnsi="宋体" w:eastAsia="宋体" w:cs="宋体"/>
          <w:color w:val="auto"/>
          <w:spacing w:val="-58"/>
          <w:sz w:val="22"/>
          <w:szCs w:val="22"/>
          <w:highlight w:val="none"/>
        </w:rPr>
        <w:t xml:space="preserve"> </w:t>
      </w:r>
      <w:r>
        <w:rPr>
          <w:rFonts w:ascii="宋体" w:hAnsi="宋体" w:eastAsia="宋体" w:cs="宋体"/>
          <w:color w:val="auto"/>
          <w:spacing w:val="-2"/>
          <w:sz w:val="22"/>
          <w:szCs w:val="22"/>
          <w:highlight w:val="none"/>
        </w:rPr>
        <w:t>A</w:t>
      </w:r>
      <w:r>
        <w:rPr>
          <w:rFonts w:ascii="宋体" w:hAnsi="宋体" w:eastAsia="宋体" w:cs="宋体"/>
          <w:color w:val="auto"/>
          <w:spacing w:val="-50"/>
          <w:sz w:val="22"/>
          <w:szCs w:val="22"/>
          <w:highlight w:val="none"/>
        </w:rPr>
        <w:t xml:space="preserve"> </w:t>
      </w:r>
      <w:r>
        <w:rPr>
          <w:rFonts w:ascii="宋体" w:hAnsi="宋体" w:eastAsia="宋体" w:cs="宋体"/>
          <w:color w:val="auto"/>
          <w:spacing w:val="-2"/>
          <w:sz w:val="22"/>
          <w:szCs w:val="22"/>
          <w:highlight w:val="none"/>
        </w:rPr>
        <w:t>所列旁站项目的施工过程进</w:t>
      </w:r>
      <w:r>
        <w:rPr>
          <w:rFonts w:ascii="宋体" w:hAnsi="宋体" w:eastAsia="宋体" w:cs="宋体"/>
          <w:color w:val="auto"/>
          <w:spacing w:val="-3"/>
          <w:sz w:val="22"/>
          <w:szCs w:val="22"/>
          <w:highlight w:val="none"/>
        </w:rPr>
        <w:t>行旁站，</w:t>
      </w:r>
      <w:r>
        <w:rPr>
          <w:rFonts w:ascii="宋体" w:hAnsi="宋体" w:eastAsia="宋体" w:cs="宋体"/>
          <w:color w:val="auto"/>
          <w:sz w:val="22"/>
          <w:szCs w:val="22"/>
          <w:highlight w:val="none"/>
        </w:rPr>
        <w:t>对主要工程的关键项目进行检测见证，并填写旁站记录（格</w:t>
      </w:r>
      <w:r>
        <w:rPr>
          <w:rFonts w:ascii="宋体" w:hAnsi="宋体" w:eastAsia="宋体" w:cs="宋体"/>
          <w:color w:val="auto"/>
          <w:spacing w:val="-1"/>
          <w:sz w:val="22"/>
          <w:szCs w:val="22"/>
          <w:highlight w:val="none"/>
        </w:rPr>
        <w:t>式见附录</w:t>
      </w:r>
      <w:r>
        <w:rPr>
          <w:rFonts w:ascii="宋体" w:hAnsi="宋体" w:eastAsia="宋体" w:cs="宋体"/>
          <w:color w:val="auto"/>
          <w:spacing w:val="-53"/>
          <w:sz w:val="22"/>
          <w:szCs w:val="22"/>
          <w:highlight w:val="none"/>
        </w:rPr>
        <w:t xml:space="preserve"> </w:t>
      </w:r>
      <w:r>
        <w:rPr>
          <w:rFonts w:ascii="宋体" w:hAnsi="宋体" w:eastAsia="宋体" w:cs="宋体"/>
          <w:color w:val="auto"/>
          <w:spacing w:val="-1"/>
          <w:sz w:val="22"/>
          <w:szCs w:val="22"/>
          <w:highlight w:val="none"/>
        </w:rPr>
        <w:t>B.2</w:t>
      </w:r>
      <w:r>
        <w:rPr>
          <w:rFonts w:ascii="宋体" w:hAnsi="宋体" w:eastAsia="宋体" w:cs="宋体"/>
          <w:color w:val="auto"/>
          <w:spacing w:val="4"/>
          <w:sz w:val="22"/>
          <w:szCs w:val="22"/>
          <w:highlight w:val="none"/>
        </w:rPr>
        <w:t>），</w:t>
      </w:r>
      <w:r>
        <w:rPr>
          <w:rFonts w:ascii="宋体" w:hAnsi="宋体" w:eastAsia="宋体" w:cs="宋体"/>
          <w:color w:val="auto"/>
          <w:spacing w:val="-1"/>
          <w:sz w:val="22"/>
          <w:szCs w:val="22"/>
          <w:highlight w:val="none"/>
        </w:rPr>
        <w:t>签认检测</w:t>
      </w:r>
      <w:r>
        <w:rPr>
          <w:rFonts w:ascii="宋体" w:hAnsi="宋体" w:eastAsia="宋体" w:cs="宋体"/>
          <w:color w:val="auto"/>
          <w:spacing w:val="-2"/>
          <w:sz w:val="22"/>
          <w:szCs w:val="22"/>
          <w:highlight w:val="none"/>
        </w:rPr>
        <w:t>见证结果。</w:t>
      </w:r>
    </w:p>
    <w:p w14:paraId="5B9B24E8">
      <w:pPr>
        <w:spacing w:before="47" w:line="331" w:lineRule="auto"/>
        <w:ind w:left="2" w:right="188" w:firstLine="496"/>
        <w:rPr>
          <w:rFonts w:ascii="宋体" w:hAnsi="宋体" w:eastAsia="宋体" w:cs="宋体"/>
          <w:color w:val="auto"/>
          <w:sz w:val="22"/>
          <w:szCs w:val="22"/>
          <w:highlight w:val="none"/>
        </w:rPr>
      </w:pPr>
      <w:r>
        <w:rPr>
          <w:rFonts w:ascii="宋体" w:hAnsi="宋体" w:eastAsia="宋体" w:cs="宋体"/>
          <w:color w:val="auto"/>
          <w:spacing w:val="-1"/>
          <w:sz w:val="22"/>
          <w:szCs w:val="22"/>
          <w:highlight w:val="none"/>
        </w:rPr>
        <w:t>13.9.11.8</w:t>
      </w:r>
      <w:r>
        <w:rPr>
          <w:rFonts w:ascii="宋体" w:hAnsi="宋体" w:eastAsia="宋体" w:cs="宋体"/>
          <w:color w:val="auto"/>
          <w:spacing w:val="-37"/>
          <w:sz w:val="22"/>
          <w:szCs w:val="22"/>
          <w:highlight w:val="none"/>
        </w:rPr>
        <w:t xml:space="preserve"> </w:t>
      </w:r>
      <w:r>
        <w:rPr>
          <w:rFonts w:ascii="宋体" w:hAnsi="宋体" w:eastAsia="宋体" w:cs="宋体"/>
          <w:color w:val="auto"/>
          <w:spacing w:val="-1"/>
          <w:sz w:val="22"/>
          <w:szCs w:val="22"/>
          <w:highlight w:val="none"/>
        </w:rPr>
        <w:t>监理机构应建立分级验收机制，总监应参与超过一定规模的危险性较大</w:t>
      </w:r>
      <w:r>
        <w:rPr>
          <w:rFonts w:ascii="宋体" w:hAnsi="宋体" w:eastAsia="宋体" w:cs="宋体"/>
          <w:color w:val="auto"/>
          <w:spacing w:val="5"/>
          <w:sz w:val="22"/>
          <w:szCs w:val="22"/>
          <w:highlight w:val="none"/>
        </w:rPr>
        <w:t>分部分项工程的关键工序验收；副总监应参与危险性较大分部分项工程的</w:t>
      </w:r>
      <w:r>
        <w:rPr>
          <w:rFonts w:ascii="宋体" w:hAnsi="宋体" w:eastAsia="宋体" w:cs="宋体"/>
          <w:color w:val="auto"/>
          <w:spacing w:val="4"/>
          <w:sz w:val="22"/>
          <w:szCs w:val="22"/>
          <w:highlight w:val="none"/>
        </w:rPr>
        <w:t>关键工序验</w:t>
      </w:r>
      <w:r>
        <w:rPr>
          <w:rFonts w:ascii="宋体" w:hAnsi="宋体" w:eastAsia="宋体" w:cs="宋体"/>
          <w:color w:val="auto"/>
          <w:spacing w:val="5"/>
          <w:sz w:val="22"/>
          <w:szCs w:val="22"/>
          <w:highlight w:val="none"/>
        </w:rPr>
        <w:t>收。监理机构应编制《关键工序验收责任清单》，明确规定参与工序验收</w:t>
      </w:r>
      <w:r>
        <w:rPr>
          <w:rFonts w:ascii="宋体" w:hAnsi="宋体" w:eastAsia="宋体" w:cs="宋体"/>
          <w:color w:val="auto"/>
          <w:spacing w:val="4"/>
          <w:sz w:val="22"/>
          <w:szCs w:val="22"/>
          <w:highlight w:val="none"/>
        </w:rPr>
        <w:t>的各层级监</w:t>
      </w:r>
      <w:r>
        <w:rPr>
          <w:rFonts w:ascii="宋体" w:hAnsi="宋体" w:eastAsia="宋体" w:cs="宋体"/>
          <w:color w:val="auto"/>
          <w:spacing w:val="2"/>
          <w:sz w:val="22"/>
          <w:szCs w:val="22"/>
          <w:highlight w:val="none"/>
        </w:rPr>
        <w:t>理人员及职责范围，涵盖项目工程重难点。总监/</w:t>
      </w:r>
      <w:r>
        <w:rPr>
          <w:rFonts w:ascii="宋体" w:hAnsi="宋体" w:eastAsia="宋体" w:cs="宋体"/>
          <w:color w:val="auto"/>
          <w:spacing w:val="1"/>
          <w:sz w:val="22"/>
          <w:szCs w:val="22"/>
          <w:highlight w:val="none"/>
        </w:rPr>
        <w:t>副总监参与的验收应形成专项记录，</w:t>
      </w:r>
      <w:r>
        <w:rPr>
          <w:rFonts w:ascii="宋体" w:hAnsi="宋体" w:eastAsia="宋体" w:cs="宋体"/>
          <w:color w:val="auto"/>
          <w:spacing w:val="-1"/>
          <w:sz w:val="22"/>
          <w:szCs w:val="22"/>
          <w:highlight w:val="none"/>
        </w:rPr>
        <w:t>作为质量责任追溯依据。</w:t>
      </w:r>
    </w:p>
    <w:p w14:paraId="6124F866">
      <w:pPr>
        <w:spacing w:before="179" w:line="325" w:lineRule="auto"/>
        <w:ind w:right="188" w:firstLine="498"/>
        <w:rPr>
          <w:rFonts w:ascii="宋体" w:hAnsi="宋体" w:eastAsia="宋体" w:cs="宋体"/>
          <w:color w:val="auto"/>
          <w:sz w:val="22"/>
          <w:szCs w:val="22"/>
          <w:highlight w:val="none"/>
        </w:rPr>
      </w:pPr>
      <w:r>
        <w:rPr>
          <w:rFonts w:ascii="宋体" w:hAnsi="宋体" w:eastAsia="宋体" w:cs="宋体"/>
          <w:color w:val="auto"/>
          <w:spacing w:val="10"/>
          <w:sz w:val="22"/>
          <w:szCs w:val="22"/>
          <w:highlight w:val="none"/>
        </w:rPr>
        <w:t>13.9.11.9 监理机构应督促施工单位严格执行《广东省公路工程施工标准化指</w:t>
      </w:r>
      <w:r>
        <w:rPr>
          <w:rFonts w:ascii="宋体" w:hAnsi="宋体" w:eastAsia="宋体" w:cs="宋体"/>
          <w:color w:val="auto"/>
          <w:spacing w:val="5"/>
          <w:sz w:val="22"/>
          <w:szCs w:val="22"/>
          <w:highlight w:val="none"/>
        </w:rPr>
        <w:t>南》、《广东省高速公路公路施工安全标准化指南》和施工过程中建设单位下</w:t>
      </w:r>
      <w:r>
        <w:rPr>
          <w:rFonts w:ascii="宋体" w:hAnsi="宋体" w:eastAsia="宋体" w:cs="宋体"/>
          <w:color w:val="auto"/>
          <w:spacing w:val="4"/>
          <w:sz w:val="22"/>
          <w:szCs w:val="22"/>
          <w:highlight w:val="none"/>
        </w:rPr>
        <w:t>发的工</w:t>
      </w:r>
      <w:r>
        <w:rPr>
          <w:rFonts w:ascii="宋体" w:hAnsi="宋体" w:eastAsia="宋体" w:cs="宋体"/>
          <w:color w:val="auto"/>
          <w:spacing w:val="5"/>
          <w:sz w:val="22"/>
          <w:szCs w:val="22"/>
          <w:highlight w:val="none"/>
        </w:rPr>
        <w:t>程管理手册（或创新工艺工法要求）、标准化和标杆管理、技术规范的各项规</w:t>
      </w:r>
      <w:r>
        <w:rPr>
          <w:rFonts w:ascii="宋体" w:hAnsi="宋体" w:eastAsia="宋体" w:cs="宋体"/>
          <w:color w:val="auto"/>
          <w:spacing w:val="4"/>
          <w:sz w:val="22"/>
          <w:szCs w:val="22"/>
          <w:highlight w:val="none"/>
        </w:rPr>
        <w:t>定，以</w:t>
      </w:r>
      <w:r>
        <w:rPr>
          <w:rFonts w:ascii="宋体" w:hAnsi="宋体" w:eastAsia="宋体" w:cs="宋体"/>
          <w:color w:val="auto"/>
          <w:sz w:val="22"/>
          <w:szCs w:val="22"/>
          <w:highlight w:val="none"/>
        </w:rPr>
        <w:t>及在建设过程中建设单位提出的工艺工法要求，以保证达到</w:t>
      </w:r>
      <w:r>
        <w:rPr>
          <w:rFonts w:ascii="宋体" w:hAnsi="宋体" w:eastAsia="宋体" w:cs="宋体"/>
          <w:color w:val="auto"/>
          <w:spacing w:val="-1"/>
          <w:sz w:val="22"/>
          <w:szCs w:val="22"/>
          <w:highlight w:val="none"/>
        </w:rPr>
        <w:t>合同规定的质量标准。</w:t>
      </w:r>
    </w:p>
    <w:p w14:paraId="012065F4">
      <w:pPr>
        <w:spacing w:before="180" w:line="360" w:lineRule="auto"/>
        <w:ind w:firstLine="499"/>
        <w:jc w:val="both"/>
        <w:rPr>
          <w:rFonts w:ascii="宋体" w:hAnsi="宋体" w:eastAsia="宋体" w:cs="宋体"/>
          <w:color w:val="auto"/>
          <w:sz w:val="22"/>
          <w:szCs w:val="22"/>
          <w:highlight w:val="none"/>
        </w:rPr>
      </w:pPr>
      <w:r>
        <w:rPr>
          <w:rFonts w:ascii="宋体" w:hAnsi="宋体" w:eastAsia="宋体" w:cs="宋体"/>
          <w:color w:val="auto"/>
          <w:spacing w:val="-2"/>
          <w:sz w:val="22"/>
          <w:szCs w:val="22"/>
          <w:highlight w:val="none"/>
        </w:rPr>
        <w:t>13.9.12</w:t>
      </w:r>
      <w:r>
        <w:rPr>
          <w:rFonts w:ascii="宋体" w:hAnsi="宋体" w:eastAsia="宋体" w:cs="宋体"/>
          <w:color w:val="auto"/>
          <w:spacing w:val="-48"/>
          <w:sz w:val="22"/>
          <w:szCs w:val="22"/>
          <w:highlight w:val="none"/>
        </w:rPr>
        <w:t xml:space="preserve"> </w:t>
      </w:r>
      <w:r>
        <w:rPr>
          <w:rFonts w:ascii="宋体" w:hAnsi="宋体" w:eastAsia="宋体" w:cs="宋体"/>
          <w:color w:val="auto"/>
          <w:spacing w:val="-2"/>
          <w:sz w:val="22"/>
          <w:szCs w:val="22"/>
          <w:highlight w:val="none"/>
        </w:rPr>
        <w:t>监理人应协助发包人开展项目的成本调研及造价管理工作。包含现场调研、</w:t>
      </w:r>
      <w:r>
        <w:rPr>
          <w:rFonts w:ascii="宋体" w:hAnsi="宋体" w:eastAsia="宋体" w:cs="宋体"/>
          <w:color w:val="auto"/>
          <w:spacing w:val="5"/>
          <w:sz w:val="22"/>
          <w:szCs w:val="22"/>
          <w:highlight w:val="none"/>
        </w:rPr>
        <w:t>现场数据、施工日志、监理日志、收集，整理、按发包人要求整理上报，审核承</w:t>
      </w:r>
      <w:r>
        <w:rPr>
          <w:rFonts w:ascii="宋体" w:hAnsi="宋体" w:eastAsia="宋体" w:cs="宋体"/>
          <w:color w:val="auto"/>
          <w:spacing w:val="4"/>
          <w:sz w:val="22"/>
          <w:szCs w:val="22"/>
          <w:highlight w:val="none"/>
        </w:rPr>
        <w:t>包人</w:t>
      </w:r>
      <w:r>
        <w:rPr>
          <w:rFonts w:ascii="宋体" w:hAnsi="宋体" w:eastAsia="宋体" w:cs="宋体"/>
          <w:color w:val="auto"/>
          <w:spacing w:val="5"/>
          <w:sz w:val="22"/>
          <w:szCs w:val="22"/>
          <w:highlight w:val="none"/>
        </w:rPr>
        <w:t>报送的各种资料，按发包人要求协助发包人开展造价管理工作，经监理人审核的</w:t>
      </w:r>
      <w:r>
        <w:rPr>
          <w:rFonts w:ascii="宋体" w:hAnsi="宋体" w:eastAsia="宋体" w:cs="宋体"/>
          <w:color w:val="auto"/>
          <w:spacing w:val="4"/>
          <w:sz w:val="22"/>
          <w:szCs w:val="22"/>
          <w:highlight w:val="none"/>
        </w:rPr>
        <w:t>工程</w:t>
      </w:r>
      <w:r>
        <w:rPr>
          <w:rFonts w:ascii="宋体" w:hAnsi="宋体" w:eastAsia="宋体" w:cs="宋体"/>
          <w:color w:val="auto"/>
          <w:sz w:val="22"/>
          <w:szCs w:val="22"/>
          <w:highlight w:val="none"/>
        </w:rPr>
        <w:t>造价文件质量以《广东省公路工程造价标准化管理指南》（粤交基</w:t>
      </w:r>
      <w:r>
        <w:rPr>
          <w:rFonts w:ascii="宋体" w:hAnsi="宋体" w:eastAsia="宋体" w:cs="宋体"/>
          <w:color w:val="auto"/>
          <w:spacing w:val="-1"/>
          <w:sz w:val="22"/>
          <w:szCs w:val="22"/>
          <w:highlight w:val="none"/>
        </w:rPr>
        <w:t>〔2022〕483</w:t>
      </w:r>
      <w:r>
        <w:rPr>
          <w:rFonts w:ascii="宋体" w:hAnsi="宋体" w:eastAsia="宋体" w:cs="宋体"/>
          <w:color w:val="auto"/>
          <w:spacing w:val="-45"/>
          <w:sz w:val="22"/>
          <w:szCs w:val="22"/>
          <w:highlight w:val="none"/>
        </w:rPr>
        <w:t xml:space="preserve"> </w:t>
      </w:r>
      <w:r>
        <w:rPr>
          <w:rFonts w:ascii="宋体" w:hAnsi="宋体" w:eastAsia="宋体" w:cs="宋体"/>
          <w:color w:val="auto"/>
          <w:spacing w:val="-1"/>
          <w:sz w:val="22"/>
          <w:szCs w:val="22"/>
          <w:highlight w:val="none"/>
        </w:rPr>
        <w:t>号）质</w:t>
      </w:r>
      <w:r>
        <w:rPr>
          <w:rFonts w:ascii="宋体" w:hAnsi="宋体" w:eastAsia="宋体" w:cs="宋体"/>
          <w:color w:val="auto"/>
          <w:sz w:val="22"/>
          <w:szCs w:val="22"/>
          <w:highlight w:val="none"/>
        </w:rPr>
        <w:t>量较好等级以上，造价文件质量挂钩优监优酬计</w:t>
      </w:r>
      <w:r>
        <w:rPr>
          <w:rFonts w:ascii="宋体" w:hAnsi="宋体" w:eastAsia="宋体" w:cs="宋体"/>
          <w:color w:val="auto"/>
          <w:spacing w:val="-1"/>
          <w:sz w:val="22"/>
          <w:szCs w:val="22"/>
          <w:highlight w:val="none"/>
        </w:rPr>
        <w:t>入监理服务费用中。</w:t>
      </w:r>
    </w:p>
    <w:p w14:paraId="1134312C">
      <w:pPr>
        <w:spacing w:line="360" w:lineRule="auto"/>
        <w:rPr>
          <w:rFonts w:ascii="宋体" w:hAnsi="宋体" w:eastAsia="宋体" w:cs="宋体"/>
          <w:color w:val="auto"/>
          <w:sz w:val="22"/>
          <w:szCs w:val="22"/>
          <w:highlight w:val="none"/>
        </w:rPr>
        <w:sectPr>
          <w:footerReference r:id="rId70" w:type="default"/>
          <w:pgSz w:w="11906" w:h="16839"/>
          <w:pgMar w:top="1405" w:right="1229" w:bottom="1297" w:left="1423" w:header="0" w:footer="1065" w:gutter="0"/>
          <w:pgNumType w:fmt="decimal"/>
          <w:cols w:space="720" w:num="1"/>
        </w:sectPr>
      </w:pPr>
    </w:p>
    <w:p w14:paraId="51490A96">
      <w:pPr>
        <w:spacing w:before="63" w:line="225" w:lineRule="auto"/>
        <w:ind w:left="2931"/>
        <w:outlineLvl w:val="0"/>
        <w:rPr>
          <w:rFonts w:ascii="宋体" w:hAnsi="宋体" w:eastAsia="宋体" w:cs="宋体"/>
          <w:b/>
          <w:bCs/>
          <w:color w:val="auto"/>
          <w:spacing w:val="6"/>
          <w:sz w:val="31"/>
          <w:szCs w:val="31"/>
          <w:highlight w:val="none"/>
        </w:rPr>
      </w:pPr>
      <w:bookmarkStart w:id="354" w:name="bookmark15"/>
      <w:bookmarkEnd w:id="354"/>
      <w:bookmarkStart w:id="355" w:name="_Toc26859"/>
      <w:r>
        <w:rPr>
          <w:rFonts w:ascii="宋体" w:hAnsi="宋体" w:eastAsia="宋体" w:cs="宋体"/>
          <w:b/>
          <w:bCs/>
          <w:color w:val="auto"/>
          <w:spacing w:val="6"/>
          <w:sz w:val="31"/>
          <w:szCs w:val="31"/>
          <w:highlight w:val="none"/>
        </w:rPr>
        <w:t>第三节  合同附件格式</w:t>
      </w:r>
      <w:bookmarkEnd w:id="355"/>
    </w:p>
    <w:p w14:paraId="29DBD12B">
      <w:pPr>
        <w:spacing w:line="295" w:lineRule="auto"/>
        <w:rPr>
          <w:rFonts w:ascii="Arial"/>
          <w:color w:val="auto"/>
          <w:sz w:val="21"/>
          <w:highlight w:val="none"/>
        </w:rPr>
      </w:pPr>
    </w:p>
    <w:p w14:paraId="01A80422">
      <w:pPr>
        <w:spacing w:line="295" w:lineRule="auto"/>
        <w:rPr>
          <w:rFonts w:ascii="Arial"/>
          <w:color w:val="auto"/>
          <w:sz w:val="21"/>
          <w:highlight w:val="none"/>
        </w:rPr>
      </w:pPr>
    </w:p>
    <w:p w14:paraId="159275C2">
      <w:pPr>
        <w:spacing w:before="65" w:line="227" w:lineRule="auto"/>
        <w:outlineLvl w:val="1"/>
        <w:rPr>
          <w:rFonts w:ascii="宋体" w:hAnsi="宋体" w:eastAsia="宋体" w:cs="宋体"/>
          <w:color w:val="auto"/>
          <w:sz w:val="20"/>
          <w:szCs w:val="20"/>
          <w:highlight w:val="none"/>
        </w:rPr>
      </w:pPr>
      <w:bookmarkStart w:id="356" w:name="_Toc1884"/>
      <w:bookmarkStart w:id="357" w:name="_Toc1166"/>
      <w:bookmarkStart w:id="358" w:name="_Toc9393"/>
      <w:r>
        <w:rPr>
          <w:rFonts w:ascii="宋体" w:hAnsi="宋体" w:eastAsia="宋体" w:cs="宋体"/>
          <w:b/>
          <w:bCs/>
          <w:color w:val="auto"/>
          <w:spacing w:val="8"/>
          <w:sz w:val="20"/>
          <w:szCs w:val="20"/>
          <w:highlight w:val="none"/>
        </w:rPr>
        <w:t>附件一：合同协议书（详见《交通运输部公路工程标准施工</w:t>
      </w:r>
      <w:r>
        <w:rPr>
          <w:rFonts w:ascii="宋体" w:hAnsi="宋体" w:eastAsia="宋体" w:cs="宋体"/>
          <w:b/>
          <w:bCs/>
          <w:color w:val="auto"/>
          <w:spacing w:val="7"/>
          <w:sz w:val="20"/>
          <w:szCs w:val="20"/>
          <w:highlight w:val="none"/>
        </w:rPr>
        <w:t>监理招标文件（2018</w:t>
      </w:r>
      <w:r>
        <w:rPr>
          <w:rFonts w:ascii="宋体" w:hAnsi="宋体" w:eastAsia="宋体" w:cs="宋体"/>
          <w:color w:val="auto"/>
          <w:spacing w:val="-39"/>
          <w:sz w:val="20"/>
          <w:szCs w:val="20"/>
          <w:highlight w:val="none"/>
        </w:rPr>
        <w:t xml:space="preserve"> </w:t>
      </w:r>
      <w:r>
        <w:rPr>
          <w:rFonts w:ascii="宋体" w:hAnsi="宋体" w:eastAsia="宋体" w:cs="宋体"/>
          <w:b/>
          <w:bCs/>
          <w:color w:val="auto"/>
          <w:spacing w:val="7"/>
          <w:sz w:val="20"/>
          <w:szCs w:val="20"/>
          <w:highlight w:val="none"/>
        </w:rPr>
        <w:t>年版）》</w:t>
      </w:r>
      <w:bookmarkEnd w:id="356"/>
      <w:bookmarkEnd w:id="357"/>
      <w:bookmarkEnd w:id="358"/>
    </w:p>
    <w:p w14:paraId="626B2841">
      <w:pPr>
        <w:spacing w:line="428" w:lineRule="auto"/>
        <w:rPr>
          <w:rFonts w:ascii="Arial"/>
          <w:color w:val="auto"/>
          <w:sz w:val="21"/>
          <w:highlight w:val="none"/>
        </w:rPr>
      </w:pPr>
    </w:p>
    <w:p w14:paraId="01C48178">
      <w:pPr>
        <w:spacing w:before="65" w:line="227" w:lineRule="auto"/>
        <w:outlineLvl w:val="1"/>
        <w:rPr>
          <w:rFonts w:ascii="宋体" w:hAnsi="宋体" w:eastAsia="宋体" w:cs="宋体"/>
          <w:color w:val="auto"/>
          <w:sz w:val="20"/>
          <w:szCs w:val="20"/>
          <w:highlight w:val="none"/>
        </w:rPr>
      </w:pPr>
      <w:bookmarkStart w:id="359" w:name="_Toc8408"/>
      <w:bookmarkStart w:id="360" w:name="_Toc10204"/>
      <w:bookmarkStart w:id="361" w:name="_Toc11902"/>
      <w:r>
        <w:rPr>
          <w:rFonts w:ascii="宋体" w:hAnsi="宋体" w:eastAsia="宋体" w:cs="宋体"/>
          <w:b/>
          <w:bCs/>
          <w:color w:val="auto"/>
          <w:spacing w:val="8"/>
          <w:sz w:val="20"/>
          <w:szCs w:val="20"/>
          <w:highlight w:val="none"/>
        </w:rPr>
        <w:t>附件二：廉政合同（详见《交通运输部公路工程标准施</w:t>
      </w:r>
      <w:r>
        <w:rPr>
          <w:rFonts w:ascii="宋体" w:hAnsi="宋体" w:eastAsia="宋体" w:cs="宋体"/>
          <w:b/>
          <w:bCs/>
          <w:color w:val="auto"/>
          <w:spacing w:val="7"/>
          <w:sz w:val="20"/>
          <w:szCs w:val="20"/>
          <w:highlight w:val="none"/>
        </w:rPr>
        <w:t>工监理招标文件（2018</w:t>
      </w:r>
      <w:r>
        <w:rPr>
          <w:rFonts w:ascii="宋体" w:hAnsi="宋体" w:eastAsia="宋体" w:cs="宋体"/>
          <w:color w:val="auto"/>
          <w:spacing w:val="-37"/>
          <w:sz w:val="20"/>
          <w:szCs w:val="20"/>
          <w:highlight w:val="none"/>
        </w:rPr>
        <w:t xml:space="preserve"> </w:t>
      </w:r>
      <w:r>
        <w:rPr>
          <w:rFonts w:ascii="宋体" w:hAnsi="宋体" w:eastAsia="宋体" w:cs="宋体"/>
          <w:b/>
          <w:bCs/>
          <w:color w:val="auto"/>
          <w:spacing w:val="7"/>
          <w:sz w:val="20"/>
          <w:szCs w:val="20"/>
          <w:highlight w:val="none"/>
        </w:rPr>
        <w:t>年版）》</w:t>
      </w:r>
      <w:bookmarkEnd w:id="359"/>
      <w:bookmarkEnd w:id="360"/>
      <w:bookmarkEnd w:id="361"/>
    </w:p>
    <w:p w14:paraId="79235F6D">
      <w:pPr>
        <w:spacing w:line="227" w:lineRule="auto"/>
        <w:rPr>
          <w:rFonts w:ascii="宋体" w:hAnsi="宋体" w:eastAsia="宋体" w:cs="宋体"/>
          <w:color w:val="auto"/>
          <w:sz w:val="20"/>
          <w:szCs w:val="20"/>
          <w:highlight w:val="none"/>
        </w:rPr>
        <w:sectPr>
          <w:footerReference r:id="rId71" w:type="default"/>
          <w:pgSz w:w="11906" w:h="16839"/>
          <w:pgMar w:top="1403" w:right="1785" w:bottom="1297" w:left="1440" w:header="0" w:footer="1065" w:gutter="0"/>
          <w:pgNumType w:fmt="decimal"/>
          <w:cols w:space="720" w:num="1"/>
        </w:sectPr>
      </w:pPr>
    </w:p>
    <w:p w14:paraId="0A2B3DB7">
      <w:pPr>
        <w:spacing w:before="173" w:line="263" w:lineRule="exact"/>
        <w:ind w:left="134"/>
        <w:outlineLvl w:val="1"/>
        <w:rPr>
          <w:rFonts w:ascii="宋体" w:hAnsi="宋体" w:eastAsia="宋体" w:cs="宋体"/>
          <w:b/>
          <w:bCs/>
          <w:color w:val="auto"/>
          <w:spacing w:val="8"/>
          <w:sz w:val="20"/>
          <w:szCs w:val="20"/>
          <w:highlight w:val="none"/>
        </w:rPr>
      </w:pPr>
      <w:bookmarkStart w:id="362" w:name="_Toc13519"/>
      <w:bookmarkStart w:id="363" w:name="_Toc10109"/>
      <w:bookmarkStart w:id="364" w:name="_Toc11417"/>
      <w:r>
        <w:rPr>
          <w:rFonts w:ascii="宋体" w:hAnsi="宋体" w:eastAsia="宋体" w:cs="宋体"/>
          <w:b/>
          <w:bCs/>
          <w:color w:val="auto"/>
          <w:spacing w:val="8"/>
          <w:sz w:val="20"/>
          <w:szCs w:val="20"/>
          <w:highlight w:val="none"/>
        </w:rPr>
        <w:drawing>
          <wp:anchor distT="0" distB="0" distL="0" distR="0" simplePos="0" relativeHeight="251700224" behindDoc="1" locked="0" layoutInCell="1" allowOverlap="1">
            <wp:simplePos x="0" y="0"/>
            <wp:positionH relativeFrom="column">
              <wp:posOffset>2207895</wp:posOffset>
            </wp:positionH>
            <wp:positionV relativeFrom="paragraph">
              <wp:posOffset>0</wp:posOffset>
            </wp:positionV>
            <wp:extent cx="66675" cy="304800"/>
            <wp:effectExtent l="0" t="0" r="0" b="0"/>
            <wp:wrapNone/>
            <wp:docPr id="8" name="IM 8">
              <a:hlinkClick xmlns:a="http://schemas.openxmlformats.org/drawingml/2006/main" r:id="rId120"/>
            </wp:docPr>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21"/>
                    <a:stretch>
                      <a:fillRect/>
                    </a:stretch>
                  </pic:blipFill>
                  <pic:spPr>
                    <a:xfrm>
                      <a:off x="0" y="0"/>
                      <a:ext cx="66675" cy="304800"/>
                    </a:xfrm>
                    <a:prstGeom prst="rect">
                      <a:avLst/>
                    </a:prstGeom>
                  </pic:spPr>
                </pic:pic>
              </a:graphicData>
            </a:graphic>
          </wp:anchor>
        </w:drawing>
      </w:r>
      <w:r>
        <w:rPr>
          <w:rFonts w:ascii="宋体" w:hAnsi="宋体" w:eastAsia="宋体" w:cs="宋体"/>
          <w:b/>
          <w:bCs/>
          <w:color w:val="auto"/>
          <w:spacing w:val="8"/>
          <w:sz w:val="20"/>
          <w:szCs w:val="20"/>
          <w:highlight w:val="none"/>
        </w:rPr>
        <w:t>附件三：其他主要监理人员最低要求</w:t>
      </w:r>
      <w:bookmarkEnd w:id="362"/>
      <w:bookmarkEnd w:id="363"/>
      <w:bookmarkEnd w:id="364"/>
    </w:p>
    <w:p w14:paraId="7B4530E4">
      <w:pPr>
        <w:spacing w:before="48"/>
        <w:rPr>
          <w:color w:val="auto"/>
          <w:highlight w:val="none"/>
        </w:rPr>
      </w:pPr>
    </w:p>
    <w:p w14:paraId="2722F4B0">
      <w:pPr>
        <w:spacing w:before="292" w:line="221" w:lineRule="auto"/>
        <w:ind w:left="263"/>
        <w:rPr>
          <w:rFonts w:ascii="宋体" w:hAnsi="宋体" w:eastAsia="宋体" w:cs="宋体"/>
          <w:color w:val="auto"/>
          <w:sz w:val="20"/>
          <w:szCs w:val="20"/>
          <w:highlight w:val="none"/>
        </w:rPr>
      </w:pPr>
      <w:r>
        <w:rPr>
          <w:rFonts w:ascii="宋体" w:hAnsi="宋体" w:eastAsia="宋体" w:cs="宋体"/>
          <w:color w:val="auto"/>
          <w:spacing w:val="7"/>
          <w:sz w:val="20"/>
          <w:szCs w:val="20"/>
          <w:highlight w:val="none"/>
        </w:rPr>
        <w:t>标段：</w:t>
      </w:r>
      <w:r>
        <w:rPr>
          <w:rFonts w:ascii="宋体" w:hAnsi="宋体" w:eastAsia="宋体" w:cs="宋体"/>
          <w:color w:val="auto"/>
          <w:sz w:val="20"/>
          <w:szCs w:val="20"/>
          <w:highlight w:val="none"/>
          <w:u w:val="single" w:color="auto"/>
        </w:rPr>
        <w:t xml:space="preserve">      </w:t>
      </w:r>
      <w:r>
        <w:rPr>
          <w:rFonts w:hint="eastAsia" w:ascii="宋体" w:hAnsi="宋体" w:eastAsia="宋体" w:cs="宋体"/>
          <w:color w:val="auto"/>
          <w:sz w:val="20"/>
          <w:szCs w:val="20"/>
          <w:highlight w:val="none"/>
          <w:u w:val="single" w:color="auto"/>
          <w:lang w:val="en-US" w:eastAsia="zh-CN"/>
        </w:rPr>
        <w:t>/</w:t>
      </w:r>
      <w:r>
        <w:rPr>
          <w:rFonts w:ascii="宋体" w:hAnsi="宋体" w:eastAsia="宋体" w:cs="宋体"/>
          <w:color w:val="auto"/>
          <w:sz w:val="20"/>
          <w:szCs w:val="20"/>
          <w:highlight w:val="none"/>
          <w:u w:val="single" w:color="auto"/>
        </w:rPr>
        <w:t xml:space="preserve">      </w:t>
      </w:r>
    </w:p>
    <w:tbl>
      <w:tblPr>
        <w:tblStyle w:val="17"/>
        <w:tblW w:w="957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5"/>
        <w:gridCol w:w="1146"/>
        <w:gridCol w:w="738"/>
        <w:gridCol w:w="7059"/>
      </w:tblGrid>
      <w:tr w14:paraId="3134E4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 w:hRule="atLeast"/>
        </w:trPr>
        <w:tc>
          <w:tcPr>
            <w:tcW w:w="1781" w:type="dxa"/>
            <w:gridSpan w:val="2"/>
            <w:vAlign w:val="top"/>
          </w:tcPr>
          <w:p w14:paraId="2E8B43C3">
            <w:pPr>
              <w:pStyle w:val="18"/>
              <w:spacing w:before="201" w:line="229" w:lineRule="auto"/>
              <w:ind w:left="689"/>
              <w:rPr>
                <w:color w:val="auto"/>
                <w:highlight w:val="none"/>
              </w:rPr>
            </w:pPr>
            <w:r>
              <w:rPr>
                <w:color w:val="auto"/>
                <w:spacing w:val="3"/>
                <w:highlight w:val="none"/>
              </w:rPr>
              <w:t>人员</w:t>
            </w:r>
          </w:p>
        </w:tc>
        <w:tc>
          <w:tcPr>
            <w:tcW w:w="738" w:type="dxa"/>
            <w:vAlign w:val="top"/>
          </w:tcPr>
          <w:p w14:paraId="7C1D644C">
            <w:pPr>
              <w:pStyle w:val="18"/>
              <w:spacing w:before="201" w:line="228" w:lineRule="auto"/>
              <w:ind w:left="165"/>
              <w:rPr>
                <w:color w:val="auto"/>
                <w:highlight w:val="none"/>
              </w:rPr>
            </w:pPr>
            <w:r>
              <w:rPr>
                <w:color w:val="auto"/>
                <w:spacing w:val="3"/>
                <w:highlight w:val="none"/>
              </w:rPr>
              <w:t>数量</w:t>
            </w:r>
          </w:p>
        </w:tc>
        <w:tc>
          <w:tcPr>
            <w:tcW w:w="7059" w:type="dxa"/>
            <w:vAlign w:val="top"/>
          </w:tcPr>
          <w:p w14:paraId="47014B6D">
            <w:pPr>
              <w:pStyle w:val="18"/>
              <w:spacing w:before="201" w:line="228" w:lineRule="auto"/>
              <w:ind w:left="3123"/>
              <w:rPr>
                <w:color w:val="auto"/>
                <w:highlight w:val="none"/>
              </w:rPr>
            </w:pPr>
            <w:r>
              <w:rPr>
                <w:color w:val="auto"/>
                <w:spacing w:val="5"/>
                <w:highlight w:val="none"/>
              </w:rPr>
              <w:t>资格要求</w:t>
            </w:r>
          </w:p>
        </w:tc>
      </w:tr>
      <w:tr w14:paraId="1307E3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0" w:hRule="atLeast"/>
        </w:trPr>
        <w:tc>
          <w:tcPr>
            <w:tcW w:w="635" w:type="dxa"/>
            <w:vMerge w:val="restart"/>
            <w:tcBorders>
              <w:bottom w:val="nil"/>
            </w:tcBorders>
            <w:textDirection w:val="tbRlV"/>
            <w:vAlign w:val="top"/>
          </w:tcPr>
          <w:p w14:paraId="50CD81D5">
            <w:pPr>
              <w:pStyle w:val="18"/>
              <w:spacing w:before="212" w:line="216" w:lineRule="auto"/>
              <w:ind w:left="3570"/>
              <w:rPr>
                <w:color w:val="auto"/>
                <w:highlight w:val="none"/>
              </w:rPr>
            </w:pPr>
            <w:r>
              <w:rPr>
                <w:color w:val="auto"/>
                <w:spacing w:val="8"/>
                <w:highlight w:val="none"/>
              </w:rPr>
              <w:t>专</w:t>
            </w:r>
            <w:r>
              <w:rPr>
                <w:color w:val="auto"/>
                <w:spacing w:val="55"/>
                <w:highlight w:val="none"/>
              </w:rPr>
              <w:t xml:space="preserve"> </w:t>
            </w:r>
            <w:r>
              <w:rPr>
                <w:color w:val="auto"/>
                <w:spacing w:val="8"/>
                <w:highlight w:val="none"/>
              </w:rPr>
              <w:t>业</w:t>
            </w:r>
            <w:r>
              <w:rPr>
                <w:color w:val="auto"/>
                <w:spacing w:val="51"/>
                <w:highlight w:val="none"/>
              </w:rPr>
              <w:t xml:space="preserve"> </w:t>
            </w:r>
            <w:r>
              <w:rPr>
                <w:color w:val="auto"/>
                <w:spacing w:val="8"/>
                <w:highlight w:val="none"/>
              </w:rPr>
              <w:t>监</w:t>
            </w:r>
            <w:r>
              <w:rPr>
                <w:color w:val="auto"/>
                <w:spacing w:val="52"/>
                <w:highlight w:val="none"/>
              </w:rPr>
              <w:t xml:space="preserve"> </w:t>
            </w:r>
            <w:r>
              <w:rPr>
                <w:color w:val="auto"/>
                <w:spacing w:val="8"/>
                <w:highlight w:val="none"/>
              </w:rPr>
              <w:t>理</w:t>
            </w:r>
            <w:r>
              <w:rPr>
                <w:color w:val="auto"/>
                <w:spacing w:val="51"/>
                <w:highlight w:val="none"/>
              </w:rPr>
              <w:t xml:space="preserve"> </w:t>
            </w:r>
            <w:r>
              <w:rPr>
                <w:color w:val="auto"/>
                <w:spacing w:val="8"/>
                <w:highlight w:val="none"/>
              </w:rPr>
              <w:t>工</w:t>
            </w:r>
            <w:r>
              <w:rPr>
                <w:color w:val="auto"/>
                <w:spacing w:val="51"/>
                <w:highlight w:val="none"/>
              </w:rPr>
              <w:t xml:space="preserve"> </w:t>
            </w:r>
            <w:r>
              <w:rPr>
                <w:color w:val="auto"/>
                <w:spacing w:val="8"/>
                <w:highlight w:val="none"/>
              </w:rPr>
              <w:t>程</w:t>
            </w:r>
            <w:r>
              <w:rPr>
                <w:color w:val="auto"/>
                <w:spacing w:val="51"/>
                <w:highlight w:val="none"/>
              </w:rPr>
              <w:t xml:space="preserve"> </w:t>
            </w:r>
            <w:r>
              <w:rPr>
                <w:color w:val="auto"/>
                <w:spacing w:val="8"/>
                <w:highlight w:val="none"/>
              </w:rPr>
              <w:t>师</w:t>
            </w:r>
          </w:p>
        </w:tc>
        <w:tc>
          <w:tcPr>
            <w:tcW w:w="1146" w:type="dxa"/>
            <w:vAlign w:val="top"/>
          </w:tcPr>
          <w:p w14:paraId="69C94829">
            <w:pPr>
              <w:spacing w:line="295" w:lineRule="auto"/>
              <w:rPr>
                <w:rFonts w:ascii="Arial"/>
                <w:color w:val="auto"/>
                <w:sz w:val="21"/>
                <w:highlight w:val="none"/>
              </w:rPr>
            </w:pPr>
          </w:p>
          <w:p w14:paraId="6931BC18">
            <w:pPr>
              <w:spacing w:line="295" w:lineRule="auto"/>
              <w:rPr>
                <w:rFonts w:ascii="Arial"/>
                <w:color w:val="auto"/>
                <w:sz w:val="21"/>
                <w:highlight w:val="none"/>
              </w:rPr>
            </w:pPr>
          </w:p>
          <w:p w14:paraId="7F66D069">
            <w:pPr>
              <w:pStyle w:val="18"/>
              <w:spacing w:before="65" w:line="228" w:lineRule="auto"/>
              <w:ind w:left="157"/>
              <w:rPr>
                <w:color w:val="auto"/>
                <w:highlight w:val="none"/>
              </w:rPr>
            </w:pPr>
            <w:r>
              <w:rPr>
                <w:color w:val="auto"/>
                <w:spacing w:val="6"/>
                <w:highlight w:val="none"/>
              </w:rPr>
              <w:t>路基工程</w:t>
            </w:r>
          </w:p>
        </w:tc>
        <w:tc>
          <w:tcPr>
            <w:tcW w:w="738" w:type="dxa"/>
            <w:vAlign w:val="center"/>
          </w:tcPr>
          <w:p w14:paraId="544A2D94">
            <w:pPr>
              <w:jc w:val="center"/>
              <w:rPr>
                <w:rFonts w:hint="eastAsia" w:ascii="Arial" w:eastAsia="宋体"/>
                <w:color w:val="auto"/>
                <w:sz w:val="21"/>
                <w:highlight w:val="none"/>
                <w:lang w:val="en-US" w:eastAsia="zh-CN"/>
              </w:rPr>
            </w:pPr>
            <w:r>
              <w:rPr>
                <w:rFonts w:hint="eastAsia" w:eastAsia="宋体"/>
                <w:color w:val="auto"/>
                <w:sz w:val="21"/>
                <w:highlight w:val="none"/>
                <w:lang w:val="en-US" w:eastAsia="zh-CN"/>
              </w:rPr>
              <w:t>1</w:t>
            </w:r>
          </w:p>
        </w:tc>
        <w:tc>
          <w:tcPr>
            <w:tcW w:w="7059" w:type="dxa"/>
            <w:vAlign w:val="top"/>
          </w:tcPr>
          <w:p w14:paraId="2965245C">
            <w:pPr>
              <w:pStyle w:val="18"/>
              <w:spacing w:before="120" w:line="300" w:lineRule="auto"/>
              <w:ind w:left="111" w:right="109" w:firstLine="5"/>
              <w:jc w:val="both"/>
              <w:rPr>
                <w:color w:val="auto"/>
                <w:highlight w:val="none"/>
              </w:rPr>
            </w:pPr>
            <w:r>
              <w:rPr>
                <w:color w:val="auto"/>
                <w:highlight w:val="none"/>
              </w:rPr>
              <mc:AlternateContent>
                <mc:Choice Requires="wps">
                  <w:drawing>
                    <wp:anchor distT="0" distB="0" distL="114300" distR="114300" simplePos="0" relativeHeight="251708416" behindDoc="0" locked="0" layoutInCell="1" allowOverlap="1">
                      <wp:simplePos x="0" y="0"/>
                      <wp:positionH relativeFrom="column">
                        <wp:posOffset>52705</wp:posOffset>
                      </wp:positionH>
                      <wp:positionV relativeFrom="paragraph">
                        <wp:posOffset>751840</wp:posOffset>
                      </wp:positionV>
                      <wp:extent cx="160020" cy="17907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60020" cy="179070"/>
                              </a:xfrm>
                              <a:prstGeom prst="rect">
                                <a:avLst/>
                              </a:prstGeom>
                              <a:noFill/>
                              <a:ln>
                                <a:noFill/>
                              </a:ln>
                            </wps:spPr>
                            <wps:txbx>
                              <w:txbxContent>
                                <w:p w14:paraId="5850D41D">
                                  <w:pPr>
                                    <w:tabs>
                                      <w:tab w:val="left" w:pos="231"/>
                                    </w:tabs>
                                    <w:spacing w:before="20"/>
                                    <w:ind w:left="20"/>
                                    <w:rPr>
                                      <w:rFonts w:ascii="Arial"/>
                                      <w:sz w:val="21"/>
                                    </w:rPr>
                                  </w:pPr>
                                  <w:r>
                                    <w:rPr>
                                      <w:rFonts w:ascii="Arial" w:hAnsi="Arial" w:eastAsia="Arial" w:cs="Arial"/>
                                      <w:sz w:val="21"/>
                                      <w:szCs w:val="21"/>
                                      <w:u w:val="single" w:color="auto"/>
                                    </w:rPr>
                                    <w:tab/>
                                  </w:r>
                                </w:p>
                              </w:txbxContent>
                            </wps:txbx>
                            <wps:bodyPr lIns="0" tIns="0" rIns="0" bIns="0" upright="1"/>
                          </wps:wsp>
                        </a:graphicData>
                      </a:graphic>
                    </wp:anchor>
                  </w:drawing>
                </mc:Choice>
                <mc:Fallback>
                  <w:pict>
                    <v:shape id="_x0000_s1026" o:spid="_x0000_s1026" o:spt="202" type="#_x0000_t202" style="position:absolute;left:0pt;margin-left:4.15pt;margin-top:59.2pt;height:14.1pt;width:12.6pt;z-index:251708416;mso-width-relative:page;mso-height-relative:page;" filled="f" stroked="f" coordsize="21600,21600" o:gfxdata="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smf1wAAAAgBAAAPAAAAAAAAAAEAIAAAACIAAABkcnMvZG93bnJldi54bWxQSwECFAAU&#10;AAAACACHTuJAVg+9A7kBAABxAwAADgAAAAAAAAABACAAAAAmAQAAZHJzL2Uyb0RvYy54bWxQSwUG&#10;AAAAAAYABgBZAQAAUQUAAAAA&#10;">
                      <v:fill on="f" focussize="0,0"/>
                      <v:stroke on="f"/>
                      <v:imagedata o:title=""/>
                      <o:lock v:ext="edit" aspectratio="f"/>
                      <v:textbox inset="0mm,0mm,0mm,0mm">
                        <w:txbxContent>
                          <w:p w14:paraId="5850D41D">
                            <w:pPr>
                              <w:tabs>
                                <w:tab w:val="left" w:pos="231"/>
                              </w:tabs>
                              <w:spacing w:before="20"/>
                              <w:ind w:left="20"/>
                              <w:rPr>
                                <w:rFonts w:ascii="Arial"/>
                                <w:sz w:val="21"/>
                              </w:rPr>
                            </w:pPr>
                            <w:r>
                              <w:rPr>
                                <w:rFonts w:ascii="Arial" w:hAnsi="Arial" w:eastAsia="Arial" w:cs="Arial"/>
                                <w:sz w:val="21"/>
                                <w:szCs w:val="21"/>
                                <w:u w:val="single" w:color="auto"/>
                              </w:rPr>
                              <w:tab/>
                            </w:r>
                          </w:p>
                        </w:txbxContent>
                      </v:textbox>
                    </v:shape>
                  </w:pict>
                </mc:Fallback>
              </mc:AlternateContent>
            </w:r>
            <w:r>
              <w:rPr>
                <w:color w:val="auto"/>
                <w:spacing w:val="20"/>
                <w:highlight w:val="none"/>
              </w:rPr>
              <w:t>具有交通运输部与人力资源和社会保障部用印的交通运输工程（公路工</w:t>
            </w:r>
            <w:r>
              <w:rPr>
                <w:color w:val="auto"/>
                <w:spacing w:val="13"/>
                <w:highlight w:val="none"/>
              </w:rPr>
              <w:t>程）专业监理工程师职业资格证书（或电子证书</w:t>
            </w:r>
            <w:r>
              <w:rPr>
                <w:color w:val="auto"/>
                <w:spacing w:val="-1"/>
                <w:highlight w:val="none"/>
              </w:rPr>
              <w:t>）</w:t>
            </w:r>
            <w:r>
              <w:rPr>
                <w:color w:val="auto"/>
                <w:spacing w:val="-57"/>
                <w:highlight w:val="none"/>
              </w:rPr>
              <w:t xml:space="preserve"> </w:t>
            </w:r>
            <w:r>
              <w:rPr>
                <w:color w:val="auto"/>
                <w:spacing w:val="-1"/>
                <w:highlight w:val="none"/>
              </w:rPr>
              <w:t>，</w:t>
            </w:r>
            <w:r>
              <w:rPr>
                <w:color w:val="auto"/>
                <w:spacing w:val="13"/>
                <w:highlight w:val="none"/>
              </w:rPr>
              <w:t>或具有交通运输部核发的公路工程道桥专业监理工程师资格证书；具有路桥相关专业</w:t>
            </w:r>
            <w:r>
              <w:rPr>
                <w:color w:val="auto"/>
                <w:spacing w:val="13"/>
                <w:highlight w:val="none"/>
                <w:u w:val="single" w:color="auto"/>
              </w:rPr>
              <w:t>中级及以</w:t>
            </w:r>
            <w:r>
              <w:rPr>
                <w:color w:val="auto"/>
                <w:spacing w:val="8"/>
                <w:highlight w:val="none"/>
              </w:rPr>
              <w:t>上技术职称；从事公路路基工程监理工作</w:t>
            </w:r>
            <w:r>
              <w:rPr>
                <w:color w:val="auto"/>
                <w:spacing w:val="-33"/>
                <w:highlight w:val="none"/>
              </w:rPr>
              <w:t xml:space="preserve"> </w:t>
            </w:r>
            <w:r>
              <w:rPr>
                <w:color w:val="auto"/>
                <w:spacing w:val="8"/>
                <w:highlight w:val="none"/>
              </w:rPr>
              <w:t>5</w:t>
            </w:r>
            <w:r>
              <w:rPr>
                <w:color w:val="auto"/>
                <w:spacing w:val="-37"/>
                <w:highlight w:val="none"/>
              </w:rPr>
              <w:t xml:space="preserve"> </w:t>
            </w:r>
            <w:r>
              <w:rPr>
                <w:color w:val="auto"/>
                <w:spacing w:val="8"/>
                <w:highlight w:val="none"/>
              </w:rPr>
              <w:t>年</w:t>
            </w:r>
            <w:r>
              <w:rPr>
                <w:color w:val="auto"/>
                <w:spacing w:val="7"/>
                <w:highlight w:val="none"/>
              </w:rPr>
              <w:t>以上。</w:t>
            </w:r>
          </w:p>
        </w:tc>
      </w:tr>
      <w:tr w14:paraId="724A6E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5" w:hRule="atLeast"/>
        </w:trPr>
        <w:tc>
          <w:tcPr>
            <w:tcW w:w="635" w:type="dxa"/>
            <w:vMerge w:val="continue"/>
            <w:tcBorders>
              <w:top w:val="nil"/>
              <w:bottom w:val="nil"/>
            </w:tcBorders>
            <w:textDirection w:val="tbRlV"/>
            <w:vAlign w:val="top"/>
          </w:tcPr>
          <w:p w14:paraId="21163EAC">
            <w:pPr>
              <w:rPr>
                <w:rFonts w:ascii="Arial"/>
                <w:color w:val="auto"/>
                <w:sz w:val="21"/>
                <w:highlight w:val="none"/>
              </w:rPr>
            </w:pPr>
          </w:p>
        </w:tc>
        <w:tc>
          <w:tcPr>
            <w:tcW w:w="1146" w:type="dxa"/>
            <w:vAlign w:val="top"/>
          </w:tcPr>
          <w:p w14:paraId="5351956E">
            <w:pPr>
              <w:spacing w:line="302" w:lineRule="auto"/>
              <w:rPr>
                <w:rFonts w:ascii="Arial"/>
                <w:color w:val="auto"/>
                <w:sz w:val="21"/>
                <w:highlight w:val="none"/>
              </w:rPr>
            </w:pPr>
          </w:p>
          <w:p w14:paraId="70C08525">
            <w:pPr>
              <w:spacing w:line="302" w:lineRule="auto"/>
              <w:rPr>
                <w:rFonts w:ascii="Arial"/>
                <w:color w:val="auto"/>
                <w:sz w:val="21"/>
                <w:highlight w:val="none"/>
              </w:rPr>
            </w:pPr>
          </w:p>
          <w:p w14:paraId="3D35865F">
            <w:pPr>
              <w:pStyle w:val="18"/>
              <w:spacing w:before="65" w:line="228" w:lineRule="auto"/>
              <w:ind w:left="157"/>
              <w:rPr>
                <w:color w:val="auto"/>
                <w:highlight w:val="none"/>
              </w:rPr>
            </w:pPr>
            <w:r>
              <w:rPr>
                <w:color w:val="auto"/>
                <w:spacing w:val="6"/>
                <w:highlight w:val="none"/>
              </w:rPr>
              <w:t>路面工程</w:t>
            </w:r>
          </w:p>
        </w:tc>
        <w:tc>
          <w:tcPr>
            <w:tcW w:w="738" w:type="dxa"/>
            <w:vAlign w:val="center"/>
          </w:tcPr>
          <w:p w14:paraId="5B60613B">
            <w:pPr>
              <w:jc w:val="center"/>
              <w:rPr>
                <w:rFonts w:hint="eastAsia" w:ascii="Arial" w:eastAsia="宋体"/>
                <w:color w:val="auto"/>
                <w:sz w:val="21"/>
                <w:highlight w:val="none"/>
                <w:lang w:val="en-US" w:eastAsia="zh-CN"/>
              </w:rPr>
            </w:pPr>
            <w:r>
              <w:rPr>
                <w:rFonts w:hint="eastAsia" w:eastAsia="宋体"/>
                <w:color w:val="auto"/>
                <w:sz w:val="21"/>
                <w:highlight w:val="none"/>
                <w:lang w:val="en-US" w:eastAsia="zh-CN"/>
              </w:rPr>
              <w:t>1</w:t>
            </w:r>
          </w:p>
        </w:tc>
        <w:tc>
          <w:tcPr>
            <w:tcW w:w="7059" w:type="dxa"/>
            <w:vAlign w:val="top"/>
          </w:tcPr>
          <w:p w14:paraId="554D84B5">
            <w:pPr>
              <w:pStyle w:val="18"/>
              <w:spacing w:before="135" w:line="300" w:lineRule="auto"/>
              <w:ind w:left="111" w:right="109" w:firstLine="5"/>
              <w:jc w:val="both"/>
              <w:rPr>
                <w:color w:val="auto"/>
                <w:highlight w:val="none"/>
              </w:rPr>
            </w:pPr>
            <w:r>
              <w:rPr>
                <w:color w:val="auto"/>
                <w:spacing w:val="20"/>
                <w:highlight w:val="none"/>
              </w:rPr>
              <w:t>具有交通运输部与人力资源和社会保障部用印的交通运输工程（公路工</w:t>
            </w:r>
            <w:r>
              <w:rPr>
                <w:color w:val="auto"/>
                <w:spacing w:val="13"/>
                <w:highlight w:val="none"/>
              </w:rPr>
              <w:t>程）专业监理工程师职业资格证书（或电子证书</w:t>
            </w:r>
            <w:r>
              <w:rPr>
                <w:color w:val="auto"/>
                <w:spacing w:val="-1"/>
                <w:highlight w:val="none"/>
              </w:rPr>
              <w:t>）</w:t>
            </w:r>
            <w:r>
              <w:rPr>
                <w:color w:val="auto"/>
                <w:spacing w:val="-57"/>
                <w:highlight w:val="none"/>
              </w:rPr>
              <w:t xml:space="preserve"> </w:t>
            </w:r>
            <w:r>
              <w:rPr>
                <w:color w:val="auto"/>
                <w:spacing w:val="-1"/>
                <w:highlight w:val="none"/>
              </w:rPr>
              <w:t>，</w:t>
            </w:r>
            <w:r>
              <w:rPr>
                <w:color w:val="auto"/>
                <w:spacing w:val="13"/>
                <w:highlight w:val="none"/>
              </w:rPr>
              <w:t>或具有交通运输部核发的公路工程道桥专业监理工程师资格证书；具有路桥相关专业</w:t>
            </w:r>
            <w:r>
              <w:rPr>
                <w:color w:val="auto"/>
                <w:spacing w:val="13"/>
                <w:highlight w:val="none"/>
                <w:u w:val="single" w:color="auto"/>
              </w:rPr>
              <w:t>中级及以</w:t>
            </w:r>
            <w:r>
              <w:rPr>
                <w:color w:val="auto"/>
                <w:spacing w:val="8"/>
                <w:highlight w:val="none"/>
                <w:u w:val="single" w:color="auto"/>
              </w:rPr>
              <w:t>上</w:t>
            </w:r>
            <w:r>
              <w:rPr>
                <w:color w:val="auto"/>
                <w:spacing w:val="8"/>
                <w:highlight w:val="none"/>
              </w:rPr>
              <w:t>技术职称；从事公路路面工程监理工作</w:t>
            </w:r>
            <w:r>
              <w:rPr>
                <w:color w:val="auto"/>
                <w:spacing w:val="-33"/>
                <w:highlight w:val="none"/>
              </w:rPr>
              <w:t xml:space="preserve"> </w:t>
            </w:r>
            <w:r>
              <w:rPr>
                <w:color w:val="auto"/>
                <w:spacing w:val="8"/>
                <w:highlight w:val="none"/>
              </w:rPr>
              <w:t>5</w:t>
            </w:r>
            <w:r>
              <w:rPr>
                <w:color w:val="auto"/>
                <w:spacing w:val="-37"/>
                <w:highlight w:val="none"/>
              </w:rPr>
              <w:t xml:space="preserve"> </w:t>
            </w:r>
            <w:r>
              <w:rPr>
                <w:color w:val="auto"/>
                <w:spacing w:val="8"/>
                <w:highlight w:val="none"/>
              </w:rPr>
              <w:t>年</w:t>
            </w:r>
            <w:r>
              <w:rPr>
                <w:color w:val="auto"/>
                <w:spacing w:val="7"/>
                <w:highlight w:val="none"/>
              </w:rPr>
              <w:t>以上。</w:t>
            </w:r>
          </w:p>
        </w:tc>
      </w:tr>
      <w:tr w14:paraId="644FA1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4" w:hRule="atLeast"/>
        </w:trPr>
        <w:tc>
          <w:tcPr>
            <w:tcW w:w="635" w:type="dxa"/>
            <w:vMerge w:val="continue"/>
            <w:tcBorders>
              <w:top w:val="nil"/>
              <w:bottom w:val="nil"/>
            </w:tcBorders>
            <w:textDirection w:val="tbRlV"/>
            <w:vAlign w:val="top"/>
          </w:tcPr>
          <w:p w14:paraId="31343D42">
            <w:pPr>
              <w:rPr>
                <w:rFonts w:ascii="Arial"/>
                <w:color w:val="auto"/>
                <w:sz w:val="21"/>
                <w:highlight w:val="none"/>
              </w:rPr>
            </w:pPr>
          </w:p>
        </w:tc>
        <w:tc>
          <w:tcPr>
            <w:tcW w:w="1146" w:type="dxa"/>
            <w:vAlign w:val="top"/>
          </w:tcPr>
          <w:p w14:paraId="1A0A1A4B">
            <w:pPr>
              <w:spacing w:line="302" w:lineRule="auto"/>
              <w:rPr>
                <w:rFonts w:ascii="Arial"/>
                <w:color w:val="auto"/>
                <w:sz w:val="21"/>
                <w:highlight w:val="none"/>
              </w:rPr>
            </w:pPr>
          </w:p>
          <w:p w14:paraId="0DB00348">
            <w:pPr>
              <w:spacing w:line="302" w:lineRule="auto"/>
              <w:rPr>
                <w:rFonts w:ascii="Arial"/>
                <w:color w:val="auto"/>
                <w:sz w:val="21"/>
                <w:highlight w:val="none"/>
              </w:rPr>
            </w:pPr>
          </w:p>
          <w:p w14:paraId="45EFD525">
            <w:pPr>
              <w:pStyle w:val="18"/>
              <w:spacing w:before="65" w:line="228" w:lineRule="auto"/>
              <w:ind w:left="155"/>
              <w:rPr>
                <w:color w:val="auto"/>
                <w:highlight w:val="none"/>
              </w:rPr>
            </w:pPr>
            <w:r>
              <w:rPr>
                <w:color w:val="auto"/>
                <w:spacing w:val="7"/>
                <w:highlight w:val="none"/>
              </w:rPr>
              <w:t>桥梁工程</w:t>
            </w:r>
          </w:p>
        </w:tc>
        <w:tc>
          <w:tcPr>
            <w:tcW w:w="738" w:type="dxa"/>
            <w:vAlign w:val="center"/>
          </w:tcPr>
          <w:p w14:paraId="122C6B25">
            <w:pPr>
              <w:jc w:val="center"/>
              <w:rPr>
                <w:rFonts w:hint="eastAsia" w:ascii="Arial" w:eastAsia="宋体"/>
                <w:color w:val="auto"/>
                <w:sz w:val="21"/>
                <w:highlight w:val="none"/>
                <w:lang w:val="en-US" w:eastAsia="zh-CN"/>
              </w:rPr>
            </w:pPr>
            <w:r>
              <w:rPr>
                <w:rFonts w:hint="eastAsia" w:eastAsia="宋体"/>
                <w:color w:val="auto"/>
                <w:sz w:val="21"/>
                <w:highlight w:val="none"/>
                <w:lang w:val="en-US" w:eastAsia="zh-CN"/>
              </w:rPr>
              <w:t>1</w:t>
            </w:r>
          </w:p>
        </w:tc>
        <w:tc>
          <w:tcPr>
            <w:tcW w:w="7059" w:type="dxa"/>
            <w:vAlign w:val="top"/>
          </w:tcPr>
          <w:p w14:paraId="7B0D62B3">
            <w:pPr>
              <w:pStyle w:val="18"/>
              <w:spacing w:before="134" w:line="300" w:lineRule="auto"/>
              <w:ind w:left="111" w:right="109" w:firstLine="5"/>
              <w:jc w:val="both"/>
              <w:rPr>
                <w:color w:val="auto"/>
                <w:highlight w:val="none"/>
              </w:rPr>
            </w:pPr>
            <w:r>
              <w:rPr>
                <w:color w:val="auto"/>
                <w:spacing w:val="20"/>
                <w:highlight w:val="none"/>
              </w:rPr>
              <w:t>具有交通运输部与人力资源和社会保障部用印的交通运输工程（公路工</w:t>
            </w:r>
            <w:r>
              <w:rPr>
                <w:color w:val="auto"/>
                <w:spacing w:val="13"/>
                <w:highlight w:val="none"/>
              </w:rPr>
              <w:t>程）专业监理工程师职业资格证书（或电子证书</w:t>
            </w:r>
            <w:r>
              <w:rPr>
                <w:color w:val="auto"/>
                <w:spacing w:val="-1"/>
                <w:highlight w:val="none"/>
              </w:rPr>
              <w:t>）</w:t>
            </w:r>
            <w:r>
              <w:rPr>
                <w:color w:val="auto"/>
                <w:spacing w:val="-57"/>
                <w:highlight w:val="none"/>
              </w:rPr>
              <w:t xml:space="preserve"> </w:t>
            </w:r>
            <w:r>
              <w:rPr>
                <w:color w:val="auto"/>
                <w:spacing w:val="-1"/>
                <w:highlight w:val="none"/>
              </w:rPr>
              <w:t>，</w:t>
            </w:r>
            <w:r>
              <w:rPr>
                <w:color w:val="auto"/>
                <w:spacing w:val="13"/>
                <w:highlight w:val="none"/>
              </w:rPr>
              <w:t>或具有交通运输部核发的公路工程道桥专业监理工程师资格证书；具有路桥相关专业</w:t>
            </w:r>
            <w:r>
              <w:rPr>
                <w:color w:val="auto"/>
                <w:spacing w:val="13"/>
                <w:highlight w:val="none"/>
                <w:u w:val="single" w:color="auto"/>
              </w:rPr>
              <w:t>中级及以</w:t>
            </w:r>
            <w:r>
              <w:rPr>
                <w:color w:val="auto"/>
                <w:spacing w:val="8"/>
                <w:highlight w:val="none"/>
                <w:u w:val="single" w:color="auto"/>
              </w:rPr>
              <w:t>上</w:t>
            </w:r>
            <w:r>
              <w:rPr>
                <w:color w:val="auto"/>
                <w:spacing w:val="8"/>
                <w:highlight w:val="none"/>
              </w:rPr>
              <w:t>技术职称；从事桥梁工程监理工作</w:t>
            </w:r>
            <w:r>
              <w:rPr>
                <w:color w:val="auto"/>
                <w:spacing w:val="-32"/>
                <w:highlight w:val="none"/>
              </w:rPr>
              <w:t xml:space="preserve"> </w:t>
            </w:r>
            <w:r>
              <w:rPr>
                <w:color w:val="auto"/>
                <w:spacing w:val="8"/>
                <w:highlight w:val="none"/>
              </w:rPr>
              <w:t>5 年以</w:t>
            </w:r>
            <w:r>
              <w:rPr>
                <w:color w:val="auto"/>
                <w:spacing w:val="7"/>
                <w:highlight w:val="none"/>
              </w:rPr>
              <w:t>上。</w:t>
            </w:r>
          </w:p>
        </w:tc>
      </w:tr>
      <w:tr w14:paraId="53913E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4" w:hRule="atLeast"/>
        </w:trPr>
        <w:tc>
          <w:tcPr>
            <w:tcW w:w="635" w:type="dxa"/>
            <w:vMerge w:val="continue"/>
            <w:tcBorders>
              <w:top w:val="nil"/>
              <w:bottom w:val="nil"/>
            </w:tcBorders>
            <w:textDirection w:val="tbRlV"/>
            <w:vAlign w:val="top"/>
          </w:tcPr>
          <w:p w14:paraId="2EF72C27">
            <w:pPr>
              <w:rPr>
                <w:rFonts w:ascii="Arial"/>
                <w:color w:val="auto"/>
                <w:sz w:val="21"/>
                <w:highlight w:val="none"/>
              </w:rPr>
            </w:pPr>
          </w:p>
        </w:tc>
        <w:tc>
          <w:tcPr>
            <w:tcW w:w="1146" w:type="dxa"/>
            <w:vAlign w:val="top"/>
          </w:tcPr>
          <w:p w14:paraId="1B865B72">
            <w:pPr>
              <w:spacing w:line="304" w:lineRule="auto"/>
              <w:rPr>
                <w:rFonts w:ascii="Arial"/>
                <w:color w:val="auto"/>
                <w:sz w:val="21"/>
                <w:highlight w:val="none"/>
              </w:rPr>
            </w:pPr>
          </w:p>
          <w:p w14:paraId="2869BCE1">
            <w:pPr>
              <w:spacing w:line="304" w:lineRule="auto"/>
              <w:rPr>
                <w:rFonts w:ascii="Arial"/>
                <w:color w:val="auto"/>
                <w:sz w:val="21"/>
                <w:highlight w:val="none"/>
              </w:rPr>
            </w:pPr>
          </w:p>
          <w:p w14:paraId="706C79C1">
            <w:pPr>
              <w:pStyle w:val="18"/>
              <w:spacing w:before="65" w:line="228" w:lineRule="auto"/>
              <w:ind w:left="166"/>
              <w:rPr>
                <w:color w:val="auto"/>
                <w:highlight w:val="none"/>
              </w:rPr>
            </w:pPr>
            <w:r>
              <w:rPr>
                <w:color w:val="auto"/>
                <w:spacing w:val="4"/>
                <w:highlight w:val="none"/>
              </w:rPr>
              <w:t>隧道工程</w:t>
            </w:r>
          </w:p>
        </w:tc>
        <w:tc>
          <w:tcPr>
            <w:tcW w:w="738" w:type="dxa"/>
            <w:vAlign w:val="center"/>
          </w:tcPr>
          <w:p w14:paraId="4722A2B0">
            <w:pPr>
              <w:jc w:val="center"/>
              <w:rPr>
                <w:rFonts w:hint="eastAsia" w:ascii="Arial" w:eastAsia="宋体"/>
                <w:color w:val="auto"/>
                <w:sz w:val="21"/>
                <w:highlight w:val="none"/>
                <w:lang w:val="en-US" w:eastAsia="zh-CN"/>
              </w:rPr>
            </w:pPr>
            <w:r>
              <w:rPr>
                <w:rFonts w:hint="eastAsia" w:eastAsia="宋体"/>
                <w:color w:val="auto"/>
                <w:sz w:val="21"/>
                <w:highlight w:val="none"/>
                <w:lang w:val="en-US" w:eastAsia="zh-CN"/>
              </w:rPr>
              <w:t>0</w:t>
            </w:r>
          </w:p>
        </w:tc>
        <w:tc>
          <w:tcPr>
            <w:tcW w:w="7059" w:type="dxa"/>
            <w:vAlign w:val="top"/>
          </w:tcPr>
          <w:p w14:paraId="768D6C8C">
            <w:pPr>
              <w:pStyle w:val="18"/>
              <w:spacing w:before="138" w:line="299" w:lineRule="auto"/>
              <w:ind w:left="111" w:right="109" w:firstLine="5"/>
              <w:rPr>
                <w:color w:val="auto"/>
                <w:highlight w:val="none"/>
              </w:rPr>
            </w:pPr>
            <w:r>
              <w:rPr>
                <w:color w:val="auto"/>
                <w:spacing w:val="20"/>
                <w:highlight w:val="none"/>
              </w:rPr>
              <w:t>具有交通运输部与人力资源和社会保障部用印的交通运输工程（公路工</w:t>
            </w:r>
            <w:r>
              <w:rPr>
                <w:color w:val="auto"/>
                <w:spacing w:val="13"/>
                <w:highlight w:val="none"/>
              </w:rPr>
              <w:t>程）专业监理工程师职业资格证书（或电子证书</w:t>
            </w:r>
            <w:r>
              <w:rPr>
                <w:color w:val="auto"/>
                <w:spacing w:val="-1"/>
                <w:highlight w:val="none"/>
              </w:rPr>
              <w:t>）</w:t>
            </w:r>
            <w:r>
              <w:rPr>
                <w:color w:val="auto"/>
                <w:spacing w:val="-57"/>
                <w:highlight w:val="none"/>
              </w:rPr>
              <w:t xml:space="preserve"> </w:t>
            </w:r>
            <w:r>
              <w:rPr>
                <w:color w:val="auto"/>
                <w:spacing w:val="-1"/>
                <w:highlight w:val="none"/>
              </w:rPr>
              <w:t>，</w:t>
            </w:r>
            <w:r>
              <w:rPr>
                <w:color w:val="auto"/>
                <w:spacing w:val="13"/>
                <w:highlight w:val="none"/>
              </w:rPr>
              <w:t>或具有交通运输部核发的公路工程隧道专业监理工程师资格证书；具有</w:t>
            </w:r>
            <w:r>
              <w:rPr>
                <w:color w:val="auto"/>
                <w:spacing w:val="13"/>
                <w:highlight w:val="none"/>
                <w:u w:val="single" w:color="auto"/>
              </w:rPr>
              <w:t>中级及以上</w:t>
            </w:r>
            <w:r>
              <w:rPr>
                <w:color w:val="auto"/>
                <w:spacing w:val="13"/>
                <w:highlight w:val="none"/>
              </w:rPr>
              <w:t>技术职称；</w:t>
            </w:r>
            <w:r>
              <w:rPr>
                <w:color w:val="auto"/>
                <w:spacing w:val="6"/>
                <w:highlight w:val="none"/>
              </w:rPr>
              <w:t>从事隧道工程监理工作</w:t>
            </w:r>
            <w:r>
              <w:rPr>
                <w:color w:val="auto"/>
                <w:spacing w:val="-22"/>
                <w:highlight w:val="none"/>
              </w:rPr>
              <w:t xml:space="preserve"> </w:t>
            </w:r>
            <w:r>
              <w:rPr>
                <w:color w:val="auto"/>
                <w:spacing w:val="6"/>
                <w:highlight w:val="none"/>
              </w:rPr>
              <w:t>5</w:t>
            </w:r>
            <w:r>
              <w:rPr>
                <w:color w:val="auto"/>
                <w:spacing w:val="-37"/>
                <w:highlight w:val="none"/>
              </w:rPr>
              <w:t xml:space="preserve"> </w:t>
            </w:r>
            <w:r>
              <w:rPr>
                <w:color w:val="auto"/>
                <w:spacing w:val="6"/>
                <w:highlight w:val="none"/>
              </w:rPr>
              <w:t>年以上。</w:t>
            </w:r>
          </w:p>
        </w:tc>
      </w:tr>
      <w:tr w14:paraId="13AA1F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4" w:hRule="atLeast"/>
        </w:trPr>
        <w:tc>
          <w:tcPr>
            <w:tcW w:w="635" w:type="dxa"/>
            <w:vMerge w:val="continue"/>
            <w:tcBorders>
              <w:top w:val="nil"/>
              <w:bottom w:val="nil"/>
            </w:tcBorders>
            <w:textDirection w:val="tbRlV"/>
            <w:vAlign w:val="top"/>
          </w:tcPr>
          <w:p w14:paraId="386EC1D9">
            <w:pPr>
              <w:rPr>
                <w:rFonts w:ascii="Arial"/>
                <w:color w:val="auto"/>
                <w:sz w:val="21"/>
                <w:highlight w:val="none"/>
              </w:rPr>
            </w:pPr>
          </w:p>
        </w:tc>
        <w:tc>
          <w:tcPr>
            <w:tcW w:w="1146" w:type="dxa"/>
            <w:vAlign w:val="top"/>
          </w:tcPr>
          <w:p w14:paraId="56967488">
            <w:pPr>
              <w:spacing w:line="251" w:lineRule="auto"/>
              <w:rPr>
                <w:rFonts w:ascii="Arial"/>
                <w:color w:val="auto"/>
                <w:sz w:val="21"/>
                <w:highlight w:val="none"/>
              </w:rPr>
            </w:pPr>
          </w:p>
          <w:p w14:paraId="022594D9">
            <w:pPr>
              <w:pStyle w:val="18"/>
              <w:spacing w:before="65" w:line="221" w:lineRule="auto"/>
              <w:ind w:left="156"/>
              <w:rPr>
                <w:color w:val="auto"/>
                <w:highlight w:val="none"/>
              </w:rPr>
            </w:pPr>
            <w:r>
              <w:rPr>
                <w:color w:val="auto"/>
                <w:spacing w:val="7"/>
                <w:highlight w:val="none"/>
              </w:rPr>
              <w:t>合同管理</w:t>
            </w:r>
          </w:p>
          <w:p w14:paraId="28AA7187">
            <w:pPr>
              <w:pStyle w:val="18"/>
              <w:spacing w:before="103" w:line="228" w:lineRule="auto"/>
              <w:ind w:left="520"/>
              <w:rPr>
                <w:color w:val="auto"/>
                <w:sz w:val="10"/>
                <w:szCs w:val="10"/>
                <w:highlight w:val="none"/>
              </w:rPr>
            </w:pPr>
            <w:r>
              <w:rPr>
                <w:color w:val="auto"/>
                <w:highlight w:val="none"/>
              </w:rPr>
              <w:fldChar w:fldCharType="begin"/>
            </w:r>
            <w:r>
              <w:rPr>
                <w:color w:val="auto"/>
                <w:highlight w:val="none"/>
              </w:rPr>
              <w:instrText xml:space="preserve"> HYPERLINK \l "bookmark96" </w:instrText>
            </w:r>
            <w:r>
              <w:rPr>
                <w:color w:val="auto"/>
                <w:highlight w:val="none"/>
              </w:rPr>
              <w:fldChar w:fldCharType="separate"/>
            </w:r>
            <w:r>
              <w:rPr>
                <w:color w:val="auto"/>
                <w:spacing w:val="2"/>
                <w:sz w:val="10"/>
                <w:szCs w:val="10"/>
                <w:highlight w:val="none"/>
              </w:rPr>
              <w:t>②</w:t>
            </w:r>
            <w:r>
              <w:rPr>
                <w:color w:val="auto"/>
                <w:spacing w:val="2"/>
                <w:sz w:val="10"/>
                <w:szCs w:val="10"/>
                <w:highlight w:val="none"/>
              </w:rPr>
              <w:fldChar w:fldCharType="end"/>
            </w:r>
          </w:p>
        </w:tc>
        <w:tc>
          <w:tcPr>
            <w:tcW w:w="738" w:type="dxa"/>
            <w:vAlign w:val="center"/>
          </w:tcPr>
          <w:p w14:paraId="09048934">
            <w:pPr>
              <w:jc w:val="center"/>
              <w:rPr>
                <w:rFonts w:hint="eastAsia" w:ascii="Arial" w:eastAsia="宋体"/>
                <w:color w:val="auto"/>
                <w:sz w:val="21"/>
                <w:highlight w:val="none"/>
                <w:lang w:val="en-US" w:eastAsia="zh-CN"/>
              </w:rPr>
            </w:pPr>
            <w:r>
              <w:rPr>
                <w:rFonts w:hint="eastAsia" w:eastAsia="宋体"/>
                <w:color w:val="auto"/>
                <w:sz w:val="21"/>
                <w:highlight w:val="none"/>
                <w:lang w:val="en-US" w:eastAsia="zh-CN"/>
              </w:rPr>
              <w:t>1</w:t>
            </w:r>
          </w:p>
        </w:tc>
        <w:tc>
          <w:tcPr>
            <w:tcW w:w="7059" w:type="dxa"/>
            <w:vAlign w:val="top"/>
          </w:tcPr>
          <w:p w14:paraId="1630DDF6">
            <w:pPr>
              <w:pStyle w:val="18"/>
              <w:spacing w:before="138" w:line="288" w:lineRule="auto"/>
              <w:ind w:left="111" w:right="107" w:firstLine="5"/>
              <w:jc w:val="both"/>
              <w:rPr>
                <w:color w:val="auto"/>
                <w:highlight w:val="none"/>
              </w:rPr>
            </w:pPr>
            <w:r>
              <w:rPr>
                <w:color w:val="auto"/>
                <w:spacing w:val="12"/>
                <w:highlight w:val="none"/>
              </w:rPr>
              <w:t>具有</w:t>
            </w:r>
            <w:r>
              <w:rPr>
                <w:color w:val="auto"/>
                <w:spacing w:val="-80"/>
                <w:highlight w:val="none"/>
              </w:rPr>
              <w:t xml:space="preserve"> </w:t>
            </w:r>
            <w:r>
              <w:rPr>
                <w:color w:val="auto"/>
                <w:spacing w:val="8"/>
                <w:highlight w:val="none"/>
                <w:u w:val="single" w:color="auto"/>
              </w:rPr>
              <w:t xml:space="preserve">  </w:t>
            </w:r>
            <w:r>
              <w:rPr>
                <w:rFonts w:hint="eastAsia"/>
                <w:color w:val="auto"/>
                <w:spacing w:val="8"/>
                <w:highlight w:val="none"/>
                <w:u w:val="single" w:color="auto"/>
                <w:lang w:val="en-US" w:eastAsia="zh-CN"/>
              </w:rPr>
              <w:t>一</w:t>
            </w:r>
            <w:r>
              <w:rPr>
                <w:color w:val="auto"/>
                <w:spacing w:val="8"/>
                <w:highlight w:val="none"/>
                <w:u w:val="single" w:color="auto"/>
              </w:rPr>
              <w:t xml:space="preserve">  </w:t>
            </w:r>
            <w:r>
              <w:rPr>
                <w:color w:val="auto"/>
                <w:spacing w:val="-86"/>
                <w:highlight w:val="none"/>
              </w:rPr>
              <w:t xml:space="preserve"> </w:t>
            </w:r>
            <w:r>
              <w:rPr>
                <w:color w:val="auto"/>
                <w:spacing w:val="12"/>
                <w:highlight w:val="none"/>
              </w:rPr>
              <w:t>级造价工程师注册证（交通运输工程专业，类别为公路）或交通</w:t>
            </w:r>
            <w:r>
              <w:rPr>
                <w:color w:val="auto"/>
                <w:spacing w:val="17"/>
                <w:highlight w:val="none"/>
              </w:rPr>
              <w:t>运输主管部门颁发的</w:t>
            </w:r>
            <w:r>
              <w:rPr>
                <w:color w:val="auto"/>
                <w:spacing w:val="-76"/>
                <w:highlight w:val="none"/>
              </w:rPr>
              <w:t xml:space="preserve"> </w:t>
            </w:r>
            <w:r>
              <w:rPr>
                <w:color w:val="auto"/>
                <w:spacing w:val="15"/>
                <w:highlight w:val="none"/>
                <w:u w:val="single" w:color="auto"/>
              </w:rPr>
              <w:t xml:space="preserve">  </w:t>
            </w:r>
            <w:r>
              <w:rPr>
                <w:rFonts w:hint="eastAsia"/>
                <w:color w:val="auto"/>
                <w:spacing w:val="15"/>
                <w:highlight w:val="none"/>
                <w:u w:val="single" w:color="auto"/>
                <w:lang w:val="en-US" w:eastAsia="zh-CN"/>
              </w:rPr>
              <w:t>一</w:t>
            </w:r>
            <w:r>
              <w:rPr>
                <w:color w:val="auto"/>
                <w:spacing w:val="15"/>
                <w:highlight w:val="none"/>
                <w:u w:val="single" w:color="auto"/>
              </w:rPr>
              <w:t xml:space="preserve">  </w:t>
            </w:r>
            <w:r>
              <w:rPr>
                <w:color w:val="auto"/>
                <w:spacing w:val="-88"/>
                <w:highlight w:val="none"/>
              </w:rPr>
              <w:t xml:space="preserve"> </w:t>
            </w:r>
            <w:r>
              <w:rPr>
                <w:color w:val="auto"/>
                <w:spacing w:val="17"/>
                <w:highlight w:val="none"/>
              </w:rPr>
              <w:t>级公路造价人员证书；</w:t>
            </w:r>
            <w:r>
              <w:rPr>
                <w:color w:val="auto"/>
                <w:spacing w:val="-55"/>
                <w:highlight w:val="none"/>
              </w:rPr>
              <w:t xml:space="preserve"> </w:t>
            </w:r>
            <w:r>
              <w:rPr>
                <w:color w:val="auto"/>
                <w:spacing w:val="17"/>
                <w:highlight w:val="none"/>
              </w:rPr>
              <w:t>具有</w:t>
            </w:r>
            <w:r>
              <w:rPr>
                <w:color w:val="auto"/>
                <w:spacing w:val="17"/>
                <w:highlight w:val="none"/>
                <w:u w:val="single" w:color="auto"/>
              </w:rPr>
              <w:t>中级及以上</w:t>
            </w:r>
            <w:r>
              <w:rPr>
                <w:color w:val="auto"/>
                <w:spacing w:val="17"/>
                <w:highlight w:val="none"/>
              </w:rPr>
              <w:t>技术职</w:t>
            </w:r>
            <w:r>
              <w:rPr>
                <w:color w:val="auto"/>
                <w:spacing w:val="5"/>
                <w:highlight w:val="none"/>
              </w:rPr>
              <w:t>称，至少</w:t>
            </w:r>
            <w:r>
              <w:rPr>
                <w:color w:val="auto"/>
                <w:spacing w:val="-27"/>
                <w:highlight w:val="none"/>
              </w:rPr>
              <w:t xml:space="preserve"> </w:t>
            </w:r>
            <w:r>
              <w:rPr>
                <w:color w:val="auto"/>
                <w:spacing w:val="5"/>
                <w:highlight w:val="none"/>
              </w:rPr>
              <w:t>5</w:t>
            </w:r>
            <w:r>
              <w:rPr>
                <w:color w:val="auto"/>
                <w:spacing w:val="-37"/>
                <w:highlight w:val="none"/>
              </w:rPr>
              <w:t xml:space="preserve"> </w:t>
            </w:r>
            <w:r>
              <w:rPr>
                <w:color w:val="auto"/>
                <w:spacing w:val="5"/>
                <w:highlight w:val="none"/>
              </w:rPr>
              <w:t>年工作经验。</w:t>
            </w:r>
          </w:p>
        </w:tc>
      </w:tr>
      <w:tr w14:paraId="71AE53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4" w:hRule="atLeast"/>
        </w:trPr>
        <w:tc>
          <w:tcPr>
            <w:tcW w:w="635" w:type="dxa"/>
            <w:vMerge w:val="continue"/>
            <w:tcBorders>
              <w:top w:val="nil"/>
              <w:bottom w:val="nil"/>
            </w:tcBorders>
            <w:textDirection w:val="tbRlV"/>
            <w:vAlign w:val="top"/>
          </w:tcPr>
          <w:p w14:paraId="535BBEFF">
            <w:pPr>
              <w:rPr>
                <w:rFonts w:ascii="Arial"/>
                <w:color w:val="auto"/>
                <w:sz w:val="21"/>
                <w:highlight w:val="none"/>
              </w:rPr>
            </w:pPr>
          </w:p>
        </w:tc>
        <w:tc>
          <w:tcPr>
            <w:tcW w:w="1146" w:type="dxa"/>
            <w:vAlign w:val="top"/>
          </w:tcPr>
          <w:p w14:paraId="1057CE71">
            <w:pPr>
              <w:spacing w:line="304" w:lineRule="auto"/>
              <w:rPr>
                <w:rFonts w:ascii="Arial"/>
                <w:color w:val="auto"/>
                <w:sz w:val="21"/>
                <w:highlight w:val="none"/>
              </w:rPr>
            </w:pPr>
          </w:p>
          <w:p w14:paraId="62904094">
            <w:pPr>
              <w:spacing w:line="305" w:lineRule="auto"/>
              <w:rPr>
                <w:rFonts w:ascii="Arial"/>
                <w:color w:val="auto"/>
                <w:sz w:val="21"/>
                <w:highlight w:val="none"/>
              </w:rPr>
            </w:pPr>
          </w:p>
          <w:p w14:paraId="4B759350">
            <w:pPr>
              <w:pStyle w:val="18"/>
              <w:spacing w:before="65" w:line="228" w:lineRule="auto"/>
              <w:ind w:left="156"/>
              <w:rPr>
                <w:color w:val="auto"/>
                <w:highlight w:val="none"/>
              </w:rPr>
            </w:pPr>
            <w:r>
              <w:rPr>
                <w:color w:val="auto"/>
                <w:spacing w:val="7"/>
                <w:highlight w:val="none"/>
              </w:rPr>
              <w:t>测量工程</w:t>
            </w:r>
          </w:p>
        </w:tc>
        <w:tc>
          <w:tcPr>
            <w:tcW w:w="738" w:type="dxa"/>
            <w:vAlign w:val="center"/>
          </w:tcPr>
          <w:p w14:paraId="48DACD3F">
            <w:pPr>
              <w:jc w:val="center"/>
              <w:rPr>
                <w:rFonts w:hint="eastAsia" w:ascii="Arial" w:eastAsia="宋体"/>
                <w:color w:val="auto"/>
                <w:sz w:val="21"/>
                <w:highlight w:val="none"/>
                <w:lang w:val="en-US" w:eastAsia="zh-CN"/>
              </w:rPr>
            </w:pPr>
            <w:r>
              <w:rPr>
                <w:rFonts w:hint="eastAsia" w:eastAsia="宋体"/>
                <w:color w:val="auto"/>
                <w:sz w:val="21"/>
                <w:highlight w:val="none"/>
                <w:lang w:val="en-US" w:eastAsia="zh-CN"/>
              </w:rPr>
              <w:t>1</w:t>
            </w:r>
          </w:p>
        </w:tc>
        <w:tc>
          <w:tcPr>
            <w:tcW w:w="7059" w:type="dxa"/>
            <w:vAlign w:val="top"/>
          </w:tcPr>
          <w:p w14:paraId="3E519FAB">
            <w:pPr>
              <w:pStyle w:val="18"/>
              <w:spacing w:before="138" w:line="299" w:lineRule="auto"/>
              <w:ind w:left="111" w:right="109" w:firstLine="5"/>
              <w:jc w:val="both"/>
              <w:rPr>
                <w:color w:val="auto"/>
                <w:highlight w:val="none"/>
              </w:rPr>
            </w:pPr>
            <w:r>
              <w:rPr>
                <w:color w:val="auto"/>
                <w:spacing w:val="20"/>
                <w:highlight w:val="none"/>
              </w:rPr>
              <w:t>具有交通运输部与人力资源和社会保障部用印的交通运输工程（公路工</w:t>
            </w:r>
            <w:r>
              <w:rPr>
                <w:color w:val="auto"/>
                <w:spacing w:val="13"/>
                <w:highlight w:val="none"/>
              </w:rPr>
              <w:t>程）专业监理工程师职业资格证书（或电子证书</w:t>
            </w:r>
            <w:r>
              <w:rPr>
                <w:color w:val="auto"/>
                <w:spacing w:val="-1"/>
                <w:highlight w:val="none"/>
              </w:rPr>
              <w:t>）</w:t>
            </w:r>
            <w:r>
              <w:rPr>
                <w:color w:val="auto"/>
                <w:spacing w:val="-57"/>
                <w:highlight w:val="none"/>
              </w:rPr>
              <w:t xml:space="preserve"> </w:t>
            </w:r>
            <w:r>
              <w:rPr>
                <w:color w:val="auto"/>
                <w:spacing w:val="-1"/>
                <w:highlight w:val="none"/>
              </w:rPr>
              <w:t>，</w:t>
            </w:r>
            <w:r>
              <w:rPr>
                <w:color w:val="auto"/>
                <w:spacing w:val="13"/>
                <w:highlight w:val="none"/>
              </w:rPr>
              <w:t>或具有交通运输部核发的公路工程专业监理工程师资格证书；具有路桥或测量相关专业</w:t>
            </w:r>
            <w:r>
              <w:rPr>
                <w:color w:val="auto"/>
                <w:spacing w:val="13"/>
                <w:highlight w:val="none"/>
                <w:u w:val="single" w:color="auto"/>
              </w:rPr>
              <w:t>中级及</w:t>
            </w:r>
            <w:r>
              <w:rPr>
                <w:color w:val="auto"/>
                <w:spacing w:val="7"/>
                <w:highlight w:val="none"/>
                <w:u w:val="single" w:color="auto"/>
              </w:rPr>
              <w:t>以上</w:t>
            </w:r>
            <w:r>
              <w:rPr>
                <w:color w:val="auto"/>
                <w:spacing w:val="7"/>
                <w:highlight w:val="none"/>
              </w:rPr>
              <w:t>技术职称；从事监理工作</w:t>
            </w:r>
            <w:r>
              <w:rPr>
                <w:color w:val="auto"/>
                <w:spacing w:val="-29"/>
                <w:highlight w:val="none"/>
              </w:rPr>
              <w:t xml:space="preserve"> </w:t>
            </w:r>
            <w:r>
              <w:rPr>
                <w:color w:val="auto"/>
                <w:spacing w:val="7"/>
                <w:highlight w:val="none"/>
              </w:rPr>
              <w:t>5</w:t>
            </w:r>
            <w:r>
              <w:rPr>
                <w:color w:val="auto"/>
                <w:spacing w:val="-37"/>
                <w:highlight w:val="none"/>
              </w:rPr>
              <w:t xml:space="preserve"> </w:t>
            </w:r>
            <w:r>
              <w:rPr>
                <w:color w:val="auto"/>
                <w:spacing w:val="7"/>
                <w:highlight w:val="none"/>
              </w:rPr>
              <w:t>年以上。</w:t>
            </w:r>
          </w:p>
        </w:tc>
      </w:tr>
      <w:tr w14:paraId="343021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1" w:hRule="atLeast"/>
        </w:trPr>
        <w:tc>
          <w:tcPr>
            <w:tcW w:w="635" w:type="dxa"/>
            <w:vMerge w:val="continue"/>
            <w:tcBorders>
              <w:top w:val="nil"/>
            </w:tcBorders>
            <w:textDirection w:val="tbRlV"/>
            <w:vAlign w:val="top"/>
          </w:tcPr>
          <w:p w14:paraId="2F99150E">
            <w:pPr>
              <w:rPr>
                <w:rFonts w:ascii="Arial"/>
                <w:color w:val="auto"/>
                <w:sz w:val="21"/>
                <w:highlight w:val="none"/>
              </w:rPr>
            </w:pPr>
          </w:p>
        </w:tc>
        <w:tc>
          <w:tcPr>
            <w:tcW w:w="1146" w:type="dxa"/>
            <w:vAlign w:val="top"/>
          </w:tcPr>
          <w:p w14:paraId="1AB6D198">
            <w:pPr>
              <w:spacing w:line="430" w:lineRule="auto"/>
              <w:rPr>
                <w:rFonts w:ascii="Arial"/>
                <w:color w:val="auto"/>
                <w:sz w:val="21"/>
                <w:highlight w:val="none"/>
              </w:rPr>
            </w:pPr>
          </w:p>
          <w:p w14:paraId="38C74617">
            <w:pPr>
              <w:pStyle w:val="18"/>
              <w:spacing w:before="65" w:line="228" w:lineRule="auto"/>
              <w:ind w:left="155"/>
              <w:rPr>
                <w:color w:val="auto"/>
                <w:highlight w:val="none"/>
              </w:rPr>
            </w:pPr>
            <w:r>
              <w:rPr>
                <w:color w:val="auto"/>
                <w:spacing w:val="7"/>
                <w:highlight w:val="none"/>
              </w:rPr>
              <w:t>试验检测</w:t>
            </w:r>
          </w:p>
        </w:tc>
        <w:tc>
          <w:tcPr>
            <w:tcW w:w="738" w:type="dxa"/>
            <w:vAlign w:val="center"/>
          </w:tcPr>
          <w:p w14:paraId="5F3D172F">
            <w:pPr>
              <w:jc w:val="center"/>
              <w:rPr>
                <w:rFonts w:hint="eastAsia" w:ascii="Arial" w:eastAsia="宋体"/>
                <w:color w:val="auto"/>
                <w:sz w:val="21"/>
                <w:highlight w:val="none"/>
                <w:lang w:val="en-US" w:eastAsia="zh-CN"/>
              </w:rPr>
            </w:pPr>
            <w:r>
              <w:rPr>
                <w:rFonts w:hint="eastAsia" w:eastAsia="宋体"/>
                <w:color w:val="auto"/>
                <w:sz w:val="21"/>
                <w:highlight w:val="none"/>
                <w:lang w:val="en-US" w:eastAsia="zh-CN"/>
              </w:rPr>
              <w:t>1</w:t>
            </w:r>
          </w:p>
        </w:tc>
        <w:tc>
          <w:tcPr>
            <w:tcW w:w="7059" w:type="dxa"/>
            <w:vAlign w:val="top"/>
          </w:tcPr>
          <w:p w14:paraId="47402F93">
            <w:pPr>
              <w:pStyle w:val="18"/>
              <w:spacing w:before="138" w:line="293" w:lineRule="auto"/>
              <w:ind w:left="112" w:right="109" w:firstLine="4"/>
              <w:jc w:val="both"/>
              <w:rPr>
                <w:color w:val="auto"/>
                <w:highlight w:val="none"/>
              </w:rPr>
            </w:pPr>
            <w:r>
              <w:rPr>
                <w:color w:val="auto"/>
                <w:spacing w:val="13"/>
                <w:highlight w:val="none"/>
              </w:rPr>
              <w:t>具有行政主管部门核发的公路水运试验检测师资格证书或试验检测工程师</w:t>
            </w:r>
            <w:r>
              <w:rPr>
                <w:color w:val="auto"/>
                <w:spacing w:val="12"/>
                <w:highlight w:val="none"/>
              </w:rPr>
              <w:t>证书；具有路桥相关专业</w:t>
            </w:r>
            <w:r>
              <w:rPr>
                <w:color w:val="auto"/>
                <w:spacing w:val="12"/>
                <w:highlight w:val="none"/>
                <w:u w:val="single" w:color="auto"/>
              </w:rPr>
              <w:t>中级及以上</w:t>
            </w:r>
            <w:r>
              <w:rPr>
                <w:color w:val="auto"/>
                <w:spacing w:val="12"/>
                <w:highlight w:val="none"/>
              </w:rPr>
              <w:t>技术职称；从事试验检测工作</w:t>
            </w:r>
            <w:r>
              <w:rPr>
                <w:color w:val="auto"/>
                <w:spacing w:val="-19"/>
                <w:highlight w:val="none"/>
              </w:rPr>
              <w:t xml:space="preserve"> </w:t>
            </w:r>
            <w:r>
              <w:rPr>
                <w:color w:val="auto"/>
                <w:spacing w:val="12"/>
                <w:highlight w:val="none"/>
                <w:u w:val="single" w:color="auto"/>
              </w:rPr>
              <w:t>5</w:t>
            </w:r>
            <w:r>
              <w:rPr>
                <w:color w:val="auto"/>
                <w:spacing w:val="-34"/>
                <w:highlight w:val="none"/>
                <w:u w:val="single" w:color="auto"/>
              </w:rPr>
              <w:t xml:space="preserve"> </w:t>
            </w:r>
            <w:r>
              <w:rPr>
                <w:color w:val="auto"/>
                <w:spacing w:val="12"/>
                <w:highlight w:val="none"/>
              </w:rPr>
              <w:t>年以</w:t>
            </w:r>
            <w:r>
              <w:rPr>
                <w:color w:val="auto"/>
                <w:highlight w:val="none"/>
              </w:rPr>
              <w:t>上。</w:t>
            </w:r>
          </w:p>
        </w:tc>
      </w:tr>
    </w:tbl>
    <w:p w14:paraId="02F5048C">
      <w:pPr>
        <w:spacing w:line="315" w:lineRule="auto"/>
        <w:rPr>
          <w:rFonts w:ascii="Arial"/>
          <w:color w:val="auto"/>
          <w:sz w:val="21"/>
          <w:highlight w:val="none"/>
        </w:rPr>
      </w:pPr>
    </w:p>
    <w:p w14:paraId="297930FA">
      <w:pPr>
        <w:rPr>
          <w:rFonts w:ascii="Arial"/>
          <w:color w:val="auto"/>
          <w:sz w:val="21"/>
          <w:highlight w:val="none"/>
        </w:rPr>
      </w:pPr>
      <w:r>
        <w:rPr>
          <w:rFonts w:ascii="Arial"/>
          <w:color w:val="auto"/>
          <w:sz w:val="21"/>
          <w:highlight w:val="none"/>
        </w:rPr>
        <w:br w:type="page"/>
      </w:r>
    </w:p>
    <w:p w14:paraId="2EF50D8D">
      <w:pPr>
        <w:spacing w:line="316" w:lineRule="auto"/>
        <w:rPr>
          <w:rFonts w:ascii="Arial"/>
          <w:color w:val="auto"/>
          <w:sz w:val="21"/>
          <w:highlight w:val="none"/>
        </w:rPr>
      </w:pPr>
    </w:p>
    <w:tbl>
      <w:tblPr>
        <w:tblStyle w:val="17"/>
        <w:tblW w:w="957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5"/>
        <w:gridCol w:w="1146"/>
        <w:gridCol w:w="738"/>
        <w:gridCol w:w="7059"/>
      </w:tblGrid>
      <w:tr w14:paraId="56C588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 w:hRule="atLeast"/>
        </w:trPr>
        <w:tc>
          <w:tcPr>
            <w:tcW w:w="1781" w:type="dxa"/>
            <w:gridSpan w:val="2"/>
            <w:vAlign w:val="top"/>
          </w:tcPr>
          <w:p w14:paraId="71160155">
            <w:pPr>
              <w:pStyle w:val="18"/>
              <w:spacing w:before="201" w:line="229" w:lineRule="auto"/>
              <w:ind w:left="689"/>
              <w:rPr>
                <w:color w:val="auto"/>
                <w:highlight w:val="none"/>
              </w:rPr>
            </w:pPr>
            <w:r>
              <w:rPr>
                <w:color w:val="auto"/>
                <w:spacing w:val="3"/>
                <w:highlight w:val="none"/>
              </w:rPr>
              <w:t>人员</w:t>
            </w:r>
          </w:p>
        </w:tc>
        <w:tc>
          <w:tcPr>
            <w:tcW w:w="738" w:type="dxa"/>
            <w:vAlign w:val="top"/>
          </w:tcPr>
          <w:p w14:paraId="3E8DEF22">
            <w:pPr>
              <w:pStyle w:val="18"/>
              <w:spacing w:before="201" w:line="228" w:lineRule="auto"/>
              <w:ind w:left="165"/>
              <w:rPr>
                <w:color w:val="auto"/>
                <w:highlight w:val="none"/>
              </w:rPr>
            </w:pPr>
            <w:r>
              <w:rPr>
                <w:color w:val="auto"/>
                <w:spacing w:val="3"/>
                <w:highlight w:val="none"/>
              </w:rPr>
              <w:t>数量</w:t>
            </w:r>
          </w:p>
        </w:tc>
        <w:tc>
          <w:tcPr>
            <w:tcW w:w="7059" w:type="dxa"/>
            <w:vAlign w:val="top"/>
          </w:tcPr>
          <w:p w14:paraId="1CFC019B">
            <w:pPr>
              <w:pStyle w:val="18"/>
              <w:spacing w:before="201" w:line="228" w:lineRule="auto"/>
              <w:ind w:left="3123"/>
              <w:rPr>
                <w:color w:val="auto"/>
                <w:highlight w:val="none"/>
              </w:rPr>
            </w:pPr>
            <w:r>
              <w:rPr>
                <w:color w:val="auto"/>
                <w:spacing w:val="5"/>
                <w:highlight w:val="none"/>
              </w:rPr>
              <w:t>资格要求</w:t>
            </w:r>
          </w:p>
        </w:tc>
      </w:tr>
      <w:tr w14:paraId="6BBCF1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4" w:hRule="atLeast"/>
        </w:trPr>
        <w:tc>
          <w:tcPr>
            <w:tcW w:w="635" w:type="dxa"/>
            <w:vMerge w:val="restart"/>
            <w:tcBorders>
              <w:bottom w:val="nil"/>
            </w:tcBorders>
            <w:vAlign w:val="top"/>
          </w:tcPr>
          <w:p w14:paraId="6167FDE7">
            <w:pPr>
              <w:rPr>
                <w:rFonts w:ascii="Arial"/>
                <w:color w:val="auto"/>
                <w:sz w:val="21"/>
                <w:highlight w:val="none"/>
              </w:rPr>
            </w:pPr>
          </w:p>
        </w:tc>
        <w:tc>
          <w:tcPr>
            <w:tcW w:w="1146" w:type="dxa"/>
            <w:vAlign w:val="top"/>
          </w:tcPr>
          <w:p w14:paraId="1A00A8AA">
            <w:pPr>
              <w:spacing w:line="256" w:lineRule="auto"/>
              <w:rPr>
                <w:rFonts w:ascii="Arial"/>
                <w:color w:val="auto"/>
                <w:sz w:val="21"/>
                <w:highlight w:val="none"/>
              </w:rPr>
            </w:pPr>
          </w:p>
          <w:p w14:paraId="6EBD6B0D">
            <w:pPr>
              <w:spacing w:line="256" w:lineRule="auto"/>
              <w:rPr>
                <w:rFonts w:ascii="Arial"/>
                <w:color w:val="auto"/>
                <w:sz w:val="21"/>
                <w:highlight w:val="none"/>
              </w:rPr>
            </w:pPr>
          </w:p>
          <w:p w14:paraId="2EE55DE4">
            <w:pPr>
              <w:spacing w:line="257" w:lineRule="auto"/>
              <w:rPr>
                <w:rFonts w:ascii="Arial"/>
                <w:color w:val="auto"/>
                <w:sz w:val="21"/>
                <w:highlight w:val="none"/>
              </w:rPr>
            </w:pPr>
          </w:p>
          <w:p w14:paraId="0F3AED6C">
            <w:pPr>
              <w:pStyle w:val="18"/>
              <w:spacing w:before="65" w:line="228" w:lineRule="auto"/>
              <w:ind w:left="159"/>
              <w:rPr>
                <w:color w:val="auto"/>
                <w:highlight w:val="none"/>
              </w:rPr>
            </w:pPr>
            <w:r>
              <w:rPr>
                <w:color w:val="auto"/>
                <w:spacing w:val="6"/>
                <w:highlight w:val="none"/>
              </w:rPr>
              <w:t>安全环保</w:t>
            </w:r>
          </w:p>
        </w:tc>
        <w:tc>
          <w:tcPr>
            <w:tcW w:w="738" w:type="dxa"/>
            <w:vAlign w:val="center"/>
          </w:tcPr>
          <w:p w14:paraId="2A78A967">
            <w:pPr>
              <w:jc w:val="center"/>
              <w:rPr>
                <w:rFonts w:hint="default" w:ascii="Arial" w:eastAsia="宋体"/>
                <w:color w:val="auto"/>
                <w:sz w:val="21"/>
                <w:highlight w:val="none"/>
                <w:lang w:val="en-US" w:eastAsia="zh-CN"/>
              </w:rPr>
            </w:pPr>
            <w:r>
              <w:rPr>
                <w:rFonts w:hint="eastAsia" w:eastAsia="宋体"/>
                <w:color w:val="auto"/>
                <w:sz w:val="21"/>
                <w:highlight w:val="none"/>
                <w:lang w:val="en-US" w:eastAsia="zh-CN"/>
              </w:rPr>
              <w:t>1</w:t>
            </w:r>
          </w:p>
        </w:tc>
        <w:tc>
          <w:tcPr>
            <w:tcW w:w="7059" w:type="dxa"/>
            <w:vAlign w:val="top"/>
          </w:tcPr>
          <w:p w14:paraId="3CBBF616">
            <w:pPr>
              <w:pStyle w:val="18"/>
              <w:spacing w:before="120" w:line="309" w:lineRule="auto"/>
              <w:ind w:left="111" w:right="107" w:firstLine="5"/>
              <w:jc w:val="both"/>
              <w:rPr>
                <w:color w:val="auto"/>
                <w:highlight w:val="none"/>
              </w:rPr>
            </w:pPr>
            <w:r>
              <w:rPr>
                <w:color w:val="auto"/>
                <w:spacing w:val="20"/>
                <w:highlight w:val="none"/>
              </w:rPr>
              <w:t>具有交通运输部与人力资源和社会保障部用印的交通运输工程（公路工</w:t>
            </w:r>
            <w:r>
              <w:rPr>
                <w:color w:val="auto"/>
                <w:spacing w:val="13"/>
                <w:highlight w:val="none"/>
              </w:rPr>
              <w:t>程）专业监理工程师职业资格证书（或电子证书</w:t>
            </w:r>
            <w:r>
              <w:rPr>
                <w:color w:val="auto"/>
                <w:spacing w:val="-1"/>
                <w:highlight w:val="none"/>
              </w:rPr>
              <w:t>）</w:t>
            </w:r>
            <w:r>
              <w:rPr>
                <w:color w:val="auto"/>
                <w:spacing w:val="-57"/>
                <w:highlight w:val="none"/>
              </w:rPr>
              <w:t xml:space="preserve"> </w:t>
            </w:r>
            <w:r>
              <w:rPr>
                <w:color w:val="auto"/>
                <w:spacing w:val="-1"/>
                <w:highlight w:val="none"/>
              </w:rPr>
              <w:t>，</w:t>
            </w:r>
            <w:r>
              <w:rPr>
                <w:color w:val="auto"/>
                <w:spacing w:val="13"/>
                <w:highlight w:val="none"/>
              </w:rPr>
              <w:t>或具有交通运输部核发的公路工程专业监理工程师资格证书；相关专业</w:t>
            </w:r>
            <w:r>
              <w:rPr>
                <w:color w:val="auto"/>
                <w:spacing w:val="13"/>
                <w:highlight w:val="none"/>
                <w:u w:val="single" w:color="auto"/>
              </w:rPr>
              <w:t>中级及以上</w:t>
            </w:r>
            <w:r>
              <w:rPr>
                <w:color w:val="auto"/>
                <w:spacing w:val="13"/>
                <w:highlight w:val="none"/>
              </w:rPr>
              <w:t>技术职称或应急管理部（原国家安全生产监督管理总局）核发的中级及以上注册安全</w:t>
            </w:r>
            <w:r>
              <w:rPr>
                <w:color w:val="auto"/>
                <w:spacing w:val="7"/>
                <w:highlight w:val="none"/>
              </w:rPr>
              <w:t>工程师证书；从事监理工作</w:t>
            </w:r>
            <w:r>
              <w:rPr>
                <w:color w:val="auto"/>
                <w:spacing w:val="-31"/>
                <w:highlight w:val="none"/>
              </w:rPr>
              <w:t xml:space="preserve"> </w:t>
            </w:r>
            <w:r>
              <w:rPr>
                <w:color w:val="auto"/>
                <w:spacing w:val="7"/>
                <w:highlight w:val="none"/>
                <w:u w:val="single" w:color="auto"/>
              </w:rPr>
              <w:t>5</w:t>
            </w:r>
            <w:r>
              <w:rPr>
                <w:color w:val="auto"/>
                <w:spacing w:val="-37"/>
                <w:highlight w:val="none"/>
                <w:u w:val="single" w:color="auto"/>
              </w:rPr>
              <w:t xml:space="preserve"> </w:t>
            </w:r>
            <w:r>
              <w:rPr>
                <w:color w:val="auto"/>
                <w:spacing w:val="7"/>
                <w:highlight w:val="none"/>
              </w:rPr>
              <w:t>年以上。</w:t>
            </w:r>
          </w:p>
        </w:tc>
      </w:tr>
      <w:tr w14:paraId="672450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4" w:hRule="atLeast"/>
        </w:trPr>
        <w:tc>
          <w:tcPr>
            <w:tcW w:w="635" w:type="dxa"/>
            <w:vMerge w:val="continue"/>
            <w:tcBorders>
              <w:top w:val="nil"/>
              <w:bottom w:val="nil"/>
            </w:tcBorders>
            <w:vAlign w:val="top"/>
          </w:tcPr>
          <w:p w14:paraId="46CBB481">
            <w:pPr>
              <w:rPr>
                <w:rFonts w:ascii="Arial"/>
                <w:color w:val="auto"/>
                <w:sz w:val="21"/>
                <w:highlight w:val="none"/>
              </w:rPr>
            </w:pPr>
          </w:p>
        </w:tc>
        <w:tc>
          <w:tcPr>
            <w:tcW w:w="1146" w:type="dxa"/>
            <w:vAlign w:val="top"/>
          </w:tcPr>
          <w:p w14:paraId="664688B7">
            <w:pPr>
              <w:spacing w:line="413" w:lineRule="auto"/>
              <w:rPr>
                <w:rFonts w:ascii="Arial"/>
                <w:color w:val="auto"/>
                <w:sz w:val="21"/>
                <w:highlight w:val="none"/>
              </w:rPr>
            </w:pPr>
          </w:p>
          <w:p w14:paraId="7A978848">
            <w:pPr>
              <w:pStyle w:val="18"/>
              <w:spacing w:before="65" w:line="334" w:lineRule="auto"/>
              <w:ind w:left="369" w:right="155" w:hanging="210"/>
              <w:rPr>
                <w:color w:val="auto"/>
                <w:highlight w:val="none"/>
              </w:rPr>
            </w:pPr>
            <w:r>
              <w:rPr>
                <w:color w:val="auto"/>
                <w:spacing w:val="6"/>
                <w:highlight w:val="none"/>
              </w:rPr>
              <w:t>交通安全</w:t>
            </w:r>
            <w:r>
              <w:rPr>
                <w:color w:val="auto"/>
                <w:spacing w:val="3"/>
                <w:highlight w:val="none"/>
              </w:rPr>
              <w:t>设施</w:t>
            </w:r>
          </w:p>
        </w:tc>
        <w:tc>
          <w:tcPr>
            <w:tcW w:w="738" w:type="dxa"/>
            <w:vAlign w:val="center"/>
          </w:tcPr>
          <w:p w14:paraId="2B05870C">
            <w:pPr>
              <w:jc w:val="center"/>
              <w:rPr>
                <w:rFonts w:hint="eastAsia" w:ascii="Arial" w:eastAsia="宋体"/>
                <w:color w:val="auto"/>
                <w:sz w:val="21"/>
                <w:highlight w:val="none"/>
                <w:lang w:val="en-US" w:eastAsia="zh-CN"/>
              </w:rPr>
            </w:pPr>
            <w:r>
              <w:rPr>
                <w:rFonts w:hint="eastAsia" w:eastAsia="宋体"/>
                <w:color w:val="auto"/>
                <w:sz w:val="21"/>
                <w:highlight w:val="none"/>
                <w:lang w:val="en-US" w:eastAsia="zh-CN"/>
              </w:rPr>
              <w:t>1</w:t>
            </w:r>
          </w:p>
        </w:tc>
        <w:tc>
          <w:tcPr>
            <w:tcW w:w="7059" w:type="dxa"/>
            <w:vAlign w:val="top"/>
          </w:tcPr>
          <w:p w14:paraId="6F29346B">
            <w:pPr>
              <w:pStyle w:val="18"/>
              <w:spacing w:before="120" w:line="332" w:lineRule="auto"/>
              <w:ind w:left="111" w:right="109" w:firstLine="5"/>
              <w:rPr>
                <w:color w:val="auto"/>
                <w:highlight w:val="none"/>
              </w:rPr>
            </w:pPr>
            <w:r>
              <w:rPr>
                <w:color w:val="auto"/>
                <w:spacing w:val="20"/>
                <w:highlight w:val="none"/>
              </w:rPr>
              <w:t>具有交通运输部和人力资源和社会保障部用印的交通运输工程（公路工</w:t>
            </w:r>
            <w:r>
              <w:rPr>
                <w:color w:val="auto"/>
                <w:spacing w:val="13"/>
                <w:highlight w:val="none"/>
              </w:rPr>
              <w:t>程）专业监理工程师职业资格证书（或电子证书）或具有交通运输部核发</w:t>
            </w:r>
          </w:p>
          <w:p w14:paraId="6505D576">
            <w:pPr>
              <w:pStyle w:val="18"/>
              <w:spacing w:line="274" w:lineRule="auto"/>
              <w:ind w:left="112" w:right="109" w:firstLine="17"/>
              <w:rPr>
                <w:color w:val="auto"/>
                <w:highlight w:val="none"/>
              </w:rPr>
            </w:pPr>
            <w:r>
              <w:rPr>
                <w:color w:val="auto"/>
                <w:spacing w:val="13"/>
                <w:highlight w:val="none"/>
              </w:rPr>
              <w:t>的专业监理工程师资格证书；具有路桥相关专业</w:t>
            </w:r>
            <w:r>
              <w:rPr>
                <w:color w:val="auto"/>
                <w:spacing w:val="13"/>
                <w:highlight w:val="none"/>
                <w:u w:val="single" w:color="auto"/>
              </w:rPr>
              <w:t>中级及以上</w:t>
            </w:r>
            <w:r>
              <w:rPr>
                <w:color w:val="auto"/>
                <w:spacing w:val="13"/>
                <w:highlight w:val="none"/>
              </w:rPr>
              <w:t>技术职</w:t>
            </w:r>
            <w:r>
              <w:rPr>
                <w:color w:val="auto"/>
                <w:spacing w:val="12"/>
                <w:highlight w:val="none"/>
              </w:rPr>
              <w:t>称；从</w:t>
            </w:r>
            <w:r>
              <w:rPr>
                <w:color w:val="auto"/>
                <w:spacing w:val="7"/>
                <w:highlight w:val="none"/>
              </w:rPr>
              <w:t>事交通安全设施监理工作</w:t>
            </w:r>
            <w:r>
              <w:rPr>
                <w:color w:val="auto"/>
                <w:spacing w:val="-36"/>
                <w:highlight w:val="none"/>
              </w:rPr>
              <w:t xml:space="preserve"> </w:t>
            </w:r>
            <w:r>
              <w:rPr>
                <w:color w:val="auto"/>
                <w:spacing w:val="7"/>
                <w:highlight w:val="none"/>
                <w:u w:val="single" w:color="auto"/>
              </w:rPr>
              <w:t>5</w:t>
            </w:r>
            <w:r>
              <w:rPr>
                <w:color w:val="auto"/>
                <w:spacing w:val="-37"/>
                <w:highlight w:val="none"/>
                <w:u w:val="single" w:color="auto"/>
              </w:rPr>
              <w:t xml:space="preserve"> </w:t>
            </w:r>
            <w:r>
              <w:rPr>
                <w:color w:val="auto"/>
                <w:spacing w:val="7"/>
                <w:highlight w:val="none"/>
              </w:rPr>
              <w:t>年以上。</w:t>
            </w:r>
          </w:p>
        </w:tc>
      </w:tr>
      <w:tr w14:paraId="5B2FAE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635" w:type="dxa"/>
            <w:vMerge w:val="continue"/>
            <w:tcBorders>
              <w:top w:val="nil"/>
              <w:bottom w:val="nil"/>
            </w:tcBorders>
            <w:vAlign w:val="top"/>
          </w:tcPr>
          <w:p w14:paraId="44E3630F">
            <w:pPr>
              <w:rPr>
                <w:rFonts w:ascii="Arial"/>
                <w:color w:val="auto"/>
                <w:sz w:val="21"/>
                <w:highlight w:val="none"/>
              </w:rPr>
            </w:pPr>
          </w:p>
        </w:tc>
        <w:tc>
          <w:tcPr>
            <w:tcW w:w="1146" w:type="dxa"/>
            <w:vAlign w:val="top"/>
          </w:tcPr>
          <w:p w14:paraId="413E30D1">
            <w:pPr>
              <w:pStyle w:val="18"/>
              <w:spacing w:before="122" w:line="218" w:lineRule="auto"/>
              <w:ind w:left="155"/>
              <w:rPr>
                <w:color w:val="auto"/>
                <w:highlight w:val="none"/>
              </w:rPr>
            </w:pPr>
            <w:r>
              <w:rPr>
                <w:color w:val="auto"/>
                <w:spacing w:val="7"/>
                <w:highlight w:val="none"/>
              </w:rPr>
              <w:t>通信系统</w:t>
            </w:r>
          </w:p>
        </w:tc>
        <w:tc>
          <w:tcPr>
            <w:tcW w:w="738" w:type="dxa"/>
            <w:vMerge w:val="restart"/>
            <w:tcBorders>
              <w:bottom w:val="nil"/>
            </w:tcBorders>
            <w:vAlign w:val="center"/>
          </w:tcPr>
          <w:p w14:paraId="611855D8">
            <w:pPr>
              <w:jc w:val="center"/>
              <w:rPr>
                <w:rFonts w:hint="eastAsia" w:ascii="Arial" w:eastAsia="宋体"/>
                <w:color w:val="auto"/>
                <w:sz w:val="21"/>
                <w:highlight w:val="none"/>
                <w:lang w:val="en-US" w:eastAsia="zh-CN"/>
              </w:rPr>
            </w:pPr>
            <w:r>
              <w:rPr>
                <w:rFonts w:hint="eastAsia" w:eastAsia="宋体"/>
                <w:color w:val="auto"/>
                <w:sz w:val="21"/>
                <w:highlight w:val="none"/>
                <w:lang w:val="en-US" w:eastAsia="zh-CN"/>
              </w:rPr>
              <w:t>0</w:t>
            </w:r>
          </w:p>
        </w:tc>
        <w:tc>
          <w:tcPr>
            <w:tcW w:w="7059" w:type="dxa"/>
            <w:vMerge w:val="restart"/>
            <w:tcBorders>
              <w:bottom w:val="nil"/>
            </w:tcBorders>
            <w:vAlign w:val="top"/>
          </w:tcPr>
          <w:p w14:paraId="69361527">
            <w:pPr>
              <w:spacing w:line="250" w:lineRule="auto"/>
              <w:rPr>
                <w:rFonts w:ascii="Arial"/>
                <w:color w:val="auto"/>
                <w:sz w:val="21"/>
                <w:highlight w:val="none"/>
              </w:rPr>
            </w:pPr>
          </w:p>
          <w:p w14:paraId="5C9C5801">
            <w:pPr>
              <w:pStyle w:val="18"/>
              <w:spacing w:before="65" w:line="333" w:lineRule="auto"/>
              <w:ind w:left="111" w:right="109" w:firstLine="5"/>
              <w:jc w:val="both"/>
              <w:rPr>
                <w:color w:val="auto"/>
                <w:highlight w:val="none"/>
              </w:rPr>
            </w:pPr>
            <w:r>
              <w:rPr>
                <w:color w:val="auto"/>
                <w:spacing w:val="20"/>
                <w:highlight w:val="none"/>
              </w:rPr>
              <w:t>具有交通运输部与人力资源和社会保障部用印的交通运输工程（公路工</w:t>
            </w:r>
            <w:r>
              <w:rPr>
                <w:color w:val="auto"/>
                <w:spacing w:val="13"/>
                <w:highlight w:val="none"/>
              </w:rPr>
              <w:t>程）专业监理工程师职业资格证书（或电子证书</w:t>
            </w:r>
            <w:r>
              <w:rPr>
                <w:color w:val="auto"/>
                <w:spacing w:val="-1"/>
                <w:highlight w:val="none"/>
              </w:rPr>
              <w:t>）</w:t>
            </w:r>
            <w:r>
              <w:rPr>
                <w:color w:val="auto"/>
                <w:spacing w:val="-57"/>
                <w:highlight w:val="none"/>
              </w:rPr>
              <w:t xml:space="preserve"> </w:t>
            </w:r>
            <w:r>
              <w:rPr>
                <w:color w:val="auto"/>
                <w:spacing w:val="-1"/>
                <w:highlight w:val="none"/>
              </w:rPr>
              <w:t>，</w:t>
            </w:r>
            <w:r>
              <w:rPr>
                <w:color w:val="auto"/>
                <w:spacing w:val="13"/>
                <w:highlight w:val="none"/>
              </w:rPr>
              <w:t>或具有交通运输部核发的公路工程机电专业监理工程师资格证书或工业；具有</w:t>
            </w:r>
            <w:r>
              <w:rPr>
                <w:color w:val="auto"/>
                <w:spacing w:val="13"/>
                <w:highlight w:val="none"/>
                <w:u w:val="single" w:color="auto"/>
              </w:rPr>
              <w:t>中级及以上</w:t>
            </w:r>
            <w:r>
              <w:rPr>
                <w:color w:val="auto"/>
                <w:spacing w:val="13"/>
                <w:highlight w:val="none"/>
              </w:rPr>
              <w:t>技术</w:t>
            </w:r>
            <w:r>
              <w:rPr>
                <w:color w:val="auto"/>
                <w:spacing w:val="7"/>
                <w:highlight w:val="none"/>
              </w:rPr>
              <w:t>职称；从事各自专业监理工作</w:t>
            </w:r>
            <w:r>
              <w:rPr>
                <w:color w:val="auto"/>
                <w:spacing w:val="-29"/>
                <w:highlight w:val="none"/>
              </w:rPr>
              <w:t xml:space="preserve"> </w:t>
            </w:r>
            <w:r>
              <w:rPr>
                <w:color w:val="auto"/>
                <w:spacing w:val="7"/>
                <w:highlight w:val="none"/>
                <w:u w:val="single" w:color="auto"/>
              </w:rPr>
              <w:t>5</w:t>
            </w:r>
            <w:r>
              <w:rPr>
                <w:color w:val="auto"/>
                <w:spacing w:val="-37"/>
                <w:highlight w:val="none"/>
                <w:u w:val="single" w:color="auto"/>
              </w:rPr>
              <w:t xml:space="preserve"> </w:t>
            </w:r>
            <w:r>
              <w:rPr>
                <w:color w:val="auto"/>
                <w:spacing w:val="7"/>
                <w:highlight w:val="none"/>
              </w:rPr>
              <w:t>年以上。</w:t>
            </w:r>
          </w:p>
        </w:tc>
      </w:tr>
      <w:tr w14:paraId="4B0EEF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635" w:type="dxa"/>
            <w:vMerge w:val="continue"/>
            <w:tcBorders>
              <w:top w:val="nil"/>
              <w:bottom w:val="nil"/>
            </w:tcBorders>
            <w:vAlign w:val="top"/>
          </w:tcPr>
          <w:p w14:paraId="739DBBFA">
            <w:pPr>
              <w:rPr>
                <w:rFonts w:ascii="Arial"/>
                <w:color w:val="auto"/>
                <w:sz w:val="21"/>
                <w:highlight w:val="none"/>
              </w:rPr>
            </w:pPr>
          </w:p>
        </w:tc>
        <w:tc>
          <w:tcPr>
            <w:tcW w:w="1146" w:type="dxa"/>
            <w:vAlign w:val="top"/>
          </w:tcPr>
          <w:p w14:paraId="30F5E73F">
            <w:pPr>
              <w:pStyle w:val="18"/>
              <w:spacing w:before="121" w:line="216" w:lineRule="auto"/>
              <w:ind w:left="156"/>
              <w:rPr>
                <w:color w:val="auto"/>
                <w:highlight w:val="none"/>
              </w:rPr>
            </w:pPr>
            <w:r>
              <w:rPr>
                <w:color w:val="auto"/>
                <w:spacing w:val="7"/>
                <w:highlight w:val="none"/>
              </w:rPr>
              <w:t>监控系统</w:t>
            </w:r>
          </w:p>
        </w:tc>
        <w:tc>
          <w:tcPr>
            <w:tcW w:w="738" w:type="dxa"/>
            <w:vMerge w:val="continue"/>
            <w:tcBorders>
              <w:top w:val="nil"/>
              <w:bottom w:val="nil"/>
            </w:tcBorders>
            <w:vAlign w:val="center"/>
          </w:tcPr>
          <w:p w14:paraId="62140E29">
            <w:pPr>
              <w:jc w:val="center"/>
              <w:rPr>
                <w:rFonts w:ascii="Arial"/>
                <w:color w:val="auto"/>
                <w:sz w:val="21"/>
                <w:highlight w:val="none"/>
              </w:rPr>
            </w:pPr>
          </w:p>
        </w:tc>
        <w:tc>
          <w:tcPr>
            <w:tcW w:w="7059" w:type="dxa"/>
            <w:vMerge w:val="continue"/>
            <w:tcBorders>
              <w:top w:val="nil"/>
              <w:bottom w:val="nil"/>
            </w:tcBorders>
            <w:vAlign w:val="top"/>
          </w:tcPr>
          <w:p w14:paraId="0100A419">
            <w:pPr>
              <w:rPr>
                <w:rFonts w:ascii="Arial"/>
                <w:color w:val="auto"/>
                <w:sz w:val="21"/>
                <w:highlight w:val="none"/>
              </w:rPr>
            </w:pPr>
          </w:p>
        </w:tc>
      </w:tr>
      <w:tr w14:paraId="1024CB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635" w:type="dxa"/>
            <w:vMerge w:val="continue"/>
            <w:tcBorders>
              <w:top w:val="nil"/>
              <w:bottom w:val="nil"/>
            </w:tcBorders>
            <w:vAlign w:val="top"/>
          </w:tcPr>
          <w:p w14:paraId="4030B5AE">
            <w:pPr>
              <w:rPr>
                <w:rFonts w:ascii="Arial"/>
                <w:color w:val="auto"/>
                <w:sz w:val="21"/>
                <w:highlight w:val="none"/>
              </w:rPr>
            </w:pPr>
          </w:p>
        </w:tc>
        <w:tc>
          <w:tcPr>
            <w:tcW w:w="1146" w:type="dxa"/>
            <w:vAlign w:val="top"/>
          </w:tcPr>
          <w:p w14:paraId="7B5710E4">
            <w:pPr>
              <w:pStyle w:val="18"/>
              <w:spacing w:before="121" w:line="216" w:lineRule="auto"/>
              <w:ind w:left="163"/>
              <w:rPr>
                <w:color w:val="auto"/>
                <w:highlight w:val="none"/>
              </w:rPr>
            </w:pPr>
            <w:r>
              <w:rPr>
                <w:color w:val="auto"/>
                <w:spacing w:val="5"/>
                <w:highlight w:val="none"/>
              </w:rPr>
              <w:t>收费系统</w:t>
            </w:r>
          </w:p>
        </w:tc>
        <w:tc>
          <w:tcPr>
            <w:tcW w:w="738" w:type="dxa"/>
            <w:vMerge w:val="continue"/>
            <w:tcBorders>
              <w:top w:val="nil"/>
              <w:bottom w:val="nil"/>
            </w:tcBorders>
            <w:vAlign w:val="center"/>
          </w:tcPr>
          <w:p w14:paraId="421250DA">
            <w:pPr>
              <w:jc w:val="center"/>
              <w:rPr>
                <w:rFonts w:ascii="Arial"/>
                <w:color w:val="auto"/>
                <w:sz w:val="21"/>
                <w:highlight w:val="none"/>
              </w:rPr>
            </w:pPr>
          </w:p>
        </w:tc>
        <w:tc>
          <w:tcPr>
            <w:tcW w:w="7059" w:type="dxa"/>
            <w:vMerge w:val="continue"/>
            <w:tcBorders>
              <w:top w:val="nil"/>
              <w:bottom w:val="nil"/>
            </w:tcBorders>
            <w:vAlign w:val="top"/>
          </w:tcPr>
          <w:p w14:paraId="798D4189">
            <w:pPr>
              <w:rPr>
                <w:rFonts w:ascii="Arial"/>
                <w:color w:val="auto"/>
                <w:sz w:val="21"/>
                <w:highlight w:val="none"/>
              </w:rPr>
            </w:pPr>
          </w:p>
        </w:tc>
      </w:tr>
      <w:tr w14:paraId="67BD60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635" w:type="dxa"/>
            <w:vMerge w:val="continue"/>
            <w:tcBorders>
              <w:top w:val="nil"/>
              <w:bottom w:val="nil"/>
            </w:tcBorders>
            <w:vAlign w:val="top"/>
          </w:tcPr>
          <w:p w14:paraId="74CE35F7">
            <w:pPr>
              <w:rPr>
                <w:rFonts w:ascii="Arial"/>
                <w:color w:val="auto"/>
                <w:sz w:val="21"/>
                <w:highlight w:val="none"/>
              </w:rPr>
            </w:pPr>
          </w:p>
        </w:tc>
        <w:tc>
          <w:tcPr>
            <w:tcW w:w="1146" w:type="dxa"/>
            <w:vAlign w:val="top"/>
          </w:tcPr>
          <w:p w14:paraId="5BE1BF04">
            <w:pPr>
              <w:pStyle w:val="18"/>
              <w:spacing w:before="123" w:line="273" w:lineRule="auto"/>
              <w:ind w:left="476" w:right="155" w:hanging="321"/>
              <w:rPr>
                <w:color w:val="auto"/>
                <w:highlight w:val="none"/>
              </w:rPr>
            </w:pPr>
            <w:r>
              <w:rPr>
                <w:color w:val="auto"/>
                <w:spacing w:val="7"/>
                <w:highlight w:val="none"/>
              </w:rPr>
              <w:t>供配电系</w:t>
            </w:r>
            <w:r>
              <w:rPr>
                <w:color w:val="auto"/>
                <w:highlight w:val="none"/>
              </w:rPr>
              <w:t>统</w:t>
            </w:r>
          </w:p>
        </w:tc>
        <w:tc>
          <w:tcPr>
            <w:tcW w:w="738" w:type="dxa"/>
            <w:vMerge w:val="continue"/>
            <w:tcBorders>
              <w:top w:val="nil"/>
            </w:tcBorders>
            <w:vAlign w:val="center"/>
          </w:tcPr>
          <w:p w14:paraId="1551014B">
            <w:pPr>
              <w:jc w:val="center"/>
              <w:rPr>
                <w:rFonts w:ascii="Arial"/>
                <w:color w:val="auto"/>
                <w:sz w:val="21"/>
                <w:highlight w:val="none"/>
              </w:rPr>
            </w:pPr>
          </w:p>
        </w:tc>
        <w:tc>
          <w:tcPr>
            <w:tcW w:w="7059" w:type="dxa"/>
            <w:vMerge w:val="continue"/>
            <w:tcBorders>
              <w:top w:val="nil"/>
            </w:tcBorders>
            <w:vAlign w:val="top"/>
          </w:tcPr>
          <w:p w14:paraId="4B75B984">
            <w:pPr>
              <w:rPr>
                <w:rFonts w:ascii="Arial"/>
                <w:color w:val="auto"/>
                <w:sz w:val="21"/>
                <w:highlight w:val="none"/>
              </w:rPr>
            </w:pPr>
          </w:p>
        </w:tc>
      </w:tr>
      <w:tr w14:paraId="24E948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4" w:hRule="atLeast"/>
        </w:trPr>
        <w:tc>
          <w:tcPr>
            <w:tcW w:w="635" w:type="dxa"/>
            <w:vMerge w:val="continue"/>
            <w:tcBorders>
              <w:top w:val="nil"/>
              <w:bottom w:val="nil"/>
            </w:tcBorders>
            <w:vAlign w:val="top"/>
          </w:tcPr>
          <w:p w14:paraId="5A1363DB">
            <w:pPr>
              <w:rPr>
                <w:rFonts w:ascii="Arial"/>
                <w:color w:val="auto"/>
                <w:sz w:val="21"/>
                <w:highlight w:val="none"/>
              </w:rPr>
            </w:pPr>
          </w:p>
        </w:tc>
        <w:tc>
          <w:tcPr>
            <w:tcW w:w="1146" w:type="dxa"/>
            <w:vAlign w:val="top"/>
          </w:tcPr>
          <w:p w14:paraId="3219CEE8">
            <w:pPr>
              <w:spacing w:line="414" w:lineRule="auto"/>
              <w:rPr>
                <w:rFonts w:ascii="Arial"/>
                <w:color w:val="auto"/>
                <w:sz w:val="21"/>
                <w:highlight w:val="none"/>
              </w:rPr>
            </w:pPr>
          </w:p>
          <w:p w14:paraId="4B1FEDE1">
            <w:pPr>
              <w:pStyle w:val="18"/>
              <w:spacing w:before="65" w:line="228" w:lineRule="auto"/>
              <w:ind w:left="156"/>
              <w:rPr>
                <w:color w:val="auto"/>
                <w:highlight w:val="none"/>
              </w:rPr>
            </w:pPr>
            <w:r>
              <w:rPr>
                <w:color w:val="auto"/>
                <w:spacing w:val="7"/>
                <w:highlight w:val="none"/>
              </w:rPr>
              <w:t>房建工程</w:t>
            </w:r>
          </w:p>
        </w:tc>
        <w:tc>
          <w:tcPr>
            <w:tcW w:w="738" w:type="dxa"/>
            <w:vAlign w:val="center"/>
          </w:tcPr>
          <w:p w14:paraId="0C69A13C">
            <w:pPr>
              <w:jc w:val="center"/>
              <w:rPr>
                <w:rFonts w:hint="eastAsia" w:ascii="Arial" w:eastAsia="宋体"/>
                <w:color w:val="auto"/>
                <w:sz w:val="21"/>
                <w:highlight w:val="none"/>
                <w:lang w:val="en-US" w:eastAsia="zh-CN"/>
              </w:rPr>
            </w:pPr>
            <w:r>
              <w:rPr>
                <w:rFonts w:hint="eastAsia" w:eastAsia="宋体"/>
                <w:color w:val="auto"/>
                <w:sz w:val="21"/>
                <w:highlight w:val="none"/>
                <w:lang w:val="en-US" w:eastAsia="zh-CN"/>
              </w:rPr>
              <w:t>0</w:t>
            </w:r>
          </w:p>
        </w:tc>
        <w:tc>
          <w:tcPr>
            <w:tcW w:w="7059" w:type="dxa"/>
            <w:vAlign w:val="top"/>
          </w:tcPr>
          <w:p w14:paraId="6EFE0AC1">
            <w:pPr>
              <w:pStyle w:val="18"/>
              <w:spacing w:before="121" w:line="293" w:lineRule="auto"/>
              <w:ind w:left="116" w:right="109"/>
              <w:jc w:val="both"/>
              <w:rPr>
                <w:color w:val="auto"/>
                <w:highlight w:val="none"/>
              </w:rPr>
            </w:pPr>
            <w:r>
              <w:rPr>
                <w:color w:val="auto"/>
                <w:spacing w:val="13"/>
                <w:highlight w:val="none"/>
              </w:rPr>
              <w:t>具有住房和城乡建设部核发的监理工程师证书（注册专业为房屋建筑）或具有住房和城乡建设部门核发的监理培训证书；具有建筑相关专业</w:t>
            </w:r>
            <w:r>
              <w:rPr>
                <w:color w:val="auto"/>
                <w:spacing w:val="13"/>
                <w:highlight w:val="none"/>
                <w:u w:val="single" w:color="auto"/>
              </w:rPr>
              <w:t>中级及</w:t>
            </w:r>
            <w:r>
              <w:rPr>
                <w:color w:val="auto"/>
                <w:spacing w:val="7"/>
                <w:highlight w:val="none"/>
                <w:u w:val="single" w:color="auto"/>
              </w:rPr>
              <w:t>以上</w:t>
            </w:r>
            <w:r>
              <w:rPr>
                <w:color w:val="auto"/>
                <w:spacing w:val="7"/>
                <w:highlight w:val="none"/>
              </w:rPr>
              <w:t>技术职称；从事房建工程监理工作</w:t>
            </w:r>
            <w:r>
              <w:rPr>
                <w:color w:val="auto"/>
                <w:spacing w:val="-22"/>
                <w:highlight w:val="none"/>
              </w:rPr>
              <w:t xml:space="preserve"> </w:t>
            </w:r>
            <w:r>
              <w:rPr>
                <w:color w:val="auto"/>
                <w:spacing w:val="7"/>
                <w:highlight w:val="none"/>
                <w:u w:val="single" w:color="auto"/>
              </w:rPr>
              <w:t>5</w:t>
            </w:r>
            <w:r>
              <w:rPr>
                <w:color w:val="auto"/>
                <w:spacing w:val="-37"/>
                <w:highlight w:val="none"/>
                <w:u w:val="single" w:color="auto"/>
              </w:rPr>
              <w:t xml:space="preserve"> </w:t>
            </w:r>
            <w:r>
              <w:rPr>
                <w:color w:val="auto"/>
                <w:spacing w:val="7"/>
                <w:highlight w:val="none"/>
              </w:rPr>
              <w:t>年以上。</w:t>
            </w:r>
          </w:p>
        </w:tc>
      </w:tr>
      <w:tr w14:paraId="31B432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4" w:hRule="atLeast"/>
        </w:trPr>
        <w:tc>
          <w:tcPr>
            <w:tcW w:w="635" w:type="dxa"/>
            <w:vMerge w:val="continue"/>
            <w:tcBorders>
              <w:top w:val="nil"/>
            </w:tcBorders>
            <w:vAlign w:val="top"/>
          </w:tcPr>
          <w:p w14:paraId="53D5073D">
            <w:pPr>
              <w:rPr>
                <w:rFonts w:ascii="Arial"/>
                <w:color w:val="auto"/>
                <w:sz w:val="21"/>
                <w:highlight w:val="none"/>
              </w:rPr>
            </w:pPr>
          </w:p>
        </w:tc>
        <w:tc>
          <w:tcPr>
            <w:tcW w:w="1146" w:type="dxa"/>
            <w:vAlign w:val="top"/>
          </w:tcPr>
          <w:p w14:paraId="6B387705">
            <w:pPr>
              <w:spacing w:line="297" w:lineRule="auto"/>
              <w:rPr>
                <w:rFonts w:ascii="Arial"/>
                <w:color w:val="auto"/>
                <w:sz w:val="21"/>
                <w:highlight w:val="none"/>
              </w:rPr>
            </w:pPr>
          </w:p>
          <w:p w14:paraId="17407ED7">
            <w:pPr>
              <w:spacing w:line="297" w:lineRule="auto"/>
              <w:rPr>
                <w:rFonts w:ascii="Arial"/>
                <w:color w:val="auto"/>
                <w:sz w:val="21"/>
                <w:highlight w:val="none"/>
              </w:rPr>
            </w:pPr>
          </w:p>
          <w:p w14:paraId="17B6A429">
            <w:pPr>
              <w:pStyle w:val="18"/>
              <w:spacing w:before="65" w:line="228" w:lineRule="auto"/>
              <w:ind w:left="155"/>
              <w:rPr>
                <w:color w:val="auto"/>
                <w:highlight w:val="none"/>
              </w:rPr>
            </w:pPr>
            <w:r>
              <w:rPr>
                <w:color w:val="auto"/>
                <w:spacing w:val="7"/>
                <w:highlight w:val="none"/>
              </w:rPr>
              <w:t>地质工程</w:t>
            </w:r>
          </w:p>
        </w:tc>
        <w:tc>
          <w:tcPr>
            <w:tcW w:w="738" w:type="dxa"/>
            <w:vAlign w:val="center"/>
          </w:tcPr>
          <w:p w14:paraId="4E6EACC9">
            <w:pPr>
              <w:jc w:val="center"/>
              <w:rPr>
                <w:rFonts w:hint="eastAsia" w:ascii="Arial" w:eastAsia="宋体"/>
                <w:color w:val="auto"/>
                <w:sz w:val="21"/>
                <w:highlight w:val="none"/>
                <w:lang w:val="en-US" w:eastAsia="zh-CN"/>
              </w:rPr>
            </w:pPr>
            <w:r>
              <w:rPr>
                <w:rFonts w:hint="eastAsia" w:eastAsia="宋体"/>
                <w:color w:val="auto"/>
                <w:sz w:val="21"/>
                <w:highlight w:val="none"/>
                <w:lang w:val="en-US" w:eastAsia="zh-CN"/>
              </w:rPr>
              <w:t>0</w:t>
            </w:r>
          </w:p>
        </w:tc>
        <w:tc>
          <w:tcPr>
            <w:tcW w:w="7059" w:type="dxa"/>
            <w:vAlign w:val="top"/>
          </w:tcPr>
          <w:p w14:paraId="2FE1000C">
            <w:pPr>
              <w:pStyle w:val="18"/>
              <w:spacing w:before="123" w:line="332" w:lineRule="auto"/>
              <w:ind w:left="111" w:right="109" w:firstLine="5"/>
              <w:rPr>
                <w:color w:val="auto"/>
                <w:highlight w:val="none"/>
              </w:rPr>
            </w:pPr>
            <w:r>
              <w:rPr>
                <w:color w:val="auto"/>
                <w:spacing w:val="20"/>
                <w:highlight w:val="none"/>
              </w:rPr>
              <w:t>具有交通运输部和人力资源和社会保障部用印的交通运输工程（公路工</w:t>
            </w:r>
            <w:r>
              <w:rPr>
                <w:color w:val="auto"/>
                <w:spacing w:val="13"/>
                <w:highlight w:val="none"/>
              </w:rPr>
              <w:t>程）专业监理工程师职业资格证书（或电子证书</w:t>
            </w:r>
            <w:r>
              <w:rPr>
                <w:color w:val="auto"/>
                <w:spacing w:val="-1"/>
                <w:highlight w:val="none"/>
              </w:rPr>
              <w:t>）</w:t>
            </w:r>
            <w:r>
              <w:rPr>
                <w:color w:val="auto"/>
                <w:spacing w:val="-57"/>
                <w:highlight w:val="none"/>
              </w:rPr>
              <w:t xml:space="preserve"> </w:t>
            </w:r>
            <w:r>
              <w:rPr>
                <w:color w:val="auto"/>
                <w:spacing w:val="-1"/>
                <w:highlight w:val="none"/>
              </w:rPr>
              <w:t>，</w:t>
            </w:r>
            <w:r>
              <w:rPr>
                <w:color w:val="auto"/>
                <w:spacing w:val="13"/>
                <w:highlight w:val="none"/>
              </w:rPr>
              <w:t>或具有交通运输部核</w:t>
            </w:r>
          </w:p>
          <w:p w14:paraId="4DEF1086">
            <w:pPr>
              <w:pStyle w:val="18"/>
              <w:spacing w:line="226" w:lineRule="auto"/>
              <w:ind w:left="115"/>
              <w:rPr>
                <w:color w:val="auto"/>
                <w:highlight w:val="none"/>
              </w:rPr>
            </w:pPr>
            <w:r>
              <w:rPr>
                <w:color w:val="auto"/>
                <w:spacing w:val="13"/>
                <w:highlight w:val="none"/>
              </w:rPr>
              <w:t>发的专业监理工程师资格证书；具有路桥或地质或岩土相关专业</w:t>
            </w:r>
            <w:r>
              <w:rPr>
                <w:color w:val="auto"/>
                <w:spacing w:val="13"/>
                <w:highlight w:val="none"/>
                <w:u w:val="single" w:color="auto"/>
              </w:rPr>
              <w:t>中级及以</w:t>
            </w:r>
          </w:p>
          <w:p w14:paraId="30AAFC86">
            <w:pPr>
              <w:pStyle w:val="18"/>
              <w:spacing w:before="113" w:line="214" w:lineRule="auto"/>
              <w:ind w:left="114"/>
              <w:rPr>
                <w:color w:val="auto"/>
                <w:highlight w:val="none"/>
              </w:rPr>
            </w:pPr>
            <w:r>
              <w:rPr>
                <w:color w:val="auto"/>
                <w:spacing w:val="7"/>
                <w:highlight w:val="none"/>
                <w:u w:val="single" w:color="auto"/>
              </w:rPr>
              <w:t>上</w:t>
            </w:r>
            <w:r>
              <w:rPr>
                <w:color w:val="auto"/>
                <w:spacing w:val="7"/>
                <w:highlight w:val="none"/>
              </w:rPr>
              <w:t>技术职称；从事监理工作</w:t>
            </w:r>
            <w:r>
              <w:rPr>
                <w:color w:val="auto"/>
                <w:spacing w:val="-33"/>
                <w:highlight w:val="none"/>
              </w:rPr>
              <w:t xml:space="preserve"> </w:t>
            </w:r>
            <w:r>
              <w:rPr>
                <w:color w:val="auto"/>
                <w:spacing w:val="7"/>
                <w:highlight w:val="none"/>
                <w:u w:val="single" w:color="auto"/>
              </w:rPr>
              <w:t>5</w:t>
            </w:r>
            <w:r>
              <w:rPr>
                <w:color w:val="auto"/>
                <w:spacing w:val="-37"/>
                <w:highlight w:val="none"/>
                <w:u w:val="single" w:color="auto"/>
              </w:rPr>
              <w:t xml:space="preserve"> </w:t>
            </w:r>
            <w:r>
              <w:rPr>
                <w:color w:val="auto"/>
                <w:spacing w:val="7"/>
                <w:highlight w:val="none"/>
              </w:rPr>
              <w:t>年以上。</w:t>
            </w:r>
          </w:p>
        </w:tc>
      </w:tr>
      <w:tr w14:paraId="5D8EBB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4" w:hRule="atLeast"/>
        </w:trPr>
        <w:tc>
          <w:tcPr>
            <w:tcW w:w="635" w:type="dxa"/>
            <w:vAlign w:val="top"/>
          </w:tcPr>
          <w:p w14:paraId="46F3AB6C">
            <w:pPr>
              <w:pStyle w:val="18"/>
              <w:spacing w:before="123" w:line="228" w:lineRule="auto"/>
              <w:ind w:left="217"/>
              <w:rPr>
                <w:color w:val="auto"/>
                <w:highlight w:val="none"/>
              </w:rPr>
            </w:pPr>
            <w:r>
              <w:rPr>
                <w:color w:val="auto"/>
                <w:highlight w:val="none"/>
              </w:rPr>
              <w:t>专</w:t>
            </w:r>
          </w:p>
          <w:p w14:paraId="74D1561D">
            <w:pPr>
              <w:pStyle w:val="18"/>
              <w:spacing w:before="112"/>
              <w:ind w:left="216"/>
              <w:rPr>
                <w:color w:val="auto"/>
                <w:highlight w:val="none"/>
              </w:rPr>
            </w:pPr>
            <w:r>
              <w:rPr>
                <w:color w:val="auto"/>
                <w:spacing w:val="1"/>
                <w:highlight w:val="none"/>
              </w:rPr>
              <w:t>业</w:t>
            </w:r>
          </w:p>
          <w:p w14:paraId="3B97C029">
            <w:pPr>
              <w:pStyle w:val="18"/>
              <w:spacing w:before="100" w:line="236" w:lineRule="auto"/>
              <w:ind w:left="217"/>
              <w:rPr>
                <w:color w:val="auto"/>
                <w:highlight w:val="none"/>
              </w:rPr>
            </w:pPr>
            <w:r>
              <w:rPr>
                <w:color w:val="auto"/>
                <w:highlight w:val="none"/>
              </w:rPr>
              <w:t>监</w:t>
            </w:r>
          </w:p>
          <w:p w14:paraId="500B2585">
            <w:pPr>
              <w:pStyle w:val="18"/>
              <w:spacing w:before="103" w:line="238" w:lineRule="auto"/>
              <w:ind w:left="219"/>
              <w:rPr>
                <w:color w:val="auto"/>
                <w:highlight w:val="none"/>
              </w:rPr>
            </w:pPr>
            <w:r>
              <w:rPr>
                <w:color w:val="auto"/>
                <w:highlight w:val="none"/>
              </w:rPr>
              <w:t>理</w:t>
            </w:r>
          </w:p>
          <w:p w14:paraId="7B63D3AF">
            <w:pPr>
              <w:pStyle w:val="18"/>
              <w:spacing w:before="102" w:line="264" w:lineRule="exact"/>
              <w:ind w:left="219"/>
              <w:rPr>
                <w:color w:val="auto"/>
                <w:highlight w:val="none"/>
              </w:rPr>
            </w:pPr>
            <w:r>
              <w:rPr>
                <w:color w:val="auto"/>
                <w:position w:val="1"/>
                <w:highlight w:val="none"/>
              </w:rPr>
              <w:t>工</w:t>
            </w:r>
          </w:p>
          <w:p w14:paraId="56F80456">
            <w:pPr>
              <w:pStyle w:val="18"/>
              <w:spacing w:before="96" w:line="273" w:lineRule="auto"/>
              <w:ind w:left="170" w:right="156" w:firstLine="46"/>
              <w:rPr>
                <w:color w:val="auto"/>
                <w:sz w:val="10"/>
                <w:szCs w:val="10"/>
                <w:highlight w:val="none"/>
              </w:rPr>
            </w:pPr>
            <w:r>
              <w:rPr>
                <w:color w:val="auto"/>
                <w:spacing w:val="1"/>
                <w:highlight w:val="none"/>
              </w:rPr>
              <w:t>程</w:t>
            </w:r>
            <w:r>
              <w:rPr>
                <w:color w:val="auto"/>
                <w:spacing w:val="1"/>
                <w:position w:val="-2"/>
                <w:highlight w:val="none"/>
              </w:rPr>
              <w:t>师</w:t>
            </w:r>
            <w:r>
              <w:rPr>
                <w:color w:val="auto"/>
                <w:highlight w:val="none"/>
              </w:rPr>
              <w:fldChar w:fldCharType="begin"/>
            </w:r>
            <w:r>
              <w:rPr>
                <w:color w:val="auto"/>
                <w:highlight w:val="none"/>
              </w:rPr>
              <w:instrText xml:space="preserve"> HYPERLINK \l "bookmark97" </w:instrText>
            </w:r>
            <w:r>
              <w:rPr>
                <w:color w:val="auto"/>
                <w:highlight w:val="none"/>
              </w:rPr>
              <w:fldChar w:fldCharType="separate"/>
            </w:r>
            <w:r>
              <w:rPr>
                <w:color w:val="auto"/>
                <w:spacing w:val="1"/>
                <w:position w:val="8"/>
                <w:sz w:val="10"/>
                <w:szCs w:val="10"/>
                <w:highlight w:val="none"/>
              </w:rPr>
              <w:t>①</w:t>
            </w:r>
            <w:r>
              <w:rPr>
                <w:color w:val="auto"/>
                <w:spacing w:val="1"/>
                <w:position w:val="8"/>
                <w:sz w:val="10"/>
                <w:szCs w:val="10"/>
                <w:highlight w:val="none"/>
              </w:rPr>
              <w:fldChar w:fldCharType="end"/>
            </w:r>
          </w:p>
        </w:tc>
        <w:tc>
          <w:tcPr>
            <w:tcW w:w="1146" w:type="dxa"/>
            <w:vAlign w:val="top"/>
          </w:tcPr>
          <w:p w14:paraId="6EA7220B">
            <w:pPr>
              <w:spacing w:line="317" w:lineRule="auto"/>
              <w:rPr>
                <w:rFonts w:ascii="Arial"/>
                <w:color w:val="auto"/>
                <w:sz w:val="21"/>
                <w:highlight w:val="none"/>
              </w:rPr>
            </w:pPr>
          </w:p>
          <w:p w14:paraId="3D2ACA20">
            <w:pPr>
              <w:spacing w:line="317" w:lineRule="auto"/>
              <w:rPr>
                <w:rFonts w:ascii="Arial"/>
                <w:color w:val="auto"/>
                <w:sz w:val="21"/>
                <w:highlight w:val="none"/>
              </w:rPr>
            </w:pPr>
          </w:p>
          <w:p w14:paraId="62625F48">
            <w:pPr>
              <w:spacing w:line="317" w:lineRule="auto"/>
              <w:rPr>
                <w:rFonts w:ascii="Arial"/>
                <w:color w:val="auto"/>
                <w:sz w:val="21"/>
                <w:highlight w:val="none"/>
              </w:rPr>
            </w:pPr>
          </w:p>
          <w:p w14:paraId="10C60728">
            <w:pPr>
              <w:pStyle w:val="18"/>
              <w:spacing w:before="65" w:line="334" w:lineRule="auto"/>
              <w:ind w:right="153"/>
              <w:jc w:val="center"/>
              <w:rPr>
                <w:color w:val="auto"/>
                <w:highlight w:val="none"/>
              </w:rPr>
            </w:pPr>
            <w:r>
              <w:rPr>
                <w:color w:val="auto"/>
                <w:spacing w:val="6"/>
                <w:highlight w:val="none"/>
              </w:rPr>
              <w:t>专业工</w:t>
            </w:r>
            <w:r>
              <w:rPr>
                <w:color w:val="auto"/>
                <w:spacing w:val="5"/>
                <w:highlight w:val="none"/>
              </w:rPr>
              <w:t>程师</w:t>
            </w:r>
          </w:p>
        </w:tc>
        <w:tc>
          <w:tcPr>
            <w:tcW w:w="738" w:type="dxa"/>
            <w:vAlign w:val="center"/>
          </w:tcPr>
          <w:p w14:paraId="4272A6D4">
            <w:pPr>
              <w:jc w:val="center"/>
              <w:rPr>
                <w:rFonts w:hint="eastAsia" w:ascii="Arial" w:eastAsia="宋体"/>
                <w:color w:val="auto"/>
                <w:sz w:val="21"/>
                <w:highlight w:val="none"/>
                <w:lang w:val="en-US" w:eastAsia="zh-CN"/>
              </w:rPr>
            </w:pPr>
            <w:r>
              <w:rPr>
                <w:rFonts w:hint="eastAsia" w:eastAsia="宋体"/>
                <w:color w:val="auto"/>
                <w:sz w:val="21"/>
                <w:highlight w:val="none"/>
                <w:lang w:val="en-US" w:eastAsia="zh-CN"/>
              </w:rPr>
              <w:t>1</w:t>
            </w:r>
          </w:p>
        </w:tc>
        <w:tc>
          <w:tcPr>
            <w:tcW w:w="7059" w:type="dxa"/>
            <w:vAlign w:val="top"/>
          </w:tcPr>
          <w:p w14:paraId="27D4DD42">
            <w:pPr>
              <w:spacing w:line="317" w:lineRule="auto"/>
              <w:rPr>
                <w:rFonts w:ascii="Arial"/>
                <w:color w:val="auto"/>
                <w:sz w:val="21"/>
                <w:highlight w:val="none"/>
              </w:rPr>
            </w:pPr>
          </w:p>
          <w:p w14:paraId="276B3BF4">
            <w:pPr>
              <w:spacing w:line="317" w:lineRule="auto"/>
              <w:rPr>
                <w:rFonts w:ascii="Arial"/>
                <w:color w:val="auto"/>
                <w:sz w:val="21"/>
                <w:highlight w:val="none"/>
              </w:rPr>
            </w:pPr>
          </w:p>
          <w:p w14:paraId="6BBA996C">
            <w:pPr>
              <w:spacing w:line="317" w:lineRule="auto"/>
              <w:rPr>
                <w:rFonts w:ascii="Arial"/>
                <w:color w:val="auto"/>
                <w:sz w:val="21"/>
                <w:highlight w:val="none"/>
              </w:rPr>
            </w:pPr>
          </w:p>
          <w:p w14:paraId="7BC821EC">
            <w:pPr>
              <w:pStyle w:val="18"/>
              <w:spacing w:before="65" w:line="334" w:lineRule="auto"/>
              <w:ind w:left="111" w:right="109" w:firstLine="5"/>
              <w:rPr>
                <w:color w:val="auto"/>
                <w:highlight w:val="none"/>
              </w:rPr>
            </w:pPr>
            <w:r>
              <w:rPr>
                <w:color w:val="auto"/>
                <w:spacing w:val="14"/>
                <w:highlight w:val="none"/>
              </w:rPr>
              <w:t>具有工程类注册执业资格或具有</w:t>
            </w:r>
            <w:r>
              <w:rPr>
                <w:color w:val="auto"/>
                <w:spacing w:val="14"/>
                <w:highlight w:val="none"/>
                <w:u w:val="single" w:color="auto"/>
              </w:rPr>
              <w:t>中级及以上</w:t>
            </w:r>
            <w:r>
              <w:rPr>
                <w:color w:val="auto"/>
                <w:spacing w:val="14"/>
                <w:highlight w:val="none"/>
              </w:rPr>
              <w:t>专业技术职称；</w:t>
            </w:r>
            <w:r>
              <w:rPr>
                <w:color w:val="auto"/>
                <w:spacing w:val="14"/>
                <w:highlight w:val="none"/>
                <w:u w:val="single" w:color="auto"/>
              </w:rPr>
              <w:t>3</w:t>
            </w:r>
            <w:r>
              <w:rPr>
                <w:color w:val="auto"/>
                <w:spacing w:val="-22"/>
                <w:highlight w:val="none"/>
                <w:u w:val="single" w:color="auto"/>
              </w:rPr>
              <w:t xml:space="preserve"> </w:t>
            </w:r>
            <w:r>
              <w:rPr>
                <w:color w:val="auto"/>
                <w:spacing w:val="14"/>
                <w:highlight w:val="none"/>
              </w:rPr>
              <w:t>年及以上工</w:t>
            </w:r>
            <w:r>
              <w:rPr>
                <w:color w:val="auto"/>
                <w:spacing w:val="9"/>
                <w:highlight w:val="none"/>
              </w:rPr>
              <w:t>程实践经验；经过监理业务培训并经建设单位考核合格的监理人员。</w:t>
            </w:r>
          </w:p>
        </w:tc>
      </w:tr>
      <w:tr w14:paraId="489BC0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1781" w:type="dxa"/>
            <w:gridSpan w:val="2"/>
            <w:vAlign w:val="top"/>
          </w:tcPr>
          <w:p w14:paraId="2F5C75CF">
            <w:pPr>
              <w:pStyle w:val="18"/>
              <w:spacing w:before="123" w:line="273" w:lineRule="auto"/>
              <w:ind w:left="589" w:right="153" w:hanging="427"/>
              <w:rPr>
                <w:color w:val="auto"/>
                <w:highlight w:val="none"/>
              </w:rPr>
            </w:pPr>
            <w:r>
              <w:rPr>
                <w:color w:val="auto"/>
                <w:spacing w:val="8"/>
                <w:highlight w:val="none"/>
              </w:rPr>
              <w:t>档案及竣工资料</w:t>
            </w:r>
            <w:r>
              <w:rPr>
                <w:color w:val="auto"/>
                <w:spacing w:val="4"/>
                <w:highlight w:val="none"/>
              </w:rPr>
              <w:t>负责人</w:t>
            </w:r>
          </w:p>
        </w:tc>
        <w:tc>
          <w:tcPr>
            <w:tcW w:w="738" w:type="dxa"/>
            <w:vAlign w:val="center"/>
          </w:tcPr>
          <w:p w14:paraId="7E88BFF9">
            <w:pPr>
              <w:jc w:val="center"/>
              <w:rPr>
                <w:rFonts w:hint="eastAsia" w:ascii="Arial" w:eastAsia="宋体"/>
                <w:color w:val="auto"/>
                <w:sz w:val="21"/>
                <w:highlight w:val="none"/>
                <w:lang w:val="en-US" w:eastAsia="zh-CN"/>
              </w:rPr>
            </w:pPr>
            <w:r>
              <w:rPr>
                <w:rFonts w:hint="eastAsia" w:eastAsia="宋体"/>
                <w:color w:val="auto"/>
                <w:sz w:val="21"/>
                <w:highlight w:val="none"/>
                <w:lang w:val="en-US" w:eastAsia="zh-CN"/>
              </w:rPr>
              <w:t>1</w:t>
            </w:r>
          </w:p>
        </w:tc>
        <w:tc>
          <w:tcPr>
            <w:tcW w:w="7059" w:type="dxa"/>
            <w:vAlign w:val="top"/>
          </w:tcPr>
          <w:p w14:paraId="32DEDB1A">
            <w:pPr>
              <w:pStyle w:val="18"/>
              <w:spacing w:before="123" w:line="273" w:lineRule="auto"/>
              <w:ind w:left="111" w:right="109" w:firstLine="5"/>
              <w:rPr>
                <w:color w:val="auto"/>
                <w:highlight w:val="none"/>
              </w:rPr>
            </w:pPr>
            <w:r>
              <w:rPr>
                <w:color w:val="auto"/>
                <w:spacing w:val="13"/>
                <w:highlight w:val="none"/>
              </w:rPr>
              <w:t>具有路桥或土建相关专业</w:t>
            </w:r>
            <w:r>
              <w:rPr>
                <w:color w:val="auto"/>
                <w:spacing w:val="13"/>
                <w:highlight w:val="none"/>
                <w:u w:val="single" w:color="auto"/>
              </w:rPr>
              <w:t>初级及以上</w:t>
            </w:r>
            <w:r>
              <w:rPr>
                <w:color w:val="auto"/>
                <w:spacing w:val="13"/>
                <w:highlight w:val="none"/>
              </w:rPr>
              <w:t>技术职称，至少具有一个高速公路工</w:t>
            </w:r>
            <w:r>
              <w:rPr>
                <w:color w:val="auto"/>
                <w:spacing w:val="9"/>
                <w:highlight w:val="none"/>
              </w:rPr>
              <w:t>程项目竣工档案全过程编制和管理工作经验,熟悉计算机办公软件操作。</w:t>
            </w:r>
          </w:p>
        </w:tc>
      </w:tr>
      <w:tr w14:paraId="024D02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9" w:hRule="atLeast"/>
        </w:trPr>
        <w:tc>
          <w:tcPr>
            <w:tcW w:w="1781" w:type="dxa"/>
            <w:gridSpan w:val="2"/>
            <w:vAlign w:val="top"/>
          </w:tcPr>
          <w:p w14:paraId="77761EDB">
            <w:pPr>
              <w:pStyle w:val="18"/>
              <w:spacing w:before="303" w:line="229" w:lineRule="auto"/>
              <w:ind w:left="477"/>
              <w:rPr>
                <w:color w:val="auto"/>
                <w:highlight w:val="none"/>
              </w:rPr>
            </w:pPr>
            <w:r>
              <w:rPr>
                <w:color w:val="auto"/>
                <w:spacing w:val="-1"/>
                <w:highlight w:val="none"/>
              </w:rPr>
              <w:t>监</w:t>
            </w:r>
            <w:r>
              <w:rPr>
                <w:color w:val="auto"/>
                <w:spacing w:val="16"/>
                <w:highlight w:val="none"/>
              </w:rPr>
              <w:t xml:space="preserve"> </w:t>
            </w:r>
            <w:r>
              <w:rPr>
                <w:color w:val="auto"/>
                <w:spacing w:val="-1"/>
                <w:highlight w:val="none"/>
              </w:rPr>
              <w:t>理</w:t>
            </w:r>
            <w:r>
              <w:rPr>
                <w:color w:val="auto"/>
                <w:spacing w:val="24"/>
                <w:highlight w:val="none"/>
              </w:rPr>
              <w:t xml:space="preserve"> </w:t>
            </w:r>
            <w:r>
              <w:rPr>
                <w:color w:val="auto"/>
                <w:spacing w:val="-1"/>
                <w:highlight w:val="none"/>
              </w:rPr>
              <w:t>员</w:t>
            </w:r>
          </w:p>
        </w:tc>
        <w:tc>
          <w:tcPr>
            <w:tcW w:w="738" w:type="dxa"/>
            <w:vAlign w:val="center"/>
          </w:tcPr>
          <w:p w14:paraId="6B63CECC">
            <w:pPr>
              <w:jc w:val="center"/>
              <w:rPr>
                <w:rFonts w:hint="eastAsia" w:ascii="Arial" w:eastAsia="宋体"/>
                <w:color w:val="auto"/>
                <w:sz w:val="21"/>
                <w:highlight w:val="none"/>
                <w:lang w:val="en-US" w:eastAsia="zh-CN"/>
              </w:rPr>
            </w:pPr>
            <w:r>
              <w:rPr>
                <w:rFonts w:hint="eastAsia" w:eastAsia="宋体"/>
                <w:color w:val="auto"/>
                <w:sz w:val="21"/>
                <w:highlight w:val="none"/>
                <w:lang w:val="en-US" w:eastAsia="zh-CN"/>
              </w:rPr>
              <w:t>3</w:t>
            </w:r>
          </w:p>
        </w:tc>
        <w:tc>
          <w:tcPr>
            <w:tcW w:w="7059" w:type="dxa"/>
            <w:vAlign w:val="top"/>
          </w:tcPr>
          <w:p w14:paraId="37E132C6">
            <w:pPr>
              <w:pStyle w:val="18"/>
              <w:spacing w:before="123" w:line="275" w:lineRule="auto"/>
              <w:ind w:left="113" w:right="109" w:firstLine="3"/>
              <w:rPr>
                <w:color w:val="auto"/>
                <w:highlight w:val="none"/>
              </w:rPr>
            </w:pPr>
            <w:r>
              <w:rPr>
                <w:color w:val="auto"/>
                <w:spacing w:val="13"/>
                <w:highlight w:val="none"/>
              </w:rPr>
              <w:t>具有监理人员培训证书，路桥相关专业</w:t>
            </w:r>
            <w:r>
              <w:rPr>
                <w:color w:val="auto"/>
                <w:spacing w:val="13"/>
                <w:highlight w:val="none"/>
                <w:u w:val="single" w:color="auto"/>
              </w:rPr>
              <w:t>初级及以上</w:t>
            </w:r>
            <w:r>
              <w:rPr>
                <w:color w:val="auto"/>
                <w:spacing w:val="13"/>
                <w:highlight w:val="none"/>
              </w:rPr>
              <w:t>技术职称，从事监理工</w:t>
            </w:r>
            <w:r>
              <w:rPr>
                <w:color w:val="auto"/>
                <w:spacing w:val="2"/>
                <w:highlight w:val="none"/>
              </w:rPr>
              <w:t>作</w:t>
            </w:r>
            <w:r>
              <w:rPr>
                <w:color w:val="auto"/>
                <w:spacing w:val="16"/>
                <w:highlight w:val="none"/>
              </w:rPr>
              <w:t xml:space="preserve"> </w:t>
            </w:r>
            <w:r>
              <w:rPr>
                <w:color w:val="auto"/>
                <w:spacing w:val="2"/>
                <w:highlight w:val="none"/>
                <w:u w:val="single" w:color="auto"/>
              </w:rPr>
              <w:t>2</w:t>
            </w:r>
            <w:r>
              <w:rPr>
                <w:color w:val="auto"/>
                <w:spacing w:val="-37"/>
                <w:highlight w:val="none"/>
                <w:u w:val="single" w:color="auto"/>
              </w:rPr>
              <w:t xml:space="preserve"> </w:t>
            </w:r>
            <w:r>
              <w:rPr>
                <w:color w:val="auto"/>
                <w:spacing w:val="2"/>
                <w:highlight w:val="none"/>
              </w:rPr>
              <w:t>年以上。</w:t>
            </w:r>
          </w:p>
        </w:tc>
      </w:tr>
    </w:tbl>
    <w:p w14:paraId="0BD66DD1">
      <w:pPr>
        <w:spacing w:line="241" w:lineRule="auto"/>
        <w:rPr>
          <w:rFonts w:ascii="Arial"/>
          <w:color w:val="auto"/>
          <w:sz w:val="21"/>
          <w:highlight w:val="none"/>
        </w:rPr>
      </w:pPr>
    </w:p>
    <w:p w14:paraId="28785018">
      <w:pPr>
        <w:spacing w:line="241" w:lineRule="auto"/>
        <w:rPr>
          <w:rFonts w:ascii="Arial"/>
          <w:color w:val="auto"/>
          <w:sz w:val="21"/>
          <w:highlight w:val="none"/>
        </w:rPr>
      </w:pPr>
    </w:p>
    <w:p w14:paraId="651DF11B">
      <w:pPr>
        <w:spacing w:line="229" w:lineRule="auto"/>
        <w:rPr>
          <w:rFonts w:ascii="宋体" w:hAnsi="宋体" w:eastAsia="宋体" w:cs="宋体"/>
          <w:color w:val="auto"/>
          <w:sz w:val="18"/>
          <w:szCs w:val="18"/>
          <w:highlight w:val="none"/>
        </w:rPr>
        <w:sectPr>
          <w:footerReference r:id="rId72" w:type="default"/>
          <w:pgSz w:w="11906" w:h="16839"/>
          <w:pgMar w:top="1417" w:right="1418" w:bottom="1297" w:left="1417" w:header="0" w:footer="1067" w:gutter="0"/>
          <w:pgNumType w:fmt="decimal"/>
          <w:cols w:space="720" w:num="1"/>
        </w:sectPr>
      </w:pPr>
      <w:bookmarkStart w:id="365" w:name="bookmark150"/>
      <w:bookmarkEnd w:id="365"/>
    </w:p>
    <w:p w14:paraId="35BBB4AA">
      <w:pPr>
        <w:spacing w:before="173" w:line="263" w:lineRule="exact"/>
        <w:ind w:left="134"/>
        <w:outlineLvl w:val="1"/>
        <w:rPr>
          <w:rFonts w:ascii="宋体" w:hAnsi="宋体" w:eastAsia="宋体" w:cs="宋体"/>
          <w:color w:val="auto"/>
          <w:sz w:val="10"/>
          <w:szCs w:val="10"/>
          <w:highlight w:val="none"/>
        </w:rPr>
      </w:pPr>
      <w:bookmarkStart w:id="366" w:name="bookmark151"/>
      <w:bookmarkEnd w:id="366"/>
      <w:bookmarkStart w:id="367" w:name="_Toc2246"/>
      <w:bookmarkStart w:id="368" w:name="_Toc30101"/>
      <w:bookmarkStart w:id="369" w:name="_Toc21761"/>
      <w:r>
        <w:rPr>
          <w:rFonts w:ascii="宋体" w:hAnsi="宋体" w:eastAsia="宋体" w:cs="宋体"/>
          <w:b/>
          <w:bCs/>
          <w:color w:val="auto"/>
          <w:spacing w:val="8"/>
          <w:sz w:val="20"/>
          <w:szCs w:val="20"/>
          <w:highlight w:val="none"/>
        </w:rPr>
        <w:t>附件四：主要试验检测设备最低要求</w:t>
      </w:r>
      <w:bookmarkEnd w:id="367"/>
      <w:bookmarkEnd w:id="368"/>
      <w:bookmarkEnd w:id="369"/>
    </w:p>
    <w:p w14:paraId="184323B1">
      <w:pPr>
        <w:spacing w:line="29" w:lineRule="exact"/>
        <w:rPr>
          <w:color w:val="auto"/>
          <w:highlight w:val="none"/>
        </w:rPr>
      </w:pPr>
    </w:p>
    <w:tbl>
      <w:tblPr>
        <w:tblStyle w:val="17"/>
        <w:tblW w:w="928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25"/>
        <w:gridCol w:w="2977"/>
        <w:gridCol w:w="1501"/>
        <w:gridCol w:w="2385"/>
      </w:tblGrid>
      <w:tr w14:paraId="4C3A19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2425" w:type="dxa"/>
            <w:vAlign w:val="top"/>
          </w:tcPr>
          <w:p w14:paraId="76AFA38B">
            <w:pPr>
              <w:pStyle w:val="18"/>
              <w:spacing w:before="211" w:line="229" w:lineRule="auto"/>
              <w:ind w:left="802"/>
              <w:rPr>
                <w:color w:val="auto"/>
                <w:highlight w:val="none"/>
              </w:rPr>
            </w:pPr>
            <w:r>
              <w:rPr>
                <w:color w:val="auto"/>
                <w:spacing w:val="6"/>
                <w:highlight w:val="none"/>
              </w:rPr>
              <w:t>设备名称</w:t>
            </w:r>
          </w:p>
        </w:tc>
        <w:tc>
          <w:tcPr>
            <w:tcW w:w="2977" w:type="dxa"/>
            <w:vAlign w:val="top"/>
          </w:tcPr>
          <w:p w14:paraId="2B0F343E">
            <w:pPr>
              <w:pStyle w:val="18"/>
              <w:spacing w:before="211" w:line="228" w:lineRule="auto"/>
              <w:ind w:left="655"/>
              <w:rPr>
                <w:color w:val="auto"/>
                <w:highlight w:val="none"/>
              </w:rPr>
            </w:pPr>
            <w:r>
              <w:rPr>
                <w:color w:val="auto"/>
                <w:spacing w:val="8"/>
                <w:highlight w:val="none"/>
              </w:rPr>
              <w:t>规格、功率及容量</w:t>
            </w:r>
          </w:p>
        </w:tc>
        <w:tc>
          <w:tcPr>
            <w:tcW w:w="1501" w:type="dxa"/>
            <w:vAlign w:val="top"/>
          </w:tcPr>
          <w:p w14:paraId="2DF83887">
            <w:pPr>
              <w:pStyle w:val="18"/>
              <w:spacing w:before="211" w:line="228" w:lineRule="auto"/>
              <w:ind w:left="549"/>
              <w:rPr>
                <w:color w:val="auto"/>
                <w:highlight w:val="none"/>
              </w:rPr>
            </w:pPr>
            <w:r>
              <w:rPr>
                <w:color w:val="auto"/>
                <w:spacing w:val="3"/>
                <w:highlight w:val="none"/>
              </w:rPr>
              <w:t>单位</w:t>
            </w:r>
          </w:p>
        </w:tc>
        <w:tc>
          <w:tcPr>
            <w:tcW w:w="2385" w:type="dxa"/>
            <w:vAlign w:val="top"/>
          </w:tcPr>
          <w:p w14:paraId="24BB2057">
            <w:pPr>
              <w:pStyle w:val="18"/>
              <w:spacing w:before="211" w:line="228" w:lineRule="auto"/>
              <w:ind w:left="570"/>
              <w:rPr>
                <w:color w:val="auto"/>
                <w:highlight w:val="none"/>
              </w:rPr>
            </w:pPr>
            <w:r>
              <w:rPr>
                <w:color w:val="auto"/>
                <w:spacing w:val="7"/>
                <w:highlight w:val="none"/>
              </w:rPr>
              <w:t>最低数量要求</w:t>
            </w:r>
          </w:p>
        </w:tc>
      </w:tr>
      <w:tr w14:paraId="67F950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2425" w:type="dxa"/>
            <w:vAlign w:val="center"/>
          </w:tcPr>
          <w:p w14:paraId="64770F2B">
            <w:pPr>
              <w:keepNext w:val="0"/>
              <w:keepLines w:val="0"/>
              <w:bidi w:val="0"/>
              <w:jc w:val="center"/>
              <w:rPr>
                <w:rFonts w:hint="eastAsia" w:ascii="Arial" w:eastAsia="宋体"/>
                <w:color w:val="auto"/>
                <w:sz w:val="21"/>
                <w:highlight w:val="none"/>
                <w:lang w:val="en-US" w:eastAsia="zh-CN"/>
              </w:rPr>
            </w:pPr>
            <w:r>
              <w:rPr>
                <w:rFonts w:hint="eastAsia" w:eastAsia="宋体"/>
                <w:color w:val="auto"/>
                <w:sz w:val="21"/>
                <w:highlight w:val="none"/>
                <w:lang w:val="en-US" w:eastAsia="zh-CN"/>
              </w:rPr>
              <w:t>/</w:t>
            </w:r>
          </w:p>
        </w:tc>
        <w:tc>
          <w:tcPr>
            <w:tcW w:w="2977" w:type="dxa"/>
            <w:vAlign w:val="center"/>
          </w:tcPr>
          <w:p w14:paraId="028E41CA">
            <w:pPr>
              <w:keepNext w:val="0"/>
              <w:keepLines w:val="0"/>
              <w:bidi w:val="0"/>
              <w:jc w:val="center"/>
              <w:rPr>
                <w:rFonts w:hint="default" w:ascii="Arial" w:eastAsia="宋体"/>
                <w:color w:val="auto"/>
                <w:sz w:val="21"/>
                <w:highlight w:val="none"/>
                <w:lang w:val="en-US" w:eastAsia="zh-CN"/>
              </w:rPr>
            </w:pPr>
            <w:r>
              <w:rPr>
                <w:rFonts w:hint="eastAsia" w:eastAsia="宋体"/>
                <w:color w:val="auto"/>
                <w:sz w:val="21"/>
                <w:highlight w:val="none"/>
                <w:lang w:val="en-US" w:eastAsia="zh-CN"/>
              </w:rPr>
              <w:t>/</w:t>
            </w:r>
          </w:p>
        </w:tc>
        <w:tc>
          <w:tcPr>
            <w:tcW w:w="1501" w:type="dxa"/>
            <w:vAlign w:val="center"/>
          </w:tcPr>
          <w:p w14:paraId="7046A294">
            <w:pPr>
              <w:keepNext w:val="0"/>
              <w:keepLines w:val="0"/>
              <w:bidi w:val="0"/>
              <w:jc w:val="center"/>
              <w:rPr>
                <w:rFonts w:hint="default" w:ascii="Arial" w:eastAsia="宋体"/>
                <w:color w:val="auto"/>
                <w:sz w:val="21"/>
                <w:highlight w:val="none"/>
                <w:lang w:val="en-US" w:eastAsia="zh-CN"/>
              </w:rPr>
            </w:pPr>
            <w:r>
              <w:rPr>
                <w:rFonts w:hint="eastAsia" w:eastAsia="宋体"/>
                <w:color w:val="auto"/>
                <w:sz w:val="21"/>
                <w:highlight w:val="none"/>
                <w:lang w:val="en-US" w:eastAsia="zh-CN"/>
              </w:rPr>
              <w:t>/</w:t>
            </w:r>
          </w:p>
        </w:tc>
        <w:tc>
          <w:tcPr>
            <w:tcW w:w="2385" w:type="dxa"/>
            <w:vAlign w:val="center"/>
          </w:tcPr>
          <w:p w14:paraId="29196E6B">
            <w:pPr>
              <w:keepNext w:val="0"/>
              <w:keepLines w:val="0"/>
              <w:bidi w:val="0"/>
              <w:jc w:val="center"/>
              <w:rPr>
                <w:rFonts w:hint="eastAsia" w:ascii="Arial" w:eastAsia="宋体"/>
                <w:color w:val="auto"/>
                <w:sz w:val="21"/>
                <w:highlight w:val="none"/>
                <w:lang w:val="en-US" w:eastAsia="zh-CN"/>
              </w:rPr>
            </w:pPr>
            <w:r>
              <w:rPr>
                <w:rFonts w:hint="eastAsia" w:eastAsia="宋体"/>
                <w:color w:val="auto"/>
                <w:sz w:val="21"/>
                <w:highlight w:val="none"/>
                <w:lang w:val="en-US" w:eastAsia="zh-CN"/>
              </w:rPr>
              <w:t>/</w:t>
            </w:r>
          </w:p>
        </w:tc>
      </w:tr>
      <w:tr w14:paraId="3608F9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2425" w:type="dxa"/>
            <w:vAlign w:val="center"/>
          </w:tcPr>
          <w:p w14:paraId="5E68E52F">
            <w:pPr>
              <w:keepNext w:val="0"/>
              <w:keepLines w:val="0"/>
              <w:bidi w:val="0"/>
              <w:jc w:val="center"/>
              <w:rPr>
                <w:rFonts w:ascii="Arial"/>
                <w:color w:val="auto"/>
                <w:sz w:val="21"/>
                <w:highlight w:val="none"/>
              </w:rPr>
            </w:pPr>
          </w:p>
        </w:tc>
        <w:tc>
          <w:tcPr>
            <w:tcW w:w="2977" w:type="dxa"/>
            <w:vAlign w:val="center"/>
          </w:tcPr>
          <w:p w14:paraId="7AED7B77">
            <w:pPr>
              <w:keepNext w:val="0"/>
              <w:keepLines w:val="0"/>
              <w:bidi w:val="0"/>
              <w:jc w:val="center"/>
              <w:rPr>
                <w:rFonts w:ascii="Arial"/>
                <w:color w:val="auto"/>
                <w:sz w:val="21"/>
                <w:highlight w:val="none"/>
              </w:rPr>
            </w:pPr>
          </w:p>
        </w:tc>
        <w:tc>
          <w:tcPr>
            <w:tcW w:w="1501" w:type="dxa"/>
            <w:vAlign w:val="center"/>
          </w:tcPr>
          <w:p w14:paraId="5070F49E">
            <w:pPr>
              <w:keepNext w:val="0"/>
              <w:keepLines w:val="0"/>
              <w:bidi w:val="0"/>
              <w:jc w:val="center"/>
              <w:rPr>
                <w:rFonts w:ascii="Arial"/>
                <w:color w:val="auto"/>
                <w:sz w:val="21"/>
                <w:highlight w:val="none"/>
              </w:rPr>
            </w:pPr>
          </w:p>
        </w:tc>
        <w:tc>
          <w:tcPr>
            <w:tcW w:w="2385" w:type="dxa"/>
            <w:vAlign w:val="center"/>
          </w:tcPr>
          <w:p w14:paraId="728F6DDD">
            <w:pPr>
              <w:keepNext w:val="0"/>
              <w:keepLines w:val="0"/>
              <w:bidi w:val="0"/>
              <w:jc w:val="center"/>
              <w:rPr>
                <w:rFonts w:ascii="Arial"/>
                <w:color w:val="auto"/>
                <w:sz w:val="21"/>
                <w:highlight w:val="none"/>
              </w:rPr>
            </w:pPr>
          </w:p>
        </w:tc>
      </w:tr>
      <w:tr w14:paraId="3D3DB0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2425" w:type="dxa"/>
            <w:vAlign w:val="center"/>
          </w:tcPr>
          <w:p w14:paraId="7BF5425D">
            <w:pPr>
              <w:keepNext w:val="0"/>
              <w:keepLines w:val="0"/>
              <w:bidi w:val="0"/>
              <w:jc w:val="center"/>
              <w:rPr>
                <w:rFonts w:ascii="Arial"/>
                <w:color w:val="auto"/>
                <w:sz w:val="21"/>
                <w:highlight w:val="none"/>
              </w:rPr>
            </w:pPr>
          </w:p>
        </w:tc>
        <w:tc>
          <w:tcPr>
            <w:tcW w:w="2977" w:type="dxa"/>
            <w:vAlign w:val="center"/>
          </w:tcPr>
          <w:p w14:paraId="41E5649F">
            <w:pPr>
              <w:keepNext w:val="0"/>
              <w:keepLines w:val="0"/>
              <w:bidi w:val="0"/>
              <w:jc w:val="center"/>
              <w:rPr>
                <w:rFonts w:ascii="Arial"/>
                <w:color w:val="auto"/>
                <w:sz w:val="21"/>
                <w:highlight w:val="none"/>
              </w:rPr>
            </w:pPr>
          </w:p>
        </w:tc>
        <w:tc>
          <w:tcPr>
            <w:tcW w:w="1501" w:type="dxa"/>
            <w:vAlign w:val="center"/>
          </w:tcPr>
          <w:p w14:paraId="7DDC957B">
            <w:pPr>
              <w:keepNext w:val="0"/>
              <w:keepLines w:val="0"/>
              <w:bidi w:val="0"/>
              <w:jc w:val="center"/>
              <w:rPr>
                <w:rFonts w:ascii="Arial"/>
                <w:color w:val="auto"/>
                <w:sz w:val="21"/>
                <w:highlight w:val="none"/>
              </w:rPr>
            </w:pPr>
          </w:p>
        </w:tc>
        <w:tc>
          <w:tcPr>
            <w:tcW w:w="2385" w:type="dxa"/>
            <w:vAlign w:val="center"/>
          </w:tcPr>
          <w:p w14:paraId="653D5FA2">
            <w:pPr>
              <w:keepNext w:val="0"/>
              <w:keepLines w:val="0"/>
              <w:bidi w:val="0"/>
              <w:jc w:val="center"/>
              <w:rPr>
                <w:rFonts w:ascii="Arial"/>
                <w:color w:val="auto"/>
                <w:sz w:val="21"/>
                <w:highlight w:val="none"/>
              </w:rPr>
            </w:pPr>
          </w:p>
        </w:tc>
      </w:tr>
      <w:tr w14:paraId="081DD2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2425" w:type="dxa"/>
            <w:vAlign w:val="center"/>
          </w:tcPr>
          <w:p w14:paraId="1313DAE9">
            <w:pPr>
              <w:keepNext w:val="0"/>
              <w:keepLines w:val="0"/>
              <w:bidi w:val="0"/>
              <w:jc w:val="center"/>
              <w:rPr>
                <w:rFonts w:ascii="Arial"/>
                <w:color w:val="auto"/>
                <w:sz w:val="21"/>
                <w:highlight w:val="none"/>
              </w:rPr>
            </w:pPr>
          </w:p>
        </w:tc>
        <w:tc>
          <w:tcPr>
            <w:tcW w:w="2977" w:type="dxa"/>
            <w:vAlign w:val="center"/>
          </w:tcPr>
          <w:p w14:paraId="4037E4A4">
            <w:pPr>
              <w:keepNext w:val="0"/>
              <w:keepLines w:val="0"/>
              <w:bidi w:val="0"/>
              <w:jc w:val="center"/>
              <w:rPr>
                <w:rFonts w:ascii="Arial"/>
                <w:color w:val="auto"/>
                <w:sz w:val="21"/>
                <w:highlight w:val="none"/>
              </w:rPr>
            </w:pPr>
          </w:p>
        </w:tc>
        <w:tc>
          <w:tcPr>
            <w:tcW w:w="1501" w:type="dxa"/>
            <w:vAlign w:val="center"/>
          </w:tcPr>
          <w:p w14:paraId="0DE88E2E">
            <w:pPr>
              <w:keepNext w:val="0"/>
              <w:keepLines w:val="0"/>
              <w:bidi w:val="0"/>
              <w:jc w:val="center"/>
              <w:rPr>
                <w:rFonts w:ascii="Arial"/>
                <w:color w:val="auto"/>
                <w:sz w:val="21"/>
                <w:highlight w:val="none"/>
              </w:rPr>
            </w:pPr>
          </w:p>
        </w:tc>
        <w:tc>
          <w:tcPr>
            <w:tcW w:w="2385" w:type="dxa"/>
            <w:vAlign w:val="center"/>
          </w:tcPr>
          <w:p w14:paraId="3B904A98">
            <w:pPr>
              <w:keepNext w:val="0"/>
              <w:keepLines w:val="0"/>
              <w:bidi w:val="0"/>
              <w:jc w:val="center"/>
              <w:rPr>
                <w:rFonts w:ascii="Arial"/>
                <w:color w:val="auto"/>
                <w:sz w:val="21"/>
                <w:highlight w:val="none"/>
              </w:rPr>
            </w:pPr>
          </w:p>
        </w:tc>
      </w:tr>
      <w:tr w14:paraId="22691D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2425" w:type="dxa"/>
            <w:vAlign w:val="center"/>
          </w:tcPr>
          <w:p w14:paraId="07CB837E">
            <w:pPr>
              <w:keepNext w:val="0"/>
              <w:keepLines w:val="0"/>
              <w:bidi w:val="0"/>
              <w:jc w:val="center"/>
              <w:rPr>
                <w:rFonts w:ascii="Arial"/>
                <w:color w:val="auto"/>
                <w:sz w:val="21"/>
                <w:highlight w:val="none"/>
              </w:rPr>
            </w:pPr>
          </w:p>
        </w:tc>
        <w:tc>
          <w:tcPr>
            <w:tcW w:w="2977" w:type="dxa"/>
            <w:vAlign w:val="center"/>
          </w:tcPr>
          <w:p w14:paraId="76CD21A3">
            <w:pPr>
              <w:keepNext w:val="0"/>
              <w:keepLines w:val="0"/>
              <w:bidi w:val="0"/>
              <w:jc w:val="center"/>
              <w:rPr>
                <w:rFonts w:ascii="Arial"/>
                <w:color w:val="auto"/>
                <w:sz w:val="21"/>
                <w:highlight w:val="none"/>
              </w:rPr>
            </w:pPr>
          </w:p>
        </w:tc>
        <w:tc>
          <w:tcPr>
            <w:tcW w:w="1501" w:type="dxa"/>
            <w:vAlign w:val="center"/>
          </w:tcPr>
          <w:p w14:paraId="0CA598D6">
            <w:pPr>
              <w:keepNext w:val="0"/>
              <w:keepLines w:val="0"/>
              <w:bidi w:val="0"/>
              <w:jc w:val="center"/>
              <w:rPr>
                <w:rFonts w:ascii="Arial"/>
                <w:color w:val="auto"/>
                <w:sz w:val="21"/>
                <w:highlight w:val="none"/>
              </w:rPr>
            </w:pPr>
          </w:p>
        </w:tc>
        <w:tc>
          <w:tcPr>
            <w:tcW w:w="2385" w:type="dxa"/>
            <w:vAlign w:val="center"/>
          </w:tcPr>
          <w:p w14:paraId="043E0410">
            <w:pPr>
              <w:keepNext w:val="0"/>
              <w:keepLines w:val="0"/>
              <w:bidi w:val="0"/>
              <w:jc w:val="center"/>
              <w:rPr>
                <w:rFonts w:ascii="Arial"/>
                <w:color w:val="auto"/>
                <w:sz w:val="21"/>
                <w:highlight w:val="none"/>
              </w:rPr>
            </w:pPr>
          </w:p>
        </w:tc>
      </w:tr>
      <w:tr w14:paraId="002A82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2425" w:type="dxa"/>
            <w:vAlign w:val="center"/>
          </w:tcPr>
          <w:p w14:paraId="3F2F8CBE">
            <w:pPr>
              <w:keepNext w:val="0"/>
              <w:keepLines w:val="0"/>
              <w:bidi w:val="0"/>
              <w:jc w:val="center"/>
              <w:rPr>
                <w:rFonts w:ascii="Arial"/>
                <w:color w:val="auto"/>
                <w:sz w:val="21"/>
                <w:highlight w:val="none"/>
              </w:rPr>
            </w:pPr>
          </w:p>
        </w:tc>
        <w:tc>
          <w:tcPr>
            <w:tcW w:w="2977" w:type="dxa"/>
            <w:vAlign w:val="center"/>
          </w:tcPr>
          <w:p w14:paraId="4C8C1EDB">
            <w:pPr>
              <w:keepNext w:val="0"/>
              <w:keepLines w:val="0"/>
              <w:bidi w:val="0"/>
              <w:jc w:val="center"/>
              <w:rPr>
                <w:rFonts w:ascii="Arial"/>
                <w:color w:val="auto"/>
                <w:sz w:val="21"/>
                <w:highlight w:val="none"/>
              </w:rPr>
            </w:pPr>
          </w:p>
        </w:tc>
        <w:tc>
          <w:tcPr>
            <w:tcW w:w="1501" w:type="dxa"/>
            <w:vAlign w:val="center"/>
          </w:tcPr>
          <w:p w14:paraId="7E712FD7">
            <w:pPr>
              <w:keepNext w:val="0"/>
              <w:keepLines w:val="0"/>
              <w:bidi w:val="0"/>
              <w:jc w:val="center"/>
              <w:rPr>
                <w:rFonts w:ascii="Arial"/>
                <w:color w:val="auto"/>
                <w:sz w:val="21"/>
                <w:highlight w:val="none"/>
              </w:rPr>
            </w:pPr>
          </w:p>
        </w:tc>
        <w:tc>
          <w:tcPr>
            <w:tcW w:w="2385" w:type="dxa"/>
            <w:vAlign w:val="center"/>
          </w:tcPr>
          <w:p w14:paraId="226B8189">
            <w:pPr>
              <w:keepNext w:val="0"/>
              <w:keepLines w:val="0"/>
              <w:bidi w:val="0"/>
              <w:jc w:val="center"/>
              <w:rPr>
                <w:rFonts w:ascii="Arial"/>
                <w:color w:val="auto"/>
                <w:sz w:val="21"/>
                <w:highlight w:val="none"/>
              </w:rPr>
            </w:pPr>
          </w:p>
        </w:tc>
      </w:tr>
      <w:tr w14:paraId="111F24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2425" w:type="dxa"/>
            <w:vAlign w:val="center"/>
          </w:tcPr>
          <w:p w14:paraId="5962E23C">
            <w:pPr>
              <w:keepNext w:val="0"/>
              <w:keepLines w:val="0"/>
              <w:bidi w:val="0"/>
              <w:jc w:val="center"/>
              <w:rPr>
                <w:rFonts w:ascii="Arial"/>
                <w:color w:val="auto"/>
                <w:sz w:val="21"/>
                <w:highlight w:val="none"/>
              </w:rPr>
            </w:pPr>
          </w:p>
        </w:tc>
        <w:tc>
          <w:tcPr>
            <w:tcW w:w="2977" w:type="dxa"/>
            <w:vAlign w:val="center"/>
          </w:tcPr>
          <w:p w14:paraId="72A93747">
            <w:pPr>
              <w:keepNext w:val="0"/>
              <w:keepLines w:val="0"/>
              <w:bidi w:val="0"/>
              <w:jc w:val="center"/>
              <w:rPr>
                <w:rFonts w:ascii="Arial"/>
                <w:color w:val="auto"/>
                <w:sz w:val="21"/>
                <w:highlight w:val="none"/>
              </w:rPr>
            </w:pPr>
          </w:p>
        </w:tc>
        <w:tc>
          <w:tcPr>
            <w:tcW w:w="1501" w:type="dxa"/>
            <w:vAlign w:val="center"/>
          </w:tcPr>
          <w:p w14:paraId="09B5B2A9">
            <w:pPr>
              <w:keepNext w:val="0"/>
              <w:keepLines w:val="0"/>
              <w:bidi w:val="0"/>
              <w:jc w:val="center"/>
              <w:rPr>
                <w:rFonts w:ascii="Arial"/>
                <w:color w:val="auto"/>
                <w:sz w:val="21"/>
                <w:highlight w:val="none"/>
              </w:rPr>
            </w:pPr>
          </w:p>
        </w:tc>
        <w:tc>
          <w:tcPr>
            <w:tcW w:w="2385" w:type="dxa"/>
            <w:vAlign w:val="center"/>
          </w:tcPr>
          <w:p w14:paraId="10DBAA2F">
            <w:pPr>
              <w:keepNext w:val="0"/>
              <w:keepLines w:val="0"/>
              <w:bidi w:val="0"/>
              <w:jc w:val="center"/>
              <w:rPr>
                <w:rFonts w:ascii="Arial"/>
                <w:color w:val="auto"/>
                <w:sz w:val="21"/>
                <w:highlight w:val="none"/>
              </w:rPr>
            </w:pPr>
          </w:p>
        </w:tc>
      </w:tr>
      <w:tr w14:paraId="31B57F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2425" w:type="dxa"/>
            <w:vAlign w:val="center"/>
          </w:tcPr>
          <w:p w14:paraId="45B338F2">
            <w:pPr>
              <w:keepNext w:val="0"/>
              <w:keepLines w:val="0"/>
              <w:bidi w:val="0"/>
              <w:jc w:val="center"/>
              <w:rPr>
                <w:rFonts w:ascii="Arial"/>
                <w:color w:val="auto"/>
                <w:sz w:val="21"/>
                <w:highlight w:val="none"/>
              </w:rPr>
            </w:pPr>
          </w:p>
        </w:tc>
        <w:tc>
          <w:tcPr>
            <w:tcW w:w="2977" w:type="dxa"/>
            <w:vAlign w:val="center"/>
          </w:tcPr>
          <w:p w14:paraId="47384F6E">
            <w:pPr>
              <w:keepNext w:val="0"/>
              <w:keepLines w:val="0"/>
              <w:bidi w:val="0"/>
              <w:jc w:val="center"/>
              <w:rPr>
                <w:rFonts w:ascii="Arial"/>
                <w:color w:val="auto"/>
                <w:sz w:val="21"/>
                <w:highlight w:val="none"/>
              </w:rPr>
            </w:pPr>
          </w:p>
        </w:tc>
        <w:tc>
          <w:tcPr>
            <w:tcW w:w="1501" w:type="dxa"/>
            <w:vAlign w:val="center"/>
          </w:tcPr>
          <w:p w14:paraId="787A27FD">
            <w:pPr>
              <w:keepNext w:val="0"/>
              <w:keepLines w:val="0"/>
              <w:bidi w:val="0"/>
              <w:jc w:val="center"/>
              <w:rPr>
                <w:rFonts w:ascii="Arial"/>
                <w:color w:val="auto"/>
                <w:sz w:val="21"/>
                <w:highlight w:val="none"/>
              </w:rPr>
            </w:pPr>
          </w:p>
        </w:tc>
        <w:tc>
          <w:tcPr>
            <w:tcW w:w="2385" w:type="dxa"/>
            <w:vAlign w:val="center"/>
          </w:tcPr>
          <w:p w14:paraId="2ABAC510">
            <w:pPr>
              <w:keepNext w:val="0"/>
              <w:keepLines w:val="0"/>
              <w:bidi w:val="0"/>
              <w:jc w:val="center"/>
              <w:rPr>
                <w:rFonts w:ascii="Arial"/>
                <w:color w:val="auto"/>
                <w:sz w:val="21"/>
                <w:highlight w:val="none"/>
              </w:rPr>
            </w:pPr>
          </w:p>
        </w:tc>
      </w:tr>
      <w:tr w14:paraId="2A4B1A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2425" w:type="dxa"/>
            <w:vAlign w:val="center"/>
          </w:tcPr>
          <w:p w14:paraId="6DE900DC">
            <w:pPr>
              <w:keepNext w:val="0"/>
              <w:keepLines w:val="0"/>
              <w:bidi w:val="0"/>
              <w:jc w:val="center"/>
              <w:rPr>
                <w:rFonts w:ascii="Arial"/>
                <w:color w:val="auto"/>
                <w:sz w:val="21"/>
                <w:highlight w:val="none"/>
              </w:rPr>
            </w:pPr>
          </w:p>
        </w:tc>
        <w:tc>
          <w:tcPr>
            <w:tcW w:w="2977" w:type="dxa"/>
            <w:vAlign w:val="center"/>
          </w:tcPr>
          <w:p w14:paraId="3DF2A59F">
            <w:pPr>
              <w:keepNext w:val="0"/>
              <w:keepLines w:val="0"/>
              <w:bidi w:val="0"/>
              <w:jc w:val="center"/>
              <w:rPr>
                <w:rFonts w:ascii="Arial"/>
                <w:color w:val="auto"/>
                <w:sz w:val="21"/>
                <w:highlight w:val="none"/>
              </w:rPr>
            </w:pPr>
          </w:p>
        </w:tc>
        <w:tc>
          <w:tcPr>
            <w:tcW w:w="1501" w:type="dxa"/>
            <w:vAlign w:val="center"/>
          </w:tcPr>
          <w:p w14:paraId="466E04DC">
            <w:pPr>
              <w:keepNext w:val="0"/>
              <w:keepLines w:val="0"/>
              <w:bidi w:val="0"/>
              <w:jc w:val="center"/>
              <w:rPr>
                <w:rFonts w:ascii="Arial"/>
                <w:color w:val="auto"/>
                <w:sz w:val="21"/>
                <w:highlight w:val="none"/>
              </w:rPr>
            </w:pPr>
          </w:p>
        </w:tc>
        <w:tc>
          <w:tcPr>
            <w:tcW w:w="2385" w:type="dxa"/>
            <w:vAlign w:val="center"/>
          </w:tcPr>
          <w:p w14:paraId="46D45040">
            <w:pPr>
              <w:keepNext w:val="0"/>
              <w:keepLines w:val="0"/>
              <w:bidi w:val="0"/>
              <w:jc w:val="center"/>
              <w:rPr>
                <w:rFonts w:ascii="Arial"/>
                <w:color w:val="auto"/>
                <w:sz w:val="21"/>
                <w:highlight w:val="none"/>
              </w:rPr>
            </w:pPr>
          </w:p>
        </w:tc>
      </w:tr>
      <w:tr w14:paraId="27F13D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2425" w:type="dxa"/>
            <w:vAlign w:val="center"/>
          </w:tcPr>
          <w:p w14:paraId="7477A87E">
            <w:pPr>
              <w:keepNext w:val="0"/>
              <w:keepLines w:val="0"/>
              <w:bidi w:val="0"/>
              <w:jc w:val="center"/>
              <w:rPr>
                <w:rFonts w:ascii="Arial"/>
                <w:color w:val="auto"/>
                <w:sz w:val="21"/>
                <w:highlight w:val="none"/>
              </w:rPr>
            </w:pPr>
          </w:p>
        </w:tc>
        <w:tc>
          <w:tcPr>
            <w:tcW w:w="2977" w:type="dxa"/>
            <w:vAlign w:val="center"/>
          </w:tcPr>
          <w:p w14:paraId="3B0F9D6F">
            <w:pPr>
              <w:keepNext w:val="0"/>
              <w:keepLines w:val="0"/>
              <w:bidi w:val="0"/>
              <w:jc w:val="center"/>
              <w:rPr>
                <w:rFonts w:ascii="Arial"/>
                <w:color w:val="auto"/>
                <w:sz w:val="21"/>
                <w:highlight w:val="none"/>
              </w:rPr>
            </w:pPr>
          </w:p>
        </w:tc>
        <w:tc>
          <w:tcPr>
            <w:tcW w:w="1501" w:type="dxa"/>
            <w:vAlign w:val="center"/>
          </w:tcPr>
          <w:p w14:paraId="27068763">
            <w:pPr>
              <w:keepNext w:val="0"/>
              <w:keepLines w:val="0"/>
              <w:bidi w:val="0"/>
              <w:jc w:val="center"/>
              <w:rPr>
                <w:rFonts w:ascii="Arial"/>
                <w:color w:val="auto"/>
                <w:sz w:val="21"/>
                <w:highlight w:val="none"/>
              </w:rPr>
            </w:pPr>
          </w:p>
        </w:tc>
        <w:tc>
          <w:tcPr>
            <w:tcW w:w="2385" w:type="dxa"/>
            <w:vAlign w:val="center"/>
          </w:tcPr>
          <w:p w14:paraId="1DD23F6D">
            <w:pPr>
              <w:keepNext w:val="0"/>
              <w:keepLines w:val="0"/>
              <w:bidi w:val="0"/>
              <w:jc w:val="center"/>
              <w:rPr>
                <w:rFonts w:ascii="Arial"/>
                <w:color w:val="auto"/>
                <w:sz w:val="21"/>
                <w:highlight w:val="none"/>
              </w:rPr>
            </w:pPr>
          </w:p>
        </w:tc>
      </w:tr>
      <w:tr w14:paraId="266ACF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2425" w:type="dxa"/>
            <w:vAlign w:val="center"/>
          </w:tcPr>
          <w:p w14:paraId="2B53E715">
            <w:pPr>
              <w:keepNext w:val="0"/>
              <w:keepLines w:val="0"/>
              <w:bidi w:val="0"/>
              <w:jc w:val="center"/>
              <w:rPr>
                <w:rFonts w:ascii="Arial"/>
                <w:color w:val="auto"/>
                <w:sz w:val="21"/>
                <w:highlight w:val="none"/>
              </w:rPr>
            </w:pPr>
          </w:p>
        </w:tc>
        <w:tc>
          <w:tcPr>
            <w:tcW w:w="2977" w:type="dxa"/>
            <w:vAlign w:val="center"/>
          </w:tcPr>
          <w:p w14:paraId="08925B34">
            <w:pPr>
              <w:keepNext w:val="0"/>
              <w:keepLines w:val="0"/>
              <w:bidi w:val="0"/>
              <w:jc w:val="center"/>
              <w:rPr>
                <w:rFonts w:ascii="Arial"/>
                <w:color w:val="auto"/>
                <w:sz w:val="21"/>
                <w:highlight w:val="none"/>
              </w:rPr>
            </w:pPr>
          </w:p>
        </w:tc>
        <w:tc>
          <w:tcPr>
            <w:tcW w:w="1501" w:type="dxa"/>
            <w:vAlign w:val="center"/>
          </w:tcPr>
          <w:p w14:paraId="1F4EE44A">
            <w:pPr>
              <w:keepNext w:val="0"/>
              <w:keepLines w:val="0"/>
              <w:bidi w:val="0"/>
              <w:jc w:val="center"/>
              <w:rPr>
                <w:rFonts w:ascii="Arial"/>
                <w:color w:val="auto"/>
                <w:sz w:val="21"/>
                <w:highlight w:val="none"/>
              </w:rPr>
            </w:pPr>
          </w:p>
        </w:tc>
        <w:tc>
          <w:tcPr>
            <w:tcW w:w="2385" w:type="dxa"/>
            <w:vAlign w:val="center"/>
          </w:tcPr>
          <w:p w14:paraId="06477ECE">
            <w:pPr>
              <w:keepNext w:val="0"/>
              <w:keepLines w:val="0"/>
              <w:bidi w:val="0"/>
              <w:jc w:val="center"/>
              <w:rPr>
                <w:rFonts w:ascii="Arial"/>
                <w:color w:val="auto"/>
                <w:sz w:val="21"/>
                <w:highlight w:val="none"/>
              </w:rPr>
            </w:pPr>
          </w:p>
        </w:tc>
      </w:tr>
      <w:tr w14:paraId="5144AC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2425" w:type="dxa"/>
            <w:vAlign w:val="center"/>
          </w:tcPr>
          <w:p w14:paraId="1EF7F19E">
            <w:pPr>
              <w:keepNext w:val="0"/>
              <w:keepLines w:val="0"/>
              <w:bidi w:val="0"/>
              <w:jc w:val="center"/>
              <w:rPr>
                <w:rFonts w:ascii="Arial"/>
                <w:color w:val="auto"/>
                <w:sz w:val="21"/>
                <w:highlight w:val="none"/>
              </w:rPr>
            </w:pPr>
          </w:p>
        </w:tc>
        <w:tc>
          <w:tcPr>
            <w:tcW w:w="2977" w:type="dxa"/>
            <w:vAlign w:val="center"/>
          </w:tcPr>
          <w:p w14:paraId="01C0002A">
            <w:pPr>
              <w:keepNext w:val="0"/>
              <w:keepLines w:val="0"/>
              <w:bidi w:val="0"/>
              <w:jc w:val="center"/>
              <w:rPr>
                <w:rFonts w:ascii="Arial"/>
                <w:color w:val="auto"/>
                <w:sz w:val="21"/>
                <w:highlight w:val="none"/>
              </w:rPr>
            </w:pPr>
          </w:p>
        </w:tc>
        <w:tc>
          <w:tcPr>
            <w:tcW w:w="1501" w:type="dxa"/>
            <w:vAlign w:val="center"/>
          </w:tcPr>
          <w:p w14:paraId="7ED0E09F">
            <w:pPr>
              <w:keepNext w:val="0"/>
              <w:keepLines w:val="0"/>
              <w:bidi w:val="0"/>
              <w:jc w:val="center"/>
              <w:rPr>
                <w:rFonts w:ascii="Arial"/>
                <w:color w:val="auto"/>
                <w:sz w:val="21"/>
                <w:highlight w:val="none"/>
              </w:rPr>
            </w:pPr>
          </w:p>
        </w:tc>
        <w:tc>
          <w:tcPr>
            <w:tcW w:w="2385" w:type="dxa"/>
            <w:vAlign w:val="center"/>
          </w:tcPr>
          <w:p w14:paraId="28DAD99B">
            <w:pPr>
              <w:keepNext w:val="0"/>
              <w:keepLines w:val="0"/>
              <w:bidi w:val="0"/>
              <w:jc w:val="center"/>
              <w:rPr>
                <w:rFonts w:ascii="Arial"/>
                <w:color w:val="auto"/>
                <w:sz w:val="21"/>
                <w:highlight w:val="none"/>
              </w:rPr>
            </w:pPr>
          </w:p>
        </w:tc>
      </w:tr>
      <w:tr w14:paraId="6D9465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2425" w:type="dxa"/>
            <w:vAlign w:val="center"/>
          </w:tcPr>
          <w:p w14:paraId="03E84E85">
            <w:pPr>
              <w:keepNext w:val="0"/>
              <w:keepLines w:val="0"/>
              <w:bidi w:val="0"/>
              <w:jc w:val="center"/>
              <w:rPr>
                <w:rFonts w:ascii="Arial"/>
                <w:color w:val="auto"/>
                <w:sz w:val="21"/>
                <w:highlight w:val="none"/>
              </w:rPr>
            </w:pPr>
          </w:p>
        </w:tc>
        <w:tc>
          <w:tcPr>
            <w:tcW w:w="2977" w:type="dxa"/>
            <w:vAlign w:val="center"/>
          </w:tcPr>
          <w:p w14:paraId="7D077255">
            <w:pPr>
              <w:keepNext w:val="0"/>
              <w:keepLines w:val="0"/>
              <w:bidi w:val="0"/>
              <w:jc w:val="center"/>
              <w:rPr>
                <w:rFonts w:ascii="Arial"/>
                <w:color w:val="auto"/>
                <w:sz w:val="21"/>
                <w:highlight w:val="none"/>
              </w:rPr>
            </w:pPr>
          </w:p>
        </w:tc>
        <w:tc>
          <w:tcPr>
            <w:tcW w:w="1501" w:type="dxa"/>
            <w:vAlign w:val="center"/>
          </w:tcPr>
          <w:p w14:paraId="46FACEF5">
            <w:pPr>
              <w:keepNext w:val="0"/>
              <w:keepLines w:val="0"/>
              <w:bidi w:val="0"/>
              <w:jc w:val="center"/>
              <w:rPr>
                <w:rFonts w:ascii="Arial"/>
                <w:color w:val="auto"/>
                <w:sz w:val="21"/>
                <w:highlight w:val="none"/>
              </w:rPr>
            </w:pPr>
          </w:p>
        </w:tc>
        <w:tc>
          <w:tcPr>
            <w:tcW w:w="2385" w:type="dxa"/>
            <w:vAlign w:val="center"/>
          </w:tcPr>
          <w:p w14:paraId="3B5112E1">
            <w:pPr>
              <w:keepNext w:val="0"/>
              <w:keepLines w:val="0"/>
              <w:bidi w:val="0"/>
              <w:jc w:val="center"/>
              <w:rPr>
                <w:rFonts w:ascii="Arial"/>
                <w:color w:val="auto"/>
                <w:sz w:val="21"/>
                <w:highlight w:val="none"/>
              </w:rPr>
            </w:pPr>
          </w:p>
        </w:tc>
      </w:tr>
      <w:tr w14:paraId="7EC470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2425" w:type="dxa"/>
            <w:vAlign w:val="center"/>
          </w:tcPr>
          <w:p w14:paraId="3E074C9A">
            <w:pPr>
              <w:keepNext w:val="0"/>
              <w:keepLines w:val="0"/>
              <w:bidi w:val="0"/>
              <w:jc w:val="center"/>
              <w:rPr>
                <w:rFonts w:ascii="Arial"/>
                <w:color w:val="auto"/>
                <w:sz w:val="21"/>
                <w:highlight w:val="none"/>
              </w:rPr>
            </w:pPr>
          </w:p>
        </w:tc>
        <w:tc>
          <w:tcPr>
            <w:tcW w:w="2977" w:type="dxa"/>
            <w:vAlign w:val="center"/>
          </w:tcPr>
          <w:p w14:paraId="5DF1F5EC">
            <w:pPr>
              <w:keepNext w:val="0"/>
              <w:keepLines w:val="0"/>
              <w:bidi w:val="0"/>
              <w:jc w:val="center"/>
              <w:rPr>
                <w:rFonts w:ascii="Arial"/>
                <w:color w:val="auto"/>
                <w:sz w:val="21"/>
                <w:highlight w:val="none"/>
              </w:rPr>
            </w:pPr>
          </w:p>
        </w:tc>
        <w:tc>
          <w:tcPr>
            <w:tcW w:w="1501" w:type="dxa"/>
            <w:vAlign w:val="center"/>
          </w:tcPr>
          <w:p w14:paraId="4113A06A">
            <w:pPr>
              <w:keepNext w:val="0"/>
              <w:keepLines w:val="0"/>
              <w:bidi w:val="0"/>
              <w:jc w:val="center"/>
              <w:rPr>
                <w:rFonts w:ascii="Arial"/>
                <w:color w:val="auto"/>
                <w:sz w:val="21"/>
                <w:highlight w:val="none"/>
              </w:rPr>
            </w:pPr>
          </w:p>
        </w:tc>
        <w:tc>
          <w:tcPr>
            <w:tcW w:w="2385" w:type="dxa"/>
            <w:vAlign w:val="center"/>
          </w:tcPr>
          <w:p w14:paraId="4BE37F05">
            <w:pPr>
              <w:keepNext w:val="0"/>
              <w:keepLines w:val="0"/>
              <w:bidi w:val="0"/>
              <w:jc w:val="center"/>
              <w:rPr>
                <w:rFonts w:ascii="Arial"/>
                <w:color w:val="auto"/>
                <w:sz w:val="21"/>
                <w:highlight w:val="none"/>
              </w:rPr>
            </w:pPr>
          </w:p>
        </w:tc>
      </w:tr>
      <w:tr w14:paraId="7940F6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2425" w:type="dxa"/>
            <w:vAlign w:val="center"/>
          </w:tcPr>
          <w:p w14:paraId="2C7BB1C9">
            <w:pPr>
              <w:keepNext w:val="0"/>
              <w:keepLines w:val="0"/>
              <w:bidi w:val="0"/>
              <w:jc w:val="center"/>
              <w:rPr>
                <w:rFonts w:ascii="Arial"/>
                <w:color w:val="auto"/>
                <w:sz w:val="21"/>
                <w:highlight w:val="none"/>
              </w:rPr>
            </w:pPr>
          </w:p>
        </w:tc>
        <w:tc>
          <w:tcPr>
            <w:tcW w:w="2977" w:type="dxa"/>
            <w:vAlign w:val="center"/>
          </w:tcPr>
          <w:p w14:paraId="4520F88C">
            <w:pPr>
              <w:keepNext w:val="0"/>
              <w:keepLines w:val="0"/>
              <w:bidi w:val="0"/>
              <w:jc w:val="center"/>
              <w:rPr>
                <w:rFonts w:ascii="Arial"/>
                <w:color w:val="auto"/>
                <w:sz w:val="21"/>
                <w:highlight w:val="none"/>
              </w:rPr>
            </w:pPr>
          </w:p>
        </w:tc>
        <w:tc>
          <w:tcPr>
            <w:tcW w:w="1501" w:type="dxa"/>
            <w:vAlign w:val="center"/>
          </w:tcPr>
          <w:p w14:paraId="1EB095C6">
            <w:pPr>
              <w:keepNext w:val="0"/>
              <w:keepLines w:val="0"/>
              <w:bidi w:val="0"/>
              <w:jc w:val="center"/>
              <w:rPr>
                <w:rFonts w:ascii="Arial"/>
                <w:color w:val="auto"/>
                <w:sz w:val="21"/>
                <w:highlight w:val="none"/>
              </w:rPr>
            </w:pPr>
          </w:p>
        </w:tc>
        <w:tc>
          <w:tcPr>
            <w:tcW w:w="2385" w:type="dxa"/>
            <w:vAlign w:val="center"/>
          </w:tcPr>
          <w:p w14:paraId="7C78BE19">
            <w:pPr>
              <w:keepNext w:val="0"/>
              <w:keepLines w:val="0"/>
              <w:bidi w:val="0"/>
              <w:jc w:val="center"/>
              <w:rPr>
                <w:rFonts w:ascii="Arial"/>
                <w:color w:val="auto"/>
                <w:sz w:val="21"/>
                <w:highlight w:val="none"/>
              </w:rPr>
            </w:pPr>
          </w:p>
        </w:tc>
      </w:tr>
      <w:tr w14:paraId="1FB9DE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2425" w:type="dxa"/>
            <w:vAlign w:val="center"/>
          </w:tcPr>
          <w:p w14:paraId="066D9463">
            <w:pPr>
              <w:keepNext w:val="0"/>
              <w:keepLines w:val="0"/>
              <w:bidi w:val="0"/>
              <w:jc w:val="center"/>
              <w:rPr>
                <w:rFonts w:ascii="Arial"/>
                <w:color w:val="auto"/>
                <w:sz w:val="21"/>
                <w:highlight w:val="none"/>
              </w:rPr>
            </w:pPr>
          </w:p>
        </w:tc>
        <w:tc>
          <w:tcPr>
            <w:tcW w:w="2977" w:type="dxa"/>
            <w:vAlign w:val="center"/>
          </w:tcPr>
          <w:p w14:paraId="30D46177">
            <w:pPr>
              <w:keepNext w:val="0"/>
              <w:keepLines w:val="0"/>
              <w:bidi w:val="0"/>
              <w:jc w:val="center"/>
              <w:rPr>
                <w:rFonts w:ascii="Arial"/>
                <w:color w:val="auto"/>
                <w:sz w:val="21"/>
                <w:highlight w:val="none"/>
              </w:rPr>
            </w:pPr>
          </w:p>
        </w:tc>
        <w:tc>
          <w:tcPr>
            <w:tcW w:w="1501" w:type="dxa"/>
            <w:vAlign w:val="center"/>
          </w:tcPr>
          <w:p w14:paraId="27ABB402">
            <w:pPr>
              <w:keepNext w:val="0"/>
              <w:keepLines w:val="0"/>
              <w:bidi w:val="0"/>
              <w:jc w:val="center"/>
              <w:rPr>
                <w:rFonts w:ascii="Arial"/>
                <w:color w:val="auto"/>
                <w:sz w:val="21"/>
                <w:highlight w:val="none"/>
              </w:rPr>
            </w:pPr>
          </w:p>
        </w:tc>
        <w:tc>
          <w:tcPr>
            <w:tcW w:w="2385" w:type="dxa"/>
            <w:vAlign w:val="center"/>
          </w:tcPr>
          <w:p w14:paraId="58A154CE">
            <w:pPr>
              <w:keepNext w:val="0"/>
              <w:keepLines w:val="0"/>
              <w:bidi w:val="0"/>
              <w:jc w:val="center"/>
              <w:rPr>
                <w:rFonts w:ascii="Arial"/>
                <w:color w:val="auto"/>
                <w:sz w:val="21"/>
                <w:highlight w:val="none"/>
              </w:rPr>
            </w:pPr>
          </w:p>
        </w:tc>
      </w:tr>
      <w:tr w14:paraId="5A3EEB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2425" w:type="dxa"/>
            <w:vAlign w:val="center"/>
          </w:tcPr>
          <w:p w14:paraId="04C4DECB">
            <w:pPr>
              <w:keepNext w:val="0"/>
              <w:keepLines w:val="0"/>
              <w:bidi w:val="0"/>
              <w:jc w:val="center"/>
              <w:rPr>
                <w:rFonts w:ascii="Arial"/>
                <w:color w:val="auto"/>
                <w:sz w:val="21"/>
                <w:highlight w:val="none"/>
              </w:rPr>
            </w:pPr>
          </w:p>
        </w:tc>
        <w:tc>
          <w:tcPr>
            <w:tcW w:w="2977" w:type="dxa"/>
            <w:vAlign w:val="center"/>
          </w:tcPr>
          <w:p w14:paraId="4E5F24AF">
            <w:pPr>
              <w:keepNext w:val="0"/>
              <w:keepLines w:val="0"/>
              <w:bidi w:val="0"/>
              <w:jc w:val="center"/>
              <w:rPr>
                <w:rFonts w:ascii="Arial"/>
                <w:color w:val="auto"/>
                <w:sz w:val="21"/>
                <w:highlight w:val="none"/>
              </w:rPr>
            </w:pPr>
          </w:p>
        </w:tc>
        <w:tc>
          <w:tcPr>
            <w:tcW w:w="1501" w:type="dxa"/>
            <w:vAlign w:val="center"/>
          </w:tcPr>
          <w:p w14:paraId="668F502A">
            <w:pPr>
              <w:keepNext w:val="0"/>
              <w:keepLines w:val="0"/>
              <w:bidi w:val="0"/>
              <w:jc w:val="center"/>
              <w:rPr>
                <w:rFonts w:ascii="Arial"/>
                <w:color w:val="auto"/>
                <w:sz w:val="21"/>
                <w:highlight w:val="none"/>
              </w:rPr>
            </w:pPr>
          </w:p>
        </w:tc>
        <w:tc>
          <w:tcPr>
            <w:tcW w:w="2385" w:type="dxa"/>
            <w:vAlign w:val="center"/>
          </w:tcPr>
          <w:p w14:paraId="43FE1C73">
            <w:pPr>
              <w:keepNext w:val="0"/>
              <w:keepLines w:val="0"/>
              <w:bidi w:val="0"/>
              <w:jc w:val="center"/>
              <w:rPr>
                <w:rFonts w:ascii="Arial"/>
                <w:color w:val="auto"/>
                <w:sz w:val="21"/>
                <w:highlight w:val="none"/>
              </w:rPr>
            </w:pPr>
          </w:p>
        </w:tc>
      </w:tr>
      <w:tr w14:paraId="04AF0F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2425" w:type="dxa"/>
            <w:vAlign w:val="center"/>
          </w:tcPr>
          <w:p w14:paraId="304F7EBE">
            <w:pPr>
              <w:keepNext w:val="0"/>
              <w:keepLines w:val="0"/>
              <w:bidi w:val="0"/>
              <w:jc w:val="center"/>
              <w:rPr>
                <w:rFonts w:ascii="Arial"/>
                <w:color w:val="auto"/>
                <w:sz w:val="21"/>
                <w:highlight w:val="none"/>
              </w:rPr>
            </w:pPr>
          </w:p>
        </w:tc>
        <w:tc>
          <w:tcPr>
            <w:tcW w:w="2977" w:type="dxa"/>
            <w:vAlign w:val="center"/>
          </w:tcPr>
          <w:p w14:paraId="5151385A">
            <w:pPr>
              <w:keepNext w:val="0"/>
              <w:keepLines w:val="0"/>
              <w:bidi w:val="0"/>
              <w:jc w:val="center"/>
              <w:rPr>
                <w:rFonts w:ascii="Arial"/>
                <w:color w:val="auto"/>
                <w:sz w:val="21"/>
                <w:highlight w:val="none"/>
              </w:rPr>
            </w:pPr>
          </w:p>
        </w:tc>
        <w:tc>
          <w:tcPr>
            <w:tcW w:w="1501" w:type="dxa"/>
            <w:vAlign w:val="center"/>
          </w:tcPr>
          <w:p w14:paraId="60E87E76">
            <w:pPr>
              <w:keepNext w:val="0"/>
              <w:keepLines w:val="0"/>
              <w:bidi w:val="0"/>
              <w:jc w:val="center"/>
              <w:rPr>
                <w:rFonts w:ascii="Arial"/>
                <w:color w:val="auto"/>
                <w:sz w:val="21"/>
                <w:highlight w:val="none"/>
              </w:rPr>
            </w:pPr>
          </w:p>
        </w:tc>
        <w:tc>
          <w:tcPr>
            <w:tcW w:w="2385" w:type="dxa"/>
            <w:vAlign w:val="center"/>
          </w:tcPr>
          <w:p w14:paraId="4D919BF5">
            <w:pPr>
              <w:keepNext w:val="0"/>
              <w:keepLines w:val="0"/>
              <w:bidi w:val="0"/>
              <w:jc w:val="center"/>
              <w:rPr>
                <w:rFonts w:ascii="Arial"/>
                <w:color w:val="auto"/>
                <w:sz w:val="21"/>
                <w:highlight w:val="none"/>
              </w:rPr>
            </w:pPr>
          </w:p>
        </w:tc>
      </w:tr>
      <w:tr w14:paraId="326CC6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2425" w:type="dxa"/>
            <w:vAlign w:val="center"/>
          </w:tcPr>
          <w:p w14:paraId="4A055BF2">
            <w:pPr>
              <w:keepNext w:val="0"/>
              <w:keepLines w:val="0"/>
              <w:bidi w:val="0"/>
              <w:jc w:val="center"/>
              <w:rPr>
                <w:rFonts w:ascii="Arial"/>
                <w:color w:val="auto"/>
                <w:sz w:val="21"/>
                <w:highlight w:val="none"/>
              </w:rPr>
            </w:pPr>
          </w:p>
        </w:tc>
        <w:tc>
          <w:tcPr>
            <w:tcW w:w="2977" w:type="dxa"/>
            <w:vAlign w:val="center"/>
          </w:tcPr>
          <w:p w14:paraId="5B11A36C">
            <w:pPr>
              <w:keepNext w:val="0"/>
              <w:keepLines w:val="0"/>
              <w:bidi w:val="0"/>
              <w:jc w:val="center"/>
              <w:rPr>
                <w:rFonts w:ascii="Arial"/>
                <w:color w:val="auto"/>
                <w:sz w:val="21"/>
                <w:highlight w:val="none"/>
              </w:rPr>
            </w:pPr>
          </w:p>
        </w:tc>
        <w:tc>
          <w:tcPr>
            <w:tcW w:w="1501" w:type="dxa"/>
            <w:vAlign w:val="center"/>
          </w:tcPr>
          <w:p w14:paraId="54CC9BA6">
            <w:pPr>
              <w:keepNext w:val="0"/>
              <w:keepLines w:val="0"/>
              <w:bidi w:val="0"/>
              <w:jc w:val="center"/>
              <w:rPr>
                <w:rFonts w:ascii="Arial"/>
                <w:color w:val="auto"/>
                <w:sz w:val="21"/>
                <w:highlight w:val="none"/>
              </w:rPr>
            </w:pPr>
          </w:p>
        </w:tc>
        <w:tc>
          <w:tcPr>
            <w:tcW w:w="2385" w:type="dxa"/>
            <w:vAlign w:val="center"/>
          </w:tcPr>
          <w:p w14:paraId="5E04DEBF">
            <w:pPr>
              <w:keepNext w:val="0"/>
              <w:keepLines w:val="0"/>
              <w:bidi w:val="0"/>
              <w:jc w:val="center"/>
              <w:rPr>
                <w:rFonts w:ascii="Arial"/>
                <w:color w:val="auto"/>
                <w:sz w:val="21"/>
                <w:highlight w:val="none"/>
              </w:rPr>
            </w:pPr>
          </w:p>
        </w:tc>
      </w:tr>
      <w:tr w14:paraId="717155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2425" w:type="dxa"/>
            <w:vAlign w:val="center"/>
          </w:tcPr>
          <w:p w14:paraId="76B673EA">
            <w:pPr>
              <w:keepNext w:val="0"/>
              <w:keepLines w:val="0"/>
              <w:bidi w:val="0"/>
              <w:jc w:val="center"/>
              <w:rPr>
                <w:rFonts w:ascii="Arial"/>
                <w:color w:val="auto"/>
                <w:sz w:val="21"/>
                <w:highlight w:val="none"/>
              </w:rPr>
            </w:pPr>
          </w:p>
        </w:tc>
        <w:tc>
          <w:tcPr>
            <w:tcW w:w="2977" w:type="dxa"/>
            <w:vAlign w:val="center"/>
          </w:tcPr>
          <w:p w14:paraId="1054635A">
            <w:pPr>
              <w:keepNext w:val="0"/>
              <w:keepLines w:val="0"/>
              <w:bidi w:val="0"/>
              <w:jc w:val="center"/>
              <w:rPr>
                <w:rFonts w:ascii="Arial"/>
                <w:color w:val="auto"/>
                <w:sz w:val="21"/>
                <w:highlight w:val="none"/>
              </w:rPr>
            </w:pPr>
          </w:p>
        </w:tc>
        <w:tc>
          <w:tcPr>
            <w:tcW w:w="1501" w:type="dxa"/>
            <w:vAlign w:val="center"/>
          </w:tcPr>
          <w:p w14:paraId="2C64DC52">
            <w:pPr>
              <w:keepNext w:val="0"/>
              <w:keepLines w:val="0"/>
              <w:bidi w:val="0"/>
              <w:jc w:val="center"/>
              <w:rPr>
                <w:rFonts w:ascii="Arial"/>
                <w:color w:val="auto"/>
                <w:sz w:val="21"/>
                <w:highlight w:val="none"/>
              </w:rPr>
            </w:pPr>
          </w:p>
        </w:tc>
        <w:tc>
          <w:tcPr>
            <w:tcW w:w="2385" w:type="dxa"/>
            <w:vAlign w:val="center"/>
          </w:tcPr>
          <w:p w14:paraId="6AEF9300">
            <w:pPr>
              <w:keepNext w:val="0"/>
              <w:keepLines w:val="0"/>
              <w:bidi w:val="0"/>
              <w:jc w:val="center"/>
              <w:rPr>
                <w:rFonts w:ascii="Arial"/>
                <w:color w:val="auto"/>
                <w:sz w:val="21"/>
                <w:highlight w:val="none"/>
              </w:rPr>
            </w:pPr>
          </w:p>
        </w:tc>
      </w:tr>
      <w:tr w14:paraId="25E486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2425" w:type="dxa"/>
            <w:vAlign w:val="center"/>
          </w:tcPr>
          <w:p w14:paraId="38004F48">
            <w:pPr>
              <w:keepNext w:val="0"/>
              <w:keepLines w:val="0"/>
              <w:bidi w:val="0"/>
              <w:jc w:val="center"/>
              <w:rPr>
                <w:rFonts w:ascii="Arial"/>
                <w:color w:val="auto"/>
                <w:sz w:val="21"/>
                <w:highlight w:val="none"/>
              </w:rPr>
            </w:pPr>
          </w:p>
        </w:tc>
        <w:tc>
          <w:tcPr>
            <w:tcW w:w="2977" w:type="dxa"/>
            <w:vAlign w:val="center"/>
          </w:tcPr>
          <w:p w14:paraId="6D9DC926">
            <w:pPr>
              <w:keepNext w:val="0"/>
              <w:keepLines w:val="0"/>
              <w:bidi w:val="0"/>
              <w:jc w:val="center"/>
              <w:rPr>
                <w:rFonts w:ascii="Arial"/>
                <w:color w:val="auto"/>
                <w:sz w:val="21"/>
                <w:highlight w:val="none"/>
              </w:rPr>
            </w:pPr>
          </w:p>
        </w:tc>
        <w:tc>
          <w:tcPr>
            <w:tcW w:w="1501" w:type="dxa"/>
            <w:vAlign w:val="center"/>
          </w:tcPr>
          <w:p w14:paraId="759D7AE0">
            <w:pPr>
              <w:keepNext w:val="0"/>
              <w:keepLines w:val="0"/>
              <w:bidi w:val="0"/>
              <w:jc w:val="center"/>
              <w:rPr>
                <w:rFonts w:ascii="Arial"/>
                <w:color w:val="auto"/>
                <w:sz w:val="21"/>
                <w:highlight w:val="none"/>
              </w:rPr>
            </w:pPr>
          </w:p>
        </w:tc>
        <w:tc>
          <w:tcPr>
            <w:tcW w:w="2385" w:type="dxa"/>
            <w:vAlign w:val="center"/>
          </w:tcPr>
          <w:p w14:paraId="6E76EB35">
            <w:pPr>
              <w:keepNext w:val="0"/>
              <w:keepLines w:val="0"/>
              <w:bidi w:val="0"/>
              <w:jc w:val="center"/>
              <w:rPr>
                <w:rFonts w:ascii="Arial"/>
                <w:color w:val="auto"/>
                <w:sz w:val="21"/>
                <w:highlight w:val="none"/>
              </w:rPr>
            </w:pPr>
          </w:p>
        </w:tc>
      </w:tr>
      <w:tr w14:paraId="39EBCF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2425" w:type="dxa"/>
            <w:vAlign w:val="center"/>
          </w:tcPr>
          <w:p w14:paraId="49D52F96">
            <w:pPr>
              <w:keepNext w:val="0"/>
              <w:keepLines w:val="0"/>
              <w:bidi w:val="0"/>
              <w:jc w:val="center"/>
              <w:rPr>
                <w:rFonts w:ascii="Arial"/>
                <w:color w:val="auto"/>
                <w:sz w:val="21"/>
                <w:highlight w:val="none"/>
              </w:rPr>
            </w:pPr>
          </w:p>
        </w:tc>
        <w:tc>
          <w:tcPr>
            <w:tcW w:w="2977" w:type="dxa"/>
            <w:vAlign w:val="center"/>
          </w:tcPr>
          <w:p w14:paraId="7D355262">
            <w:pPr>
              <w:keepNext w:val="0"/>
              <w:keepLines w:val="0"/>
              <w:bidi w:val="0"/>
              <w:jc w:val="center"/>
              <w:rPr>
                <w:rFonts w:ascii="Arial"/>
                <w:color w:val="auto"/>
                <w:sz w:val="21"/>
                <w:highlight w:val="none"/>
              </w:rPr>
            </w:pPr>
          </w:p>
        </w:tc>
        <w:tc>
          <w:tcPr>
            <w:tcW w:w="1501" w:type="dxa"/>
            <w:vAlign w:val="center"/>
          </w:tcPr>
          <w:p w14:paraId="11429762">
            <w:pPr>
              <w:keepNext w:val="0"/>
              <w:keepLines w:val="0"/>
              <w:bidi w:val="0"/>
              <w:jc w:val="center"/>
              <w:rPr>
                <w:rFonts w:ascii="Arial"/>
                <w:color w:val="auto"/>
                <w:sz w:val="21"/>
                <w:highlight w:val="none"/>
              </w:rPr>
            </w:pPr>
          </w:p>
        </w:tc>
        <w:tc>
          <w:tcPr>
            <w:tcW w:w="2385" w:type="dxa"/>
            <w:vAlign w:val="center"/>
          </w:tcPr>
          <w:p w14:paraId="7FAFBDC4">
            <w:pPr>
              <w:keepNext w:val="0"/>
              <w:keepLines w:val="0"/>
              <w:bidi w:val="0"/>
              <w:jc w:val="center"/>
              <w:rPr>
                <w:rFonts w:ascii="Arial"/>
                <w:color w:val="auto"/>
                <w:sz w:val="21"/>
                <w:highlight w:val="none"/>
              </w:rPr>
            </w:pPr>
          </w:p>
        </w:tc>
      </w:tr>
      <w:tr w14:paraId="10F8D3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2425" w:type="dxa"/>
            <w:vAlign w:val="center"/>
          </w:tcPr>
          <w:p w14:paraId="3B873D5B">
            <w:pPr>
              <w:keepNext w:val="0"/>
              <w:keepLines w:val="0"/>
              <w:bidi w:val="0"/>
              <w:jc w:val="center"/>
              <w:rPr>
                <w:rFonts w:ascii="Arial"/>
                <w:color w:val="auto"/>
                <w:sz w:val="21"/>
                <w:highlight w:val="none"/>
              </w:rPr>
            </w:pPr>
          </w:p>
        </w:tc>
        <w:tc>
          <w:tcPr>
            <w:tcW w:w="2977" w:type="dxa"/>
            <w:vAlign w:val="center"/>
          </w:tcPr>
          <w:p w14:paraId="07386644">
            <w:pPr>
              <w:keepNext w:val="0"/>
              <w:keepLines w:val="0"/>
              <w:bidi w:val="0"/>
              <w:jc w:val="center"/>
              <w:rPr>
                <w:rFonts w:ascii="Arial"/>
                <w:color w:val="auto"/>
                <w:sz w:val="21"/>
                <w:highlight w:val="none"/>
              </w:rPr>
            </w:pPr>
          </w:p>
        </w:tc>
        <w:tc>
          <w:tcPr>
            <w:tcW w:w="1501" w:type="dxa"/>
            <w:vAlign w:val="center"/>
          </w:tcPr>
          <w:p w14:paraId="27C21D83">
            <w:pPr>
              <w:keepNext w:val="0"/>
              <w:keepLines w:val="0"/>
              <w:bidi w:val="0"/>
              <w:jc w:val="center"/>
              <w:rPr>
                <w:rFonts w:ascii="Arial"/>
                <w:color w:val="auto"/>
                <w:sz w:val="21"/>
                <w:highlight w:val="none"/>
              </w:rPr>
            </w:pPr>
          </w:p>
        </w:tc>
        <w:tc>
          <w:tcPr>
            <w:tcW w:w="2385" w:type="dxa"/>
            <w:vAlign w:val="center"/>
          </w:tcPr>
          <w:p w14:paraId="28DF9368">
            <w:pPr>
              <w:keepNext w:val="0"/>
              <w:keepLines w:val="0"/>
              <w:bidi w:val="0"/>
              <w:jc w:val="center"/>
              <w:rPr>
                <w:rFonts w:ascii="Arial"/>
                <w:color w:val="auto"/>
                <w:sz w:val="21"/>
                <w:highlight w:val="none"/>
              </w:rPr>
            </w:pPr>
          </w:p>
        </w:tc>
      </w:tr>
      <w:tr w14:paraId="081082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2425" w:type="dxa"/>
            <w:vAlign w:val="center"/>
          </w:tcPr>
          <w:p w14:paraId="3CC7B560">
            <w:pPr>
              <w:keepNext w:val="0"/>
              <w:keepLines w:val="0"/>
              <w:bidi w:val="0"/>
              <w:jc w:val="center"/>
              <w:rPr>
                <w:rFonts w:ascii="Arial"/>
                <w:color w:val="auto"/>
                <w:sz w:val="21"/>
                <w:highlight w:val="none"/>
              </w:rPr>
            </w:pPr>
          </w:p>
        </w:tc>
        <w:tc>
          <w:tcPr>
            <w:tcW w:w="2977" w:type="dxa"/>
            <w:vAlign w:val="center"/>
          </w:tcPr>
          <w:p w14:paraId="5E05030B">
            <w:pPr>
              <w:keepNext w:val="0"/>
              <w:keepLines w:val="0"/>
              <w:bidi w:val="0"/>
              <w:jc w:val="center"/>
              <w:rPr>
                <w:rFonts w:ascii="Arial"/>
                <w:color w:val="auto"/>
                <w:sz w:val="21"/>
                <w:highlight w:val="none"/>
              </w:rPr>
            </w:pPr>
          </w:p>
        </w:tc>
        <w:tc>
          <w:tcPr>
            <w:tcW w:w="1501" w:type="dxa"/>
            <w:vAlign w:val="center"/>
          </w:tcPr>
          <w:p w14:paraId="31E611D1">
            <w:pPr>
              <w:keepNext w:val="0"/>
              <w:keepLines w:val="0"/>
              <w:bidi w:val="0"/>
              <w:jc w:val="center"/>
              <w:rPr>
                <w:rFonts w:ascii="Arial"/>
                <w:color w:val="auto"/>
                <w:sz w:val="21"/>
                <w:highlight w:val="none"/>
              </w:rPr>
            </w:pPr>
          </w:p>
        </w:tc>
        <w:tc>
          <w:tcPr>
            <w:tcW w:w="2385" w:type="dxa"/>
            <w:vAlign w:val="center"/>
          </w:tcPr>
          <w:p w14:paraId="4E095BE7">
            <w:pPr>
              <w:keepNext w:val="0"/>
              <w:keepLines w:val="0"/>
              <w:bidi w:val="0"/>
              <w:jc w:val="center"/>
              <w:rPr>
                <w:rFonts w:ascii="Arial"/>
                <w:color w:val="auto"/>
                <w:sz w:val="21"/>
                <w:highlight w:val="none"/>
              </w:rPr>
            </w:pPr>
          </w:p>
        </w:tc>
      </w:tr>
      <w:tr w14:paraId="7CF433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2425" w:type="dxa"/>
            <w:vAlign w:val="center"/>
          </w:tcPr>
          <w:p w14:paraId="06A7D291">
            <w:pPr>
              <w:keepNext w:val="0"/>
              <w:keepLines w:val="0"/>
              <w:bidi w:val="0"/>
              <w:jc w:val="center"/>
              <w:rPr>
                <w:rFonts w:ascii="Arial"/>
                <w:color w:val="auto"/>
                <w:sz w:val="21"/>
                <w:highlight w:val="none"/>
              </w:rPr>
            </w:pPr>
          </w:p>
        </w:tc>
        <w:tc>
          <w:tcPr>
            <w:tcW w:w="2977" w:type="dxa"/>
            <w:vAlign w:val="center"/>
          </w:tcPr>
          <w:p w14:paraId="6BFB25F3">
            <w:pPr>
              <w:keepNext w:val="0"/>
              <w:keepLines w:val="0"/>
              <w:bidi w:val="0"/>
              <w:jc w:val="center"/>
              <w:rPr>
                <w:rFonts w:ascii="Arial"/>
                <w:color w:val="auto"/>
                <w:sz w:val="21"/>
                <w:highlight w:val="none"/>
              </w:rPr>
            </w:pPr>
          </w:p>
        </w:tc>
        <w:tc>
          <w:tcPr>
            <w:tcW w:w="1501" w:type="dxa"/>
            <w:vAlign w:val="center"/>
          </w:tcPr>
          <w:p w14:paraId="163D8425">
            <w:pPr>
              <w:keepNext w:val="0"/>
              <w:keepLines w:val="0"/>
              <w:bidi w:val="0"/>
              <w:jc w:val="center"/>
              <w:rPr>
                <w:rFonts w:ascii="Arial"/>
                <w:color w:val="auto"/>
                <w:sz w:val="21"/>
                <w:highlight w:val="none"/>
              </w:rPr>
            </w:pPr>
          </w:p>
        </w:tc>
        <w:tc>
          <w:tcPr>
            <w:tcW w:w="2385" w:type="dxa"/>
            <w:vAlign w:val="center"/>
          </w:tcPr>
          <w:p w14:paraId="73D4FD53">
            <w:pPr>
              <w:keepNext w:val="0"/>
              <w:keepLines w:val="0"/>
              <w:bidi w:val="0"/>
              <w:jc w:val="center"/>
              <w:rPr>
                <w:rFonts w:ascii="Arial"/>
                <w:color w:val="auto"/>
                <w:sz w:val="21"/>
                <w:highlight w:val="none"/>
              </w:rPr>
            </w:pPr>
          </w:p>
        </w:tc>
      </w:tr>
      <w:tr w14:paraId="1D8709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2425" w:type="dxa"/>
            <w:vAlign w:val="center"/>
          </w:tcPr>
          <w:p w14:paraId="6F10048D">
            <w:pPr>
              <w:keepNext w:val="0"/>
              <w:keepLines w:val="0"/>
              <w:bidi w:val="0"/>
              <w:jc w:val="center"/>
              <w:rPr>
                <w:rFonts w:ascii="Arial"/>
                <w:color w:val="auto"/>
                <w:sz w:val="21"/>
                <w:highlight w:val="none"/>
              </w:rPr>
            </w:pPr>
          </w:p>
        </w:tc>
        <w:tc>
          <w:tcPr>
            <w:tcW w:w="2977" w:type="dxa"/>
            <w:vAlign w:val="center"/>
          </w:tcPr>
          <w:p w14:paraId="51D8FBDE">
            <w:pPr>
              <w:keepNext w:val="0"/>
              <w:keepLines w:val="0"/>
              <w:bidi w:val="0"/>
              <w:jc w:val="center"/>
              <w:rPr>
                <w:rFonts w:ascii="Arial"/>
                <w:color w:val="auto"/>
                <w:sz w:val="21"/>
                <w:highlight w:val="none"/>
              </w:rPr>
            </w:pPr>
          </w:p>
        </w:tc>
        <w:tc>
          <w:tcPr>
            <w:tcW w:w="1501" w:type="dxa"/>
            <w:vAlign w:val="center"/>
          </w:tcPr>
          <w:p w14:paraId="74817DDD">
            <w:pPr>
              <w:keepNext w:val="0"/>
              <w:keepLines w:val="0"/>
              <w:bidi w:val="0"/>
              <w:jc w:val="center"/>
              <w:rPr>
                <w:rFonts w:ascii="Arial"/>
                <w:color w:val="auto"/>
                <w:sz w:val="21"/>
                <w:highlight w:val="none"/>
              </w:rPr>
            </w:pPr>
          </w:p>
        </w:tc>
        <w:tc>
          <w:tcPr>
            <w:tcW w:w="2385" w:type="dxa"/>
            <w:vAlign w:val="center"/>
          </w:tcPr>
          <w:p w14:paraId="6821560D">
            <w:pPr>
              <w:keepNext w:val="0"/>
              <w:keepLines w:val="0"/>
              <w:bidi w:val="0"/>
              <w:jc w:val="center"/>
              <w:rPr>
                <w:rFonts w:ascii="Arial"/>
                <w:color w:val="auto"/>
                <w:sz w:val="21"/>
                <w:highlight w:val="none"/>
              </w:rPr>
            </w:pPr>
          </w:p>
        </w:tc>
      </w:tr>
      <w:tr w14:paraId="6B8080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2425" w:type="dxa"/>
            <w:vAlign w:val="center"/>
          </w:tcPr>
          <w:p w14:paraId="12EFEB01">
            <w:pPr>
              <w:keepNext w:val="0"/>
              <w:keepLines w:val="0"/>
              <w:bidi w:val="0"/>
              <w:jc w:val="center"/>
              <w:rPr>
                <w:rFonts w:ascii="Arial"/>
                <w:color w:val="auto"/>
                <w:sz w:val="21"/>
                <w:highlight w:val="none"/>
              </w:rPr>
            </w:pPr>
          </w:p>
        </w:tc>
        <w:tc>
          <w:tcPr>
            <w:tcW w:w="2977" w:type="dxa"/>
            <w:vAlign w:val="center"/>
          </w:tcPr>
          <w:p w14:paraId="278FBAB7">
            <w:pPr>
              <w:keepNext w:val="0"/>
              <w:keepLines w:val="0"/>
              <w:bidi w:val="0"/>
              <w:jc w:val="center"/>
              <w:rPr>
                <w:rFonts w:ascii="Arial"/>
                <w:color w:val="auto"/>
                <w:sz w:val="21"/>
                <w:highlight w:val="none"/>
              </w:rPr>
            </w:pPr>
          </w:p>
        </w:tc>
        <w:tc>
          <w:tcPr>
            <w:tcW w:w="1501" w:type="dxa"/>
            <w:vAlign w:val="center"/>
          </w:tcPr>
          <w:p w14:paraId="68C8930F">
            <w:pPr>
              <w:keepNext w:val="0"/>
              <w:keepLines w:val="0"/>
              <w:bidi w:val="0"/>
              <w:jc w:val="center"/>
              <w:rPr>
                <w:rFonts w:ascii="Arial"/>
                <w:color w:val="auto"/>
                <w:sz w:val="21"/>
                <w:highlight w:val="none"/>
              </w:rPr>
            </w:pPr>
          </w:p>
        </w:tc>
        <w:tc>
          <w:tcPr>
            <w:tcW w:w="2385" w:type="dxa"/>
            <w:vAlign w:val="center"/>
          </w:tcPr>
          <w:p w14:paraId="54B47C69">
            <w:pPr>
              <w:keepNext w:val="0"/>
              <w:keepLines w:val="0"/>
              <w:bidi w:val="0"/>
              <w:jc w:val="center"/>
              <w:rPr>
                <w:rFonts w:ascii="Arial"/>
                <w:color w:val="auto"/>
                <w:sz w:val="21"/>
                <w:highlight w:val="none"/>
              </w:rPr>
            </w:pPr>
          </w:p>
        </w:tc>
      </w:tr>
      <w:tr w14:paraId="24818E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2425" w:type="dxa"/>
            <w:vAlign w:val="center"/>
          </w:tcPr>
          <w:p w14:paraId="7C8C1E6A">
            <w:pPr>
              <w:keepNext w:val="0"/>
              <w:keepLines w:val="0"/>
              <w:bidi w:val="0"/>
              <w:jc w:val="center"/>
              <w:rPr>
                <w:rFonts w:hint="eastAsia" w:ascii="宋体" w:hAnsi="宋体" w:eastAsia="宋体" w:cs="宋体"/>
                <w:color w:val="auto"/>
                <w:sz w:val="24"/>
                <w:szCs w:val="24"/>
                <w:highlight w:val="none"/>
              </w:rPr>
            </w:pPr>
          </w:p>
        </w:tc>
        <w:tc>
          <w:tcPr>
            <w:tcW w:w="2977" w:type="dxa"/>
            <w:vAlign w:val="center"/>
          </w:tcPr>
          <w:p w14:paraId="1D46786C">
            <w:pPr>
              <w:keepNext w:val="0"/>
              <w:keepLines w:val="0"/>
              <w:bidi w:val="0"/>
              <w:jc w:val="center"/>
              <w:rPr>
                <w:rFonts w:ascii="Arial"/>
                <w:color w:val="auto"/>
                <w:sz w:val="21"/>
                <w:highlight w:val="none"/>
              </w:rPr>
            </w:pPr>
          </w:p>
        </w:tc>
        <w:tc>
          <w:tcPr>
            <w:tcW w:w="1501" w:type="dxa"/>
            <w:vAlign w:val="center"/>
          </w:tcPr>
          <w:p w14:paraId="04960AC5">
            <w:pPr>
              <w:keepNext w:val="0"/>
              <w:keepLines w:val="0"/>
              <w:bidi w:val="0"/>
              <w:jc w:val="center"/>
              <w:rPr>
                <w:rFonts w:hint="eastAsia" w:ascii="宋体" w:hAnsi="宋体" w:eastAsia="宋体" w:cs="宋体"/>
                <w:color w:val="auto"/>
                <w:sz w:val="24"/>
                <w:szCs w:val="24"/>
                <w:highlight w:val="none"/>
              </w:rPr>
            </w:pPr>
          </w:p>
        </w:tc>
        <w:tc>
          <w:tcPr>
            <w:tcW w:w="2385" w:type="dxa"/>
            <w:vAlign w:val="center"/>
          </w:tcPr>
          <w:p w14:paraId="5BDBF0F7">
            <w:pPr>
              <w:keepNext w:val="0"/>
              <w:keepLines w:val="0"/>
              <w:bidi w:val="0"/>
              <w:jc w:val="center"/>
              <w:rPr>
                <w:rFonts w:ascii="Arial"/>
                <w:color w:val="auto"/>
                <w:sz w:val="21"/>
                <w:highlight w:val="none"/>
              </w:rPr>
            </w:pPr>
          </w:p>
        </w:tc>
      </w:tr>
      <w:tr w14:paraId="325EAA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2425" w:type="dxa"/>
            <w:vAlign w:val="center"/>
          </w:tcPr>
          <w:p w14:paraId="6E98C576">
            <w:pPr>
              <w:keepNext w:val="0"/>
              <w:keepLines w:val="0"/>
              <w:bidi w:val="0"/>
              <w:jc w:val="center"/>
              <w:rPr>
                <w:rFonts w:hint="eastAsia" w:ascii="宋体" w:hAnsi="宋体" w:eastAsia="宋体" w:cs="宋体"/>
                <w:color w:val="auto"/>
                <w:sz w:val="24"/>
                <w:szCs w:val="24"/>
                <w:highlight w:val="none"/>
              </w:rPr>
            </w:pPr>
          </w:p>
        </w:tc>
        <w:tc>
          <w:tcPr>
            <w:tcW w:w="2977" w:type="dxa"/>
            <w:vAlign w:val="center"/>
          </w:tcPr>
          <w:p w14:paraId="60AD7D11">
            <w:pPr>
              <w:keepNext w:val="0"/>
              <w:keepLines w:val="0"/>
              <w:bidi w:val="0"/>
              <w:jc w:val="center"/>
              <w:rPr>
                <w:rFonts w:ascii="Arial"/>
                <w:color w:val="auto"/>
                <w:sz w:val="21"/>
                <w:highlight w:val="none"/>
              </w:rPr>
            </w:pPr>
          </w:p>
        </w:tc>
        <w:tc>
          <w:tcPr>
            <w:tcW w:w="1501" w:type="dxa"/>
            <w:vAlign w:val="center"/>
          </w:tcPr>
          <w:p w14:paraId="10EBC350">
            <w:pPr>
              <w:keepNext w:val="0"/>
              <w:keepLines w:val="0"/>
              <w:bidi w:val="0"/>
              <w:jc w:val="center"/>
              <w:rPr>
                <w:rFonts w:hint="eastAsia" w:ascii="宋体" w:hAnsi="宋体" w:eastAsia="宋体" w:cs="宋体"/>
                <w:color w:val="auto"/>
                <w:sz w:val="24"/>
                <w:szCs w:val="24"/>
                <w:highlight w:val="none"/>
              </w:rPr>
            </w:pPr>
          </w:p>
        </w:tc>
        <w:tc>
          <w:tcPr>
            <w:tcW w:w="2385" w:type="dxa"/>
            <w:vAlign w:val="center"/>
          </w:tcPr>
          <w:p w14:paraId="3CE0B4DE">
            <w:pPr>
              <w:keepNext w:val="0"/>
              <w:keepLines w:val="0"/>
              <w:bidi w:val="0"/>
              <w:jc w:val="center"/>
              <w:rPr>
                <w:rFonts w:ascii="Arial"/>
                <w:color w:val="auto"/>
                <w:sz w:val="21"/>
                <w:highlight w:val="none"/>
              </w:rPr>
            </w:pPr>
          </w:p>
        </w:tc>
      </w:tr>
      <w:tr w14:paraId="36E7EC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2425" w:type="dxa"/>
            <w:vAlign w:val="center"/>
          </w:tcPr>
          <w:p w14:paraId="06E91ED1">
            <w:pPr>
              <w:keepNext w:val="0"/>
              <w:keepLines w:val="0"/>
              <w:bidi w:val="0"/>
              <w:jc w:val="center"/>
              <w:rPr>
                <w:rFonts w:hint="eastAsia" w:ascii="宋体" w:hAnsi="宋体" w:eastAsia="宋体" w:cs="宋体"/>
                <w:color w:val="auto"/>
                <w:sz w:val="24"/>
                <w:szCs w:val="24"/>
                <w:highlight w:val="none"/>
              </w:rPr>
            </w:pPr>
          </w:p>
        </w:tc>
        <w:tc>
          <w:tcPr>
            <w:tcW w:w="2977" w:type="dxa"/>
            <w:vAlign w:val="center"/>
          </w:tcPr>
          <w:p w14:paraId="1487DFE2">
            <w:pPr>
              <w:keepNext w:val="0"/>
              <w:keepLines w:val="0"/>
              <w:bidi w:val="0"/>
              <w:jc w:val="center"/>
              <w:rPr>
                <w:rFonts w:ascii="Arial"/>
                <w:color w:val="auto"/>
                <w:sz w:val="21"/>
                <w:highlight w:val="none"/>
              </w:rPr>
            </w:pPr>
          </w:p>
        </w:tc>
        <w:tc>
          <w:tcPr>
            <w:tcW w:w="1501" w:type="dxa"/>
            <w:vAlign w:val="center"/>
          </w:tcPr>
          <w:p w14:paraId="1B2A0982">
            <w:pPr>
              <w:keepNext w:val="0"/>
              <w:keepLines w:val="0"/>
              <w:bidi w:val="0"/>
              <w:jc w:val="center"/>
              <w:rPr>
                <w:rFonts w:hint="eastAsia" w:ascii="宋体" w:hAnsi="宋体" w:eastAsia="宋体" w:cs="宋体"/>
                <w:color w:val="auto"/>
                <w:sz w:val="24"/>
                <w:szCs w:val="24"/>
                <w:highlight w:val="none"/>
              </w:rPr>
            </w:pPr>
          </w:p>
        </w:tc>
        <w:tc>
          <w:tcPr>
            <w:tcW w:w="2385" w:type="dxa"/>
            <w:vAlign w:val="center"/>
          </w:tcPr>
          <w:p w14:paraId="3CB8F211">
            <w:pPr>
              <w:keepNext w:val="0"/>
              <w:keepLines w:val="0"/>
              <w:bidi w:val="0"/>
              <w:jc w:val="center"/>
              <w:rPr>
                <w:rFonts w:ascii="Arial"/>
                <w:color w:val="auto"/>
                <w:sz w:val="21"/>
                <w:highlight w:val="none"/>
              </w:rPr>
            </w:pPr>
          </w:p>
        </w:tc>
      </w:tr>
      <w:tr w14:paraId="075904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2425" w:type="dxa"/>
            <w:vAlign w:val="center"/>
          </w:tcPr>
          <w:p w14:paraId="08497C7B">
            <w:pPr>
              <w:keepNext w:val="0"/>
              <w:keepLines w:val="0"/>
              <w:bidi w:val="0"/>
              <w:jc w:val="center"/>
              <w:rPr>
                <w:rFonts w:hint="eastAsia" w:ascii="宋体" w:hAnsi="宋体" w:eastAsia="宋体" w:cs="宋体"/>
                <w:color w:val="auto"/>
                <w:sz w:val="24"/>
                <w:szCs w:val="24"/>
                <w:highlight w:val="none"/>
              </w:rPr>
            </w:pPr>
          </w:p>
        </w:tc>
        <w:tc>
          <w:tcPr>
            <w:tcW w:w="2977" w:type="dxa"/>
            <w:vAlign w:val="center"/>
          </w:tcPr>
          <w:p w14:paraId="42EC2878">
            <w:pPr>
              <w:keepNext w:val="0"/>
              <w:keepLines w:val="0"/>
              <w:bidi w:val="0"/>
              <w:jc w:val="center"/>
              <w:rPr>
                <w:rFonts w:ascii="Arial"/>
                <w:color w:val="auto"/>
                <w:sz w:val="21"/>
                <w:highlight w:val="none"/>
              </w:rPr>
            </w:pPr>
          </w:p>
        </w:tc>
        <w:tc>
          <w:tcPr>
            <w:tcW w:w="1501" w:type="dxa"/>
            <w:vAlign w:val="center"/>
          </w:tcPr>
          <w:p w14:paraId="75987A0B">
            <w:pPr>
              <w:keepNext w:val="0"/>
              <w:keepLines w:val="0"/>
              <w:bidi w:val="0"/>
              <w:jc w:val="center"/>
              <w:rPr>
                <w:rFonts w:hint="eastAsia" w:ascii="宋体" w:hAnsi="宋体" w:eastAsia="宋体" w:cs="宋体"/>
                <w:color w:val="auto"/>
                <w:sz w:val="24"/>
                <w:szCs w:val="24"/>
                <w:highlight w:val="none"/>
              </w:rPr>
            </w:pPr>
          </w:p>
        </w:tc>
        <w:tc>
          <w:tcPr>
            <w:tcW w:w="2385" w:type="dxa"/>
            <w:vAlign w:val="center"/>
          </w:tcPr>
          <w:p w14:paraId="341C9B39">
            <w:pPr>
              <w:keepNext w:val="0"/>
              <w:keepLines w:val="0"/>
              <w:bidi w:val="0"/>
              <w:jc w:val="center"/>
              <w:rPr>
                <w:rFonts w:ascii="Arial"/>
                <w:color w:val="auto"/>
                <w:sz w:val="21"/>
                <w:highlight w:val="none"/>
              </w:rPr>
            </w:pPr>
          </w:p>
        </w:tc>
      </w:tr>
      <w:tr w14:paraId="1364FB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2425" w:type="dxa"/>
            <w:vAlign w:val="center"/>
          </w:tcPr>
          <w:p w14:paraId="448B24EB">
            <w:pPr>
              <w:keepNext w:val="0"/>
              <w:keepLines w:val="0"/>
              <w:bidi w:val="0"/>
              <w:jc w:val="center"/>
              <w:rPr>
                <w:rFonts w:hint="eastAsia" w:ascii="宋体" w:hAnsi="宋体" w:eastAsia="宋体" w:cs="宋体"/>
                <w:color w:val="auto"/>
                <w:sz w:val="24"/>
                <w:szCs w:val="24"/>
                <w:highlight w:val="none"/>
              </w:rPr>
            </w:pPr>
          </w:p>
        </w:tc>
        <w:tc>
          <w:tcPr>
            <w:tcW w:w="2977" w:type="dxa"/>
            <w:vAlign w:val="center"/>
          </w:tcPr>
          <w:p w14:paraId="158FBB8B">
            <w:pPr>
              <w:keepNext w:val="0"/>
              <w:keepLines w:val="0"/>
              <w:bidi w:val="0"/>
              <w:jc w:val="center"/>
              <w:rPr>
                <w:rFonts w:ascii="Arial"/>
                <w:color w:val="auto"/>
                <w:sz w:val="21"/>
                <w:highlight w:val="none"/>
              </w:rPr>
            </w:pPr>
          </w:p>
        </w:tc>
        <w:tc>
          <w:tcPr>
            <w:tcW w:w="1501" w:type="dxa"/>
            <w:vAlign w:val="center"/>
          </w:tcPr>
          <w:p w14:paraId="19981614">
            <w:pPr>
              <w:keepNext w:val="0"/>
              <w:keepLines w:val="0"/>
              <w:bidi w:val="0"/>
              <w:jc w:val="center"/>
              <w:rPr>
                <w:rFonts w:hint="eastAsia" w:ascii="宋体" w:hAnsi="宋体" w:eastAsia="宋体" w:cs="宋体"/>
                <w:color w:val="auto"/>
                <w:sz w:val="24"/>
                <w:szCs w:val="24"/>
                <w:highlight w:val="none"/>
              </w:rPr>
            </w:pPr>
          </w:p>
        </w:tc>
        <w:tc>
          <w:tcPr>
            <w:tcW w:w="2385" w:type="dxa"/>
            <w:vAlign w:val="center"/>
          </w:tcPr>
          <w:p w14:paraId="7E8D86B5">
            <w:pPr>
              <w:keepNext w:val="0"/>
              <w:keepLines w:val="0"/>
              <w:bidi w:val="0"/>
              <w:jc w:val="center"/>
              <w:rPr>
                <w:rFonts w:ascii="Arial"/>
                <w:color w:val="auto"/>
                <w:sz w:val="21"/>
                <w:highlight w:val="none"/>
              </w:rPr>
            </w:pPr>
          </w:p>
        </w:tc>
      </w:tr>
      <w:tr w14:paraId="3FE332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2425" w:type="dxa"/>
            <w:vAlign w:val="center"/>
          </w:tcPr>
          <w:p w14:paraId="354A91C0">
            <w:pPr>
              <w:keepNext w:val="0"/>
              <w:keepLines w:val="0"/>
              <w:bidi w:val="0"/>
              <w:jc w:val="center"/>
              <w:rPr>
                <w:rFonts w:hint="eastAsia" w:ascii="宋体" w:hAnsi="宋体" w:eastAsia="宋体" w:cs="宋体"/>
                <w:color w:val="auto"/>
                <w:sz w:val="24"/>
                <w:szCs w:val="24"/>
                <w:highlight w:val="none"/>
              </w:rPr>
            </w:pPr>
          </w:p>
        </w:tc>
        <w:tc>
          <w:tcPr>
            <w:tcW w:w="2977" w:type="dxa"/>
            <w:vAlign w:val="center"/>
          </w:tcPr>
          <w:p w14:paraId="0D5C2FFB">
            <w:pPr>
              <w:keepNext w:val="0"/>
              <w:keepLines w:val="0"/>
              <w:bidi w:val="0"/>
              <w:jc w:val="center"/>
              <w:rPr>
                <w:rFonts w:ascii="Arial"/>
                <w:color w:val="auto"/>
                <w:sz w:val="21"/>
                <w:highlight w:val="none"/>
              </w:rPr>
            </w:pPr>
          </w:p>
        </w:tc>
        <w:tc>
          <w:tcPr>
            <w:tcW w:w="1501" w:type="dxa"/>
            <w:vAlign w:val="center"/>
          </w:tcPr>
          <w:p w14:paraId="6CEC909C">
            <w:pPr>
              <w:keepNext w:val="0"/>
              <w:keepLines w:val="0"/>
              <w:bidi w:val="0"/>
              <w:jc w:val="center"/>
              <w:rPr>
                <w:rFonts w:hint="eastAsia" w:ascii="宋体" w:hAnsi="宋体" w:eastAsia="宋体" w:cs="宋体"/>
                <w:color w:val="auto"/>
                <w:sz w:val="24"/>
                <w:szCs w:val="24"/>
                <w:highlight w:val="none"/>
              </w:rPr>
            </w:pPr>
          </w:p>
        </w:tc>
        <w:tc>
          <w:tcPr>
            <w:tcW w:w="2385" w:type="dxa"/>
            <w:vAlign w:val="center"/>
          </w:tcPr>
          <w:p w14:paraId="37BAE257">
            <w:pPr>
              <w:keepNext w:val="0"/>
              <w:keepLines w:val="0"/>
              <w:bidi w:val="0"/>
              <w:jc w:val="center"/>
              <w:rPr>
                <w:rFonts w:ascii="Arial"/>
                <w:color w:val="auto"/>
                <w:sz w:val="21"/>
                <w:highlight w:val="none"/>
              </w:rPr>
            </w:pPr>
          </w:p>
        </w:tc>
      </w:tr>
      <w:tr w14:paraId="73FFF0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2425" w:type="dxa"/>
            <w:vAlign w:val="center"/>
          </w:tcPr>
          <w:p w14:paraId="204E3DC6">
            <w:pPr>
              <w:keepNext w:val="0"/>
              <w:keepLines w:val="0"/>
              <w:bidi w:val="0"/>
              <w:jc w:val="center"/>
              <w:rPr>
                <w:rFonts w:hint="eastAsia" w:ascii="宋体" w:hAnsi="宋体" w:eastAsia="宋体" w:cs="宋体"/>
                <w:color w:val="auto"/>
                <w:sz w:val="24"/>
                <w:szCs w:val="24"/>
                <w:highlight w:val="none"/>
              </w:rPr>
            </w:pPr>
          </w:p>
        </w:tc>
        <w:tc>
          <w:tcPr>
            <w:tcW w:w="2977" w:type="dxa"/>
            <w:vAlign w:val="center"/>
          </w:tcPr>
          <w:p w14:paraId="09DCBDB8">
            <w:pPr>
              <w:keepNext w:val="0"/>
              <w:keepLines w:val="0"/>
              <w:bidi w:val="0"/>
              <w:jc w:val="center"/>
              <w:rPr>
                <w:rFonts w:ascii="Arial"/>
                <w:color w:val="auto"/>
                <w:sz w:val="21"/>
                <w:highlight w:val="none"/>
              </w:rPr>
            </w:pPr>
          </w:p>
        </w:tc>
        <w:tc>
          <w:tcPr>
            <w:tcW w:w="1501" w:type="dxa"/>
            <w:vAlign w:val="center"/>
          </w:tcPr>
          <w:p w14:paraId="27F3E575">
            <w:pPr>
              <w:keepNext w:val="0"/>
              <w:keepLines w:val="0"/>
              <w:bidi w:val="0"/>
              <w:jc w:val="center"/>
              <w:rPr>
                <w:rFonts w:hint="eastAsia" w:ascii="宋体" w:hAnsi="宋体" w:eastAsia="宋体" w:cs="宋体"/>
                <w:color w:val="auto"/>
                <w:sz w:val="24"/>
                <w:szCs w:val="24"/>
                <w:highlight w:val="none"/>
              </w:rPr>
            </w:pPr>
          </w:p>
        </w:tc>
        <w:tc>
          <w:tcPr>
            <w:tcW w:w="2385" w:type="dxa"/>
            <w:vAlign w:val="center"/>
          </w:tcPr>
          <w:p w14:paraId="787130E9">
            <w:pPr>
              <w:keepNext w:val="0"/>
              <w:keepLines w:val="0"/>
              <w:bidi w:val="0"/>
              <w:jc w:val="center"/>
              <w:rPr>
                <w:rFonts w:ascii="Arial"/>
                <w:color w:val="auto"/>
                <w:sz w:val="21"/>
                <w:highlight w:val="none"/>
              </w:rPr>
            </w:pPr>
          </w:p>
        </w:tc>
      </w:tr>
      <w:tr w14:paraId="725623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2425" w:type="dxa"/>
            <w:vAlign w:val="center"/>
          </w:tcPr>
          <w:p w14:paraId="580B0320">
            <w:pPr>
              <w:keepNext w:val="0"/>
              <w:keepLines w:val="0"/>
              <w:bidi w:val="0"/>
              <w:jc w:val="center"/>
              <w:rPr>
                <w:rFonts w:hint="eastAsia" w:ascii="宋体" w:hAnsi="宋体" w:eastAsia="宋体" w:cs="宋体"/>
                <w:color w:val="auto"/>
                <w:sz w:val="24"/>
                <w:szCs w:val="24"/>
                <w:highlight w:val="none"/>
              </w:rPr>
            </w:pPr>
          </w:p>
        </w:tc>
        <w:tc>
          <w:tcPr>
            <w:tcW w:w="2977" w:type="dxa"/>
            <w:vAlign w:val="center"/>
          </w:tcPr>
          <w:p w14:paraId="1034A56F">
            <w:pPr>
              <w:keepNext w:val="0"/>
              <w:keepLines w:val="0"/>
              <w:bidi w:val="0"/>
              <w:jc w:val="center"/>
              <w:rPr>
                <w:rFonts w:ascii="Arial"/>
                <w:color w:val="auto"/>
                <w:sz w:val="21"/>
                <w:highlight w:val="none"/>
              </w:rPr>
            </w:pPr>
          </w:p>
        </w:tc>
        <w:tc>
          <w:tcPr>
            <w:tcW w:w="1501" w:type="dxa"/>
            <w:vAlign w:val="center"/>
          </w:tcPr>
          <w:p w14:paraId="3C5FE105">
            <w:pPr>
              <w:keepNext w:val="0"/>
              <w:keepLines w:val="0"/>
              <w:bidi w:val="0"/>
              <w:jc w:val="center"/>
              <w:rPr>
                <w:rFonts w:hint="eastAsia" w:ascii="宋体" w:hAnsi="宋体" w:eastAsia="宋体" w:cs="宋体"/>
                <w:color w:val="auto"/>
                <w:sz w:val="24"/>
                <w:szCs w:val="24"/>
                <w:highlight w:val="none"/>
              </w:rPr>
            </w:pPr>
          </w:p>
        </w:tc>
        <w:tc>
          <w:tcPr>
            <w:tcW w:w="2385" w:type="dxa"/>
            <w:vAlign w:val="center"/>
          </w:tcPr>
          <w:p w14:paraId="549281B1">
            <w:pPr>
              <w:keepNext w:val="0"/>
              <w:keepLines w:val="0"/>
              <w:bidi w:val="0"/>
              <w:jc w:val="center"/>
              <w:rPr>
                <w:rFonts w:ascii="Arial"/>
                <w:color w:val="auto"/>
                <w:sz w:val="21"/>
                <w:highlight w:val="none"/>
              </w:rPr>
            </w:pPr>
          </w:p>
        </w:tc>
      </w:tr>
    </w:tbl>
    <w:p w14:paraId="4A18ECAC">
      <w:pPr>
        <w:spacing w:line="246" w:lineRule="auto"/>
        <w:rPr>
          <w:rFonts w:ascii="Arial"/>
          <w:color w:val="auto"/>
          <w:sz w:val="21"/>
          <w:highlight w:val="none"/>
        </w:rPr>
      </w:pPr>
    </w:p>
    <w:p w14:paraId="45AB2C85">
      <w:pPr>
        <w:spacing w:line="246" w:lineRule="auto"/>
        <w:rPr>
          <w:rFonts w:ascii="Arial"/>
          <w:color w:val="auto"/>
          <w:sz w:val="21"/>
          <w:highlight w:val="none"/>
        </w:rPr>
      </w:pPr>
    </w:p>
    <w:p w14:paraId="64EDA108">
      <w:pPr>
        <w:spacing w:line="246" w:lineRule="auto"/>
        <w:rPr>
          <w:rFonts w:ascii="Arial"/>
          <w:color w:val="auto"/>
          <w:sz w:val="21"/>
          <w:highlight w:val="none"/>
        </w:rPr>
      </w:pPr>
    </w:p>
    <w:p w14:paraId="22842779">
      <w:pPr>
        <w:spacing w:line="246" w:lineRule="auto"/>
        <w:rPr>
          <w:rFonts w:ascii="Arial"/>
          <w:color w:val="auto"/>
          <w:sz w:val="21"/>
          <w:highlight w:val="none"/>
        </w:rPr>
      </w:pPr>
    </w:p>
    <w:p w14:paraId="7D99061F">
      <w:pPr>
        <w:spacing w:line="246" w:lineRule="auto"/>
        <w:rPr>
          <w:rFonts w:ascii="Arial"/>
          <w:color w:val="auto"/>
          <w:sz w:val="21"/>
          <w:highlight w:val="none"/>
        </w:rPr>
      </w:pPr>
    </w:p>
    <w:p w14:paraId="385160E9">
      <w:pPr>
        <w:spacing w:line="247" w:lineRule="auto"/>
        <w:rPr>
          <w:rFonts w:ascii="Arial"/>
          <w:color w:val="auto"/>
          <w:sz w:val="21"/>
          <w:highlight w:val="none"/>
        </w:rPr>
      </w:pPr>
    </w:p>
    <w:p w14:paraId="4F9072B6">
      <w:pPr>
        <w:spacing w:before="190" w:line="227" w:lineRule="auto"/>
        <w:jc w:val="left"/>
        <w:outlineLvl w:val="1"/>
        <w:rPr>
          <w:rFonts w:ascii="宋体" w:hAnsi="宋体" w:eastAsia="宋体" w:cs="宋体"/>
          <w:b/>
          <w:bCs/>
          <w:color w:val="auto"/>
          <w:spacing w:val="7"/>
          <w:sz w:val="20"/>
          <w:szCs w:val="20"/>
          <w:highlight w:val="none"/>
        </w:rPr>
      </w:pPr>
      <w:bookmarkStart w:id="370" w:name="bookmark152"/>
      <w:bookmarkEnd w:id="370"/>
      <w:bookmarkStart w:id="371" w:name="_Toc28414"/>
      <w:bookmarkStart w:id="372" w:name="_Toc15222"/>
      <w:bookmarkStart w:id="373" w:name="_Toc6115"/>
      <w:r>
        <w:rPr>
          <w:rFonts w:ascii="宋体" w:hAnsi="宋体" w:eastAsia="宋体" w:cs="宋体"/>
          <w:b/>
          <w:bCs/>
          <w:color w:val="auto"/>
          <w:spacing w:val="7"/>
          <w:sz w:val="20"/>
          <w:szCs w:val="20"/>
          <w:highlight w:val="none"/>
        </w:rPr>
        <w:t>附件五：主要生活办公设施最低要求</w:t>
      </w:r>
      <w:r>
        <w:rPr>
          <w:rFonts w:ascii="宋体" w:hAnsi="宋体" w:eastAsia="宋体" w:cs="宋体"/>
          <w:b/>
          <w:bCs/>
          <w:color w:val="auto"/>
          <w:spacing w:val="7"/>
          <w:sz w:val="20"/>
          <w:szCs w:val="20"/>
          <w:highlight w:val="none"/>
          <w:vertAlign w:val="superscript"/>
        </w:rPr>
        <w:fldChar w:fldCharType="begin"/>
      </w:r>
      <w:r>
        <w:rPr>
          <w:rFonts w:ascii="宋体" w:hAnsi="宋体" w:eastAsia="宋体" w:cs="宋体"/>
          <w:b/>
          <w:bCs/>
          <w:color w:val="auto"/>
          <w:spacing w:val="7"/>
          <w:sz w:val="20"/>
          <w:szCs w:val="20"/>
          <w:highlight w:val="none"/>
          <w:vertAlign w:val="superscript"/>
        </w:rPr>
        <w:instrText xml:space="preserve"> HYPERLINK \l "bookmark153" </w:instrText>
      </w:r>
      <w:r>
        <w:rPr>
          <w:rFonts w:ascii="宋体" w:hAnsi="宋体" w:eastAsia="宋体" w:cs="宋体"/>
          <w:b/>
          <w:bCs/>
          <w:color w:val="auto"/>
          <w:spacing w:val="7"/>
          <w:sz w:val="20"/>
          <w:szCs w:val="20"/>
          <w:highlight w:val="none"/>
          <w:vertAlign w:val="superscript"/>
        </w:rPr>
        <w:fldChar w:fldCharType="separate"/>
      </w:r>
      <w:r>
        <w:rPr>
          <w:rFonts w:ascii="宋体" w:hAnsi="宋体" w:eastAsia="宋体" w:cs="宋体"/>
          <w:b/>
          <w:bCs/>
          <w:color w:val="auto"/>
          <w:spacing w:val="7"/>
          <w:sz w:val="20"/>
          <w:szCs w:val="20"/>
          <w:highlight w:val="none"/>
          <w:vertAlign w:val="superscript"/>
        </w:rPr>
        <w:t>①</w:t>
      </w:r>
      <w:r>
        <w:rPr>
          <w:rFonts w:ascii="宋体" w:hAnsi="宋体" w:eastAsia="宋体" w:cs="宋体"/>
          <w:b/>
          <w:bCs/>
          <w:color w:val="auto"/>
          <w:spacing w:val="7"/>
          <w:sz w:val="20"/>
          <w:szCs w:val="20"/>
          <w:highlight w:val="none"/>
          <w:vertAlign w:val="superscript"/>
        </w:rPr>
        <w:fldChar w:fldCharType="end"/>
      </w:r>
      <w:bookmarkEnd w:id="371"/>
      <w:bookmarkEnd w:id="372"/>
      <w:bookmarkEnd w:id="373"/>
    </w:p>
    <w:p w14:paraId="3681B23E">
      <w:pPr>
        <w:spacing w:line="29" w:lineRule="exact"/>
        <w:rPr>
          <w:color w:val="auto"/>
          <w:highlight w:val="none"/>
        </w:rPr>
      </w:pPr>
    </w:p>
    <w:tbl>
      <w:tblPr>
        <w:tblStyle w:val="17"/>
        <w:tblW w:w="929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80"/>
        <w:gridCol w:w="4896"/>
        <w:gridCol w:w="1050"/>
        <w:gridCol w:w="2164"/>
      </w:tblGrid>
      <w:tr w14:paraId="0883CB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1180" w:type="dxa"/>
            <w:vAlign w:val="top"/>
          </w:tcPr>
          <w:p w14:paraId="04A4FC15">
            <w:pPr>
              <w:pStyle w:val="18"/>
              <w:spacing w:before="163" w:line="217" w:lineRule="auto"/>
              <w:ind w:left="384"/>
              <w:rPr>
                <w:color w:val="auto"/>
                <w:highlight w:val="none"/>
              </w:rPr>
            </w:pPr>
            <w:r>
              <w:rPr>
                <w:b/>
                <w:bCs/>
                <w:color w:val="auto"/>
                <w:spacing w:val="4"/>
                <w:highlight w:val="none"/>
              </w:rPr>
              <w:t>序号</w:t>
            </w:r>
          </w:p>
        </w:tc>
        <w:tc>
          <w:tcPr>
            <w:tcW w:w="4896" w:type="dxa"/>
            <w:vAlign w:val="top"/>
          </w:tcPr>
          <w:p w14:paraId="354D8D21">
            <w:pPr>
              <w:pStyle w:val="18"/>
              <w:spacing w:before="163" w:line="217" w:lineRule="auto"/>
              <w:ind w:left="1718"/>
              <w:rPr>
                <w:color w:val="auto"/>
                <w:highlight w:val="none"/>
              </w:rPr>
            </w:pPr>
            <w:r>
              <w:rPr>
                <w:b/>
                <w:bCs/>
                <w:color w:val="auto"/>
                <w:spacing w:val="6"/>
                <w:highlight w:val="none"/>
              </w:rPr>
              <w:t>设备与设施名称</w:t>
            </w:r>
          </w:p>
        </w:tc>
        <w:tc>
          <w:tcPr>
            <w:tcW w:w="1050" w:type="dxa"/>
            <w:vAlign w:val="top"/>
          </w:tcPr>
          <w:p w14:paraId="52BAFF43">
            <w:pPr>
              <w:pStyle w:val="18"/>
              <w:spacing w:before="163" w:line="217" w:lineRule="auto"/>
              <w:ind w:left="322"/>
              <w:rPr>
                <w:color w:val="auto"/>
                <w:highlight w:val="none"/>
              </w:rPr>
            </w:pPr>
            <w:r>
              <w:rPr>
                <w:b/>
                <w:bCs/>
                <w:color w:val="auto"/>
                <w:spacing w:val="3"/>
                <w:highlight w:val="none"/>
              </w:rPr>
              <w:t>单位</w:t>
            </w:r>
          </w:p>
        </w:tc>
        <w:tc>
          <w:tcPr>
            <w:tcW w:w="2164" w:type="dxa"/>
            <w:vAlign w:val="top"/>
          </w:tcPr>
          <w:p w14:paraId="6A84C0F1">
            <w:pPr>
              <w:pStyle w:val="18"/>
              <w:spacing w:before="163" w:line="217" w:lineRule="auto"/>
              <w:ind w:left="667"/>
              <w:rPr>
                <w:color w:val="auto"/>
                <w:highlight w:val="none"/>
              </w:rPr>
            </w:pPr>
            <w:r>
              <w:rPr>
                <w:b/>
                <w:bCs/>
                <w:color w:val="auto"/>
                <w:spacing w:val="6"/>
                <w:highlight w:val="none"/>
              </w:rPr>
              <w:t>数量要求</w:t>
            </w:r>
          </w:p>
        </w:tc>
      </w:tr>
      <w:tr w14:paraId="55600B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9290" w:type="dxa"/>
            <w:gridSpan w:val="4"/>
            <w:vAlign w:val="top"/>
          </w:tcPr>
          <w:p w14:paraId="0C13928A">
            <w:pPr>
              <w:pStyle w:val="18"/>
              <w:spacing w:before="160" w:line="216" w:lineRule="auto"/>
              <w:ind w:left="4024"/>
              <w:rPr>
                <w:color w:val="auto"/>
                <w:highlight w:val="none"/>
              </w:rPr>
            </w:pPr>
            <w:r>
              <w:rPr>
                <w:color w:val="auto"/>
                <w:spacing w:val="7"/>
                <w:highlight w:val="none"/>
              </w:rPr>
              <w:t>一、办公设备</w:t>
            </w:r>
          </w:p>
        </w:tc>
      </w:tr>
      <w:tr w14:paraId="18C971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180" w:type="dxa"/>
            <w:vAlign w:val="top"/>
          </w:tcPr>
          <w:p w14:paraId="3E24E2AF">
            <w:pPr>
              <w:pStyle w:val="18"/>
              <w:spacing w:before="161" w:line="215" w:lineRule="auto"/>
              <w:ind w:left="559"/>
              <w:rPr>
                <w:color w:val="auto"/>
                <w:highlight w:val="none"/>
              </w:rPr>
            </w:pPr>
            <w:r>
              <w:rPr>
                <w:color w:val="auto"/>
                <w:highlight w:val="none"/>
              </w:rPr>
              <w:t>1</w:t>
            </w:r>
          </w:p>
        </w:tc>
        <w:tc>
          <w:tcPr>
            <w:tcW w:w="4896" w:type="dxa"/>
            <w:vAlign w:val="top"/>
          </w:tcPr>
          <w:p w14:paraId="1E743BDD">
            <w:pPr>
              <w:pStyle w:val="18"/>
              <w:spacing w:before="161" w:line="215" w:lineRule="auto"/>
              <w:ind w:left="1943"/>
              <w:rPr>
                <w:color w:val="auto"/>
                <w:highlight w:val="none"/>
              </w:rPr>
            </w:pPr>
            <w:r>
              <w:rPr>
                <w:color w:val="auto"/>
                <w:spacing w:val="4"/>
                <w:highlight w:val="none"/>
              </w:rPr>
              <w:t>台式计算机</w:t>
            </w:r>
          </w:p>
        </w:tc>
        <w:tc>
          <w:tcPr>
            <w:tcW w:w="1050" w:type="dxa"/>
            <w:vAlign w:val="top"/>
          </w:tcPr>
          <w:p w14:paraId="0ACFE8BB">
            <w:pPr>
              <w:pStyle w:val="18"/>
              <w:spacing w:before="161" w:line="215" w:lineRule="auto"/>
              <w:ind w:left="443"/>
              <w:rPr>
                <w:color w:val="auto"/>
                <w:highlight w:val="none"/>
              </w:rPr>
            </w:pPr>
            <w:r>
              <w:rPr>
                <w:color w:val="auto"/>
                <w:highlight w:val="none"/>
              </w:rPr>
              <w:t>台</w:t>
            </w:r>
          </w:p>
        </w:tc>
        <w:tc>
          <w:tcPr>
            <w:tcW w:w="2164" w:type="dxa"/>
            <w:vAlign w:val="center"/>
          </w:tcPr>
          <w:p w14:paraId="6E077DBB">
            <w:pPr>
              <w:jc w:val="center"/>
              <w:rPr>
                <w:rFonts w:hint="eastAsia" w:ascii="Arial" w:eastAsia="宋体"/>
                <w:color w:val="auto"/>
                <w:sz w:val="21"/>
                <w:highlight w:val="none"/>
                <w:lang w:val="en-US" w:eastAsia="zh-CN"/>
              </w:rPr>
            </w:pPr>
            <w:r>
              <w:rPr>
                <w:rFonts w:hint="eastAsia" w:eastAsia="宋体"/>
                <w:color w:val="auto"/>
                <w:sz w:val="21"/>
                <w:highlight w:val="none"/>
                <w:lang w:val="en-US" w:eastAsia="zh-CN"/>
              </w:rPr>
              <w:t>2</w:t>
            </w:r>
          </w:p>
        </w:tc>
      </w:tr>
      <w:tr w14:paraId="540C70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180" w:type="dxa"/>
            <w:vAlign w:val="top"/>
          </w:tcPr>
          <w:p w14:paraId="2C06AE0A">
            <w:pPr>
              <w:pStyle w:val="18"/>
              <w:spacing w:before="162" w:line="214" w:lineRule="auto"/>
              <w:ind w:left="546"/>
              <w:rPr>
                <w:color w:val="auto"/>
                <w:highlight w:val="none"/>
              </w:rPr>
            </w:pPr>
            <w:r>
              <w:rPr>
                <w:color w:val="auto"/>
                <w:highlight w:val="none"/>
              </w:rPr>
              <w:t>2</w:t>
            </w:r>
          </w:p>
        </w:tc>
        <w:tc>
          <w:tcPr>
            <w:tcW w:w="4896" w:type="dxa"/>
            <w:vAlign w:val="top"/>
          </w:tcPr>
          <w:p w14:paraId="2DCA5F02">
            <w:pPr>
              <w:pStyle w:val="18"/>
              <w:spacing w:before="162" w:line="214" w:lineRule="auto"/>
              <w:ind w:left="1930"/>
              <w:rPr>
                <w:color w:val="auto"/>
                <w:highlight w:val="none"/>
              </w:rPr>
            </w:pPr>
            <w:r>
              <w:rPr>
                <w:color w:val="auto"/>
                <w:spacing w:val="7"/>
                <w:highlight w:val="none"/>
              </w:rPr>
              <w:t>笔记本电脑</w:t>
            </w:r>
          </w:p>
        </w:tc>
        <w:tc>
          <w:tcPr>
            <w:tcW w:w="1050" w:type="dxa"/>
            <w:vAlign w:val="top"/>
          </w:tcPr>
          <w:p w14:paraId="4EEF27FA">
            <w:pPr>
              <w:pStyle w:val="18"/>
              <w:spacing w:before="162" w:line="214" w:lineRule="auto"/>
              <w:ind w:left="443"/>
              <w:rPr>
                <w:color w:val="auto"/>
                <w:highlight w:val="none"/>
              </w:rPr>
            </w:pPr>
            <w:r>
              <w:rPr>
                <w:color w:val="auto"/>
                <w:highlight w:val="none"/>
              </w:rPr>
              <w:t>台</w:t>
            </w:r>
          </w:p>
        </w:tc>
        <w:tc>
          <w:tcPr>
            <w:tcW w:w="2164" w:type="dxa"/>
            <w:vAlign w:val="center"/>
          </w:tcPr>
          <w:p w14:paraId="181F7EF6">
            <w:pPr>
              <w:jc w:val="center"/>
              <w:rPr>
                <w:rFonts w:hint="eastAsia" w:ascii="Arial" w:eastAsia="宋体"/>
                <w:color w:val="auto"/>
                <w:sz w:val="21"/>
                <w:highlight w:val="none"/>
                <w:lang w:val="en-US" w:eastAsia="zh-CN"/>
              </w:rPr>
            </w:pPr>
            <w:r>
              <w:rPr>
                <w:rFonts w:hint="eastAsia" w:eastAsia="宋体"/>
                <w:color w:val="auto"/>
                <w:sz w:val="21"/>
                <w:highlight w:val="none"/>
                <w:lang w:val="en-US" w:eastAsia="zh-CN"/>
              </w:rPr>
              <w:t>1</w:t>
            </w:r>
          </w:p>
        </w:tc>
      </w:tr>
      <w:tr w14:paraId="63E274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180" w:type="dxa"/>
            <w:vAlign w:val="top"/>
          </w:tcPr>
          <w:p w14:paraId="026C48C5">
            <w:pPr>
              <w:pStyle w:val="18"/>
              <w:spacing w:before="164" w:line="212" w:lineRule="auto"/>
              <w:ind w:left="547"/>
              <w:rPr>
                <w:color w:val="auto"/>
                <w:highlight w:val="none"/>
              </w:rPr>
            </w:pPr>
            <w:r>
              <w:rPr>
                <w:color w:val="auto"/>
                <w:highlight w:val="none"/>
              </w:rPr>
              <w:t>3</w:t>
            </w:r>
          </w:p>
        </w:tc>
        <w:tc>
          <w:tcPr>
            <w:tcW w:w="4896" w:type="dxa"/>
            <w:vAlign w:val="top"/>
          </w:tcPr>
          <w:p w14:paraId="2557ECFF">
            <w:pPr>
              <w:pStyle w:val="18"/>
              <w:spacing w:before="164" w:line="212" w:lineRule="auto"/>
              <w:ind w:left="1742"/>
              <w:rPr>
                <w:color w:val="auto"/>
                <w:highlight w:val="none"/>
              </w:rPr>
            </w:pPr>
            <w:r>
              <w:rPr>
                <w:color w:val="auto"/>
                <w:spacing w:val="3"/>
                <w:highlight w:val="none"/>
              </w:rPr>
              <w:t>电话机（有线）</w:t>
            </w:r>
          </w:p>
        </w:tc>
        <w:tc>
          <w:tcPr>
            <w:tcW w:w="1050" w:type="dxa"/>
            <w:vAlign w:val="top"/>
          </w:tcPr>
          <w:p w14:paraId="55451284">
            <w:pPr>
              <w:pStyle w:val="18"/>
              <w:spacing w:before="164" w:line="212" w:lineRule="auto"/>
              <w:ind w:left="443"/>
              <w:rPr>
                <w:color w:val="auto"/>
                <w:highlight w:val="none"/>
              </w:rPr>
            </w:pPr>
            <w:r>
              <w:rPr>
                <w:color w:val="auto"/>
                <w:highlight w:val="none"/>
              </w:rPr>
              <w:t>台</w:t>
            </w:r>
          </w:p>
        </w:tc>
        <w:tc>
          <w:tcPr>
            <w:tcW w:w="2164" w:type="dxa"/>
            <w:vAlign w:val="center"/>
          </w:tcPr>
          <w:p w14:paraId="44BAEC0F">
            <w:pPr>
              <w:keepNext w:val="0"/>
              <w:keepLines w:val="0"/>
              <w:bidi w:val="0"/>
              <w:jc w:val="center"/>
              <w:rPr>
                <w:rFonts w:ascii="Arial"/>
                <w:color w:val="auto"/>
                <w:sz w:val="21"/>
                <w:highlight w:val="none"/>
              </w:rPr>
            </w:pPr>
            <w:r>
              <w:rPr>
                <w:rFonts w:hint="eastAsia" w:ascii="宋体" w:hAnsi="宋体" w:eastAsia="宋体" w:cs="宋体"/>
                <w:color w:val="auto"/>
                <w:sz w:val="24"/>
                <w:szCs w:val="24"/>
                <w:highlight w:val="none"/>
              </w:rPr>
              <w:t>1</w:t>
            </w:r>
          </w:p>
        </w:tc>
      </w:tr>
      <w:tr w14:paraId="6CFF22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180" w:type="dxa"/>
            <w:vAlign w:val="top"/>
          </w:tcPr>
          <w:p w14:paraId="2DA9910A">
            <w:pPr>
              <w:pStyle w:val="18"/>
              <w:spacing w:before="165" w:line="212" w:lineRule="auto"/>
              <w:ind w:left="542"/>
              <w:rPr>
                <w:color w:val="auto"/>
                <w:highlight w:val="none"/>
              </w:rPr>
            </w:pPr>
            <w:r>
              <w:rPr>
                <w:color w:val="auto"/>
                <w:highlight w:val="none"/>
              </w:rPr>
              <w:t>4</w:t>
            </w:r>
          </w:p>
        </w:tc>
        <w:tc>
          <w:tcPr>
            <w:tcW w:w="4896" w:type="dxa"/>
            <w:vAlign w:val="top"/>
          </w:tcPr>
          <w:p w14:paraId="18C545F4">
            <w:pPr>
              <w:pStyle w:val="18"/>
              <w:spacing w:before="165" w:line="212" w:lineRule="auto"/>
              <w:ind w:left="2136"/>
              <w:rPr>
                <w:color w:val="auto"/>
                <w:highlight w:val="none"/>
              </w:rPr>
            </w:pPr>
            <w:r>
              <w:rPr>
                <w:color w:val="auto"/>
                <w:spacing w:val="7"/>
                <w:highlight w:val="none"/>
              </w:rPr>
              <w:t>传真机</w:t>
            </w:r>
          </w:p>
        </w:tc>
        <w:tc>
          <w:tcPr>
            <w:tcW w:w="1050" w:type="dxa"/>
            <w:vAlign w:val="top"/>
          </w:tcPr>
          <w:p w14:paraId="400B4F89">
            <w:pPr>
              <w:pStyle w:val="18"/>
              <w:spacing w:before="165" w:line="212" w:lineRule="auto"/>
              <w:ind w:left="443"/>
              <w:rPr>
                <w:color w:val="auto"/>
                <w:highlight w:val="none"/>
              </w:rPr>
            </w:pPr>
            <w:r>
              <w:rPr>
                <w:color w:val="auto"/>
                <w:highlight w:val="none"/>
              </w:rPr>
              <w:t>台</w:t>
            </w:r>
          </w:p>
        </w:tc>
        <w:tc>
          <w:tcPr>
            <w:tcW w:w="2164" w:type="dxa"/>
            <w:vAlign w:val="center"/>
          </w:tcPr>
          <w:p w14:paraId="486B2D55">
            <w:pPr>
              <w:keepNext w:val="0"/>
              <w:keepLines w:val="0"/>
              <w:bidi w:val="0"/>
              <w:jc w:val="center"/>
              <w:rPr>
                <w:rFonts w:ascii="Arial"/>
                <w:color w:val="auto"/>
                <w:sz w:val="21"/>
                <w:highlight w:val="none"/>
              </w:rPr>
            </w:pPr>
            <w:r>
              <w:rPr>
                <w:rFonts w:hint="eastAsia" w:ascii="宋体" w:hAnsi="宋体" w:eastAsia="宋体" w:cs="宋体"/>
                <w:color w:val="auto"/>
                <w:sz w:val="24"/>
                <w:szCs w:val="24"/>
                <w:highlight w:val="none"/>
              </w:rPr>
              <w:t>1</w:t>
            </w:r>
          </w:p>
        </w:tc>
      </w:tr>
      <w:tr w14:paraId="298D67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180" w:type="dxa"/>
            <w:vAlign w:val="top"/>
          </w:tcPr>
          <w:p w14:paraId="7C7A15D3">
            <w:pPr>
              <w:pStyle w:val="18"/>
              <w:spacing w:before="163" w:line="214" w:lineRule="auto"/>
              <w:ind w:left="547"/>
              <w:rPr>
                <w:color w:val="auto"/>
                <w:highlight w:val="none"/>
              </w:rPr>
            </w:pPr>
            <w:r>
              <w:rPr>
                <w:color w:val="auto"/>
                <w:highlight w:val="none"/>
              </w:rPr>
              <w:t>5</w:t>
            </w:r>
          </w:p>
        </w:tc>
        <w:tc>
          <w:tcPr>
            <w:tcW w:w="4896" w:type="dxa"/>
            <w:vAlign w:val="top"/>
          </w:tcPr>
          <w:p w14:paraId="799461BE">
            <w:pPr>
              <w:pStyle w:val="18"/>
              <w:spacing w:before="163" w:line="214" w:lineRule="auto"/>
              <w:ind w:left="1925"/>
              <w:rPr>
                <w:color w:val="auto"/>
                <w:highlight w:val="none"/>
              </w:rPr>
            </w:pPr>
            <w:r>
              <w:rPr>
                <w:color w:val="auto"/>
                <w:spacing w:val="8"/>
                <w:highlight w:val="none"/>
              </w:rPr>
              <w:t>激光打印机</w:t>
            </w:r>
          </w:p>
        </w:tc>
        <w:tc>
          <w:tcPr>
            <w:tcW w:w="1050" w:type="dxa"/>
            <w:vAlign w:val="top"/>
          </w:tcPr>
          <w:p w14:paraId="3A49E9D3">
            <w:pPr>
              <w:pStyle w:val="18"/>
              <w:spacing w:before="163" w:line="214" w:lineRule="auto"/>
              <w:ind w:left="443"/>
              <w:rPr>
                <w:color w:val="auto"/>
                <w:highlight w:val="none"/>
              </w:rPr>
            </w:pPr>
            <w:r>
              <w:rPr>
                <w:color w:val="auto"/>
                <w:highlight w:val="none"/>
              </w:rPr>
              <w:t>台</w:t>
            </w:r>
          </w:p>
        </w:tc>
        <w:tc>
          <w:tcPr>
            <w:tcW w:w="2164" w:type="dxa"/>
            <w:vAlign w:val="center"/>
          </w:tcPr>
          <w:p w14:paraId="1128B678">
            <w:pPr>
              <w:keepNext w:val="0"/>
              <w:keepLines w:val="0"/>
              <w:bidi w:val="0"/>
              <w:jc w:val="center"/>
              <w:rPr>
                <w:rFonts w:ascii="Arial"/>
                <w:color w:val="auto"/>
                <w:sz w:val="21"/>
                <w:highlight w:val="none"/>
              </w:rPr>
            </w:pPr>
            <w:r>
              <w:rPr>
                <w:rFonts w:hint="eastAsia" w:ascii="宋体" w:hAnsi="宋体" w:eastAsia="宋体" w:cs="宋体"/>
                <w:color w:val="auto"/>
                <w:sz w:val="24"/>
                <w:szCs w:val="24"/>
                <w:highlight w:val="none"/>
              </w:rPr>
              <w:t>1</w:t>
            </w:r>
          </w:p>
        </w:tc>
      </w:tr>
      <w:tr w14:paraId="009343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180" w:type="dxa"/>
            <w:vAlign w:val="top"/>
          </w:tcPr>
          <w:p w14:paraId="07C4B643">
            <w:pPr>
              <w:pStyle w:val="18"/>
              <w:spacing w:before="164" w:line="213" w:lineRule="auto"/>
              <w:ind w:left="545"/>
              <w:rPr>
                <w:color w:val="auto"/>
                <w:highlight w:val="none"/>
              </w:rPr>
            </w:pPr>
            <w:r>
              <w:rPr>
                <w:color w:val="auto"/>
                <w:highlight w:val="none"/>
              </w:rPr>
              <w:t>6</w:t>
            </w:r>
          </w:p>
        </w:tc>
        <w:tc>
          <w:tcPr>
            <w:tcW w:w="4896" w:type="dxa"/>
            <w:vAlign w:val="top"/>
          </w:tcPr>
          <w:p w14:paraId="1B13EA09">
            <w:pPr>
              <w:pStyle w:val="18"/>
              <w:spacing w:before="164" w:line="213" w:lineRule="auto"/>
              <w:ind w:left="1272"/>
              <w:rPr>
                <w:color w:val="auto"/>
                <w:highlight w:val="none"/>
              </w:rPr>
            </w:pPr>
            <w:r>
              <w:rPr>
                <w:color w:val="auto"/>
                <w:spacing w:val="7"/>
                <w:highlight w:val="none"/>
              </w:rPr>
              <w:t>彩色扫描仪（可扫描</w:t>
            </w:r>
            <w:r>
              <w:rPr>
                <w:color w:val="auto"/>
                <w:spacing w:val="-43"/>
                <w:highlight w:val="none"/>
              </w:rPr>
              <w:t xml:space="preserve"> </w:t>
            </w:r>
            <w:r>
              <w:rPr>
                <w:color w:val="auto"/>
                <w:spacing w:val="7"/>
                <w:highlight w:val="none"/>
              </w:rPr>
              <w:t>A3）</w:t>
            </w:r>
          </w:p>
        </w:tc>
        <w:tc>
          <w:tcPr>
            <w:tcW w:w="1050" w:type="dxa"/>
            <w:vAlign w:val="top"/>
          </w:tcPr>
          <w:p w14:paraId="4A98A132">
            <w:pPr>
              <w:pStyle w:val="18"/>
              <w:spacing w:before="164" w:line="213" w:lineRule="auto"/>
              <w:ind w:left="443"/>
              <w:rPr>
                <w:color w:val="auto"/>
                <w:highlight w:val="none"/>
              </w:rPr>
            </w:pPr>
            <w:r>
              <w:rPr>
                <w:color w:val="auto"/>
                <w:highlight w:val="none"/>
              </w:rPr>
              <w:t>台</w:t>
            </w:r>
          </w:p>
        </w:tc>
        <w:tc>
          <w:tcPr>
            <w:tcW w:w="2164" w:type="dxa"/>
            <w:vAlign w:val="center"/>
          </w:tcPr>
          <w:p w14:paraId="5DBD8B89">
            <w:pPr>
              <w:keepNext w:val="0"/>
              <w:keepLines w:val="0"/>
              <w:bidi w:val="0"/>
              <w:jc w:val="center"/>
              <w:rPr>
                <w:rFonts w:ascii="Arial"/>
                <w:color w:val="auto"/>
                <w:sz w:val="21"/>
                <w:highlight w:val="none"/>
              </w:rPr>
            </w:pPr>
            <w:r>
              <w:rPr>
                <w:rFonts w:hint="eastAsia" w:ascii="宋体" w:hAnsi="宋体" w:eastAsia="宋体" w:cs="宋体"/>
                <w:color w:val="auto"/>
                <w:sz w:val="24"/>
                <w:szCs w:val="24"/>
                <w:highlight w:val="none"/>
              </w:rPr>
              <w:t>1</w:t>
            </w:r>
          </w:p>
        </w:tc>
      </w:tr>
      <w:tr w14:paraId="1ADB5E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180" w:type="dxa"/>
            <w:vAlign w:val="top"/>
          </w:tcPr>
          <w:p w14:paraId="4DE108D7">
            <w:pPr>
              <w:pStyle w:val="18"/>
              <w:spacing w:before="164" w:line="213" w:lineRule="auto"/>
              <w:ind w:left="548"/>
              <w:rPr>
                <w:color w:val="auto"/>
                <w:highlight w:val="none"/>
              </w:rPr>
            </w:pPr>
            <w:r>
              <w:rPr>
                <w:color w:val="auto"/>
                <w:highlight w:val="none"/>
              </w:rPr>
              <w:t>7</w:t>
            </w:r>
          </w:p>
        </w:tc>
        <w:tc>
          <w:tcPr>
            <w:tcW w:w="4896" w:type="dxa"/>
            <w:vAlign w:val="top"/>
          </w:tcPr>
          <w:p w14:paraId="408FB7DE">
            <w:pPr>
              <w:pStyle w:val="18"/>
              <w:spacing w:before="164" w:line="213" w:lineRule="auto"/>
              <w:ind w:left="1928"/>
              <w:rPr>
                <w:color w:val="auto"/>
                <w:highlight w:val="none"/>
              </w:rPr>
            </w:pPr>
            <w:r>
              <w:rPr>
                <w:color w:val="auto"/>
                <w:spacing w:val="7"/>
                <w:highlight w:val="none"/>
              </w:rPr>
              <w:t>数码摄像机</w:t>
            </w:r>
          </w:p>
        </w:tc>
        <w:tc>
          <w:tcPr>
            <w:tcW w:w="1050" w:type="dxa"/>
            <w:vAlign w:val="top"/>
          </w:tcPr>
          <w:p w14:paraId="443406E9">
            <w:pPr>
              <w:pStyle w:val="18"/>
              <w:spacing w:before="164" w:line="213" w:lineRule="auto"/>
              <w:ind w:left="443"/>
              <w:rPr>
                <w:color w:val="auto"/>
                <w:highlight w:val="none"/>
              </w:rPr>
            </w:pPr>
            <w:r>
              <w:rPr>
                <w:color w:val="auto"/>
                <w:highlight w:val="none"/>
              </w:rPr>
              <w:t>台</w:t>
            </w:r>
          </w:p>
        </w:tc>
        <w:tc>
          <w:tcPr>
            <w:tcW w:w="2164" w:type="dxa"/>
            <w:vAlign w:val="center"/>
          </w:tcPr>
          <w:p w14:paraId="012AC53F">
            <w:pPr>
              <w:keepNext w:val="0"/>
              <w:keepLines w:val="0"/>
              <w:bidi w:val="0"/>
              <w:jc w:val="center"/>
              <w:rPr>
                <w:rFonts w:ascii="Arial"/>
                <w:color w:val="auto"/>
                <w:sz w:val="21"/>
                <w:highlight w:val="none"/>
              </w:rPr>
            </w:pPr>
            <w:r>
              <w:rPr>
                <w:rFonts w:hint="eastAsia" w:ascii="宋体" w:hAnsi="宋体" w:eastAsia="宋体" w:cs="宋体"/>
                <w:color w:val="auto"/>
                <w:sz w:val="24"/>
                <w:szCs w:val="24"/>
                <w:highlight w:val="none"/>
              </w:rPr>
              <w:t>1</w:t>
            </w:r>
          </w:p>
        </w:tc>
      </w:tr>
      <w:tr w14:paraId="7BF591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180" w:type="dxa"/>
            <w:vAlign w:val="top"/>
          </w:tcPr>
          <w:p w14:paraId="3508EC7D">
            <w:pPr>
              <w:pStyle w:val="18"/>
              <w:spacing w:before="164" w:line="213" w:lineRule="auto"/>
              <w:ind w:left="544"/>
              <w:rPr>
                <w:color w:val="auto"/>
                <w:highlight w:val="none"/>
              </w:rPr>
            </w:pPr>
            <w:r>
              <w:rPr>
                <w:color w:val="auto"/>
                <w:highlight w:val="none"/>
              </w:rPr>
              <w:t>8</w:t>
            </w:r>
          </w:p>
        </w:tc>
        <w:tc>
          <w:tcPr>
            <w:tcW w:w="4896" w:type="dxa"/>
            <w:vAlign w:val="top"/>
          </w:tcPr>
          <w:p w14:paraId="3AF53844">
            <w:pPr>
              <w:pStyle w:val="18"/>
              <w:spacing w:before="164" w:line="213" w:lineRule="auto"/>
              <w:ind w:left="1064"/>
              <w:rPr>
                <w:color w:val="auto"/>
                <w:highlight w:val="none"/>
              </w:rPr>
            </w:pPr>
            <w:r>
              <w:rPr>
                <w:color w:val="auto"/>
                <w:spacing w:val="6"/>
                <w:highlight w:val="none"/>
              </w:rPr>
              <w:t>数码相机（1200</w:t>
            </w:r>
            <w:r>
              <w:rPr>
                <w:color w:val="auto"/>
                <w:spacing w:val="-31"/>
                <w:highlight w:val="none"/>
              </w:rPr>
              <w:t xml:space="preserve"> </w:t>
            </w:r>
            <w:r>
              <w:rPr>
                <w:color w:val="auto"/>
                <w:spacing w:val="6"/>
                <w:highlight w:val="none"/>
              </w:rPr>
              <w:t>万像素以上）</w:t>
            </w:r>
          </w:p>
        </w:tc>
        <w:tc>
          <w:tcPr>
            <w:tcW w:w="1050" w:type="dxa"/>
            <w:vAlign w:val="top"/>
          </w:tcPr>
          <w:p w14:paraId="3B7B8A08">
            <w:pPr>
              <w:pStyle w:val="18"/>
              <w:spacing w:before="164" w:line="213" w:lineRule="auto"/>
              <w:ind w:left="443"/>
              <w:rPr>
                <w:color w:val="auto"/>
                <w:highlight w:val="none"/>
              </w:rPr>
            </w:pPr>
            <w:r>
              <w:rPr>
                <w:color w:val="auto"/>
                <w:highlight w:val="none"/>
              </w:rPr>
              <w:t>台</w:t>
            </w:r>
          </w:p>
        </w:tc>
        <w:tc>
          <w:tcPr>
            <w:tcW w:w="2164" w:type="dxa"/>
            <w:vAlign w:val="center"/>
          </w:tcPr>
          <w:p w14:paraId="7BDA4DEE">
            <w:pPr>
              <w:keepNext w:val="0"/>
              <w:keepLines w:val="0"/>
              <w:bidi w:val="0"/>
              <w:jc w:val="center"/>
              <w:rPr>
                <w:rFonts w:ascii="Arial"/>
                <w:color w:val="auto"/>
                <w:sz w:val="21"/>
                <w:highlight w:val="none"/>
              </w:rPr>
            </w:pPr>
            <w:r>
              <w:rPr>
                <w:rFonts w:hint="eastAsia" w:ascii="宋体" w:hAnsi="宋体" w:eastAsia="宋体" w:cs="宋体"/>
                <w:color w:val="auto"/>
                <w:sz w:val="24"/>
                <w:szCs w:val="24"/>
                <w:highlight w:val="none"/>
              </w:rPr>
              <w:t>1</w:t>
            </w:r>
          </w:p>
        </w:tc>
      </w:tr>
      <w:tr w14:paraId="7F0C82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180" w:type="dxa"/>
            <w:vAlign w:val="top"/>
          </w:tcPr>
          <w:p w14:paraId="786E0BD2">
            <w:pPr>
              <w:pStyle w:val="18"/>
              <w:spacing w:before="165" w:line="212" w:lineRule="auto"/>
              <w:ind w:left="544"/>
              <w:rPr>
                <w:color w:val="auto"/>
                <w:highlight w:val="none"/>
              </w:rPr>
            </w:pPr>
            <w:r>
              <w:rPr>
                <w:color w:val="auto"/>
                <w:highlight w:val="none"/>
              </w:rPr>
              <w:t>9</w:t>
            </w:r>
          </w:p>
        </w:tc>
        <w:tc>
          <w:tcPr>
            <w:tcW w:w="4896" w:type="dxa"/>
            <w:vAlign w:val="top"/>
          </w:tcPr>
          <w:p w14:paraId="0C6BAEC4">
            <w:pPr>
              <w:pStyle w:val="18"/>
              <w:spacing w:before="165" w:line="212" w:lineRule="auto"/>
              <w:ind w:left="1488"/>
              <w:rPr>
                <w:color w:val="auto"/>
                <w:highlight w:val="none"/>
              </w:rPr>
            </w:pPr>
            <w:r>
              <w:rPr>
                <w:color w:val="auto"/>
                <w:spacing w:val="11"/>
                <w:highlight w:val="none"/>
              </w:rPr>
              <w:t>复印机（可复印A3）</w:t>
            </w:r>
          </w:p>
        </w:tc>
        <w:tc>
          <w:tcPr>
            <w:tcW w:w="1050" w:type="dxa"/>
            <w:vAlign w:val="top"/>
          </w:tcPr>
          <w:p w14:paraId="10073144">
            <w:pPr>
              <w:pStyle w:val="18"/>
              <w:spacing w:before="165" w:line="212" w:lineRule="auto"/>
              <w:ind w:left="443"/>
              <w:rPr>
                <w:color w:val="auto"/>
                <w:highlight w:val="none"/>
              </w:rPr>
            </w:pPr>
            <w:r>
              <w:rPr>
                <w:color w:val="auto"/>
                <w:highlight w:val="none"/>
              </w:rPr>
              <w:t>台</w:t>
            </w:r>
          </w:p>
        </w:tc>
        <w:tc>
          <w:tcPr>
            <w:tcW w:w="2164" w:type="dxa"/>
            <w:vAlign w:val="center"/>
          </w:tcPr>
          <w:p w14:paraId="66C3B497">
            <w:pPr>
              <w:keepNext w:val="0"/>
              <w:keepLines w:val="0"/>
              <w:bidi w:val="0"/>
              <w:jc w:val="center"/>
              <w:rPr>
                <w:rFonts w:ascii="Arial"/>
                <w:color w:val="auto"/>
                <w:sz w:val="21"/>
                <w:highlight w:val="none"/>
              </w:rPr>
            </w:pPr>
            <w:r>
              <w:rPr>
                <w:rFonts w:hint="eastAsia" w:ascii="宋体" w:hAnsi="宋体" w:eastAsia="宋体" w:cs="宋体"/>
                <w:color w:val="auto"/>
                <w:sz w:val="24"/>
                <w:szCs w:val="24"/>
                <w:highlight w:val="none"/>
              </w:rPr>
              <w:t>1</w:t>
            </w:r>
          </w:p>
        </w:tc>
      </w:tr>
      <w:tr w14:paraId="7AD016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9290" w:type="dxa"/>
            <w:gridSpan w:val="4"/>
            <w:vAlign w:val="top"/>
          </w:tcPr>
          <w:p w14:paraId="729D00E8">
            <w:pPr>
              <w:pStyle w:val="18"/>
              <w:spacing w:before="165" w:line="212" w:lineRule="auto"/>
              <w:ind w:left="4024"/>
              <w:rPr>
                <w:color w:val="auto"/>
                <w:highlight w:val="none"/>
              </w:rPr>
            </w:pPr>
            <w:r>
              <w:rPr>
                <w:color w:val="auto"/>
                <w:spacing w:val="7"/>
                <w:highlight w:val="none"/>
              </w:rPr>
              <w:t>二、交通设施</w:t>
            </w:r>
          </w:p>
        </w:tc>
      </w:tr>
      <w:tr w14:paraId="26EEFA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180" w:type="dxa"/>
            <w:vAlign w:val="top"/>
          </w:tcPr>
          <w:p w14:paraId="570BFA93">
            <w:pPr>
              <w:pStyle w:val="18"/>
              <w:spacing w:before="163" w:line="214" w:lineRule="auto"/>
              <w:ind w:left="559"/>
              <w:rPr>
                <w:color w:val="auto"/>
                <w:highlight w:val="none"/>
              </w:rPr>
            </w:pPr>
            <w:r>
              <w:rPr>
                <w:color w:val="auto"/>
                <w:highlight w:val="none"/>
              </w:rPr>
              <w:t>1</w:t>
            </w:r>
          </w:p>
        </w:tc>
        <w:tc>
          <w:tcPr>
            <w:tcW w:w="4896" w:type="dxa"/>
            <w:vAlign w:val="top"/>
          </w:tcPr>
          <w:p w14:paraId="1985E219">
            <w:pPr>
              <w:pStyle w:val="18"/>
              <w:spacing w:before="163" w:line="214" w:lineRule="auto"/>
              <w:ind w:left="370"/>
              <w:rPr>
                <w:color w:val="auto"/>
                <w:highlight w:val="none"/>
              </w:rPr>
            </w:pPr>
            <w:r>
              <w:rPr>
                <w:color w:val="auto"/>
                <w:spacing w:val="4"/>
                <w:highlight w:val="none"/>
              </w:rPr>
              <w:t>交通车辆（4驱越野车（行驶里程＜15万</w:t>
            </w:r>
            <w:r>
              <w:rPr>
                <w:color w:val="auto"/>
                <w:highlight w:val="none"/>
              </w:rPr>
              <w:t>km</w:t>
            </w:r>
            <w:r>
              <w:rPr>
                <w:color w:val="auto"/>
                <w:spacing w:val="1"/>
                <w:highlight w:val="none"/>
              </w:rPr>
              <w:t>））</w:t>
            </w:r>
          </w:p>
        </w:tc>
        <w:tc>
          <w:tcPr>
            <w:tcW w:w="1050" w:type="dxa"/>
            <w:vAlign w:val="top"/>
          </w:tcPr>
          <w:p w14:paraId="162393F8">
            <w:pPr>
              <w:pStyle w:val="18"/>
              <w:spacing w:before="163" w:line="214" w:lineRule="auto"/>
              <w:ind w:left="425"/>
              <w:rPr>
                <w:color w:val="auto"/>
                <w:highlight w:val="none"/>
              </w:rPr>
            </w:pPr>
            <w:r>
              <w:rPr>
                <w:color w:val="auto"/>
                <w:spacing w:val="1"/>
                <w:highlight w:val="none"/>
              </w:rPr>
              <w:t>辆</w:t>
            </w:r>
          </w:p>
        </w:tc>
        <w:tc>
          <w:tcPr>
            <w:tcW w:w="2164" w:type="dxa"/>
            <w:vAlign w:val="center"/>
          </w:tcPr>
          <w:p w14:paraId="1F6CBF3B">
            <w:pPr>
              <w:jc w:val="center"/>
              <w:rPr>
                <w:rFonts w:hint="eastAsia" w:ascii="Arial" w:eastAsia="宋体"/>
                <w:color w:val="auto"/>
                <w:sz w:val="21"/>
                <w:highlight w:val="none"/>
                <w:lang w:val="en-US" w:eastAsia="zh-CN"/>
              </w:rPr>
            </w:pPr>
            <w:r>
              <w:rPr>
                <w:rFonts w:hint="eastAsia" w:ascii="宋体" w:hAnsi="宋体" w:eastAsia="宋体" w:cs="宋体"/>
                <w:color w:val="auto"/>
                <w:sz w:val="24"/>
                <w:szCs w:val="24"/>
                <w:highlight w:val="none"/>
              </w:rPr>
              <w:t>1</w:t>
            </w:r>
          </w:p>
        </w:tc>
      </w:tr>
      <w:tr w14:paraId="3FD002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180" w:type="dxa"/>
            <w:vAlign w:val="top"/>
          </w:tcPr>
          <w:p w14:paraId="3A0E308F">
            <w:pPr>
              <w:pStyle w:val="18"/>
              <w:spacing w:before="164" w:line="213" w:lineRule="auto"/>
              <w:ind w:left="546"/>
              <w:rPr>
                <w:color w:val="auto"/>
                <w:highlight w:val="none"/>
              </w:rPr>
            </w:pPr>
            <w:r>
              <w:rPr>
                <w:color w:val="auto"/>
                <w:highlight w:val="none"/>
              </w:rPr>
              <w:t>2</w:t>
            </w:r>
          </w:p>
        </w:tc>
        <w:tc>
          <w:tcPr>
            <w:tcW w:w="4896" w:type="dxa"/>
            <w:vAlign w:val="top"/>
          </w:tcPr>
          <w:p w14:paraId="0FCDF16B">
            <w:pPr>
              <w:pStyle w:val="18"/>
              <w:spacing w:before="164" w:line="213" w:lineRule="auto"/>
              <w:ind w:left="1926"/>
              <w:rPr>
                <w:color w:val="auto"/>
                <w:highlight w:val="none"/>
              </w:rPr>
            </w:pPr>
            <w:r>
              <w:rPr>
                <w:color w:val="auto"/>
                <w:spacing w:val="8"/>
                <w:highlight w:val="none"/>
              </w:rPr>
              <w:t>双排人货车</w:t>
            </w:r>
          </w:p>
        </w:tc>
        <w:tc>
          <w:tcPr>
            <w:tcW w:w="1050" w:type="dxa"/>
            <w:vAlign w:val="top"/>
          </w:tcPr>
          <w:p w14:paraId="256B84A9">
            <w:pPr>
              <w:pStyle w:val="18"/>
              <w:spacing w:before="164" w:line="213" w:lineRule="auto"/>
              <w:ind w:left="425"/>
              <w:rPr>
                <w:color w:val="auto"/>
                <w:highlight w:val="none"/>
              </w:rPr>
            </w:pPr>
            <w:r>
              <w:rPr>
                <w:color w:val="auto"/>
                <w:spacing w:val="1"/>
                <w:highlight w:val="none"/>
              </w:rPr>
              <w:t>辆</w:t>
            </w:r>
          </w:p>
        </w:tc>
        <w:tc>
          <w:tcPr>
            <w:tcW w:w="2164" w:type="dxa"/>
            <w:vAlign w:val="center"/>
          </w:tcPr>
          <w:p w14:paraId="0ADD5C40">
            <w:pPr>
              <w:jc w:val="center"/>
              <w:rPr>
                <w:rFonts w:hint="eastAsia" w:ascii="Arial" w:eastAsia="宋体"/>
                <w:color w:val="auto"/>
                <w:sz w:val="21"/>
                <w:highlight w:val="none"/>
                <w:lang w:val="en-US" w:eastAsia="zh-CN"/>
              </w:rPr>
            </w:pPr>
            <w:r>
              <w:rPr>
                <w:rFonts w:hint="eastAsia" w:ascii="宋体" w:hAnsi="宋体" w:eastAsia="宋体" w:cs="宋体"/>
                <w:color w:val="auto"/>
                <w:sz w:val="24"/>
                <w:szCs w:val="24"/>
                <w:highlight w:val="none"/>
              </w:rPr>
              <w:t>1</w:t>
            </w:r>
          </w:p>
        </w:tc>
      </w:tr>
      <w:tr w14:paraId="1DC5EC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9290" w:type="dxa"/>
            <w:gridSpan w:val="4"/>
            <w:vAlign w:val="top"/>
          </w:tcPr>
          <w:p w14:paraId="1206A306">
            <w:pPr>
              <w:pStyle w:val="18"/>
              <w:spacing w:before="164" w:line="213" w:lineRule="auto"/>
              <w:ind w:left="3706"/>
              <w:rPr>
                <w:color w:val="auto"/>
                <w:highlight w:val="none"/>
              </w:rPr>
            </w:pPr>
            <w:r>
              <w:rPr>
                <w:color w:val="auto"/>
                <w:spacing w:val="8"/>
                <w:highlight w:val="none"/>
              </w:rPr>
              <w:t>三、办公、生活设施</w:t>
            </w:r>
          </w:p>
        </w:tc>
      </w:tr>
      <w:tr w14:paraId="5A6690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180" w:type="dxa"/>
            <w:vAlign w:val="top"/>
          </w:tcPr>
          <w:p w14:paraId="2DB04329">
            <w:pPr>
              <w:pStyle w:val="18"/>
              <w:spacing w:before="164" w:line="213" w:lineRule="auto"/>
              <w:ind w:left="559"/>
              <w:rPr>
                <w:color w:val="auto"/>
                <w:highlight w:val="none"/>
              </w:rPr>
            </w:pPr>
            <w:r>
              <w:rPr>
                <w:color w:val="auto"/>
                <w:highlight w:val="none"/>
              </w:rPr>
              <w:t>1</w:t>
            </w:r>
          </w:p>
        </w:tc>
        <w:tc>
          <w:tcPr>
            <w:tcW w:w="4896" w:type="dxa"/>
            <w:vAlign w:val="top"/>
          </w:tcPr>
          <w:p w14:paraId="4A7CFFC6">
            <w:pPr>
              <w:pStyle w:val="18"/>
              <w:spacing w:before="164" w:line="213" w:lineRule="auto"/>
              <w:ind w:left="2137"/>
              <w:rPr>
                <w:color w:val="auto"/>
                <w:highlight w:val="none"/>
              </w:rPr>
            </w:pPr>
            <w:r>
              <w:rPr>
                <w:color w:val="auto"/>
                <w:spacing w:val="7"/>
                <w:highlight w:val="none"/>
              </w:rPr>
              <w:t>会议室</w:t>
            </w:r>
          </w:p>
        </w:tc>
        <w:tc>
          <w:tcPr>
            <w:tcW w:w="1050" w:type="dxa"/>
            <w:vAlign w:val="top"/>
          </w:tcPr>
          <w:p w14:paraId="1BDF4271">
            <w:pPr>
              <w:pStyle w:val="18"/>
              <w:spacing w:before="148" w:line="228" w:lineRule="auto"/>
              <w:ind w:left="447"/>
              <w:rPr>
                <w:color w:val="auto"/>
                <w:sz w:val="10"/>
                <w:szCs w:val="10"/>
                <w:highlight w:val="none"/>
              </w:rPr>
            </w:pPr>
            <w:r>
              <w:rPr>
                <w:color w:val="auto"/>
                <w:spacing w:val="3"/>
                <w:position w:val="-2"/>
                <w:highlight w:val="none"/>
              </w:rPr>
              <w:t>m</w:t>
            </w:r>
            <w:r>
              <w:rPr>
                <w:color w:val="auto"/>
                <w:spacing w:val="3"/>
                <w:position w:val="8"/>
                <w:sz w:val="10"/>
                <w:szCs w:val="10"/>
                <w:highlight w:val="none"/>
              </w:rPr>
              <w:t>2</w:t>
            </w:r>
          </w:p>
        </w:tc>
        <w:tc>
          <w:tcPr>
            <w:tcW w:w="2164" w:type="dxa"/>
            <w:vAlign w:val="center"/>
          </w:tcPr>
          <w:p w14:paraId="028E9C36">
            <w:pPr>
              <w:keepNext w:val="0"/>
              <w:keepLines w:val="0"/>
              <w:bidi w:val="0"/>
              <w:jc w:val="center"/>
              <w:rPr>
                <w:rFonts w:ascii="Arial"/>
                <w:color w:val="auto"/>
                <w:sz w:val="21"/>
                <w:highlight w:val="none"/>
              </w:rPr>
            </w:pPr>
            <w:r>
              <w:rPr>
                <w:rFonts w:hint="eastAsia" w:ascii="宋体" w:hAnsi="宋体" w:eastAsia="宋体" w:cs="宋体"/>
                <w:color w:val="auto"/>
                <w:sz w:val="24"/>
                <w:szCs w:val="24"/>
                <w:highlight w:val="none"/>
              </w:rPr>
              <w:t>≥50</w:t>
            </w:r>
          </w:p>
        </w:tc>
      </w:tr>
      <w:tr w14:paraId="6E4017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180" w:type="dxa"/>
            <w:vAlign w:val="top"/>
          </w:tcPr>
          <w:p w14:paraId="57B3DAE1">
            <w:pPr>
              <w:pStyle w:val="18"/>
              <w:spacing w:before="165" w:line="212" w:lineRule="auto"/>
              <w:ind w:left="546"/>
              <w:rPr>
                <w:color w:val="auto"/>
                <w:highlight w:val="none"/>
              </w:rPr>
            </w:pPr>
            <w:r>
              <w:rPr>
                <w:color w:val="auto"/>
                <w:highlight w:val="none"/>
              </w:rPr>
              <w:t>2</w:t>
            </w:r>
          </w:p>
        </w:tc>
        <w:tc>
          <w:tcPr>
            <w:tcW w:w="4896" w:type="dxa"/>
            <w:vAlign w:val="top"/>
          </w:tcPr>
          <w:p w14:paraId="09917005">
            <w:pPr>
              <w:pStyle w:val="18"/>
              <w:spacing w:before="165" w:line="212" w:lineRule="auto"/>
              <w:ind w:left="1929"/>
              <w:rPr>
                <w:color w:val="auto"/>
                <w:highlight w:val="none"/>
              </w:rPr>
            </w:pPr>
            <w:r>
              <w:rPr>
                <w:color w:val="auto"/>
                <w:spacing w:val="7"/>
                <w:highlight w:val="none"/>
              </w:rPr>
              <w:t>综合办公室</w:t>
            </w:r>
          </w:p>
        </w:tc>
        <w:tc>
          <w:tcPr>
            <w:tcW w:w="1050" w:type="dxa"/>
            <w:vAlign w:val="top"/>
          </w:tcPr>
          <w:p w14:paraId="5EFCBFF4">
            <w:pPr>
              <w:pStyle w:val="18"/>
              <w:spacing w:before="148" w:line="228" w:lineRule="auto"/>
              <w:ind w:left="447"/>
              <w:rPr>
                <w:color w:val="auto"/>
                <w:sz w:val="10"/>
                <w:szCs w:val="10"/>
                <w:highlight w:val="none"/>
              </w:rPr>
            </w:pPr>
            <w:r>
              <w:rPr>
                <w:color w:val="auto"/>
                <w:spacing w:val="3"/>
                <w:position w:val="-2"/>
                <w:highlight w:val="none"/>
              </w:rPr>
              <w:t>m</w:t>
            </w:r>
            <w:r>
              <w:rPr>
                <w:color w:val="auto"/>
                <w:spacing w:val="3"/>
                <w:position w:val="8"/>
                <w:sz w:val="10"/>
                <w:szCs w:val="10"/>
                <w:highlight w:val="none"/>
              </w:rPr>
              <w:t>2</w:t>
            </w:r>
          </w:p>
        </w:tc>
        <w:tc>
          <w:tcPr>
            <w:tcW w:w="2164" w:type="dxa"/>
            <w:vAlign w:val="center"/>
          </w:tcPr>
          <w:p w14:paraId="3B88FE89">
            <w:pPr>
              <w:keepNext w:val="0"/>
              <w:keepLines w:val="0"/>
              <w:bidi w:val="0"/>
              <w:jc w:val="center"/>
              <w:rPr>
                <w:rFonts w:ascii="Arial"/>
                <w:color w:val="auto"/>
                <w:sz w:val="21"/>
                <w:highlight w:val="none"/>
              </w:rPr>
            </w:pPr>
            <w:r>
              <w:rPr>
                <w:rFonts w:hint="eastAsia" w:ascii="宋体" w:hAnsi="宋体" w:eastAsia="宋体" w:cs="宋体"/>
                <w:color w:val="auto"/>
                <w:sz w:val="24"/>
                <w:szCs w:val="24"/>
                <w:highlight w:val="none"/>
              </w:rPr>
              <w:t>≥6</w:t>
            </w:r>
          </w:p>
        </w:tc>
      </w:tr>
      <w:tr w14:paraId="7498BB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1180" w:type="dxa"/>
            <w:vAlign w:val="top"/>
          </w:tcPr>
          <w:p w14:paraId="16D06613">
            <w:pPr>
              <w:pStyle w:val="18"/>
              <w:spacing w:before="165" w:line="216" w:lineRule="auto"/>
              <w:ind w:left="547"/>
              <w:rPr>
                <w:color w:val="auto"/>
                <w:highlight w:val="none"/>
              </w:rPr>
            </w:pPr>
            <w:r>
              <w:rPr>
                <w:color w:val="auto"/>
                <w:highlight w:val="none"/>
              </w:rPr>
              <w:t>3</w:t>
            </w:r>
          </w:p>
        </w:tc>
        <w:tc>
          <w:tcPr>
            <w:tcW w:w="4896" w:type="dxa"/>
            <w:vAlign w:val="top"/>
          </w:tcPr>
          <w:p w14:paraId="21885D1A">
            <w:pPr>
              <w:pStyle w:val="18"/>
              <w:spacing w:before="165" w:line="216" w:lineRule="auto"/>
              <w:ind w:left="2138"/>
              <w:rPr>
                <w:color w:val="auto"/>
                <w:highlight w:val="none"/>
              </w:rPr>
            </w:pPr>
            <w:r>
              <w:rPr>
                <w:color w:val="auto"/>
                <w:spacing w:val="6"/>
                <w:highlight w:val="none"/>
              </w:rPr>
              <w:t>档案室</w:t>
            </w:r>
          </w:p>
        </w:tc>
        <w:tc>
          <w:tcPr>
            <w:tcW w:w="1050" w:type="dxa"/>
            <w:vAlign w:val="top"/>
          </w:tcPr>
          <w:p w14:paraId="141FF11C">
            <w:pPr>
              <w:pStyle w:val="18"/>
              <w:spacing w:before="148" w:line="231" w:lineRule="auto"/>
              <w:ind w:left="447"/>
              <w:rPr>
                <w:color w:val="auto"/>
                <w:sz w:val="10"/>
                <w:szCs w:val="10"/>
                <w:highlight w:val="none"/>
              </w:rPr>
            </w:pPr>
            <w:r>
              <w:rPr>
                <w:color w:val="auto"/>
                <w:spacing w:val="3"/>
                <w:position w:val="-2"/>
                <w:highlight w:val="none"/>
              </w:rPr>
              <w:t>m</w:t>
            </w:r>
            <w:r>
              <w:rPr>
                <w:color w:val="auto"/>
                <w:spacing w:val="3"/>
                <w:position w:val="8"/>
                <w:sz w:val="10"/>
                <w:szCs w:val="10"/>
                <w:highlight w:val="none"/>
              </w:rPr>
              <w:t>2</w:t>
            </w:r>
          </w:p>
        </w:tc>
        <w:tc>
          <w:tcPr>
            <w:tcW w:w="2164" w:type="dxa"/>
            <w:vAlign w:val="center"/>
          </w:tcPr>
          <w:p w14:paraId="5C541E35">
            <w:pPr>
              <w:keepNext w:val="0"/>
              <w:keepLines w:val="0"/>
              <w:bidi w:val="0"/>
              <w:jc w:val="center"/>
              <w:rPr>
                <w:rFonts w:ascii="Arial"/>
                <w:color w:val="auto"/>
                <w:sz w:val="21"/>
                <w:highlight w:val="none"/>
              </w:rPr>
            </w:pPr>
            <w:r>
              <w:rPr>
                <w:rFonts w:hint="eastAsia" w:ascii="宋体" w:hAnsi="宋体" w:eastAsia="宋体" w:cs="宋体"/>
                <w:color w:val="auto"/>
                <w:sz w:val="24"/>
                <w:szCs w:val="24"/>
                <w:highlight w:val="none"/>
              </w:rPr>
              <w:t>≥20</w:t>
            </w:r>
          </w:p>
        </w:tc>
      </w:tr>
    </w:tbl>
    <w:p w14:paraId="20B3BD9B">
      <w:pPr>
        <w:spacing w:before="31" w:line="232" w:lineRule="auto"/>
        <w:ind w:left="118"/>
        <w:rPr>
          <w:rFonts w:ascii="宋体" w:hAnsi="宋体" w:eastAsia="宋体" w:cs="宋体"/>
          <w:color w:val="auto"/>
          <w:sz w:val="20"/>
          <w:szCs w:val="20"/>
          <w:highlight w:val="none"/>
        </w:rPr>
      </w:pPr>
      <w:r>
        <w:rPr>
          <w:rFonts w:ascii="宋体" w:hAnsi="宋体" w:eastAsia="宋体" w:cs="宋体"/>
          <w:color w:val="auto"/>
          <w:sz w:val="20"/>
          <w:szCs w:val="20"/>
          <w:highlight w:val="none"/>
        </w:rPr>
        <w:t>注：</w:t>
      </w:r>
    </w:p>
    <w:p w14:paraId="6131F7C1">
      <w:pPr>
        <w:spacing w:before="19" w:line="227" w:lineRule="auto"/>
        <w:ind w:left="554"/>
        <w:rPr>
          <w:rFonts w:ascii="宋体" w:hAnsi="宋体" w:eastAsia="宋体" w:cs="宋体"/>
          <w:color w:val="auto"/>
          <w:sz w:val="20"/>
          <w:szCs w:val="20"/>
          <w:highlight w:val="none"/>
        </w:rPr>
      </w:pPr>
      <w:r>
        <w:rPr>
          <w:rFonts w:ascii="宋体" w:hAnsi="宋体" w:eastAsia="宋体" w:cs="宋体"/>
          <w:color w:val="auto"/>
          <w:spacing w:val="9"/>
          <w:sz w:val="20"/>
          <w:szCs w:val="20"/>
          <w:highlight w:val="none"/>
        </w:rPr>
        <w:t>1、本表数量为最低要求，办公生活用房应执行省交通运输厅对高速公路标准化管理的规定。</w:t>
      </w:r>
    </w:p>
    <w:p w14:paraId="22D3DCB9">
      <w:pPr>
        <w:spacing w:before="27" w:line="227" w:lineRule="auto"/>
        <w:ind w:left="541"/>
        <w:rPr>
          <w:rFonts w:ascii="宋体" w:hAnsi="宋体" w:eastAsia="宋体" w:cs="宋体"/>
          <w:color w:val="auto"/>
          <w:sz w:val="20"/>
          <w:szCs w:val="20"/>
          <w:highlight w:val="none"/>
        </w:rPr>
      </w:pPr>
      <w:r>
        <w:rPr>
          <w:rFonts w:ascii="宋体" w:hAnsi="宋体" w:eastAsia="宋体" w:cs="宋体"/>
          <w:color w:val="auto"/>
          <w:spacing w:val="7"/>
          <w:sz w:val="20"/>
          <w:szCs w:val="20"/>
          <w:highlight w:val="none"/>
        </w:rPr>
        <w:t>2、监理驻地需与网络连接，充分考虑可视化管理的手段，网络流量达</w:t>
      </w:r>
      <w:r>
        <w:rPr>
          <w:rFonts w:ascii="宋体" w:hAnsi="宋体" w:eastAsia="宋体" w:cs="宋体"/>
          <w:color w:val="auto"/>
          <w:spacing w:val="-11"/>
          <w:sz w:val="20"/>
          <w:szCs w:val="20"/>
          <w:highlight w:val="none"/>
        </w:rPr>
        <w:t xml:space="preserve"> </w:t>
      </w:r>
      <w:r>
        <w:rPr>
          <w:rFonts w:ascii="宋体" w:hAnsi="宋体" w:eastAsia="宋体" w:cs="宋体"/>
          <w:color w:val="auto"/>
          <w:spacing w:val="7"/>
          <w:sz w:val="20"/>
          <w:szCs w:val="20"/>
          <w:highlight w:val="none"/>
        </w:rPr>
        <w:t>10M</w:t>
      </w:r>
      <w:r>
        <w:rPr>
          <w:rFonts w:ascii="宋体" w:hAnsi="宋体" w:eastAsia="宋体" w:cs="宋体"/>
          <w:color w:val="auto"/>
          <w:spacing w:val="-17"/>
          <w:sz w:val="20"/>
          <w:szCs w:val="20"/>
          <w:highlight w:val="none"/>
        </w:rPr>
        <w:t xml:space="preserve"> </w:t>
      </w:r>
      <w:r>
        <w:rPr>
          <w:rFonts w:ascii="宋体" w:hAnsi="宋体" w:eastAsia="宋体" w:cs="宋体"/>
          <w:color w:val="auto"/>
          <w:spacing w:val="7"/>
          <w:sz w:val="20"/>
          <w:szCs w:val="20"/>
          <w:highlight w:val="none"/>
        </w:rPr>
        <w:t>以上。</w:t>
      </w:r>
    </w:p>
    <w:p w14:paraId="3F70B4A1">
      <w:pPr>
        <w:spacing w:line="253" w:lineRule="auto"/>
        <w:rPr>
          <w:rFonts w:ascii="Arial"/>
          <w:color w:val="auto"/>
          <w:sz w:val="21"/>
          <w:highlight w:val="none"/>
        </w:rPr>
      </w:pPr>
    </w:p>
    <w:p w14:paraId="189D5338">
      <w:pPr>
        <w:spacing w:line="254" w:lineRule="auto"/>
        <w:rPr>
          <w:rFonts w:ascii="Arial"/>
          <w:color w:val="auto"/>
          <w:sz w:val="21"/>
          <w:highlight w:val="none"/>
        </w:rPr>
      </w:pPr>
    </w:p>
    <w:p w14:paraId="2C30521A">
      <w:pPr>
        <w:spacing w:line="254" w:lineRule="auto"/>
        <w:rPr>
          <w:rFonts w:ascii="Arial"/>
          <w:color w:val="auto"/>
          <w:sz w:val="21"/>
          <w:highlight w:val="none"/>
        </w:rPr>
      </w:pPr>
    </w:p>
    <w:p w14:paraId="518BB642">
      <w:pPr>
        <w:spacing w:line="254" w:lineRule="auto"/>
        <w:rPr>
          <w:rFonts w:ascii="Arial"/>
          <w:color w:val="auto"/>
          <w:sz w:val="21"/>
          <w:highlight w:val="none"/>
        </w:rPr>
      </w:pPr>
    </w:p>
    <w:p w14:paraId="138DFA23">
      <w:pPr>
        <w:spacing w:line="254" w:lineRule="auto"/>
        <w:rPr>
          <w:rFonts w:ascii="Arial"/>
          <w:color w:val="auto"/>
          <w:sz w:val="21"/>
          <w:highlight w:val="none"/>
        </w:rPr>
      </w:pPr>
    </w:p>
    <w:p w14:paraId="7F9831E9">
      <w:pPr>
        <w:spacing w:line="254" w:lineRule="auto"/>
        <w:rPr>
          <w:rFonts w:ascii="Arial"/>
          <w:color w:val="auto"/>
          <w:sz w:val="21"/>
          <w:highlight w:val="none"/>
        </w:rPr>
      </w:pPr>
    </w:p>
    <w:p w14:paraId="2B1EAB98">
      <w:pPr>
        <w:spacing w:line="254" w:lineRule="auto"/>
        <w:rPr>
          <w:rFonts w:ascii="Arial"/>
          <w:color w:val="auto"/>
          <w:sz w:val="21"/>
          <w:highlight w:val="none"/>
        </w:rPr>
      </w:pPr>
    </w:p>
    <w:p w14:paraId="729AA6BF">
      <w:pPr>
        <w:spacing w:line="254" w:lineRule="auto"/>
        <w:rPr>
          <w:rFonts w:ascii="Arial"/>
          <w:color w:val="auto"/>
          <w:sz w:val="21"/>
          <w:highlight w:val="none"/>
        </w:rPr>
      </w:pPr>
    </w:p>
    <w:p w14:paraId="736D2885">
      <w:pPr>
        <w:spacing w:line="254" w:lineRule="auto"/>
        <w:rPr>
          <w:rFonts w:ascii="Arial"/>
          <w:color w:val="auto"/>
          <w:sz w:val="21"/>
          <w:highlight w:val="none"/>
        </w:rPr>
      </w:pPr>
    </w:p>
    <w:p w14:paraId="77AAADCF">
      <w:pPr>
        <w:spacing w:line="254" w:lineRule="auto"/>
        <w:rPr>
          <w:rFonts w:ascii="Arial"/>
          <w:color w:val="auto"/>
          <w:sz w:val="21"/>
          <w:highlight w:val="none"/>
        </w:rPr>
      </w:pPr>
    </w:p>
    <w:p w14:paraId="6E8E862E">
      <w:pPr>
        <w:spacing w:line="254" w:lineRule="auto"/>
        <w:rPr>
          <w:rFonts w:ascii="Arial"/>
          <w:color w:val="auto"/>
          <w:sz w:val="21"/>
          <w:highlight w:val="none"/>
        </w:rPr>
      </w:pPr>
    </w:p>
    <w:p w14:paraId="2E5DB1DB">
      <w:pPr>
        <w:spacing w:line="254" w:lineRule="auto"/>
        <w:rPr>
          <w:rFonts w:ascii="Arial"/>
          <w:color w:val="auto"/>
          <w:sz w:val="21"/>
          <w:highlight w:val="none"/>
        </w:rPr>
      </w:pPr>
    </w:p>
    <w:p w14:paraId="03ECFF64">
      <w:pPr>
        <w:spacing w:line="254" w:lineRule="auto"/>
        <w:rPr>
          <w:rFonts w:ascii="Arial"/>
          <w:color w:val="auto"/>
          <w:sz w:val="21"/>
          <w:highlight w:val="none"/>
        </w:rPr>
      </w:pPr>
    </w:p>
    <w:p w14:paraId="233278BF">
      <w:pPr>
        <w:spacing w:line="254" w:lineRule="auto"/>
        <w:rPr>
          <w:rFonts w:ascii="Arial"/>
          <w:color w:val="auto"/>
          <w:sz w:val="21"/>
          <w:highlight w:val="none"/>
        </w:rPr>
      </w:pPr>
    </w:p>
    <w:p w14:paraId="40F9FA15">
      <w:pPr>
        <w:spacing w:line="254" w:lineRule="auto"/>
        <w:rPr>
          <w:rFonts w:ascii="Arial"/>
          <w:color w:val="auto"/>
          <w:sz w:val="21"/>
          <w:highlight w:val="none"/>
        </w:rPr>
      </w:pPr>
    </w:p>
    <w:p w14:paraId="199363BC">
      <w:pPr>
        <w:spacing w:line="254" w:lineRule="auto"/>
        <w:rPr>
          <w:rFonts w:ascii="Arial"/>
          <w:color w:val="auto"/>
          <w:sz w:val="21"/>
          <w:highlight w:val="none"/>
        </w:rPr>
      </w:pPr>
    </w:p>
    <w:p w14:paraId="1EF275AF">
      <w:pPr>
        <w:spacing w:line="235" w:lineRule="auto"/>
        <w:rPr>
          <w:rFonts w:ascii="宋体" w:hAnsi="宋体" w:eastAsia="宋体" w:cs="宋体"/>
          <w:color w:val="auto"/>
          <w:sz w:val="18"/>
          <w:szCs w:val="18"/>
          <w:highlight w:val="none"/>
        </w:rPr>
        <w:sectPr>
          <w:footerReference r:id="rId73" w:type="default"/>
          <w:pgSz w:w="11906" w:h="16839"/>
          <w:pgMar w:top="1431" w:right="1305" w:bottom="1297" w:left="1305" w:header="0" w:footer="1067" w:gutter="0"/>
          <w:pgNumType w:fmt="decimal"/>
          <w:cols w:space="720" w:num="1"/>
        </w:sectPr>
      </w:pPr>
    </w:p>
    <w:p w14:paraId="524C3098">
      <w:pPr>
        <w:spacing w:before="190" w:line="227" w:lineRule="auto"/>
        <w:jc w:val="right"/>
        <w:outlineLvl w:val="1"/>
        <w:rPr>
          <w:rFonts w:ascii="宋体" w:hAnsi="宋体" w:eastAsia="宋体" w:cs="宋体"/>
          <w:color w:val="auto"/>
          <w:sz w:val="20"/>
          <w:szCs w:val="20"/>
          <w:highlight w:val="none"/>
        </w:rPr>
      </w:pPr>
      <w:bookmarkStart w:id="374" w:name="bookmark15"/>
      <w:bookmarkEnd w:id="374"/>
      <w:bookmarkStart w:id="375" w:name="_Toc5803"/>
      <w:bookmarkStart w:id="376" w:name="_Toc24139"/>
      <w:bookmarkStart w:id="377" w:name="_Toc28192"/>
      <w:r>
        <w:rPr>
          <w:rFonts w:ascii="宋体" w:hAnsi="宋体" w:eastAsia="宋体" w:cs="宋体"/>
          <w:b/>
          <w:bCs/>
          <w:color w:val="auto"/>
          <w:spacing w:val="7"/>
          <w:sz w:val="20"/>
          <w:szCs w:val="20"/>
          <w:highlight w:val="none"/>
        </w:rPr>
        <w:t>附件六：履约保证金格式（详见《交通运输部公路工程标准施工监理招标文件（2018</w:t>
      </w:r>
      <w:r>
        <w:rPr>
          <w:rFonts w:ascii="宋体" w:hAnsi="宋体" w:eastAsia="宋体" w:cs="宋体"/>
          <w:color w:val="auto"/>
          <w:spacing w:val="-35"/>
          <w:sz w:val="20"/>
          <w:szCs w:val="20"/>
          <w:highlight w:val="none"/>
        </w:rPr>
        <w:t xml:space="preserve"> </w:t>
      </w:r>
      <w:r>
        <w:rPr>
          <w:rFonts w:ascii="宋体" w:hAnsi="宋体" w:eastAsia="宋体" w:cs="宋体"/>
          <w:b/>
          <w:bCs/>
          <w:color w:val="auto"/>
          <w:spacing w:val="7"/>
          <w:sz w:val="20"/>
          <w:szCs w:val="20"/>
          <w:highlight w:val="none"/>
        </w:rPr>
        <w:t>年版）》</w:t>
      </w:r>
      <w:bookmarkEnd w:id="375"/>
      <w:bookmarkEnd w:id="376"/>
      <w:bookmarkEnd w:id="377"/>
    </w:p>
    <w:p w14:paraId="5D4C12F1">
      <w:pPr>
        <w:spacing w:line="227" w:lineRule="auto"/>
        <w:rPr>
          <w:rFonts w:ascii="宋体" w:hAnsi="宋体" w:eastAsia="宋体" w:cs="宋体"/>
          <w:color w:val="auto"/>
          <w:sz w:val="20"/>
          <w:szCs w:val="20"/>
          <w:highlight w:val="none"/>
        </w:rPr>
        <w:sectPr>
          <w:footerReference r:id="rId74" w:type="default"/>
          <w:pgSz w:w="11906" w:h="16839"/>
          <w:pgMar w:top="1431" w:right="1785" w:bottom="1297" w:left="1440" w:header="0" w:footer="1067" w:gutter="0"/>
          <w:pgNumType w:fmt="decimal"/>
          <w:cols w:space="720" w:num="1"/>
        </w:sectPr>
      </w:pPr>
    </w:p>
    <w:p w14:paraId="3A13F7E7">
      <w:pPr>
        <w:spacing w:before="190" w:line="227" w:lineRule="auto"/>
        <w:jc w:val="left"/>
        <w:outlineLvl w:val="1"/>
        <w:rPr>
          <w:rFonts w:ascii="宋体" w:hAnsi="宋体" w:eastAsia="宋体" w:cs="宋体"/>
          <w:b/>
          <w:bCs/>
          <w:color w:val="auto"/>
          <w:spacing w:val="7"/>
          <w:sz w:val="20"/>
          <w:szCs w:val="20"/>
          <w:highlight w:val="none"/>
        </w:rPr>
      </w:pPr>
      <w:bookmarkStart w:id="378" w:name="_Toc19243"/>
      <w:bookmarkStart w:id="379" w:name="_Toc13304"/>
      <w:bookmarkStart w:id="380" w:name="_Toc28212"/>
      <w:r>
        <w:rPr>
          <w:rFonts w:ascii="宋体" w:hAnsi="宋体" w:eastAsia="宋体" w:cs="宋体"/>
          <w:b/>
          <w:bCs/>
          <w:color w:val="auto"/>
          <w:spacing w:val="7"/>
          <w:sz w:val="20"/>
          <w:szCs w:val="20"/>
          <w:highlight w:val="none"/>
        </w:rPr>
        <w:t>附件七： 安全生产合同</w:t>
      </w:r>
      <w:bookmarkEnd w:id="378"/>
      <w:bookmarkEnd w:id="379"/>
      <w:bookmarkEnd w:id="380"/>
    </w:p>
    <w:p w14:paraId="5C89269F">
      <w:pPr>
        <w:spacing w:line="388" w:lineRule="auto"/>
        <w:rPr>
          <w:rFonts w:ascii="Arial"/>
          <w:color w:val="auto"/>
          <w:sz w:val="21"/>
          <w:highlight w:val="none"/>
        </w:rPr>
      </w:pPr>
    </w:p>
    <w:p w14:paraId="2691FDDF">
      <w:pPr>
        <w:spacing w:before="101" w:line="225" w:lineRule="auto"/>
        <w:ind w:left="3583"/>
        <w:rPr>
          <w:rFonts w:ascii="宋体" w:hAnsi="宋体" w:eastAsia="宋体" w:cs="宋体"/>
          <w:color w:val="auto"/>
          <w:sz w:val="31"/>
          <w:szCs w:val="31"/>
          <w:highlight w:val="none"/>
        </w:rPr>
      </w:pPr>
      <w:r>
        <w:rPr>
          <w:rFonts w:ascii="宋体" w:hAnsi="宋体" w:eastAsia="宋体" w:cs="宋体"/>
          <w:b/>
          <w:bCs/>
          <w:color w:val="auto"/>
          <w:spacing w:val="4"/>
          <w:sz w:val="31"/>
          <w:szCs w:val="31"/>
          <w:highlight w:val="none"/>
        </w:rPr>
        <w:t>安全生产合同</w:t>
      </w:r>
    </w:p>
    <w:p w14:paraId="301950A5">
      <w:pPr>
        <w:spacing w:line="412" w:lineRule="auto"/>
        <w:rPr>
          <w:rFonts w:ascii="Arial"/>
          <w:color w:val="auto"/>
          <w:sz w:val="21"/>
          <w:highlight w:val="none"/>
        </w:rPr>
      </w:pPr>
    </w:p>
    <w:p w14:paraId="6CE186D9">
      <w:pPr>
        <w:spacing w:before="78" w:line="359" w:lineRule="auto"/>
        <w:ind w:left="1" w:firstLine="478"/>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根据《中华人民共和国安全生产法》、国务院《建设工程安全生产管理条例》、交通运输部《公路水运工程安全生产监督管理办法》《公路水运工程施</w:t>
      </w:r>
      <w:r>
        <w:rPr>
          <w:rFonts w:ascii="宋体" w:hAnsi="宋体" w:eastAsia="宋体" w:cs="宋体"/>
          <w:color w:val="auto"/>
          <w:spacing w:val="4"/>
          <w:sz w:val="24"/>
          <w:szCs w:val="24"/>
          <w:highlight w:val="none"/>
        </w:rPr>
        <w:t>工安全标准化指南》以及《公路工程施工监理规范》等有关规定，为切实做好</w:t>
      </w:r>
      <w:r>
        <w:rPr>
          <w:rFonts w:ascii="宋体" w:hAnsi="宋体" w:eastAsia="宋体" w:cs="宋体"/>
          <w:color w:val="auto"/>
          <w:spacing w:val="-109"/>
          <w:sz w:val="24"/>
          <w:szCs w:val="24"/>
          <w:highlight w:val="none"/>
        </w:rPr>
        <w:t xml:space="preserve"> </w:t>
      </w:r>
      <w:r>
        <w:rPr>
          <w:rFonts w:ascii="宋体" w:hAnsi="宋体" w:eastAsia="宋体" w:cs="宋体"/>
          <w:color w:val="auto"/>
          <w:spacing w:val="4"/>
          <w:sz w:val="24"/>
          <w:szCs w:val="24"/>
          <w:highlight w:val="none"/>
          <w:u w:val="single" w:color="auto"/>
        </w:rPr>
        <w:t xml:space="preserve">          工程</w:t>
      </w:r>
      <w:r>
        <w:rPr>
          <w:rFonts w:ascii="宋体" w:hAnsi="宋体" w:eastAsia="宋体" w:cs="宋体"/>
          <w:color w:val="auto"/>
          <w:spacing w:val="4"/>
          <w:sz w:val="24"/>
          <w:szCs w:val="24"/>
          <w:highlight w:val="none"/>
        </w:rPr>
        <w:t>安全</w:t>
      </w:r>
      <w:r>
        <w:rPr>
          <w:rFonts w:ascii="宋体" w:hAnsi="宋体" w:eastAsia="宋体" w:cs="宋体"/>
          <w:color w:val="auto"/>
          <w:spacing w:val="-2"/>
          <w:sz w:val="24"/>
          <w:szCs w:val="24"/>
          <w:highlight w:val="none"/>
        </w:rPr>
        <w:t>生产管理工作，明确项目参建各方的安全生产责任，促进实现工程项目安全管理目标，</w:t>
      </w:r>
      <w:r>
        <w:rPr>
          <w:rFonts w:ascii="宋体" w:hAnsi="宋体" w:eastAsia="宋体" w:cs="宋体"/>
          <w:color w:val="auto"/>
          <w:spacing w:val="3"/>
          <w:sz w:val="24"/>
          <w:szCs w:val="24"/>
          <w:highlight w:val="none"/>
        </w:rPr>
        <w:t>建设单位全称（以下简称“委托人</w:t>
      </w:r>
      <w:r>
        <w:rPr>
          <w:rFonts w:ascii="宋体" w:hAnsi="宋体" w:eastAsia="宋体" w:cs="宋体"/>
          <w:color w:val="auto"/>
          <w:spacing w:val="-81"/>
          <w:sz w:val="24"/>
          <w:szCs w:val="24"/>
          <w:highlight w:val="none"/>
        </w:rPr>
        <w:t xml:space="preserve"> </w:t>
      </w:r>
      <w:r>
        <w:rPr>
          <w:rFonts w:ascii="宋体" w:hAnsi="宋体" w:eastAsia="宋体" w:cs="宋体"/>
          <w:color w:val="auto"/>
          <w:spacing w:val="3"/>
          <w:sz w:val="24"/>
          <w:szCs w:val="24"/>
          <w:highlight w:val="none"/>
        </w:rPr>
        <w:t>”）与监理单位全称（以下</w:t>
      </w:r>
      <w:r>
        <w:rPr>
          <w:rFonts w:ascii="宋体" w:hAnsi="宋体" w:eastAsia="宋体" w:cs="宋体"/>
          <w:color w:val="auto"/>
          <w:spacing w:val="2"/>
          <w:sz w:val="24"/>
          <w:szCs w:val="24"/>
          <w:highlight w:val="none"/>
        </w:rPr>
        <w:t>简称“监理人</w:t>
      </w:r>
      <w:r>
        <w:rPr>
          <w:rFonts w:ascii="宋体" w:hAnsi="宋体" w:eastAsia="宋体" w:cs="宋体"/>
          <w:color w:val="auto"/>
          <w:spacing w:val="-81"/>
          <w:sz w:val="24"/>
          <w:szCs w:val="24"/>
          <w:highlight w:val="none"/>
        </w:rPr>
        <w:t xml:space="preserve"> </w:t>
      </w:r>
      <w:r>
        <w:rPr>
          <w:rFonts w:ascii="宋体" w:hAnsi="宋体" w:eastAsia="宋体" w:cs="宋体"/>
          <w:color w:val="auto"/>
          <w:spacing w:val="2"/>
          <w:sz w:val="24"/>
          <w:szCs w:val="24"/>
          <w:highlight w:val="none"/>
        </w:rPr>
        <w:t>”）签订</w:t>
      </w:r>
      <w:r>
        <w:rPr>
          <w:rFonts w:ascii="宋体" w:hAnsi="宋体" w:eastAsia="宋体" w:cs="宋体"/>
          <w:color w:val="auto"/>
          <w:spacing w:val="-2"/>
          <w:sz w:val="24"/>
          <w:szCs w:val="24"/>
          <w:highlight w:val="none"/>
        </w:rPr>
        <w:t>如下安全生产合同：</w:t>
      </w:r>
    </w:p>
    <w:p w14:paraId="555DF057">
      <w:pPr>
        <w:spacing w:before="1" w:line="220" w:lineRule="auto"/>
        <w:ind w:left="483"/>
        <w:rPr>
          <w:rFonts w:ascii="宋体" w:hAnsi="宋体" w:eastAsia="宋体" w:cs="宋体"/>
          <w:color w:val="auto"/>
          <w:sz w:val="24"/>
          <w:szCs w:val="24"/>
          <w:highlight w:val="none"/>
        </w:rPr>
      </w:pPr>
      <w:r>
        <w:rPr>
          <w:rFonts w:ascii="宋体" w:hAnsi="宋体" w:eastAsia="宋体" w:cs="宋体"/>
          <w:b/>
          <w:bCs/>
          <w:color w:val="auto"/>
          <w:spacing w:val="-4"/>
          <w:sz w:val="24"/>
          <w:szCs w:val="24"/>
          <w:highlight w:val="none"/>
        </w:rPr>
        <w:t>一、委托人职责</w:t>
      </w:r>
    </w:p>
    <w:p w14:paraId="3425D907">
      <w:pPr>
        <w:spacing w:before="180" w:line="219" w:lineRule="auto"/>
        <w:ind w:left="497"/>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1.按照法律法规及合同文件约定督促、检查监理人落实安全生产责任。</w:t>
      </w:r>
    </w:p>
    <w:p w14:paraId="354BA485">
      <w:pPr>
        <w:spacing w:before="180" w:line="290" w:lineRule="auto"/>
        <w:ind w:left="4" w:firstLine="478"/>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2.按照有关规定对监理人的安全生产条件、安全生产信用情况、安全生产管</w:t>
      </w:r>
      <w:r>
        <w:rPr>
          <w:rFonts w:ascii="宋体" w:hAnsi="宋体" w:eastAsia="宋体" w:cs="宋体"/>
          <w:color w:val="auto"/>
          <w:spacing w:val="4"/>
          <w:sz w:val="24"/>
          <w:szCs w:val="24"/>
          <w:highlight w:val="none"/>
        </w:rPr>
        <w:t>理体</w:t>
      </w:r>
      <w:r>
        <w:rPr>
          <w:rFonts w:ascii="宋体" w:hAnsi="宋体" w:eastAsia="宋体" w:cs="宋体"/>
          <w:color w:val="auto"/>
          <w:spacing w:val="-1"/>
          <w:sz w:val="24"/>
          <w:szCs w:val="24"/>
          <w:highlight w:val="none"/>
        </w:rPr>
        <w:t>系及保障措施等提出明确要求并检查实施情况。</w:t>
      </w:r>
    </w:p>
    <w:p w14:paraId="6F023AA6">
      <w:pPr>
        <w:spacing w:before="180" w:line="221" w:lineRule="auto"/>
        <w:ind w:left="483"/>
        <w:rPr>
          <w:rFonts w:ascii="宋体" w:hAnsi="宋体" w:eastAsia="宋体" w:cs="宋体"/>
          <w:color w:val="auto"/>
          <w:sz w:val="24"/>
          <w:szCs w:val="24"/>
          <w:highlight w:val="none"/>
        </w:rPr>
      </w:pPr>
      <w:r>
        <w:rPr>
          <w:rFonts w:ascii="宋体" w:hAnsi="宋体" w:eastAsia="宋体" w:cs="宋体"/>
          <w:b/>
          <w:bCs/>
          <w:color w:val="auto"/>
          <w:spacing w:val="-4"/>
          <w:sz w:val="24"/>
          <w:szCs w:val="24"/>
          <w:highlight w:val="none"/>
        </w:rPr>
        <w:t>二、监理人职责</w:t>
      </w:r>
    </w:p>
    <w:p w14:paraId="63BDBD16">
      <w:pPr>
        <w:spacing w:before="181" w:line="219" w:lineRule="auto"/>
        <w:ind w:left="497"/>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1.严格遵守安全生产有关法律法规，落实合同中有关安全生产的要求。</w:t>
      </w:r>
    </w:p>
    <w:p w14:paraId="288C7D91">
      <w:pPr>
        <w:spacing w:before="181" w:line="219" w:lineRule="auto"/>
        <w:ind w:left="482"/>
        <w:rPr>
          <w:rFonts w:ascii="宋体" w:hAnsi="宋体" w:eastAsia="宋体" w:cs="宋体"/>
          <w:color w:val="auto"/>
          <w:sz w:val="24"/>
          <w:szCs w:val="24"/>
          <w:highlight w:val="none"/>
        </w:rPr>
      </w:pPr>
      <w:r>
        <w:rPr>
          <w:rFonts w:ascii="宋体" w:hAnsi="宋体" w:eastAsia="宋体" w:cs="宋体"/>
          <w:color w:val="auto"/>
          <w:sz w:val="24"/>
          <w:szCs w:val="24"/>
          <w:highlight w:val="none"/>
        </w:rPr>
        <w:t>2.具备相应的安全生产条件及安全生产资质，</w:t>
      </w:r>
      <w:r>
        <w:rPr>
          <w:rFonts w:ascii="宋体" w:hAnsi="宋体" w:eastAsia="宋体" w:cs="宋体"/>
          <w:color w:val="auto"/>
          <w:spacing w:val="-1"/>
          <w:sz w:val="24"/>
          <w:szCs w:val="24"/>
          <w:highlight w:val="none"/>
        </w:rPr>
        <w:t>对工程安全生产承担监理责任。</w:t>
      </w:r>
    </w:p>
    <w:p w14:paraId="5022344A">
      <w:pPr>
        <w:spacing w:before="184" w:line="289" w:lineRule="auto"/>
        <w:ind w:left="1" w:right="10" w:firstLine="482"/>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3.建立健全安全生产制度、责任、组织机构等内部管理体系，配齐安全管理人员，</w:t>
      </w:r>
      <w:r>
        <w:rPr>
          <w:rFonts w:ascii="宋体" w:hAnsi="宋体" w:eastAsia="宋体" w:cs="宋体"/>
          <w:color w:val="auto"/>
          <w:sz w:val="24"/>
          <w:szCs w:val="24"/>
          <w:highlight w:val="none"/>
        </w:rPr>
        <w:t>落实安全生产培训教育，依法参加各类安全保险</w:t>
      </w:r>
      <w:r>
        <w:rPr>
          <w:rFonts w:ascii="宋体" w:hAnsi="宋体" w:eastAsia="宋体" w:cs="宋体"/>
          <w:color w:val="auto"/>
          <w:spacing w:val="-1"/>
          <w:sz w:val="24"/>
          <w:szCs w:val="24"/>
          <w:highlight w:val="none"/>
        </w:rPr>
        <w:t>，落实本单位安全管理责任。</w:t>
      </w:r>
    </w:p>
    <w:p w14:paraId="2E0D787F">
      <w:pPr>
        <w:spacing w:before="180" w:line="289" w:lineRule="auto"/>
        <w:ind w:firstLine="479"/>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4.对施工单位的施工安全提出明确要求并督促落实，检查施工单位安全生产管理</w:t>
      </w:r>
      <w:r>
        <w:rPr>
          <w:rFonts w:ascii="宋体" w:hAnsi="宋体" w:eastAsia="宋体" w:cs="宋体"/>
          <w:color w:val="auto"/>
          <w:sz w:val="24"/>
          <w:szCs w:val="24"/>
          <w:highlight w:val="none"/>
        </w:rPr>
        <w:t>体系建立及落实情况，检查有关人员资格及设备设</w:t>
      </w:r>
      <w:r>
        <w:rPr>
          <w:rFonts w:ascii="宋体" w:hAnsi="宋体" w:eastAsia="宋体" w:cs="宋体"/>
          <w:color w:val="auto"/>
          <w:spacing w:val="-1"/>
          <w:sz w:val="24"/>
          <w:szCs w:val="24"/>
          <w:highlight w:val="none"/>
        </w:rPr>
        <w:t>施相关安全手续等情况。</w:t>
      </w:r>
    </w:p>
    <w:p w14:paraId="46A3A504">
      <w:pPr>
        <w:spacing w:before="183" w:line="288" w:lineRule="auto"/>
        <w:ind w:left="2" w:firstLine="481"/>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5.核查施工单位安全生产条件，审查施工组织设计安全技术措施、应急</w:t>
      </w:r>
      <w:r>
        <w:rPr>
          <w:rFonts w:ascii="宋体" w:hAnsi="宋体" w:eastAsia="宋体" w:cs="宋体"/>
          <w:color w:val="auto"/>
          <w:spacing w:val="4"/>
          <w:sz w:val="24"/>
          <w:szCs w:val="24"/>
          <w:highlight w:val="none"/>
        </w:rPr>
        <w:t>预案及施</w:t>
      </w:r>
      <w:r>
        <w:rPr>
          <w:rFonts w:ascii="宋体" w:hAnsi="宋体" w:eastAsia="宋体" w:cs="宋体"/>
          <w:color w:val="auto"/>
          <w:spacing w:val="-1"/>
          <w:sz w:val="24"/>
          <w:szCs w:val="24"/>
          <w:highlight w:val="none"/>
        </w:rPr>
        <w:t>工安全风险评估报告等，检查危险性较大工程专项施工方案实施情况。</w:t>
      </w:r>
    </w:p>
    <w:p w14:paraId="7141FD12">
      <w:pPr>
        <w:spacing w:before="185" w:line="289" w:lineRule="auto"/>
        <w:ind w:firstLine="480"/>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6.按有关规定对施工单位开展各类安全生产检查，发现生产安全事故隐患按有关</w:t>
      </w:r>
      <w:r>
        <w:rPr>
          <w:rFonts w:ascii="宋体" w:hAnsi="宋体" w:eastAsia="宋体" w:cs="宋体"/>
          <w:color w:val="auto"/>
          <w:spacing w:val="-2"/>
          <w:sz w:val="24"/>
          <w:szCs w:val="24"/>
          <w:highlight w:val="none"/>
        </w:rPr>
        <w:t>要求及时处理和报告。</w:t>
      </w:r>
    </w:p>
    <w:p w14:paraId="0591FD8B">
      <w:pPr>
        <w:spacing w:before="183" w:line="219" w:lineRule="auto"/>
        <w:ind w:left="485"/>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7.建立安全监理内业台账档案。</w:t>
      </w:r>
    </w:p>
    <w:p w14:paraId="258603B2">
      <w:pPr>
        <w:spacing w:before="183" w:line="219" w:lineRule="auto"/>
        <w:ind w:left="480"/>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8.落实安全生产法律法规、政策等规定的其他职责。</w:t>
      </w:r>
    </w:p>
    <w:p w14:paraId="4C9FFD4D">
      <w:pPr>
        <w:spacing w:before="181" w:line="219" w:lineRule="auto"/>
        <w:ind w:left="484"/>
        <w:rPr>
          <w:rFonts w:ascii="宋体" w:hAnsi="宋体" w:eastAsia="宋体" w:cs="宋体"/>
          <w:color w:val="auto"/>
          <w:sz w:val="24"/>
          <w:szCs w:val="24"/>
          <w:highlight w:val="none"/>
        </w:rPr>
      </w:pPr>
      <w:r>
        <w:rPr>
          <w:rFonts w:ascii="宋体" w:hAnsi="宋体" w:eastAsia="宋体" w:cs="宋体"/>
          <w:b/>
          <w:bCs/>
          <w:color w:val="auto"/>
          <w:spacing w:val="-4"/>
          <w:sz w:val="24"/>
          <w:szCs w:val="24"/>
          <w:highlight w:val="none"/>
        </w:rPr>
        <w:t>三、违约责任</w:t>
      </w:r>
    </w:p>
    <w:p w14:paraId="7A4F00AE">
      <w:pPr>
        <w:spacing w:before="182" w:line="219" w:lineRule="auto"/>
        <w:ind w:left="488"/>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如因一方违约造成安全事故，将依法追究法律责任。</w:t>
      </w:r>
    </w:p>
    <w:p w14:paraId="02A5F463">
      <w:pPr>
        <w:spacing w:before="181" w:line="219" w:lineRule="auto"/>
        <w:ind w:left="507"/>
        <w:rPr>
          <w:rFonts w:ascii="宋体" w:hAnsi="宋体" w:eastAsia="宋体" w:cs="宋体"/>
          <w:color w:val="auto"/>
          <w:sz w:val="24"/>
          <w:szCs w:val="24"/>
          <w:highlight w:val="none"/>
        </w:rPr>
      </w:pPr>
      <w:r>
        <w:rPr>
          <w:rFonts w:ascii="宋体" w:hAnsi="宋体" w:eastAsia="宋体" w:cs="宋体"/>
          <w:b/>
          <w:bCs/>
          <w:color w:val="auto"/>
          <w:spacing w:val="-1"/>
          <w:sz w:val="24"/>
          <w:szCs w:val="24"/>
          <w:highlight w:val="none"/>
        </w:rPr>
        <w:t>四、本合同正本一式两份，甲、乙双方各执一份；副本一式八份，甲、乙</w:t>
      </w:r>
      <w:r>
        <w:rPr>
          <w:rFonts w:ascii="宋体" w:hAnsi="宋体" w:eastAsia="宋体" w:cs="宋体"/>
          <w:b/>
          <w:bCs/>
          <w:color w:val="auto"/>
          <w:spacing w:val="-2"/>
          <w:sz w:val="24"/>
          <w:szCs w:val="24"/>
          <w:highlight w:val="none"/>
        </w:rPr>
        <w:t>双方各</w:t>
      </w:r>
    </w:p>
    <w:p w14:paraId="5667FAFA">
      <w:pPr>
        <w:spacing w:line="219" w:lineRule="auto"/>
        <w:rPr>
          <w:rFonts w:ascii="宋体" w:hAnsi="宋体" w:eastAsia="宋体" w:cs="宋体"/>
          <w:color w:val="auto"/>
          <w:sz w:val="24"/>
          <w:szCs w:val="24"/>
          <w:highlight w:val="none"/>
        </w:rPr>
        <w:sectPr>
          <w:footerReference r:id="rId75" w:type="default"/>
          <w:pgSz w:w="11906" w:h="16839"/>
          <w:pgMar w:top="1431" w:right="1418" w:bottom="1297" w:left="1425" w:header="0" w:footer="1066" w:gutter="0"/>
          <w:pgNumType w:fmt="decimal"/>
          <w:cols w:space="720" w:num="1"/>
        </w:sectPr>
      </w:pPr>
    </w:p>
    <w:p w14:paraId="28FFD9F8">
      <w:pPr>
        <w:spacing w:before="48" w:line="360" w:lineRule="auto"/>
        <w:rPr>
          <w:rFonts w:ascii="宋体" w:hAnsi="宋体" w:eastAsia="宋体" w:cs="宋体"/>
          <w:color w:val="auto"/>
          <w:sz w:val="24"/>
          <w:szCs w:val="24"/>
          <w:highlight w:val="none"/>
        </w:rPr>
      </w:pPr>
      <w:r>
        <w:rPr>
          <w:rFonts w:ascii="宋体" w:hAnsi="宋体" w:eastAsia="宋体" w:cs="宋体"/>
          <w:b/>
          <w:bCs/>
          <w:color w:val="auto"/>
          <w:sz w:val="24"/>
          <w:szCs w:val="24"/>
          <w:highlight w:val="none"/>
        </w:rPr>
        <w:t>执四份。合同由双方法定代表人或其授权的</w:t>
      </w:r>
      <w:r>
        <w:rPr>
          <w:rFonts w:ascii="宋体" w:hAnsi="宋体" w:eastAsia="宋体" w:cs="宋体"/>
          <w:b/>
          <w:bCs/>
          <w:color w:val="auto"/>
          <w:spacing w:val="-1"/>
          <w:sz w:val="24"/>
          <w:szCs w:val="24"/>
          <w:highlight w:val="none"/>
        </w:rPr>
        <w:t>代理人签署并加盖公章后生效，全部工程</w:t>
      </w:r>
      <w:r>
        <w:rPr>
          <w:rFonts w:ascii="宋体" w:hAnsi="宋体" w:eastAsia="宋体" w:cs="宋体"/>
          <w:b/>
          <w:bCs/>
          <w:color w:val="auto"/>
          <w:spacing w:val="-4"/>
          <w:sz w:val="24"/>
          <w:szCs w:val="24"/>
          <w:highlight w:val="none"/>
        </w:rPr>
        <w:t>竣工验收后失效。</w:t>
      </w:r>
    </w:p>
    <w:p w14:paraId="1D22C6B9">
      <w:pPr>
        <w:spacing w:before="19"/>
        <w:rPr>
          <w:color w:val="auto"/>
          <w:highlight w:val="none"/>
        </w:rPr>
      </w:pPr>
    </w:p>
    <w:p w14:paraId="5620BDAB">
      <w:pPr>
        <w:spacing w:before="19"/>
        <w:rPr>
          <w:color w:val="auto"/>
          <w:highlight w:val="none"/>
        </w:rPr>
      </w:pPr>
    </w:p>
    <w:p w14:paraId="6753A132">
      <w:pPr>
        <w:spacing w:before="19"/>
        <w:rPr>
          <w:color w:val="auto"/>
          <w:highlight w:val="none"/>
        </w:rPr>
      </w:pPr>
    </w:p>
    <w:p w14:paraId="2A86770A">
      <w:pPr>
        <w:spacing w:before="18"/>
        <w:rPr>
          <w:color w:val="auto"/>
          <w:highlight w:val="none"/>
        </w:rPr>
      </w:pPr>
    </w:p>
    <w:p w14:paraId="4B80FA3B">
      <w:pPr>
        <w:rPr>
          <w:color w:val="auto"/>
          <w:highlight w:val="none"/>
        </w:rPr>
        <w:sectPr>
          <w:footerReference r:id="rId76" w:type="default"/>
          <w:pgSz w:w="11906" w:h="16839"/>
          <w:pgMar w:top="1405" w:right="1523" w:bottom="1297" w:left="1424" w:header="0" w:footer="1067" w:gutter="0"/>
          <w:pgNumType w:fmt="decimal"/>
          <w:cols w:equalWidth="0" w:num="1">
            <w:col w:w="8958"/>
          </w:cols>
        </w:sectPr>
      </w:pPr>
    </w:p>
    <w:p w14:paraId="05D85C2E">
      <w:pPr>
        <w:spacing w:before="47" w:line="219" w:lineRule="auto"/>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委托人</w:t>
      </w:r>
      <w:r>
        <w:rPr>
          <w:rFonts w:ascii="宋体" w:hAnsi="宋体" w:eastAsia="宋体" w:cs="宋体"/>
          <w:color w:val="auto"/>
          <w:spacing w:val="-17"/>
          <w:sz w:val="24"/>
          <w:szCs w:val="24"/>
          <w:highlight w:val="none"/>
        </w:rPr>
        <w:t>：</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17"/>
          <w:sz w:val="24"/>
          <w:szCs w:val="24"/>
          <w:highlight w:val="none"/>
        </w:rPr>
        <w:t>（</w:t>
      </w:r>
      <w:r>
        <w:rPr>
          <w:rFonts w:ascii="宋体" w:hAnsi="宋体" w:eastAsia="宋体" w:cs="宋体"/>
          <w:color w:val="auto"/>
          <w:spacing w:val="4"/>
          <w:sz w:val="24"/>
          <w:szCs w:val="24"/>
          <w:highlight w:val="none"/>
        </w:rPr>
        <w:t>盖章）</w:t>
      </w:r>
    </w:p>
    <w:p w14:paraId="7D927317">
      <w:pPr>
        <w:spacing w:line="415" w:lineRule="auto"/>
        <w:rPr>
          <w:rFonts w:ascii="Arial"/>
          <w:color w:val="auto"/>
          <w:sz w:val="21"/>
          <w:highlight w:val="none"/>
        </w:rPr>
      </w:pPr>
    </w:p>
    <w:p w14:paraId="254DA553">
      <w:pPr>
        <w:spacing w:before="78" w:line="219" w:lineRule="auto"/>
        <w:ind w:left="1"/>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法定代表人或</w:t>
      </w:r>
    </w:p>
    <w:p w14:paraId="56F1E69E">
      <w:pPr>
        <w:spacing w:line="414" w:lineRule="auto"/>
        <w:rPr>
          <w:rFonts w:ascii="Arial"/>
          <w:color w:val="auto"/>
          <w:sz w:val="21"/>
          <w:highlight w:val="none"/>
        </w:rPr>
      </w:pPr>
    </w:p>
    <w:p w14:paraId="73D41C81">
      <w:pPr>
        <w:spacing w:before="78" w:line="219" w:lineRule="auto"/>
        <w:ind w:left="1"/>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其授权的代理人</w:t>
      </w:r>
      <w:r>
        <w:rPr>
          <w:rFonts w:ascii="宋体" w:hAnsi="宋体" w:eastAsia="宋体" w:cs="宋体"/>
          <w:color w:val="auto"/>
          <w:spacing w:val="-16"/>
          <w:sz w:val="24"/>
          <w:szCs w:val="24"/>
          <w:highlight w:val="none"/>
        </w:rPr>
        <w:t>：</w:t>
      </w:r>
      <w:r>
        <w:rPr>
          <w:rFonts w:ascii="宋体" w:hAnsi="宋体" w:eastAsia="宋体" w:cs="宋体"/>
          <w:color w:val="auto"/>
          <w:spacing w:val="-16"/>
          <w:sz w:val="24"/>
          <w:szCs w:val="24"/>
          <w:highlight w:val="none"/>
          <w:u w:val="single" w:color="auto"/>
        </w:rPr>
        <w:t>（</w:t>
      </w:r>
      <w:r>
        <w:rPr>
          <w:rFonts w:ascii="宋体" w:hAnsi="宋体" w:eastAsia="宋体" w:cs="宋体"/>
          <w:color w:val="auto"/>
          <w:spacing w:val="2"/>
          <w:sz w:val="24"/>
          <w:szCs w:val="24"/>
          <w:highlight w:val="none"/>
          <w:u w:val="single" w:color="auto"/>
        </w:rPr>
        <w:t>签名）</w:t>
      </w:r>
      <w:r>
        <w:rPr>
          <w:rFonts w:ascii="宋体" w:hAnsi="宋体" w:eastAsia="宋体" w:cs="宋体"/>
          <w:color w:val="auto"/>
          <w:sz w:val="24"/>
          <w:szCs w:val="24"/>
          <w:highlight w:val="none"/>
          <w:u w:val="single" w:color="auto"/>
        </w:rPr>
        <w:t xml:space="preserve">   </w:t>
      </w:r>
    </w:p>
    <w:p w14:paraId="5BECBB67">
      <w:pPr>
        <w:spacing w:line="411" w:lineRule="auto"/>
        <w:rPr>
          <w:rFonts w:ascii="Arial"/>
          <w:color w:val="auto"/>
          <w:sz w:val="21"/>
          <w:highlight w:val="none"/>
        </w:rPr>
      </w:pPr>
    </w:p>
    <w:p w14:paraId="40A2A0CD">
      <w:pPr>
        <w:spacing w:before="79" w:line="229" w:lineRule="auto"/>
        <w:ind w:left="60"/>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地址：</w:t>
      </w:r>
      <w:r>
        <w:rPr>
          <w:rFonts w:ascii="宋体" w:hAnsi="宋体" w:eastAsia="宋体" w:cs="宋体"/>
          <w:color w:val="auto"/>
          <w:sz w:val="24"/>
          <w:szCs w:val="24"/>
          <w:highlight w:val="none"/>
          <w:u w:val="single" w:color="auto"/>
        </w:rPr>
        <w:t xml:space="preserve">                    </w:t>
      </w:r>
    </w:p>
    <w:p w14:paraId="5A87D17A">
      <w:pPr>
        <w:spacing w:before="171" w:line="221" w:lineRule="auto"/>
        <w:ind w:left="89"/>
        <w:rPr>
          <w:rFonts w:ascii="宋体" w:hAnsi="宋体" w:eastAsia="宋体" w:cs="宋体"/>
          <w:color w:val="auto"/>
          <w:sz w:val="24"/>
          <w:szCs w:val="24"/>
          <w:highlight w:val="none"/>
        </w:rPr>
      </w:pPr>
      <w:r>
        <w:rPr>
          <w:rFonts w:ascii="宋体" w:hAnsi="宋体" w:eastAsia="宋体" w:cs="宋体"/>
          <w:color w:val="auto"/>
          <w:spacing w:val="-13"/>
          <w:sz w:val="24"/>
          <w:szCs w:val="24"/>
          <w:highlight w:val="none"/>
        </w:rPr>
        <w:t>电话：</w:t>
      </w:r>
      <w:r>
        <w:rPr>
          <w:rFonts w:ascii="宋体" w:hAnsi="宋体" w:eastAsia="宋体" w:cs="宋体"/>
          <w:color w:val="auto"/>
          <w:sz w:val="24"/>
          <w:szCs w:val="24"/>
          <w:highlight w:val="none"/>
          <w:u w:val="single" w:color="auto"/>
        </w:rPr>
        <w:t xml:space="preserve">                    </w:t>
      </w:r>
    </w:p>
    <w:p w14:paraId="2AB498C9">
      <w:pPr>
        <w:spacing w:line="283" w:lineRule="auto"/>
        <w:rPr>
          <w:rFonts w:ascii="Arial"/>
          <w:color w:val="auto"/>
          <w:sz w:val="21"/>
          <w:highlight w:val="none"/>
        </w:rPr>
      </w:pPr>
    </w:p>
    <w:p w14:paraId="00DE6780">
      <w:pPr>
        <w:spacing w:line="284" w:lineRule="auto"/>
        <w:rPr>
          <w:rFonts w:ascii="Arial"/>
          <w:color w:val="auto"/>
          <w:sz w:val="21"/>
          <w:highlight w:val="none"/>
        </w:rPr>
      </w:pPr>
    </w:p>
    <w:p w14:paraId="789D90F2">
      <w:pPr>
        <w:spacing w:before="78" w:line="184" w:lineRule="auto"/>
        <w:ind w:left="102"/>
        <w:rPr>
          <w:rFonts w:ascii="宋体" w:hAnsi="宋体" w:eastAsia="宋体" w:cs="宋体"/>
          <w:color w:val="auto"/>
          <w:sz w:val="24"/>
          <w:szCs w:val="24"/>
          <w:highlight w:val="none"/>
        </w:rPr>
      </w:pPr>
      <w:r>
        <w:rPr>
          <w:rFonts w:ascii="宋体" w:hAnsi="宋体" w:eastAsia="宋体" w:cs="宋体"/>
          <w:color w:val="auto"/>
          <w:spacing w:val="-13"/>
          <w:sz w:val="24"/>
          <w:szCs w:val="24"/>
          <w:highlight w:val="none"/>
        </w:rPr>
        <w:t>日期：</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109"/>
          <w:sz w:val="24"/>
          <w:szCs w:val="24"/>
          <w:highlight w:val="none"/>
        </w:rPr>
        <w:t xml:space="preserve"> </w:t>
      </w:r>
      <w:r>
        <w:rPr>
          <w:rFonts w:ascii="宋体" w:hAnsi="宋体" w:eastAsia="宋体" w:cs="宋体"/>
          <w:color w:val="auto"/>
          <w:spacing w:val="-13"/>
          <w:sz w:val="24"/>
          <w:szCs w:val="24"/>
          <w:highlight w:val="none"/>
        </w:rPr>
        <w:t>年</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105"/>
          <w:sz w:val="24"/>
          <w:szCs w:val="24"/>
          <w:highlight w:val="none"/>
        </w:rPr>
        <w:t xml:space="preserve"> </w:t>
      </w:r>
      <w:r>
        <w:rPr>
          <w:rFonts w:ascii="宋体" w:hAnsi="宋体" w:eastAsia="宋体" w:cs="宋体"/>
          <w:color w:val="auto"/>
          <w:spacing w:val="-13"/>
          <w:sz w:val="24"/>
          <w:szCs w:val="24"/>
          <w:highlight w:val="none"/>
        </w:rPr>
        <w:t>月</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69"/>
          <w:sz w:val="24"/>
          <w:szCs w:val="24"/>
          <w:highlight w:val="none"/>
        </w:rPr>
        <w:t xml:space="preserve"> </w:t>
      </w:r>
      <w:r>
        <w:rPr>
          <w:rFonts w:ascii="宋体" w:hAnsi="宋体" w:eastAsia="宋体" w:cs="宋体"/>
          <w:color w:val="auto"/>
          <w:spacing w:val="-13"/>
          <w:sz w:val="24"/>
          <w:szCs w:val="24"/>
          <w:highlight w:val="none"/>
        </w:rPr>
        <w:t>日</w:t>
      </w:r>
    </w:p>
    <w:p w14:paraId="7504D3BB">
      <w:pPr>
        <w:spacing w:line="14" w:lineRule="auto"/>
        <w:rPr>
          <w:rFonts w:ascii="Arial"/>
          <w:color w:val="auto"/>
          <w:sz w:val="2"/>
          <w:highlight w:val="none"/>
        </w:rPr>
      </w:pPr>
      <w:r>
        <w:rPr>
          <w:rFonts w:ascii="Arial" w:hAnsi="Arial" w:eastAsia="Arial" w:cs="Arial"/>
          <w:color w:val="auto"/>
          <w:sz w:val="2"/>
          <w:szCs w:val="2"/>
          <w:highlight w:val="none"/>
        </w:rPr>
        <w:br w:type="column"/>
      </w:r>
    </w:p>
    <w:p w14:paraId="15ECCCCF">
      <w:pPr>
        <w:spacing w:before="46" w:line="219" w:lineRule="auto"/>
        <w:rPr>
          <w:rFonts w:ascii="宋体" w:hAnsi="宋体" w:eastAsia="宋体" w:cs="宋体"/>
          <w:color w:val="auto"/>
          <w:sz w:val="24"/>
          <w:szCs w:val="24"/>
          <w:highlight w:val="none"/>
        </w:rPr>
      </w:pPr>
      <w:r>
        <w:rPr>
          <w:rFonts w:ascii="宋体" w:hAnsi="宋体" w:eastAsia="宋体" w:cs="宋体"/>
          <w:color w:val="auto"/>
          <w:spacing w:val="7"/>
          <w:sz w:val="24"/>
          <w:szCs w:val="24"/>
          <w:highlight w:val="none"/>
        </w:rPr>
        <w:t>监理人</w:t>
      </w:r>
      <w:r>
        <w:rPr>
          <w:rFonts w:ascii="宋体" w:hAnsi="宋体" w:eastAsia="宋体" w:cs="宋体"/>
          <w:color w:val="auto"/>
          <w:spacing w:val="-17"/>
          <w:sz w:val="24"/>
          <w:szCs w:val="24"/>
          <w:highlight w:val="none"/>
        </w:rPr>
        <w:t>：</w:t>
      </w:r>
      <w:r>
        <w:rPr>
          <w:rFonts w:ascii="宋体" w:hAnsi="宋体" w:eastAsia="宋体" w:cs="宋体"/>
          <w:color w:val="auto"/>
          <w:spacing w:val="-17"/>
          <w:sz w:val="24"/>
          <w:szCs w:val="24"/>
          <w:highlight w:val="none"/>
          <w:u w:val="single" w:color="auto"/>
        </w:rPr>
        <w:t>（</w:t>
      </w:r>
      <w:r>
        <w:rPr>
          <w:rFonts w:ascii="宋体" w:hAnsi="宋体" w:eastAsia="宋体" w:cs="宋体"/>
          <w:color w:val="auto"/>
          <w:spacing w:val="7"/>
          <w:sz w:val="24"/>
          <w:szCs w:val="24"/>
          <w:highlight w:val="none"/>
          <w:u w:val="single" w:color="auto"/>
        </w:rPr>
        <w:t>全称</w:t>
      </w:r>
      <w:r>
        <w:rPr>
          <w:rFonts w:ascii="宋体" w:hAnsi="宋体" w:eastAsia="宋体" w:cs="宋体"/>
          <w:color w:val="auto"/>
          <w:spacing w:val="-17"/>
          <w:sz w:val="24"/>
          <w:szCs w:val="24"/>
          <w:highlight w:val="none"/>
          <w:u w:val="single" w:color="auto"/>
        </w:rPr>
        <w:t>）（</w:t>
      </w:r>
      <w:r>
        <w:rPr>
          <w:rFonts w:ascii="宋体" w:hAnsi="宋体" w:eastAsia="宋体" w:cs="宋体"/>
          <w:color w:val="auto"/>
          <w:spacing w:val="7"/>
          <w:sz w:val="24"/>
          <w:szCs w:val="24"/>
          <w:highlight w:val="none"/>
          <w:u w:val="single" w:color="auto"/>
        </w:rPr>
        <w:t>盖章）</w:t>
      </w:r>
      <w:r>
        <w:rPr>
          <w:rFonts w:ascii="宋体" w:hAnsi="宋体" w:eastAsia="宋体" w:cs="宋体"/>
          <w:color w:val="auto"/>
          <w:sz w:val="24"/>
          <w:szCs w:val="24"/>
          <w:highlight w:val="none"/>
          <w:u w:val="single" w:color="auto"/>
        </w:rPr>
        <w:t xml:space="preserve">   </w:t>
      </w:r>
    </w:p>
    <w:p w14:paraId="4AB99E27">
      <w:pPr>
        <w:spacing w:line="415" w:lineRule="auto"/>
        <w:rPr>
          <w:rFonts w:ascii="Arial"/>
          <w:color w:val="auto"/>
          <w:sz w:val="21"/>
          <w:highlight w:val="none"/>
        </w:rPr>
      </w:pPr>
    </w:p>
    <w:p w14:paraId="2E5254B0">
      <w:pPr>
        <w:spacing w:before="78" w:line="219" w:lineRule="auto"/>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法定代表人或</w:t>
      </w:r>
    </w:p>
    <w:p w14:paraId="5FE8569B">
      <w:pPr>
        <w:spacing w:line="414" w:lineRule="auto"/>
        <w:rPr>
          <w:rFonts w:ascii="Arial"/>
          <w:color w:val="auto"/>
          <w:sz w:val="21"/>
          <w:highlight w:val="none"/>
        </w:rPr>
      </w:pPr>
    </w:p>
    <w:p w14:paraId="2E2946DE">
      <w:pPr>
        <w:spacing w:before="78" w:line="219" w:lineRule="auto"/>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其授权的代理人</w:t>
      </w:r>
      <w:r>
        <w:rPr>
          <w:rFonts w:ascii="宋体" w:hAnsi="宋体" w:eastAsia="宋体" w:cs="宋体"/>
          <w:color w:val="auto"/>
          <w:spacing w:val="-16"/>
          <w:sz w:val="24"/>
          <w:szCs w:val="24"/>
          <w:highlight w:val="none"/>
        </w:rPr>
        <w:t>：</w:t>
      </w:r>
      <w:r>
        <w:rPr>
          <w:rFonts w:ascii="宋体" w:hAnsi="宋体" w:eastAsia="宋体" w:cs="宋体"/>
          <w:color w:val="auto"/>
          <w:spacing w:val="-16"/>
          <w:sz w:val="24"/>
          <w:szCs w:val="24"/>
          <w:highlight w:val="none"/>
          <w:u w:val="single" w:color="auto"/>
        </w:rPr>
        <w:t>（</w:t>
      </w:r>
      <w:r>
        <w:rPr>
          <w:rFonts w:ascii="宋体" w:hAnsi="宋体" w:eastAsia="宋体" w:cs="宋体"/>
          <w:color w:val="auto"/>
          <w:spacing w:val="2"/>
          <w:sz w:val="24"/>
          <w:szCs w:val="24"/>
          <w:highlight w:val="none"/>
          <w:u w:val="single" w:color="auto"/>
        </w:rPr>
        <w:t>签名）</w:t>
      </w:r>
      <w:r>
        <w:rPr>
          <w:rFonts w:ascii="宋体" w:hAnsi="宋体" w:eastAsia="宋体" w:cs="宋体"/>
          <w:color w:val="auto"/>
          <w:sz w:val="24"/>
          <w:szCs w:val="24"/>
          <w:highlight w:val="none"/>
          <w:u w:val="single" w:color="auto"/>
        </w:rPr>
        <w:t xml:space="preserve">   </w:t>
      </w:r>
    </w:p>
    <w:p w14:paraId="13539A90">
      <w:pPr>
        <w:spacing w:line="411" w:lineRule="auto"/>
        <w:rPr>
          <w:rFonts w:ascii="Arial"/>
          <w:color w:val="auto"/>
          <w:sz w:val="21"/>
          <w:highlight w:val="none"/>
        </w:rPr>
      </w:pPr>
    </w:p>
    <w:p w14:paraId="34F5113F">
      <w:pPr>
        <w:spacing w:before="78" w:line="229" w:lineRule="auto"/>
        <w:ind w:left="59"/>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地址：</w:t>
      </w:r>
      <w:r>
        <w:rPr>
          <w:rFonts w:ascii="宋体" w:hAnsi="宋体" w:eastAsia="宋体" w:cs="宋体"/>
          <w:color w:val="auto"/>
          <w:sz w:val="24"/>
          <w:szCs w:val="24"/>
          <w:highlight w:val="none"/>
          <w:u w:val="single" w:color="auto"/>
        </w:rPr>
        <w:t xml:space="preserve">                    </w:t>
      </w:r>
    </w:p>
    <w:p w14:paraId="3A067DB0">
      <w:pPr>
        <w:spacing w:before="172" w:line="221" w:lineRule="auto"/>
        <w:ind w:left="87"/>
        <w:rPr>
          <w:rFonts w:ascii="宋体" w:hAnsi="宋体" w:eastAsia="宋体" w:cs="宋体"/>
          <w:color w:val="auto"/>
          <w:sz w:val="24"/>
          <w:szCs w:val="24"/>
          <w:highlight w:val="none"/>
        </w:rPr>
      </w:pPr>
      <w:r>
        <w:rPr>
          <w:rFonts w:ascii="宋体" w:hAnsi="宋体" w:eastAsia="宋体" w:cs="宋体"/>
          <w:color w:val="auto"/>
          <w:spacing w:val="-13"/>
          <w:sz w:val="24"/>
          <w:szCs w:val="24"/>
          <w:highlight w:val="none"/>
        </w:rPr>
        <w:t>电话：</w:t>
      </w:r>
      <w:r>
        <w:rPr>
          <w:rFonts w:ascii="宋体" w:hAnsi="宋体" w:eastAsia="宋体" w:cs="宋体"/>
          <w:color w:val="auto"/>
          <w:sz w:val="24"/>
          <w:szCs w:val="24"/>
          <w:highlight w:val="none"/>
          <w:u w:val="single" w:color="auto"/>
        </w:rPr>
        <w:t xml:space="preserve">                    </w:t>
      </w:r>
    </w:p>
    <w:p w14:paraId="7A769DC8">
      <w:pPr>
        <w:spacing w:line="283" w:lineRule="auto"/>
        <w:rPr>
          <w:rFonts w:ascii="Arial"/>
          <w:color w:val="auto"/>
          <w:sz w:val="21"/>
          <w:highlight w:val="none"/>
        </w:rPr>
      </w:pPr>
    </w:p>
    <w:p w14:paraId="6E66402A">
      <w:pPr>
        <w:spacing w:line="284" w:lineRule="auto"/>
        <w:rPr>
          <w:rFonts w:ascii="Arial"/>
          <w:color w:val="auto"/>
          <w:sz w:val="21"/>
          <w:highlight w:val="none"/>
        </w:rPr>
      </w:pPr>
    </w:p>
    <w:p w14:paraId="72CD9E81">
      <w:pPr>
        <w:spacing w:before="78" w:line="184" w:lineRule="auto"/>
        <w:ind w:left="100"/>
        <w:rPr>
          <w:rFonts w:ascii="宋体" w:hAnsi="宋体" w:eastAsia="宋体" w:cs="宋体"/>
          <w:color w:val="auto"/>
          <w:sz w:val="24"/>
          <w:szCs w:val="24"/>
          <w:highlight w:val="none"/>
        </w:rPr>
      </w:pPr>
      <w:r>
        <w:rPr>
          <w:rFonts w:ascii="宋体" w:hAnsi="宋体" w:eastAsia="宋体" w:cs="宋体"/>
          <w:color w:val="auto"/>
          <w:spacing w:val="-13"/>
          <w:sz w:val="24"/>
          <w:szCs w:val="24"/>
          <w:highlight w:val="none"/>
        </w:rPr>
        <w:t>日期：</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109"/>
          <w:sz w:val="24"/>
          <w:szCs w:val="24"/>
          <w:highlight w:val="none"/>
        </w:rPr>
        <w:t xml:space="preserve"> </w:t>
      </w:r>
      <w:r>
        <w:rPr>
          <w:rFonts w:ascii="宋体" w:hAnsi="宋体" w:eastAsia="宋体" w:cs="宋体"/>
          <w:color w:val="auto"/>
          <w:spacing w:val="-13"/>
          <w:sz w:val="24"/>
          <w:szCs w:val="24"/>
          <w:highlight w:val="none"/>
        </w:rPr>
        <w:t>年</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105"/>
          <w:sz w:val="24"/>
          <w:szCs w:val="24"/>
          <w:highlight w:val="none"/>
        </w:rPr>
        <w:t xml:space="preserve"> </w:t>
      </w:r>
      <w:r>
        <w:rPr>
          <w:rFonts w:ascii="宋体" w:hAnsi="宋体" w:eastAsia="宋体" w:cs="宋体"/>
          <w:color w:val="auto"/>
          <w:spacing w:val="-13"/>
          <w:sz w:val="24"/>
          <w:szCs w:val="24"/>
          <w:highlight w:val="none"/>
        </w:rPr>
        <w:t>月</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69"/>
          <w:sz w:val="24"/>
          <w:szCs w:val="24"/>
          <w:highlight w:val="none"/>
        </w:rPr>
        <w:t xml:space="preserve"> </w:t>
      </w:r>
      <w:r>
        <w:rPr>
          <w:rFonts w:ascii="宋体" w:hAnsi="宋体" w:eastAsia="宋体" w:cs="宋体"/>
          <w:color w:val="auto"/>
          <w:spacing w:val="-13"/>
          <w:sz w:val="24"/>
          <w:szCs w:val="24"/>
          <w:highlight w:val="none"/>
        </w:rPr>
        <w:t>日</w:t>
      </w:r>
    </w:p>
    <w:p w14:paraId="1CE8787C">
      <w:pPr>
        <w:spacing w:line="184" w:lineRule="auto"/>
        <w:rPr>
          <w:rFonts w:ascii="宋体" w:hAnsi="宋体" w:eastAsia="宋体" w:cs="宋体"/>
          <w:color w:val="auto"/>
          <w:sz w:val="24"/>
          <w:szCs w:val="24"/>
          <w:highlight w:val="none"/>
        </w:rPr>
        <w:sectPr>
          <w:type w:val="continuous"/>
          <w:pgSz w:w="11906" w:h="16839"/>
          <w:pgMar w:top="1405" w:right="1523" w:bottom="1297" w:left="1424" w:header="0" w:footer="1067" w:gutter="0"/>
          <w:pgNumType w:fmt="decimal"/>
          <w:cols w:equalWidth="0" w:num="2">
            <w:col w:w="4582" w:space="100"/>
            <w:col w:w="4276"/>
          </w:cols>
        </w:sectPr>
      </w:pPr>
    </w:p>
    <w:p w14:paraId="349EDECE">
      <w:pPr>
        <w:spacing w:line="243" w:lineRule="auto"/>
        <w:rPr>
          <w:rFonts w:ascii="Arial"/>
          <w:color w:val="auto"/>
          <w:sz w:val="21"/>
          <w:highlight w:val="none"/>
        </w:rPr>
      </w:pPr>
    </w:p>
    <w:p w14:paraId="3ABCC03E">
      <w:pPr>
        <w:spacing w:line="243" w:lineRule="auto"/>
        <w:rPr>
          <w:rFonts w:ascii="Arial"/>
          <w:color w:val="auto"/>
          <w:sz w:val="21"/>
          <w:highlight w:val="none"/>
        </w:rPr>
      </w:pPr>
    </w:p>
    <w:p w14:paraId="4C66B57C">
      <w:pPr>
        <w:spacing w:line="243" w:lineRule="auto"/>
        <w:rPr>
          <w:rFonts w:ascii="Arial"/>
          <w:color w:val="auto"/>
          <w:sz w:val="21"/>
          <w:highlight w:val="none"/>
        </w:rPr>
      </w:pPr>
    </w:p>
    <w:p w14:paraId="302BAFE5">
      <w:pPr>
        <w:spacing w:line="244" w:lineRule="auto"/>
        <w:rPr>
          <w:rFonts w:ascii="Arial"/>
          <w:color w:val="auto"/>
          <w:sz w:val="21"/>
          <w:highlight w:val="none"/>
        </w:rPr>
      </w:pPr>
    </w:p>
    <w:p w14:paraId="36F32211">
      <w:pPr>
        <w:spacing w:line="244" w:lineRule="auto"/>
        <w:rPr>
          <w:rFonts w:ascii="Arial"/>
          <w:color w:val="auto"/>
          <w:sz w:val="21"/>
          <w:highlight w:val="none"/>
        </w:rPr>
      </w:pPr>
    </w:p>
    <w:p w14:paraId="44569E2D">
      <w:pPr>
        <w:spacing w:line="244" w:lineRule="auto"/>
        <w:rPr>
          <w:rFonts w:ascii="Arial"/>
          <w:color w:val="auto"/>
          <w:sz w:val="21"/>
          <w:highlight w:val="none"/>
        </w:rPr>
      </w:pPr>
    </w:p>
    <w:p w14:paraId="24548ED1">
      <w:pPr>
        <w:spacing w:line="244" w:lineRule="auto"/>
        <w:rPr>
          <w:rFonts w:ascii="Arial"/>
          <w:color w:val="auto"/>
          <w:sz w:val="21"/>
          <w:highlight w:val="none"/>
        </w:rPr>
      </w:pPr>
    </w:p>
    <w:p w14:paraId="5D449A1F">
      <w:pPr>
        <w:spacing w:line="244" w:lineRule="auto"/>
        <w:rPr>
          <w:rFonts w:ascii="Arial"/>
          <w:color w:val="auto"/>
          <w:sz w:val="21"/>
          <w:highlight w:val="none"/>
        </w:rPr>
      </w:pPr>
    </w:p>
    <w:p w14:paraId="272D11C5">
      <w:pPr>
        <w:spacing w:line="244" w:lineRule="auto"/>
        <w:rPr>
          <w:rFonts w:ascii="Arial"/>
          <w:color w:val="auto"/>
          <w:sz w:val="21"/>
          <w:highlight w:val="none"/>
        </w:rPr>
      </w:pPr>
    </w:p>
    <w:p w14:paraId="2479C554">
      <w:pPr>
        <w:spacing w:line="244" w:lineRule="auto"/>
        <w:rPr>
          <w:rFonts w:ascii="Arial"/>
          <w:color w:val="auto"/>
          <w:sz w:val="21"/>
          <w:highlight w:val="none"/>
        </w:rPr>
      </w:pPr>
    </w:p>
    <w:p w14:paraId="11ECDD0C">
      <w:pPr>
        <w:spacing w:line="244" w:lineRule="auto"/>
        <w:rPr>
          <w:rFonts w:ascii="Arial"/>
          <w:color w:val="auto"/>
          <w:sz w:val="21"/>
          <w:highlight w:val="none"/>
        </w:rPr>
      </w:pPr>
    </w:p>
    <w:p w14:paraId="5A608180">
      <w:pPr>
        <w:spacing w:line="244" w:lineRule="auto"/>
        <w:rPr>
          <w:rFonts w:ascii="Arial"/>
          <w:color w:val="auto"/>
          <w:sz w:val="21"/>
          <w:highlight w:val="none"/>
        </w:rPr>
      </w:pPr>
    </w:p>
    <w:p w14:paraId="340C54FA">
      <w:pPr>
        <w:pStyle w:val="5"/>
        <w:spacing w:before="231" w:line="224" w:lineRule="auto"/>
        <w:ind w:left="3114"/>
        <w:outlineLvl w:val="1"/>
        <w:rPr>
          <w:color w:val="auto"/>
          <w:sz w:val="71"/>
          <w:szCs w:val="71"/>
          <w:highlight w:val="none"/>
        </w:rPr>
      </w:pPr>
      <w:bookmarkStart w:id="381" w:name="bookmark154"/>
      <w:bookmarkEnd w:id="381"/>
      <w:bookmarkStart w:id="382" w:name="bookmark15"/>
      <w:bookmarkEnd w:id="382"/>
      <w:bookmarkStart w:id="383" w:name="_Toc27620"/>
      <w:r>
        <w:rPr>
          <w:color w:val="auto"/>
          <w:sz w:val="71"/>
          <w:szCs w:val="71"/>
          <w:highlight w:val="none"/>
        </w:rPr>
        <w:t>第二卷</w:t>
      </w:r>
      <w:bookmarkEnd w:id="383"/>
    </w:p>
    <w:p w14:paraId="70F56585">
      <w:pPr>
        <w:spacing w:line="224" w:lineRule="auto"/>
        <w:rPr>
          <w:color w:val="auto"/>
          <w:sz w:val="71"/>
          <w:szCs w:val="71"/>
          <w:highlight w:val="none"/>
        </w:rPr>
        <w:sectPr>
          <w:footerReference r:id="rId77" w:type="default"/>
          <w:pgSz w:w="11906" w:h="16839"/>
          <w:pgMar w:top="1431" w:right="1785" w:bottom="1297" w:left="1785" w:header="0" w:footer="1069" w:gutter="0"/>
          <w:pgNumType w:fmt="decimal"/>
          <w:cols w:space="720" w:num="1"/>
        </w:sectPr>
      </w:pPr>
    </w:p>
    <w:p w14:paraId="7BD43710">
      <w:pPr>
        <w:spacing w:line="243" w:lineRule="auto"/>
        <w:rPr>
          <w:rFonts w:ascii="Arial"/>
          <w:color w:val="auto"/>
          <w:sz w:val="21"/>
          <w:highlight w:val="none"/>
        </w:rPr>
      </w:pPr>
    </w:p>
    <w:p w14:paraId="1358C101">
      <w:pPr>
        <w:spacing w:line="243" w:lineRule="auto"/>
        <w:rPr>
          <w:rFonts w:ascii="Arial"/>
          <w:color w:val="auto"/>
          <w:sz w:val="21"/>
          <w:highlight w:val="none"/>
        </w:rPr>
      </w:pPr>
    </w:p>
    <w:p w14:paraId="4F459D6D">
      <w:pPr>
        <w:spacing w:line="243" w:lineRule="auto"/>
        <w:rPr>
          <w:rFonts w:ascii="Arial"/>
          <w:color w:val="auto"/>
          <w:sz w:val="21"/>
          <w:highlight w:val="none"/>
        </w:rPr>
      </w:pPr>
    </w:p>
    <w:p w14:paraId="3C041AAD">
      <w:pPr>
        <w:spacing w:line="243" w:lineRule="auto"/>
        <w:rPr>
          <w:rFonts w:ascii="Arial"/>
          <w:color w:val="auto"/>
          <w:sz w:val="21"/>
          <w:highlight w:val="none"/>
        </w:rPr>
      </w:pPr>
    </w:p>
    <w:p w14:paraId="7D7440FA">
      <w:pPr>
        <w:spacing w:line="243" w:lineRule="auto"/>
        <w:rPr>
          <w:rFonts w:ascii="Arial"/>
          <w:color w:val="auto"/>
          <w:sz w:val="21"/>
          <w:highlight w:val="none"/>
        </w:rPr>
      </w:pPr>
    </w:p>
    <w:p w14:paraId="253D33C3">
      <w:pPr>
        <w:spacing w:line="243" w:lineRule="auto"/>
        <w:rPr>
          <w:rFonts w:ascii="Arial"/>
          <w:color w:val="auto"/>
          <w:sz w:val="21"/>
          <w:highlight w:val="none"/>
        </w:rPr>
      </w:pPr>
    </w:p>
    <w:p w14:paraId="1C110F33">
      <w:pPr>
        <w:spacing w:line="244" w:lineRule="auto"/>
        <w:rPr>
          <w:rFonts w:ascii="Arial"/>
          <w:color w:val="auto"/>
          <w:sz w:val="21"/>
          <w:highlight w:val="none"/>
        </w:rPr>
      </w:pPr>
    </w:p>
    <w:p w14:paraId="374275A2">
      <w:pPr>
        <w:spacing w:line="244" w:lineRule="auto"/>
        <w:rPr>
          <w:rFonts w:ascii="Arial"/>
          <w:color w:val="auto"/>
          <w:sz w:val="21"/>
          <w:highlight w:val="none"/>
        </w:rPr>
      </w:pPr>
    </w:p>
    <w:p w14:paraId="6CECD2EB">
      <w:pPr>
        <w:spacing w:line="244" w:lineRule="auto"/>
        <w:rPr>
          <w:rFonts w:ascii="Arial"/>
          <w:color w:val="auto"/>
          <w:sz w:val="21"/>
          <w:highlight w:val="none"/>
        </w:rPr>
      </w:pPr>
    </w:p>
    <w:p w14:paraId="3F1697D4">
      <w:pPr>
        <w:spacing w:line="244" w:lineRule="auto"/>
        <w:rPr>
          <w:rFonts w:ascii="Arial"/>
          <w:color w:val="auto"/>
          <w:sz w:val="21"/>
          <w:highlight w:val="none"/>
        </w:rPr>
      </w:pPr>
    </w:p>
    <w:p w14:paraId="58096F0A">
      <w:pPr>
        <w:spacing w:line="244" w:lineRule="auto"/>
        <w:rPr>
          <w:rFonts w:ascii="Arial"/>
          <w:color w:val="auto"/>
          <w:sz w:val="21"/>
          <w:highlight w:val="none"/>
        </w:rPr>
      </w:pPr>
    </w:p>
    <w:p w14:paraId="4B2E44CA">
      <w:pPr>
        <w:spacing w:line="244" w:lineRule="auto"/>
        <w:rPr>
          <w:rFonts w:ascii="Arial"/>
          <w:color w:val="auto"/>
          <w:sz w:val="21"/>
          <w:highlight w:val="none"/>
        </w:rPr>
      </w:pPr>
    </w:p>
    <w:p w14:paraId="1619CD64">
      <w:pPr>
        <w:spacing w:line="244" w:lineRule="auto"/>
        <w:rPr>
          <w:rFonts w:ascii="Arial"/>
          <w:color w:val="auto"/>
          <w:sz w:val="21"/>
          <w:highlight w:val="none"/>
        </w:rPr>
      </w:pPr>
    </w:p>
    <w:p w14:paraId="588411BA">
      <w:pPr>
        <w:spacing w:line="244" w:lineRule="auto"/>
        <w:rPr>
          <w:rFonts w:ascii="Arial"/>
          <w:color w:val="auto"/>
          <w:sz w:val="21"/>
          <w:highlight w:val="none"/>
        </w:rPr>
      </w:pPr>
    </w:p>
    <w:p w14:paraId="7F51607A">
      <w:pPr>
        <w:spacing w:line="244" w:lineRule="auto"/>
        <w:rPr>
          <w:rFonts w:ascii="Arial"/>
          <w:color w:val="auto"/>
          <w:sz w:val="21"/>
          <w:highlight w:val="none"/>
        </w:rPr>
      </w:pPr>
    </w:p>
    <w:p w14:paraId="3FB4EB73">
      <w:pPr>
        <w:spacing w:line="244" w:lineRule="auto"/>
        <w:rPr>
          <w:rFonts w:ascii="Arial"/>
          <w:color w:val="auto"/>
          <w:sz w:val="21"/>
          <w:highlight w:val="none"/>
        </w:rPr>
      </w:pPr>
    </w:p>
    <w:p w14:paraId="12CDE7FF">
      <w:pPr>
        <w:spacing w:line="244" w:lineRule="auto"/>
        <w:rPr>
          <w:rFonts w:ascii="Arial"/>
          <w:color w:val="auto"/>
          <w:sz w:val="21"/>
          <w:highlight w:val="none"/>
        </w:rPr>
      </w:pPr>
    </w:p>
    <w:p w14:paraId="1F8E66B2">
      <w:pPr>
        <w:spacing w:line="244" w:lineRule="auto"/>
        <w:rPr>
          <w:rFonts w:ascii="Arial"/>
          <w:color w:val="auto"/>
          <w:sz w:val="21"/>
          <w:highlight w:val="none"/>
        </w:rPr>
      </w:pPr>
    </w:p>
    <w:p w14:paraId="2A50A664">
      <w:pPr>
        <w:spacing w:line="244" w:lineRule="auto"/>
        <w:rPr>
          <w:rFonts w:ascii="Arial"/>
          <w:color w:val="auto"/>
          <w:sz w:val="21"/>
          <w:highlight w:val="none"/>
        </w:rPr>
      </w:pPr>
    </w:p>
    <w:p w14:paraId="643AFB74">
      <w:pPr>
        <w:spacing w:line="244" w:lineRule="auto"/>
        <w:rPr>
          <w:rFonts w:ascii="Arial"/>
          <w:color w:val="auto"/>
          <w:sz w:val="21"/>
          <w:highlight w:val="none"/>
        </w:rPr>
      </w:pPr>
    </w:p>
    <w:p w14:paraId="512A2968">
      <w:pPr>
        <w:spacing w:line="244" w:lineRule="auto"/>
        <w:rPr>
          <w:rFonts w:ascii="Arial"/>
          <w:color w:val="auto"/>
          <w:sz w:val="21"/>
          <w:highlight w:val="none"/>
        </w:rPr>
      </w:pPr>
    </w:p>
    <w:p w14:paraId="178D1C90">
      <w:pPr>
        <w:spacing w:line="244" w:lineRule="auto"/>
        <w:rPr>
          <w:rFonts w:ascii="Arial"/>
          <w:color w:val="auto"/>
          <w:sz w:val="21"/>
          <w:highlight w:val="none"/>
        </w:rPr>
      </w:pPr>
    </w:p>
    <w:p w14:paraId="0B3B20DA">
      <w:pPr>
        <w:spacing w:before="169" w:line="219" w:lineRule="auto"/>
        <w:ind w:left="1839"/>
        <w:outlineLvl w:val="0"/>
        <w:rPr>
          <w:rFonts w:ascii="宋体" w:hAnsi="宋体" w:eastAsia="宋体" w:cs="宋体"/>
          <w:color w:val="auto"/>
          <w:sz w:val="52"/>
          <w:szCs w:val="52"/>
          <w:highlight w:val="none"/>
        </w:rPr>
      </w:pPr>
      <w:bookmarkStart w:id="384" w:name="bookmark15"/>
      <w:bookmarkEnd w:id="384"/>
      <w:bookmarkStart w:id="385" w:name="_Toc28222"/>
      <w:r>
        <w:rPr>
          <w:rFonts w:ascii="宋体" w:hAnsi="宋体" w:eastAsia="宋体" w:cs="宋体"/>
          <w:b/>
          <w:bCs/>
          <w:color w:val="auto"/>
          <w:spacing w:val="-5"/>
          <w:sz w:val="52"/>
          <w:szCs w:val="52"/>
          <w:highlight w:val="none"/>
        </w:rPr>
        <w:t>第五章</w:t>
      </w:r>
      <w:r>
        <w:rPr>
          <w:rFonts w:ascii="宋体" w:hAnsi="宋体" w:eastAsia="宋体" w:cs="宋体"/>
          <w:color w:val="auto"/>
          <w:spacing w:val="-5"/>
          <w:sz w:val="52"/>
          <w:szCs w:val="52"/>
          <w:highlight w:val="none"/>
        </w:rPr>
        <w:t xml:space="preserve">  </w:t>
      </w:r>
      <w:r>
        <w:rPr>
          <w:rFonts w:ascii="宋体" w:hAnsi="宋体" w:eastAsia="宋体" w:cs="宋体"/>
          <w:b/>
          <w:bCs/>
          <w:color w:val="auto"/>
          <w:spacing w:val="-5"/>
          <w:sz w:val="52"/>
          <w:szCs w:val="52"/>
          <w:highlight w:val="none"/>
        </w:rPr>
        <w:t>委托人要求</w:t>
      </w:r>
      <w:bookmarkEnd w:id="385"/>
    </w:p>
    <w:p w14:paraId="1B652385">
      <w:pPr>
        <w:spacing w:line="219" w:lineRule="auto"/>
        <w:rPr>
          <w:rFonts w:ascii="宋体" w:hAnsi="宋体" w:eastAsia="宋体" w:cs="宋体"/>
          <w:color w:val="auto"/>
          <w:sz w:val="52"/>
          <w:szCs w:val="52"/>
          <w:highlight w:val="none"/>
        </w:rPr>
        <w:sectPr>
          <w:footerReference r:id="rId78" w:type="default"/>
          <w:pgSz w:w="11906" w:h="16839"/>
          <w:pgMar w:top="1431" w:right="1785" w:bottom="1297" w:left="1785" w:header="0" w:footer="1067" w:gutter="0"/>
          <w:pgNumType w:fmt="decimal"/>
          <w:cols w:space="720" w:num="1"/>
        </w:sectPr>
      </w:pPr>
    </w:p>
    <w:p w14:paraId="0C1CB090">
      <w:pPr>
        <w:spacing w:before="59" w:line="221" w:lineRule="auto"/>
        <w:ind w:left="3789"/>
        <w:rPr>
          <w:rFonts w:ascii="宋体" w:hAnsi="宋体" w:eastAsia="宋体" w:cs="宋体"/>
          <w:color w:val="auto"/>
          <w:sz w:val="30"/>
          <w:szCs w:val="30"/>
          <w:highlight w:val="none"/>
        </w:rPr>
      </w:pPr>
      <w:bookmarkStart w:id="386" w:name="bookmark155"/>
      <w:bookmarkEnd w:id="386"/>
      <w:r>
        <w:rPr>
          <w:rFonts w:ascii="宋体" w:hAnsi="宋体" w:eastAsia="宋体" w:cs="宋体"/>
          <w:color w:val="auto"/>
          <w:spacing w:val="-3"/>
          <w:sz w:val="30"/>
          <w:szCs w:val="30"/>
          <w:highlight w:val="none"/>
        </w:rPr>
        <w:t>委托人要求</w:t>
      </w:r>
    </w:p>
    <w:p w14:paraId="4AE556D4">
      <w:pPr>
        <w:spacing w:line="265" w:lineRule="auto"/>
        <w:rPr>
          <w:rFonts w:ascii="Arial"/>
          <w:color w:val="auto"/>
          <w:sz w:val="21"/>
          <w:highlight w:val="none"/>
        </w:rPr>
      </w:pPr>
    </w:p>
    <w:p w14:paraId="40341282">
      <w:pPr>
        <w:spacing w:line="265" w:lineRule="auto"/>
        <w:rPr>
          <w:rFonts w:ascii="Arial"/>
          <w:color w:val="auto"/>
          <w:sz w:val="21"/>
          <w:highlight w:val="none"/>
        </w:rPr>
      </w:pPr>
    </w:p>
    <w:p w14:paraId="2FF474E9">
      <w:pPr>
        <w:spacing w:line="227" w:lineRule="auto"/>
        <w:ind w:left="419"/>
        <w:rPr>
          <w:rFonts w:ascii="宋体" w:hAnsi="宋体" w:eastAsia="宋体" w:cs="宋体"/>
          <w:color w:val="auto"/>
          <w:sz w:val="20"/>
          <w:szCs w:val="20"/>
          <w:highlight w:val="none"/>
        </w:rPr>
      </w:pPr>
    </w:p>
    <w:p w14:paraId="68475CBB">
      <w:pPr>
        <w:spacing w:before="199" w:line="221" w:lineRule="auto"/>
        <w:ind w:left="5"/>
        <w:outlineLvl w:val="1"/>
        <w:rPr>
          <w:rFonts w:ascii="宋体" w:hAnsi="宋体" w:eastAsia="宋体" w:cs="宋体"/>
          <w:color w:val="auto"/>
          <w:sz w:val="24"/>
          <w:szCs w:val="24"/>
          <w:highlight w:val="none"/>
        </w:rPr>
      </w:pPr>
      <w:bookmarkStart w:id="387" w:name="_Toc12007"/>
      <w:bookmarkStart w:id="388" w:name="_Toc10755"/>
      <w:bookmarkStart w:id="389" w:name="_Toc9383"/>
      <w:r>
        <w:rPr>
          <w:rFonts w:ascii="宋体" w:hAnsi="宋体" w:eastAsia="宋体" w:cs="宋体"/>
          <w:b/>
          <w:bCs/>
          <w:color w:val="auto"/>
          <w:spacing w:val="-4"/>
          <w:sz w:val="24"/>
          <w:szCs w:val="24"/>
          <w:highlight w:val="none"/>
        </w:rPr>
        <w:t>一、监理要求</w:t>
      </w:r>
      <w:bookmarkEnd w:id="387"/>
      <w:bookmarkEnd w:id="388"/>
      <w:bookmarkEnd w:id="389"/>
    </w:p>
    <w:p w14:paraId="5E280F15">
      <w:pPr>
        <w:spacing w:before="161" w:line="219" w:lineRule="auto"/>
        <w:ind w:left="482"/>
        <w:rPr>
          <w:rFonts w:ascii="宋体" w:hAnsi="宋体" w:eastAsia="宋体" w:cs="宋体"/>
          <w:color w:val="auto"/>
          <w:sz w:val="24"/>
          <w:szCs w:val="24"/>
          <w:highlight w:val="none"/>
        </w:rPr>
      </w:pPr>
      <w:r>
        <w:rPr>
          <w:rFonts w:ascii="宋体" w:hAnsi="宋体" w:eastAsia="宋体" w:cs="宋体"/>
          <w:color w:val="auto"/>
          <w:sz w:val="24"/>
          <w:szCs w:val="24"/>
          <w:highlight w:val="none"/>
        </w:rPr>
        <w:t>招标人应当根据项目情况在本章中明确相应的监理要</w:t>
      </w:r>
      <w:r>
        <w:rPr>
          <w:rFonts w:ascii="宋体" w:hAnsi="宋体" w:eastAsia="宋体" w:cs="宋体"/>
          <w:color w:val="auto"/>
          <w:spacing w:val="-1"/>
          <w:sz w:val="24"/>
          <w:szCs w:val="24"/>
          <w:highlight w:val="none"/>
        </w:rPr>
        <w:t>求，一般应包括以下内容：</w:t>
      </w:r>
    </w:p>
    <w:p w14:paraId="16E5B8A9">
      <w:pPr>
        <w:spacing w:before="155" w:line="219" w:lineRule="auto"/>
        <w:ind w:left="492"/>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（一）项目概况</w:t>
      </w:r>
    </w:p>
    <w:p w14:paraId="21DBC70F">
      <w:pPr>
        <w:spacing w:before="152" w:line="309" w:lineRule="auto"/>
        <w:ind w:left="1" w:firstLine="497"/>
        <w:rPr>
          <w:rFonts w:hint="eastAsia" w:ascii="宋体" w:hAnsi="宋体" w:eastAsia="宋体" w:cs="宋体"/>
          <w:color w:val="auto"/>
          <w:spacing w:val="-2"/>
          <w:sz w:val="24"/>
          <w:szCs w:val="24"/>
          <w:highlight w:val="none"/>
          <w:lang w:val="en-US" w:eastAsia="zh-CN"/>
        </w:rPr>
      </w:pPr>
      <w:r>
        <w:rPr>
          <w:rFonts w:ascii="宋体" w:hAnsi="宋体" w:eastAsia="宋体" w:cs="宋体"/>
          <w:color w:val="auto"/>
          <w:spacing w:val="-2"/>
          <w:sz w:val="24"/>
          <w:szCs w:val="24"/>
          <w:highlight w:val="none"/>
        </w:rPr>
        <w:t>1. 项目名称</w:t>
      </w:r>
      <w:r>
        <w:rPr>
          <w:rFonts w:hint="eastAsia" w:ascii="宋体" w:hAnsi="宋体" w:eastAsia="宋体" w:cs="宋体"/>
          <w:color w:val="auto"/>
          <w:spacing w:val="-2"/>
          <w:sz w:val="24"/>
          <w:szCs w:val="24"/>
          <w:highlight w:val="none"/>
          <w:lang w:val="en-US" w:eastAsia="zh-CN"/>
        </w:rPr>
        <w:t>：</w:t>
      </w:r>
      <w:r>
        <w:rPr>
          <w:rFonts w:hint="eastAsia" w:ascii="宋体" w:hAnsi="宋体" w:eastAsia="宋体" w:cs="宋体"/>
          <w:color w:val="auto"/>
          <w:sz w:val="24"/>
          <w:szCs w:val="24"/>
          <w:highlight w:val="none"/>
          <w:lang w:val="en-US" w:eastAsia="zh-CN"/>
        </w:rPr>
        <w:t>省道S247线乐昌金水湾至龙山温泉段改建工程</w:t>
      </w:r>
      <w:r>
        <w:rPr>
          <w:rFonts w:ascii="宋体" w:hAnsi="宋体" w:eastAsia="宋体" w:cs="宋体"/>
          <w:color w:val="auto"/>
          <w:sz w:val="24"/>
          <w:szCs w:val="24"/>
          <w:highlight w:val="none"/>
          <w:lang w:val="en-US" w:eastAsia="zh-CN"/>
        </w:rPr>
        <w:t>施工监理</w:t>
      </w:r>
    </w:p>
    <w:p w14:paraId="3307FA82">
      <w:pPr>
        <w:spacing w:before="152" w:line="309" w:lineRule="auto"/>
        <w:ind w:left="1" w:firstLine="497"/>
        <w:rPr>
          <w:rFonts w:hint="eastAsia" w:ascii="宋体" w:hAnsi="宋体" w:eastAsia="宋体" w:cs="宋体"/>
          <w:color w:val="auto"/>
          <w:spacing w:val="-2"/>
          <w:sz w:val="24"/>
          <w:szCs w:val="24"/>
          <w:highlight w:val="none"/>
          <w:lang w:eastAsia="zh-CN"/>
        </w:rPr>
      </w:pPr>
      <w:r>
        <w:rPr>
          <w:rFonts w:ascii="宋体" w:hAnsi="宋体" w:eastAsia="宋体" w:cs="宋体"/>
          <w:color w:val="auto"/>
          <w:spacing w:val="-2"/>
          <w:sz w:val="24"/>
          <w:szCs w:val="24"/>
          <w:highlight w:val="none"/>
        </w:rPr>
        <w:t>建设单位</w:t>
      </w:r>
      <w:r>
        <w:rPr>
          <w:rFonts w:hint="eastAsia" w:ascii="宋体" w:hAnsi="宋体" w:eastAsia="宋体" w:cs="宋体"/>
          <w:color w:val="auto"/>
          <w:spacing w:val="-2"/>
          <w:sz w:val="24"/>
          <w:szCs w:val="24"/>
          <w:highlight w:val="none"/>
          <w:lang w:eastAsia="zh-CN"/>
        </w:rPr>
        <w:t>：</w:t>
      </w:r>
      <w:r>
        <w:rPr>
          <w:rFonts w:hint="eastAsia" w:ascii="宋体" w:hAnsi="宋体" w:eastAsia="宋体" w:cs="宋体"/>
          <w:color w:val="auto"/>
          <w:spacing w:val="-2"/>
          <w:sz w:val="24"/>
          <w:szCs w:val="24"/>
          <w:highlight w:val="none"/>
          <w:lang w:val="en-US" w:eastAsia="zh-CN"/>
        </w:rPr>
        <w:t>乐昌市地方公路站。</w:t>
      </w:r>
    </w:p>
    <w:p w14:paraId="374AEB0E">
      <w:pPr>
        <w:spacing w:before="152" w:line="309" w:lineRule="auto"/>
        <w:ind w:left="1" w:firstLine="497"/>
        <w:rPr>
          <w:rFonts w:hint="eastAsia" w:ascii="宋体" w:hAnsi="宋体" w:eastAsia="宋体" w:cs="宋体"/>
          <w:color w:val="auto"/>
          <w:spacing w:val="-2"/>
          <w:sz w:val="24"/>
          <w:szCs w:val="24"/>
          <w:highlight w:val="none"/>
          <w:lang w:val="en-US" w:eastAsia="zh-CN"/>
        </w:rPr>
      </w:pPr>
      <w:r>
        <w:rPr>
          <w:rFonts w:ascii="宋体" w:hAnsi="宋体" w:eastAsia="宋体" w:cs="宋体"/>
          <w:color w:val="auto"/>
          <w:spacing w:val="-2"/>
          <w:sz w:val="24"/>
          <w:szCs w:val="24"/>
          <w:highlight w:val="none"/>
        </w:rPr>
        <w:t>建设规模、技术标准、项目地理位置</w:t>
      </w:r>
      <w:r>
        <w:rPr>
          <w:rFonts w:hint="eastAsia" w:ascii="宋体" w:hAnsi="宋体" w:eastAsia="宋体" w:cs="宋体"/>
          <w:color w:val="auto"/>
          <w:spacing w:val="-2"/>
          <w:sz w:val="24"/>
          <w:szCs w:val="24"/>
          <w:highlight w:val="none"/>
          <w:lang w:eastAsia="zh-CN"/>
        </w:rPr>
        <w:t>：</w:t>
      </w:r>
      <w:r>
        <w:rPr>
          <w:rFonts w:hint="eastAsia" w:ascii="宋体" w:hAnsi="宋体" w:eastAsia="宋体" w:cs="宋体"/>
          <w:color w:val="auto"/>
          <w:spacing w:val="-2"/>
          <w:sz w:val="24"/>
          <w:szCs w:val="24"/>
          <w:highlight w:val="none"/>
          <w:lang w:val="en-US" w:eastAsia="zh-CN"/>
        </w:rPr>
        <w:t>建设地点：本项目位于乐昌市，起于湖南省与乐昌市交界金水湾附近，起点桩号为K0+000，途经金水湾后沿现状道路S247往南布线，经石下、山溪、五山镇、</w:t>
      </w:r>
      <w:bookmarkStart w:id="496" w:name="_GoBack"/>
      <w:bookmarkEnd w:id="496"/>
      <w:r>
        <w:rPr>
          <w:rFonts w:hint="eastAsia" w:ascii="宋体" w:hAnsi="宋体" w:eastAsia="宋体" w:cs="宋体"/>
          <w:color w:val="auto"/>
          <w:spacing w:val="-2"/>
          <w:sz w:val="24"/>
          <w:szCs w:val="24"/>
          <w:highlight w:val="none"/>
          <w:lang w:val="en-US" w:eastAsia="zh-CN"/>
        </w:rPr>
        <w:t>龙山水库、龙山林场，终点止于龙山温泉附近与现状省道S247线相接，终点桩号K31+626.432，路线全长31.626km。</w:t>
      </w:r>
    </w:p>
    <w:p w14:paraId="1CE5FB8C">
      <w:pPr>
        <w:spacing w:before="152" w:line="309" w:lineRule="auto"/>
        <w:ind w:left="1" w:firstLine="497"/>
        <w:rPr>
          <w:rFonts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lang w:val="en-US" w:eastAsia="zh-CN"/>
        </w:rPr>
        <w:t>招标范围及规模：</w:t>
      </w:r>
      <w:r>
        <w:rPr>
          <w:rFonts w:hint="eastAsia" w:ascii="宋体" w:hAnsi="宋体" w:eastAsia="宋体" w:cs="宋体"/>
          <w:color w:val="auto"/>
          <w:spacing w:val="-2"/>
          <w:sz w:val="24"/>
          <w:szCs w:val="24"/>
          <w:highlight w:val="none"/>
          <w:lang w:val="en-US" w:eastAsia="zh-CN"/>
        </w:rPr>
        <w:t>本次改建路线全长31.626km，按三级路标准，拟建路段范围内拆除重建桥梁47.94m/2 座，利用旧桥 55.9m/3 座，桥改涵 12.0m/2 座，设涵洞 158 道，平面交叉 107 处，路基土石方开挖约23.7665万立方米，水泥混凝土路面约124.66千平方米。设计速度30Km/h设计(局部路段降低标准按照20Km/h设计）。本次招标工程造价约24450.68万元，监理费预估发包价约315.14万元。</w:t>
      </w:r>
    </w:p>
    <w:p w14:paraId="7F65427A">
      <w:pPr>
        <w:spacing w:before="157" w:line="220" w:lineRule="auto"/>
        <w:ind w:left="484"/>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2. 项目周边环境、文物情况</w:t>
      </w:r>
      <w:r>
        <w:rPr>
          <w:rFonts w:hint="eastAsia" w:ascii="宋体" w:hAnsi="宋体" w:eastAsia="宋体" w:cs="宋体"/>
          <w:color w:val="auto"/>
          <w:spacing w:val="-1"/>
          <w:sz w:val="24"/>
          <w:szCs w:val="24"/>
          <w:highlight w:val="none"/>
          <w:lang w:eastAsia="zh-CN"/>
        </w:rPr>
        <w:t>：详见施工图</w:t>
      </w:r>
      <w:r>
        <w:rPr>
          <w:rFonts w:ascii="宋体" w:hAnsi="宋体" w:eastAsia="宋体" w:cs="宋体"/>
          <w:color w:val="auto"/>
          <w:spacing w:val="-1"/>
          <w:sz w:val="24"/>
          <w:szCs w:val="24"/>
          <w:highlight w:val="none"/>
        </w:rPr>
        <w:t>；</w:t>
      </w:r>
    </w:p>
    <w:p w14:paraId="47C013F3">
      <w:pPr>
        <w:spacing w:before="152" w:line="219" w:lineRule="auto"/>
        <w:ind w:left="486"/>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3. 水文、气候、气象及地质简况</w:t>
      </w:r>
      <w:r>
        <w:rPr>
          <w:rFonts w:hint="eastAsia" w:ascii="宋体" w:hAnsi="宋体" w:eastAsia="宋体" w:cs="宋体"/>
          <w:color w:val="auto"/>
          <w:spacing w:val="-1"/>
          <w:sz w:val="24"/>
          <w:szCs w:val="24"/>
          <w:highlight w:val="none"/>
          <w:lang w:eastAsia="zh-CN"/>
        </w:rPr>
        <w:t>：详见施工图</w:t>
      </w:r>
      <w:r>
        <w:rPr>
          <w:rFonts w:ascii="宋体" w:hAnsi="宋体" w:eastAsia="宋体" w:cs="宋体"/>
          <w:color w:val="auto"/>
          <w:spacing w:val="-1"/>
          <w:sz w:val="24"/>
          <w:szCs w:val="24"/>
          <w:highlight w:val="none"/>
        </w:rPr>
        <w:t>；</w:t>
      </w:r>
    </w:p>
    <w:p w14:paraId="17E28811">
      <w:pPr>
        <w:spacing w:before="156" w:line="219" w:lineRule="auto"/>
        <w:ind w:left="480"/>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4. 交通、电力、通讯及其他条件等</w:t>
      </w:r>
      <w:r>
        <w:rPr>
          <w:rFonts w:hint="eastAsia" w:ascii="宋体" w:hAnsi="宋体" w:eastAsia="宋体" w:cs="宋体"/>
          <w:color w:val="auto"/>
          <w:spacing w:val="-1"/>
          <w:sz w:val="24"/>
          <w:szCs w:val="24"/>
          <w:highlight w:val="none"/>
          <w:lang w:eastAsia="zh-CN"/>
        </w:rPr>
        <w:t>：详见施工图</w:t>
      </w:r>
      <w:r>
        <w:rPr>
          <w:rFonts w:ascii="宋体" w:hAnsi="宋体" w:eastAsia="宋体" w:cs="宋体"/>
          <w:color w:val="auto"/>
          <w:spacing w:val="-1"/>
          <w:sz w:val="24"/>
          <w:szCs w:val="24"/>
          <w:highlight w:val="none"/>
        </w:rPr>
        <w:t>。</w:t>
      </w:r>
    </w:p>
    <w:p w14:paraId="2075830D">
      <w:pPr>
        <w:spacing w:before="157" w:line="219" w:lineRule="auto"/>
        <w:ind w:left="492"/>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（二）监理范围及内容</w:t>
      </w:r>
    </w:p>
    <w:p w14:paraId="4300E31E">
      <w:pPr>
        <w:spacing w:before="153" w:line="339" w:lineRule="auto"/>
        <w:ind w:right="128" w:firstLine="480"/>
        <w:rPr>
          <w:rFonts w:hint="default" w:ascii="宋体" w:hAnsi="宋体" w:eastAsia="宋体" w:cs="宋体"/>
          <w:color w:val="auto"/>
          <w:spacing w:val="5"/>
          <w:sz w:val="24"/>
          <w:szCs w:val="24"/>
          <w:highlight w:val="none"/>
          <w:lang w:val="en-US" w:eastAsia="zh-CN"/>
        </w:rPr>
      </w:pPr>
      <w:r>
        <w:rPr>
          <w:rFonts w:hint="eastAsia" w:ascii="宋体" w:hAnsi="宋体" w:eastAsia="宋体" w:cs="宋体"/>
          <w:color w:val="auto"/>
          <w:spacing w:val="5"/>
          <w:sz w:val="24"/>
          <w:szCs w:val="24"/>
          <w:highlight w:val="none"/>
          <w:lang w:val="en-US" w:eastAsia="zh-CN"/>
        </w:rPr>
        <w:t>1、</w:t>
      </w:r>
      <w:r>
        <w:rPr>
          <w:rFonts w:ascii="宋体" w:hAnsi="宋体" w:eastAsia="宋体" w:cs="宋体"/>
          <w:color w:val="auto"/>
          <w:spacing w:val="5"/>
          <w:sz w:val="24"/>
          <w:szCs w:val="24"/>
          <w:highlight w:val="none"/>
        </w:rPr>
        <w:t>包括监理范围及主要监理内容</w:t>
      </w:r>
      <w:r>
        <w:rPr>
          <w:rFonts w:hint="eastAsia" w:ascii="宋体" w:hAnsi="宋体" w:eastAsia="宋体" w:cs="宋体"/>
          <w:color w:val="auto"/>
          <w:spacing w:val="5"/>
          <w:sz w:val="24"/>
          <w:szCs w:val="24"/>
          <w:highlight w:val="none"/>
          <w:lang w:eastAsia="zh-CN"/>
        </w:rPr>
        <w:t>：</w:t>
      </w:r>
      <w:r>
        <w:rPr>
          <w:rFonts w:hint="eastAsia" w:ascii="宋体" w:hAnsi="宋体" w:eastAsia="宋体" w:cs="宋体"/>
          <w:color w:val="auto"/>
          <w:spacing w:val="5"/>
          <w:sz w:val="24"/>
          <w:szCs w:val="24"/>
          <w:highlight w:val="none"/>
          <w:lang w:val="en-US" w:eastAsia="zh-CN"/>
        </w:rPr>
        <w:t>详见监理合同相关条款。</w:t>
      </w:r>
    </w:p>
    <w:p w14:paraId="7AB7F7F8">
      <w:pPr>
        <w:spacing w:before="153" w:line="339" w:lineRule="auto"/>
        <w:ind w:right="128" w:firstLine="480"/>
        <w:rPr>
          <w:rFonts w:ascii="宋体" w:hAnsi="宋体" w:eastAsia="宋体" w:cs="宋体"/>
          <w:color w:val="auto"/>
          <w:spacing w:val="5"/>
          <w:sz w:val="24"/>
          <w:szCs w:val="24"/>
          <w:highlight w:val="none"/>
        </w:rPr>
      </w:pPr>
      <w:r>
        <w:rPr>
          <w:rFonts w:hint="eastAsia" w:ascii="宋体" w:hAnsi="宋体" w:eastAsia="宋体" w:cs="宋体"/>
          <w:color w:val="auto"/>
          <w:spacing w:val="5"/>
          <w:sz w:val="24"/>
          <w:szCs w:val="24"/>
          <w:highlight w:val="none"/>
          <w:lang w:val="en-US" w:eastAsia="zh-CN"/>
        </w:rPr>
        <w:t>2、</w:t>
      </w:r>
      <w:r>
        <w:rPr>
          <w:rFonts w:ascii="宋体" w:hAnsi="宋体" w:eastAsia="宋体" w:cs="宋体"/>
          <w:color w:val="auto"/>
          <w:spacing w:val="5"/>
          <w:sz w:val="24"/>
          <w:szCs w:val="24"/>
          <w:highlight w:val="none"/>
        </w:rPr>
        <w:t>与监理范围对应的施工标段划分及各标段主要工程数量表等</w:t>
      </w:r>
      <w:r>
        <w:rPr>
          <w:rFonts w:hint="eastAsia" w:ascii="宋体" w:hAnsi="宋体" w:eastAsia="宋体" w:cs="宋体"/>
          <w:color w:val="auto"/>
          <w:spacing w:val="5"/>
          <w:sz w:val="24"/>
          <w:szCs w:val="24"/>
          <w:highlight w:val="none"/>
          <w:lang w:eastAsia="zh-CN"/>
        </w:rPr>
        <w:t>：</w:t>
      </w:r>
      <w:r>
        <w:rPr>
          <w:rFonts w:hint="eastAsia" w:ascii="宋体" w:hAnsi="宋体" w:eastAsia="宋体" w:cs="宋体"/>
          <w:color w:val="auto"/>
          <w:spacing w:val="5"/>
          <w:sz w:val="24"/>
          <w:szCs w:val="24"/>
          <w:highlight w:val="none"/>
          <w:lang w:val="en-US" w:eastAsia="zh-CN"/>
        </w:rPr>
        <w:t>详见施工图</w:t>
      </w:r>
      <w:r>
        <w:rPr>
          <w:rFonts w:ascii="宋体" w:hAnsi="宋体" w:eastAsia="宋体" w:cs="宋体"/>
          <w:color w:val="auto"/>
          <w:spacing w:val="5"/>
          <w:sz w:val="24"/>
          <w:szCs w:val="24"/>
          <w:highlight w:val="none"/>
        </w:rPr>
        <w:t>。</w:t>
      </w:r>
    </w:p>
    <w:p w14:paraId="5CF3EF3F">
      <w:pPr>
        <w:spacing w:before="153" w:line="339" w:lineRule="auto"/>
        <w:ind w:right="128" w:firstLine="480"/>
        <w:rPr>
          <w:rFonts w:ascii="宋体" w:hAnsi="宋体" w:eastAsia="宋体" w:cs="宋体"/>
          <w:color w:val="auto"/>
          <w:spacing w:val="5"/>
          <w:sz w:val="24"/>
          <w:szCs w:val="24"/>
          <w:highlight w:val="none"/>
        </w:rPr>
      </w:pPr>
      <w:r>
        <w:rPr>
          <w:rFonts w:hint="eastAsia" w:ascii="宋体" w:hAnsi="宋体" w:eastAsia="宋体" w:cs="宋体"/>
          <w:color w:val="auto"/>
          <w:spacing w:val="5"/>
          <w:sz w:val="24"/>
          <w:szCs w:val="24"/>
          <w:highlight w:val="none"/>
          <w:lang w:val="en-US" w:eastAsia="en-US"/>
        </w:rPr>
        <w:t>（三）</w:t>
      </w:r>
      <w:r>
        <w:rPr>
          <w:rFonts w:ascii="宋体" w:hAnsi="宋体" w:eastAsia="宋体" w:cs="宋体"/>
          <w:color w:val="auto"/>
          <w:spacing w:val="5"/>
          <w:sz w:val="24"/>
          <w:szCs w:val="24"/>
          <w:highlight w:val="none"/>
        </w:rPr>
        <w:t>监理依据</w:t>
      </w:r>
    </w:p>
    <w:p w14:paraId="6D3509FA">
      <w:pPr>
        <w:spacing w:before="153" w:line="339" w:lineRule="auto"/>
        <w:ind w:right="128" w:firstLine="480"/>
        <w:rPr>
          <w:rFonts w:hint="eastAsia" w:ascii="宋体" w:hAnsi="宋体" w:eastAsia="宋体" w:cs="宋体"/>
          <w:color w:val="auto"/>
          <w:spacing w:val="5"/>
          <w:sz w:val="24"/>
          <w:szCs w:val="24"/>
          <w:highlight w:val="none"/>
        </w:rPr>
      </w:pPr>
      <w:r>
        <w:rPr>
          <w:rFonts w:hint="eastAsia" w:ascii="宋体" w:hAnsi="宋体" w:eastAsia="宋体" w:cs="宋体"/>
          <w:color w:val="auto"/>
          <w:spacing w:val="5"/>
          <w:sz w:val="24"/>
          <w:szCs w:val="24"/>
          <w:highlight w:val="none"/>
        </w:rPr>
        <w:t>执行《公路工程施工监理规范》</w:t>
      </w:r>
    </w:p>
    <w:p w14:paraId="042FA3DC">
      <w:pPr>
        <w:spacing w:before="153" w:line="339" w:lineRule="auto"/>
        <w:ind w:right="128" w:firstLine="480"/>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（四）监理人员和试验检测仪器设备要</w:t>
      </w:r>
      <w:r>
        <w:rPr>
          <w:rFonts w:ascii="宋体" w:hAnsi="宋体" w:eastAsia="宋体" w:cs="宋体"/>
          <w:color w:val="auto"/>
          <w:spacing w:val="-2"/>
          <w:sz w:val="24"/>
          <w:szCs w:val="24"/>
          <w:highlight w:val="none"/>
        </w:rPr>
        <w:t>求</w:t>
      </w:r>
      <w:r>
        <w:rPr>
          <w:rFonts w:hint="eastAsia" w:ascii="宋体" w:hAnsi="宋体" w:eastAsia="宋体" w:cs="宋体"/>
          <w:color w:val="auto"/>
          <w:spacing w:val="5"/>
          <w:sz w:val="24"/>
          <w:szCs w:val="24"/>
          <w:highlight w:val="none"/>
          <w:lang w:eastAsia="zh-CN"/>
        </w:rPr>
        <w:t>：</w:t>
      </w:r>
      <w:r>
        <w:rPr>
          <w:rFonts w:hint="eastAsia" w:ascii="宋体" w:hAnsi="宋体" w:eastAsia="宋体" w:cs="宋体"/>
          <w:color w:val="auto"/>
          <w:spacing w:val="5"/>
          <w:sz w:val="24"/>
          <w:szCs w:val="24"/>
          <w:highlight w:val="none"/>
          <w:lang w:val="en-US" w:eastAsia="zh-CN"/>
        </w:rPr>
        <w:t>详见监理合同相关条款。</w:t>
      </w:r>
    </w:p>
    <w:p w14:paraId="1B60BEBF">
      <w:pPr>
        <w:spacing w:before="155" w:line="220" w:lineRule="auto"/>
        <w:ind w:left="492"/>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（五）其他要求</w:t>
      </w:r>
      <w:r>
        <w:rPr>
          <w:rFonts w:hint="eastAsia" w:ascii="宋体" w:hAnsi="宋体" w:eastAsia="宋体" w:cs="宋体"/>
          <w:color w:val="auto"/>
          <w:spacing w:val="5"/>
          <w:sz w:val="24"/>
          <w:szCs w:val="24"/>
          <w:highlight w:val="none"/>
          <w:lang w:eastAsia="zh-CN"/>
        </w:rPr>
        <w:t>：</w:t>
      </w:r>
      <w:r>
        <w:rPr>
          <w:rFonts w:hint="eastAsia" w:ascii="宋体" w:hAnsi="宋体" w:eastAsia="宋体" w:cs="宋体"/>
          <w:color w:val="auto"/>
          <w:spacing w:val="5"/>
          <w:sz w:val="24"/>
          <w:szCs w:val="24"/>
          <w:highlight w:val="none"/>
          <w:lang w:val="en-US" w:eastAsia="zh-CN"/>
        </w:rPr>
        <w:t>详见监理合同相关条款。</w:t>
      </w:r>
    </w:p>
    <w:p w14:paraId="19F7BBB1">
      <w:pPr>
        <w:spacing w:before="186" w:line="220" w:lineRule="auto"/>
        <w:ind w:left="5"/>
        <w:outlineLvl w:val="1"/>
        <w:rPr>
          <w:rFonts w:ascii="宋体" w:hAnsi="宋体" w:eastAsia="宋体" w:cs="宋体"/>
          <w:color w:val="auto"/>
          <w:sz w:val="24"/>
          <w:szCs w:val="24"/>
          <w:highlight w:val="none"/>
        </w:rPr>
      </w:pPr>
      <w:bookmarkStart w:id="390" w:name="_Toc23072"/>
      <w:bookmarkStart w:id="391" w:name="_Toc10920"/>
      <w:bookmarkStart w:id="392" w:name="_Toc552"/>
      <w:r>
        <w:rPr>
          <w:rFonts w:ascii="宋体" w:hAnsi="宋体" w:eastAsia="宋体" w:cs="宋体"/>
          <w:b/>
          <w:bCs/>
          <w:color w:val="auto"/>
          <w:spacing w:val="-4"/>
          <w:sz w:val="24"/>
          <w:szCs w:val="24"/>
          <w:highlight w:val="none"/>
        </w:rPr>
        <w:t>二、适用规范标准</w:t>
      </w:r>
      <w:bookmarkEnd w:id="390"/>
      <w:bookmarkEnd w:id="391"/>
      <w:bookmarkEnd w:id="392"/>
    </w:p>
    <w:p w14:paraId="713C305C">
      <w:pPr>
        <w:spacing w:before="163" w:line="221" w:lineRule="auto"/>
        <w:ind w:left="492"/>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（一）通用施工监理规范</w:t>
      </w:r>
    </w:p>
    <w:p w14:paraId="36B6450D">
      <w:pPr>
        <w:spacing w:before="152" w:line="219" w:lineRule="auto"/>
        <w:ind w:left="481"/>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执行最新《公路工程施工监理规范》。</w:t>
      </w:r>
    </w:p>
    <w:p w14:paraId="42FB74B6">
      <w:pPr>
        <w:spacing w:before="155" w:line="220" w:lineRule="auto"/>
        <w:ind w:left="492"/>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（二）专用施工监理规范</w:t>
      </w:r>
    </w:p>
    <w:p w14:paraId="335C0FE9">
      <w:pPr>
        <w:spacing w:before="180" w:line="406" w:lineRule="auto"/>
        <w:ind w:left="1" w:right="128" w:firstLine="419"/>
        <w:jc w:val="both"/>
        <w:rPr>
          <w:rFonts w:ascii="宋体" w:hAnsi="宋体" w:eastAsia="宋体" w:cs="宋体"/>
          <w:color w:val="auto"/>
          <w:sz w:val="24"/>
          <w:szCs w:val="24"/>
          <w:highlight w:val="none"/>
        </w:rPr>
      </w:pPr>
      <w:r>
        <w:rPr>
          <w:rFonts w:ascii="宋体" w:hAnsi="宋体" w:eastAsia="宋体" w:cs="宋体"/>
          <w:color w:val="auto"/>
          <w:spacing w:val="11"/>
          <w:sz w:val="24"/>
          <w:szCs w:val="24"/>
          <w:highlight w:val="none"/>
        </w:rPr>
        <w:t>专用施工监理规范由招标人根据工程的实际情况，在最新《公路工</w:t>
      </w:r>
      <w:r>
        <w:rPr>
          <w:rFonts w:ascii="宋体" w:hAnsi="宋体" w:eastAsia="宋体" w:cs="宋体"/>
          <w:color w:val="auto"/>
          <w:spacing w:val="10"/>
          <w:sz w:val="24"/>
          <w:szCs w:val="24"/>
          <w:highlight w:val="none"/>
        </w:rPr>
        <w:t>程施工监理规范》的基础上自行编制并纳入“委托人要求</w:t>
      </w:r>
      <w:r>
        <w:rPr>
          <w:rFonts w:ascii="宋体" w:hAnsi="宋体" w:eastAsia="宋体" w:cs="宋体"/>
          <w:color w:val="auto"/>
          <w:spacing w:val="-69"/>
          <w:sz w:val="24"/>
          <w:szCs w:val="24"/>
          <w:highlight w:val="none"/>
        </w:rPr>
        <w:t xml:space="preserve"> </w:t>
      </w:r>
      <w:r>
        <w:rPr>
          <w:rFonts w:ascii="宋体" w:hAnsi="宋体" w:eastAsia="宋体" w:cs="宋体"/>
          <w:color w:val="auto"/>
          <w:spacing w:val="10"/>
          <w:sz w:val="24"/>
          <w:szCs w:val="24"/>
          <w:highlight w:val="none"/>
        </w:rPr>
        <w:t>”中，但不得与国家、交通运输部及有关部门的法规、标准、规范等</w:t>
      </w:r>
      <w:r>
        <w:rPr>
          <w:rFonts w:ascii="宋体" w:hAnsi="宋体" w:eastAsia="宋体" w:cs="宋体"/>
          <w:color w:val="auto"/>
          <w:spacing w:val="2"/>
          <w:sz w:val="24"/>
          <w:szCs w:val="24"/>
          <w:highlight w:val="none"/>
        </w:rPr>
        <w:t>矛盾。</w:t>
      </w:r>
    </w:p>
    <w:p w14:paraId="20AA2243">
      <w:pPr>
        <w:spacing w:before="1" w:line="409" w:lineRule="auto"/>
        <w:ind w:left="19" w:right="30" w:firstLine="400"/>
        <w:rPr>
          <w:rFonts w:ascii="宋体" w:hAnsi="宋体" w:eastAsia="宋体" w:cs="宋体"/>
          <w:color w:val="auto"/>
          <w:sz w:val="24"/>
          <w:szCs w:val="24"/>
          <w:highlight w:val="none"/>
        </w:rPr>
      </w:pPr>
      <w:r>
        <w:rPr>
          <w:rFonts w:ascii="宋体" w:hAnsi="宋体" w:eastAsia="宋体" w:cs="宋体"/>
          <w:color w:val="auto"/>
          <w:spacing w:val="13"/>
          <w:sz w:val="24"/>
          <w:szCs w:val="24"/>
          <w:highlight w:val="none"/>
        </w:rPr>
        <w:t>针对本工程或仅在本地区实行的与监理工作有</w:t>
      </w:r>
      <w:r>
        <w:rPr>
          <w:rFonts w:ascii="宋体" w:hAnsi="宋体" w:eastAsia="宋体" w:cs="宋体"/>
          <w:color w:val="auto"/>
          <w:spacing w:val="12"/>
          <w:sz w:val="24"/>
          <w:szCs w:val="24"/>
          <w:highlight w:val="none"/>
        </w:rPr>
        <w:t>关的管理办法、制度应一并纳入“委托人要求</w:t>
      </w:r>
      <w:r>
        <w:rPr>
          <w:rFonts w:ascii="宋体" w:hAnsi="宋体" w:eastAsia="宋体" w:cs="宋体"/>
          <w:color w:val="auto"/>
          <w:spacing w:val="-72"/>
          <w:sz w:val="24"/>
          <w:szCs w:val="24"/>
          <w:highlight w:val="none"/>
        </w:rPr>
        <w:t xml:space="preserve"> </w:t>
      </w:r>
      <w:r>
        <w:rPr>
          <w:rFonts w:ascii="宋体" w:hAnsi="宋体" w:eastAsia="宋体" w:cs="宋体"/>
          <w:color w:val="auto"/>
          <w:spacing w:val="12"/>
          <w:sz w:val="24"/>
          <w:szCs w:val="24"/>
          <w:highlight w:val="none"/>
        </w:rPr>
        <w:t>”</w:t>
      </w:r>
      <w:r>
        <w:rPr>
          <w:rFonts w:ascii="宋体" w:hAnsi="宋体" w:eastAsia="宋体" w:cs="宋体"/>
          <w:color w:val="auto"/>
          <w:spacing w:val="-10"/>
          <w:sz w:val="24"/>
          <w:szCs w:val="24"/>
          <w:highlight w:val="none"/>
        </w:rPr>
        <w:t>中。</w:t>
      </w:r>
    </w:p>
    <w:p w14:paraId="44C00550">
      <w:pPr>
        <w:spacing w:before="132" w:line="219" w:lineRule="auto"/>
        <w:ind w:left="491"/>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（三）施工技术规范</w:t>
      </w:r>
    </w:p>
    <w:p w14:paraId="598F8D4E">
      <w:pPr>
        <w:spacing w:before="154" w:line="219" w:lineRule="auto"/>
        <w:ind w:left="479"/>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施工技术规范包括以下内容：</w:t>
      </w:r>
    </w:p>
    <w:p w14:paraId="5A8B74C0">
      <w:pPr>
        <w:spacing w:before="155" w:line="219" w:lineRule="auto"/>
        <w:ind w:left="497"/>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1. 本工程施工标段招标文件中的技术规范；</w:t>
      </w:r>
    </w:p>
    <w:p w14:paraId="55827F7A">
      <w:pPr>
        <w:spacing w:before="155" w:line="219" w:lineRule="auto"/>
        <w:ind w:left="482"/>
        <w:rPr>
          <w:rFonts w:ascii="宋体" w:hAnsi="宋体" w:eastAsia="宋体" w:cs="宋体"/>
          <w:color w:val="auto"/>
          <w:sz w:val="24"/>
          <w:szCs w:val="24"/>
          <w:highlight w:val="none"/>
        </w:rPr>
      </w:pPr>
      <w:r>
        <w:rPr>
          <w:rFonts w:ascii="宋体" w:hAnsi="宋体" w:eastAsia="宋体" w:cs="宋体"/>
          <w:color w:val="auto"/>
          <w:sz w:val="24"/>
          <w:szCs w:val="24"/>
          <w:highlight w:val="none"/>
        </w:rPr>
        <w:t>2. 所有与工程施工有关的国家现行的公路建设</w:t>
      </w:r>
      <w:r>
        <w:rPr>
          <w:rFonts w:ascii="宋体" w:hAnsi="宋体" w:eastAsia="宋体" w:cs="宋体"/>
          <w:color w:val="auto"/>
          <w:spacing w:val="-1"/>
          <w:sz w:val="24"/>
          <w:szCs w:val="24"/>
          <w:highlight w:val="none"/>
        </w:rPr>
        <w:t>标准、规范、规程及相关文件。</w:t>
      </w:r>
    </w:p>
    <w:p w14:paraId="6980B037">
      <w:pPr>
        <w:spacing w:before="154" w:line="218" w:lineRule="auto"/>
        <w:ind w:left="491"/>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（四）执行广东省《公路工程造价管理指南》。</w:t>
      </w:r>
    </w:p>
    <w:p w14:paraId="684A326D">
      <w:pPr>
        <w:spacing w:before="158" w:line="219" w:lineRule="auto"/>
        <w:ind w:left="491"/>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（五）国家、行业、项目所在地适用本工程的其他规范、标准或规程。</w:t>
      </w:r>
    </w:p>
    <w:p w14:paraId="2E08914E">
      <w:pPr>
        <w:spacing w:before="187" w:line="219" w:lineRule="auto"/>
        <w:outlineLvl w:val="1"/>
        <w:rPr>
          <w:rFonts w:ascii="宋体" w:hAnsi="宋体" w:eastAsia="宋体" w:cs="宋体"/>
          <w:color w:val="auto"/>
          <w:sz w:val="24"/>
          <w:szCs w:val="24"/>
          <w:highlight w:val="none"/>
        </w:rPr>
      </w:pPr>
      <w:bookmarkStart w:id="393" w:name="_Toc27662"/>
      <w:bookmarkStart w:id="394" w:name="_Toc13224"/>
      <w:bookmarkStart w:id="395" w:name="_Toc22416"/>
      <w:r>
        <w:rPr>
          <w:rFonts w:ascii="宋体" w:hAnsi="宋体" w:eastAsia="宋体" w:cs="宋体"/>
          <w:b/>
          <w:bCs/>
          <w:color w:val="auto"/>
          <w:spacing w:val="-3"/>
          <w:sz w:val="24"/>
          <w:szCs w:val="24"/>
          <w:highlight w:val="none"/>
        </w:rPr>
        <w:t>三、成果文件要求</w:t>
      </w:r>
      <w:bookmarkEnd w:id="393"/>
      <w:bookmarkEnd w:id="394"/>
      <w:bookmarkEnd w:id="395"/>
    </w:p>
    <w:p w14:paraId="41496A23">
      <w:pPr>
        <w:spacing w:before="164" w:line="219" w:lineRule="auto"/>
        <w:ind w:left="491"/>
        <w:rPr>
          <w:rFonts w:hint="default" w:ascii="宋体" w:hAnsi="宋体" w:eastAsia="宋体" w:cs="宋体"/>
          <w:color w:val="auto"/>
          <w:sz w:val="24"/>
          <w:szCs w:val="24"/>
          <w:highlight w:val="none"/>
          <w:lang w:val="en-US"/>
        </w:rPr>
      </w:pPr>
      <w:r>
        <w:rPr>
          <w:rFonts w:ascii="宋体" w:hAnsi="宋体" w:eastAsia="宋体" w:cs="宋体"/>
          <w:color w:val="auto"/>
          <w:spacing w:val="-3"/>
          <w:sz w:val="24"/>
          <w:szCs w:val="24"/>
          <w:highlight w:val="none"/>
        </w:rPr>
        <w:t>（一）成果文件的组成</w:t>
      </w:r>
      <w:r>
        <w:rPr>
          <w:rFonts w:hint="eastAsia" w:ascii="宋体" w:hAnsi="宋体" w:eastAsia="宋体" w:cs="宋体"/>
          <w:color w:val="auto"/>
          <w:spacing w:val="-5"/>
          <w:sz w:val="24"/>
          <w:szCs w:val="24"/>
          <w:highlight w:val="none"/>
          <w:lang w:val="en-US" w:eastAsia="zh-CN"/>
        </w:rPr>
        <w:t>:按</w:t>
      </w:r>
      <w:r>
        <w:rPr>
          <w:rFonts w:ascii="宋体" w:hAnsi="宋体" w:eastAsia="宋体" w:cs="宋体"/>
          <w:color w:val="auto"/>
          <w:sz w:val="24"/>
          <w:szCs w:val="24"/>
          <w:highlight w:val="none"/>
        </w:rPr>
        <w:t>国家</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省、市</w:t>
      </w:r>
      <w:r>
        <w:rPr>
          <w:rFonts w:ascii="宋体" w:hAnsi="宋体" w:eastAsia="宋体" w:cs="宋体"/>
          <w:color w:val="auto"/>
          <w:sz w:val="24"/>
          <w:szCs w:val="24"/>
          <w:highlight w:val="none"/>
        </w:rPr>
        <w:t>现行的公路建设</w:t>
      </w:r>
      <w:r>
        <w:rPr>
          <w:rFonts w:ascii="宋体" w:hAnsi="宋体" w:eastAsia="宋体" w:cs="宋体"/>
          <w:color w:val="auto"/>
          <w:spacing w:val="-1"/>
          <w:sz w:val="24"/>
          <w:szCs w:val="24"/>
          <w:highlight w:val="none"/>
        </w:rPr>
        <w:t>标准、规范、规程及相关文件</w:t>
      </w:r>
      <w:r>
        <w:rPr>
          <w:rFonts w:hint="eastAsia" w:ascii="宋体" w:hAnsi="宋体" w:eastAsia="宋体" w:cs="宋体"/>
          <w:color w:val="auto"/>
          <w:spacing w:val="-1"/>
          <w:sz w:val="24"/>
          <w:szCs w:val="24"/>
          <w:highlight w:val="none"/>
          <w:lang w:val="en-US" w:eastAsia="zh-CN"/>
        </w:rPr>
        <w:t>执行</w:t>
      </w:r>
      <w:r>
        <w:rPr>
          <w:rFonts w:ascii="宋体" w:hAnsi="宋体" w:eastAsia="宋体" w:cs="宋体"/>
          <w:color w:val="auto"/>
          <w:spacing w:val="-1"/>
          <w:sz w:val="24"/>
          <w:szCs w:val="24"/>
          <w:highlight w:val="none"/>
        </w:rPr>
        <w:t>。</w:t>
      </w:r>
    </w:p>
    <w:p w14:paraId="587CAEC9">
      <w:pPr>
        <w:spacing w:before="154" w:line="219" w:lineRule="auto"/>
        <w:ind w:left="491"/>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（二）成果文件的深度</w:t>
      </w:r>
      <w:r>
        <w:rPr>
          <w:rFonts w:hint="eastAsia" w:ascii="宋体" w:hAnsi="宋体" w:eastAsia="宋体" w:cs="宋体"/>
          <w:color w:val="auto"/>
          <w:spacing w:val="-5"/>
          <w:sz w:val="24"/>
          <w:szCs w:val="24"/>
          <w:highlight w:val="none"/>
          <w:lang w:val="en-US" w:eastAsia="zh-CN"/>
        </w:rPr>
        <w:t>:按</w:t>
      </w:r>
      <w:r>
        <w:rPr>
          <w:rFonts w:ascii="宋体" w:hAnsi="宋体" w:eastAsia="宋体" w:cs="宋体"/>
          <w:color w:val="auto"/>
          <w:sz w:val="24"/>
          <w:szCs w:val="24"/>
          <w:highlight w:val="none"/>
        </w:rPr>
        <w:t>国家</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省、市</w:t>
      </w:r>
      <w:r>
        <w:rPr>
          <w:rFonts w:ascii="宋体" w:hAnsi="宋体" w:eastAsia="宋体" w:cs="宋体"/>
          <w:color w:val="auto"/>
          <w:sz w:val="24"/>
          <w:szCs w:val="24"/>
          <w:highlight w:val="none"/>
        </w:rPr>
        <w:t>现行的公路建设</w:t>
      </w:r>
      <w:r>
        <w:rPr>
          <w:rFonts w:ascii="宋体" w:hAnsi="宋体" w:eastAsia="宋体" w:cs="宋体"/>
          <w:color w:val="auto"/>
          <w:spacing w:val="-1"/>
          <w:sz w:val="24"/>
          <w:szCs w:val="24"/>
          <w:highlight w:val="none"/>
        </w:rPr>
        <w:t>标准、规范、规程及相关文件</w:t>
      </w:r>
      <w:r>
        <w:rPr>
          <w:rFonts w:hint="eastAsia" w:ascii="宋体" w:hAnsi="宋体" w:eastAsia="宋体" w:cs="宋体"/>
          <w:color w:val="auto"/>
          <w:spacing w:val="-1"/>
          <w:sz w:val="24"/>
          <w:szCs w:val="24"/>
          <w:highlight w:val="none"/>
          <w:lang w:val="en-US" w:eastAsia="zh-CN"/>
        </w:rPr>
        <w:t>执行</w:t>
      </w:r>
      <w:r>
        <w:rPr>
          <w:rFonts w:ascii="宋体" w:hAnsi="宋体" w:eastAsia="宋体" w:cs="宋体"/>
          <w:color w:val="auto"/>
          <w:spacing w:val="-1"/>
          <w:sz w:val="24"/>
          <w:szCs w:val="24"/>
          <w:highlight w:val="none"/>
        </w:rPr>
        <w:t>。</w:t>
      </w:r>
    </w:p>
    <w:p w14:paraId="2F35895C">
      <w:pPr>
        <w:spacing w:before="157" w:line="219" w:lineRule="auto"/>
        <w:ind w:left="491"/>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（三）成果文件的格式要求</w:t>
      </w:r>
      <w:r>
        <w:rPr>
          <w:rFonts w:hint="eastAsia" w:ascii="宋体" w:hAnsi="宋体" w:eastAsia="宋体" w:cs="宋体"/>
          <w:color w:val="auto"/>
          <w:spacing w:val="-5"/>
          <w:sz w:val="24"/>
          <w:szCs w:val="24"/>
          <w:highlight w:val="none"/>
          <w:lang w:val="en-US" w:eastAsia="zh-CN"/>
        </w:rPr>
        <w:t>:按</w:t>
      </w:r>
      <w:r>
        <w:rPr>
          <w:rFonts w:ascii="宋体" w:hAnsi="宋体" w:eastAsia="宋体" w:cs="宋体"/>
          <w:color w:val="auto"/>
          <w:sz w:val="24"/>
          <w:szCs w:val="24"/>
          <w:highlight w:val="none"/>
        </w:rPr>
        <w:t>国家</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省、市</w:t>
      </w:r>
      <w:r>
        <w:rPr>
          <w:rFonts w:ascii="宋体" w:hAnsi="宋体" w:eastAsia="宋体" w:cs="宋体"/>
          <w:color w:val="auto"/>
          <w:sz w:val="24"/>
          <w:szCs w:val="24"/>
          <w:highlight w:val="none"/>
        </w:rPr>
        <w:t>现行的公路建设</w:t>
      </w:r>
      <w:r>
        <w:rPr>
          <w:rFonts w:ascii="宋体" w:hAnsi="宋体" w:eastAsia="宋体" w:cs="宋体"/>
          <w:color w:val="auto"/>
          <w:spacing w:val="-1"/>
          <w:sz w:val="24"/>
          <w:szCs w:val="24"/>
          <w:highlight w:val="none"/>
        </w:rPr>
        <w:t>标准、规范、规程及相关文件</w:t>
      </w:r>
      <w:r>
        <w:rPr>
          <w:rFonts w:hint="eastAsia" w:ascii="宋体" w:hAnsi="宋体" w:eastAsia="宋体" w:cs="宋体"/>
          <w:color w:val="auto"/>
          <w:spacing w:val="-1"/>
          <w:sz w:val="24"/>
          <w:szCs w:val="24"/>
          <w:highlight w:val="none"/>
          <w:lang w:val="en-US" w:eastAsia="zh-CN"/>
        </w:rPr>
        <w:t>执行</w:t>
      </w:r>
      <w:r>
        <w:rPr>
          <w:rFonts w:ascii="宋体" w:hAnsi="宋体" w:eastAsia="宋体" w:cs="宋体"/>
          <w:color w:val="auto"/>
          <w:spacing w:val="-1"/>
          <w:sz w:val="24"/>
          <w:szCs w:val="24"/>
          <w:highlight w:val="none"/>
        </w:rPr>
        <w:t>。</w:t>
      </w:r>
    </w:p>
    <w:p w14:paraId="1258A444">
      <w:pPr>
        <w:spacing w:before="155" w:line="219" w:lineRule="auto"/>
        <w:ind w:left="491"/>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（四）成果文件的份数要求</w:t>
      </w:r>
      <w:r>
        <w:rPr>
          <w:rFonts w:hint="eastAsia" w:ascii="宋体" w:hAnsi="宋体" w:eastAsia="宋体" w:cs="宋体"/>
          <w:color w:val="auto"/>
          <w:spacing w:val="-5"/>
          <w:sz w:val="24"/>
          <w:szCs w:val="24"/>
          <w:highlight w:val="none"/>
          <w:lang w:val="en-US" w:eastAsia="zh-CN"/>
        </w:rPr>
        <w:t>:按</w:t>
      </w:r>
      <w:r>
        <w:rPr>
          <w:rFonts w:ascii="宋体" w:hAnsi="宋体" w:eastAsia="宋体" w:cs="宋体"/>
          <w:color w:val="auto"/>
          <w:sz w:val="24"/>
          <w:szCs w:val="24"/>
          <w:highlight w:val="none"/>
        </w:rPr>
        <w:t>国家</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省、市</w:t>
      </w:r>
      <w:r>
        <w:rPr>
          <w:rFonts w:ascii="宋体" w:hAnsi="宋体" w:eastAsia="宋体" w:cs="宋体"/>
          <w:color w:val="auto"/>
          <w:sz w:val="24"/>
          <w:szCs w:val="24"/>
          <w:highlight w:val="none"/>
        </w:rPr>
        <w:t>现行的公路建设</w:t>
      </w:r>
      <w:r>
        <w:rPr>
          <w:rFonts w:ascii="宋体" w:hAnsi="宋体" w:eastAsia="宋体" w:cs="宋体"/>
          <w:color w:val="auto"/>
          <w:spacing w:val="-1"/>
          <w:sz w:val="24"/>
          <w:szCs w:val="24"/>
          <w:highlight w:val="none"/>
        </w:rPr>
        <w:t>标准、规范、规程及相关文件</w:t>
      </w:r>
      <w:r>
        <w:rPr>
          <w:rFonts w:hint="eastAsia" w:ascii="宋体" w:hAnsi="宋体" w:eastAsia="宋体" w:cs="宋体"/>
          <w:color w:val="auto"/>
          <w:spacing w:val="-1"/>
          <w:sz w:val="24"/>
          <w:szCs w:val="24"/>
          <w:highlight w:val="none"/>
          <w:lang w:val="en-US" w:eastAsia="zh-CN"/>
        </w:rPr>
        <w:t>执行</w:t>
      </w:r>
      <w:r>
        <w:rPr>
          <w:rFonts w:ascii="宋体" w:hAnsi="宋体" w:eastAsia="宋体" w:cs="宋体"/>
          <w:color w:val="auto"/>
          <w:spacing w:val="-1"/>
          <w:sz w:val="24"/>
          <w:szCs w:val="24"/>
          <w:highlight w:val="none"/>
        </w:rPr>
        <w:t>。</w:t>
      </w:r>
    </w:p>
    <w:p w14:paraId="1DE1ED4E">
      <w:pPr>
        <w:spacing w:before="154" w:line="219" w:lineRule="auto"/>
        <w:ind w:left="491"/>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（五）成果文件的载体要求</w:t>
      </w:r>
    </w:p>
    <w:p w14:paraId="1FAB8E64">
      <w:pPr>
        <w:spacing w:before="157" w:line="220" w:lineRule="auto"/>
        <w:ind w:left="497"/>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1. 纸质版的要求</w:t>
      </w:r>
      <w:r>
        <w:rPr>
          <w:rFonts w:hint="eastAsia" w:ascii="宋体" w:hAnsi="宋体" w:eastAsia="宋体" w:cs="宋体"/>
          <w:color w:val="auto"/>
          <w:spacing w:val="-5"/>
          <w:sz w:val="24"/>
          <w:szCs w:val="24"/>
          <w:highlight w:val="none"/>
          <w:lang w:val="en-US" w:eastAsia="zh-CN"/>
        </w:rPr>
        <w:t>:按</w:t>
      </w:r>
      <w:r>
        <w:rPr>
          <w:rFonts w:ascii="宋体" w:hAnsi="宋体" w:eastAsia="宋体" w:cs="宋体"/>
          <w:color w:val="auto"/>
          <w:sz w:val="24"/>
          <w:szCs w:val="24"/>
          <w:highlight w:val="none"/>
        </w:rPr>
        <w:t>国家</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省、市</w:t>
      </w:r>
      <w:r>
        <w:rPr>
          <w:rFonts w:ascii="宋体" w:hAnsi="宋体" w:eastAsia="宋体" w:cs="宋体"/>
          <w:color w:val="auto"/>
          <w:sz w:val="24"/>
          <w:szCs w:val="24"/>
          <w:highlight w:val="none"/>
        </w:rPr>
        <w:t>现行的公路建设</w:t>
      </w:r>
      <w:r>
        <w:rPr>
          <w:rFonts w:ascii="宋体" w:hAnsi="宋体" w:eastAsia="宋体" w:cs="宋体"/>
          <w:color w:val="auto"/>
          <w:spacing w:val="-1"/>
          <w:sz w:val="24"/>
          <w:szCs w:val="24"/>
          <w:highlight w:val="none"/>
        </w:rPr>
        <w:t>标准、规范、规程及相关文件</w:t>
      </w:r>
      <w:r>
        <w:rPr>
          <w:rFonts w:hint="eastAsia" w:ascii="宋体" w:hAnsi="宋体" w:eastAsia="宋体" w:cs="宋体"/>
          <w:color w:val="auto"/>
          <w:spacing w:val="-1"/>
          <w:sz w:val="24"/>
          <w:szCs w:val="24"/>
          <w:highlight w:val="none"/>
          <w:lang w:val="en-US" w:eastAsia="zh-CN"/>
        </w:rPr>
        <w:t>执行</w:t>
      </w:r>
      <w:r>
        <w:rPr>
          <w:rFonts w:ascii="宋体" w:hAnsi="宋体" w:eastAsia="宋体" w:cs="宋体"/>
          <w:color w:val="auto"/>
          <w:spacing w:val="-1"/>
          <w:sz w:val="24"/>
          <w:szCs w:val="24"/>
          <w:highlight w:val="none"/>
        </w:rPr>
        <w:t>。</w:t>
      </w:r>
    </w:p>
    <w:p w14:paraId="04892D5C">
      <w:pPr>
        <w:spacing w:before="153" w:line="220" w:lineRule="auto"/>
        <w:ind w:left="482"/>
        <w:rPr>
          <w:rFonts w:ascii="宋体" w:hAnsi="宋体" w:eastAsia="宋体" w:cs="宋体"/>
          <w:color w:val="auto"/>
          <w:sz w:val="24"/>
          <w:szCs w:val="24"/>
          <w:highlight w:val="none"/>
        </w:rPr>
      </w:pPr>
      <w:r>
        <w:rPr>
          <w:rFonts w:ascii="宋体" w:hAnsi="宋体" w:eastAsia="宋体" w:cs="宋体"/>
          <w:color w:val="auto"/>
          <w:spacing w:val="-6"/>
          <w:sz w:val="24"/>
          <w:szCs w:val="24"/>
          <w:highlight w:val="none"/>
        </w:rPr>
        <w:t>2.</w:t>
      </w:r>
      <w:r>
        <w:rPr>
          <w:rFonts w:ascii="宋体" w:hAnsi="宋体" w:eastAsia="宋体" w:cs="宋体"/>
          <w:color w:val="auto"/>
          <w:spacing w:val="40"/>
          <w:sz w:val="24"/>
          <w:szCs w:val="24"/>
          <w:highlight w:val="none"/>
        </w:rPr>
        <w:t xml:space="preserve"> </w:t>
      </w:r>
      <w:r>
        <w:rPr>
          <w:rFonts w:ascii="宋体" w:hAnsi="宋体" w:eastAsia="宋体" w:cs="宋体"/>
          <w:color w:val="auto"/>
          <w:spacing w:val="-6"/>
          <w:sz w:val="24"/>
          <w:szCs w:val="24"/>
          <w:highlight w:val="none"/>
        </w:rPr>
        <w:t>电子版的要求</w:t>
      </w:r>
      <w:r>
        <w:rPr>
          <w:rFonts w:hint="eastAsia" w:ascii="宋体" w:hAnsi="宋体" w:eastAsia="宋体" w:cs="宋体"/>
          <w:color w:val="auto"/>
          <w:spacing w:val="-5"/>
          <w:sz w:val="24"/>
          <w:szCs w:val="24"/>
          <w:highlight w:val="none"/>
          <w:lang w:val="en-US" w:eastAsia="zh-CN"/>
        </w:rPr>
        <w:t>:按</w:t>
      </w:r>
      <w:r>
        <w:rPr>
          <w:rFonts w:ascii="宋体" w:hAnsi="宋体" w:eastAsia="宋体" w:cs="宋体"/>
          <w:color w:val="auto"/>
          <w:sz w:val="24"/>
          <w:szCs w:val="24"/>
          <w:highlight w:val="none"/>
        </w:rPr>
        <w:t>国家</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省、市</w:t>
      </w:r>
      <w:r>
        <w:rPr>
          <w:rFonts w:ascii="宋体" w:hAnsi="宋体" w:eastAsia="宋体" w:cs="宋体"/>
          <w:color w:val="auto"/>
          <w:sz w:val="24"/>
          <w:szCs w:val="24"/>
          <w:highlight w:val="none"/>
        </w:rPr>
        <w:t>现行的公路建设</w:t>
      </w:r>
      <w:r>
        <w:rPr>
          <w:rFonts w:ascii="宋体" w:hAnsi="宋体" w:eastAsia="宋体" w:cs="宋体"/>
          <w:color w:val="auto"/>
          <w:spacing w:val="-1"/>
          <w:sz w:val="24"/>
          <w:szCs w:val="24"/>
          <w:highlight w:val="none"/>
        </w:rPr>
        <w:t>标准、规范、规程及相关文件</w:t>
      </w:r>
      <w:r>
        <w:rPr>
          <w:rFonts w:hint="eastAsia" w:ascii="宋体" w:hAnsi="宋体" w:eastAsia="宋体" w:cs="宋体"/>
          <w:color w:val="auto"/>
          <w:spacing w:val="-1"/>
          <w:sz w:val="24"/>
          <w:szCs w:val="24"/>
          <w:highlight w:val="none"/>
          <w:lang w:val="en-US" w:eastAsia="zh-CN"/>
        </w:rPr>
        <w:t>执行</w:t>
      </w:r>
      <w:r>
        <w:rPr>
          <w:rFonts w:ascii="宋体" w:hAnsi="宋体" w:eastAsia="宋体" w:cs="宋体"/>
          <w:color w:val="auto"/>
          <w:spacing w:val="-1"/>
          <w:sz w:val="24"/>
          <w:szCs w:val="24"/>
          <w:highlight w:val="none"/>
        </w:rPr>
        <w:t>。</w:t>
      </w:r>
    </w:p>
    <w:p w14:paraId="68AF3D27">
      <w:pPr>
        <w:spacing w:before="153" w:line="220" w:lineRule="auto"/>
        <w:ind w:left="484"/>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3. 其他要求</w:t>
      </w:r>
      <w:r>
        <w:rPr>
          <w:rFonts w:hint="eastAsia" w:ascii="宋体" w:hAnsi="宋体" w:eastAsia="宋体" w:cs="宋体"/>
          <w:color w:val="auto"/>
          <w:spacing w:val="-5"/>
          <w:sz w:val="24"/>
          <w:szCs w:val="24"/>
          <w:highlight w:val="none"/>
          <w:lang w:val="en-US" w:eastAsia="zh-CN"/>
        </w:rPr>
        <w:t>:</w:t>
      </w:r>
      <w:r>
        <w:rPr>
          <w:rFonts w:hint="eastAsia" w:ascii="宋体" w:hAnsi="宋体" w:eastAsia="宋体" w:cs="宋体"/>
          <w:color w:val="auto"/>
          <w:sz w:val="24"/>
          <w:szCs w:val="24"/>
          <w:highlight w:val="none"/>
          <w:u w:val="single"/>
          <w:lang w:val="en-US" w:eastAsia="zh-CN"/>
        </w:rPr>
        <w:t>/</w:t>
      </w:r>
      <w:r>
        <w:rPr>
          <w:rFonts w:ascii="宋体" w:hAnsi="宋体" w:eastAsia="宋体" w:cs="宋体"/>
          <w:color w:val="auto"/>
          <w:spacing w:val="-2"/>
          <w:sz w:val="24"/>
          <w:szCs w:val="24"/>
          <w:highlight w:val="none"/>
        </w:rPr>
        <w:t>。</w:t>
      </w:r>
    </w:p>
    <w:p w14:paraId="7A50AC41">
      <w:pPr>
        <w:spacing w:before="156" w:line="219" w:lineRule="auto"/>
        <w:ind w:left="491"/>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（六）成果文件的其他要求</w:t>
      </w:r>
      <w:r>
        <w:rPr>
          <w:rFonts w:hint="eastAsia" w:ascii="宋体" w:hAnsi="宋体" w:eastAsia="宋体" w:cs="宋体"/>
          <w:color w:val="auto"/>
          <w:spacing w:val="-5"/>
          <w:sz w:val="24"/>
          <w:szCs w:val="24"/>
          <w:highlight w:val="none"/>
          <w:lang w:val="en-US" w:eastAsia="zh-CN"/>
        </w:rPr>
        <w:t>:按</w:t>
      </w:r>
      <w:r>
        <w:rPr>
          <w:rFonts w:ascii="宋体" w:hAnsi="宋体" w:eastAsia="宋体" w:cs="宋体"/>
          <w:color w:val="auto"/>
          <w:sz w:val="24"/>
          <w:szCs w:val="24"/>
          <w:highlight w:val="none"/>
        </w:rPr>
        <w:t>国家</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省、市</w:t>
      </w:r>
      <w:r>
        <w:rPr>
          <w:rFonts w:ascii="宋体" w:hAnsi="宋体" w:eastAsia="宋体" w:cs="宋体"/>
          <w:color w:val="auto"/>
          <w:sz w:val="24"/>
          <w:szCs w:val="24"/>
          <w:highlight w:val="none"/>
        </w:rPr>
        <w:t>现行的公路建设</w:t>
      </w:r>
      <w:r>
        <w:rPr>
          <w:rFonts w:ascii="宋体" w:hAnsi="宋体" w:eastAsia="宋体" w:cs="宋体"/>
          <w:color w:val="auto"/>
          <w:spacing w:val="-1"/>
          <w:sz w:val="24"/>
          <w:szCs w:val="24"/>
          <w:highlight w:val="none"/>
        </w:rPr>
        <w:t>标准、规范、规程及相关文件</w:t>
      </w:r>
      <w:r>
        <w:rPr>
          <w:rFonts w:hint="eastAsia" w:ascii="宋体" w:hAnsi="宋体" w:eastAsia="宋体" w:cs="宋体"/>
          <w:color w:val="auto"/>
          <w:spacing w:val="-1"/>
          <w:sz w:val="24"/>
          <w:szCs w:val="24"/>
          <w:highlight w:val="none"/>
          <w:lang w:val="en-US" w:eastAsia="zh-CN"/>
        </w:rPr>
        <w:t>执行</w:t>
      </w:r>
      <w:r>
        <w:rPr>
          <w:rFonts w:ascii="宋体" w:hAnsi="宋体" w:eastAsia="宋体" w:cs="宋体"/>
          <w:color w:val="auto"/>
          <w:spacing w:val="-1"/>
          <w:sz w:val="24"/>
          <w:szCs w:val="24"/>
          <w:highlight w:val="none"/>
        </w:rPr>
        <w:t>。</w:t>
      </w:r>
    </w:p>
    <w:p w14:paraId="26FD9EED">
      <w:pPr>
        <w:spacing w:before="186" w:line="219" w:lineRule="auto"/>
        <w:ind w:left="22"/>
        <w:outlineLvl w:val="1"/>
        <w:rPr>
          <w:rFonts w:ascii="宋体" w:hAnsi="宋体" w:eastAsia="宋体" w:cs="宋体"/>
          <w:color w:val="auto"/>
          <w:sz w:val="24"/>
          <w:szCs w:val="24"/>
          <w:highlight w:val="none"/>
        </w:rPr>
      </w:pPr>
      <w:bookmarkStart w:id="396" w:name="_Toc8609"/>
      <w:bookmarkStart w:id="397" w:name="_Toc9281"/>
      <w:bookmarkStart w:id="398" w:name="_Toc16909"/>
      <w:r>
        <w:rPr>
          <w:rFonts w:ascii="宋体" w:hAnsi="宋体" w:eastAsia="宋体" w:cs="宋体"/>
          <w:b/>
          <w:bCs/>
          <w:color w:val="auto"/>
          <w:spacing w:val="-6"/>
          <w:sz w:val="24"/>
          <w:szCs w:val="24"/>
          <w:highlight w:val="none"/>
        </w:rPr>
        <w:t>四、委托人财产清单</w:t>
      </w:r>
      <w:bookmarkEnd w:id="396"/>
      <w:bookmarkEnd w:id="397"/>
      <w:bookmarkEnd w:id="398"/>
    </w:p>
    <w:p w14:paraId="616DC61A">
      <w:pPr>
        <w:spacing w:before="163" w:line="219" w:lineRule="auto"/>
        <w:ind w:left="491"/>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（一）委托人提供的设备、设施</w:t>
      </w:r>
    </w:p>
    <w:p w14:paraId="27F8414D">
      <w:pPr>
        <w:spacing w:before="154" w:line="219" w:lineRule="auto"/>
        <w:ind w:left="483"/>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不提供。</w:t>
      </w:r>
    </w:p>
    <w:p w14:paraId="75EC69BF">
      <w:pPr>
        <w:spacing w:before="157" w:line="219" w:lineRule="auto"/>
        <w:ind w:left="491"/>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（二）委托人提供的资料</w:t>
      </w:r>
    </w:p>
    <w:p w14:paraId="57FD2BD2">
      <w:pPr>
        <w:spacing w:before="155" w:line="299" w:lineRule="auto"/>
        <w:ind w:firstLine="497"/>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1. 施工场地及毗邻区域内的供水、排水、供电、供气、供热、通信、广播电视等</w:t>
      </w:r>
      <w:r>
        <w:rPr>
          <w:rFonts w:ascii="宋体" w:hAnsi="宋体" w:eastAsia="宋体" w:cs="宋体"/>
          <w:color w:val="auto"/>
          <w:spacing w:val="5"/>
          <w:sz w:val="24"/>
          <w:szCs w:val="24"/>
          <w:highlight w:val="none"/>
        </w:rPr>
        <w:t>地下管线资料、气象和水文观测资料，相邻建筑物和构筑物、地下工程的有</w:t>
      </w:r>
      <w:r>
        <w:rPr>
          <w:rFonts w:ascii="宋体" w:hAnsi="宋体" w:eastAsia="宋体" w:cs="宋体"/>
          <w:color w:val="auto"/>
          <w:spacing w:val="4"/>
          <w:sz w:val="24"/>
          <w:szCs w:val="24"/>
          <w:highlight w:val="none"/>
        </w:rPr>
        <w:t>关资料，</w:t>
      </w:r>
      <w:r>
        <w:rPr>
          <w:rFonts w:ascii="宋体" w:hAnsi="宋体" w:eastAsia="宋体" w:cs="宋体"/>
          <w:color w:val="auto"/>
          <w:spacing w:val="-1"/>
          <w:sz w:val="24"/>
          <w:szCs w:val="24"/>
          <w:highlight w:val="none"/>
        </w:rPr>
        <w:t>以及其他与公路工程有关的原始资料</w:t>
      </w:r>
    </w:p>
    <w:p w14:paraId="56625574">
      <w:pPr>
        <w:spacing w:before="155" w:line="219" w:lineRule="auto"/>
        <w:ind w:left="482"/>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2. 定位放线的基准点、基准线和基准标高</w:t>
      </w:r>
    </w:p>
    <w:p w14:paraId="1BE38ED6">
      <w:pPr>
        <w:spacing w:before="153" w:line="219" w:lineRule="auto"/>
        <w:ind w:left="484"/>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3. 委托人取得的有关审批、核准和备案材料</w:t>
      </w:r>
    </w:p>
    <w:p w14:paraId="6C8B6753">
      <w:pPr>
        <w:spacing w:before="158" w:line="219" w:lineRule="auto"/>
        <w:ind w:left="479"/>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4. 勘察文件、设计文件等资料</w:t>
      </w:r>
    </w:p>
    <w:p w14:paraId="425AF2A8">
      <w:pPr>
        <w:spacing w:before="155" w:line="219" w:lineRule="auto"/>
        <w:ind w:left="484"/>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5. 技术标准、规范</w:t>
      </w:r>
    </w:p>
    <w:p w14:paraId="615AD7AF">
      <w:pPr>
        <w:spacing w:before="154" w:line="219" w:lineRule="auto"/>
        <w:ind w:left="481"/>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6. 工程承包合同及其他相关合同</w:t>
      </w:r>
    </w:p>
    <w:p w14:paraId="1064D375">
      <w:pPr>
        <w:spacing w:before="157" w:line="220" w:lineRule="auto"/>
        <w:ind w:left="485"/>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7.</w:t>
      </w:r>
      <w:r>
        <w:rPr>
          <w:rFonts w:ascii="宋体" w:hAnsi="宋体" w:eastAsia="宋体" w:cs="宋体"/>
          <w:color w:val="auto"/>
          <w:spacing w:val="13"/>
          <w:sz w:val="24"/>
          <w:szCs w:val="24"/>
          <w:highlight w:val="none"/>
        </w:rPr>
        <w:t xml:space="preserve"> </w:t>
      </w:r>
      <w:r>
        <w:rPr>
          <w:rFonts w:ascii="宋体" w:hAnsi="宋体" w:eastAsia="宋体" w:cs="宋体"/>
          <w:color w:val="auto"/>
          <w:spacing w:val="-5"/>
          <w:sz w:val="24"/>
          <w:szCs w:val="24"/>
          <w:highlight w:val="none"/>
        </w:rPr>
        <w:t>其他资料</w:t>
      </w:r>
      <w:r>
        <w:rPr>
          <w:rFonts w:hint="eastAsia" w:ascii="宋体" w:hAnsi="宋体" w:eastAsia="宋体" w:cs="宋体"/>
          <w:color w:val="auto"/>
          <w:spacing w:val="-5"/>
          <w:sz w:val="24"/>
          <w:szCs w:val="24"/>
          <w:highlight w:val="none"/>
          <w:lang w:val="en-US" w:eastAsia="zh-CN"/>
        </w:rPr>
        <w:t>:</w:t>
      </w:r>
      <w:r>
        <w:rPr>
          <w:rFonts w:hint="eastAsia" w:ascii="宋体" w:hAnsi="宋体" w:eastAsia="宋体" w:cs="宋体"/>
          <w:color w:val="auto"/>
          <w:sz w:val="24"/>
          <w:szCs w:val="24"/>
          <w:highlight w:val="none"/>
          <w:u w:val="single"/>
          <w:lang w:val="en-US" w:eastAsia="zh-CN"/>
        </w:rPr>
        <w:t>/</w:t>
      </w:r>
    </w:p>
    <w:p w14:paraId="76027344">
      <w:pPr>
        <w:spacing w:before="153" w:line="378" w:lineRule="exact"/>
        <w:ind w:left="495"/>
        <w:rPr>
          <w:rFonts w:ascii="宋体" w:hAnsi="宋体" w:eastAsia="宋体" w:cs="宋体"/>
          <w:color w:val="auto"/>
          <w:sz w:val="24"/>
          <w:szCs w:val="24"/>
          <w:highlight w:val="none"/>
        </w:rPr>
      </w:pPr>
    </w:p>
    <w:p w14:paraId="1A7E2A26">
      <w:pPr>
        <w:spacing w:before="61" w:line="219" w:lineRule="auto"/>
        <w:ind w:left="491"/>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（三）委托人财产使用要求及退还要求</w:t>
      </w:r>
    </w:p>
    <w:p w14:paraId="3C7BE0AB">
      <w:pPr>
        <w:spacing w:line="219" w:lineRule="auto"/>
        <w:ind w:firstLine="468" w:firstLineChars="200"/>
        <w:rPr>
          <w:rFonts w:ascii="宋体" w:hAnsi="宋体" w:eastAsia="宋体" w:cs="宋体"/>
          <w:color w:val="auto"/>
          <w:spacing w:val="-3"/>
          <w:sz w:val="24"/>
          <w:szCs w:val="24"/>
          <w:highlight w:val="none"/>
        </w:rPr>
      </w:pPr>
    </w:p>
    <w:p w14:paraId="7FD04D03">
      <w:pPr>
        <w:spacing w:line="219" w:lineRule="auto"/>
        <w:ind w:firstLine="468" w:firstLineChars="200"/>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1. 委托人财产使用要求</w:t>
      </w:r>
      <w:r>
        <w:rPr>
          <w:rFonts w:hint="eastAsia" w:ascii="宋体" w:hAnsi="宋体" w:eastAsia="宋体" w:cs="宋体"/>
          <w:color w:val="auto"/>
          <w:spacing w:val="-2"/>
          <w:sz w:val="24"/>
          <w:szCs w:val="24"/>
          <w:highlight w:val="none"/>
          <w:lang w:val="en-US" w:eastAsia="zh-CN"/>
        </w:rPr>
        <w:t>:/</w:t>
      </w:r>
    </w:p>
    <w:p w14:paraId="642CB0B8">
      <w:pPr>
        <w:spacing w:before="154" w:line="219" w:lineRule="auto"/>
        <w:ind w:left="483"/>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2. 委托人财产退还要求</w:t>
      </w:r>
      <w:r>
        <w:rPr>
          <w:rFonts w:hint="eastAsia" w:ascii="宋体" w:hAnsi="宋体" w:eastAsia="宋体" w:cs="宋体"/>
          <w:color w:val="auto"/>
          <w:spacing w:val="-2"/>
          <w:sz w:val="24"/>
          <w:szCs w:val="24"/>
          <w:highlight w:val="none"/>
          <w:lang w:val="en-US" w:eastAsia="zh-CN"/>
        </w:rPr>
        <w:t>:/</w:t>
      </w:r>
    </w:p>
    <w:p w14:paraId="28B4236F">
      <w:pPr>
        <w:spacing w:before="91" w:line="219" w:lineRule="auto"/>
        <w:ind w:left="4"/>
        <w:outlineLvl w:val="1"/>
        <w:rPr>
          <w:rFonts w:ascii="宋体" w:hAnsi="宋体" w:eastAsia="宋体" w:cs="宋体"/>
          <w:color w:val="auto"/>
          <w:sz w:val="24"/>
          <w:szCs w:val="24"/>
          <w:highlight w:val="none"/>
        </w:rPr>
      </w:pPr>
      <w:bookmarkStart w:id="399" w:name="_Toc25631"/>
      <w:bookmarkStart w:id="400" w:name="_Toc29738"/>
      <w:bookmarkStart w:id="401" w:name="_Toc887"/>
      <w:r>
        <w:rPr>
          <w:rFonts w:ascii="宋体" w:hAnsi="宋体" w:eastAsia="宋体" w:cs="宋体"/>
          <w:b/>
          <w:bCs/>
          <w:color w:val="auto"/>
          <w:spacing w:val="-3"/>
          <w:sz w:val="24"/>
          <w:szCs w:val="24"/>
          <w:highlight w:val="none"/>
        </w:rPr>
        <w:t>五、委托人提供的便利条件</w:t>
      </w:r>
      <w:bookmarkEnd w:id="399"/>
      <w:bookmarkEnd w:id="400"/>
      <w:bookmarkEnd w:id="401"/>
    </w:p>
    <w:p w14:paraId="46B4260C">
      <w:pPr>
        <w:spacing w:before="164" w:line="219" w:lineRule="auto"/>
        <w:ind w:left="492"/>
        <w:rPr>
          <w:rFonts w:hint="default" w:ascii="宋体" w:hAnsi="宋体" w:eastAsia="宋体" w:cs="宋体"/>
          <w:color w:val="auto"/>
          <w:sz w:val="24"/>
          <w:szCs w:val="24"/>
          <w:highlight w:val="none"/>
          <w:lang w:val="en-US"/>
        </w:rPr>
      </w:pPr>
      <w:r>
        <w:rPr>
          <w:rFonts w:ascii="宋体" w:hAnsi="宋体" w:eastAsia="宋体" w:cs="宋体"/>
          <w:color w:val="auto"/>
          <w:spacing w:val="-2"/>
          <w:sz w:val="24"/>
          <w:szCs w:val="24"/>
          <w:highlight w:val="none"/>
        </w:rPr>
        <w:t>（一）委托人提供的生活条件</w:t>
      </w:r>
      <w:r>
        <w:rPr>
          <w:rFonts w:hint="eastAsia" w:ascii="宋体" w:hAnsi="宋体" w:eastAsia="宋体" w:cs="宋体"/>
          <w:color w:val="auto"/>
          <w:spacing w:val="-2"/>
          <w:sz w:val="24"/>
          <w:szCs w:val="24"/>
          <w:highlight w:val="none"/>
          <w:lang w:val="en-US" w:eastAsia="zh-CN"/>
        </w:rPr>
        <w:t>:无</w:t>
      </w:r>
    </w:p>
    <w:p w14:paraId="1725CDE5">
      <w:pPr>
        <w:spacing w:before="155" w:line="219" w:lineRule="auto"/>
        <w:ind w:left="492"/>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（二）委托人提供的交通条件</w:t>
      </w:r>
      <w:r>
        <w:rPr>
          <w:rFonts w:hint="eastAsia" w:ascii="宋体" w:hAnsi="宋体" w:eastAsia="宋体" w:cs="宋体"/>
          <w:color w:val="auto"/>
          <w:spacing w:val="-2"/>
          <w:sz w:val="24"/>
          <w:szCs w:val="24"/>
          <w:highlight w:val="none"/>
          <w:lang w:val="en-US" w:eastAsia="zh-CN"/>
        </w:rPr>
        <w:t>:/</w:t>
      </w:r>
    </w:p>
    <w:p w14:paraId="69041AAD">
      <w:pPr>
        <w:spacing w:before="157" w:line="219" w:lineRule="auto"/>
        <w:ind w:left="492"/>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（三）委托人提供的网络、通讯条件</w:t>
      </w:r>
      <w:r>
        <w:rPr>
          <w:rFonts w:hint="eastAsia" w:ascii="宋体" w:hAnsi="宋体" w:eastAsia="宋体" w:cs="宋体"/>
          <w:color w:val="auto"/>
          <w:spacing w:val="-2"/>
          <w:sz w:val="24"/>
          <w:szCs w:val="24"/>
          <w:highlight w:val="none"/>
          <w:lang w:val="en-US" w:eastAsia="zh-CN"/>
        </w:rPr>
        <w:t>:/</w:t>
      </w:r>
    </w:p>
    <w:p w14:paraId="38FD49D7">
      <w:pPr>
        <w:spacing w:before="154" w:line="219" w:lineRule="auto"/>
        <w:ind w:left="492"/>
        <w:rPr>
          <w:rFonts w:hint="default" w:ascii="宋体" w:hAnsi="宋体" w:eastAsia="宋体" w:cs="宋体"/>
          <w:color w:val="auto"/>
          <w:sz w:val="24"/>
          <w:szCs w:val="24"/>
          <w:highlight w:val="none"/>
          <w:lang w:val="en-US" w:eastAsia="zh-CN"/>
        </w:rPr>
      </w:pPr>
      <w:r>
        <w:rPr>
          <w:rFonts w:ascii="宋体" w:hAnsi="宋体" w:eastAsia="宋体" w:cs="宋体"/>
          <w:color w:val="auto"/>
          <w:spacing w:val="-2"/>
          <w:sz w:val="24"/>
          <w:szCs w:val="24"/>
          <w:highlight w:val="none"/>
        </w:rPr>
        <w:t>（四）委托人提供的协助人员</w:t>
      </w:r>
      <w:r>
        <w:rPr>
          <w:rFonts w:hint="eastAsia" w:ascii="宋体" w:hAnsi="宋体" w:eastAsia="宋体" w:cs="宋体"/>
          <w:color w:val="auto"/>
          <w:spacing w:val="-2"/>
          <w:sz w:val="24"/>
          <w:szCs w:val="24"/>
          <w:highlight w:val="none"/>
          <w:lang w:val="en-US" w:eastAsia="zh-CN"/>
        </w:rPr>
        <w:t>:/</w:t>
      </w:r>
    </w:p>
    <w:p w14:paraId="4368C681">
      <w:pPr>
        <w:spacing w:before="95" w:line="219" w:lineRule="auto"/>
        <w:ind w:left="2"/>
        <w:outlineLvl w:val="1"/>
        <w:rPr>
          <w:rFonts w:ascii="宋体" w:hAnsi="宋体" w:eastAsia="宋体" w:cs="宋体"/>
          <w:color w:val="auto"/>
          <w:sz w:val="24"/>
          <w:szCs w:val="24"/>
          <w:highlight w:val="none"/>
        </w:rPr>
      </w:pPr>
      <w:bookmarkStart w:id="402" w:name="_Toc13303"/>
      <w:bookmarkStart w:id="403" w:name="_Toc18535"/>
      <w:bookmarkStart w:id="404" w:name="_Toc4643"/>
      <w:r>
        <w:rPr>
          <w:rFonts w:ascii="宋体" w:hAnsi="宋体" w:eastAsia="宋体" w:cs="宋体"/>
          <w:b/>
          <w:bCs/>
          <w:color w:val="auto"/>
          <w:spacing w:val="-3"/>
          <w:sz w:val="24"/>
          <w:szCs w:val="24"/>
          <w:highlight w:val="none"/>
        </w:rPr>
        <w:t>六、监理人需要自备的工作条件</w:t>
      </w:r>
      <w:bookmarkEnd w:id="402"/>
      <w:bookmarkEnd w:id="403"/>
      <w:bookmarkEnd w:id="404"/>
    </w:p>
    <w:p w14:paraId="45CC1857">
      <w:pPr>
        <w:spacing w:before="164" w:line="219" w:lineRule="auto"/>
        <w:ind w:left="492"/>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（一）监理人自备的工作手册：如本项目必备的规范标准、图集等</w:t>
      </w:r>
    </w:p>
    <w:p w14:paraId="63D864A1">
      <w:pPr>
        <w:spacing w:before="154" w:line="279" w:lineRule="auto"/>
        <w:ind w:left="2" w:firstLine="489"/>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（二）监理人自备的办公设备：如电脑、软件、投影、打印机、复</w:t>
      </w:r>
      <w:r>
        <w:rPr>
          <w:rFonts w:ascii="宋体" w:hAnsi="宋体" w:eastAsia="宋体" w:cs="宋体"/>
          <w:color w:val="auto"/>
          <w:spacing w:val="4"/>
          <w:sz w:val="24"/>
          <w:szCs w:val="24"/>
          <w:highlight w:val="none"/>
        </w:rPr>
        <w:t>印机、照相机</w:t>
      </w:r>
      <w:r>
        <w:rPr>
          <w:rFonts w:ascii="宋体" w:hAnsi="宋体" w:eastAsia="宋体" w:cs="宋体"/>
          <w:color w:val="auto"/>
          <w:sz w:val="24"/>
          <w:szCs w:val="24"/>
          <w:highlight w:val="none"/>
        </w:rPr>
        <w:t>等</w:t>
      </w:r>
    </w:p>
    <w:p w14:paraId="00F9B887">
      <w:pPr>
        <w:spacing w:before="156" w:line="219" w:lineRule="auto"/>
        <w:ind w:left="492"/>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（三）监理人自备的交通工具：如出行车辆等</w:t>
      </w:r>
    </w:p>
    <w:p w14:paraId="0E7EE4FA">
      <w:pPr>
        <w:spacing w:before="155" w:line="219" w:lineRule="auto"/>
        <w:ind w:left="492"/>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（四）监理人自备的现场办公设施：如办公桌椅、文件柜等</w:t>
      </w:r>
    </w:p>
    <w:p w14:paraId="167F1C76">
      <w:pPr>
        <w:spacing w:before="154" w:line="219" w:lineRule="auto"/>
        <w:ind w:left="492"/>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（五）监理人自备的安全设施：如安全帽、安全鞋、手电筒等</w:t>
      </w:r>
    </w:p>
    <w:p w14:paraId="29F7C15D">
      <w:pPr>
        <w:spacing w:before="157" w:line="219" w:lineRule="auto"/>
        <w:ind w:left="492"/>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（六）监理人自备的试验检测仪器、设备、工具</w:t>
      </w:r>
    </w:p>
    <w:p w14:paraId="7D333C1D">
      <w:pPr>
        <w:spacing w:before="155" w:line="219" w:lineRule="auto"/>
        <w:ind w:left="492"/>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（七）监理人自备的试验用房、样品用房</w:t>
      </w:r>
    </w:p>
    <w:p w14:paraId="58B5233C">
      <w:pPr>
        <w:spacing w:before="95" w:line="220" w:lineRule="auto"/>
        <w:outlineLvl w:val="1"/>
        <w:rPr>
          <w:rFonts w:ascii="宋体" w:hAnsi="宋体" w:eastAsia="宋体" w:cs="宋体"/>
          <w:color w:val="auto"/>
          <w:sz w:val="24"/>
          <w:szCs w:val="24"/>
          <w:highlight w:val="none"/>
        </w:rPr>
      </w:pPr>
      <w:bookmarkStart w:id="405" w:name="_Toc12595"/>
      <w:bookmarkStart w:id="406" w:name="_Toc23256"/>
      <w:bookmarkStart w:id="407" w:name="_Toc24817"/>
      <w:r>
        <w:rPr>
          <w:rFonts w:ascii="宋体" w:hAnsi="宋体" w:eastAsia="宋体" w:cs="宋体"/>
          <w:b/>
          <w:bCs/>
          <w:color w:val="auto"/>
          <w:spacing w:val="-3"/>
          <w:sz w:val="24"/>
          <w:szCs w:val="24"/>
          <w:highlight w:val="none"/>
        </w:rPr>
        <w:t>七、委托人的其他要求</w:t>
      </w:r>
      <w:bookmarkEnd w:id="405"/>
      <w:bookmarkEnd w:id="406"/>
      <w:bookmarkEnd w:id="407"/>
    </w:p>
    <w:p w14:paraId="68904EAB">
      <w:pPr>
        <w:spacing w:before="163" w:line="220" w:lineRule="auto"/>
        <w:ind w:left="480"/>
        <w:rPr>
          <w:rFonts w:hint="eastAsia" w:ascii="宋体" w:hAnsi="宋体" w:eastAsia="宋体" w:cs="宋体"/>
          <w:color w:val="auto"/>
          <w:sz w:val="24"/>
          <w:szCs w:val="24"/>
          <w:highlight w:val="none"/>
          <w:lang w:val="en-US" w:eastAsia="zh-CN"/>
        </w:rPr>
      </w:pPr>
      <w:r>
        <w:rPr>
          <w:rFonts w:ascii="宋体" w:hAnsi="宋体" w:eastAsia="宋体" w:cs="宋体"/>
          <w:color w:val="auto"/>
          <w:spacing w:val="-2"/>
          <w:sz w:val="24"/>
          <w:szCs w:val="24"/>
          <w:highlight w:val="none"/>
        </w:rPr>
        <w:t>委托人的其他要求</w:t>
      </w:r>
      <w:r>
        <w:rPr>
          <w:rFonts w:hint="eastAsia" w:ascii="宋体" w:hAnsi="宋体" w:eastAsia="宋体" w:cs="宋体"/>
          <w:color w:val="auto"/>
          <w:spacing w:val="-2"/>
          <w:sz w:val="24"/>
          <w:szCs w:val="24"/>
          <w:highlight w:val="none"/>
          <w:lang w:val="en-US" w:eastAsia="zh-CN"/>
        </w:rPr>
        <w:t>:</w:t>
      </w:r>
      <w:r>
        <w:rPr>
          <w:rFonts w:hint="eastAsia" w:ascii="宋体" w:hAnsi="宋体" w:eastAsia="宋体" w:cs="宋体"/>
          <w:color w:val="auto"/>
          <w:spacing w:val="-5"/>
          <w:sz w:val="24"/>
          <w:szCs w:val="24"/>
          <w:highlight w:val="none"/>
          <w:lang w:val="en-US" w:eastAsia="zh-CN"/>
        </w:rPr>
        <w:t>按</w:t>
      </w:r>
      <w:r>
        <w:rPr>
          <w:rFonts w:ascii="宋体" w:hAnsi="宋体" w:eastAsia="宋体" w:cs="宋体"/>
          <w:color w:val="auto"/>
          <w:sz w:val="24"/>
          <w:szCs w:val="24"/>
          <w:highlight w:val="none"/>
        </w:rPr>
        <w:t>国家</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省、市</w:t>
      </w:r>
      <w:r>
        <w:rPr>
          <w:rFonts w:ascii="宋体" w:hAnsi="宋体" w:eastAsia="宋体" w:cs="宋体"/>
          <w:color w:val="auto"/>
          <w:sz w:val="24"/>
          <w:szCs w:val="24"/>
          <w:highlight w:val="none"/>
        </w:rPr>
        <w:t>现行的公路建设</w:t>
      </w:r>
      <w:r>
        <w:rPr>
          <w:rFonts w:ascii="宋体" w:hAnsi="宋体" w:eastAsia="宋体" w:cs="宋体"/>
          <w:color w:val="auto"/>
          <w:spacing w:val="-1"/>
          <w:sz w:val="24"/>
          <w:szCs w:val="24"/>
          <w:highlight w:val="none"/>
        </w:rPr>
        <w:t>标准、规范、规程及相关文件</w:t>
      </w:r>
      <w:r>
        <w:rPr>
          <w:rFonts w:hint="eastAsia" w:ascii="宋体" w:hAnsi="宋体" w:eastAsia="宋体" w:cs="宋体"/>
          <w:color w:val="auto"/>
          <w:spacing w:val="-1"/>
          <w:sz w:val="24"/>
          <w:szCs w:val="24"/>
          <w:highlight w:val="none"/>
          <w:lang w:val="en-US" w:eastAsia="zh-CN"/>
        </w:rPr>
        <w:t>执行</w:t>
      </w:r>
      <w:r>
        <w:rPr>
          <w:rFonts w:ascii="宋体" w:hAnsi="宋体" w:eastAsia="宋体" w:cs="宋体"/>
          <w:color w:val="auto"/>
          <w:spacing w:val="-1"/>
          <w:sz w:val="24"/>
          <w:szCs w:val="24"/>
          <w:highlight w:val="none"/>
        </w:rPr>
        <w:t>。</w:t>
      </w:r>
    </w:p>
    <w:p w14:paraId="6F644AB3">
      <w:pPr>
        <w:spacing w:line="243" w:lineRule="auto"/>
        <w:rPr>
          <w:rFonts w:ascii="Arial"/>
          <w:color w:val="auto"/>
          <w:sz w:val="21"/>
          <w:highlight w:val="none"/>
        </w:rPr>
      </w:pPr>
    </w:p>
    <w:p w14:paraId="0761C77C">
      <w:pPr>
        <w:spacing w:line="56" w:lineRule="exact"/>
        <w:ind w:firstLine="496"/>
        <w:rPr>
          <w:color w:val="auto"/>
          <w:highlight w:val="none"/>
        </w:rPr>
      </w:pPr>
    </w:p>
    <w:p w14:paraId="0720E5B3">
      <w:pPr>
        <w:spacing w:line="56" w:lineRule="exact"/>
        <w:rPr>
          <w:color w:val="auto"/>
          <w:highlight w:val="none"/>
        </w:rPr>
        <w:sectPr>
          <w:footerReference r:id="rId79" w:type="default"/>
          <w:pgSz w:w="11906" w:h="16839"/>
          <w:pgMar w:top="1431" w:right="1418" w:bottom="1297" w:left="1424" w:header="0" w:footer="1067" w:gutter="0"/>
          <w:pgNumType w:fmt="decimal"/>
          <w:cols w:space="720" w:num="1"/>
        </w:sectPr>
      </w:pPr>
    </w:p>
    <w:p w14:paraId="158310F5">
      <w:pPr>
        <w:spacing w:line="243" w:lineRule="auto"/>
        <w:rPr>
          <w:rFonts w:ascii="Arial"/>
          <w:color w:val="auto"/>
          <w:sz w:val="21"/>
          <w:highlight w:val="none"/>
        </w:rPr>
      </w:pPr>
    </w:p>
    <w:p w14:paraId="33AB70F8">
      <w:pPr>
        <w:spacing w:line="243" w:lineRule="auto"/>
        <w:rPr>
          <w:rFonts w:ascii="Arial"/>
          <w:color w:val="auto"/>
          <w:sz w:val="21"/>
          <w:highlight w:val="none"/>
        </w:rPr>
      </w:pPr>
    </w:p>
    <w:p w14:paraId="5500CCB7">
      <w:pPr>
        <w:spacing w:line="243" w:lineRule="auto"/>
        <w:rPr>
          <w:rFonts w:ascii="Arial"/>
          <w:color w:val="auto"/>
          <w:sz w:val="21"/>
          <w:highlight w:val="none"/>
        </w:rPr>
      </w:pPr>
    </w:p>
    <w:p w14:paraId="4BD5BE88">
      <w:pPr>
        <w:spacing w:line="243" w:lineRule="auto"/>
        <w:rPr>
          <w:rFonts w:ascii="Arial"/>
          <w:color w:val="auto"/>
          <w:sz w:val="21"/>
          <w:highlight w:val="none"/>
        </w:rPr>
      </w:pPr>
    </w:p>
    <w:p w14:paraId="54474325">
      <w:pPr>
        <w:spacing w:line="243" w:lineRule="auto"/>
        <w:rPr>
          <w:rFonts w:ascii="Arial"/>
          <w:color w:val="auto"/>
          <w:sz w:val="21"/>
          <w:highlight w:val="none"/>
        </w:rPr>
      </w:pPr>
    </w:p>
    <w:p w14:paraId="1A78CDC6">
      <w:pPr>
        <w:spacing w:line="243" w:lineRule="auto"/>
        <w:rPr>
          <w:rFonts w:ascii="Arial"/>
          <w:color w:val="auto"/>
          <w:sz w:val="21"/>
          <w:highlight w:val="none"/>
        </w:rPr>
      </w:pPr>
    </w:p>
    <w:p w14:paraId="1FD9D7AD">
      <w:pPr>
        <w:spacing w:line="243" w:lineRule="auto"/>
        <w:rPr>
          <w:rFonts w:ascii="Arial"/>
          <w:color w:val="auto"/>
          <w:sz w:val="21"/>
          <w:highlight w:val="none"/>
        </w:rPr>
      </w:pPr>
    </w:p>
    <w:p w14:paraId="6D78775C">
      <w:pPr>
        <w:spacing w:line="243" w:lineRule="auto"/>
        <w:rPr>
          <w:rFonts w:ascii="Arial"/>
          <w:color w:val="auto"/>
          <w:sz w:val="21"/>
          <w:highlight w:val="none"/>
        </w:rPr>
      </w:pPr>
    </w:p>
    <w:p w14:paraId="34510040">
      <w:pPr>
        <w:spacing w:line="244" w:lineRule="auto"/>
        <w:rPr>
          <w:rFonts w:ascii="Arial"/>
          <w:color w:val="auto"/>
          <w:sz w:val="21"/>
          <w:highlight w:val="none"/>
        </w:rPr>
      </w:pPr>
    </w:p>
    <w:p w14:paraId="7230F849">
      <w:pPr>
        <w:spacing w:line="244" w:lineRule="auto"/>
        <w:rPr>
          <w:rFonts w:ascii="Arial"/>
          <w:color w:val="auto"/>
          <w:sz w:val="21"/>
          <w:highlight w:val="none"/>
        </w:rPr>
      </w:pPr>
    </w:p>
    <w:p w14:paraId="7E825A33">
      <w:pPr>
        <w:spacing w:line="244" w:lineRule="auto"/>
        <w:rPr>
          <w:rFonts w:ascii="Arial"/>
          <w:color w:val="auto"/>
          <w:sz w:val="21"/>
          <w:highlight w:val="none"/>
        </w:rPr>
      </w:pPr>
    </w:p>
    <w:p w14:paraId="69D34383">
      <w:pPr>
        <w:spacing w:line="244" w:lineRule="auto"/>
        <w:rPr>
          <w:rFonts w:ascii="Arial"/>
          <w:color w:val="auto"/>
          <w:sz w:val="21"/>
          <w:highlight w:val="none"/>
        </w:rPr>
      </w:pPr>
    </w:p>
    <w:p w14:paraId="4742CB84">
      <w:pPr>
        <w:spacing w:line="244" w:lineRule="auto"/>
        <w:rPr>
          <w:rFonts w:ascii="Arial"/>
          <w:color w:val="auto"/>
          <w:sz w:val="21"/>
          <w:highlight w:val="none"/>
        </w:rPr>
      </w:pPr>
    </w:p>
    <w:p w14:paraId="207ACE7A">
      <w:pPr>
        <w:spacing w:line="244" w:lineRule="auto"/>
        <w:rPr>
          <w:rFonts w:ascii="Arial"/>
          <w:color w:val="auto"/>
          <w:sz w:val="21"/>
          <w:highlight w:val="none"/>
        </w:rPr>
      </w:pPr>
    </w:p>
    <w:p w14:paraId="682BAF62">
      <w:pPr>
        <w:spacing w:line="244" w:lineRule="auto"/>
        <w:rPr>
          <w:rFonts w:ascii="Arial"/>
          <w:color w:val="auto"/>
          <w:sz w:val="21"/>
          <w:highlight w:val="none"/>
        </w:rPr>
      </w:pPr>
    </w:p>
    <w:p w14:paraId="79838B68">
      <w:pPr>
        <w:spacing w:line="244" w:lineRule="auto"/>
        <w:rPr>
          <w:rFonts w:ascii="Arial"/>
          <w:color w:val="auto"/>
          <w:sz w:val="21"/>
          <w:highlight w:val="none"/>
        </w:rPr>
      </w:pPr>
    </w:p>
    <w:p w14:paraId="218A7FFE">
      <w:pPr>
        <w:spacing w:line="244" w:lineRule="auto"/>
        <w:rPr>
          <w:rFonts w:ascii="Arial"/>
          <w:color w:val="auto"/>
          <w:sz w:val="21"/>
          <w:highlight w:val="none"/>
        </w:rPr>
      </w:pPr>
    </w:p>
    <w:p w14:paraId="09582810">
      <w:pPr>
        <w:spacing w:line="244" w:lineRule="auto"/>
        <w:rPr>
          <w:rFonts w:ascii="Arial"/>
          <w:color w:val="auto"/>
          <w:sz w:val="21"/>
          <w:highlight w:val="none"/>
        </w:rPr>
      </w:pPr>
    </w:p>
    <w:p w14:paraId="3FFD06BE">
      <w:pPr>
        <w:spacing w:before="169" w:line="219" w:lineRule="auto"/>
        <w:ind w:left="1839"/>
        <w:outlineLvl w:val="0"/>
        <w:rPr>
          <w:rFonts w:ascii="宋体" w:hAnsi="宋体" w:eastAsia="宋体" w:cs="宋体"/>
          <w:color w:val="auto"/>
          <w:sz w:val="52"/>
          <w:szCs w:val="52"/>
          <w:highlight w:val="none"/>
        </w:rPr>
      </w:pPr>
      <w:bookmarkStart w:id="408" w:name="_Toc17641"/>
      <w:r>
        <w:rPr>
          <w:rFonts w:ascii="宋体" w:hAnsi="宋体" w:eastAsia="宋体" w:cs="宋体"/>
          <w:b/>
          <w:bCs/>
          <w:color w:val="auto"/>
          <w:spacing w:val="-16"/>
          <w:sz w:val="52"/>
          <w:szCs w:val="52"/>
          <w:highlight w:val="none"/>
        </w:rPr>
        <w:t>第六章</w:t>
      </w:r>
      <w:r>
        <w:rPr>
          <w:rFonts w:ascii="宋体" w:hAnsi="宋体" w:eastAsia="宋体" w:cs="宋体"/>
          <w:color w:val="auto"/>
          <w:spacing w:val="39"/>
          <w:sz w:val="52"/>
          <w:szCs w:val="52"/>
          <w:highlight w:val="none"/>
        </w:rPr>
        <w:t xml:space="preserve">  </w:t>
      </w:r>
      <w:r>
        <w:rPr>
          <w:rFonts w:ascii="宋体" w:hAnsi="宋体" w:eastAsia="宋体" w:cs="宋体"/>
          <w:b/>
          <w:bCs/>
          <w:color w:val="auto"/>
          <w:spacing w:val="-16"/>
          <w:sz w:val="52"/>
          <w:szCs w:val="52"/>
          <w:highlight w:val="none"/>
        </w:rPr>
        <w:t>图纸和资料</w:t>
      </w:r>
      <w:bookmarkEnd w:id="408"/>
    </w:p>
    <w:p w14:paraId="1A77A73D">
      <w:pPr>
        <w:spacing w:line="306" w:lineRule="auto"/>
        <w:rPr>
          <w:rFonts w:ascii="Arial"/>
          <w:color w:val="auto"/>
          <w:sz w:val="21"/>
          <w:highlight w:val="none"/>
        </w:rPr>
      </w:pPr>
    </w:p>
    <w:p w14:paraId="37C1887E">
      <w:pPr>
        <w:spacing w:line="306" w:lineRule="auto"/>
        <w:rPr>
          <w:rFonts w:ascii="Arial"/>
          <w:color w:val="auto"/>
          <w:sz w:val="21"/>
          <w:highlight w:val="none"/>
        </w:rPr>
      </w:pPr>
    </w:p>
    <w:p w14:paraId="6A79C18C">
      <w:pPr>
        <w:spacing w:before="134" w:line="225" w:lineRule="auto"/>
        <w:ind w:left="3356"/>
        <w:rPr>
          <w:rFonts w:ascii="宋体" w:hAnsi="宋体" w:eastAsia="宋体" w:cs="宋体"/>
          <w:color w:val="auto"/>
          <w:sz w:val="41"/>
          <w:szCs w:val="41"/>
          <w:highlight w:val="none"/>
        </w:rPr>
      </w:pPr>
      <w:r>
        <w:rPr>
          <w:rFonts w:ascii="宋体" w:hAnsi="宋体" w:eastAsia="宋体" w:cs="宋体"/>
          <w:b/>
          <w:bCs/>
          <w:color w:val="auto"/>
          <w:spacing w:val="-5"/>
          <w:sz w:val="41"/>
          <w:szCs w:val="41"/>
          <w:highlight w:val="none"/>
        </w:rPr>
        <w:t>（另册）</w:t>
      </w:r>
    </w:p>
    <w:p w14:paraId="60BBFD7B">
      <w:pPr>
        <w:spacing w:line="225" w:lineRule="auto"/>
        <w:rPr>
          <w:rFonts w:ascii="宋体" w:hAnsi="宋体" w:eastAsia="宋体" w:cs="宋体"/>
          <w:color w:val="auto"/>
          <w:sz w:val="41"/>
          <w:szCs w:val="41"/>
          <w:highlight w:val="none"/>
        </w:rPr>
        <w:sectPr>
          <w:footerReference r:id="rId80" w:type="default"/>
          <w:pgSz w:w="11906" w:h="16839"/>
          <w:pgMar w:top="1431" w:right="1785" w:bottom="1297" w:left="1785" w:header="0" w:footer="1065" w:gutter="0"/>
          <w:pgNumType w:fmt="decimal"/>
          <w:cols w:space="720" w:num="1"/>
        </w:sectPr>
      </w:pPr>
    </w:p>
    <w:p w14:paraId="1FDECDD9">
      <w:pPr>
        <w:spacing w:line="243" w:lineRule="auto"/>
        <w:rPr>
          <w:rFonts w:ascii="Arial"/>
          <w:color w:val="auto"/>
          <w:sz w:val="21"/>
          <w:highlight w:val="none"/>
        </w:rPr>
      </w:pPr>
    </w:p>
    <w:p w14:paraId="7199A0CD">
      <w:pPr>
        <w:spacing w:line="243" w:lineRule="auto"/>
        <w:rPr>
          <w:rFonts w:ascii="Arial"/>
          <w:color w:val="auto"/>
          <w:sz w:val="21"/>
          <w:highlight w:val="none"/>
        </w:rPr>
      </w:pPr>
    </w:p>
    <w:p w14:paraId="39E9B75B">
      <w:pPr>
        <w:spacing w:line="243" w:lineRule="auto"/>
        <w:rPr>
          <w:rFonts w:ascii="Arial"/>
          <w:color w:val="auto"/>
          <w:sz w:val="21"/>
          <w:highlight w:val="none"/>
        </w:rPr>
      </w:pPr>
    </w:p>
    <w:p w14:paraId="299E7202">
      <w:pPr>
        <w:spacing w:line="244" w:lineRule="auto"/>
        <w:rPr>
          <w:rFonts w:ascii="Arial"/>
          <w:color w:val="auto"/>
          <w:sz w:val="21"/>
          <w:highlight w:val="none"/>
        </w:rPr>
      </w:pPr>
    </w:p>
    <w:p w14:paraId="1E2BA71D">
      <w:pPr>
        <w:spacing w:line="244" w:lineRule="auto"/>
        <w:rPr>
          <w:rFonts w:ascii="Arial"/>
          <w:color w:val="auto"/>
          <w:sz w:val="21"/>
          <w:highlight w:val="none"/>
        </w:rPr>
      </w:pPr>
    </w:p>
    <w:p w14:paraId="2C6F2BA6">
      <w:pPr>
        <w:spacing w:line="244" w:lineRule="auto"/>
        <w:rPr>
          <w:rFonts w:ascii="Arial"/>
          <w:color w:val="auto"/>
          <w:sz w:val="21"/>
          <w:highlight w:val="none"/>
        </w:rPr>
      </w:pPr>
    </w:p>
    <w:p w14:paraId="780D76E9">
      <w:pPr>
        <w:spacing w:line="244" w:lineRule="auto"/>
        <w:rPr>
          <w:rFonts w:ascii="Arial"/>
          <w:color w:val="auto"/>
          <w:sz w:val="21"/>
          <w:highlight w:val="none"/>
        </w:rPr>
      </w:pPr>
    </w:p>
    <w:p w14:paraId="002C9C3C">
      <w:pPr>
        <w:spacing w:line="244" w:lineRule="auto"/>
        <w:rPr>
          <w:rFonts w:ascii="Arial"/>
          <w:color w:val="auto"/>
          <w:sz w:val="21"/>
          <w:highlight w:val="none"/>
        </w:rPr>
      </w:pPr>
    </w:p>
    <w:p w14:paraId="02900021">
      <w:pPr>
        <w:spacing w:line="244" w:lineRule="auto"/>
        <w:rPr>
          <w:rFonts w:ascii="Arial"/>
          <w:color w:val="auto"/>
          <w:sz w:val="21"/>
          <w:highlight w:val="none"/>
        </w:rPr>
      </w:pPr>
    </w:p>
    <w:p w14:paraId="48C366DC">
      <w:pPr>
        <w:spacing w:line="244" w:lineRule="auto"/>
        <w:rPr>
          <w:rFonts w:ascii="Arial"/>
          <w:color w:val="auto"/>
          <w:sz w:val="21"/>
          <w:highlight w:val="none"/>
        </w:rPr>
      </w:pPr>
    </w:p>
    <w:p w14:paraId="0CF5E706">
      <w:pPr>
        <w:spacing w:line="244" w:lineRule="auto"/>
        <w:rPr>
          <w:rFonts w:ascii="Arial"/>
          <w:color w:val="auto"/>
          <w:sz w:val="21"/>
          <w:highlight w:val="none"/>
        </w:rPr>
      </w:pPr>
    </w:p>
    <w:p w14:paraId="77E17EA7">
      <w:pPr>
        <w:spacing w:line="244" w:lineRule="auto"/>
        <w:rPr>
          <w:rFonts w:ascii="Arial"/>
          <w:color w:val="auto"/>
          <w:sz w:val="21"/>
          <w:highlight w:val="none"/>
        </w:rPr>
      </w:pPr>
    </w:p>
    <w:p w14:paraId="17C56F22">
      <w:pPr>
        <w:pStyle w:val="5"/>
        <w:spacing w:before="231" w:line="224" w:lineRule="auto"/>
        <w:ind w:left="3114"/>
        <w:outlineLvl w:val="1"/>
        <w:rPr>
          <w:color w:val="auto"/>
          <w:sz w:val="71"/>
          <w:szCs w:val="71"/>
          <w:highlight w:val="none"/>
        </w:rPr>
      </w:pPr>
      <w:bookmarkStart w:id="409" w:name="bookmark20"/>
      <w:bookmarkEnd w:id="409"/>
      <w:bookmarkStart w:id="410" w:name="_Toc22281"/>
      <w:r>
        <w:rPr>
          <w:color w:val="auto"/>
          <w:sz w:val="71"/>
          <w:szCs w:val="71"/>
          <w:highlight w:val="none"/>
        </w:rPr>
        <w:t>第三卷</w:t>
      </w:r>
      <w:bookmarkEnd w:id="410"/>
    </w:p>
    <w:p w14:paraId="26155A8C">
      <w:pPr>
        <w:spacing w:line="224" w:lineRule="auto"/>
        <w:rPr>
          <w:color w:val="auto"/>
          <w:sz w:val="71"/>
          <w:szCs w:val="71"/>
          <w:highlight w:val="none"/>
        </w:rPr>
        <w:sectPr>
          <w:footerReference r:id="rId81" w:type="default"/>
          <w:pgSz w:w="11906" w:h="16839"/>
          <w:pgMar w:top="1431" w:right="1785" w:bottom="1297" w:left="1785" w:header="0" w:footer="1067" w:gutter="0"/>
          <w:pgNumType w:fmt="decimal"/>
          <w:cols w:space="720" w:num="1"/>
        </w:sectPr>
      </w:pPr>
    </w:p>
    <w:p w14:paraId="47771A2C">
      <w:pPr>
        <w:spacing w:line="243" w:lineRule="auto"/>
        <w:rPr>
          <w:rFonts w:ascii="Arial"/>
          <w:color w:val="auto"/>
          <w:sz w:val="21"/>
          <w:highlight w:val="none"/>
        </w:rPr>
      </w:pPr>
    </w:p>
    <w:p w14:paraId="5B5A831D">
      <w:pPr>
        <w:spacing w:line="243" w:lineRule="auto"/>
        <w:rPr>
          <w:rFonts w:ascii="Arial"/>
          <w:color w:val="auto"/>
          <w:sz w:val="21"/>
          <w:highlight w:val="none"/>
        </w:rPr>
      </w:pPr>
    </w:p>
    <w:p w14:paraId="2E7EAE0B">
      <w:pPr>
        <w:spacing w:line="243" w:lineRule="auto"/>
        <w:rPr>
          <w:rFonts w:ascii="Arial"/>
          <w:color w:val="auto"/>
          <w:sz w:val="21"/>
          <w:highlight w:val="none"/>
        </w:rPr>
      </w:pPr>
    </w:p>
    <w:p w14:paraId="67CECBB9">
      <w:pPr>
        <w:spacing w:line="243" w:lineRule="auto"/>
        <w:rPr>
          <w:rFonts w:ascii="Arial"/>
          <w:color w:val="auto"/>
          <w:sz w:val="21"/>
          <w:highlight w:val="none"/>
        </w:rPr>
      </w:pPr>
    </w:p>
    <w:p w14:paraId="56EB2642">
      <w:pPr>
        <w:spacing w:line="243" w:lineRule="auto"/>
        <w:rPr>
          <w:rFonts w:ascii="Arial"/>
          <w:color w:val="auto"/>
          <w:sz w:val="21"/>
          <w:highlight w:val="none"/>
        </w:rPr>
      </w:pPr>
    </w:p>
    <w:p w14:paraId="3F9114BE">
      <w:pPr>
        <w:spacing w:line="243" w:lineRule="auto"/>
        <w:rPr>
          <w:rFonts w:ascii="Arial"/>
          <w:color w:val="auto"/>
          <w:sz w:val="21"/>
          <w:highlight w:val="none"/>
        </w:rPr>
      </w:pPr>
    </w:p>
    <w:p w14:paraId="2E39EA42">
      <w:pPr>
        <w:spacing w:line="243" w:lineRule="auto"/>
        <w:rPr>
          <w:rFonts w:ascii="Arial"/>
          <w:color w:val="auto"/>
          <w:sz w:val="21"/>
          <w:highlight w:val="none"/>
        </w:rPr>
      </w:pPr>
    </w:p>
    <w:p w14:paraId="45B58D13">
      <w:pPr>
        <w:spacing w:line="243" w:lineRule="auto"/>
        <w:rPr>
          <w:rFonts w:ascii="Arial"/>
          <w:color w:val="auto"/>
          <w:sz w:val="21"/>
          <w:highlight w:val="none"/>
        </w:rPr>
      </w:pPr>
    </w:p>
    <w:p w14:paraId="5087DA5F">
      <w:pPr>
        <w:spacing w:line="244" w:lineRule="auto"/>
        <w:rPr>
          <w:rFonts w:ascii="Arial"/>
          <w:color w:val="auto"/>
          <w:sz w:val="21"/>
          <w:highlight w:val="none"/>
        </w:rPr>
      </w:pPr>
    </w:p>
    <w:p w14:paraId="11687619">
      <w:pPr>
        <w:spacing w:line="244" w:lineRule="auto"/>
        <w:rPr>
          <w:rFonts w:ascii="Arial"/>
          <w:color w:val="auto"/>
          <w:sz w:val="21"/>
          <w:highlight w:val="none"/>
        </w:rPr>
      </w:pPr>
    </w:p>
    <w:p w14:paraId="5DBB55DB">
      <w:pPr>
        <w:spacing w:line="244" w:lineRule="auto"/>
        <w:rPr>
          <w:rFonts w:ascii="Arial"/>
          <w:color w:val="auto"/>
          <w:sz w:val="21"/>
          <w:highlight w:val="none"/>
        </w:rPr>
      </w:pPr>
    </w:p>
    <w:p w14:paraId="69B7A2D0">
      <w:pPr>
        <w:spacing w:line="244" w:lineRule="auto"/>
        <w:rPr>
          <w:rFonts w:ascii="Arial"/>
          <w:color w:val="auto"/>
          <w:sz w:val="21"/>
          <w:highlight w:val="none"/>
        </w:rPr>
      </w:pPr>
    </w:p>
    <w:p w14:paraId="1FE52FFF">
      <w:pPr>
        <w:spacing w:line="244" w:lineRule="auto"/>
        <w:rPr>
          <w:rFonts w:ascii="Arial"/>
          <w:color w:val="auto"/>
          <w:sz w:val="21"/>
          <w:highlight w:val="none"/>
        </w:rPr>
      </w:pPr>
    </w:p>
    <w:p w14:paraId="011E50A9">
      <w:pPr>
        <w:spacing w:line="244" w:lineRule="auto"/>
        <w:rPr>
          <w:rFonts w:ascii="Arial"/>
          <w:color w:val="auto"/>
          <w:sz w:val="21"/>
          <w:highlight w:val="none"/>
        </w:rPr>
      </w:pPr>
    </w:p>
    <w:p w14:paraId="4DC17F18">
      <w:pPr>
        <w:spacing w:line="244" w:lineRule="auto"/>
        <w:rPr>
          <w:rFonts w:ascii="Arial"/>
          <w:color w:val="auto"/>
          <w:sz w:val="21"/>
          <w:highlight w:val="none"/>
        </w:rPr>
      </w:pPr>
    </w:p>
    <w:p w14:paraId="302A93B5">
      <w:pPr>
        <w:spacing w:line="244" w:lineRule="auto"/>
        <w:rPr>
          <w:rFonts w:ascii="Arial"/>
          <w:color w:val="auto"/>
          <w:sz w:val="21"/>
          <w:highlight w:val="none"/>
        </w:rPr>
      </w:pPr>
    </w:p>
    <w:p w14:paraId="7E0A313A">
      <w:pPr>
        <w:spacing w:line="244" w:lineRule="auto"/>
        <w:rPr>
          <w:rFonts w:ascii="Arial"/>
          <w:color w:val="auto"/>
          <w:sz w:val="21"/>
          <w:highlight w:val="none"/>
        </w:rPr>
      </w:pPr>
    </w:p>
    <w:p w14:paraId="2009EEF8">
      <w:pPr>
        <w:spacing w:line="244" w:lineRule="auto"/>
        <w:rPr>
          <w:rFonts w:ascii="Arial"/>
          <w:color w:val="auto"/>
          <w:sz w:val="21"/>
          <w:highlight w:val="none"/>
        </w:rPr>
      </w:pPr>
    </w:p>
    <w:p w14:paraId="6F6ABAE8">
      <w:pPr>
        <w:spacing w:line="244" w:lineRule="auto"/>
        <w:rPr>
          <w:rFonts w:ascii="Arial"/>
          <w:color w:val="auto"/>
          <w:sz w:val="21"/>
          <w:highlight w:val="none"/>
        </w:rPr>
      </w:pPr>
    </w:p>
    <w:p w14:paraId="38FE54C0">
      <w:pPr>
        <w:spacing w:line="244" w:lineRule="auto"/>
        <w:rPr>
          <w:rFonts w:ascii="Arial"/>
          <w:color w:val="auto"/>
          <w:sz w:val="21"/>
          <w:highlight w:val="none"/>
        </w:rPr>
      </w:pPr>
    </w:p>
    <w:p w14:paraId="25B0B79B">
      <w:pPr>
        <w:spacing w:before="169" w:line="236" w:lineRule="auto"/>
        <w:ind w:left="1804"/>
        <w:outlineLvl w:val="0"/>
        <w:rPr>
          <w:rFonts w:ascii="宋体" w:hAnsi="宋体" w:eastAsia="宋体" w:cs="宋体"/>
          <w:color w:val="auto"/>
          <w:sz w:val="28"/>
          <w:szCs w:val="28"/>
          <w:highlight w:val="none"/>
        </w:rPr>
      </w:pPr>
      <w:bookmarkStart w:id="411" w:name="bookmark20"/>
      <w:bookmarkEnd w:id="411"/>
      <w:bookmarkStart w:id="412" w:name="_Toc6397"/>
      <w:r>
        <w:rPr>
          <w:rFonts w:ascii="宋体" w:hAnsi="宋体" w:eastAsia="宋体" w:cs="宋体"/>
          <w:b/>
          <w:bCs/>
          <w:color w:val="auto"/>
          <w:spacing w:val="-5"/>
          <w:sz w:val="52"/>
          <w:szCs w:val="52"/>
          <w:highlight w:val="none"/>
        </w:rPr>
        <w:t>第七章</w:t>
      </w:r>
      <w:r>
        <w:rPr>
          <w:rFonts w:ascii="宋体" w:hAnsi="宋体" w:eastAsia="宋体" w:cs="宋体"/>
          <w:color w:val="auto"/>
          <w:spacing w:val="-5"/>
          <w:sz w:val="52"/>
          <w:szCs w:val="52"/>
          <w:highlight w:val="none"/>
        </w:rPr>
        <w:t xml:space="preserve">  </w:t>
      </w:r>
      <w:r>
        <w:rPr>
          <w:rFonts w:ascii="宋体" w:hAnsi="宋体" w:eastAsia="宋体" w:cs="宋体"/>
          <w:b/>
          <w:bCs/>
          <w:color w:val="auto"/>
          <w:spacing w:val="-5"/>
          <w:sz w:val="52"/>
          <w:szCs w:val="52"/>
          <w:highlight w:val="none"/>
        </w:rPr>
        <w:t>投标文件格式</w:t>
      </w:r>
      <w:bookmarkEnd w:id="412"/>
    </w:p>
    <w:p w14:paraId="47EBE993">
      <w:pPr>
        <w:spacing w:line="247" w:lineRule="auto"/>
        <w:rPr>
          <w:rFonts w:ascii="Arial"/>
          <w:color w:val="auto"/>
          <w:sz w:val="21"/>
          <w:highlight w:val="none"/>
        </w:rPr>
      </w:pPr>
    </w:p>
    <w:p w14:paraId="5D2060C9">
      <w:pPr>
        <w:spacing w:line="247" w:lineRule="auto"/>
        <w:rPr>
          <w:rFonts w:ascii="Arial"/>
          <w:color w:val="auto"/>
          <w:sz w:val="21"/>
          <w:highlight w:val="none"/>
        </w:rPr>
      </w:pPr>
    </w:p>
    <w:p w14:paraId="01626967">
      <w:pPr>
        <w:spacing w:line="247" w:lineRule="auto"/>
        <w:rPr>
          <w:rFonts w:ascii="Arial"/>
          <w:color w:val="auto"/>
          <w:sz w:val="21"/>
          <w:highlight w:val="none"/>
        </w:rPr>
      </w:pPr>
    </w:p>
    <w:p w14:paraId="6D778963">
      <w:pPr>
        <w:spacing w:line="247" w:lineRule="auto"/>
        <w:rPr>
          <w:rFonts w:ascii="Arial"/>
          <w:color w:val="auto"/>
          <w:sz w:val="21"/>
          <w:highlight w:val="none"/>
        </w:rPr>
      </w:pPr>
    </w:p>
    <w:p w14:paraId="3A0E90C5">
      <w:pPr>
        <w:spacing w:line="247" w:lineRule="auto"/>
        <w:rPr>
          <w:rFonts w:ascii="Arial"/>
          <w:color w:val="auto"/>
          <w:sz w:val="21"/>
          <w:highlight w:val="none"/>
        </w:rPr>
      </w:pPr>
    </w:p>
    <w:p w14:paraId="63606F8C">
      <w:pPr>
        <w:spacing w:line="247" w:lineRule="auto"/>
        <w:rPr>
          <w:rFonts w:ascii="Arial"/>
          <w:color w:val="auto"/>
          <w:sz w:val="21"/>
          <w:highlight w:val="none"/>
        </w:rPr>
      </w:pPr>
    </w:p>
    <w:p w14:paraId="54D4216A">
      <w:pPr>
        <w:spacing w:line="247" w:lineRule="auto"/>
        <w:rPr>
          <w:rFonts w:ascii="Arial"/>
          <w:color w:val="auto"/>
          <w:sz w:val="21"/>
          <w:highlight w:val="none"/>
        </w:rPr>
      </w:pPr>
    </w:p>
    <w:p w14:paraId="770381A1">
      <w:pPr>
        <w:spacing w:line="247" w:lineRule="auto"/>
        <w:rPr>
          <w:rFonts w:ascii="Arial"/>
          <w:color w:val="auto"/>
          <w:sz w:val="21"/>
          <w:highlight w:val="none"/>
        </w:rPr>
      </w:pPr>
    </w:p>
    <w:p w14:paraId="6803D823">
      <w:pPr>
        <w:spacing w:line="247" w:lineRule="auto"/>
        <w:rPr>
          <w:rFonts w:ascii="Arial"/>
          <w:color w:val="auto"/>
          <w:sz w:val="21"/>
          <w:highlight w:val="none"/>
        </w:rPr>
      </w:pPr>
    </w:p>
    <w:p w14:paraId="477D55AF">
      <w:pPr>
        <w:spacing w:line="247" w:lineRule="auto"/>
        <w:rPr>
          <w:rFonts w:ascii="Arial"/>
          <w:color w:val="auto"/>
          <w:sz w:val="21"/>
          <w:highlight w:val="none"/>
        </w:rPr>
      </w:pPr>
    </w:p>
    <w:p w14:paraId="39CA16E2">
      <w:pPr>
        <w:spacing w:line="247" w:lineRule="auto"/>
        <w:rPr>
          <w:rFonts w:ascii="Arial"/>
          <w:color w:val="auto"/>
          <w:sz w:val="21"/>
          <w:highlight w:val="none"/>
        </w:rPr>
      </w:pPr>
    </w:p>
    <w:p w14:paraId="5F86102C">
      <w:pPr>
        <w:spacing w:line="247" w:lineRule="auto"/>
        <w:rPr>
          <w:rFonts w:ascii="Arial"/>
          <w:color w:val="auto"/>
          <w:sz w:val="21"/>
          <w:highlight w:val="none"/>
        </w:rPr>
      </w:pPr>
    </w:p>
    <w:p w14:paraId="10F0F41C">
      <w:pPr>
        <w:spacing w:line="247" w:lineRule="auto"/>
        <w:rPr>
          <w:rFonts w:ascii="Arial"/>
          <w:color w:val="auto"/>
          <w:sz w:val="21"/>
          <w:highlight w:val="none"/>
        </w:rPr>
      </w:pPr>
    </w:p>
    <w:p w14:paraId="15B94292">
      <w:pPr>
        <w:spacing w:line="247" w:lineRule="auto"/>
        <w:rPr>
          <w:rFonts w:ascii="Arial"/>
          <w:color w:val="auto"/>
          <w:sz w:val="21"/>
          <w:highlight w:val="none"/>
        </w:rPr>
      </w:pPr>
    </w:p>
    <w:p w14:paraId="23242EB9">
      <w:pPr>
        <w:spacing w:line="247" w:lineRule="auto"/>
        <w:rPr>
          <w:rFonts w:ascii="Arial"/>
          <w:color w:val="auto"/>
          <w:sz w:val="21"/>
          <w:highlight w:val="none"/>
        </w:rPr>
      </w:pPr>
    </w:p>
    <w:p w14:paraId="447F8DD9">
      <w:pPr>
        <w:spacing w:line="247" w:lineRule="auto"/>
        <w:rPr>
          <w:rFonts w:ascii="Arial"/>
          <w:color w:val="auto"/>
          <w:sz w:val="21"/>
          <w:highlight w:val="none"/>
        </w:rPr>
      </w:pPr>
    </w:p>
    <w:p w14:paraId="52671475">
      <w:pPr>
        <w:spacing w:line="247" w:lineRule="auto"/>
        <w:rPr>
          <w:rFonts w:ascii="Arial"/>
          <w:color w:val="auto"/>
          <w:sz w:val="21"/>
          <w:highlight w:val="none"/>
        </w:rPr>
      </w:pPr>
    </w:p>
    <w:p w14:paraId="37F1572A">
      <w:pPr>
        <w:spacing w:line="247" w:lineRule="auto"/>
        <w:rPr>
          <w:rFonts w:ascii="Arial"/>
          <w:color w:val="auto"/>
          <w:sz w:val="21"/>
          <w:highlight w:val="none"/>
        </w:rPr>
      </w:pPr>
    </w:p>
    <w:p w14:paraId="5277BA27">
      <w:pPr>
        <w:spacing w:line="247" w:lineRule="auto"/>
        <w:rPr>
          <w:rFonts w:ascii="Arial"/>
          <w:color w:val="auto"/>
          <w:sz w:val="21"/>
          <w:highlight w:val="none"/>
        </w:rPr>
      </w:pPr>
    </w:p>
    <w:p w14:paraId="6B602C50">
      <w:pPr>
        <w:spacing w:line="247" w:lineRule="auto"/>
        <w:rPr>
          <w:rFonts w:ascii="Arial"/>
          <w:color w:val="auto"/>
          <w:sz w:val="21"/>
          <w:highlight w:val="none"/>
        </w:rPr>
      </w:pPr>
    </w:p>
    <w:p w14:paraId="3F2BCC74">
      <w:pPr>
        <w:spacing w:line="247" w:lineRule="auto"/>
        <w:rPr>
          <w:rFonts w:ascii="Arial"/>
          <w:color w:val="auto"/>
          <w:sz w:val="21"/>
          <w:highlight w:val="none"/>
        </w:rPr>
      </w:pPr>
    </w:p>
    <w:p w14:paraId="700046AC">
      <w:pPr>
        <w:spacing w:line="247" w:lineRule="auto"/>
        <w:rPr>
          <w:rFonts w:ascii="Arial"/>
          <w:color w:val="auto"/>
          <w:sz w:val="21"/>
          <w:highlight w:val="none"/>
        </w:rPr>
      </w:pPr>
    </w:p>
    <w:p w14:paraId="4325B0BE">
      <w:pPr>
        <w:spacing w:line="247" w:lineRule="auto"/>
        <w:rPr>
          <w:rFonts w:ascii="Arial"/>
          <w:color w:val="auto"/>
          <w:sz w:val="21"/>
          <w:highlight w:val="none"/>
        </w:rPr>
      </w:pPr>
    </w:p>
    <w:p w14:paraId="4642BA22">
      <w:pPr>
        <w:spacing w:line="247" w:lineRule="auto"/>
        <w:rPr>
          <w:rFonts w:ascii="Arial"/>
          <w:color w:val="auto"/>
          <w:sz w:val="21"/>
          <w:highlight w:val="none"/>
        </w:rPr>
      </w:pPr>
    </w:p>
    <w:p w14:paraId="228A10A4">
      <w:pPr>
        <w:spacing w:line="247" w:lineRule="auto"/>
        <w:rPr>
          <w:rFonts w:ascii="Arial"/>
          <w:color w:val="auto"/>
          <w:sz w:val="21"/>
          <w:highlight w:val="none"/>
        </w:rPr>
      </w:pPr>
    </w:p>
    <w:p w14:paraId="6F70EE54">
      <w:pPr>
        <w:spacing w:line="247" w:lineRule="auto"/>
        <w:rPr>
          <w:rFonts w:ascii="Arial"/>
          <w:color w:val="auto"/>
          <w:sz w:val="21"/>
          <w:highlight w:val="none"/>
        </w:rPr>
      </w:pPr>
    </w:p>
    <w:p w14:paraId="6316EBF7">
      <w:pPr>
        <w:spacing w:line="248" w:lineRule="auto"/>
        <w:rPr>
          <w:rFonts w:ascii="Arial"/>
          <w:color w:val="auto"/>
          <w:sz w:val="21"/>
          <w:highlight w:val="none"/>
        </w:rPr>
      </w:pPr>
    </w:p>
    <w:p w14:paraId="7A8A1BF6">
      <w:pPr>
        <w:spacing w:line="248" w:lineRule="auto"/>
        <w:rPr>
          <w:rFonts w:ascii="Arial"/>
          <w:color w:val="auto"/>
          <w:sz w:val="21"/>
          <w:highlight w:val="none"/>
        </w:rPr>
      </w:pPr>
    </w:p>
    <w:p w14:paraId="572B010E">
      <w:pPr>
        <w:spacing w:line="248" w:lineRule="auto"/>
        <w:rPr>
          <w:rFonts w:ascii="Arial"/>
          <w:color w:val="auto"/>
          <w:sz w:val="21"/>
          <w:highlight w:val="none"/>
        </w:rPr>
      </w:pPr>
    </w:p>
    <w:p w14:paraId="5DABFEC9">
      <w:pPr>
        <w:spacing w:line="248" w:lineRule="auto"/>
        <w:rPr>
          <w:rFonts w:ascii="Arial"/>
          <w:color w:val="auto"/>
          <w:sz w:val="21"/>
          <w:highlight w:val="none"/>
        </w:rPr>
      </w:pPr>
    </w:p>
    <w:p w14:paraId="600C43CF">
      <w:pPr>
        <w:spacing w:line="248" w:lineRule="auto"/>
        <w:rPr>
          <w:rFonts w:ascii="Arial"/>
          <w:color w:val="auto"/>
          <w:sz w:val="21"/>
          <w:highlight w:val="none"/>
        </w:rPr>
      </w:pPr>
    </w:p>
    <w:p w14:paraId="26209C43">
      <w:pPr>
        <w:spacing w:line="220" w:lineRule="auto"/>
        <w:rPr>
          <w:rFonts w:ascii="宋体" w:hAnsi="宋体" w:eastAsia="宋体" w:cs="宋体"/>
          <w:color w:val="auto"/>
          <w:sz w:val="18"/>
          <w:szCs w:val="18"/>
          <w:highlight w:val="none"/>
        </w:rPr>
        <w:sectPr>
          <w:footerReference r:id="rId82" w:type="default"/>
          <w:pgSz w:w="11906" w:h="16839"/>
          <w:pgMar w:top="1431" w:right="1785" w:bottom="1297" w:left="1417" w:header="0" w:footer="1067" w:gutter="0"/>
          <w:pgNumType w:fmt="decimal"/>
          <w:cols w:space="720" w:num="1"/>
        </w:sectPr>
      </w:pPr>
    </w:p>
    <w:p w14:paraId="5414F153">
      <w:pPr>
        <w:spacing w:line="289" w:lineRule="auto"/>
        <w:rPr>
          <w:rFonts w:ascii="Arial"/>
          <w:color w:val="auto"/>
          <w:sz w:val="21"/>
          <w:highlight w:val="none"/>
        </w:rPr>
      </w:pPr>
    </w:p>
    <w:p w14:paraId="452ECB8F">
      <w:pPr>
        <w:spacing w:line="290" w:lineRule="auto"/>
        <w:rPr>
          <w:rFonts w:ascii="Arial"/>
          <w:color w:val="auto"/>
          <w:sz w:val="21"/>
          <w:highlight w:val="none"/>
        </w:rPr>
      </w:pPr>
    </w:p>
    <w:p w14:paraId="3DC9E811">
      <w:pPr>
        <w:spacing w:line="290" w:lineRule="auto"/>
        <w:rPr>
          <w:rFonts w:ascii="Arial"/>
          <w:color w:val="auto"/>
          <w:sz w:val="21"/>
          <w:highlight w:val="none"/>
        </w:rPr>
      </w:pPr>
    </w:p>
    <w:p w14:paraId="790CF9E9">
      <w:pPr>
        <w:spacing w:line="290" w:lineRule="auto"/>
        <w:rPr>
          <w:rFonts w:ascii="Arial"/>
          <w:color w:val="auto"/>
          <w:sz w:val="21"/>
          <w:highlight w:val="none"/>
        </w:rPr>
      </w:pPr>
    </w:p>
    <w:p w14:paraId="29E948D6">
      <w:pPr>
        <w:spacing w:before="130" w:line="220" w:lineRule="auto"/>
        <w:ind w:left="3581"/>
        <w:rPr>
          <w:rFonts w:ascii="宋体" w:hAnsi="宋体" w:eastAsia="宋体" w:cs="宋体"/>
          <w:color w:val="auto"/>
          <w:sz w:val="40"/>
          <w:szCs w:val="40"/>
          <w:highlight w:val="none"/>
        </w:rPr>
      </w:pPr>
      <w:r>
        <w:rPr>
          <w:rFonts w:ascii="宋体" w:hAnsi="宋体" w:eastAsia="宋体" w:cs="宋体"/>
          <w:color w:val="auto"/>
          <w:spacing w:val="-5"/>
          <w:sz w:val="40"/>
          <w:szCs w:val="40"/>
          <w:highlight w:val="none"/>
        </w:rPr>
        <w:t>广东省</w:t>
      </w:r>
    </w:p>
    <w:p w14:paraId="50D64DC7">
      <w:pPr>
        <w:spacing w:line="367" w:lineRule="auto"/>
        <w:rPr>
          <w:rFonts w:ascii="Arial"/>
          <w:color w:val="auto"/>
          <w:sz w:val="21"/>
          <w:highlight w:val="none"/>
        </w:rPr>
      </w:pPr>
    </w:p>
    <w:p w14:paraId="2FE2E5BE">
      <w:pPr>
        <w:tabs>
          <w:tab w:val="left" w:pos="2256"/>
        </w:tabs>
        <w:spacing w:before="130" w:line="221" w:lineRule="auto"/>
        <w:ind w:left="630"/>
        <w:rPr>
          <w:rFonts w:ascii="宋体" w:hAnsi="宋体" w:eastAsia="宋体" w:cs="宋体"/>
          <w:color w:val="auto"/>
          <w:sz w:val="40"/>
          <w:szCs w:val="40"/>
          <w:highlight w:val="none"/>
        </w:rPr>
      </w:pPr>
      <w:r>
        <w:rPr>
          <w:rFonts w:ascii="宋体" w:hAnsi="宋体" w:eastAsia="宋体" w:cs="宋体"/>
          <w:color w:val="auto"/>
          <w:sz w:val="40"/>
          <w:szCs w:val="40"/>
          <w:highlight w:val="none"/>
          <w:u w:val="single" w:color="auto"/>
        </w:rPr>
        <w:tab/>
      </w:r>
      <w:r>
        <w:rPr>
          <w:rFonts w:ascii="宋体" w:hAnsi="宋体" w:eastAsia="宋体" w:cs="宋体"/>
          <w:color w:val="auto"/>
          <w:spacing w:val="-16"/>
          <w:sz w:val="40"/>
          <w:szCs w:val="40"/>
          <w:highlight w:val="none"/>
          <w:u w:val="single" w:color="auto"/>
        </w:rPr>
        <w:t xml:space="preserve">（项目名称）  </w:t>
      </w:r>
      <w:r>
        <w:rPr>
          <w:rFonts w:ascii="宋体" w:hAnsi="宋体" w:eastAsia="宋体" w:cs="宋体"/>
          <w:color w:val="auto"/>
          <w:spacing w:val="-170"/>
          <w:sz w:val="40"/>
          <w:szCs w:val="40"/>
          <w:highlight w:val="none"/>
        </w:rPr>
        <w:t xml:space="preserve"> </w:t>
      </w:r>
      <w:r>
        <w:rPr>
          <w:rFonts w:ascii="宋体" w:hAnsi="宋体" w:eastAsia="宋体" w:cs="宋体"/>
          <w:color w:val="auto"/>
          <w:spacing w:val="-16"/>
          <w:sz w:val="40"/>
          <w:szCs w:val="40"/>
          <w:highlight w:val="none"/>
        </w:rPr>
        <w:t>标段施工监理招标</w:t>
      </w:r>
    </w:p>
    <w:p w14:paraId="2C010A2A">
      <w:pPr>
        <w:spacing w:line="258" w:lineRule="auto"/>
        <w:rPr>
          <w:rFonts w:ascii="Arial"/>
          <w:color w:val="auto"/>
          <w:sz w:val="21"/>
          <w:highlight w:val="none"/>
        </w:rPr>
      </w:pPr>
    </w:p>
    <w:p w14:paraId="1CF17D29">
      <w:pPr>
        <w:spacing w:line="258" w:lineRule="auto"/>
        <w:rPr>
          <w:rFonts w:ascii="Arial"/>
          <w:color w:val="auto"/>
          <w:sz w:val="21"/>
          <w:highlight w:val="none"/>
        </w:rPr>
      </w:pPr>
    </w:p>
    <w:p w14:paraId="7ACF5ED1">
      <w:pPr>
        <w:spacing w:line="258" w:lineRule="auto"/>
        <w:rPr>
          <w:rFonts w:ascii="Arial"/>
          <w:color w:val="auto"/>
          <w:sz w:val="21"/>
          <w:highlight w:val="none"/>
        </w:rPr>
      </w:pPr>
    </w:p>
    <w:p w14:paraId="7A0EB04C">
      <w:pPr>
        <w:spacing w:line="258" w:lineRule="auto"/>
        <w:rPr>
          <w:rFonts w:ascii="Arial"/>
          <w:color w:val="auto"/>
          <w:sz w:val="21"/>
          <w:highlight w:val="none"/>
        </w:rPr>
      </w:pPr>
    </w:p>
    <w:p w14:paraId="5A1AECEF">
      <w:pPr>
        <w:spacing w:line="259" w:lineRule="auto"/>
        <w:rPr>
          <w:rFonts w:ascii="Arial"/>
          <w:color w:val="auto"/>
          <w:sz w:val="21"/>
          <w:highlight w:val="none"/>
        </w:rPr>
      </w:pPr>
    </w:p>
    <w:p w14:paraId="21922929">
      <w:pPr>
        <w:spacing w:line="259" w:lineRule="auto"/>
        <w:rPr>
          <w:rFonts w:ascii="Arial"/>
          <w:color w:val="auto"/>
          <w:sz w:val="21"/>
          <w:highlight w:val="none"/>
        </w:rPr>
      </w:pPr>
    </w:p>
    <w:p w14:paraId="10C0C30E">
      <w:pPr>
        <w:spacing w:line="259" w:lineRule="auto"/>
        <w:rPr>
          <w:rFonts w:ascii="Arial"/>
          <w:color w:val="auto"/>
          <w:sz w:val="21"/>
          <w:highlight w:val="none"/>
        </w:rPr>
      </w:pPr>
    </w:p>
    <w:p w14:paraId="5F6DE5A4">
      <w:pPr>
        <w:spacing w:line="259" w:lineRule="auto"/>
        <w:rPr>
          <w:rFonts w:ascii="Arial"/>
          <w:color w:val="auto"/>
          <w:sz w:val="21"/>
          <w:highlight w:val="none"/>
        </w:rPr>
      </w:pPr>
    </w:p>
    <w:p w14:paraId="7864EBA7">
      <w:pPr>
        <w:spacing w:before="140" w:line="223" w:lineRule="auto"/>
        <w:ind w:left="2642"/>
        <w:rPr>
          <w:rFonts w:ascii="宋体" w:hAnsi="宋体" w:eastAsia="宋体" w:cs="宋体"/>
          <w:color w:val="auto"/>
          <w:sz w:val="43"/>
          <w:szCs w:val="43"/>
          <w:highlight w:val="none"/>
        </w:rPr>
      </w:pPr>
      <w:r>
        <w:rPr>
          <w:rFonts w:ascii="宋体" w:hAnsi="宋体" w:eastAsia="宋体" w:cs="宋体"/>
          <w:b/>
          <w:bCs/>
          <w:color w:val="auto"/>
          <w:spacing w:val="-14"/>
          <w:sz w:val="43"/>
          <w:szCs w:val="43"/>
          <w:highlight w:val="none"/>
        </w:rPr>
        <w:t>投</w:t>
      </w:r>
      <w:r>
        <w:rPr>
          <w:rFonts w:ascii="宋体" w:hAnsi="宋体" w:eastAsia="宋体" w:cs="宋体"/>
          <w:color w:val="auto"/>
          <w:spacing w:val="17"/>
          <w:sz w:val="43"/>
          <w:szCs w:val="43"/>
          <w:highlight w:val="none"/>
        </w:rPr>
        <w:t xml:space="preserve">  </w:t>
      </w:r>
      <w:r>
        <w:rPr>
          <w:rFonts w:ascii="宋体" w:hAnsi="宋体" w:eastAsia="宋体" w:cs="宋体"/>
          <w:b/>
          <w:bCs/>
          <w:color w:val="auto"/>
          <w:spacing w:val="-14"/>
          <w:sz w:val="43"/>
          <w:szCs w:val="43"/>
          <w:highlight w:val="none"/>
        </w:rPr>
        <w:t>标</w:t>
      </w:r>
      <w:r>
        <w:rPr>
          <w:rFonts w:ascii="宋体" w:hAnsi="宋体" w:eastAsia="宋体" w:cs="宋体"/>
          <w:color w:val="auto"/>
          <w:spacing w:val="17"/>
          <w:sz w:val="43"/>
          <w:szCs w:val="43"/>
          <w:highlight w:val="none"/>
        </w:rPr>
        <w:t xml:space="preserve">  </w:t>
      </w:r>
      <w:r>
        <w:rPr>
          <w:rFonts w:ascii="宋体" w:hAnsi="宋体" w:eastAsia="宋体" w:cs="宋体"/>
          <w:b/>
          <w:bCs/>
          <w:color w:val="auto"/>
          <w:spacing w:val="-14"/>
          <w:sz w:val="43"/>
          <w:szCs w:val="43"/>
          <w:highlight w:val="none"/>
        </w:rPr>
        <w:t>文</w:t>
      </w:r>
      <w:r>
        <w:rPr>
          <w:rFonts w:ascii="宋体" w:hAnsi="宋体" w:eastAsia="宋体" w:cs="宋体"/>
          <w:color w:val="auto"/>
          <w:spacing w:val="15"/>
          <w:sz w:val="43"/>
          <w:szCs w:val="43"/>
          <w:highlight w:val="none"/>
        </w:rPr>
        <w:t xml:space="preserve">  </w:t>
      </w:r>
      <w:r>
        <w:rPr>
          <w:rFonts w:ascii="宋体" w:hAnsi="宋体" w:eastAsia="宋体" w:cs="宋体"/>
          <w:b/>
          <w:bCs/>
          <w:color w:val="auto"/>
          <w:spacing w:val="-14"/>
          <w:sz w:val="43"/>
          <w:szCs w:val="43"/>
          <w:highlight w:val="none"/>
        </w:rPr>
        <w:t>件</w:t>
      </w:r>
    </w:p>
    <w:p w14:paraId="5F5EF3F4">
      <w:pPr>
        <w:spacing w:before="317" w:line="225" w:lineRule="auto"/>
        <w:ind w:left="2746"/>
        <w:outlineLvl w:val="0"/>
        <w:rPr>
          <w:rFonts w:ascii="宋体" w:hAnsi="宋体" w:eastAsia="宋体" w:cs="宋体"/>
          <w:color w:val="auto"/>
          <w:sz w:val="31"/>
          <w:szCs w:val="31"/>
          <w:highlight w:val="none"/>
        </w:rPr>
      </w:pPr>
      <w:bookmarkStart w:id="413" w:name="_Toc3549"/>
      <w:bookmarkStart w:id="414" w:name="_Toc6901"/>
      <w:bookmarkStart w:id="415" w:name="_Toc2139"/>
      <w:bookmarkStart w:id="416" w:name="_Toc16911"/>
      <w:bookmarkStart w:id="417" w:name="_Toc4824"/>
      <w:bookmarkStart w:id="418" w:name="_Toc21593"/>
      <w:bookmarkStart w:id="419" w:name="_Toc17235"/>
      <w:r>
        <w:rPr>
          <w:rFonts w:ascii="宋体" w:hAnsi="宋体" w:eastAsia="宋体" w:cs="宋体"/>
          <w:b/>
          <w:bCs/>
          <w:color w:val="auto"/>
          <w:spacing w:val="3"/>
          <w:sz w:val="31"/>
          <w:szCs w:val="31"/>
          <w:highlight w:val="none"/>
        </w:rPr>
        <w:t>（商务及技术文件）</w:t>
      </w:r>
      <w:bookmarkEnd w:id="413"/>
      <w:bookmarkEnd w:id="414"/>
      <w:bookmarkEnd w:id="415"/>
      <w:bookmarkEnd w:id="416"/>
      <w:bookmarkEnd w:id="417"/>
      <w:bookmarkEnd w:id="418"/>
      <w:bookmarkEnd w:id="419"/>
    </w:p>
    <w:p w14:paraId="698F7D04">
      <w:pPr>
        <w:spacing w:line="249" w:lineRule="auto"/>
        <w:rPr>
          <w:rFonts w:ascii="Arial"/>
          <w:color w:val="auto"/>
          <w:sz w:val="21"/>
          <w:highlight w:val="none"/>
        </w:rPr>
      </w:pPr>
    </w:p>
    <w:p w14:paraId="49FF1E71">
      <w:pPr>
        <w:spacing w:line="249" w:lineRule="auto"/>
        <w:rPr>
          <w:rFonts w:ascii="Arial"/>
          <w:color w:val="auto"/>
          <w:sz w:val="21"/>
          <w:highlight w:val="none"/>
        </w:rPr>
      </w:pPr>
    </w:p>
    <w:p w14:paraId="31A521F0">
      <w:pPr>
        <w:spacing w:line="249" w:lineRule="auto"/>
        <w:rPr>
          <w:rFonts w:ascii="Arial"/>
          <w:color w:val="auto"/>
          <w:sz w:val="21"/>
          <w:highlight w:val="none"/>
        </w:rPr>
      </w:pPr>
    </w:p>
    <w:p w14:paraId="7ED90251">
      <w:pPr>
        <w:spacing w:line="249" w:lineRule="auto"/>
        <w:rPr>
          <w:rFonts w:ascii="Arial"/>
          <w:color w:val="auto"/>
          <w:sz w:val="21"/>
          <w:highlight w:val="none"/>
        </w:rPr>
      </w:pPr>
    </w:p>
    <w:p w14:paraId="6E256A7E">
      <w:pPr>
        <w:spacing w:line="249" w:lineRule="auto"/>
        <w:rPr>
          <w:rFonts w:ascii="Arial"/>
          <w:color w:val="auto"/>
          <w:sz w:val="21"/>
          <w:highlight w:val="none"/>
        </w:rPr>
      </w:pPr>
    </w:p>
    <w:p w14:paraId="280039C0">
      <w:pPr>
        <w:spacing w:line="249" w:lineRule="auto"/>
        <w:rPr>
          <w:rFonts w:ascii="Arial"/>
          <w:color w:val="auto"/>
          <w:sz w:val="21"/>
          <w:highlight w:val="none"/>
        </w:rPr>
      </w:pPr>
    </w:p>
    <w:p w14:paraId="6E368366">
      <w:pPr>
        <w:spacing w:line="249" w:lineRule="auto"/>
        <w:rPr>
          <w:rFonts w:ascii="Arial"/>
          <w:color w:val="auto"/>
          <w:sz w:val="21"/>
          <w:highlight w:val="none"/>
        </w:rPr>
      </w:pPr>
    </w:p>
    <w:p w14:paraId="2A9C02DB">
      <w:pPr>
        <w:spacing w:line="249" w:lineRule="auto"/>
        <w:rPr>
          <w:rFonts w:ascii="Arial"/>
          <w:color w:val="auto"/>
          <w:sz w:val="21"/>
          <w:highlight w:val="none"/>
        </w:rPr>
      </w:pPr>
    </w:p>
    <w:p w14:paraId="3405E12C">
      <w:pPr>
        <w:spacing w:line="249" w:lineRule="auto"/>
        <w:rPr>
          <w:rFonts w:ascii="Arial"/>
          <w:color w:val="auto"/>
          <w:sz w:val="21"/>
          <w:highlight w:val="none"/>
        </w:rPr>
      </w:pPr>
    </w:p>
    <w:p w14:paraId="4D5338AA">
      <w:pPr>
        <w:spacing w:line="249" w:lineRule="auto"/>
        <w:rPr>
          <w:rFonts w:ascii="Arial"/>
          <w:color w:val="auto"/>
          <w:sz w:val="21"/>
          <w:highlight w:val="none"/>
        </w:rPr>
      </w:pPr>
    </w:p>
    <w:p w14:paraId="79919F46">
      <w:pPr>
        <w:spacing w:line="249" w:lineRule="auto"/>
        <w:rPr>
          <w:rFonts w:ascii="Arial"/>
          <w:color w:val="auto"/>
          <w:sz w:val="21"/>
          <w:highlight w:val="none"/>
        </w:rPr>
      </w:pPr>
    </w:p>
    <w:p w14:paraId="1BD4257F">
      <w:pPr>
        <w:spacing w:line="249" w:lineRule="auto"/>
        <w:rPr>
          <w:rFonts w:ascii="Arial"/>
          <w:color w:val="auto"/>
          <w:sz w:val="21"/>
          <w:highlight w:val="none"/>
        </w:rPr>
      </w:pPr>
    </w:p>
    <w:p w14:paraId="11C6400F">
      <w:pPr>
        <w:spacing w:line="249" w:lineRule="auto"/>
        <w:rPr>
          <w:rFonts w:ascii="Arial"/>
          <w:color w:val="auto"/>
          <w:sz w:val="21"/>
          <w:highlight w:val="none"/>
        </w:rPr>
      </w:pPr>
    </w:p>
    <w:p w14:paraId="27CB1442">
      <w:pPr>
        <w:spacing w:line="249" w:lineRule="auto"/>
        <w:rPr>
          <w:rFonts w:ascii="Arial"/>
          <w:color w:val="auto"/>
          <w:sz w:val="21"/>
          <w:highlight w:val="none"/>
        </w:rPr>
      </w:pPr>
    </w:p>
    <w:p w14:paraId="7CE0BC07">
      <w:pPr>
        <w:spacing w:line="249" w:lineRule="auto"/>
        <w:rPr>
          <w:rFonts w:ascii="Arial"/>
          <w:color w:val="auto"/>
          <w:sz w:val="21"/>
          <w:highlight w:val="none"/>
        </w:rPr>
      </w:pPr>
    </w:p>
    <w:p w14:paraId="5CC89F2C">
      <w:pPr>
        <w:spacing w:line="249" w:lineRule="auto"/>
        <w:rPr>
          <w:rFonts w:ascii="Arial"/>
          <w:color w:val="auto"/>
          <w:sz w:val="21"/>
          <w:highlight w:val="none"/>
        </w:rPr>
      </w:pPr>
    </w:p>
    <w:p w14:paraId="582AFE6A">
      <w:pPr>
        <w:spacing w:line="250" w:lineRule="auto"/>
        <w:rPr>
          <w:rFonts w:ascii="Arial"/>
          <w:color w:val="auto"/>
          <w:sz w:val="21"/>
          <w:highlight w:val="none"/>
        </w:rPr>
      </w:pPr>
    </w:p>
    <w:p w14:paraId="0540F53E">
      <w:pPr>
        <w:spacing w:line="250" w:lineRule="auto"/>
        <w:rPr>
          <w:rFonts w:ascii="Arial"/>
          <w:color w:val="auto"/>
          <w:sz w:val="21"/>
          <w:highlight w:val="none"/>
        </w:rPr>
      </w:pPr>
    </w:p>
    <w:p w14:paraId="45F6656B">
      <w:pPr>
        <w:spacing w:line="250" w:lineRule="auto"/>
        <w:rPr>
          <w:rFonts w:ascii="Arial"/>
          <w:color w:val="auto"/>
          <w:sz w:val="21"/>
          <w:highlight w:val="none"/>
        </w:rPr>
      </w:pPr>
    </w:p>
    <w:p w14:paraId="7DA28317">
      <w:pPr>
        <w:spacing w:line="250" w:lineRule="auto"/>
        <w:rPr>
          <w:rFonts w:ascii="Arial"/>
          <w:color w:val="auto"/>
          <w:sz w:val="21"/>
          <w:highlight w:val="none"/>
        </w:rPr>
      </w:pPr>
    </w:p>
    <w:p w14:paraId="1B830357">
      <w:pPr>
        <w:spacing w:line="250" w:lineRule="auto"/>
        <w:rPr>
          <w:rFonts w:ascii="Arial"/>
          <w:color w:val="auto"/>
          <w:sz w:val="21"/>
          <w:highlight w:val="none"/>
        </w:rPr>
      </w:pPr>
    </w:p>
    <w:p w14:paraId="724E783C">
      <w:pPr>
        <w:spacing w:before="91" w:line="219" w:lineRule="auto"/>
        <w:ind w:left="400"/>
        <w:rPr>
          <w:rFonts w:ascii="宋体" w:hAnsi="宋体" w:eastAsia="宋体" w:cs="宋体"/>
          <w:color w:val="auto"/>
          <w:sz w:val="28"/>
          <w:szCs w:val="28"/>
          <w:highlight w:val="none"/>
        </w:rPr>
      </w:pPr>
      <w:r>
        <w:rPr>
          <w:rFonts w:ascii="宋体" w:hAnsi="宋体" w:eastAsia="宋体" w:cs="宋体"/>
          <w:color w:val="auto"/>
          <w:spacing w:val="3"/>
          <w:sz w:val="28"/>
          <w:szCs w:val="28"/>
          <w:highlight w:val="none"/>
        </w:rPr>
        <w:t>投标人</w:t>
      </w:r>
      <w:r>
        <w:rPr>
          <w:rFonts w:ascii="宋体" w:hAnsi="宋体" w:eastAsia="宋体" w:cs="宋体"/>
          <w:color w:val="auto"/>
          <w:spacing w:val="-19"/>
          <w:sz w:val="28"/>
          <w:szCs w:val="28"/>
          <w:highlight w:val="none"/>
        </w:rPr>
        <w:t>：</w:t>
      </w:r>
      <w:r>
        <w:rPr>
          <w:rFonts w:ascii="宋体" w:hAnsi="宋体" w:eastAsia="宋体" w:cs="宋体"/>
          <w:color w:val="auto"/>
          <w:sz w:val="28"/>
          <w:szCs w:val="28"/>
          <w:highlight w:val="none"/>
          <w:u w:val="single" w:color="auto"/>
        </w:rPr>
        <w:t xml:space="preserve">                                  </w:t>
      </w:r>
      <w:r>
        <w:rPr>
          <w:rFonts w:ascii="宋体" w:hAnsi="宋体" w:eastAsia="宋体" w:cs="宋体"/>
          <w:color w:val="auto"/>
          <w:spacing w:val="-19"/>
          <w:sz w:val="28"/>
          <w:szCs w:val="28"/>
          <w:highlight w:val="none"/>
        </w:rPr>
        <w:t>（</w:t>
      </w:r>
      <w:r>
        <w:rPr>
          <w:rFonts w:ascii="宋体" w:hAnsi="宋体" w:eastAsia="宋体" w:cs="宋体"/>
          <w:color w:val="auto"/>
          <w:spacing w:val="3"/>
          <w:sz w:val="28"/>
          <w:szCs w:val="28"/>
          <w:highlight w:val="none"/>
        </w:rPr>
        <w:t>盖单位章）</w:t>
      </w:r>
    </w:p>
    <w:p w14:paraId="2F0660B9">
      <w:pPr>
        <w:spacing w:line="452" w:lineRule="auto"/>
        <w:rPr>
          <w:rFonts w:ascii="Arial"/>
          <w:color w:val="auto"/>
          <w:sz w:val="21"/>
          <w:highlight w:val="none"/>
        </w:rPr>
      </w:pPr>
    </w:p>
    <w:p w14:paraId="152F62E0">
      <w:pPr>
        <w:tabs>
          <w:tab w:val="left" w:pos="3117"/>
        </w:tabs>
        <w:spacing w:before="91" w:line="220" w:lineRule="auto"/>
        <w:ind w:left="1996"/>
        <w:rPr>
          <w:rFonts w:ascii="宋体" w:hAnsi="宋体" w:eastAsia="宋体" w:cs="宋体"/>
          <w:color w:val="auto"/>
          <w:sz w:val="28"/>
          <w:szCs w:val="28"/>
          <w:highlight w:val="none"/>
        </w:rPr>
      </w:pPr>
      <w:r>
        <w:rPr>
          <w:rFonts w:ascii="宋体" w:hAnsi="宋体" w:eastAsia="宋体" w:cs="宋体"/>
          <w:color w:val="auto"/>
          <w:sz w:val="28"/>
          <w:szCs w:val="28"/>
          <w:highlight w:val="none"/>
          <w:u w:val="single" w:color="auto"/>
        </w:rPr>
        <w:tab/>
      </w:r>
      <w:r>
        <w:rPr>
          <w:rFonts w:ascii="宋体" w:hAnsi="宋体" w:eastAsia="宋体" w:cs="宋体"/>
          <w:color w:val="auto"/>
          <w:spacing w:val="-127"/>
          <w:sz w:val="28"/>
          <w:szCs w:val="28"/>
          <w:highlight w:val="none"/>
        </w:rPr>
        <w:t xml:space="preserve"> </w:t>
      </w:r>
      <w:r>
        <w:rPr>
          <w:rFonts w:ascii="宋体" w:hAnsi="宋体" w:eastAsia="宋体" w:cs="宋体"/>
          <w:color w:val="auto"/>
          <w:spacing w:val="-10"/>
          <w:sz w:val="28"/>
          <w:szCs w:val="28"/>
          <w:highlight w:val="none"/>
        </w:rPr>
        <w:t>年</w:t>
      </w:r>
      <w:r>
        <w:rPr>
          <w:rFonts w:ascii="宋体" w:hAnsi="宋体" w:eastAsia="宋体" w:cs="宋体"/>
          <w:color w:val="auto"/>
          <w:spacing w:val="19"/>
          <w:sz w:val="28"/>
          <w:szCs w:val="28"/>
          <w:highlight w:val="none"/>
          <w:u w:val="single" w:color="auto"/>
        </w:rPr>
        <w:t xml:space="preserve">       </w:t>
      </w:r>
      <w:r>
        <w:rPr>
          <w:rFonts w:ascii="宋体" w:hAnsi="宋体" w:eastAsia="宋体" w:cs="宋体"/>
          <w:color w:val="auto"/>
          <w:spacing w:val="-117"/>
          <w:sz w:val="28"/>
          <w:szCs w:val="28"/>
          <w:highlight w:val="none"/>
        </w:rPr>
        <w:t xml:space="preserve"> </w:t>
      </w:r>
      <w:r>
        <w:rPr>
          <w:rFonts w:ascii="宋体" w:hAnsi="宋体" w:eastAsia="宋体" w:cs="宋体"/>
          <w:color w:val="auto"/>
          <w:spacing w:val="-10"/>
          <w:sz w:val="28"/>
          <w:szCs w:val="28"/>
          <w:highlight w:val="none"/>
        </w:rPr>
        <w:t>月</w:t>
      </w:r>
      <w:r>
        <w:rPr>
          <w:rFonts w:ascii="宋体" w:hAnsi="宋体" w:eastAsia="宋体" w:cs="宋体"/>
          <w:color w:val="auto"/>
          <w:spacing w:val="17"/>
          <w:sz w:val="28"/>
          <w:szCs w:val="28"/>
          <w:highlight w:val="none"/>
          <w:u w:val="single" w:color="auto"/>
        </w:rPr>
        <w:t xml:space="preserve">        </w:t>
      </w:r>
      <w:r>
        <w:rPr>
          <w:rFonts w:ascii="宋体" w:hAnsi="宋体" w:eastAsia="宋体" w:cs="宋体"/>
          <w:color w:val="auto"/>
          <w:spacing w:val="-77"/>
          <w:sz w:val="28"/>
          <w:szCs w:val="28"/>
          <w:highlight w:val="none"/>
        </w:rPr>
        <w:t xml:space="preserve"> </w:t>
      </w:r>
      <w:r>
        <w:rPr>
          <w:rFonts w:ascii="宋体" w:hAnsi="宋体" w:eastAsia="宋体" w:cs="宋体"/>
          <w:color w:val="auto"/>
          <w:spacing w:val="-10"/>
          <w:sz w:val="28"/>
          <w:szCs w:val="28"/>
          <w:highlight w:val="none"/>
        </w:rPr>
        <w:t>日</w:t>
      </w:r>
    </w:p>
    <w:p w14:paraId="1F6E3517">
      <w:pPr>
        <w:spacing w:line="220" w:lineRule="auto"/>
        <w:rPr>
          <w:rFonts w:ascii="宋体" w:hAnsi="宋体" w:eastAsia="宋体" w:cs="宋体"/>
          <w:color w:val="auto"/>
          <w:sz w:val="28"/>
          <w:szCs w:val="28"/>
          <w:highlight w:val="none"/>
        </w:rPr>
        <w:sectPr>
          <w:footerReference r:id="rId83" w:type="default"/>
          <w:pgSz w:w="11906" w:h="16839"/>
          <w:pgMar w:top="1431" w:right="1785" w:bottom="1297" w:left="1785" w:header="0" w:footer="1066" w:gutter="0"/>
          <w:pgNumType w:fmt="decimal"/>
          <w:cols w:space="720" w:num="1"/>
        </w:sectPr>
      </w:pPr>
    </w:p>
    <w:p w14:paraId="1B7FB406">
      <w:pPr>
        <w:spacing w:before="63" w:line="227" w:lineRule="auto"/>
        <w:ind w:left="3517"/>
        <w:rPr>
          <w:rFonts w:ascii="宋体" w:hAnsi="宋体" w:eastAsia="宋体" w:cs="宋体"/>
          <w:color w:val="auto"/>
          <w:sz w:val="31"/>
          <w:szCs w:val="31"/>
          <w:highlight w:val="none"/>
        </w:rPr>
      </w:pPr>
      <w:r>
        <w:rPr>
          <w:rFonts w:ascii="宋体" w:hAnsi="宋体" w:eastAsia="宋体" w:cs="宋体"/>
          <w:b/>
          <w:bCs/>
          <w:color w:val="auto"/>
          <w:spacing w:val="-36"/>
          <w:sz w:val="31"/>
          <w:szCs w:val="31"/>
          <w:highlight w:val="none"/>
        </w:rPr>
        <w:t>目</w:t>
      </w:r>
      <w:r>
        <w:rPr>
          <w:rFonts w:ascii="宋体" w:hAnsi="宋体" w:eastAsia="宋体" w:cs="宋体"/>
          <w:color w:val="auto"/>
          <w:spacing w:val="8"/>
          <w:sz w:val="31"/>
          <w:szCs w:val="31"/>
          <w:highlight w:val="none"/>
        </w:rPr>
        <w:t xml:space="preserve">     </w:t>
      </w:r>
      <w:r>
        <w:rPr>
          <w:rFonts w:ascii="宋体" w:hAnsi="宋体" w:eastAsia="宋体" w:cs="宋体"/>
          <w:b/>
          <w:bCs/>
          <w:color w:val="auto"/>
          <w:spacing w:val="-36"/>
          <w:sz w:val="31"/>
          <w:szCs w:val="31"/>
          <w:highlight w:val="none"/>
        </w:rPr>
        <w:t>录</w:t>
      </w:r>
    </w:p>
    <w:p w14:paraId="0C0F7EE8">
      <w:pPr>
        <w:spacing w:line="348" w:lineRule="auto"/>
        <w:rPr>
          <w:rFonts w:ascii="Arial"/>
          <w:color w:val="auto"/>
          <w:sz w:val="21"/>
          <w:highlight w:val="none"/>
        </w:rPr>
      </w:pPr>
    </w:p>
    <w:p w14:paraId="71252B2B">
      <w:pPr>
        <w:spacing w:line="348" w:lineRule="auto"/>
        <w:rPr>
          <w:rFonts w:ascii="Arial"/>
          <w:color w:val="auto"/>
          <w:sz w:val="21"/>
          <w:highlight w:val="none"/>
        </w:rPr>
      </w:pPr>
    </w:p>
    <w:p w14:paraId="0B6EBB14">
      <w:pPr>
        <w:spacing w:before="78" w:line="220" w:lineRule="auto"/>
        <w:ind w:left="495"/>
        <w:outlineLvl w:val="1"/>
        <w:rPr>
          <w:rFonts w:ascii="宋体" w:hAnsi="宋体" w:eastAsia="宋体" w:cs="宋体"/>
          <w:color w:val="auto"/>
          <w:sz w:val="24"/>
          <w:szCs w:val="24"/>
          <w:highlight w:val="none"/>
        </w:rPr>
      </w:pPr>
      <w:bookmarkStart w:id="420" w:name="_Toc18979"/>
      <w:bookmarkStart w:id="421" w:name="_Toc31035"/>
      <w:bookmarkStart w:id="422" w:name="_Toc16430"/>
      <w:bookmarkStart w:id="423" w:name="_Toc13893"/>
      <w:bookmarkStart w:id="424" w:name="_Toc8188"/>
      <w:bookmarkStart w:id="425" w:name="_Toc28143"/>
      <w:bookmarkStart w:id="426" w:name="_Toc11278"/>
      <w:r>
        <w:rPr>
          <w:rFonts w:ascii="宋体" w:hAnsi="宋体" w:eastAsia="宋体" w:cs="宋体"/>
          <w:color w:val="auto"/>
          <w:spacing w:val="-3"/>
          <w:sz w:val="24"/>
          <w:szCs w:val="24"/>
          <w:highlight w:val="none"/>
        </w:rPr>
        <w:t>一、投标函</w:t>
      </w:r>
      <w:bookmarkEnd w:id="420"/>
      <w:bookmarkEnd w:id="421"/>
      <w:bookmarkEnd w:id="422"/>
      <w:bookmarkEnd w:id="423"/>
      <w:bookmarkEnd w:id="424"/>
      <w:bookmarkEnd w:id="425"/>
      <w:bookmarkEnd w:id="426"/>
    </w:p>
    <w:p w14:paraId="40D3DCDB">
      <w:pPr>
        <w:spacing w:before="152" w:line="219" w:lineRule="auto"/>
        <w:ind w:left="495"/>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二、授权委托书或法定代表人身份证明</w:t>
      </w:r>
    </w:p>
    <w:p w14:paraId="4715BBFB">
      <w:pPr>
        <w:spacing w:before="154" w:line="219" w:lineRule="auto"/>
        <w:ind w:left="491"/>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三、联合体协议书（如有）</w:t>
      </w:r>
    </w:p>
    <w:p w14:paraId="1A88DFED">
      <w:pPr>
        <w:spacing w:before="157" w:line="220" w:lineRule="auto"/>
        <w:ind w:left="514"/>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四、投标保证金</w:t>
      </w:r>
    </w:p>
    <w:p w14:paraId="665E960F">
      <w:pPr>
        <w:spacing w:before="154" w:line="219" w:lineRule="auto"/>
        <w:ind w:left="495"/>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五、资格审查资料</w:t>
      </w:r>
    </w:p>
    <w:p w14:paraId="78DA508E">
      <w:pPr>
        <w:spacing w:before="154" w:line="220" w:lineRule="auto"/>
        <w:ind w:left="493"/>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六、其他资料</w:t>
      </w:r>
    </w:p>
    <w:p w14:paraId="26C30D62">
      <w:pPr>
        <w:spacing w:before="155" w:line="219" w:lineRule="auto"/>
        <w:ind w:left="490"/>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七、技术建议书</w:t>
      </w:r>
    </w:p>
    <w:p w14:paraId="4D0DA677">
      <w:pPr>
        <w:spacing w:line="219" w:lineRule="auto"/>
        <w:rPr>
          <w:rFonts w:ascii="宋体" w:hAnsi="宋体" w:eastAsia="宋体" w:cs="宋体"/>
          <w:color w:val="auto"/>
          <w:sz w:val="24"/>
          <w:szCs w:val="24"/>
          <w:highlight w:val="none"/>
        </w:rPr>
        <w:sectPr>
          <w:footerReference r:id="rId84" w:type="default"/>
          <w:pgSz w:w="11906" w:h="16839"/>
          <w:pgMar w:top="1403" w:right="1785" w:bottom="1297" w:left="1785" w:header="0" w:footer="1067" w:gutter="0"/>
          <w:pgNumType w:fmt="decimal"/>
          <w:cols w:space="720" w:num="1"/>
        </w:sectPr>
      </w:pPr>
    </w:p>
    <w:p w14:paraId="694C96DB">
      <w:pPr>
        <w:spacing w:before="163" w:line="220" w:lineRule="auto"/>
        <w:ind w:left="3946"/>
        <w:rPr>
          <w:rFonts w:ascii="宋体" w:hAnsi="宋体" w:eastAsia="宋体" w:cs="宋体"/>
          <w:color w:val="auto"/>
          <w:sz w:val="24"/>
          <w:szCs w:val="24"/>
          <w:highlight w:val="none"/>
        </w:rPr>
      </w:pPr>
      <w:r>
        <w:rPr>
          <w:rFonts w:ascii="宋体" w:hAnsi="宋体" w:eastAsia="宋体" w:cs="宋体"/>
          <w:b/>
          <w:bCs/>
          <w:color w:val="auto"/>
          <w:spacing w:val="-5"/>
          <w:sz w:val="24"/>
          <w:szCs w:val="24"/>
          <w:highlight w:val="none"/>
        </w:rPr>
        <w:t>一、投标函</w:t>
      </w:r>
    </w:p>
    <w:p w14:paraId="095EBFB7">
      <w:pPr>
        <w:spacing w:line="320" w:lineRule="auto"/>
        <w:rPr>
          <w:rFonts w:ascii="Arial"/>
          <w:color w:val="auto"/>
          <w:sz w:val="21"/>
          <w:highlight w:val="none"/>
        </w:rPr>
      </w:pPr>
    </w:p>
    <w:p w14:paraId="1FBBFF27">
      <w:pPr>
        <w:tabs>
          <w:tab w:val="left" w:pos="2880"/>
        </w:tabs>
        <w:spacing w:before="78" w:line="22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u w:val="single" w:color="auto"/>
        </w:rPr>
        <w:tab/>
      </w:r>
      <w:r>
        <w:rPr>
          <w:rFonts w:ascii="宋体" w:hAnsi="宋体" w:eastAsia="宋体" w:cs="宋体"/>
          <w:color w:val="auto"/>
          <w:spacing w:val="-1"/>
          <w:sz w:val="24"/>
          <w:szCs w:val="24"/>
          <w:highlight w:val="none"/>
        </w:rPr>
        <w:t>（招标人名称</w:t>
      </w:r>
      <w:r>
        <w:rPr>
          <w:rFonts w:ascii="宋体" w:hAnsi="宋体" w:eastAsia="宋体" w:cs="宋体"/>
          <w:color w:val="auto"/>
          <w:spacing w:val="2"/>
          <w:sz w:val="24"/>
          <w:szCs w:val="24"/>
          <w:highlight w:val="none"/>
        </w:rPr>
        <w:t>）：</w:t>
      </w:r>
    </w:p>
    <w:p w14:paraId="22E39AC8">
      <w:pPr>
        <w:spacing w:before="233" w:line="286" w:lineRule="auto"/>
        <w:ind w:left="12" w:right="8" w:firstLine="494"/>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1．我方已仔细研究</w:t>
      </w:r>
      <w:r>
        <w:rPr>
          <w:rFonts w:ascii="宋体" w:hAnsi="宋体" w:eastAsia="宋体" w:cs="宋体"/>
          <w:color w:val="auto"/>
          <w:spacing w:val="1"/>
          <w:sz w:val="24"/>
          <w:szCs w:val="24"/>
          <w:highlight w:val="none"/>
          <w:u w:val="single" w:color="auto"/>
        </w:rPr>
        <w:t xml:space="preserve">                  （项目名称</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109"/>
          <w:sz w:val="24"/>
          <w:szCs w:val="24"/>
          <w:highlight w:val="none"/>
        </w:rPr>
        <w:t xml:space="preserve"> </w:t>
      </w:r>
      <w:r>
        <w:rPr>
          <w:rFonts w:ascii="宋体" w:hAnsi="宋体" w:eastAsia="宋体" w:cs="宋体"/>
          <w:color w:val="auto"/>
          <w:sz w:val="24"/>
          <w:szCs w:val="24"/>
          <w:highlight w:val="none"/>
        </w:rPr>
        <w:t>标段施工监理招标文件</w:t>
      </w:r>
      <w:r>
        <w:rPr>
          <w:rFonts w:ascii="宋体" w:hAnsi="宋体" w:eastAsia="宋体" w:cs="宋体"/>
          <w:color w:val="auto"/>
          <w:spacing w:val="4"/>
          <w:sz w:val="24"/>
          <w:szCs w:val="24"/>
          <w:highlight w:val="none"/>
        </w:rPr>
        <w:t>的全部内容（含补遗书</w:t>
      </w:r>
      <w:r>
        <w:rPr>
          <w:rFonts w:ascii="宋体" w:hAnsi="宋体" w:eastAsia="宋体" w:cs="宋体"/>
          <w:color w:val="auto"/>
          <w:spacing w:val="19"/>
          <w:sz w:val="24"/>
          <w:szCs w:val="24"/>
          <w:highlight w:val="none"/>
        </w:rPr>
        <w:t>），</w:t>
      </w:r>
      <w:r>
        <w:rPr>
          <w:rFonts w:ascii="宋体" w:hAnsi="宋体" w:eastAsia="宋体" w:cs="宋体"/>
          <w:color w:val="auto"/>
          <w:spacing w:val="4"/>
          <w:sz w:val="24"/>
          <w:szCs w:val="24"/>
          <w:highlight w:val="none"/>
        </w:rPr>
        <w:t>在考察工程现场后，愿意以第二个信封（报价文件）中的投标总报价（或根据招标文件规定修正核实后确定的另一金额</w:t>
      </w:r>
      <w:r>
        <w:rPr>
          <w:rFonts w:ascii="宋体" w:hAnsi="宋体" w:eastAsia="宋体" w:cs="宋体"/>
          <w:color w:val="auto"/>
          <w:spacing w:val="19"/>
          <w:sz w:val="24"/>
          <w:szCs w:val="24"/>
          <w:highlight w:val="none"/>
        </w:rPr>
        <w:t>），</w:t>
      </w:r>
      <w:r>
        <w:rPr>
          <w:rFonts w:ascii="宋体" w:hAnsi="宋体" w:eastAsia="宋体" w:cs="宋体"/>
          <w:color w:val="auto"/>
          <w:spacing w:val="4"/>
          <w:sz w:val="24"/>
          <w:szCs w:val="24"/>
          <w:highlight w:val="none"/>
        </w:rPr>
        <w:t>按合同约定完成施</w:t>
      </w:r>
      <w:r>
        <w:rPr>
          <w:rFonts w:ascii="宋体" w:hAnsi="宋体" w:eastAsia="宋体" w:cs="宋体"/>
          <w:color w:val="auto"/>
          <w:spacing w:val="-3"/>
          <w:sz w:val="24"/>
          <w:szCs w:val="24"/>
          <w:highlight w:val="none"/>
        </w:rPr>
        <w:t>工监理工作。</w:t>
      </w:r>
    </w:p>
    <w:p w14:paraId="08FDE320">
      <w:pPr>
        <w:spacing w:before="115" w:line="219" w:lineRule="auto"/>
        <w:ind w:left="492"/>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2．我方承诺在招标文件规定的投标有效期内不撤销投标文件。</w:t>
      </w:r>
    </w:p>
    <w:p w14:paraId="79E621C1">
      <w:pPr>
        <w:spacing w:before="114" w:line="263" w:lineRule="auto"/>
        <w:ind w:left="8" w:right="8" w:firstLine="485"/>
        <w:rPr>
          <w:rFonts w:ascii="宋体" w:hAnsi="宋体" w:eastAsia="宋体" w:cs="宋体"/>
          <w:color w:val="auto"/>
          <w:sz w:val="24"/>
          <w:szCs w:val="24"/>
          <w:highlight w:val="none"/>
        </w:rPr>
      </w:pPr>
      <w:r>
        <w:rPr>
          <w:rFonts w:ascii="宋体" w:hAnsi="宋体" w:eastAsia="宋体" w:cs="宋体"/>
          <w:color w:val="auto"/>
          <w:spacing w:val="7"/>
          <w:sz w:val="24"/>
          <w:szCs w:val="24"/>
          <w:highlight w:val="none"/>
        </w:rPr>
        <w:t>3．总监理工程师或驻地监理工程师姓名</w:t>
      </w:r>
      <w:r>
        <w:rPr>
          <w:rFonts w:ascii="宋体" w:hAnsi="宋体" w:eastAsia="宋体" w:cs="宋体"/>
          <w:color w:val="auto"/>
          <w:spacing w:val="5"/>
          <w:sz w:val="24"/>
          <w:szCs w:val="24"/>
          <w:highlight w:val="none"/>
        </w:rPr>
        <w:t>：</w:t>
      </w:r>
      <w:r>
        <w:rPr>
          <w:rFonts w:ascii="宋体" w:hAnsi="宋体" w:eastAsia="宋体" w:cs="宋体"/>
          <w:color w:val="auto"/>
          <w:spacing w:val="10"/>
          <w:sz w:val="24"/>
          <w:szCs w:val="24"/>
          <w:highlight w:val="none"/>
          <w:u w:val="single" w:color="auto"/>
        </w:rPr>
        <w:t xml:space="preserve">          </w:t>
      </w:r>
      <w:r>
        <w:rPr>
          <w:rFonts w:ascii="宋体" w:hAnsi="宋体" w:eastAsia="宋体" w:cs="宋体"/>
          <w:color w:val="auto"/>
          <w:spacing w:val="-91"/>
          <w:sz w:val="24"/>
          <w:szCs w:val="24"/>
          <w:highlight w:val="none"/>
        </w:rPr>
        <w:t xml:space="preserve"> </w:t>
      </w:r>
      <w:r>
        <w:rPr>
          <w:rFonts w:ascii="宋体" w:hAnsi="宋体" w:eastAsia="宋体" w:cs="宋体"/>
          <w:color w:val="auto"/>
          <w:spacing w:val="5"/>
          <w:sz w:val="24"/>
          <w:szCs w:val="24"/>
          <w:highlight w:val="none"/>
        </w:rPr>
        <w:t>，</w:t>
      </w:r>
      <w:r>
        <w:rPr>
          <w:rFonts w:ascii="宋体" w:hAnsi="宋体" w:eastAsia="宋体" w:cs="宋体"/>
          <w:color w:val="auto"/>
          <w:spacing w:val="7"/>
          <w:sz w:val="24"/>
          <w:szCs w:val="24"/>
          <w:highlight w:val="none"/>
        </w:rPr>
        <w:t>年龄</w:t>
      </w:r>
      <w:r>
        <w:rPr>
          <w:rFonts w:ascii="宋体" w:hAnsi="宋体" w:eastAsia="宋体" w:cs="宋体"/>
          <w:color w:val="auto"/>
          <w:spacing w:val="5"/>
          <w:sz w:val="24"/>
          <w:szCs w:val="24"/>
          <w:highlight w:val="none"/>
        </w:rPr>
        <w:t>：</w:t>
      </w:r>
      <w:r>
        <w:rPr>
          <w:rFonts w:ascii="宋体" w:hAnsi="宋体" w:eastAsia="宋体" w:cs="宋体"/>
          <w:color w:val="auto"/>
          <w:spacing w:val="10"/>
          <w:sz w:val="24"/>
          <w:szCs w:val="24"/>
          <w:highlight w:val="none"/>
          <w:u w:val="single" w:color="auto"/>
        </w:rPr>
        <w:t xml:space="preserve">         </w:t>
      </w:r>
      <w:r>
        <w:rPr>
          <w:rFonts w:ascii="宋体" w:hAnsi="宋体" w:eastAsia="宋体" w:cs="宋体"/>
          <w:color w:val="auto"/>
          <w:spacing w:val="-90"/>
          <w:sz w:val="24"/>
          <w:szCs w:val="24"/>
          <w:highlight w:val="none"/>
        </w:rPr>
        <w:t xml:space="preserve"> </w:t>
      </w:r>
      <w:r>
        <w:rPr>
          <w:rFonts w:ascii="宋体" w:hAnsi="宋体" w:eastAsia="宋体" w:cs="宋体"/>
          <w:color w:val="auto"/>
          <w:spacing w:val="5"/>
          <w:sz w:val="24"/>
          <w:szCs w:val="24"/>
          <w:highlight w:val="none"/>
        </w:rPr>
        <w:t>，</w:t>
      </w:r>
      <w:r>
        <w:rPr>
          <w:rFonts w:ascii="宋体" w:hAnsi="宋体" w:eastAsia="宋体" w:cs="宋体"/>
          <w:color w:val="auto"/>
          <w:spacing w:val="7"/>
          <w:sz w:val="24"/>
          <w:szCs w:val="24"/>
          <w:highlight w:val="none"/>
        </w:rPr>
        <w:t>职</w:t>
      </w:r>
      <w:r>
        <w:rPr>
          <w:rFonts w:ascii="宋体" w:hAnsi="宋体" w:eastAsia="宋体" w:cs="宋体"/>
          <w:color w:val="auto"/>
          <w:spacing w:val="1"/>
          <w:sz w:val="24"/>
          <w:szCs w:val="24"/>
          <w:highlight w:val="none"/>
        </w:rPr>
        <w:t>称</w:t>
      </w:r>
      <w:r>
        <w:rPr>
          <w:rFonts w:ascii="宋体" w:hAnsi="宋体" w:eastAsia="宋体" w:cs="宋体"/>
          <w:color w:val="auto"/>
          <w:spacing w:val="-25"/>
          <w:sz w:val="24"/>
          <w:szCs w:val="24"/>
          <w:highlight w:val="none"/>
        </w:rPr>
        <w:t>：</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90"/>
          <w:sz w:val="24"/>
          <w:szCs w:val="24"/>
          <w:highlight w:val="none"/>
        </w:rPr>
        <w:t xml:space="preserve"> </w:t>
      </w:r>
      <w:r>
        <w:rPr>
          <w:rFonts w:ascii="宋体" w:hAnsi="宋体" w:eastAsia="宋体" w:cs="宋体"/>
          <w:color w:val="auto"/>
          <w:spacing w:val="-25"/>
          <w:sz w:val="24"/>
          <w:szCs w:val="24"/>
          <w:highlight w:val="none"/>
        </w:rPr>
        <w:t>，</w:t>
      </w:r>
      <w:r>
        <w:rPr>
          <w:rFonts w:ascii="宋体" w:hAnsi="宋体" w:eastAsia="宋体" w:cs="宋体"/>
          <w:color w:val="auto"/>
          <w:spacing w:val="1"/>
          <w:sz w:val="24"/>
          <w:szCs w:val="24"/>
          <w:highlight w:val="none"/>
        </w:rPr>
        <w:t>监理工程师证书：</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1"/>
          <w:sz w:val="24"/>
          <w:szCs w:val="24"/>
          <w:highlight w:val="none"/>
        </w:rPr>
        <w:t>。</w:t>
      </w:r>
    </w:p>
    <w:p w14:paraId="5B22F083">
      <w:pPr>
        <w:spacing w:before="117" w:line="219" w:lineRule="auto"/>
        <w:jc w:val="right"/>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4. 质量要求</w:t>
      </w:r>
      <w:r>
        <w:rPr>
          <w:rFonts w:ascii="宋体" w:hAnsi="宋体" w:eastAsia="宋体" w:cs="宋体"/>
          <w:color w:val="auto"/>
          <w:spacing w:val="-8"/>
          <w:sz w:val="24"/>
          <w:szCs w:val="24"/>
          <w:highlight w:val="none"/>
        </w:rPr>
        <w:t>：</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89"/>
          <w:sz w:val="24"/>
          <w:szCs w:val="24"/>
          <w:highlight w:val="none"/>
        </w:rPr>
        <w:t xml:space="preserve"> </w:t>
      </w:r>
      <w:r>
        <w:rPr>
          <w:rFonts w:ascii="宋体" w:hAnsi="宋体" w:eastAsia="宋体" w:cs="宋体"/>
          <w:color w:val="auto"/>
          <w:spacing w:val="-8"/>
          <w:sz w:val="24"/>
          <w:szCs w:val="24"/>
          <w:highlight w:val="none"/>
        </w:rPr>
        <w:t>，</w:t>
      </w:r>
      <w:r>
        <w:rPr>
          <w:rFonts w:ascii="宋体" w:hAnsi="宋体" w:eastAsia="宋体" w:cs="宋体"/>
          <w:color w:val="auto"/>
          <w:spacing w:val="-3"/>
          <w:sz w:val="24"/>
          <w:szCs w:val="24"/>
          <w:highlight w:val="none"/>
        </w:rPr>
        <w:t>安全目标</w:t>
      </w:r>
      <w:r>
        <w:rPr>
          <w:rFonts w:ascii="宋体" w:hAnsi="宋体" w:eastAsia="宋体" w:cs="宋体"/>
          <w:color w:val="auto"/>
          <w:spacing w:val="-8"/>
          <w:sz w:val="24"/>
          <w:szCs w:val="24"/>
          <w:highlight w:val="none"/>
        </w:rPr>
        <w:t>：</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91"/>
          <w:sz w:val="24"/>
          <w:szCs w:val="24"/>
          <w:highlight w:val="none"/>
        </w:rPr>
        <w:t xml:space="preserve"> </w:t>
      </w:r>
      <w:r>
        <w:rPr>
          <w:rFonts w:ascii="宋体" w:hAnsi="宋体" w:eastAsia="宋体" w:cs="宋体"/>
          <w:color w:val="auto"/>
          <w:spacing w:val="-8"/>
          <w:sz w:val="24"/>
          <w:szCs w:val="24"/>
          <w:highlight w:val="none"/>
        </w:rPr>
        <w:t>，</w:t>
      </w:r>
      <w:r>
        <w:rPr>
          <w:rFonts w:ascii="宋体" w:hAnsi="宋体" w:eastAsia="宋体" w:cs="宋体"/>
          <w:color w:val="auto"/>
          <w:spacing w:val="-3"/>
          <w:sz w:val="24"/>
          <w:szCs w:val="24"/>
          <w:highlight w:val="none"/>
        </w:rPr>
        <w:t>监理服务期限：</w:t>
      </w:r>
      <w:r>
        <w:rPr>
          <w:rFonts w:ascii="宋体" w:hAnsi="宋体" w:eastAsia="宋体" w:cs="宋体"/>
          <w:color w:val="auto"/>
          <w:spacing w:val="-3"/>
          <w:sz w:val="24"/>
          <w:szCs w:val="24"/>
          <w:highlight w:val="none"/>
          <w:u w:val="single" w:color="auto"/>
        </w:rPr>
        <w:t xml:space="preserve">       </w:t>
      </w:r>
      <w:r>
        <w:rPr>
          <w:rFonts w:ascii="宋体" w:hAnsi="宋体" w:eastAsia="宋体" w:cs="宋体"/>
          <w:color w:val="auto"/>
          <w:spacing w:val="-3"/>
          <w:sz w:val="24"/>
          <w:szCs w:val="24"/>
          <w:highlight w:val="none"/>
        </w:rPr>
        <w:t>。</w:t>
      </w:r>
    </w:p>
    <w:p w14:paraId="49CE6DE3">
      <w:pPr>
        <w:spacing w:before="114" w:line="219" w:lineRule="auto"/>
        <w:ind w:left="494"/>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5. 如我方中标，我方承诺：</w:t>
      </w:r>
    </w:p>
    <w:p w14:paraId="038E7D11">
      <w:pPr>
        <w:spacing w:before="115" w:line="219" w:lineRule="auto"/>
        <w:ind w:left="500"/>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（1）在收到中标通知书后，在规定的期限内与你方签订合同；</w:t>
      </w:r>
    </w:p>
    <w:p w14:paraId="3128A02E">
      <w:pPr>
        <w:spacing w:before="116" w:line="219" w:lineRule="auto"/>
        <w:ind w:left="500"/>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（2）在签订合同时不向你方提出附加条件；</w:t>
      </w:r>
    </w:p>
    <w:p w14:paraId="471DFFE5">
      <w:pPr>
        <w:spacing w:before="114" w:line="219" w:lineRule="auto"/>
        <w:ind w:left="500"/>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（3）按照招标文件要求提交履约保证金；</w:t>
      </w:r>
    </w:p>
    <w:p w14:paraId="1C66A29C">
      <w:pPr>
        <w:spacing w:before="117" w:line="219" w:lineRule="auto"/>
        <w:ind w:left="500"/>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（4）在合同约定的期限内完成合同规定的全部义务；</w:t>
      </w:r>
    </w:p>
    <w:p w14:paraId="19EC4497">
      <w:pPr>
        <w:spacing w:before="117" w:line="290" w:lineRule="auto"/>
        <w:ind w:left="11" w:right="8" w:firstLine="489"/>
        <w:rPr>
          <w:rFonts w:ascii="宋体" w:hAnsi="宋体" w:eastAsia="宋体" w:cs="宋体"/>
          <w:color w:val="auto"/>
          <w:sz w:val="12"/>
          <w:szCs w:val="12"/>
          <w:highlight w:val="none"/>
        </w:rPr>
      </w:pPr>
      <w:r>
        <w:rPr>
          <w:rFonts w:ascii="宋体" w:hAnsi="宋体" w:eastAsia="宋体" w:cs="宋体"/>
          <w:color w:val="auto"/>
          <w:spacing w:val="1"/>
          <w:sz w:val="24"/>
          <w:szCs w:val="24"/>
          <w:highlight w:val="none"/>
        </w:rPr>
        <w:t>（5）在你方和我方进行合同谈判之前，我方将按照合同附件提出的最低要求填报</w:t>
      </w:r>
      <w:r>
        <w:rPr>
          <w:rFonts w:ascii="宋体" w:hAnsi="宋体" w:eastAsia="宋体" w:cs="宋体"/>
          <w:color w:val="auto"/>
          <w:spacing w:val="5"/>
          <w:sz w:val="24"/>
          <w:szCs w:val="24"/>
          <w:highlight w:val="none"/>
        </w:rPr>
        <w:t>派驻本标段的其他主要监理人员及主要试验检测设备，经你方审批后作</w:t>
      </w:r>
      <w:r>
        <w:rPr>
          <w:rFonts w:ascii="宋体" w:hAnsi="宋体" w:eastAsia="宋体" w:cs="宋体"/>
          <w:color w:val="auto"/>
          <w:spacing w:val="4"/>
          <w:sz w:val="24"/>
          <w:szCs w:val="24"/>
          <w:highlight w:val="none"/>
        </w:rPr>
        <w:t>为派驻本标段</w:t>
      </w:r>
      <w:r>
        <w:rPr>
          <w:rFonts w:ascii="宋体" w:hAnsi="宋体" w:eastAsia="宋体" w:cs="宋体"/>
          <w:color w:val="auto"/>
          <w:spacing w:val="5"/>
          <w:sz w:val="24"/>
          <w:szCs w:val="24"/>
          <w:highlight w:val="none"/>
        </w:rPr>
        <w:t>的主要监理人员和主要试验检测设备且不进行更换。如我方拟派驻的人</w:t>
      </w:r>
      <w:r>
        <w:rPr>
          <w:rFonts w:ascii="宋体" w:hAnsi="宋体" w:eastAsia="宋体" w:cs="宋体"/>
          <w:color w:val="auto"/>
          <w:spacing w:val="4"/>
          <w:sz w:val="24"/>
          <w:szCs w:val="24"/>
          <w:highlight w:val="none"/>
        </w:rPr>
        <w:t>员和设备不满</w:t>
      </w:r>
      <w:r>
        <w:rPr>
          <w:rFonts w:ascii="宋体" w:hAnsi="宋体" w:eastAsia="宋体" w:cs="宋体"/>
          <w:color w:val="auto"/>
          <w:spacing w:val="-1"/>
          <w:sz w:val="24"/>
          <w:szCs w:val="24"/>
          <w:highlight w:val="none"/>
        </w:rPr>
        <w:t>足合同附件要求，你方有权取消我方中标资格。</w:t>
      </w:r>
    </w:p>
    <w:p w14:paraId="3334E57E">
      <w:pPr>
        <w:spacing w:before="2" w:line="311" w:lineRule="auto"/>
        <w:ind w:left="13" w:right="8" w:firstLine="487"/>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（6）我方在此承诺：拟投入本项目的总监理工程师（包括备选人，如有）无在岗</w:t>
      </w:r>
      <w:r>
        <w:rPr>
          <w:rFonts w:ascii="宋体" w:hAnsi="宋体" w:eastAsia="宋体" w:cs="宋体"/>
          <w:color w:val="auto"/>
          <w:spacing w:val="5"/>
          <w:sz w:val="24"/>
          <w:szCs w:val="24"/>
          <w:highlight w:val="none"/>
        </w:rPr>
        <w:t>项目（指目前未在其他项目上任职，或虽在其他项目上任职但本项</w:t>
      </w:r>
      <w:r>
        <w:rPr>
          <w:rFonts w:ascii="宋体" w:hAnsi="宋体" w:eastAsia="宋体" w:cs="宋体"/>
          <w:color w:val="auto"/>
          <w:spacing w:val="4"/>
          <w:sz w:val="24"/>
          <w:szCs w:val="24"/>
          <w:highlight w:val="none"/>
        </w:rPr>
        <w:t>目中标后能够从该</w:t>
      </w:r>
      <w:r>
        <w:rPr>
          <w:rFonts w:ascii="宋体" w:hAnsi="宋体" w:eastAsia="宋体" w:cs="宋体"/>
          <w:color w:val="auto"/>
          <w:spacing w:val="-1"/>
          <w:sz w:val="24"/>
          <w:szCs w:val="24"/>
          <w:highlight w:val="none"/>
        </w:rPr>
        <w:t>项目撤离）,否则自愿按照招标人的有关规定接受处罚。</w:t>
      </w:r>
    </w:p>
    <w:p w14:paraId="06522E06">
      <w:pPr>
        <w:spacing w:before="185" w:line="289" w:lineRule="auto"/>
        <w:ind w:left="8" w:right="8" w:firstLine="482"/>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6．我方在此声明，所递交的投标文件及有关资料内</w:t>
      </w:r>
      <w:r>
        <w:rPr>
          <w:rFonts w:ascii="宋体" w:hAnsi="宋体" w:eastAsia="宋体" w:cs="宋体"/>
          <w:color w:val="auto"/>
          <w:spacing w:val="1"/>
          <w:sz w:val="24"/>
          <w:szCs w:val="24"/>
          <w:highlight w:val="none"/>
        </w:rPr>
        <w:t>容完整、真实和准确，且不存</w:t>
      </w:r>
      <w:r>
        <w:rPr>
          <w:rFonts w:ascii="宋体" w:hAnsi="宋体" w:eastAsia="宋体" w:cs="宋体"/>
          <w:color w:val="auto"/>
          <w:spacing w:val="-3"/>
          <w:sz w:val="24"/>
          <w:szCs w:val="24"/>
          <w:highlight w:val="none"/>
        </w:rPr>
        <w:t>在招标文件第二章“投标人须知</w:t>
      </w:r>
      <w:r>
        <w:rPr>
          <w:rFonts w:ascii="宋体" w:hAnsi="宋体" w:eastAsia="宋体" w:cs="宋体"/>
          <w:color w:val="auto"/>
          <w:spacing w:val="-89"/>
          <w:sz w:val="24"/>
          <w:szCs w:val="24"/>
          <w:highlight w:val="none"/>
        </w:rPr>
        <w:t xml:space="preserve"> </w:t>
      </w:r>
      <w:r>
        <w:rPr>
          <w:rFonts w:ascii="宋体" w:hAnsi="宋体" w:eastAsia="宋体" w:cs="宋体"/>
          <w:color w:val="auto"/>
          <w:spacing w:val="-3"/>
          <w:sz w:val="24"/>
          <w:szCs w:val="24"/>
          <w:highlight w:val="none"/>
        </w:rPr>
        <w:t>”第</w:t>
      </w:r>
      <w:r>
        <w:rPr>
          <w:rFonts w:ascii="宋体" w:hAnsi="宋体" w:eastAsia="宋体" w:cs="宋体"/>
          <w:color w:val="auto"/>
          <w:spacing w:val="-32"/>
          <w:sz w:val="24"/>
          <w:szCs w:val="24"/>
          <w:highlight w:val="none"/>
        </w:rPr>
        <w:t xml:space="preserve"> </w:t>
      </w:r>
      <w:r>
        <w:rPr>
          <w:rFonts w:ascii="宋体" w:hAnsi="宋体" w:eastAsia="宋体" w:cs="宋体"/>
          <w:color w:val="auto"/>
          <w:spacing w:val="-3"/>
          <w:sz w:val="24"/>
          <w:szCs w:val="24"/>
          <w:highlight w:val="none"/>
        </w:rPr>
        <w:t>1.4.3</w:t>
      </w:r>
      <w:r>
        <w:rPr>
          <w:rFonts w:ascii="宋体" w:hAnsi="宋体" w:eastAsia="宋体" w:cs="宋体"/>
          <w:color w:val="auto"/>
          <w:spacing w:val="-47"/>
          <w:sz w:val="24"/>
          <w:szCs w:val="24"/>
          <w:highlight w:val="none"/>
        </w:rPr>
        <w:t xml:space="preserve"> </w:t>
      </w:r>
      <w:r>
        <w:rPr>
          <w:rFonts w:ascii="宋体" w:hAnsi="宋体" w:eastAsia="宋体" w:cs="宋体"/>
          <w:color w:val="auto"/>
          <w:spacing w:val="-3"/>
          <w:sz w:val="24"/>
          <w:szCs w:val="24"/>
          <w:highlight w:val="none"/>
        </w:rPr>
        <w:t>项和第</w:t>
      </w:r>
      <w:r>
        <w:rPr>
          <w:rFonts w:ascii="宋体" w:hAnsi="宋体" w:eastAsia="宋体" w:cs="宋体"/>
          <w:color w:val="auto"/>
          <w:spacing w:val="-33"/>
          <w:sz w:val="24"/>
          <w:szCs w:val="24"/>
          <w:highlight w:val="none"/>
        </w:rPr>
        <w:t xml:space="preserve"> </w:t>
      </w:r>
      <w:r>
        <w:rPr>
          <w:rFonts w:ascii="宋体" w:hAnsi="宋体" w:eastAsia="宋体" w:cs="宋体"/>
          <w:color w:val="auto"/>
          <w:spacing w:val="-3"/>
          <w:sz w:val="24"/>
          <w:szCs w:val="24"/>
          <w:highlight w:val="none"/>
        </w:rPr>
        <w:t>1.4.4</w:t>
      </w:r>
      <w:r>
        <w:rPr>
          <w:rFonts w:ascii="宋体" w:hAnsi="宋体" w:eastAsia="宋体" w:cs="宋体"/>
          <w:color w:val="auto"/>
          <w:spacing w:val="-47"/>
          <w:sz w:val="24"/>
          <w:szCs w:val="24"/>
          <w:highlight w:val="none"/>
        </w:rPr>
        <w:t xml:space="preserve"> </w:t>
      </w:r>
      <w:r>
        <w:rPr>
          <w:rFonts w:ascii="宋体" w:hAnsi="宋体" w:eastAsia="宋体" w:cs="宋体"/>
          <w:color w:val="auto"/>
          <w:spacing w:val="-3"/>
          <w:sz w:val="24"/>
          <w:szCs w:val="24"/>
          <w:highlight w:val="none"/>
        </w:rPr>
        <w:t>项规定的任何一种情</w:t>
      </w:r>
      <w:r>
        <w:rPr>
          <w:rFonts w:ascii="宋体" w:hAnsi="宋体" w:eastAsia="宋体" w:cs="宋体"/>
          <w:color w:val="auto"/>
          <w:spacing w:val="-4"/>
          <w:sz w:val="24"/>
          <w:szCs w:val="24"/>
          <w:highlight w:val="none"/>
        </w:rPr>
        <w:t>形。</w:t>
      </w:r>
    </w:p>
    <w:p w14:paraId="0E438464">
      <w:pPr>
        <w:spacing w:before="184" w:line="219" w:lineRule="auto"/>
        <w:ind w:left="495"/>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7.我方在此承诺：权利义务满足招标文件规定。</w:t>
      </w:r>
    </w:p>
    <w:p w14:paraId="7E762C09">
      <w:pPr>
        <w:spacing w:before="180" w:line="290" w:lineRule="auto"/>
        <w:ind w:left="9" w:right="8" w:firstLine="480"/>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8．在合同协议书正式签署生效之前，本投标函连同你</w:t>
      </w:r>
      <w:r>
        <w:rPr>
          <w:rFonts w:ascii="宋体" w:hAnsi="宋体" w:eastAsia="宋体" w:cs="宋体"/>
          <w:color w:val="auto"/>
          <w:spacing w:val="1"/>
          <w:sz w:val="24"/>
          <w:szCs w:val="24"/>
          <w:highlight w:val="none"/>
        </w:rPr>
        <w:t>方的中标通知书将构成我们</w:t>
      </w:r>
      <w:r>
        <w:rPr>
          <w:rFonts w:ascii="宋体" w:hAnsi="宋体" w:eastAsia="宋体" w:cs="宋体"/>
          <w:color w:val="auto"/>
          <w:spacing w:val="-1"/>
          <w:sz w:val="24"/>
          <w:szCs w:val="24"/>
          <w:highlight w:val="none"/>
        </w:rPr>
        <w:t>双方之间共同遵守的文件，对双方具有约束力。</w:t>
      </w:r>
    </w:p>
    <w:p w14:paraId="5E735DED">
      <w:pPr>
        <w:spacing w:before="269" w:line="219" w:lineRule="auto"/>
        <w:ind w:left="490"/>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9</w:t>
      </w:r>
      <w:r>
        <w:rPr>
          <w:rFonts w:ascii="宋体" w:hAnsi="宋体" w:eastAsia="宋体" w:cs="宋体"/>
          <w:color w:val="auto"/>
          <w:spacing w:val="-15"/>
          <w:sz w:val="24"/>
          <w:szCs w:val="24"/>
          <w:highlight w:val="none"/>
        </w:rPr>
        <w:t>．</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15"/>
          <w:sz w:val="24"/>
          <w:szCs w:val="24"/>
          <w:highlight w:val="none"/>
        </w:rPr>
        <w:t>（</w:t>
      </w:r>
      <w:r>
        <w:rPr>
          <w:rFonts w:ascii="宋体" w:hAnsi="宋体" w:eastAsia="宋体" w:cs="宋体"/>
          <w:color w:val="auto"/>
          <w:spacing w:val="2"/>
          <w:sz w:val="24"/>
          <w:szCs w:val="24"/>
          <w:highlight w:val="none"/>
        </w:rPr>
        <w:t>其他补充说明）。</w:t>
      </w:r>
    </w:p>
    <w:p w14:paraId="67E70F46">
      <w:pPr>
        <w:spacing w:line="311" w:lineRule="auto"/>
        <w:rPr>
          <w:rFonts w:ascii="Arial"/>
          <w:color w:val="auto"/>
          <w:sz w:val="21"/>
          <w:highlight w:val="none"/>
        </w:rPr>
      </w:pPr>
    </w:p>
    <w:p w14:paraId="08DD06E5">
      <w:pPr>
        <w:spacing w:before="79" w:line="342" w:lineRule="auto"/>
        <w:ind w:left="3432"/>
        <w:rPr>
          <w:rFonts w:ascii="宋体" w:hAnsi="宋体" w:eastAsia="宋体" w:cs="宋体"/>
          <w:color w:val="auto"/>
          <w:sz w:val="12"/>
          <w:szCs w:val="12"/>
          <w:highlight w:val="none"/>
        </w:rPr>
      </w:pPr>
      <w:r>
        <w:rPr>
          <w:rFonts w:ascii="宋体" w:hAnsi="宋体" w:eastAsia="宋体" w:cs="宋体"/>
          <w:color w:val="auto"/>
          <w:spacing w:val="4"/>
          <w:sz w:val="24"/>
          <w:szCs w:val="24"/>
          <w:highlight w:val="none"/>
        </w:rPr>
        <w:t>投 标 人</w:t>
      </w:r>
      <w:r>
        <w:rPr>
          <w:rFonts w:ascii="宋体" w:hAnsi="宋体" w:eastAsia="宋体" w:cs="宋体"/>
          <w:color w:val="auto"/>
          <w:spacing w:val="-29"/>
          <w:sz w:val="24"/>
          <w:szCs w:val="24"/>
          <w:highlight w:val="none"/>
        </w:rPr>
        <w:t>：</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29"/>
          <w:sz w:val="24"/>
          <w:szCs w:val="24"/>
          <w:highlight w:val="none"/>
        </w:rPr>
        <w:t>（</w:t>
      </w:r>
      <w:r>
        <w:rPr>
          <w:rFonts w:ascii="宋体" w:hAnsi="宋体" w:eastAsia="宋体" w:cs="宋体"/>
          <w:color w:val="auto"/>
          <w:spacing w:val="4"/>
          <w:sz w:val="24"/>
          <w:szCs w:val="24"/>
          <w:highlight w:val="none"/>
        </w:rPr>
        <w:t>盖单位章）</w:t>
      </w:r>
      <w:r>
        <w:rPr>
          <w:color w:val="auto"/>
          <w:highlight w:val="none"/>
        </w:rPr>
        <w:fldChar w:fldCharType="begin"/>
      </w:r>
      <w:r>
        <w:rPr>
          <w:color w:val="auto"/>
          <w:highlight w:val="none"/>
        </w:rPr>
        <w:instrText xml:space="preserve"> HYPERLINK \l "bookmark162" </w:instrText>
      </w:r>
      <w:r>
        <w:rPr>
          <w:color w:val="auto"/>
          <w:highlight w:val="none"/>
        </w:rPr>
        <w:fldChar w:fldCharType="separate"/>
      </w:r>
      <w:r>
        <w:rPr>
          <w:rFonts w:ascii="宋体" w:hAnsi="宋体" w:eastAsia="宋体" w:cs="宋体"/>
          <w:color w:val="auto"/>
          <w:spacing w:val="4"/>
          <w:position w:val="11"/>
          <w:sz w:val="12"/>
          <w:szCs w:val="12"/>
          <w:highlight w:val="none"/>
        </w:rPr>
        <w:t>①</w:t>
      </w:r>
      <w:r>
        <w:rPr>
          <w:rFonts w:ascii="宋体" w:hAnsi="宋体" w:eastAsia="宋体" w:cs="宋体"/>
          <w:color w:val="auto"/>
          <w:spacing w:val="4"/>
          <w:position w:val="11"/>
          <w:sz w:val="12"/>
          <w:szCs w:val="12"/>
          <w:highlight w:val="none"/>
        </w:rPr>
        <w:fldChar w:fldCharType="end"/>
      </w:r>
    </w:p>
    <w:p w14:paraId="412CCDBE">
      <w:pPr>
        <w:spacing w:line="220" w:lineRule="auto"/>
        <w:rPr>
          <w:rFonts w:ascii="宋体" w:hAnsi="宋体" w:eastAsia="宋体" w:cs="宋体"/>
          <w:color w:val="auto"/>
          <w:sz w:val="18"/>
          <w:szCs w:val="18"/>
          <w:highlight w:val="none"/>
        </w:rPr>
      </w:pPr>
    </w:p>
    <w:p w14:paraId="74E6E092">
      <w:pPr>
        <w:spacing w:before="18" w:line="220" w:lineRule="auto"/>
        <w:ind w:left="5"/>
        <w:rPr>
          <w:rFonts w:ascii="宋体" w:hAnsi="宋体" w:eastAsia="宋体" w:cs="宋体"/>
          <w:color w:val="auto"/>
          <w:sz w:val="18"/>
          <w:szCs w:val="18"/>
          <w:highlight w:val="none"/>
        </w:rPr>
      </w:pPr>
    </w:p>
    <w:p w14:paraId="112D30F5">
      <w:pPr>
        <w:spacing w:line="249" w:lineRule="auto"/>
        <w:rPr>
          <w:rFonts w:ascii="Arial"/>
          <w:color w:val="auto"/>
          <w:sz w:val="21"/>
          <w:highlight w:val="none"/>
        </w:rPr>
      </w:pPr>
      <w:r>
        <w:rPr>
          <w:color w:val="auto"/>
          <w:highlight w:val="none"/>
        </w:rPr>
        <mc:AlternateContent>
          <mc:Choice Requires="wps">
            <w:drawing>
              <wp:anchor distT="0" distB="0" distL="114300" distR="114300" simplePos="0" relativeHeight="251755520" behindDoc="0" locked="0" layoutInCell="1" allowOverlap="1">
                <wp:simplePos x="0" y="0"/>
                <wp:positionH relativeFrom="column">
                  <wp:posOffset>0</wp:posOffset>
                </wp:positionH>
                <wp:positionV relativeFrom="paragraph">
                  <wp:posOffset>59690</wp:posOffset>
                </wp:positionV>
                <wp:extent cx="1828800" cy="0"/>
                <wp:effectExtent l="4445" t="4445" r="5080" b="5080"/>
                <wp:wrapNone/>
                <wp:docPr id="45" name="任意多边形 45"/>
                <wp:cNvGraphicFramePr/>
                <a:graphic xmlns:a="http://schemas.openxmlformats.org/drawingml/2006/main">
                  <a:graphicData uri="http://schemas.microsoft.com/office/word/2010/wordprocessingShape">
                    <wps:wsp>
                      <wps:cNvSpPr/>
                      <wps:spPr>
                        <a:xfrm>
                          <a:off x="0" y="0"/>
                          <a:ext cx="1828800" cy="0"/>
                        </a:xfrm>
                        <a:custGeom>
                          <a:avLst/>
                          <a:gdLst/>
                          <a:ahLst/>
                          <a:cxnLst/>
                          <a:pathLst>
                            <a:path w="2880">
                              <a:moveTo>
                                <a:pt x="0" y="0"/>
                              </a:moveTo>
                              <a:lnTo>
                                <a:pt x="2880" y="0"/>
                              </a:lnTo>
                            </a:path>
                          </a:pathLst>
                        </a:custGeom>
                        <a:noFill/>
                        <a:ln w="0" cap="sq" cmpd="sng">
                          <a:solidFill>
                            <a:srgbClr val="000000"/>
                          </a:solidFill>
                          <a:prstDash val="solid"/>
                          <a:bevel/>
                          <a:headEnd type="none" w="med" len="med"/>
                          <a:tailEnd type="none" w="med" len="med"/>
                        </a:ln>
                      </wps:spPr>
                      <wps:bodyPr upright="1"/>
                    </wps:wsp>
                  </a:graphicData>
                </a:graphic>
              </wp:anchor>
            </w:drawing>
          </mc:Choice>
          <mc:Fallback>
            <w:pict>
              <v:shape id="_x0000_s1026" o:spid="_x0000_s1026" o:spt="100" style="position:absolute;left:0pt;margin-left:0pt;margin-top:4.7pt;height:0pt;width:144pt;z-index:251755520;mso-width-relative:page;mso-height-relative:page;" filled="f" stroked="t" coordsize="2880,1" o:gfxdata="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dHL2&#10;StEAAAAEAQAADwAAAAAAAAABACAAAAAiAAAAZHJzL2Rvd25yZXYueG1sUEsBAhQAFAAAAAgAh07i&#10;QAHgPqspAgAAiQQAAA4AAAAAAAAAAQAgAAAAIAEAAGRycy9lMm9Eb2MueG1sUEsFBgAAAAAGAAYA&#10;WQEAALsFAAAAAA==&#10;" path="m0,0l2880,0e">
                <v:fill on="f" focussize="0,0"/>
                <v:stroke weight="0pt" color="#000000" joinstyle="bevel" endcap="square"/>
                <v:imagedata o:title=""/>
                <o:lock v:ext="edit" aspectratio="f"/>
              </v:shape>
            </w:pict>
          </mc:Fallback>
        </mc:AlternateContent>
      </w:r>
    </w:p>
    <w:p w14:paraId="137F18E8">
      <w:pPr>
        <w:spacing w:line="220" w:lineRule="auto"/>
        <w:rPr>
          <w:rFonts w:ascii="宋体" w:hAnsi="宋体" w:eastAsia="宋体" w:cs="宋体"/>
          <w:color w:val="auto"/>
          <w:sz w:val="18"/>
          <w:szCs w:val="18"/>
          <w:highlight w:val="none"/>
        </w:rPr>
        <w:sectPr>
          <w:footerReference r:id="rId85" w:type="default"/>
          <w:pgSz w:w="11906" w:h="16839"/>
          <w:pgMar w:top="1431" w:right="1409" w:bottom="1297" w:left="1416" w:header="0" w:footer="1069" w:gutter="0"/>
          <w:pgNumType w:fmt="decimal"/>
          <w:cols w:space="720" w:num="1"/>
        </w:sectPr>
      </w:pPr>
      <w:r>
        <w:rPr>
          <w:rFonts w:ascii="宋体" w:hAnsi="宋体" w:eastAsia="宋体" w:cs="宋体"/>
          <w:color w:val="auto"/>
          <w:sz w:val="18"/>
          <w:szCs w:val="18"/>
          <w:highlight w:val="none"/>
        </w:rPr>
        <w:t>① 投标人仅须在投标函上加盖单位章，或由法定代表人或其委</w:t>
      </w:r>
      <w:r>
        <w:rPr>
          <w:rFonts w:ascii="宋体" w:hAnsi="宋体" w:eastAsia="宋体" w:cs="宋体"/>
          <w:color w:val="auto"/>
          <w:spacing w:val="-1"/>
          <w:sz w:val="18"/>
          <w:szCs w:val="18"/>
          <w:highlight w:val="none"/>
        </w:rPr>
        <w:t>托代理人签字。</w:t>
      </w:r>
    </w:p>
    <w:p w14:paraId="42D96FA3">
      <w:pPr>
        <w:spacing w:before="111" w:line="219" w:lineRule="auto"/>
        <w:jc w:val="right"/>
        <w:rPr>
          <w:rFonts w:ascii="宋体" w:hAnsi="宋体" w:eastAsia="宋体" w:cs="宋体"/>
          <w:color w:val="auto"/>
          <w:sz w:val="24"/>
          <w:szCs w:val="24"/>
          <w:highlight w:val="none"/>
        </w:rPr>
      </w:pPr>
      <w:r>
        <w:rPr>
          <w:rFonts w:ascii="宋体" w:hAnsi="宋体" w:eastAsia="宋体" w:cs="宋体"/>
          <w:color w:val="auto"/>
          <w:sz w:val="24"/>
          <w:szCs w:val="24"/>
          <w:highlight w:val="none"/>
        </w:rPr>
        <w:t>法定代表人或其委托代理人</w:t>
      </w:r>
      <w:r>
        <w:rPr>
          <w:rFonts w:ascii="宋体" w:hAnsi="宋体" w:eastAsia="宋体" w:cs="宋体"/>
          <w:color w:val="auto"/>
          <w:spacing w:val="-17"/>
          <w:sz w:val="24"/>
          <w:szCs w:val="24"/>
          <w:highlight w:val="none"/>
        </w:rPr>
        <w:t>：</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17"/>
          <w:sz w:val="24"/>
          <w:szCs w:val="24"/>
          <w:highlight w:val="none"/>
        </w:rPr>
        <w:t>（</w:t>
      </w:r>
      <w:r>
        <w:rPr>
          <w:rFonts w:ascii="宋体" w:hAnsi="宋体" w:eastAsia="宋体" w:cs="宋体"/>
          <w:color w:val="auto"/>
          <w:sz w:val="24"/>
          <w:szCs w:val="24"/>
          <w:highlight w:val="none"/>
        </w:rPr>
        <w:t>签字）</w:t>
      </w:r>
    </w:p>
    <w:p w14:paraId="4FA38420">
      <w:pPr>
        <w:spacing w:before="115" w:line="229" w:lineRule="auto"/>
        <w:ind w:left="3059"/>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地址：</w:t>
      </w:r>
      <w:r>
        <w:rPr>
          <w:rFonts w:ascii="宋体" w:hAnsi="宋体" w:eastAsia="宋体" w:cs="宋体"/>
          <w:color w:val="auto"/>
          <w:sz w:val="24"/>
          <w:szCs w:val="24"/>
          <w:highlight w:val="none"/>
          <w:u w:val="single" w:color="auto"/>
        </w:rPr>
        <w:t xml:space="preserve">                                     </w:t>
      </w:r>
    </w:p>
    <w:p w14:paraId="6E09C4E9">
      <w:pPr>
        <w:spacing w:before="101" w:line="224" w:lineRule="auto"/>
        <w:ind w:left="3078"/>
        <w:rPr>
          <w:rFonts w:ascii="宋体" w:hAnsi="宋体" w:eastAsia="宋体" w:cs="宋体"/>
          <w:color w:val="auto"/>
          <w:sz w:val="24"/>
          <w:szCs w:val="24"/>
          <w:highlight w:val="none"/>
        </w:rPr>
      </w:pPr>
      <w:r>
        <w:rPr>
          <w:rFonts w:ascii="宋体" w:hAnsi="宋体" w:eastAsia="宋体" w:cs="宋体"/>
          <w:color w:val="auto"/>
          <w:spacing w:val="-10"/>
          <w:sz w:val="24"/>
          <w:szCs w:val="24"/>
          <w:highlight w:val="none"/>
        </w:rPr>
        <w:t>网址：</w:t>
      </w:r>
      <w:r>
        <w:rPr>
          <w:rFonts w:ascii="宋体" w:hAnsi="宋体" w:eastAsia="宋体" w:cs="宋体"/>
          <w:color w:val="auto"/>
          <w:sz w:val="24"/>
          <w:szCs w:val="24"/>
          <w:highlight w:val="none"/>
          <w:u w:val="single" w:color="auto"/>
        </w:rPr>
        <w:t xml:space="preserve">                                     </w:t>
      </w:r>
    </w:p>
    <w:p w14:paraId="262438A9">
      <w:pPr>
        <w:spacing w:before="109" w:line="221" w:lineRule="auto"/>
        <w:ind w:left="3087"/>
        <w:rPr>
          <w:rFonts w:ascii="宋体" w:hAnsi="宋体" w:eastAsia="宋体" w:cs="宋体"/>
          <w:color w:val="auto"/>
          <w:sz w:val="24"/>
          <w:szCs w:val="24"/>
          <w:highlight w:val="none"/>
        </w:rPr>
      </w:pPr>
      <w:r>
        <w:rPr>
          <w:rFonts w:ascii="宋体" w:hAnsi="宋体" w:eastAsia="宋体" w:cs="宋体"/>
          <w:color w:val="auto"/>
          <w:spacing w:val="-13"/>
          <w:sz w:val="24"/>
          <w:szCs w:val="24"/>
          <w:highlight w:val="none"/>
        </w:rPr>
        <w:t>电话：</w:t>
      </w:r>
      <w:r>
        <w:rPr>
          <w:rFonts w:ascii="宋体" w:hAnsi="宋体" w:eastAsia="宋体" w:cs="宋体"/>
          <w:color w:val="auto"/>
          <w:sz w:val="24"/>
          <w:szCs w:val="24"/>
          <w:highlight w:val="none"/>
          <w:u w:val="single" w:color="auto"/>
        </w:rPr>
        <w:t xml:space="preserve">                                     </w:t>
      </w:r>
    </w:p>
    <w:p w14:paraId="46156487">
      <w:pPr>
        <w:spacing w:before="112" w:line="219" w:lineRule="auto"/>
        <w:ind w:left="3057"/>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传真：</w:t>
      </w:r>
      <w:r>
        <w:rPr>
          <w:rFonts w:ascii="宋体" w:hAnsi="宋体" w:eastAsia="宋体" w:cs="宋体"/>
          <w:color w:val="auto"/>
          <w:sz w:val="24"/>
          <w:szCs w:val="24"/>
          <w:highlight w:val="none"/>
          <w:u w:val="single" w:color="auto"/>
        </w:rPr>
        <w:t xml:space="preserve">                                     </w:t>
      </w:r>
    </w:p>
    <w:p w14:paraId="404EF15B">
      <w:pPr>
        <w:spacing w:before="114" w:line="219" w:lineRule="auto"/>
        <w:ind w:left="3077"/>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邮政编码：</w:t>
      </w:r>
      <w:r>
        <w:rPr>
          <w:rFonts w:ascii="宋体" w:hAnsi="宋体" w:eastAsia="宋体" w:cs="宋体"/>
          <w:color w:val="auto"/>
          <w:spacing w:val="-4"/>
          <w:sz w:val="24"/>
          <w:szCs w:val="24"/>
          <w:highlight w:val="none"/>
          <w:u w:val="single" w:color="auto"/>
        </w:rPr>
        <w:t xml:space="preserve">                                   </w:t>
      </w:r>
    </w:p>
    <w:p w14:paraId="46B22D9A">
      <w:pPr>
        <w:tabs>
          <w:tab w:val="left" w:pos="5450"/>
        </w:tabs>
        <w:spacing w:before="116" w:line="219" w:lineRule="auto"/>
        <w:ind w:left="4370"/>
        <w:outlineLvl w:val="1"/>
        <w:rPr>
          <w:rFonts w:ascii="宋体" w:hAnsi="宋体" w:eastAsia="宋体" w:cs="宋体"/>
          <w:color w:val="auto"/>
          <w:sz w:val="24"/>
          <w:szCs w:val="24"/>
          <w:highlight w:val="none"/>
        </w:rPr>
      </w:pPr>
      <w:r>
        <w:rPr>
          <w:rFonts w:ascii="宋体" w:hAnsi="宋体" w:eastAsia="宋体" w:cs="宋体"/>
          <w:color w:val="auto"/>
          <w:sz w:val="24"/>
          <w:szCs w:val="24"/>
          <w:highlight w:val="none"/>
          <w:u w:val="single" w:color="auto"/>
        </w:rPr>
        <w:tab/>
      </w:r>
      <w:r>
        <w:rPr>
          <w:rFonts w:ascii="宋体" w:hAnsi="宋体" w:eastAsia="宋体" w:cs="宋体"/>
          <w:color w:val="auto"/>
          <w:spacing w:val="-110"/>
          <w:sz w:val="24"/>
          <w:szCs w:val="24"/>
          <w:highlight w:val="none"/>
        </w:rPr>
        <w:t xml:space="preserve"> </w:t>
      </w:r>
      <w:bookmarkStart w:id="427" w:name="_Toc25771"/>
      <w:bookmarkStart w:id="428" w:name="_Toc32114"/>
      <w:bookmarkStart w:id="429" w:name="_Toc10560"/>
      <w:bookmarkStart w:id="430" w:name="_Toc20695"/>
      <w:bookmarkStart w:id="431" w:name="_Toc14922"/>
      <w:bookmarkStart w:id="432" w:name="_Toc7996"/>
      <w:bookmarkStart w:id="433" w:name="_Toc7682"/>
      <w:r>
        <w:rPr>
          <w:rFonts w:ascii="宋体" w:hAnsi="宋体" w:eastAsia="宋体" w:cs="宋体"/>
          <w:color w:val="auto"/>
          <w:spacing w:val="-9"/>
          <w:sz w:val="24"/>
          <w:szCs w:val="24"/>
          <w:highlight w:val="none"/>
        </w:rPr>
        <w:t>年</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104"/>
          <w:sz w:val="24"/>
          <w:szCs w:val="24"/>
          <w:highlight w:val="none"/>
        </w:rPr>
        <w:t xml:space="preserve"> </w:t>
      </w:r>
      <w:r>
        <w:rPr>
          <w:rFonts w:ascii="宋体" w:hAnsi="宋体" w:eastAsia="宋体" w:cs="宋体"/>
          <w:color w:val="auto"/>
          <w:spacing w:val="-9"/>
          <w:sz w:val="24"/>
          <w:szCs w:val="24"/>
          <w:highlight w:val="none"/>
        </w:rPr>
        <w:t>月</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70"/>
          <w:sz w:val="24"/>
          <w:szCs w:val="24"/>
          <w:highlight w:val="none"/>
        </w:rPr>
        <w:t xml:space="preserve"> </w:t>
      </w:r>
      <w:r>
        <w:rPr>
          <w:rFonts w:ascii="宋体" w:hAnsi="宋体" w:eastAsia="宋体" w:cs="宋体"/>
          <w:color w:val="auto"/>
          <w:spacing w:val="-9"/>
          <w:sz w:val="24"/>
          <w:szCs w:val="24"/>
          <w:highlight w:val="none"/>
        </w:rPr>
        <w:t>日</w:t>
      </w:r>
      <w:bookmarkEnd w:id="427"/>
      <w:bookmarkEnd w:id="428"/>
      <w:bookmarkEnd w:id="429"/>
      <w:bookmarkEnd w:id="430"/>
      <w:bookmarkEnd w:id="431"/>
      <w:bookmarkEnd w:id="432"/>
      <w:bookmarkEnd w:id="433"/>
    </w:p>
    <w:p w14:paraId="6067D4A2">
      <w:pPr>
        <w:spacing w:line="219" w:lineRule="auto"/>
        <w:rPr>
          <w:rFonts w:ascii="宋体" w:hAnsi="宋体" w:eastAsia="宋体" w:cs="宋体"/>
          <w:color w:val="auto"/>
          <w:sz w:val="24"/>
          <w:szCs w:val="24"/>
          <w:highlight w:val="none"/>
        </w:rPr>
        <w:sectPr>
          <w:footerReference r:id="rId86" w:type="default"/>
          <w:pgSz w:w="11906" w:h="16839"/>
          <w:pgMar w:top="1431" w:right="1690" w:bottom="1297" w:left="1785" w:header="0" w:footer="1067" w:gutter="0"/>
          <w:pgNumType w:fmt="decimal"/>
          <w:cols w:space="720" w:num="1"/>
        </w:sectPr>
      </w:pPr>
    </w:p>
    <w:p w14:paraId="2B32C9F9">
      <w:pPr>
        <w:spacing w:before="163" w:line="219" w:lineRule="auto"/>
        <w:ind w:left="2601"/>
        <w:rPr>
          <w:rFonts w:ascii="宋体" w:hAnsi="宋体" w:eastAsia="宋体" w:cs="宋体"/>
          <w:color w:val="auto"/>
          <w:sz w:val="24"/>
          <w:szCs w:val="24"/>
          <w:highlight w:val="none"/>
        </w:rPr>
      </w:pPr>
      <w:r>
        <w:rPr>
          <w:rFonts w:ascii="宋体" w:hAnsi="宋体" w:eastAsia="宋体" w:cs="宋体"/>
          <w:b/>
          <w:bCs/>
          <w:color w:val="auto"/>
          <w:spacing w:val="-3"/>
          <w:sz w:val="24"/>
          <w:szCs w:val="24"/>
          <w:highlight w:val="none"/>
        </w:rPr>
        <w:t>二、授权委托书或法定代表人身份证明</w:t>
      </w:r>
    </w:p>
    <w:p w14:paraId="02654C62">
      <w:pPr>
        <w:spacing w:line="267" w:lineRule="auto"/>
        <w:rPr>
          <w:rFonts w:ascii="Arial"/>
          <w:color w:val="auto"/>
          <w:sz w:val="21"/>
          <w:highlight w:val="none"/>
        </w:rPr>
      </w:pPr>
    </w:p>
    <w:p w14:paraId="68E8534F">
      <w:pPr>
        <w:spacing w:line="267" w:lineRule="auto"/>
        <w:rPr>
          <w:rFonts w:ascii="Arial"/>
          <w:color w:val="auto"/>
          <w:sz w:val="21"/>
          <w:highlight w:val="none"/>
        </w:rPr>
      </w:pPr>
    </w:p>
    <w:p w14:paraId="30F5AFE1">
      <w:pPr>
        <w:spacing w:line="267" w:lineRule="auto"/>
        <w:rPr>
          <w:rFonts w:ascii="Arial"/>
          <w:color w:val="auto"/>
          <w:sz w:val="21"/>
          <w:highlight w:val="none"/>
        </w:rPr>
      </w:pPr>
    </w:p>
    <w:p w14:paraId="7B986EC1">
      <w:pPr>
        <w:spacing w:before="98" w:line="219" w:lineRule="auto"/>
        <w:ind w:left="3455"/>
        <w:rPr>
          <w:rFonts w:ascii="宋体" w:hAnsi="宋体" w:eastAsia="宋体" w:cs="宋体"/>
          <w:color w:val="auto"/>
          <w:sz w:val="30"/>
          <w:szCs w:val="30"/>
          <w:highlight w:val="none"/>
        </w:rPr>
      </w:pPr>
      <w:r>
        <w:rPr>
          <w:rFonts w:ascii="宋体" w:hAnsi="宋体" w:eastAsia="宋体" w:cs="宋体"/>
          <w:b/>
          <w:bCs/>
          <w:color w:val="auto"/>
          <w:spacing w:val="-6"/>
          <w:sz w:val="30"/>
          <w:szCs w:val="30"/>
          <w:highlight w:val="none"/>
        </w:rPr>
        <w:t>（一）授权委托书</w:t>
      </w:r>
    </w:p>
    <w:p w14:paraId="543534BE">
      <w:pPr>
        <w:spacing w:line="345" w:lineRule="auto"/>
        <w:rPr>
          <w:rFonts w:ascii="Arial"/>
          <w:color w:val="auto"/>
          <w:sz w:val="21"/>
          <w:highlight w:val="none"/>
        </w:rPr>
      </w:pPr>
    </w:p>
    <w:p w14:paraId="31308550">
      <w:pPr>
        <w:spacing w:line="345" w:lineRule="auto"/>
        <w:rPr>
          <w:rFonts w:ascii="Arial"/>
          <w:color w:val="auto"/>
          <w:sz w:val="21"/>
          <w:highlight w:val="none"/>
        </w:rPr>
      </w:pPr>
    </w:p>
    <w:p w14:paraId="341A07F2">
      <w:pPr>
        <w:spacing w:before="78" w:line="338" w:lineRule="auto"/>
        <w:ind w:firstLine="589"/>
        <w:jc w:val="both"/>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本</w:t>
      </w:r>
      <w:r>
        <w:rPr>
          <w:rFonts w:ascii="宋体" w:hAnsi="宋体" w:eastAsia="宋体" w:cs="宋体"/>
          <w:color w:val="auto"/>
          <w:spacing w:val="-68"/>
          <w:sz w:val="24"/>
          <w:szCs w:val="24"/>
          <w:highlight w:val="none"/>
        </w:rPr>
        <w:t xml:space="preserve"> </w:t>
      </w:r>
      <w:r>
        <w:rPr>
          <w:rFonts w:ascii="宋体" w:hAnsi="宋体" w:eastAsia="宋体" w:cs="宋体"/>
          <w:color w:val="auto"/>
          <w:spacing w:val="-5"/>
          <w:sz w:val="24"/>
          <w:szCs w:val="24"/>
          <w:highlight w:val="none"/>
        </w:rPr>
        <w:t>人</w:t>
      </w:r>
      <w:r>
        <w:rPr>
          <w:rFonts w:ascii="宋体" w:hAnsi="宋体" w:eastAsia="宋体" w:cs="宋体"/>
          <w:color w:val="auto"/>
          <w:spacing w:val="-82"/>
          <w:sz w:val="24"/>
          <w:szCs w:val="24"/>
          <w:highlight w:val="none"/>
        </w:rPr>
        <w:t xml:space="preserve"> </w:t>
      </w:r>
      <w:r>
        <w:rPr>
          <w:rFonts w:ascii="宋体" w:hAnsi="宋体" w:eastAsia="宋体" w:cs="宋体"/>
          <w:color w:val="auto"/>
          <w:spacing w:val="-5"/>
          <w:sz w:val="24"/>
          <w:szCs w:val="24"/>
          <w:highlight w:val="none"/>
          <w:u w:val="single" w:color="auto"/>
        </w:rPr>
        <w:t xml:space="preserve">        （姓</w:t>
      </w:r>
      <w:r>
        <w:rPr>
          <w:rFonts w:ascii="宋体" w:hAnsi="宋体" w:eastAsia="宋体" w:cs="宋体"/>
          <w:color w:val="auto"/>
          <w:spacing w:val="-69"/>
          <w:sz w:val="24"/>
          <w:szCs w:val="24"/>
          <w:highlight w:val="none"/>
          <w:u w:val="single" w:color="auto"/>
        </w:rPr>
        <w:t xml:space="preserve"> </w:t>
      </w:r>
      <w:r>
        <w:rPr>
          <w:rFonts w:ascii="宋体" w:hAnsi="宋体" w:eastAsia="宋体" w:cs="宋体"/>
          <w:color w:val="auto"/>
          <w:spacing w:val="-5"/>
          <w:sz w:val="24"/>
          <w:szCs w:val="24"/>
          <w:highlight w:val="none"/>
          <w:u w:val="single" w:color="auto"/>
        </w:rPr>
        <w:t>名</w:t>
      </w:r>
      <w:r>
        <w:rPr>
          <w:rFonts w:ascii="宋体" w:hAnsi="宋体" w:eastAsia="宋体" w:cs="宋体"/>
          <w:color w:val="auto"/>
          <w:spacing w:val="-45"/>
          <w:sz w:val="24"/>
          <w:szCs w:val="24"/>
          <w:highlight w:val="none"/>
          <w:u w:val="single" w:color="auto"/>
        </w:rPr>
        <w:t xml:space="preserve"> </w:t>
      </w:r>
      <w:r>
        <w:rPr>
          <w:rFonts w:ascii="宋体" w:hAnsi="宋体" w:eastAsia="宋体" w:cs="宋体"/>
          <w:color w:val="auto"/>
          <w:spacing w:val="-5"/>
          <w:sz w:val="24"/>
          <w:szCs w:val="24"/>
          <w:highlight w:val="none"/>
          <w:u w:val="single" w:color="auto"/>
        </w:rPr>
        <w:t>）</w:t>
      </w:r>
      <w:r>
        <w:rPr>
          <w:rFonts w:ascii="宋体" w:hAnsi="宋体" w:eastAsia="宋体" w:cs="宋体"/>
          <w:color w:val="auto"/>
          <w:spacing w:val="-67"/>
          <w:sz w:val="24"/>
          <w:szCs w:val="24"/>
          <w:highlight w:val="none"/>
          <w:u w:val="single" w:color="auto"/>
        </w:rPr>
        <w:t xml:space="preserve"> </w:t>
      </w:r>
      <w:r>
        <w:rPr>
          <w:rFonts w:ascii="宋体" w:hAnsi="宋体" w:eastAsia="宋体" w:cs="宋体"/>
          <w:color w:val="auto"/>
          <w:spacing w:val="-5"/>
          <w:sz w:val="24"/>
          <w:szCs w:val="24"/>
          <w:highlight w:val="none"/>
        </w:rPr>
        <w:t>系</w:t>
      </w:r>
      <w:r>
        <w:rPr>
          <w:rFonts w:ascii="宋体" w:hAnsi="宋体" w:eastAsia="宋体" w:cs="宋体"/>
          <w:color w:val="auto"/>
          <w:spacing w:val="-80"/>
          <w:sz w:val="24"/>
          <w:szCs w:val="24"/>
          <w:highlight w:val="none"/>
        </w:rPr>
        <w:t xml:space="preserve"> </w:t>
      </w:r>
      <w:r>
        <w:rPr>
          <w:rFonts w:ascii="宋体" w:hAnsi="宋体" w:eastAsia="宋体" w:cs="宋体"/>
          <w:color w:val="auto"/>
          <w:spacing w:val="-5"/>
          <w:sz w:val="24"/>
          <w:szCs w:val="24"/>
          <w:highlight w:val="none"/>
          <w:u w:val="single" w:color="auto"/>
        </w:rPr>
        <w:t xml:space="preserve">        （</w:t>
      </w:r>
      <w:r>
        <w:rPr>
          <w:rFonts w:ascii="宋体" w:hAnsi="宋体" w:eastAsia="宋体" w:cs="宋体"/>
          <w:color w:val="auto"/>
          <w:spacing w:val="-32"/>
          <w:sz w:val="24"/>
          <w:szCs w:val="24"/>
          <w:highlight w:val="none"/>
          <w:u w:val="single" w:color="auto"/>
        </w:rPr>
        <w:t xml:space="preserve"> </w:t>
      </w:r>
      <w:r>
        <w:rPr>
          <w:rFonts w:ascii="宋体" w:hAnsi="宋体" w:eastAsia="宋体" w:cs="宋体"/>
          <w:color w:val="auto"/>
          <w:spacing w:val="-5"/>
          <w:sz w:val="24"/>
          <w:szCs w:val="24"/>
          <w:highlight w:val="none"/>
          <w:u w:val="single" w:color="auto"/>
        </w:rPr>
        <w:t>投</w:t>
      </w:r>
      <w:r>
        <w:rPr>
          <w:rFonts w:ascii="宋体" w:hAnsi="宋体" w:eastAsia="宋体" w:cs="宋体"/>
          <w:color w:val="auto"/>
          <w:spacing w:val="-71"/>
          <w:sz w:val="24"/>
          <w:szCs w:val="24"/>
          <w:highlight w:val="none"/>
          <w:u w:val="single" w:color="auto"/>
        </w:rPr>
        <w:t xml:space="preserve"> </w:t>
      </w:r>
      <w:r>
        <w:rPr>
          <w:rFonts w:ascii="宋体" w:hAnsi="宋体" w:eastAsia="宋体" w:cs="宋体"/>
          <w:color w:val="auto"/>
          <w:spacing w:val="-6"/>
          <w:sz w:val="24"/>
          <w:szCs w:val="24"/>
          <w:highlight w:val="none"/>
          <w:u w:val="single" w:color="auto"/>
        </w:rPr>
        <w:t>标</w:t>
      </w:r>
      <w:r>
        <w:rPr>
          <w:rFonts w:ascii="宋体" w:hAnsi="宋体" w:eastAsia="宋体" w:cs="宋体"/>
          <w:color w:val="auto"/>
          <w:spacing w:val="-68"/>
          <w:sz w:val="24"/>
          <w:szCs w:val="24"/>
          <w:highlight w:val="none"/>
          <w:u w:val="single" w:color="auto"/>
        </w:rPr>
        <w:t xml:space="preserve"> </w:t>
      </w:r>
      <w:r>
        <w:rPr>
          <w:rFonts w:ascii="宋体" w:hAnsi="宋体" w:eastAsia="宋体" w:cs="宋体"/>
          <w:color w:val="auto"/>
          <w:spacing w:val="-6"/>
          <w:sz w:val="24"/>
          <w:szCs w:val="24"/>
          <w:highlight w:val="none"/>
          <w:u w:val="single" w:color="auto"/>
        </w:rPr>
        <w:t>人</w:t>
      </w:r>
      <w:r>
        <w:rPr>
          <w:rFonts w:ascii="宋体" w:hAnsi="宋体" w:eastAsia="宋体" w:cs="宋体"/>
          <w:color w:val="auto"/>
          <w:spacing w:val="-70"/>
          <w:sz w:val="24"/>
          <w:szCs w:val="24"/>
          <w:highlight w:val="none"/>
          <w:u w:val="single" w:color="auto"/>
        </w:rPr>
        <w:t xml:space="preserve"> </w:t>
      </w:r>
      <w:r>
        <w:rPr>
          <w:rFonts w:ascii="宋体" w:hAnsi="宋体" w:eastAsia="宋体" w:cs="宋体"/>
          <w:color w:val="auto"/>
          <w:spacing w:val="-6"/>
          <w:sz w:val="24"/>
          <w:szCs w:val="24"/>
          <w:highlight w:val="none"/>
          <w:u w:val="single" w:color="auto"/>
        </w:rPr>
        <w:t>名</w:t>
      </w:r>
      <w:r>
        <w:rPr>
          <w:rFonts w:ascii="宋体" w:hAnsi="宋体" w:eastAsia="宋体" w:cs="宋体"/>
          <w:color w:val="auto"/>
          <w:spacing w:val="-71"/>
          <w:sz w:val="24"/>
          <w:szCs w:val="24"/>
          <w:highlight w:val="none"/>
          <w:u w:val="single" w:color="auto"/>
        </w:rPr>
        <w:t xml:space="preserve"> </w:t>
      </w:r>
      <w:r>
        <w:rPr>
          <w:rFonts w:ascii="宋体" w:hAnsi="宋体" w:eastAsia="宋体" w:cs="宋体"/>
          <w:color w:val="auto"/>
          <w:spacing w:val="-6"/>
          <w:sz w:val="24"/>
          <w:szCs w:val="24"/>
          <w:highlight w:val="none"/>
          <w:u w:val="single" w:color="auto"/>
        </w:rPr>
        <w:t>称</w:t>
      </w:r>
      <w:r>
        <w:rPr>
          <w:rFonts w:ascii="宋体" w:hAnsi="宋体" w:eastAsia="宋体" w:cs="宋体"/>
          <w:color w:val="auto"/>
          <w:spacing w:val="-46"/>
          <w:sz w:val="24"/>
          <w:szCs w:val="24"/>
          <w:highlight w:val="none"/>
          <w:u w:val="single" w:color="auto"/>
        </w:rPr>
        <w:t xml:space="preserve"> </w:t>
      </w:r>
      <w:r>
        <w:rPr>
          <w:rFonts w:ascii="宋体" w:hAnsi="宋体" w:eastAsia="宋体" w:cs="宋体"/>
          <w:color w:val="auto"/>
          <w:spacing w:val="-6"/>
          <w:sz w:val="24"/>
          <w:szCs w:val="24"/>
          <w:highlight w:val="none"/>
          <w:u w:val="single" w:color="auto"/>
        </w:rPr>
        <w:t>）</w:t>
      </w:r>
      <w:r>
        <w:rPr>
          <w:rFonts w:ascii="宋体" w:hAnsi="宋体" w:eastAsia="宋体" w:cs="宋体"/>
          <w:color w:val="auto"/>
          <w:spacing w:val="-51"/>
          <w:sz w:val="24"/>
          <w:szCs w:val="24"/>
          <w:highlight w:val="none"/>
          <w:u w:val="single" w:color="auto"/>
        </w:rPr>
        <w:t xml:space="preserve"> </w:t>
      </w:r>
      <w:r>
        <w:rPr>
          <w:rFonts w:ascii="宋体" w:hAnsi="宋体" w:eastAsia="宋体" w:cs="宋体"/>
          <w:color w:val="auto"/>
          <w:spacing w:val="-6"/>
          <w:sz w:val="24"/>
          <w:szCs w:val="24"/>
          <w:highlight w:val="none"/>
        </w:rPr>
        <w:t>的</w:t>
      </w:r>
      <w:r>
        <w:rPr>
          <w:rFonts w:ascii="宋体" w:hAnsi="宋体" w:eastAsia="宋体" w:cs="宋体"/>
          <w:color w:val="auto"/>
          <w:spacing w:val="-68"/>
          <w:sz w:val="24"/>
          <w:szCs w:val="24"/>
          <w:highlight w:val="none"/>
        </w:rPr>
        <w:t xml:space="preserve"> </w:t>
      </w:r>
      <w:r>
        <w:rPr>
          <w:rFonts w:ascii="宋体" w:hAnsi="宋体" w:eastAsia="宋体" w:cs="宋体"/>
          <w:color w:val="auto"/>
          <w:spacing w:val="-6"/>
          <w:sz w:val="24"/>
          <w:szCs w:val="24"/>
          <w:highlight w:val="none"/>
        </w:rPr>
        <w:t>法</w:t>
      </w:r>
      <w:r>
        <w:rPr>
          <w:rFonts w:ascii="宋体" w:hAnsi="宋体" w:eastAsia="宋体" w:cs="宋体"/>
          <w:color w:val="auto"/>
          <w:spacing w:val="-67"/>
          <w:sz w:val="24"/>
          <w:szCs w:val="24"/>
          <w:highlight w:val="none"/>
        </w:rPr>
        <w:t xml:space="preserve"> </w:t>
      </w:r>
      <w:r>
        <w:rPr>
          <w:rFonts w:ascii="宋体" w:hAnsi="宋体" w:eastAsia="宋体" w:cs="宋体"/>
          <w:color w:val="auto"/>
          <w:spacing w:val="-6"/>
          <w:sz w:val="24"/>
          <w:szCs w:val="24"/>
          <w:highlight w:val="none"/>
        </w:rPr>
        <w:t>定</w:t>
      </w:r>
      <w:r>
        <w:rPr>
          <w:rFonts w:ascii="宋体" w:hAnsi="宋体" w:eastAsia="宋体" w:cs="宋体"/>
          <w:color w:val="auto"/>
          <w:spacing w:val="-71"/>
          <w:sz w:val="24"/>
          <w:szCs w:val="24"/>
          <w:highlight w:val="none"/>
        </w:rPr>
        <w:t xml:space="preserve"> </w:t>
      </w:r>
      <w:r>
        <w:rPr>
          <w:rFonts w:ascii="宋体" w:hAnsi="宋体" w:eastAsia="宋体" w:cs="宋体"/>
          <w:color w:val="auto"/>
          <w:spacing w:val="-6"/>
          <w:sz w:val="24"/>
          <w:szCs w:val="24"/>
          <w:highlight w:val="none"/>
        </w:rPr>
        <w:t>代表</w:t>
      </w:r>
      <w:r>
        <w:rPr>
          <w:rFonts w:ascii="宋体" w:hAnsi="宋体" w:eastAsia="宋体" w:cs="宋体"/>
          <w:color w:val="auto"/>
          <w:spacing w:val="-68"/>
          <w:sz w:val="24"/>
          <w:szCs w:val="24"/>
          <w:highlight w:val="none"/>
        </w:rPr>
        <w:t xml:space="preserve"> </w:t>
      </w:r>
      <w:r>
        <w:rPr>
          <w:rFonts w:ascii="宋体" w:hAnsi="宋体" w:eastAsia="宋体" w:cs="宋体"/>
          <w:color w:val="auto"/>
          <w:spacing w:val="-6"/>
          <w:sz w:val="24"/>
          <w:szCs w:val="24"/>
          <w:highlight w:val="none"/>
        </w:rPr>
        <w:t>人</w:t>
      </w:r>
      <w:r>
        <w:rPr>
          <w:rFonts w:ascii="宋体" w:hAnsi="宋体" w:eastAsia="宋体" w:cs="宋体"/>
          <w:color w:val="auto"/>
          <w:spacing w:val="-52"/>
          <w:sz w:val="24"/>
          <w:szCs w:val="24"/>
          <w:highlight w:val="none"/>
        </w:rPr>
        <w:t xml:space="preserve"> </w:t>
      </w:r>
      <w:r>
        <w:rPr>
          <w:rFonts w:ascii="宋体" w:hAnsi="宋体" w:eastAsia="宋体" w:cs="宋体"/>
          <w:color w:val="auto"/>
          <w:spacing w:val="-6"/>
          <w:sz w:val="24"/>
          <w:szCs w:val="24"/>
          <w:highlight w:val="none"/>
        </w:rPr>
        <w:t>，</w:t>
      </w:r>
      <w:r>
        <w:rPr>
          <w:rFonts w:ascii="宋体" w:hAnsi="宋体" w:eastAsia="宋体" w:cs="宋体"/>
          <w:color w:val="auto"/>
          <w:spacing w:val="-68"/>
          <w:sz w:val="24"/>
          <w:szCs w:val="24"/>
          <w:highlight w:val="none"/>
        </w:rPr>
        <w:t xml:space="preserve"> </w:t>
      </w:r>
      <w:r>
        <w:rPr>
          <w:rFonts w:ascii="宋体" w:hAnsi="宋体" w:eastAsia="宋体" w:cs="宋体"/>
          <w:color w:val="auto"/>
          <w:spacing w:val="-6"/>
          <w:sz w:val="24"/>
          <w:szCs w:val="24"/>
          <w:highlight w:val="none"/>
        </w:rPr>
        <w:t>现</w:t>
      </w:r>
      <w:r>
        <w:rPr>
          <w:rFonts w:ascii="宋体" w:hAnsi="宋体" w:eastAsia="宋体" w:cs="宋体"/>
          <w:color w:val="auto"/>
          <w:spacing w:val="-71"/>
          <w:sz w:val="24"/>
          <w:szCs w:val="24"/>
          <w:highlight w:val="none"/>
        </w:rPr>
        <w:t xml:space="preserve"> </w:t>
      </w:r>
      <w:r>
        <w:rPr>
          <w:rFonts w:ascii="宋体" w:hAnsi="宋体" w:eastAsia="宋体" w:cs="宋体"/>
          <w:color w:val="auto"/>
          <w:spacing w:val="-6"/>
          <w:sz w:val="24"/>
          <w:szCs w:val="24"/>
          <w:highlight w:val="none"/>
        </w:rPr>
        <w:t>委托</w:t>
      </w:r>
      <w:r>
        <w:rPr>
          <w:rFonts w:ascii="宋体" w:hAnsi="宋体" w:eastAsia="宋体" w:cs="宋体"/>
          <w:color w:val="auto"/>
          <w:spacing w:val="1"/>
          <w:sz w:val="24"/>
          <w:szCs w:val="24"/>
          <w:highlight w:val="none"/>
          <w:u w:val="single" w:color="auto"/>
        </w:rPr>
        <w:t>（姓名）</w:t>
      </w:r>
      <w:r>
        <w:rPr>
          <w:rFonts w:ascii="宋体" w:hAnsi="宋体" w:eastAsia="宋体" w:cs="宋体"/>
          <w:color w:val="auto"/>
          <w:spacing w:val="1"/>
          <w:sz w:val="24"/>
          <w:szCs w:val="24"/>
          <w:highlight w:val="none"/>
        </w:rPr>
        <w:t>为我方代理人。代理人根据授权，以我方名义签署、澄清确认、递交、撤回、</w:t>
      </w:r>
      <w:r>
        <w:rPr>
          <w:rFonts w:ascii="宋体" w:hAnsi="宋体" w:eastAsia="宋体" w:cs="宋体"/>
          <w:color w:val="auto"/>
          <w:spacing w:val="6"/>
          <w:sz w:val="24"/>
          <w:szCs w:val="24"/>
          <w:highlight w:val="none"/>
        </w:rPr>
        <w:t>修改</w:t>
      </w:r>
      <w:r>
        <w:rPr>
          <w:rFonts w:ascii="宋体" w:hAnsi="宋体" w:eastAsia="宋体" w:cs="宋体"/>
          <w:color w:val="auto"/>
          <w:spacing w:val="6"/>
          <w:sz w:val="24"/>
          <w:szCs w:val="24"/>
          <w:highlight w:val="none"/>
          <w:u w:val="single" w:color="auto"/>
        </w:rPr>
        <w:t xml:space="preserve">                     （项目名称）</w:t>
      </w:r>
      <w:r>
        <w:rPr>
          <w:rFonts w:ascii="宋体" w:hAnsi="宋体" w:eastAsia="宋体" w:cs="宋体"/>
          <w:color w:val="auto"/>
          <w:spacing w:val="5"/>
          <w:sz w:val="24"/>
          <w:szCs w:val="24"/>
          <w:highlight w:val="none"/>
          <w:u w:val="single" w:color="auto"/>
        </w:rPr>
        <w:t xml:space="preserve">     </w:t>
      </w:r>
      <w:r>
        <w:rPr>
          <w:rFonts w:ascii="宋体" w:hAnsi="宋体" w:eastAsia="宋体" w:cs="宋体"/>
          <w:color w:val="auto"/>
          <w:spacing w:val="-109"/>
          <w:sz w:val="24"/>
          <w:szCs w:val="24"/>
          <w:highlight w:val="none"/>
        </w:rPr>
        <w:t xml:space="preserve"> </w:t>
      </w:r>
      <w:r>
        <w:rPr>
          <w:rFonts w:ascii="宋体" w:hAnsi="宋体" w:eastAsia="宋体" w:cs="宋体"/>
          <w:color w:val="auto"/>
          <w:spacing w:val="5"/>
          <w:sz w:val="24"/>
          <w:szCs w:val="24"/>
          <w:highlight w:val="none"/>
        </w:rPr>
        <w:t>标段施工监理投标文件、签订合同和处理有关事宜，其法律后果由我方承担。</w:t>
      </w:r>
    </w:p>
    <w:p w14:paraId="2D8C9EA2">
      <w:pPr>
        <w:spacing w:line="218" w:lineRule="auto"/>
        <w:ind w:left="587"/>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委托期限：</w:t>
      </w:r>
      <w:r>
        <w:rPr>
          <w:rFonts w:ascii="宋体" w:hAnsi="宋体" w:eastAsia="宋体" w:cs="宋体"/>
          <w:color w:val="auto"/>
          <w:spacing w:val="-58"/>
          <w:sz w:val="24"/>
          <w:szCs w:val="24"/>
          <w:highlight w:val="none"/>
        </w:rPr>
        <w:t xml:space="preserve"> </w:t>
      </w:r>
      <w:r>
        <w:rPr>
          <w:rFonts w:ascii="宋体" w:hAnsi="宋体" w:eastAsia="宋体" w:cs="宋体"/>
          <w:color w:val="auto"/>
          <w:spacing w:val="-3"/>
          <w:sz w:val="24"/>
          <w:szCs w:val="24"/>
          <w:highlight w:val="none"/>
        </w:rPr>
        <w:t>自本委托书签署之日起至投标有效期期满。</w:t>
      </w:r>
    </w:p>
    <w:p w14:paraId="4C5E1ADE">
      <w:pPr>
        <w:spacing w:before="158" w:line="219" w:lineRule="auto"/>
        <w:ind w:left="587"/>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代理人无转委托权。</w:t>
      </w:r>
    </w:p>
    <w:p w14:paraId="3C9643EC">
      <w:pPr>
        <w:spacing w:line="275" w:lineRule="auto"/>
        <w:rPr>
          <w:rFonts w:ascii="Arial"/>
          <w:color w:val="auto"/>
          <w:sz w:val="21"/>
          <w:highlight w:val="none"/>
        </w:rPr>
      </w:pPr>
    </w:p>
    <w:p w14:paraId="11341444">
      <w:pPr>
        <w:spacing w:line="276" w:lineRule="auto"/>
        <w:rPr>
          <w:rFonts w:ascii="Arial"/>
          <w:color w:val="auto"/>
          <w:sz w:val="21"/>
          <w:highlight w:val="none"/>
        </w:rPr>
      </w:pPr>
    </w:p>
    <w:p w14:paraId="70F7A7EA">
      <w:pPr>
        <w:spacing w:before="65" w:line="227" w:lineRule="auto"/>
        <w:ind w:left="123"/>
        <w:rPr>
          <w:rFonts w:ascii="宋体" w:hAnsi="宋体" w:eastAsia="宋体" w:cs="宋体"/>
          <w:color w:val="auto"/>
          <w:sz w:val="20"/>
          <w:szCs w:val="20"/>
          <w:highlight w:val="none"/>
        </w:rPr>
      </w:pPr>
      <w:r>
        <w:rPr>
          <w:rFonts w:ascii="宋体" w:hAnsi="宋体" w:eastAsia="宋体" w:cs="宋体"/>
          <w:color w:val="auto"/>
          <w:spacing w:val="8"/>
          <w:sz w:val="20"/>
          <w:szCs w:val="20"/>
          <w:highlight w:val="none"/>
        </w:rPr>
        <w:t>附：法定代表人身份证扫描件及委托代理人身份证扫描件。</w:t>
      </w:r>
    </w:p>
    <w:p w14:paraId="45199BA6">
      <w:pPr>
        <w:spacing w:line="252" w:lineRule="auto"/>
        <w:rPr>
          <w:rFonts w:ascii="Arial"/>
          <w:color w:val="auto"/>
          <w:sz w:val="21"/>
          <w:highlight w:val="none"/>
        </w:rPr>
      </w:pPr>
    </w:p>
    <w:p w14:paraId="5E521C93">
      <w:pPr>
        <w:spacing w:line="253" w:lineRule="auto"/>
        <w:rPr>
          <w:rFonts w:ascii="Arial"/>
          <w:color w:val="auto"/>
          <w:sz w:val="21"/>
          <w:highlight w:val="none"/>
        </w:rPr>
      </w:pPr>
    </w:p>
    <w:p w14:paraId="2DCA21CD">
      <w:pPr>
        <w:spacing w:before="78" w:line="219" w:lineRule="auto"/>
        <w:ind w:left="3401"/>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投标人</w:t>
      </w:r>
      <w:r>
        <w:rPr>
          <w:rFonts w:ascii="宋体" w:hAnsi="宋体" w:eastAsia="宋体" w:cs="宋体"/>
          <w:color w:val="auto"/>
          <w:spacing w:val="-15"/>
          <w:sz w:val="24"/>
          <w:szCs w:val="24"/>
          <w:highlight w:val="none"/>
        </w:rPr>
        <w:t>：</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15"/>
          <w:sz w:val="24"/>
          <w:szCs w:val="24"/>
          <w:highlight w:val="none"/>
        </w:rPr>
        <w:t>（</w:t>
      </w:r>
      <w:r>
        <w:rPr>
          <w:rFonts w:ascii="宋体" w:hAnsi="宋体" w:eastAsia="宋体" w:cs="宋体"/>
          <w:color w:val="auto"/>
          <w:spacing w:val="2"/>
          <w:sz w:val="24"/>
          <w:szCs w:val="24"/>
          <w:highlight w:val="none"/>
        </w:rPr>
        <w:t>盖单位章）</w:t>
      </w:r>
    </w:p>
    <w:p w14:paraId="313B432D">
      <w:pPr>
        <w:spacing w:line="434" w:lineRule="auto"/>
        <w:rPr>
          <w:rFonts w:ascii="Arial"/>
          <w:color w:val="auto"/>
          <w:sz w:val="21"/>
          <w:highlight w:val="none"/>
        </w:rPr>
      </w:pPr>
    </w:p>
    <w:p w14:paraId="6BE042BE">
      <w:pPr>
        <w:spacing w:before="79" w:line="219" w:lineRule="auto"/>
        <w:ind w:left="3399"/>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法定代表人</w:t>
      </w:r>
      <w:r>
        <w:rPr>
          <w:rFonts w:ascii="宋体" w:hAnsi="宋体" w:eastAsia="宋体" w:cs="宋体"/>
          <w:color w:val="auto"/>
          <w:spacing w:val="-18"/>
          <w:sz w:val="24"/>
          <w:szCs w:val="24"/>
          <w:highlight w:val="none"/>
        </w:rPr>
        <w:t>：</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18"/>
          <w:sz w:val="24"/>
          <w:szCs w:val="24"/>
          <w:highlight w:val="none"/>
        </w:rPr>
        <w:t>（</w:t>
      </w:r>
      <w:r>
        <w:rPr>
          <w:rFonts w:ascii="宋体" w:hAnsi="宋体" w:eastAsia="宋体" w:cs="宋体"/>
          <w:color w:val="auto"/>
          <w:spacing w:val="3"/>
          <w:sz w:val="24"/>
          <w:szCs w:val="24"/>
          <w:highlight w:val="none"/>
        </w:rPr>
        <w:t>签字）</w:t>
      </w:r>
    </w:p>
    <w:p w14:paraId="28B781DA">
      <w:pPr>
        <w:spacing w:line="433" w:lineRule="auto"/>
        <w:rPr>
          <w:rFonts w:ascii="Arial"/>
          <w:color w:val="auto"/>
          <w:sz w:val="21"/>
          <w:highlight w:val="none"/>
        </w:rPr>
      </w:pPr>
    </w:p>
    <w:p w14:paraId="6985E08F">
      <w:pPr>
        <w:spacing w:before="79" w:line="219" w:lineRule="auto"/>
        <w:ind w:left="3405"/>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身份证号码：</w:t>
      </w:r>
      <w:r>
        <w:rPr>
          <w:rFonts w:ascii="宋体" w:hAnsi="宋体" w:eastAsia="宋体" w:cs="宋体"/>
          <w:color w:val="auto"/>
          <w:sz w:val="24"/>
          <w:szCs w:val="24"/>
          <w:highlight w:val="none"/>
          <w:u w:val="single" w:color="auto"/>
        </w:rPr>
        <w:t xml:space="preserve">                            </w:t>
      </w:r>
    </w:p>
    <w:p w14:paraId="45AF2EAE">
      <w:pPr>
        <w:spacing w:line="436" w:lineRule="auto"/>
        <w:rPr>
          <w:rFonts w:ascii="Arial"/>
          <w:color w:val="auto"/>
          <w:sz w:val="21"/>
          <w:highlight w:val="none"/>
        </w:rPr>
      </w:pPr>
    </w:p>
    <w:p w14:paraId="65BB873C">
      <w:pPr>
        <w:spacing w:before="78" w:line="219" w:lineRule="auto"/>
        <w:ind w:left="3397"/>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委托代理人</w:t>
      </w:r>
      <w:r>
        <w:rPr>
          <w:rFonts w:ascii="宋体" w:hAnsi="宋体" w:eastAsia="宋体" w:cs="宋体"/>
          <w:color w:val="auto"/>
          <w:spacing w:val="-17"/>
          <w:sz w:val="24"/>
          <w:szCs w:val="24"/>
          <w:highlight w:val="none"/>
        </w:rPr>
        <w:t>：</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17"/>
          <w:sz w:val="24"/>
          <w:szCs w:val="24"/>
          <w:highlight w:val="none"/>
        </w:rPr>
        <w:t>（</w:t>
      </w:r>
      <w:r>
        <w:rPr>
          <w:rFonts w:ascii="宋体" w:hAnsi="宋体" w:eastAsia="宋体" w:cs="宋体"/>
          <w:color w:val="auto"/>
          <w:spacing w:val="3"/>
          <w:sz w:val="24"/>
          <w:szCs w:val="24"/>
          <w:highlight w:val="none"/>
        </w:rPr>
        <w:t>签字）</w:t>
      </w:r>
    </w:p>
    <w:p w14:paraId="1CDDCE69">
      <w:pPr>
        <w:spacing w:line="433" w:lineRule="auto"/>
        <w:rPr>
          <w:rFonts w:ascii="Arial"/>
          <w:color w:val="auto"/>
          <w:sz w:val="21"/>
          <w:highlight w:val="none"/>
        </w:rPr>
      </w:pPr>
    </w:p>
    <w:p w14:paraId="6603769B">
      <w:pPr>
        <w:spacing w:before="79" w:line="219" w:lineRule="auto"/>
        <w:ind w:left="3405"/>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身份证号码：</w:t>
      </w:r>
      <w:r>
        <w:rPr>
          <w:rFonts w:ascii="宋体" w:hAnsi="宋体" w:eastAsia="宋体" w:cs="宋体"/>
          <w:color w:val="auto"/>
          <w:sz w:val="24"/>
          <w:szCs w:val="24"/>
          <w:highlight w:val="none"/>
          <w:u w:val="single" w:color="auto"/>
        </w:rPr>
        <w:t xml:space="preserve">                             </w:t>
      </w:r>
    </w:p>
    <w:p w14:paraId="14FF447D">
      <w:pPr>
        <w:spacing w:line="433" w:lineRule="auto"/>
        <w:rPr>
          <w:rFonts w:ascii="Arial"/>
          <w:color w:val="auto"/>
          <w:sz w:val="21"/>
          <w:highlight w:val="none"/>
        </w:rPr>
      </w:pPr>
    </w:p>
    <w:p w14:paraId="7CAEE53C">
      <w:pPr>
        <w:tabs>
          <w:tab w:val="left" w:pos="5559"/>
        </w:tabs>
        <w:spacing w:before="79" w:line="219" w:lineRule="auto"/>
        <w:ind w:left="4719"/>
        <w:rPr>
          <w:rFonts w:ascii="宋体" w:hAnsi="宋体" w:eastAsia="宋体" w:cs="宋体"/>
          <w:color w:val="auto"/>
          <w:sz w:val="24"/>
          <w:szCs w:val="24"/>
          <w:highlight w:val="none"/>
        </w:rPr>
      </w:pPr>
      <w:r>
        <w:rPr>
          <w:rFonts w:ascii="宋体" w:hAnsi="宋体" w:eastAsia="宋体" w:cs="宋体"/>
          <w:color w:val="auto"/>
          <w:sz w:val="24"/>
          <w:szCs w:val="24"/>
          <w:highlight w:val="none"/>
          <w:u w:val="single" w:color="auto"/>
        </w:rPr>
        <w:tab/>
      </w:r>
      <w:r>
        <w:rPr>
          <w:rFonts w:ascii="宋体" w:hAnsi="宋体" w:eastAsia="宋体" w:cs="宋体"/>
          <w:color w:val="auto"/>
          <w:spacing w:val="-106"/>
          <w:sz w:val="24"/>
          <w:szCs w:val="24"/>
          <w:highlight w:val="none"/>
        </w:rPr>
        <w:t xml:space="preserve"> </w:t>
      </w:r>
      <w:r>
        <w:rPr>
          <w:rFonts w:ascii="宋体" w:hAnsi="宋体" w:eastAsia="宋体" w:cs="宋体"/>
          <w:color w:val="auto"/>
          <w:spacing w:val="-6"/>
          <w:sz w:val="24"/>
          <w:szCs w:val="24"/>
          <w:highlight w:val="none"/>
        </w:rPr>
        <w:t xml:space="preserve">年 </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105"/>
          <w:sz w:val="24"/>
          <w:szCs w:val="24"/>
          <w:highlight w:val="none"/>
        </w:rPr>
        <w:t xml:space="preserve"> </w:t>
      </w:r>
      <w:r>
        <w:rPr>
          <w:rFonts w:ascii="宋体" w:hAnsi="宋体" w:eastAsia="宋体" w:cs="宋体"/>
          <w:color w:val="auto"/>
          <w:spacing w:val="-6"/>
          <w:sz w:val="24"/>
          <w:szCs w:val="24"/>
          <w:highlight w:val="none"/>
        </w:rPr>
        <w:t xml:space="preserve">月 </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50"/>
          <w:sz w:val="24"/>
          <w:szCs w:val="24"/>
          <w:highlight w:val="none"/>
        </w:rPr>
        <w:t xml:space="preserve"> </w:t>
      </w:r>
      <w:r>
        <w:rPr>
          <w:rFonts w:ascii="宋体" w:hAnsi="宋体" w:eastAsia="宋体" w:cs="宋体"/>
          <w:color w:val="auto"/>
          <w:spacing w:val="-6"/>
          <w:sz w:val="24"/>
          <w:szCs w:val="24"/>
          <w:highlight w:val="none"/>
        </w:rPr>
        <w:t>日</w:t>
      </w:r>
    </w:p>
    <w:p w14:paraId="2C2104AF">
      <w:pPr>
        <w:spacing w:line="394" w:lineRule="auto"/>
        <w:rPr>
          <w:rFonts w:ascii="Arial"/>
          <w:color w:val="auto"/>
          <w:sz w:val="21"/>
          <w:highlight w:val="none"/>
        </w:rPr>
      </w:pPr>
    </w:p>
    <w:p w14:paraId="69F380B5">
      <w:pPr>
        <w:spacing w:before="65" w:line="232" w:lineRule="auto"/>
        <w:ind w:left="107"/>
        <w:rPr>
          <w:rFonts w:ascii="宋体" w:hAnsi="宋体" w:eastAsia="宋体" w:cs="宋体"/>
          <w:color w:val="auto"/>
          <w:sz w:val="20"/>
          <w:szCs w:val="20"/>
          <w:highlight w:val="none"/>
        </w:rPr>
      </w:pPr>
      <w:r>
        <w:rPr>
          <w:rFonts w:ascii="宋体" w:hAnsi="宋体" w:eastAsia="宋体" w:cs="宋体"/>
          <w:color w:val="auto"/>
          <w:sz w:val="20"/>
          <w:szCs w:val="20"/>
          <w:highlight w:val="none"/>
        </w:rPr>
        <w:t>注：</w:t>
      </w:r>
    </w:p>
    <w:p w14:paraId="2C845587">
      <w:pPr>
        <w:spacing w:before="149" w:line="299" w:lineRule="auto"/>
        <w:ind w:left="111" w:right="51" w:firstLine="431"/>
        <w:rPr>
          <w:rFonts w:ascii="宋体" w:hAnsi="宋体" w:eastAsia="宋体" w:cs="宋体"/>
          <w:color w:val="auto"/>
          <w:sz w:val="20"/>
          <w:szCs w:val="20"/>
          <w:highlight w:val="none"/>
        </w:rPr>
      </w:pPr>
      <w:r>
        <w:rPr>
          <w:rFonts w:ascii="宋体" w:hAnsi="宋体" w:eastAsia="宋体" w:cs="宋体"/>
          <w:color w:val="auto"/>
          <w:spacing w:val="9"/>
          <w:sz w:val="20"/>
          <w:szCs w:val="20"/>
          <w:highlight w:val="none"/>
        </w:rPr>
        <w:t>1.法定代表人和委托代理人必须在授权书上签名；如果由投标人的委托代理人签署投标文</w:t>
      </w:r>
      <w:r>
        <w:rPr>
          <w:rFonts w:ascii="宋体" w:hAnsi="宋体" w:eastAsia="宋体" w:cs="宋体"/>
          <w:color w:val="auto"/>
          <w:spacing w:val="8"/>
          <w:sz w:val="20"/>
          <w:szCs w:val="20"/>
          <w:highlight w:val="none"/>
        </w:rPr>
        <w:t>件，则不需提交（二）法定代表人身份证明；</w:t>
      </w:r>
    </w:p>
    <w:p w14:paraId="696378AA">
      <w:pPr>
        <w:spacing w:before="151" w:line="227" w:lineRule="auto"/>
        <w:ind w:left="529"/>
        <w:rPr>
          <w:rFonts w:ascii="宋体" w:hAnsi="宋体" w:eastAsia="宋体" w:cs="宋体"/>
          <w:color w:val="auto"/>
          <w:sz w:val="20"/>
          <w:szCs w:val="20"/>
          <w:highlight w:val="none"/>
        </w:rPr>
      </w:pPr>
      <w:r>
        <w:rPr>
          <w:rFonts w:ascii="宋体" w:hAnsi="宋体" w:eastAsia="宋体" w:cs="宋体"/>
          <w:color w:val="auto"/>
          <w:spacing w:val="9"/>
          <w:sz w:val="20"/>
          <w:szCs w:val="20"/>
          <w:highlight w:val="none"/>
        </w:rPr>
        <w:t>2.以联合体形式投标的，本授权委托书应由联合体牵头人的法定代表人按上述规定签署。</w:t>
      </w:r>
    </w:p>
    <w:p w14:paraId="19AB3A72">
      <w:pPr>
        <w:spacing w:before="155" w:line="227" w:lineRule="auto"/>
        <w:ind w:left="531"/>
        <w:rPr>
          <w:rFonts w:ascii="宋体" w:hAnsi="宋体" w:eastAsia="宋体" w:cs="宋体"/>
          <w:color w:val="auto"/>
          <w:sz w:val="20"/>
          <w:szCs w:val="20"/>
          <w:highlight w:val="none"/>
        </w:rPr>
      </w:pPr>
      <w:r>
        <w:rPr>
          <w:rFonts w:ascii="宋体" w:hAnsi="宋体" w:eastAsia="宋体" w:cs="宋体"/>
          <w:color w:val="auto"/>
          <w:spacing w:val="9"/>
          <w:sz w:val="20"/>
          <w:szCs w:val="20"/>
          <w:highlight w:val="none"/>
        </w:rPr>
        <w:t>3.如果由投标人的法定代表人签署投标文件，则无须提交授权委托</w:t>
      </w:r>
      <w:r>
        <w:rPr>
          <w:rFonts w:ascii="宋体" w:hAnsi="宋体" w:eastAsia="宋体" w:cs="宋体"/>
          <w:color w:val="auto"/>
          <w:spacing w:val="8"/>
          <w:sz w:val="20"/>
          <w:szCs w:val="20"/>
          <w:highlight w:val="none"/>
        </w:rPr>
        <w:t>书。</w:t>
      </w:r>
    </w:p>
    <w:p w14:paraId="6945254A">
      <w:pPr>
        <w:spacing w:line="227" w:lineRule="auto"/>
        <w:rPr>
          <w:rFonts w:ascii="宋体" w:hAnsi="宋体" w:eastAsia="宋体" w:cs="宋体"/>
          <w:color w:val="auto"/>
          <w:sz w:val="20"/>
          <w:szCs w:val="20"/>
          <w:highlight w:val="none"/>
        </w:rPr>
        <w:sectPr>
          <w:footerReference r:id="rId87" w:type="default"/>
          <w:pgSz w:w="11906" w:h="16839"/>
          <w:pgMar w:top="1431" w:right="1418" w:bottom="1297" w:left="1316" w:header="0" w:footer="1067" w:gutter="0"/>
          <w:pgNumType w:fmt="decimal"/>
          <w:cols w:space="720" w:num="1"/>
        </w:sectPr>
      </w:pPr>
    </w:p>
    <w:p w14:paraId="7AA532F1">
      <w:pPr>
        <w:spacing w:before="60" w:line="219" w:lineRule="auto"/>
        <w:ind w:left="2669"/>
        <w:outlineLvl w:val="1"/>
        <w:rPr>
          <w:rFonts w:ascii="宋体" w:hAnsi="宋体" w:eastAsia="宋体" w:cs="宋体"/>
          <w:color w:val="auto"/>
          <w:sz w:val="30"/>
          <w:szCs w:val="30"/>
          <w:highlight w:val="none"/>
        </w:rPr>
      </w:pPr>
      <w:bookmarkStart w:id="434" w:name="_Toc5176"/>
      <w:bookmarkStart w:id="435" w:name="_Toc7818"/>
      <w:bookmarkStart w:id="436" w:name="_Toc5490"/>
      <w:bookmarkStart w:id="437" w:name="_Toc3163"/>
      <w:bookmarkStart w:id="438" w:name="_Toc30571"/>
      <w:bookmarkStart w:id="439" w:name="_Toc17150"/>
      <w:bookmarkStart w:id="440" w:name="_Toc12748"/>
      <w:r>
        <w:rPr>
          <w:rFonts w:ascii="宋体" w:hAnsi="宋体" w:eastAsia="宋体" w:cs="宋体"/>
          <w:b/>
          <w:bCs/>
          <w:color w:val="auto"/>
          <w:spacing w:val="-4"/>
          <w:sz w:val="30"/>
          <w:szCs w:val="30"/>
          <w:highlight w:val="none"/>
        </w:rPr>
        <w:t>（二）</w:t>
      </w:r>
      <w:r>
        <w:rPr>
          <w:rFonts w:ascii="宋体" w:hAnsi="宋体" w:eastAsia="宋体" w:cs="宋体"/>
          <w:color w:val="auto"/>
          <w:spacing w:val="-4"/>
          <w:sz w:val="30"/>
          <w:szCs w:val="30"/>
          <w:highlight w:val="none"/>
        </w:rPr>
        <w:t xml:space="preserve"> </w:t>
      </w:r>
      <w:r>
        <w:rPr>
          <w:rFonts w:ascii="宋体" w:hAnsi="宋体" w:eastAsia="宋体" w:cs="宋体"/>
          <w:b/>
          <w:bCs/>
          <w:color w:val="auto"/>
          <w:spacing w:val="-4"/>
          <w:sz w:val="30"/>
          <w:szCs w:val="30"/>
          <w:highlight w:val="none"/>
        </w:rPr>
        <w:t>法定代表人身份证明</w:t>
      </w:r>
      <w:bookmarkEnd w:id="434"/>
      <w:bookmarkEnd w:id="435"/>
      <w:bookmarkEnd w:id="436"/>
      <w:bookmarkEnd w:id="437"/>
      <w:bookmarkEnd w:id="438"/>
      <w:bookmarkEnd w:id="439"/>
      <w:bookmarkEnd w:id="440"/>
    </w:p>
    <w:p w14:paraId="6E77167F">
      <w:pPr>
        <w:spacing w:line="342" w:lineRule="auto"/>
        <w:rPr>
          <w:rFonts w:ascii="Arial"/>
          <w:color w:val="auto"/>
          <w:sz w:val="21"/>
          <w:highlight w:val="none"/>
        </w:rPr>
      </w:pPr>
    </w:p>
    <w:p w14:paraId="31039CB7">
      <w:pPr>
        <w:spacing w:line="343" w:lineRule="auto"/>
        <w:rPr>
          <w:rFonts w:ascii="Arial"/>
          <w:color w:val="auto"/>
          <w:sz w:val="21"/>
          <w:highlight w:val="none"/>
        </w:rPr>
      </w:pPr>
    </w:p>
    <w:p w14:paraId="3CAC26DA">
      <w:pPr>
        <w:spacing w:before="78" w:line="220" w:lineRule="auto"/>
        <w:ind w:left="2"/>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投标人名称：</w:t>
      </w:r>
      <w:r>
        <w:rPr>
          <w:rFonts w:ascii="宋体" w:hAnsi="宋体" w:eastAsia="宋体" w:cs="宋体"/>
          <w:color w:val="auto"/>
          <w:sz w:val="24"/>
          <w:szCs w:val="24"/>
          <w:highlight w:val="none"/>
          <w:u w:val="single" w:color="auto"/>
        </w:rPr>
        <w:t xml:space="preserve">                             </w:t>
      </w:r>
    </w:p>
    <w:p w14:paraId="08B3DEAD">
      <w:pPr>
        <w:spacing w:before="155" w:line="338" w:lineRule="auto"/>
        <w:ind w:left="4" w:right="184" w:hanging="4"/>
        <w:rPr>
          <w:rFonts w:ascii="宋体" w:hAnsi="宋体" w:eastAsia="宋体" w:cs="宋体"/>
          <w:color w:val="auto"/>
          <w:sz w:val="24"/>
          <w:szCs w:val="24"/>
          <w:highlight w:val="none"/>
        </w:rPr>
      </w:pPr>
      <w:r>
        <w:rPr>
          <w:rFonts w:ascii="宋体" w:hAnsi="宋体" w:eastAsia="宋体" w:cs="宋体"/>
          <w:color w:val="auto"/>
          <w:sz w:val="24"/>
          <w:szCs w:val="24"/>
          <w:highlight w:val="none"/>
        </w:rPr>
        <w:t>姓名</w:t>
      </w:r>
      <w:r>
        <w:rPr>
          <w:rFonts w:ascii="宋体" w:hAnsi="宋体" w:eastAsia="宋体" w:cs="宋体"/>
          <w:color w:val="auto"/>
          <w:spacing w:val="-11"/>
          <w:sz w:val="24"/>
          <w:szCs w:val="24"/>
          <w:highlight w:val="none"/>
        </w:rPr>
        <w:t>：</w:t>
      </w:r>
      <w:r>
        <w:rPr>
          <w:rFonts w:ascii="宋体" w:hAnsi="宋体" w:eastAsia="宋体" w:cs="宋体"/>
          <w:color w:val="auto"/>
          <w:spacing w:val="20"/>
          <w:sz w:val="24"/>
          <w:szCs w:val="24"/>
          <w:highlight w:val="none"/>
          <w:u w:val="single" w:color="auto"/>
        </w:rPr>
        <w:t xml:space="preserve">      </w:t>
      </w:r>
      <w:r>
        <w:rPr>
          <w:rFonts w:ascii="宋体" w:hAnsi="宋体" w:eastAsia="宋体" w:cs="宋体"/>
          <w:color w:val="auto"/>
          <w:spacing w:val="-11"/>
          <w:sz w:val="24"/>
          <w:szCs w:val="24"/>
          <w:highlight w:val="none"/>
          <w:u w:val="single" w:color="auto"/>
        </w:rPr>
        <w:t>（</w:t>
      </w:r>
      <w:r>
        <w:rPr>
          <w:rFonts w:ascii="宋体" w:hAnsi="宋体" w:eastAsia="宋体" w:cs="宋体"/>
          <w:color w:val="auto"/>
          <w:sz w:val="24"/>
          <w:szCs w:val="24"/>
          <w:highlight w:val="none"/>
          <w:u w:val="single" w:color="auto"/>
        </w:rPr>
        <w:t>法定代表人签字）</w:t>
      </w:r>
      <w:r>
        <w:rPr>
          <w:rFonts w:ascii="宋体" w:hAnsi="宋体" w:eastAsia="宋体" w:cs="宋体"/>
          <w:color w:val="auto"/>
          <w:sz w:val="24"/>
          <w:szCs w:val="24"/>
          <w:highlight w:val="none"/>
        </w:rPr>
        <w:t>性别：</w:t>
      </w:r>
      <w:r>
        <w:rPr>
          <w:rFonts w:ascii="宋体" w:hAnsi="宋体" w:eastAsia="宋体" w:cs="宋体"/>
          <w:color w:val="auto"/>
          <w:sz w:val="24"/>
          <w:szCs w:val="24"/>
          <w:highlight w:val="none"/>
          <w:u w:val="single" w:color="auto"/>
        </w:rPr>
        <w:t xml:space="preserve">     </w:t>
      </w:r>
      <w:r>
        <w:rPr>
          <w:rFonts w:ascii="宋体" w:hAnsi="宋体" w:eastAsia="宋体" w:cs="宋体"/>
          <w:color w:val="auto"/>
          <w:sz w:val="24"/>
          <w:szCs w:val="24"/>
          <w:highlight w:val="none"/>
        </w:rPr>
        <w:t xml:space="preserve"> 年龄：</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109"/>
          <w:sz w:val="24"/>
          <w:szCs w:val="24"/>
          <w:highlight w:val="none"/>
        </w:rPr>
        <w:t xml:space="preserve"> </w:t>
      </w:r>
      <w:r>
        <w:rPr>
          <w:rFonts w:ascii="宋体" w:hAnsi="宋体" w:eastAsia="宋体" w:cs="宋体"/>
          <w:color w:val="auto"/>
          <w:sz w:val="24"/>
          <w:szCs w:val="24"/>
          <w:highlight w:val="none"/>
        </w:rPr>
        <w:t>职务：</w:t>
      </w:r>
      <w:r>
        <w:rPr>
          <w:rFonts w:ascii="宋体" w:hAnsi="宋体" w:eastAsia="宋体" w:cs="宋体"/>
          <w:color w:val="auto"/>
          <w:sz w:val="24"/>
          <w:szCs w:val="24"/>
          <w:highlight w:val="none"/>
          <w:u w:val="single" w:color="auto"/>
        </w:rPr>
        <w:t xml:space="preserve">        </w:t>
      </w:r>
      <w:r>
        <w:rPr>
          <w:rFonts w:ascii="宋体" w:hAnsi="宋体" w:eastAsia="宋体" w:cs="宋体"/>
          <w:color w:val="auto"/>
          <w:sz w:val="24"/>
          <w:szCs w:val="24"/>
          <w:highlight w:val="none"/>
        </w:rPr>
        <w:t>系</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1"/>
          <w:sz w:val="24"/>
          <w:szCs w:val="24"/>
          <w:highlight w:val="none"/>
          <w:u w:val="single" w:color="auto"/>
        </w:rPr>
        <w:t xml:space="preserve">  （投标人名称）</w:t>
      </w:r>
      <w:r>
        <w:rPr>
          <w:rFonts w:ascii="宋体" w:hAnsi="宋体" w:eastAsia="宋体" w:cs="宋体"/>
          <w:color w:val="auto"/>
          <w:spacing w:val="-1"/>
          <w:sz w:val="24"/>
          <w:szCs w:val="24"/>
          <w:highlight w:val="none"/>
        </w:rPr>
        <w:t>的法定代表人。</w:t>
      </w:r>
    </w:p>
    <w:p w14:paraId="2A65B8FE">
      <w:pPr>
        <w:spacing w:line="219" w:lineRule="auto"/>
        <w:ind w:left="480"/>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特此证明。</w:t>
      </w:r>
    </w:p>
    <w:p w14:paraId="4A94DEAC">
      <w:pPr>
        <w:spacing w:line="276" w:lineRule="auto"/>
        <w:rPr>
          <w:rFonts w:ascii="Arial"/>
          <w:color w:val="auto"/>
          <w:sz w:val="21"/>
          <w:highlight w:val="none"/>
        </w:rPr>
      </w:pPr>
    </w:p>
    <w:p w14:paraId="3C146841">
      <w:pPr>
        <w:spacing w:line="277" w:lineRule="auto"/>
        <w:rPr>
          <w:rFonts w:ascii="Arial"/>
          <w:color w:val="auto"/>
          <w:sz w:val="21"/>
          <w:highlight w:val="none"/>
        </w:rPr>
      </w:pPr>
    </w:p>
    <w:p w14:paraId="0B81AABB">
      <w:pPr>
        <w:spacing w:before="65" w:line="227" w:lineRule="auto"/>
        <w:ind w:left="15"/>
        <w:rPr>
          <w:rFonts w:ascii="宋体" w:hAnsi="宋体" w:eastAsia="宋体" w:cs="宋体"/>
          <w:color w:val="auto"/>
          <w:sz w:val="20"/>
          <w:szCs w:val="20"/>
          <w:highlight w:val="none"/>
        </w:rPr>
      </w:pPr>
      <w:r>
        <w:rPr>
          <w:rFonts w:ascii="宋体" w:hAnsi="宋体" w:eastAsia="宋体" w:cs="宋体"/>
          <w:color w:val="auto"/>
          <w:spacing w:val="7"/>
          <w:sz w:val="20"/>
          <w:szCs w:val="20"/>
          <w:highlight w:val="none"/>
        </w:rPr>
        <w:t>附：法定代表人身份证扫描件。</w:t>
      </w:r>
    </w:p>
    <w:p w14:paraId="19C6F38B">
      <w:pPr>
        <w:spacing w:line="279" w:lineRule="auto"/>
        <w:rPr>
          <w:rFonts w:ascii="Arial"/>
          <w:color w:val="auto"/>
          <w:sz w:val="21"/>
          <w:highlight w:val="none"/>
        </w:rPr>
      </w:pPr>
    </w:p>
    <w:p w14:paraId="2A3A59E3">
      <w:pPr>
        <w:spacing w:line="280" w:lineRule="auto"/>
        <w:rPr>
          <w:rFonts w:ascii="Arial"/>
          <w:color w:val="auto"/>
          <w:sz w:val="21"/>
          <w:highlight w:val="none"/>
        </w:rPr>
      </w:pPr>
    </w:p>
    <w:p w14:paraId="418D62C9">
      <w:pPr>
        <w:spacing w:line="280" w:lineRule="auto"/>
        <w:rPr>
          <w:rFonts w:ascii="Arial"/>
          <w:color w:val="auto"/>
          <w:sz w:val="21"/>
          <w:highlight w:val="none"/>
        </w:rPr>
      </w:pPr>
    </w:p>
    <w:p w14:paraId="65B8790F">
      <w:pPr>
        <w:spacing w:line="280" w:lineRule="auto"/>
        <w:rPr>
          <w:rFonts w:ascii="Arial"/>
          <w:color w:val="auto"/>
          <w:sz w:val="21"/>
          <w:highlight w:val="none"/>
        </w:rPr>
      </w:pPr>
    </w:p>
    <w:p w14:paraId="01760D5E">
      <w:pPr>
        <w:spacing w:line="280" w:lineRule="auto"/>
        <w:rPr>
          <w:rFonts w:ascii="Arial"/>
          <w:color w:val="auto"/>
          <w:sz w:val="21"/>
          <w:highlight w:val="none"/>
        </w:rPr>
      </w:pPr>
    </w:p>
    <w:p w14:paraId="3890A60C">
      <w:pPr>
        <w:tabs>
          <w:tab w:val="left" w:pos="5390"/>
        </w:tabs>
        <w:spacing w:before="79" w:line="342" w:lineRule="auto"/>
        <w:ind w:left="4309" w:right="1164" w:hanging="1187"/>
        <w:rPr>
          <w:rFonts w:ascii="宋体" w:hAnsi="宋体" w:eastAsia="宋体" w:cs="宋体"/>
          <w:color w:val="auto"/>
          <w:sz w:val="24"/>
          <w:szCs w:val="24"/>
          <w:highlight w:val="none"/>
        </w:rPr>
      </w:pPr>
      <w:r>
        <w:rPr>
          <w:rFonts w:ascii="宋体" w:hAnsi="宋体" w:eastAsia="宋体" w:cs="宋体"/>
          <w:color w:val="auto"/>
          <w:sz w:val="24"/>
          <w:szCs w:val="24"/>
          <w:highlight w:val="none"/>
        </w:rPr>
        <w:t>投标人</w:t>
      </w:r>
      <w:r>
        <w:rPr>
          <w:rFonts w:ascii="宋体" w:hAnsi="宋体" w:eastAsia="宋体" w:cs="宋体"/>
          <w:color w:val="auto"/>
          <w:spacing w:val="-18"/>
          <w:sz w:val="24"/>
          <w:szCs w:val="24"/>
          <w:highlight w:val="none"/>
        </w:rPr>
        <w:t>：</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18"/>
          <w:sz w:val="24"/>
          <w:szCs w:val="24"/>
          <w:highlight w:val="none"/>
        </w:rPr>
        <w:t>（</w:t>
      </w:r>
      <w:r>
        <w:rPr>
          <w:rFonts w:ascii="宋体" w:hAnsi="宋体" w:eastAsia="宋体" w:cs="宋体"/>
          <w:color w:val="auto"/>
          <w:sz w:val="24"/>
          <w:szCs w:val="24"/>
          <w:highlight w:val="none"/>
        </w:rPr>
        <w:t>盖单位章）</w:t>
      </w:r>
      <w:r>
        <w:rPr>
          <w:rFonts w:ascii="宋体" w:hAnsi="宋体" w:eastAsia="宋体" w:cs="宋体"/>
          <w:color w:val="auto"/>
          <w:sz w:val="24"/>
          <w:szCs w:val="24"/>
          <w:highlight w:val="none"/>
          <w:u w:val="single" w:color="auto"/>
        </w:rPr>
        <w:tab/>
      </w:r>
      <w:r>
        <w:rPr>
          <w:rFonts w:ascii="宋体" w:hAnsi="宋体" w:eastAsia="宋体" w:cs="宋体"/>
          <w:color w:val="auto"/>
          <w:spacing w:val="-109"/>
          <w:sz w:val="24"/>
          <w:szCs w:val="24"/>
          <w:highlight w:val="none"/>
        </w:rPr>
        <w:t xml:space="preserve"> </w:t>
      </w:r>
      <w:r>
        <w:rPr>
          <w:rFonts w:ascii="宋体" w:hAnsi="宋体" w:eastAsia="宋体" w:cs="宋体"/>
          <w:color w:val="auto"/>
          <w:spacing w:val="-9"/>
          <w:sz w:val="24"/>
          <w:szCs w:val="24"/>
          <w:highlight w:val="none"/>
        </w:rPr>
        <w:t>年</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105"/>
          <w:sz w:val="24"/>
          <w:szCs w:val="24"/>
          <w:highlight w:val="none"/>
        </w:rPr>
        <w:t xml:space="preserve"> </w:t>
      </w:r>
      <w:r>
        <w:rPr>
          <w:rFonts w:ascii="宋体" w:hAnsi="宋体" w:eastAsia="宋体" w:cs="宋体"/>
          <w:color w:val="auto"/>
          <w:spacing w:val="-9"/>
          <w:sz w:val="24"/>
          <w:szCs w:val="24"/>
          <w:highlight w:val="none"/>
        </w:rPr>
        <w:t>月</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51"/>
          <w:sz w:val="24"/>
          <w:szCs w:val="24"/>
          <w:highlight w:val="none"/>
        </w:rPr>
        <w:t xml:space="preserve"> </w:t>
      </w:r>
      <w:r>
        <w:rPr>
          <w:rFonts w:ascii="宋体" w:hAnsi="宋体" w:eastAsia="宋体" w:cs="宋体"/>
          <w:color w:val="auto"/>
          <w:spacing w:val="-9"/>
          <w:sz w:val="24"/>
          <w:szCs w:val="24"/>
          <w:highlight w:val="none"/>
        </w:rPr>
        <w:t>日</w:t>
      </w:r>
    </w:p>
    <w:p w14:paraId="576A7859">
      <w:pPr>
        <w:spacing w:line="241" w:lineRule="auto"/>
        <w:rPr>
          <w:rFonts w:ascii="Arial"/>
          <w:color w:val="auto"/>
          <w:sz w:val="21"/>
          <w:highlight w:val="none"/>
        </w:rPr>
      </w:pPr>
    </w:p>
    <w:p w14:paraId="2BF22063">
      <w:pPr>
        <w:spacing w:line="241" w:lineRule="auto"/>
        <w:rPr>
          <w:rFonts w:ascii="Arial"/>
          <w:color w:val="auto"/>
          <w:sz w:val="21"/>
          <w:highlight w:val="none"/>
        </w:rPr>
      </w:pPr>
    </w:p>
    <w:p w14:paraId="53E134EB">
      <w:pPr>
        <w:spacing w:line="241" w:lineRule="auto"/>
        <w:rPr>
          <w:rFonts w:ascii="Arial"/>
          <w:color w:val="auto"/>
          <w:sz w:val="21"/>
          <w:highlight w:val="none"/>
        </w:rPr>
      </w:pPr>
    </w:p>
    <w:p w14:paraId="679018C3">
      <w:pPr>
        <w:spacing w:line="241" w:lineRule="auto"/>
        <w:rPr>
          <w:rFonts w:ascii="Arial"/>
          <w:color w:val="auto"/>
          <w:sz w:val="21"/>
          <w:highlight w:val="none"/>
        </w:rPr>
      </w:pPr>
    </w:p>
    <w:p w14:paraId="6E4882F8">
      <w:pPr>
        <w:spacing w:line="241" w:lineRule="auto"/>
        <w:rPr>
          <w:rFonts w:ascii="Arial"/>
          <w:color w:val="auto"/>
          <w:sz w:val="21"/>
          <w:highlight w:val="none"/>
        </w:rPr>
      </w:pPr>
    </w:p>
    <w:p w14:paraId="1A366A85">
      <w:pPr>
        <w:spacing w:line="241" w:lineRule="auto"/>
        <w:rPr>
          <w:rFonts w:ascii="Arial"/>
          <w:color w:val="auto"/>
          <w:sz w:val="21"/>
          <w:highlight w:val="none"/>
        </w:rPr>
      </w:pPr>
    </w:p>
    <w:p w14:paraId="639ABAE4">
      <w:pPr>
        <w:spacing w:line="241" w:lineRule="auto"/>
        <w:rPr>
          <w:rFonts w:ascii="Arial"/>
          <w:color w:val="auto"/>
          <w:sz w:val="21"/>
          <w:highlight w:val="none"/>
        </w:rPr>
      </w:pPr>
    </w:p>
    <w:p w14:paraId="2CF11E8C">
      <w:pPr>
        <w:spacing w:before="65" w:line="228" w:lineRule="auto"/>
        <w:ind w:left="418"/>
        <w:rPr>
          <w:rFonts w:ascii="宋体" w:hAnsi="宋体" w:eastAsia="宋体" w:cs="宋体"/>
          <w:color w:val="auto"/>
          <w:sz w:val="20"/>
          <w:szCs w:val="20"/>
          <w:highlight w:val="none"/>
        </w:rPr>
      </w:pPr>
      <w:r>
        <w:rPr>
          <w:rFonts w:ascii="宋体" w:hAnsi="宋体" w:eastAsia="宋体" w:cs="宋体"/>
          <w:color w:val="auto"/>
          <w:spacing w:val="9"/>
          <w:sz w:val="20"/>
          <w:szCs w:val="20"/>
          <w:highlight w:val="none"/>
        </w:rPr>
        <w:t>注：法定代表人必须在法定代表人身份证明上签名。</w:t>
      </w:r>
    </w:p>
    <w:p w14:paraId="444B002F">
      <w:pPr>
        <w:spacing w:line="228" w:lineRule="auto"/>
        <w:rPr>
          <w:rFonts w:ascii="宋体" w:hAnsi="宋体" w:eastAsia="宋体" w:cs="宋体"/>
          <w:color w:val="auto"/>
          <w:sz w:val="20"/>
          <w:szCs w:val="20"/>
          <w:highlight w:val="none"/>
        </w:rPr>
        <w:sectPr>
          <w:footerReference r:id="rId88" w:type="default"/>
          <w:pgSz w:w="11906" w:h="16839"/>
          <w:pgMar w:top="1401" w:right="1785" w:bottom="1297" w:left="1425" w:header="0" w:footer="1067" w:gutter="0"/>
          <w:pgNumType w:fmt="decimal"/>
          <w:cols w:space="720" w:num="1"/>
        </w:sectPr>
      </w:pPr>
    </w:p>
    <w:p w14:paraId="34E54608">
      <w:pPr>
        <w:spacing w:before="163" w:line="219" w:lineRule="auto"/>
        <w:ind w:left="3574"/>
        <w:rPr>
          <w:rFonts w:ascii="宋体" w:hAnsi="宋体" w:eastAsia="宋体" w:cs="宋体"/>
          <w:color w:val="auto"/>
          <w:sz w:val="24"/>
          <w:szCs w:val="24"/>
          <w:highlight w:val="none"/>
        </w:rPr>
      </w:pPr>
      <w:r>
        <w:rPr>
          <w:rFonts w:ascii="宋体" w:hAnsi="宋体" w:eastAsia="宋体" w:cs="宋体"/>
          <w:b/>
          <w:bCs/>
          <w:color w:val="auto"/>
          <w:spacing w:val="-3"/>
          <w:sz w:val="24"/>
          <w:szCs w:val="24"/>
          <w:highlight w:val="none"/>
        </w:rPr>
        <w:t>三、联合体协议书</w:t>
      </w:r>
    </w:p>
    <w:p w14:paraId="4F25E906">
      <w:pPr>
        <w:spacing w:line="253" w:lineRule="auto"/>
        <w:rPr>
          <w:rFonts w:ascii="Arial"/>
          <w:color w:val="auto"/>
          <w:sz w:val="21"/>
          <w:highlight w:val="none"/>
        </w:rPr>
      </w:pPr>
    </w:p>
    <w:p w14:paraId="5F905C43">
      <w:pPr>
        <w:spacing w:line="253" w:lineRule="auto"/>
        <w:rPr>
          <w:rFonts w:ascii="Arial"/>
          <w:color w:val="auto"/>
          <w:sz w:val="21"/>
          <w:highlight w:val="none"/>
        </w:rPr>
      </w:pPr>
    </w:p>
    <w:p w14:paraId="4ADCE329">
      <w:pPr>
        <w:spacing w:line="253" w:lineRule="auto"/>
        <w:rPr>
          <w:rFonts w:ascii="Arial"/>
          <w:color w:val="auto"/>
          <w:sz w:val="21"/>
          <w:highlight w:val="none"/>
        </w:rPr>
      </w:pPr>
    </w:p>
    <w:p w14:paraId="1CFAF362">
      <w:pPr>
        <w:tabs>
          <w:tab w:val="left" w:pos="2406"/>
        </w:tabs>
        <w:spacing w:before="78" w:line="308" w:lineRule="auto"/>
        <w:ind w:firstLine="351"/>
        <w:jc w:val="both"/>
        <w:rPr>
          <w:rFonts w:ascii="宋体" w:hAnsi="宋体" w:eastAsia="宋体" w:cs="宋体"/>
          <w:color w:val="auto"/>
          <w:sz w:val="24"/>
          <w:szCs w:val="24"/>
          <w:highlight w:val="none"/>
        </w:rPr>
      </w:pPr>
      <w:r>
        <w:rPr>
          <w:rFonts w:ascii="宋体" w:hAnsi="宋体" w:eastAsia="宋体" w:cs="宋体"/>
          <w:color w:val="auto"/>
          <w:sz w:val="24"/>
          <w:szCs w:val="24"/>
          <w:highlight w:val="none"/>
          <w:u w:val="single" w:color="auto"/>
        </w:rPr>
        <w:tab/>
      </w:r>
      <w:r>
        <w:rPr>
          <w:rFonts w:ascii="宋体" w:hAnsi="宋体" w:eastAsia="宋体" w:cs="宋体"/>
          <w:color w:val="auto"/>
          <w:spacing w:val="-7"/>
          <w:sz w:val="24"/>
          <w:szCs w:val="24"/>
          <w:highlight w:val="none"/>
          <w:u w:val="single" w:color="auto"/>
        </w:rPr>
        <w:t>（所有成员单位名称）</w:t>
      </w:r>
      <w:r>
        <w:rPr>
          <w:rFonts w:ascii="宋体" w:hAnsi="宋体" w:eastAsia="宋体" w:cs="宋体"/>
          <w:color w:val="auto"/>
          <w:spacing w:val="-71"/>
          <w:sz w:val="24"/>
          <w:szCs w:val="24"/>
          <w:highlight w:val="none"/>
          <w:u w:val="single" w:color="auto"/>
        </w:rPr>
        <w:t xml:space="preserve"> </w:t>
      </w:r>
      <w:r>
        <w:rPr>
          <w:rFonts w:ascii="宋体" w:hAnsi="宋体" w:eastAsia="宋体" w:cs="宋体"/>
          <w:color w:val="auto"/>
          <w:spacing w:val="-7"/>
          <w:sz w:val="24"/>
          <w:szCs w:val="24"/>
          <w:highlight w:val="none"/>
        </w:rPr>
        <w:t>自愿组成</w:t>
      </w:r>
      <w:r>
        <w:rPr>
          <w:rFonts w:ascii="宋体" w:hAnsi="宋体" w:eastAsia="宋体" w:cs="宋体"/>
          <w:color w:val="auto"/>
          <w:spacing w:val="-7"/>
          <w:sz w:val="24"/>
          <w:szCs w:val="24"/>
          <w:highlight w:val="none"/>
          <w:u w:val="single" w:color="auto"/>
        </w:rPr>
        <w:t xml:space="preserve">      </w:t>
      </w:r>
      <w:r>
        <w:rPr>
          <w:rFonts w:ascii="宋体" w:hAnsi="宋体" w:eastAsia="宋体" w:cs="宋体"/>
          <w:color w:val="auto"/>
          <w:spacing w:val="-8"/>
          <w:sz w:val="24"/>
          <w:szCs w:val="24"/>
          <w:highlight w:val="none"/>
          <w:u w:val="single" w:color="auto"/>
        </w:rPr>
        <w:t xml:space="preserve">  （联合体名称）</w:t>
      </w:r>
      <w:r>
        <w:rPr>
          <w:rFonts w:ascii="宋体" w:hAnsi="宋体" w:eastAsia="宋体" w:cs="宋体"/>
          <w:color w:val="auto"/>
          <w:spacing w:val="-8"/>
          <w:sz w:val="24"/>
          <w:szCs w:val="24"/>
          <w:highlight w:val="none"/>
        </w:rPr>
        <w:t>联合体，</w:t>
      </w:r>
      <w:r>
        <w:rPr>
          <w:rFonts w:ascii="宋体" w:hAnsi="宋体" w:eastAsia="宋体" w:cs="宋体"/>
          <w:color w:val="auto"/>
          <w:spacing w:val="4"/>
          <w:sz w:val="24"/>
          <w:szCs w:val="24"/>
          <w:highlight w:val="none"/>
        </w:rPr>
        <w:t>共同参加</w:t>
      </w:r>
      <w:r>
        <w:rPr>
          <w:rFonts w:ascii="宋体" w:hAnsi="宋体" w:eastAsia="宋体" w:cs="宋体"/>
          <w:color w:val="auto"/>
          <w:spacing w:val="4"/>
          <w:sz w:val="24"/>
          <w:szCs w:val="24"/>
          <w:highlight w:val="none"/>
          <w:u w:val="single" w:color="auto"/>
        </w:rPr>
        <w:t xml:space="preserve">         （项目名称）     </w:t>
      </w:r>
      <w:r>
        <w:rPr>
          <w:rFonts w:ascii="宋体" w:hAnsi="宋体" w:eastAsia="宋体" w:cs="宋体"/>
          <w:color w:val="auto"/>
          <w:spacing w:val="-110"/>
          <w:sz w:val="24"/>
          <w:szCs w:val="24"/>
          <w:highlight w:val="none"/>
        </w:rPr>
        <w:t xml:space="preserve"> </w:t>
      </w:r>
      <w:r>
        <w:rPr>
          <w:rFonts w:ascii="宋体" w:hAnsi="宋体" w:eastAsia="宋体" w:cs="宋体"/>
          <w:color w:val="auto"/>
          <w:spacing w:val="4"/>
          <w:sz w:val="24"/>
          <w:szCs w:val="24"/>
          <w:highlight w:val="none"/>
        </w:rPr>
        <w:t>标段施工监理投标。现就联合体投标</w:t>
      </w:r>
      <w:r>
        <w:rPr>
          <w:rFonts w:ascii="宋体" w:hAnsi="宋体" w:eastAsia="宋体" w:cs="宋体"/>
          <w:color w:val="auto"/>
          <w:spacing w:val="3"/>
          <w:sz w:val="24"/>
          <w:szCs w:val="24"/>
          <w:highlight w:val="none"/>
        </w:rPr>
        <w:t>事宜订立</w:t>
      </w:r>
      <w:r>
        <w:rPr>
          <w:rFonts w:ascii="宋体" w:hAnsi="宋体" w:eastAsia="宋体" w:cs="宋体"/>
          <w:color w:val="auto"/>
          <w:spacing w:val="-2"/>
          <w:sz w:val="24"/>
          <w:szCs w:val="24"/>
          <w:highlight w:val="none"/>
        </w:rPr>
        <w:t>如下协议。</w:t>
      </w:r>
    </w:p>
    <w:p w14:paraId="0ABB0368">
      <w:pPr>
        <w:spacing w:line="218" w:lineRule="auto"/>
        <w:ind w:left="409"/>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1.</w:t>
      </w:r>
      <w:r>
        <w:rPr>
          <w:rFonts w:ascii="宋体" w:hAnsi="宋体" w:eastAsia="宋体" w:cs="宋体"/>
          <w:color w:val="auto"/>
          <w:spacing w:val="-1"/>
          <w:sz w:val="24"/>
          <w:szCs w:val="24"/>
          <w:highlight w:val="none"/>
          <w:u w:val="single" w:color="auto"/>
        </w:rPr>
        <w:t xml:space="preserve">          （某成员单位名称）</w:t>
      </w:r>
      <w:r>
        <w:rPr>
          <w:rFonts w:ascii="宋体" w:hAnsi="宋体" w:eastAsia="宋体" w:cs="宋体"/>
          <w:color w:val="auto"/>
          <w:spacing w:val="-1"/>
          <w:sz w:val="24"/>
          <w:szCs w:val="24"/>
          <w:highlight w:val="none"/>
        </w:rPr>
        <w:t>为</w:t>
      </w:r>
      <w:r>
        <w:rPr>
          <w:rFonts w:ascii="宋体" w:hAnsi="宋体" w:eastAsia="宋体" w:cs="宋体"/>
          <w:color w:val="auto"/>
          <w:spacing w:val="-1"/>
          <w:sz w:val="24"/>
          <w:szCs w:val="24"/>
          <w:highlight w:val="none"/>
          <w:u w:val="single" w:color="auto"/>
        </w:rPr>
        <w:t xml:space="preserve">        （联合体名称）</w:t>
      </w:r>
      <w:r>
        <w:rPr>
          <w:rFonts w:ascii="宋体" w:hAnsi="宋体" w:eastAsia="宋体" w:cs="宋体"/>
          <w:color w:val="auto"/>
          <w:spacing w:val="-1"/>
          <w:sz w:val="24"/>
          <w:szCs w:val="24"/>
          <w:highlight w:val="none"/>
        </w:rPr>
        <w:t>牵头人。</w:t>
      </w:r>
    </w:p>
    <w:p w14:paraId="0E518ED2">
      <w:pPr>
        <w:spacing w:before="115" w:line="278" w:lineRule="auto"/>
        <w:ind w:right="109" w:firstLine="395"/>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2.联合体各成员授权牵头人代表联合体参加投标活动，签署</w:t>
      </w:r>
      <w:r>
        <w:rPr>
          <w:rFonts w:ascii="宋体" w:hAnsi="宋体" w:eastAsia="宋体" w:cs="宋体"/>
          <w:color w:val="auto"/>
          <w:sz w:val="24"/>
          <w:szCs w:val="24"/>
          <w:highlight w:val="none"/>
        </w:rPr>
        <w:t>文件，提交和接收相关</w:t>
      </w:r>
      <w:r>
        <w:rPr>
          <w:rFonts w:ascii="宋体" w:hAnsi="宋体" w:eastAsia="宋体" w:cs="宋体"/>
          <w:color w:val="auto"/>
          <w:spacing w:val="5"/>
          <w:sz w:val="24"/>
          <w:szCs w:val="24"/>
          <w:highlight w:val="none"/>
        </w:rPr>
        <w:t>的资料、信息及指示，进行合同谈判活动，负责合同实施阶段的组织和协调工</w:t>
      </w:r>
      <w:r>
        <w:rPr>
          <w:rFonts w:ascii="宋体" w:hAnsi="宋体" w:eastAsia="宋体" w:cs="宋体"/>
          <w:color w:val="auto"/>
          <w:spacing w:val="4"/>
          <w:sz w:val="24"/>
          <w:szCs w:val="24"/>
          <w:highlight w:val="none"/>
        </w:rPr>
        <w:t>作，以</w:t>
      </w:r>
      <w:r>
        <w:rPr>
          <w:rFonts w:ascii="宋体" w:hAnsi="宋体" w:eastAsia="宋体" w:cs="宋体"/>
          <w:color w:val="auto"/>
          <w:spacing w:val="-1"/>
          <w:sz w:val="24"/>
          <w:szCs w:val="24"/>
          <w:highlight w:val="none"/>
        </w:rPr>
        <w:t>及处理与本招标项目有关的一切事宜。</w:t>
      </w:r>
    </w:p>
    <w:p w14:paraId="72D8FCB2">
      <w:pPr>
        <w:spacing w:before="113" w:line="279" w:lineRule="auto"/>
        <w:ind w:left="6" w:right="109" w:firstLine="390"/>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3.联合体牵头人在本项目中签署的一切文件和处理的一</w:t>
      </w:r>
      <w:r>
        <w:rPr>
          <w:rFonts w:ascii="宋体" w:hAnsi="宋体" w:eastAsia="宋体" w:cs="宋体"/>
          <w:color w:val="auto"/>
          <w:sz w:val="24"/>
          <w:szCs w:val="24"/>
          <w:highlight w:val="none"/>
        </w:rPr>
        <w:t>切事宜，联合体各成员均予</w:t>
      </w:r>
      <w:r>
        <w:rPr>
          <w:rFonts w:ascii="宋体" w:hAnsi="宋体" w:eastAsia="宋体" w:cs="宋体"/>
          <w:color w:val="auto"/>
          <w:spacing w:val="5"/>
          <w:sz w:val="24"/>
          <w:szCs w:val="24"/>
          <w:highlight w:val="none"/>
        </w:rPr>
        <w:t>以承认。联合体各成员将严格按照招标文件、投标文件和合同</w:t>
      </w:r>
      <w:r>
        <w:rPr>
          <w:rFonts w:ascii="宋体" w:hAnsi="宋体" w:eastAsia="宋体" w:cs="宋体"/>
          <w:color w:val="auto"/>
          <w:spacing w:val="4"/>
          <w:sz w:val="24"/>
          <w:szCs w:val="24"/>
          <w:highlight w:val="none"/>
        </w:rPr>
        <w:t>的要求全面履行义务，</w:t>
      </w:r>
      <w:r>
        <w:rPr>
          <w:rFonts w:ascii="宋体" w:hAnsi="宋体" w:eastAsia="宋体" w:cs="宋体"/>
          <w:color w:val="auto"/>
          <w:spacing w:val="-2"/>
          <w:sz w:val="24"/>
          <w:szCs w:val="24"/>
          <w:highlight w:val="none"/>
        </w:rPr>
        <w:t>并向招标人承担连带责任。</w:t>
      </w:r>
    </w:p>
    <w:p w14:paraId="7B140A9A">
      <w:pPr>
        <w:spacing w:before="115" w:line="279" w:lineRule="auto"/>
        <w:ind w:right="107" w:firstLine="480"/>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4.联合体各成员单位内部的职责分工如下</w:t>
      </w:r>
      <w:r>
        <w:rPr>
          <w:rFonts w:ascii="宋体" w:hAnsi="宋体" w:eastAsia="宋体" w:cs="宋体"/>
          <w:color w:val="auto"/>
          <w:spacing w:val="-13"/>
          <w:sz w:val="24"/>
          <w:szCs w:val="24"/>
          <w:highlight w:val="none"/>
        </w:rPr>
        <w:t>：</w:t>
      </w:r>
      <w:r>
        <w:rPr>
          <w:rFonts w:ascii="宋体" w:hAnsi="宋体" w:eastAsia="宋体" w:cs="宋体"/>
          <w:color w:val="auto"/>
          <w:spacing w:val="2"/>
          <w:sz w:val="24"/>
          <w:szCs w:val="24"/>
          <w:highlight w:val="none"/>
          <w:u w:val="single" w:color="auto"/>
        </w:rPr>
        <w:t xml:space="preserve">   </w:t>
      </w:r>
      <w:r>
        <w:rPr>
          <w:rFonts w:ascii="宋体" w:hAnsi="宋体" w:eastAsia="宋体" w:cs="宋体"/>
          <w:color w:val="auto"/>
          <w:spacing w:val="-13"/>
          <w:sz w:val="24"/>
          <w:szCs w:val="24"/>
          <w:highlight w:val="none"/>
          <w:u w:val="single" w:color="auto"/>
        </w:rPr>
        <w:t>（</w:t>
      </w:r>
      <w:r>
        <w:rPr>
          <w:rFonts w:ascii="宋体" w:hAnsi="宋体" w:eastAsia="宋体" w:cs="宋体"/>
          <w:color w:val="auto"/>
          <w:spacing w:val="2"/>
          <w:sz w:val="24"/>
          <w:szCs w:val="24"/>
          <w:highlight w:val="none"/>
          <w:u w:val="single" w:color="auto"/>
        </w:rPr>
        <w:t>牵头人名称）</w:t>
      </w:r>
      <w:r>
        <w:rPr>
          <w:rFonts w:ascii="宋体" w:hAnsi="宋体" w:eastAsia="宋体" w:cs="宋体"/>
          <w:color w:val="auto"/>
          <w:spacing w:val="2"/>
          <w:sz w:val="24"/>
          <w:szCs w:val="24"/>
          <w:highlight w:val="none"/>
        </w:rPr>
        <w:t>承担</w:t>
      </w:r>
      <w:r>
        <w:rPr>
          <w:rFonts w:ascii="宋体" w:hAnsi="宋体" w:eastAsia="宋体" w:cs="宋体"/>
          <w:color w:val="auto"/>
          <w:spacing w:val="-118"/>
          <w:sz w:val="24"/>
          <w:szCs w:val="24"/>
          <w:highlight w:val="none"/>
        </w:rPr>
        <w:t xml:space="preserve"> </w:t>
      </w:r>
      <w:r>
        <w:rPr>
          <w:rFonts w:ascii="宋体" w:hAnsi="宋体" w:eastAsia="宋体" w:cs="宋体"/>
          <w:color w:val="auto"/>
          <w:spacing w:val="2"/>
          <w:sz w:val="24"/>
          <w:szCs w:val="24"/>
          <w:highlight w:val="none"/>
          <w:u w:val="single" w:color="auto"/>
        </w:rPr>
        <w:t xml:space="preserve">      </w:t>
      </w:r>
      <w:r>
        <w:rPr>
          <w:rFonts w:ascii="宋体" w:hAnsi="宋体" w:eastAsia="宋体" w:cs="宋体"/>
          <w:color w:val="auto"/>
          <w:spacing w:val="-110"/>
          <w:sz w:val="24"/>
          <w:szCs w:val="24"/>
          <w:highlight w:val="none"/>
        </w:rPr>
        <w:t xml:space="preserve"> </w:t>
      </w:r>
      <w:r>
        <w:rPr>
          <w:rFonts w:ascii="宋体" w:hAnsi="宋体" w:eastAsia="宋体" w:cs="宋体"/>
          <w:color w:val="auto"/>
          <w:spacing w:val="2"/>
          <w:sz w:val="24"/>
          <w:szCs w:val="24"/>
          <w:highlight w:val="none"/>
        </w:rPr>
        <w:t>专业工</w:t>
      </w:r>
      <w:r>
        <w:rPr>
          <w:rFonts w:ascii="宋体" w:hAnsi="宋体" w:eastAsia="宋体" w:cs="宋体"/>
          <w:color w:val="auto"/>
          <w:spacing w:val="9"/>
          <w:sz w:val="24"/>
          <w:szCs w:val="24"/>
          <w:highlight w:val="none"/>
        </w:rPr>
        <w:t>程</w:t>
      </w:r>
      <w:r>
        <w:rPr>
          <w:rFonts w:ascii="宋体" w:hAnsi="宋体" w:eastAsia="宋体" w:cs="宋体"/>
          <w:color w:val="auto"/>
          <w:spacing w:val="-71"/>
          <w:sz w:val="24"/>
          <w:szCs w:val="24"/>
          <w:highlight w:val="none"/>
        </w:rPr>
        <w:t xml:space="preserve"> </w:t>
      </w:r>
      <w:r>
        <w:rPr>
          <w:rFonts w:ascii="宋体" w:hAnsi="宋体" w:eastAsia="宋体" w:cs="宋体"/>
          <w:color w:val="auto"/>
          <w:spacing w:val="9"/>
          <w:sz w:val="24"/>
          <w:szCs w:val="24"/>
          <w:highlight w:val="none"/>
        </w:rPr>
        <w:t>，</w:t>
      </w:r>
      <w:r>
        <w:rPr>
          <w:rFonts w:ascii="宋体" w:hAnsi="宋体" w:eastAsia="宋体" w:cs="宋体"/>
          <w:color w:val="auto"/>
          <w:spacing w:val="-52"/>
          <w:sz w:val="24"/>
          <w:szCs w:val="24"/>
          <w:highlight w:val="none"/>
        </w:rPr>
        <w:t xml:space="preserve"> </w:t>
      </w:r>
      <w:r>
        <w:rPr>
          <w:rFonts w:ascii="宋体" w:hAnsi="宋体" w:eastAsia="宋体" w:cs="宋体"/>
          <w:color w:val="auto"/>
          <w:spacing w:val="9"/>
          <w:sz w:val="24"/>
          <w:szCs w:val="24"/>
          <w:highlight w:val="none"/>
        </w:rPr>
        <w:t>占总工程量的</w:t>
      </w:r>
      <w:r>
        <w:rPr>
          <w:rFonts w:ascii="宋体" w:hAnsi="宋体" w:eastAsia="宋体" w:cs="宋体"/>
          <w:color w:val="auto"/>
          <w:spacing w:val="-101"/>
          <w:sz w:val="24"/>
          <w:szCs w:val="24"/>
          <w:highlight w:val="none"/>
        </w:rPr>
        <w:t xml:space="preserve"> </w:t>
      </w:r>
      <w:r>
        <w:rPr>
          <w:rFonts w:ascii="宋体" w:hAnsi="宋体" w:eastAsia="宋体" w:cs="宋体"/>
          <w:color w:val="auto"/>
          <w:spacing w:val="20"/>
          <w:sz w:val="24"/>
          <w:szCs w:val="24"/>
          <w:highlight w:val="none"/>
          <w:u w:val="single" w:color="auto"/>
        </w:rPr>
        <w:t xml:space="preserve">   </w:t>
      </w:r>
      <w:r>
        <w:rPr>
          <w:rFonts w:ascii="宋体" w:hAnsi="宋体" w:eastAsia="宋体" w:cs="宋体"/>
          <w:color w:val="auto"/>
          <w:spacing w:val="-117"/>
          <w:sz w:val="24"/>
          <w:szCs w:val="24"/>
          <w:highlight w:val="none"/>
        </w:rPr>
        <w:t xml:space="preserve"> </w:t>
      </w:r>
      <w:r>
        <w:rPr>
          <w:rFonts w:ascii="宋体" w:hAnsi="宋体" w:eastAsia="宋体" w:cs="宋体"/>
          <w:color w:val="auto"/>
          <w:spacing w:val="9"/>
          <w:sz w:val="24"/>
          <w:szCs w:val="24"/>
          <w:highlight w:val="none"/>
        </w:rPr>
        <w:t>%</w:t>
      </w:r>
      <w:r>
        <w:rPr>
          <w:rFonts w:ascii="宋体" w:hAnsi="宋体" w:eastAsia="宋体" w:cs="宋体"/>
          <w:color w:val="auto"/>
          <w:spacing w:val="-71"/>
          <w:sz w:val="24"/>
          <w:szCs w:val="24"/>
          <w:highlight w:val="none"/>
        </w:rPr>
        <w:t xml:space="preserve"> </w:t>
      </w:r>
      <w:r>
        <w:rPr>
          <w:rFonts w:ascii="宋体" w:hAnsi="宋体" w:eastAsia="宋体" w:cs="宋体"/>
          <w:color w:val="auto"/>
          <w:spacing w:val="-19"/>
          <w:sz w:val="24"/>
          <w:szCs w:val="24"/>
          <w:highlight w:val="none"/>
        </w:rPr>
        <w:t>；</w:t>
      </w:r>
      <w:r>
        <w:rPr>
          <w:rFonts w:ascii="宋体" w:hAnsi="宋体" w:eastAsia="宋体" w:cs="宋体"/>
          <w:color w:val="auto"/>
          <w:spacing w:val="20"/>
          <w:sz w:val="24"/>
          <w:szCs w:val="24"/>
          <w:highlight w:val="none"/>
          <w:u w:val="single" w:color="auto"/>
        </w:rPr>
        <w:t xml:space="preserve">     </w:t>
      </w:r>
      <w:r>
        <w:rPr>
          <w:rFonts w:ascii="宋体" w:hAnsi="宋体" w:eastAsia="宋体" w:cs="宋体"/>
          <w:color w:val="auto"/>
          <w:spacing w:val="-19"/>
          <w:sz w:val="24"/>
          <w:szCs w:val="24"/>
          <w:highlight w:val="none"/>
          <w:u w:val="single" w:color="auto"/>
        </w:rPr>
        <w:t>（</w:t>
      </w:r>
      <w:r>
        <w:rPr>
          <w:rFonts w:ascii="宋体" w:hAnsi="宋体" w:eastAsia="宋体" w:cs="宋体"/>
          <w:color w:val="auto"/>
          <w:spacing w:val="9"/>
          <w:sz w:val="24"/>
          <w:szCs w:val="24"/>
          <w:highlight w:val="none"/>
          <w:u w:val="single" w:color="auto"/>
        </w:rPr>
        <w:t>成员一名称）</w:t>
      </w:r>
      <w:r>
        <w:rPr>
          <w:rFonts w:ascii="宋体" w:hAnsi="宋体" w:eastAsia="宋体" w:cs="宋体"/>
          <w:color w:val="auto"/>
          <w:spacing w:val="9"/>
          <w:sz w:val="24"/>
          <w:szCs w:val="24"/>
          <w:highlight w:val="none"/>
        </w:rPr>
        <w:t>承担</w:t>
      </w:r>
      <w:r>
        <w:rPr>
          <w:rFonts w:ascii="宋体" w:hAnsi="宋体" w:eastAsia="宋体" w:cs="宋体"/>
          <w:color w:val="auto"/>
          <w:spacing w:val="-97"/>
          <w:sz w:val="24"/>
          <w:szCs w:val="24"/>
          <w:highlight w:val="none"/>
        </w:rPr>
        <w:t xml:space="preserve"> </w:t>
      </w:r>
      <w:r>
        <w:rPr>
          <w:rFonts w:ascii="宋体" w:hAnsi="宋体" w:eastAsia="宋体" w:cs="宋体"/>
          <w:color w:val="auto"/>
          <w:spacing w:val="19"/>
          <w:sz w:val="24"/>
          <w:szCs w:val="24"/>
          <w:highlight w:val="none"/>
          <w:u w:val="single" w:color="auto"/>
        </w:rPr>
        <w:t xml:space="preserve">    </w:t>
      </w:r>
      <w:r>
        <w:rPr>
          <w:rFonts w:ascii="宋体" w:hAnsi="宋体" w:eastAsia="宋体" w:cs="宋体"/>
          <w:color w:val="auto"/>
          <w:spacing w:val="-106"/>
          <w:sz w:val="24"/>
          <w:szCs w:val="24"/>
          <w:highlight w:val="none"/>
        </w:rPr>
        <w:t xml:space="preserve"> </w:t>
      </w:r>
      <w:r>
        <w:rPr>
          <w:rFonts w:ascii="宋体" w:hAnsi="宋体" w:eastAsia="宋体" w:cs="宋体"/>
          <w:color w:val="auto"/>
          <w:spacing w:val="9"/>
          <w:sz w:val="24"/>
          <w:szCs w:val="24"/>
          <w:highlight w:val="none"/>
        </w:rPr>
        <w:t>专业工程</w:t>
      </w:r>
      <w:r>
        <w:rPr>
          <w:rFonts w:ascii="宋体" w:hAnsi="宋体" w:eastAsia="宋体" w:cs="宋体"/>
          <w:color w:val="auto"/>
          <w:spacing w:val="-72"/>
          <w:sz w:val="24"/>
          <w:szCs w:val="24"/>
          <w:highlight w:val="none"/>
        </w:rPr>
        <w:t xml:space="preserve"> </w:t>
      </w:r>
      <w:r>
        <w:rPr>
          <w:rFonts w:ascii="宋体" w:hAnsi="宋体" w:eastAsia="宋体" w:cs="宋体"/>
          <w:color w:val="auto"/>
          <w:spacing w:val="9"/>
          <w:sz w:val="24"/>
          <w:szCs w:val="24"/>
          <w:highlight w:val="none"/>
        </w:rPr>
        <w:t>，</w:t>
      </w:r>
      <w:r>
        <w:rPr>
          <w:rFonts w:ascii="宋体" w:hAnsi="宋体" w:eastAsia="宋体" w:cs="宋体"/>
          <w:color w:val="auto"/>
          <w:spacing w:val="-52"/>
          <w:sz w:val="24"/>
          <w:szCs w:val="24"/>
          <w:highlight w:val="none"/>
        </w:rPr>
        <w:t xml:space="preserve"> </w:t>
      </w:r>
      <w:r>
        <w:rPr>
          <w:rFonts w:ascii="宋体" w:hAnsi="宋体" w:eastAsia="宋体" w:cs="宋体"/>
          <w:color w:val="auto"/>
          <w:spacing w:val="9"/>
          <w:sz w:val="24"/>
          <w:szCs w:val="24"/>
          <w:highlight w:val="none"/>
        </w:rPr>
        <w:t>占总工程量</w:t>
      </w:r>
      <w:r>
        <w:rPr>
          <w:rFonts w:ascii="宋体" w:hAnsi="宋体" w:eastAsia="宋体" w:cs="宋体"/>
          <w:color w:val="auto"/>
          <w:spacing w:val="-1"/>
          <w:sz w:val="24"/>
          <w:szCs w:val="24"/>
          <w:highlight w:val="none"/>
        </w:rPr>
        <w:t>的</w:t>
      </w:r>
      <w:r>
        <w:rPr>
          <w:rFonts w:ascii="宋体" w:hAnsi="宋体" w:eastAsia="宋体" w:cs="宋体"/>
          <w:color w:val="auto"/>
          <w:spacing w:val="-1"/>
          <w:sz w:val="24"/>
          <w:szCs w:val="24"/>
          <w:highlight w:val="none"/>
          <w:u w:val="single" w:color="auto"/>
        </w:rPr>
        <w:t xml:space="preserve">     </w:t>
      </w:r>
      <w:r>
        <w:rPr>
          <w:rFonts w:ascii="宋体" w:hAnsi="宋体" w:eastAsia="宋体" w:cs="宋体"/>
          <w:color w:val="auto"/>
          <w:spacing w:val="-1"/>
          <w:sz w:val="24"/>
          <w:szCs w:val="24"/>
          <w:highlight w:val="none"/>
        </w:rPr>
        <w:t>%；……。</w:t>
      </w:r>
    </w:p>
    <w:p w14:paraId="2A3BC2BE">
      <w:pPr>
        <w:spacing w:before="110" w:line="264" w:lineRule="auto"/>
        <w:ind w:right="109" w:firstLine="485"/>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5.投标工作和联合体在中标后工程实施过程中的有关费用按各自承担的</w:t>
      </w:r>
      <w:r>
        <w:rPr>
          <w:rFonts w:ascii="宋体" w:hAnsi="宋体" w:eastAsia="宋体" w:cs="宋体"/>
          <w:color w:val="auto"/>
          <w:spacing w:val="4"/>
          <w:sz w:val="24"/>
          <w:szCs w:val="24"/>
          <w:highlight w:val="none"/>
        </w:rPr>
        <w:t>工作量分</w:t>
      </w:r>
      <w:r>
        <w:rPr>
          <w:rFonts w:ascii="宋体" w:hAnsi="宋体" w:eastAsia="宋体" w:cs="宋体"/>
          <w:color w:val="auto"/>
          <w:spacing w:val="-5"/>
          <w:sz w:val="24"/>
          <w:szCs w:val="24"/>
          <w:highlight w:val="none"/>
        </w:rPr>
        <w:t>摊。</w:t>
      </w:r>
    </w:p>
    <w:p w14:paraId="1DD275BC">
      <w:pPr>
        <w:spacing w:before="115" w:line="263" w:lineRule="auto"/>
        <w:ind w:left="5" w:right="109" w:firstLine="477"/>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6.本协议书自所有成员单位法定代表人签字或盖单位章之日起生效，合同履行完</w:t>
      </w:r>
      <w:r>
        <w:rPr>
          <w:rFonts w:ascii="宋体" w:hAnsi="宋体" w:eastAsia="宋体" w:cs="宋体"/>
          <w:color w:val="auto"/>
          <w:spacing w:val="-3"/>
          <w:sz w:val="24"/>
          <w:szCs w:val="24"/>
          <w:highlight w:val="none"/>
        </w:rPr>
        <w:t>毕后自动失效。</w:t>
      </w:r>
    </w:p>
    <w:p w14:paraId="711AF141">
      <w:pPr>
        <w:spacing w:before="115" w:line="219" w:lineRule="auto"/>
        <w:ind w:left="486"/>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7.本协议书一式</w:t>
      </w:r>
      <w:r>
        <w:rPr>
          <w:rFonts w:ascii="宋体" w:hAnsi="宋体" w:eastAsia="宋体" w:cs="宋体"/>
          <w:color w:val="auto"/>
          <w:spacing w:val="-1"/>
          <w:sz w:val="24"/>
          <w:szCs w:val="24"/>
          <w:highlight w:val="none"/>
          <w:u w:val="single" w:color="auto"/>
        </w:rPr>
        <w:t xml:space="preserve">    </w:t>
      </w:r>
      <w:r>
        <w:rPr>
          <w:rFonts w:ascii="宋体" w:hAnsi="宋体" w:eastAsia="宋体" w:cs="宋体"/>
          <w:color w:val="auto"/>
          <w:spacing w:val="-109"/>
          <w:sz w:val="24"/>
          <w:szCs w:val="24"/>
          <w:highlight w:val="none"/>
        </w:rPr>
        <w:t xml:space="preserve"> </w:t>
      </w:r>
      <w:r>
        <w:rPr>
          <w:rFonts w:ascii="宋体" w:hAnsi="宋体" w:eastAsia="宋体" w:cs="宋体"/>
          <w:color w:val="auto"/>
          <w:spacing w:val="-1"/>
          <w:sz w:val="24"/>
          <w:szCs w:val="24"/>
          <w:highlight w:val="none"/>
        </w:rPr>
        <w:t>份，联合体成员和招标人各执一份。</w:t>
      </w:r>
    </w:p>
    <w:p w14:paraId="50E89129">
      <w:pPr>
        <w:spacing w:line="433" w:lineRule="auto"/>
        <w:rPr>
          <w:rFonts w:ascii="Arial"/>
          <w:color w:val="auto"/>
          <w:sz w:val="21"/>
          <w:highlight w:val="none"/>
        </w:rPr>
      </w:pPr>
    </w:p>
    <w:p w14:paraId="5944B596">
      <w:pPr>
        <w:spacing w:before="79" w:line="219" w:lineRule="auto"/>
        <w:ind w:left="472"/>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联合体牵头人名称</w:t>
      </w:r>
      <w:r>
        <w:rPr>
          <w:rFonts w:ascii="宋体" w:hAnsi="宋体" w:eastAsia="宋体" w:cs="宋体"/>
          <w:color w:val="auto"/>
          <w:spacing w:val="-13"/>
          <w:sz w:val="24"/>
          <w:szCs w:val="24"/>
          <w:highlight w:val="none"/>
        </w:rPr>
        <w:t>：</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13"/>
          <w:sz w:val="24"/>
          <w:szCs w:val="24"/>
          <w:highlight w:val="none"/>
        </w:rPr>
        <w:t>（</w:t>
      </w:r>
      <w:r>
        <w:rPr>
          <w:rFonts w:ascii="宋体" w:hAnsi="宋体" w:eastAsia="宋体" w:cs="宋体"/>
          <w:color w:val="auto"/>
          <w:spacing w:val="1"/>
          <w:sz w:val="24"/>
          <w:szCs w:val="24"/>
          <w:highlight w:val="none"/>
        </w:rPr>
        <w:t>盖单位章）</w:t>
      </w:r>
    </w:p>
    <w:p w14:paraId="08CBAB11">
      <w:pPr>
        <w:spacing w:before="117" w:line="219" w:lineRule="auto"/>
        <w:ind w:left="472"/>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法定代表人</w:t>
      </w:r>
      <w:r>
        <w:rPr>
          <w:rFonts w:ascii="宋体" w:hAnsi="宋体" w:eastAsia="宋体" w:cs="宋体"/>
          <w:color w:val="auto"/>
          <w:spacing w:val="-18"/>
          <w:sz w:val="24"/>
          <w:szCs w:val="24"/>
          <w:highlight w:val="none"/>
        </w:rPr>
        <w:t>：</w:t>
      </w:r>
      <w:r>
        <w:rPr>
          <w:rFonts w:ascii="宋体" w:hAnsi="宋体" w:eastAsia="宋体" w:cs="宋体"/>
          <w:color w:val="auto"/>
          <w:spacing w:val="5"/>
          <w:sz w:val="24"/>
          <w:szCs w:val="24"/>
          <w:highlight w:val="none"/>
          <w:u w:val="single" w:color="auto"/>
        </w:rPr>
        <w:t xml:space="preserve">                        </w:t>
      </w:r>
      <w:r>
        <w:rPr>
          <w:rFonts w:ascii="宋体" w:hAnsi="宋体" w:eastAsia="宋体" w:cs="宋体"/>
          <w:color w:val="auto"/>
          <w:spacing w:val="-18"/>
          <w:sz w:val="24"/>
          <w:szCs w:val="24"/>
          <w:highlight w:val="none"/>
        </w:rPr>
        <w:t>（</w:t>
      </w:r>
      <w:r>
        <w:rPr>
          <w:rFonts w:ascii="宋体" w:hAnsi="宋体" w:eastAsia="宋体" w:cs="宋体"/>
          <w:color w:val="auto"/>
          <w:spacing w:val="3"/>
          <w:sz w:val="24"/>
          <w:szCs w:val="24"/>
          <w:highlight w:val="none"/>
        </w:rPr>
        <w:t>签字）</w:t>
      </w:r>
    </w:p>
    <w:p w14:paraId="33E24E10">
      <w:pPr>
        <w:spacing w:line="432" w:lineRule="auto"/>
        <w:rPr>
          <w:rFonts w:ascii="Arial"/>
          <w:color w:val="auto"/>
          <w:sz w:val="21"/>
          <w:highlight w:val="none"/>
        </w:rPr>
      </w:pPr>
    </w:p>
    <w:p w14:paraId="179E7411">
      <w:pPr>
        <w:spacing w:before="79" w:line="219" w:lineRule="auto"/>
        <w:ind w:left="472"/>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联合体成员名称</w:t>
      </w:r>
      <w:r>
        <w:rPr>
          <w:rFonts w:ascii="宋体" w:hAnsi="宋体" w:eastAsia="宋体" w:cs="宋体"/>
          <w:color w:val="auto"/>
          <w:spacing w:val="-18"/>
          <w:sz w:val="24"/>
          <w:szCs w:val="24"/>
          <w:highlight w:val="none"/>
        </w:rPr>
        <w:t>：</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18"/>
          <w:sz w:val="24"/>
          <w:szCs w:val="24"/>
          <w:highlight w:val="none"/>
        </w:rPr>
        <w:t>（</w:t>
      </w:r>
      <w:r>
        <w:rPr>
          <w:rFonts w:ascii="宋体" w:hAnsi="宋体" w:eastAsia="宋体" w:cs="宋体"/>
          <w:color w:val="auto"/>
          <w:spacing w:val="2"/>
          <w:sz w:val="24"/>
          <w:szCs w:val="24"/>
          <w:highlight w:val="none"/>
        </w:rPr>
        <w:t>盖单位章）</w:t>
      </w:r>
    </w:p>
    <w:p w14:paraId="111D7752">
      <w:pPr>
        <w:spacing w:before="117" w:line="219" w:lineRule="auto"/>
        <w:ind w:left="472"/>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法定代表人</w:t>
      </w:r>
      <w:r>
        <w:rPr>
          <w:rFonts w:ascii="宋体" w:hAnsi="宋体" w:eastAsia="宋体" w:cs="宋体"/>
          <w:color w:val="auto"/>
          <w:spacing w:val="-18"/>
          <w:sz w:val="24"/>
          <w:szCs w:val="24"/>
          <w:highlight w:val="none"/>
        </w:rPr>
        <w:t>：</w:t>
      </w:r>
      <w:r>
        <w:rPr>
          <w:rFonts w:ascii="宋体" w:hAnsi="宋体" w:eastAsia="宋体" w:cs="宋体"/>
          <w:color w:val="auto"/>
          <w:spacing w:val="5"/>
          <w:sz w:val="24"/>
          <w:szCs w:val="24"/>
          <w:highlight w:val="none"/>
          <w:u w:val="single" w:color="auto"/>
        </w:rPr>
        <w:t xml:space="preserve">                        </w:t>
      </w:r>
      <w:r>
        <w:rPr>
          <w:rFonts w:ascii="宋体" w:hAnsi="宋体" w:eastAsia="宋体" w:cs="宋体"/>
          <w:color w:val="auto"/>
          <w:spacing w:val="-18"/>
          <w:sz w:val="24"/>
          <w:szCs w:val="24"/>
          <w:highlight w:val="none"/>
        </w:rPr>
        <w:t>（</w:t>
      </w:r>
      <w:r>
        <w:rPr>
          <w:rFonts w:ascii="宋体" w:hAnsi="宋体" w:eastAsia="宋体" w:cs="宋体"/>
          <w:color w:val="auto"/>
          <w:spacing w:val="3"/>
          <w:sz w:val="24"/>
          <w:szCs w:val="24"/>
          <w:highlight w:val="none"/>
        </w:rPr>
        <w:t>签字）</w:t>
      </w:r>
    </w:p>
    <w:p w14:paraId="7F2B4763">
      <w:pPr>
        <w:spacing w:before="225"/>
        <w:rPr>
          <w:color w:val="auto"/>
          <w:highlight w:val="none"/>
        </w:rPr>
      </w:pPr>
    </w:p>
    <w:p w14:paraId="6654FA05">
      <w:pPr>
        <w:rPr>
          <w:color w:val="auto"/>
          <w:highlight w:val="none"/>
        </w:rPr>
        <w:sectPr>
          <w:footerReference r:id="rId89" w:type="default"/>
          <w:pgSz w:w="11906" w:h="16839"/>
          <w:pgMar w:top="1431" w:right="1308" w:bottom="1297" w:left="1424" w:header="0" w:footer="1067" w:gutter="0"/>
          <w:pgNumType w:fmt="decimal"/>
          <w:cols w:equalWidth="0" w:num="1">
            <w:col w:w="9174"/>
          </w:cols>
        </w:sectPr>
      </w:pPr>
    </w:p>
    <w:p w14:paraId="1AC7BD8B">
      <w:pPr>
        <w:spacing w:before="48" w:line="378" w:lineRule="exact"/>
        <w:ind w:left="496"/>
        <w:rPr>
          <w:rFonts w:ascii="宋体" w:hAnsi="宋体" w:eastAsia="宋体" w:cs="宋体"/>
          <w:color w:val="auto"/>
          <w:sz w:val="24"/>
          <w:szCs w:val="24"/>
          <w:highlight w:val="none"/>
        </w:rPr>
      </w:pPr>
      <w:r>
        <w:rPr>
          <w:rFonts w:ascii="宋体" w:hAnsi="宋体" w:eastAsia="宋体" w:cs="宋体"/>
          <w:color w:val="auto"/>
          <w:spacing w:val="-13"/>
          <w:position w:val="3"/>
          <w:sz w:val="24"/>
          <w:szCs w:val="24"/>
          <w:highlight w:val="none"/>
        </w:rPr>
        <w:t>……</w:t>
      </w:r>
    </w:p>
    <w:p w14:paraId="2A052C7B">
      <w:pPr>
        <w:spacing w:line="14" w:lineRule="auto"/>
        <w:rPr>
          <w:rFonts w:ascii="Arial"/>
          <w:color w:val="auto"/>
          <w:sz w:val="2"/>
          <w:highlight w:val="none"/>
        </w:rPr>
      </w:pPr>
      <w:r>
        <w:rPr>
          <w:rFonts w:ascii="Arial" w:hAnsi="Arial" w:eastAsia="Arial" w:cs="Arial"/>
          <w:color w:val="auto"/>
          <w:sz w:val="2"/>
          <w:szCs w:val="2"/>
          <w:highlight w:val="none"/>
        </w:rPr>
        <w:br w:type="column"/>
      </w:r>
    </w:p>
    <w:p w14:paraId="47062021">
      <w:pPr>
        <w:spacing w:line="367" w:lineRule="auto"/>
        <w:rPr>
          <w:rFonts w:ascii="Arial"/>
          <w:color w:val="auto"/>
          <w:sz w:val="21"/>
          <w:highlight w:val="none"/>
        </w:rPr>
      </w:pPr>
    </w:p>
    <w:p w14:paraId="168B5B89">
      <w:pPr>
        <w:tabs>
          <w:tab w:val="left" w:pos="840"/>
        </w:tabs>
        <w:spacing w:before="78" w:line="184" w:lineRule="auto"/>
        <w:outlineLvl w:val="1"/>
        <w:rPr>
          <w:rFonts w:ascii="宋体" w:hAnsi="宋体" w:eastAsia="宋体" w:cs="宋体"/>
          <w:color w:val="auto"/>
          <w:sz w:val="24"/>
          <w:szCs w:val="24"/>
          <w:highlight w:val="none"/>
        </w:rPr>
      </w:pPr>
      <w:r>
        <w:rPr>
          <w:rFonts w:ascii="宋体" w:hAnsi="宋体" w:eastAsia="宋体" w:cs="宋体"/>
          <w:color w:val="auto"/>
          <w:sz w:val="24"/>
          <w:szCs w:val="24"/>
          <w:highlight w:val="none"/>
          <w:u w:val="single" w:color="auto"/>
        </w:rPr>
        <w:tab/>
      </w:r>
      <w:r>
        <w:rPr>
          <w:rFonts w:ascii="宋体" w:hAnsi="宋体" w:eastAsia="宋体" w:cs="宋体"/>
          <w:color w:val="auto"/>
          <w:spacing w:val="-109"/>
          <w:sz w:val="24"/>
          <w:szCs w:val="24"/>
          <w:highlight w:val="none"/>
        </w:rPr>
        <w:t xml:space="preserve"> </w:t>
      </w:r>
      <w:bookmarkStart w:id="441" w:name="_Toc30473"/>
      <w:bookmarkStart w:id="442" w:name="_Toc24344"/>
      <w:bookmarkStart w:id="443" w:name="_Toc26683"/>
      <w:bookmarkStart w:id="444" w:name="_Toc8840"/>
      <w:bookmarkStart w:id="445" w:name="_Toc32529"/>
      <w:bookmarkStart w:id="446" w:name="_Toc150"/>
      <w:bookmarkStart w:id="447" w:name="_Toc6496"/>
      <w:r>
        <w:rPr>
          <w:rFonts w:ascii="宋体" w:hAnsi="宋体" w:eastAsia="宋体" w:cs="宋体"/>
          <w:color w:val="auto"/>
          <w:spacing w:val="-7"/>
          <w:sz w:val="24"/>
          <w:szCs w:val="24"/>
          <w:highlight w:val="none"/>
        </w:rPr>
        <w:t xml:space="preserve">年 </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104"/>
          <w:sz w:val="24"/>
          <w:szCs w:val="24"/>
          <w:highlight w:val="none"/>
        </w:rPr>
        <w:t xml:space="preserve"> </w:t>
      </w:r>
      <w:r>
        <w:rPr>
          <w:rFonts w:ascii="宋体" w:hAnsi="宋体" w:eastAsia="宋体" w:cs="宋体"/>
          <w:color w:val="auto"/>
          <w:spacing w:val="-7"/>
          <w:sz w:val="24"/>
          <w:szCs w:val="24"/>
          <w:highlight w:val="none"/>
        </w:rPr>
        <w:t>月</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70"/>
          <w:sz w:val="24"/>
          <w:szCs w:val="24"/>
          <w:highlight w:val="none"/>
        </w:rPr>
        <w:t xml:space="preserve"> </w:t>
      </w:r>
      <w:r>
        <w:rPr>
          <w:rFonts w:ascii="宋体" w:hAnsi="宋体" w:eastAsia="宋体" w:cs="宋体"/>
          <w:color w:val="auto"/>
          <w:spacing w:val="-7"/>
          <w:sz w:val="24"/>
          <w:szCs w:val="24"/>
          <w:highlight w:val="none"/>
        </w:rPr>
        <w:t>日</w:t>
      </w:r>
      <w:bookmarkEnd w:id="441"/>
      <w:bookmarkEnd w:id="442"/>
      <w:bookmarkEnd w:id="443"/>
      <w:bookmarkEnd w:id="444"/>
      <w:bookmarkEnd w:id="445"/>
      <w:bookmarkEnd w:id="446"/>
      <w:bookmarkEnd w:id="447"/>
    </w:p>
    <w:p w14:paraId="0A4A3B85">
      <w:pPr>
        <w:spacing w:line="184" w:lineRule="auto"/>
        <w:rPr>
          <w:rFonts w:ascii="宋体" w:hAnsi="宋体" w:eastAsia="宋体" w:cs="宋体"/>
          <w:color w:val="auto"/>
          <w:sz w:val="24"/>
          <w:szCs w:val="24"/>
          <w:highlight w:val="none"/>
        </w:rPr>
        <w:sectPr>
          <w:type w:val="continuous"/>
          <w:pgSz w:w="11906" w:h="16839"/>
          <w:pgMar w:top="1431" w:right="1308" w:bottom="1297" w:left="1424" w:header="0" w:footer="1067" w:gutter="0"/>
          <w:pgNumType w:fmt="decimal"/>
          <w:cols w:equalWidth="0" w:num="2">
            <w:col w:w="6204" w:space="100"/>
            <w:col w:w="2870"/>
          </w:cols>
        </w:sectPr>
      </w:pPr>
    </w:p>
    <w:p w14:paraId="2427B227">
      <w:pPr>
        <w:spacing w:before="163" w:line="220" w:lineRule="auto"/>
        <w:ind w:left="3725"/>
        <w:rPr>
          <w:rFonts w:ascii="宋体" w:hAnsi="宋体" w:eastAsia="宋体" w:cs="宋体"/>
          <w:color w:val="auto"/>
          <w:sz w:val="24"/>
          <w:szCs w:val="24"/>
          <w:highlight w:val="none"/>
        </w:rPr>
      </w:pPr>
      <w:r>
        <w:rPr>
          <w:rFonts w:ascii="宋体" w:hAnsi="宋体" w:eastAsia="宋体" w:cs="宋体"/>
          <w:b/>
          <w:bCs/>
          <w:color w:val="auto"/>
          <w:spacing w:val="-7"/>
          <w:sz w:val="24"/>
          <w:szCs w:val="24"/>
          <w:highlight w:val="none"/>
        </w:rPr>
        <w:t>四、投标保证金</w:t>
      </w:r>
    </w:p>
    <w:p w14:paraId="40B8D67E">
      <w:pPr>
        <w:spacing w:line="252" w:lineRule="auto"/>
        <w:rPr>
          <w:rFonts w:ascii="Arial"/>
          <w:color w:val="auto"/>
          <w:sz w:val="21"/>
          <w:highlight w:val="none"/>
        </w:rPr>
      </w:pPr>
    </w:p>
    <w:p w14:paraId="67C79FED">
      <w:pPr>
        <w:spacing w:line="253" w:lineRule="auto"/>
        <w:rPr>
          <w:rFonts w:ascii="Arial"/>
          <w:color w:val="auto"/>
          <w:sz w:val="21"/>
          <w:highlight w:val="none"/>
        </w:rPr>
      </w:pPr>
    </w:p>
    <w:p w14:paraId="14A6561C">
      <w:pPr>
        <w:spacing w:before="113" w:line="292" w:lineRule="auto"/>
        <w:ind w:left="14" w:right="2" w:firstLine="507"/>
        <w:rPr>
          <w:rFonts w:ascii="宋体" w:hAnsi="宋体" w:eastAsia="宋体" w:cs="宋体"/>
          <w:color w:val="auto"/>
          <w:spacing w:val="4"/>
          <w:sz w:val="24"/>
          <w:szCs w:val="24"/>
          <w:highlight w:val="none"/>
        </w:rPr>
      </w:pPr>
      <w:r>
        <w:rPr>
          <w:rFonts w:ascii="宋体" w:hAnsi="宋体" w:eastAsia="宋体" w:cs="宋体"/>
          <w:color w:val="auto"/>
          <w:spacing w:val="4"/>
          <w:sz w:val="24"/>
          <w:szCs w:val="24"/>
          <w:highlight w:val="none"/>
        </w:rPr>
        <w:t>如采用银行转账，投标人应在此提供汇款凭证的复印件。</w:t>
      </w:r>
    </w:p>
    <w:p w14:paraId="6F08B3F4">
      <w:pPr>
        <w:spacing w:before="113" w:line="292" w:lineRule="auto"/>
        <w:ind w:left="14" w:right="2" w:firstLine="507"/>
        <w:rPr>
          <w:rFonts w:ascii="宋体" w:hAnsi="宋体" w:eastAsia="宋体" w:cs="宋体"/>
          <w:color w:val="auto"/>
          <w:spacing w:val="4"/>
          <w:sz w:val="24"/>
          <w:szCs w:val="24"/>
          <w:highlight w:val="none"/>
        </w:rPr>
      </w:pPr>
      <w:r>
        <w:rPr>
          <w:rFonts w:ascii="宋体" w:hAnsi="宋体" w:eastAsia="宋体" w:cs="宋体"/>
          <w:color w:val="auto"/>
          <w:spacing w:val="4"/>
          <w:sz w:val="24"/>
          <w:szCs w:val="24"/>
          <w:highlight w:val="none"/>
        </w:rPr>
        <w:t>如采用投标保证保险的，附电子保单打印件。</w:t>
      </w:r>
    </w:p>
    <w:p w14:paraId="264B2406">
      <w:pPr>
        <w:spacing w:before="113" w:line="292" w:lineRule="auto"/>
        <w:ind w:left="14" w:right="2" w:firstLine="507"/>
        <w:rPr>
          <w:rFonts w:ascii="宋体" w:hAnsi="宋体" w:eastAsia="宋体" w:cs="宋体"/>
          <w:color w:val="auto"/>
          <w:sz w:val="24"/>
          <w:szCs w:val="24"/>
          <w:highlight w:val="none"/>
        </w:rPr>
        <w:sectPr>
          <w:footerReference r:id="rId90" w:type="default"/>
          <w:pgSz w:w="11906" w:h="16839"/>
          <w:pgMar w:top="1431" w:right="1415" w:bottom="1297" w:left="1416" w:header="0" w:footer="1067" w:gutter="0"/>
          <w:pgNumType w:fmt="decimal"/>
          <w:cols w:equalWidth="0" w:num="1">
            <w:col w:w="9075"/>
          </w:cols>
        </w:sectPr>
      </w:pPr>
      <w:r>
        <w:rPr>
          <w:rFonts w:ascii="宋体" w:hAnsi="宋体" w:eastAsia="宋体" w:cs="宋体"/>
          <w:color w:val="auto"/>
          <w:spacing w:val="4"/>
          <w:sz w:val="24"/>
          <w:szCs w:val="24"/>
          <w:highlight w:val="none"/>
        </w:rPr>
        <w:t>如采用银行保函，投标人应在此提供银行保函复印件。</w:t>
      </w:r>
    </w:p>
    <w:p w14:paraId="73D6F130">
      <w:pPr>
        <w:spacing w:before="24" w:line="217" w:lineRule="auto"/>
        <w:ind w:left="1352"/>
        <w:rPr>
          <w:rFonts w:ascii="宋体" w:hAnsi="宋体" w:eastAsia="宋体" w:cs="宋体"/>
          <w:color w:val="auto"/>
          <w:sz w:val="12"/>
          <w:szCs w:val="12"/>
          <w:highlight w:val="none"/>
        </w:rPr>
      </w:pPr>
    </w:p>
    <w:p w14:paraId="31E5FB4B">
      <w:pPr>
        <w:spacing w:before="152" w:line="57" w:lineRule="exact"/>
        <w:rPr>
          <w:rFonts w:ascii="宋体" w:hAnsi="宋体" w:eastAsia="宋体" w:cs="宋体"/>
          <w:color w:val="auto"/>
          <w:sz w:val="4"/>
          <w:szCs w:val="4"/>
          <w:highlight w:val="none"/>
        </w:rPr>
      </w:pPr>
      <w:r>
        <w:rPr>
          <w:color w:val="auto"/>
          <w:highlight w:val="none"/>
        </w:rPr>
        <w:fldChar w:fldCharType="begin"/>
      </w:r>
      <w:r>
        <w:rPr>
          <w:color w:val="auto"/>
          <w:highlight w:val="none"/>
        </w:rPr>
        <w:instrText xml:space="preserve"> HYPERLINK \l "bookmark158" </w:instrText>
      </w:r>
      <w:r>
        <w:rPr>
          <w:color w:val="auto"/>
          <w:highlight w:val="none"/>
        </w:rPr>
        <w:fldChar w:fldCharType="separate"/>
      </w:r>
      <w:r>
        <w:rPr>
          <w:rFonts w:ascii="宋体" w:hAnsi="宋体" w:eastAsia="宋体" w:cs="宋体"/>
          <w:color w:val="auto"/>
          <w:spacing w:val="8"/>
          <w:sz w:val="4"/>
          <w:szCs w:val="4"/>
          <w:highlight w:val="none"/>
        </w:rPr>
        <w:t>①</w:t>
      </w:r>
      <w:r>
        <w:rPr>
          <w:rFonts w:ascii="宋体" w:hAnsi="宋体" w:eastAsia="宋体" w:cs="宋体"/>
          <w:color w:val="auto"/>
          <w:spacing w:val="8"/>
          <w:sz w:val="4"/>
          <w:szCs w:val="4"/>
          <w:highlight w:val="none"/>
        </w:rPr>
        <w:fldChar w:fldCharType="end"/>
      </w:r>
    </w:p>
    <w:p w14:paraId="566AAC36">
      <w:pPr>
        <w:spacing w:line="57" w:lineRule="exact"/>
        <w:rPr>
          <w:rFonts w:ascii="宋体" w:hAnsi="宋体" w:eastAsia="宋体" w:cs="宋体"/>
          <w:color w:val="auto"/>
          <w:sz w:val="4"/>
          <w:szCs w:val="4"/>
          <w:highlight w:val="none"/>
        </w:rPr>
        <w:sectPr>
          <w:type w:val="continuous"/>
          <w:pgSz w:w="11906" w:h="16839"/>
          <w:pgMar w:top="1431" w:right="1415" w:bottom="1297" w:left="1416" w:header="0" w:footer="1067" w:gutter="0"/>
          <w:pgNumType w:fmt="decimal"/>
          <w:cols w:equalWidth="0" w:num="2">
            <w:col w:w="1589" w:space="1"/>
            <w:col w:w="7484"/>
          </w:cols>
        </w:sectPr>
      </w:pPr>
    </w:p>
    <w:p w14:paraId="01DC45DD">
      <w:pPr>
        <w:spacing w:line="282" w:lineRule="auto"/>
        <w:rPr>
          <w:rFonts w:ascii="Arial"/>
          <w:color w:val="auto"/>
          <w:sz w:val="21"/>
          <w:highlight w:val="none"/>
        </w:rPr>
      </w:pPr>
    </w:p>
    <w:p w14:paraId="4528646B">
      <w:pPr>
        <w:spacing w:line="282" w:lineRule="auto"/>
        <w:rPr>
          <w:rFonts w:ascii="Arial"/>
          <w:color w:val="auto"/>
          <w:sz w:val="21"/>
          <w:highlight w:val="none"/>
        </w:rPr>
      </w:pPr>
    </w:p>
    <w:p w14:paraId="7048C1E1">
      <w:pPr>
        <w:tabs>
          <w:tab w:val="left" w:pos="1920"/>
        </w:tabs>
        <w:spacing w:before="79" w:line="220" w:lineRule="auto"/>
        <w:rPr>
          <w:rFonts w:ascii="宋体" w:hAnsi="宋体" w:eastAsia="宋体" w:cs="宋体"/>
          <w:color w:val="auto"/>
          <w:sz w:val="24"/>
          <w:szCs w:val="24"/>
          <w:highlight w:val="none"/>
        </w:rPr>
      </w:pPr>
      <w:r>
        <w:rPr>
          <w:rFonts w:ascii="宋体" w:hAnsi="宋体" w:eastAsia="宋体" w:cs="宋体"/>
          <w:color w:val="auto"/>
          <w:sz w:val="24"/>
          <w:szCs w:val="24"/>
          <w:highlight w:val="none"/>
          <w:u w:val="single" w:color="auto"/>
        </w:rPr>
        <w:tab/>
      </w:r>
      <w:r>
        <w:rPr>
          <w:rFonts w:ascii="宋体" w:hAnsi="宋体" w:eastAsia="宋体" w:cs="宋体"/>
          <w:color w:val="auto"/>
          <w:sz w:val="24"/>
          <w:szCs w:val="24"/>
          <w:highlight w:val="none"/>
        </w:rPr>
        <w:t>（招标人名称）：</w:t>
      </w:r>
    </w:p>
    <w:p w14:paraId="556A4FF0">
      <w:pPr>
        <w:spacing w:line="253" w:lineRule="auto"/>
        <w:rPr>
          <w:rFonts w:ascii="Arial"/>
          <w:color w:val="auto"/>
          <w:sz w:val="21"/>
          <w:highlight w:val="none"/>
        </w:rPr>
      </w:pPr>
    </w:p>
    <w:p w14:paraId="511EED0E">
      <w:pPr>
        <w:spacing w:line="254" w:lineRule="auto"/>
        <w:rPr>
          <w:rFonts w:ascii="Arial"/>
          <w:color w:val="auto"/>
          <w:sz w:val="21"/>
          <w:highlight w:val="none"/>
        </w:rPr>
      </w:pPr>
    </w:p>
    <w:p w14:paraId="28A24744">
      <w:pPr>
        <w:spacing w:before="79" w:line="339" w:lineRule="auto"/>
        <w:ind w:left="8" w:firstLine="483"/>
        <w:jc w:val="both"/>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鉴于</w:t>
      </w:r>
      <w:r>
        <w:rPr>
          <w:rFonts w:ascii="宋体" w:hAnsi="宋体" w:eastAsia="宋体" w:cs="宋体"/>
          <w:color w:val="auto"/>
          <w:spacing w:val="-1"/>
          <w:sz w:val="24"/>
          <w:szCs w:val="24"/>
          <w:highlight w:val="none"/>
          <w:u w:val="single" w:color="auto"/>
        </w:rPr>
        <w:t xml:space="preserve">             （投标人名称</w:t>
      </w:r>
      <w:r>
        <w:rPr>
          <w:rFonts w:ascii="宋体" w:hAnsi="宋体" w:eastAsia="宋体" w:cs="宋体"/>
          <w:color w:val="auto"/>
          <w:spacing w:val="-13"/>
          <w:sz w:val="24"/>
          <w:szCs w:val="24"/>
          <w:highlight w:val="none"/>
          <w:u w:val="single" w:color="auto"/>
        </w:rPr>
        <w:t>）</w:t>
      </w:r>
      <w:r>
        <w:rPr>
          <w:rFonts w:ascii="宋体" w:hAnsi="宋体" w:eastAsia="宋体" w:cs="宋体"/>
          <w:color w:val="auto"/>
          <w:spacing w:val="-13"/>
          <w:sz w:val="24"/>
          <w:szCs w:val="24"/>
          <w:highlight w:val="none"/>
        </w:rPr>
        <w:t>（</w:t>
      </w:r>
      <w:r>
        <w:rPr>
          <w:rFonts w:ascii="宋体" w:hAnsi="宋体" w:eastAsia="宋体" w:cs="宋体"/>
          <w:color w:val="auto"/>
          <w:spacing w:val="-1"/>
          <w:sz w:val="24"/>
          <w:szCs w:val="24"/>
          <w:highlight w:val="none"/>
        </w:rPr>
        <w:t>以下称“投标人</w:t>
      </w:r>
      <w:r>
        <w:rPr>
          <w:rFonts w:ascii="宋体" w:hAnsi="宋体" w:eastAsia="宋体" w:cs="宋体"/>
          <w:color w:val="auto"/>
          <w:spacing w:val="-86"/>
          <w:sz w:val="24"/>
          <w:szCs w:val="24"/>
          <w:highlight w:val="none"/>
        </w:rPr>
        <w:t xml:space="preserve"> </w:t>
      </w:r>
      <w:r>
        <w:rPr>
          <w:rFonts w:ascii="宋体" w:hAnsi="宋体" w:eastAsia="宋体" w:cs="宋体"/>
          <w:color w:val="auto"/>
          <w:spacing w:val="-1"/>
          <w:sz w:val="24"/>
          <w:szCs w:val="24"/>
          <w:highlight w:val="none"/>
        </w:rPr>
        <w:t>”）于</w:t>
      </w:r>
      <w:r>
        <w:rPr>
          <w:rFonts w:ascii="宋体" w:hAnsi="宋体" w:eastAsia="宋体" w:cs="宋体"/>
          <w:color w:val="auto"/>
          <w:spacing w:val="-118"/>
          <w:sz w:val="24"/>
          <w:szCs w:val="24"/>
          <w:highlight w:val="none"/>
        </w:rPr>
        <w:t xml:space="preserve"> </w:t>
      </w:r>
      <w:r>
        <w:rPr>
          <w:rFonts w:ascii="宋体" w:hAnsi="宋体" w:eastAsia="宋体" w:cs="宋体"/>
          <w:color w:val="auto"/>
          <w:spacing w:val="1"/>
          <w:sz w:val="24"/>
          <w:szCs w:val="24"/>
          <w:highlight w:val="none"/>
          <w:u w:val="single" w:color="auto"/>
        </w:rPr>
        <w:t xml:space="preserve">    </w:t>
      </w:r>
      <w:r>
        <w:rPr>
          <w:rFonts w:ascii="宋体" w:hAnsi="宋体" w:eastAsia="宋体" w:cs="宋体"/>
          <w:color w:val="auto"/>
          <w:spacing w:val="-108"/>
          <w:sz w:val="24"/>
          <w:szCs w:val="24"/>
          <w:highlight w:val="none"/>
        </w:rPr>
        <w:t xml:space="preserve"> </w:t>
      </w:r>
      <w:r>
        <w:rPr>
          <w:rFonts w:ascii="宋体" w:hAnsi="宋体" w:eastAsia="宋体" w:cs="宋体"/>
          <w:color w:val="auto"/>
          <w:spacing w:val="-1"/>
          <w:sz w:val="24"/>
          <w:szCs w:val="24"/>
          <w:highlight w:val="none"/>
        </w:rPr>
        <w:t>年</w:t>
      </w:r>
      <w:r>
        <w:rPr>
          <w:rFonts w:ascii="宋体" w:hAnsi="宋体" w:eastAsia="宋体" w:cs="宋体"/>
          <w:color w:val="auto"/>
          <w:spacing w:val="-118"/>
          <w:sz w:val="24"/>
          <w:szCs w:val="24"/>
          <w:highlight w:val="none"/>
        </w:rPr>
        <w:t xml:space="preserve"> </w:t>
      </w:r>
      <w:r>
        <w:rPr>
          <w:rFonts w:ascii="宋体" w:hAnsi="宋体" w:eastAsia="宋体" w:cs="宋体"/>
          <w:color w:val="auto"/>
          <w:spacing w:val="1"/>
          <w:sz w:val="24"/>
          <w:szCs w:val="24"/>
          <w:highlight w:val="none"/>
          <w:u w:val="single" w:color="auto"/>
        </w:rPr>
        <w:t xml:space="preserve">   </w:t>
      </w:r>
      <w:r>
        <w:rPr>
          <w:rFonts w:ascii="宋体" w:hAnsi="宋体" w:eastAsia="宋体" w:cs="宋体"/>
          <w:color w:val="auto"/>
          <w:spacing w:val="-103"/>
          <w:sz w:val="24"/>
          <w:szCs w:val="24"/>
          <w:highlight w:val="none"/>
        </w:rPr>
        <w:t xml:space="preserve"> </w:t>
      </w:r>
      <w:r>
        <w:rPr>
          <w:rFonts w:ascii="宋体" w:hAnsi="宋体" w:eastAsia="宋体" w:cs="宋体"/>
          <w:color w:val="auto"/>
          <w:spacing w:val="-1"/>
          <w:sz w:val="24"/>
          <w:szCs w:val="24"/>
          <w:highlight w:val="none"/>
        </w:rPr>
        <w:t>月</w:t>
      </w:r>
      <w:r>
        <w:rPr>
          <w:rFonts w:ascii="宋体" w:hAnsi="宋体" w:eastAsia="宋体" w:cs="宋体"/>
          <w:color w:val="auto"/>
          <w:spacing w:val="-1"/>
          <w:sz w:val="24"/>
          <w:szCs w:val="24"/>
          <w:highlight w:val="none"/>
          <w:u w:val="single" w:color="auto"/>
        </w:rPr>
        <w:t xml:space="preserve">   </w:t>
      </w:r>
      <w:r>
        <w:rPr>
          <w:rFonts w:ascii="宋体" w:hAnsi="宋体" w:eastAsia="宋体" w:cs="宋体"/>
          <w:color w:val="auto"/>
          <w:spacing w:val="-69"/>
          <w:sz w:val="24"/>
          <w:szCs w:val="24"/>
          <w:highlight w:val="none"/>
        </w:rPr>
        <w:t xml:space="preserve"> </w:t>
      </w:r>
      <w:r>
        <w:rPr>
          <w:rFonts w:ascii="宋体" w:hAnsi="宋体" w:eastAsia="宋体" w:cs="宋体"/>
          <w:color w:val="auto"/>
          <w:spacing w:val="-1"/>
          <w:sz w:val="24"/>
          <w:szCs w:val="24"/>
          <w:highlight w:val="none"/>
        </w:rPr>
        <w:t>日参</w:t>
      </w:r>
      <w:r>
        <w:rPr>
          <w:rFonts w:ascii="宋体" w:hAnsi="宋体" w:eastAsia="宋体" w:cs="宋体"/>
          <w:color w:val="auto"/>
          <w:spacing w:val="5"/>
          <w:sz w:val="24"/>
          <w:szCs w:val="24"/>
          <w:highlight w:val="none"/>
        </w:rPr>
        <w:t>加</w:t>
      </w:r>
      <w:r>
        <w:rPr>
          <w:rFonts w:ascii="宋体" w:hAnsi="宋体" w:eastAsia="宋体" w:cs="宋体"/>
          <w:color w:val="auto"/>
          <w:spacing w:val="-115"/>
          <w:sz w:val="24"/>
          <w:szCs w:val="24"/>
          <w:highlight w:val="none"/>
        </w:rPr>
        <w:t xml:space="preserve"> </w:t>
      </w:r>
      <w:r>
        <w:rPr>
          <w:rFonts w:ascii="宋体" w:hAnsi="宋体" w:eastAsia="宋体" w:cs="宋体"/>
          <w:color w:val="auto"/>
          <w:spacing w:val="5"/>
          <w:sz w:val="24"/>
          <w:szCs w:val="24"/>
          <w:highlight w:val="none"/>
          <w:u w:val="single" w:color="auto"/>
        </w:rPr>
        <w:t xml:space="preserve">          （项目名称）      </w:t>
      </w:r>
      <w:r>
        <w:rPr>
          <w:rFonts w:ascii="宋体" w:hAnsi="宋体" w:eastAsia="宋体" w:cs="宋体"/>
          <w:color w:val="auto"/>
          <w:spacing w:val="-109"/>
          <w:sz w:val="24"/>
          <w:szCs w:val="24"/>
          <w:highlight w:val="none"/>
        </w:rPr>
        <w:t xml:space="preserve"> </w:t>
      </w:r>
      <w:r>
        <w:rPr>
          <w:rFonts w:ascii="宋体" w:hAnsi="宋体" w:eastAsia="宋体" w:cs="宋体"/>
          <w:color w:val="auto"/>
          <w:spacing w:val="5"/>
          <w:sz w:val="24"/>
          <w:szCs w:val="24"/>
          <w:highlight w:val="none"/>
        </w:rPr>
        <w:t>标段施工监理的投标</w:t>
      </w:r>
      <w:r>
        <w:rPr>
          <w:rFonts w:ascii="宋体" w:hAnsi="宋体" w:eastAsia="宋体" w:cs="宋体"/>
          <w:color w:val="auto"/>
          <w:spacing w:val="-30"/>
          <w:sz w:val="24"/>
          <w:szCs w:val="24"/>
          <w:highlight w:val="none"/>
        </w:rPr>
        <w:t>，</w:t>
      </w:r>
      <w:r>
        <w:rPr>
          <w:rFonts w:ascii="宋体" w:hAnsi="宋体" w:eastAsia="宋体" w:cs="宋体"/>
          <w:color w:val="auto"/>
          <w:spacing w:val="4"/>
          <w:sz w:val="24"/>
          <w:szCs w:val="24"/>
          <w:highlight w:val="none"/>
          <w:u w:val="single" w:color="auto"/>
        </w:rPr>
        <w:t xml:space="preserve">        </w:t>
      </w:r>
      <w:r>
        <w:rPr>
          <w:rFonts w:ascii="宋体" w:hAnsi="宋体" w:eastAsia="宋体" w:cs="宋体"/>
          <w:color w:val="auto"/>
          <w:spacing w:val="-30"/>
          <w:sz w:val="24"/>
          <w:szCs w:val="24"/>
          <w:highlight w:val="none"/>
          <w:u w:val="single" w:color="auto"/>
        </w:rPr>
        <w:t>（</w:t>
      </w:r>
      <w:r>
        <w:rPr>
          <w:rFonts w:ascii="宋体" w:hAnsi="宋体" w:eastAsia="宋体" w:cs="宋体"/>
          <w:color w:val="auto"/>
          <w:spacing w:val="5"/>
          <w:sz w:val="24"/>
          <w:szCs w:val="24"/>
          <w:highlight w:val="none"/>
          <w:u w:val="single" w:color="auto"/>
        </w:rPr>
        <w:t>担保人名称，以</w:t>
      </w:r>
      <w:r>
        <w:rPr>
          <w:rFonts w:ascii="宋体" w:hAnsi="宋体" w:eastAsia="宋体" w:cs="宋体"/>
          <w:color w:val="auto"/>
          <w:spacing w:val="4"/>
          <w:sz w:val="24"/>
          <w:szCs w:val="24"/>
          <w:highlight w:val="none"/>
          <w:u w:val="single" w:color="auto"/>
        </w:rPr>
        <w:t>下简称“我方</w:t>
      </w:r>
      <w:r>
        <w:rPr>
          <w:rFonts w:ascii="宋体" w:hAnsi="宋体" w:eastAsia="宋体" w:cs="宋体"/>
          <w:color w:val="auto"/>
          <w:spacing w:val="-83"/>
          <w:sz w:val="24"/>
          <w:szCs w:val="24"/>
          <w:highlight w:val="none"/>
          <w:u w:val="single" w:color="auto"/>
        </w:rPr>
        <w:t xml:space="preserve"> </w:t>
      </w:r>
      <w:r>
        <w:rPr>
          <w:rFonts w:ascii="宋体" w:hAnsi="宋体" w:eastAsia="宋体" w:cs="宋体"/>
          <w:color w:val="auto"/>
          <w:spacing w:val="4"/>
          <w:sz w:val="24"/>
          <w:szCs w:val="24"/>
          <w:highlight w:val="none"/>
          <w:u w:val="single" w:color="auto"/>
        </w:rPr>
        <w:t>”）</w:t>
      </w:r>
      <w:r>
        <w:rPr>
          <w:rFonts w:ascii="宋体" w:hAnsi="宋体" w:eastAsia="宋体" w:cs="宋体"/>
          <w:color w:val="auto"/>
          <w:spacing w:val="4"/>
          <w:sz w:val="24"/>
          <w:szCs w:val="24"/>
          <w:highlight w:val="none"/>
        </w:rPr>
        <w:t>无条件地、不可撤销地保证：若投标人在投标有效期内撤销</w:t>
      </w:r>
      <w:r>
        <w:rPr>
          <w:rFonts w:ascii="宋体" w:hAnsi="宋体" w:eastAsia="宋体" w:cs="宋体"/>
          <w:color w:val="auto"/>
          <w:spacing w:val="3"/>
          <w:sz w:val="24"/>
          <w:szCs w:val="24"/>
          <w:highlight w:val="none"/>
        </w:rPr>
        <w:t>投标文</w:t>
      </w:r>
      <w:r>
        <w:rPr>
          <w:rFonts w:ascii="宋体" w:hAnsi="宋体" w:eastAsia="宋体" w:cs="宋体"/>
          <w:color w:val="auto"/>
          <w:spacing w:val="5"/>
          <w:sz w:val="24"/>
          <w:szCs w:val="24"/>
          <w:highlight w:val="none"/>
        </w:rPr>
        <w:t>件，中标后无正当理由不与招标人订立合同，在签订合同时向招标人提出附加条件，不按照招标文件要求提交履约保证金，或发生招标文件明确规定可以不予退还</w:t>
      </w:r>
      <w:r>
        <w:rPr>
          <w:rFonts w:ascii="宋体" w:hAnsi="宋体" w:eastAsia="宋体" w:cs="宋体"/>
          <w:color w:val="auto"/>
          <w:spacing w:val="4"/>
          <w:sz w:val="24"/>
          <w:szCs w:val="24"/>
          <w:highlight w:val="none"/>
        </w:rPr>
        <w:t>投标保</w:t>
      </w:r>
      <w:r>
        <w:rPr>
          <w:rFonts w:ascii="宋体" w:hAnsi="宋体" w:eastAsia="宋体" w:cs="宋体"/>
          <w:color w:val="auto"/>
          <w:spacing w:val="3"/>
          <w:sz w:val="24"/>
          <w:szCs w:val="24"/>
          <w:highlight w:val="none"/>
        </w:rPr>
        <w:t>证金的其他情形，我方承担保证责任。收到你方书面通</w:t>
      </w:r>
      <w:r>
        <w:rPr>
          <w:rFonts w:ascii="宋体" w:hAnsi="宋体" w:eastAsia="宋体" w:cs="宋体"/>
          <w:color w:val="auto"/>
          <w:spacing w:val="2"/>
          <w:sz w:val="24"/>
          <w:szCs w:val="24"/>
          <w:highlight w:val="none"/>
        </w:rPr>
        <w:t>知后，我方在</w:t>
      </w:r>
      <w:r>
        <w:rPr>
          <w:rFonts w:ascii="宋体" w:hAnsi="宋体" w:eastAsia="宋体" w:cs="宋体"/>
          <w:color w:val="auto"/>
          <w:spacing w:val="-38"/>
          <w:sz w:val="24"/>
          <w:szCs w:val="24"/>
          <w:highlight w:val="none"/>
        </w:rPr>
        <w:t xml:space="preserve"> </w:t>
      </w:r>
      <w:r>
        <w:rPr>
          <w:rFonts w:ascii="宋体" w:hAnsi="宋体" w:eastAsia="宋体" w:cs="宋体"/>
          <w:color w:val="auto"/>
          <w:spacing w:val="2"/>
          <w:sz w:val="24"/>
          <w:szCs w:val="24"/>
          <w:highlight w:val="none"/>
        </w:rPr>
        <w:t>7 日内向你方无</w:t>
      </w:r>
      <w:r>
        <w:rPr>
          <w:rFonts w:ascii="宋体" w:hAnsi="宋体" w:eastAsia="宋体" w:cs="宋体"/>
          <w:color w:val="auto"/>
          <w:spacing w:val="-1"/>
          <w:sz w:val="24"/>
          <w:szCs w:val="24"/>
          <w:highlight w:val="none"/>
        </w:rPr>
        <w:t>条件支付人民币（大写）</w:t>
      </w:r>
      <w:r>
        <w:rPr>
          <w:rFonts w:ascii="宋体" w:hAnsi="宋体" w:eastAsia="宋体" w:cs="宋体"/>
          <w:color w:val="auto"/>
          <w:spacing w:val="-1"/>
          <w:sz w:val="24"/>
          <w:szCs w:val="24"/>
          <w:highlight w:val="none"/>
          <w:u w:val="single" w:color="auto"/>
        </w:rPr>
        <w:t xml:space="preserve">            </w:t>
      </w:r>
      <w:r>
        <w:rPr>
          <w:rFonts w:ascii="宋体" w:hAnsi="宋体" w:eastAsia="宋体" w:cs="宋体"/>
          <w:color w:val="auto"/>
          <w:spacing w:val="-105"/>
          <w:sz w:val="24"/>
          <w:szCs w:val="24"/>
          <w:highlight w:val="none"/>
        </w:rPr>
        <w:t xml:space="preserve"> </w:t>
      </w:r>
      <w:r>
        <w:rPr>
          <w:rFonts w:ascii="宋体" w:hAnsi="宋体" w:eastAsia="宋体" w:cs="宋体"/>
          <w:color w:val="auto"/>
          <w:spacing w:val="-1"/>
          <w:sz w:val="24"/>
          <w:szCs w:val="24"/>
          <w:highlight w:val="none"/>
        </w:rPr>
        <w:t>元。</w:t>
      </w:r>
    </w:p>
    <w:p w14:paraId="517B36FC">
      <w:pPr>
        <w:spacing w:before="2" w:line="339" w:lineRule="auto"/>
        <w:ind w:left="29" w:right="2" w:firstLine="461"/>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本保函在投标有效期或经延长的投标有效期内保持有效。要求我方承担保证责任</w:t>
      </w:r>
      <w:r>
        <w:rPr>
          <w:rFonts w:ascii="宋体" w:hAnsi="宋体" w:eastAsia="宋体" w:cs="宋体"/>
          <w:color w:val="auto"/>
          <w:spacing w:val="-1"/>
          <w:sz w:val="24"/>
          <w:szCs w:val="24"/>
          <w:highlight w:val="none"/>
        </w:rPr>
        <w:t>的通知应在上述期限内送达我方。你方延长投标有效期的决定，应通知我方。</w:t>
      </w:r>
    </w:p>
    <w:p w14:paraId="269AB283">
      <w:pPr>
        <w:spacing w:line="264" w:lineRule="auto"/>
        <w:rPr>
          <w:rFonts w:ascii="Arial"/>
          <w:color w:val="auto"/>
          <w:sz w:val="21"/>
          <w:highlight w:val="none"/>
        </w:rPr>
      </w:pPr>
    </w:p>
    <w:p w14:paraId="611B0F4D">
      <w:pPr>
        <w:spacing w:line="264" w:lineRule="auto"/>
        <w:rPr>
          <w:rFonts w:ascii="Arial"/>
          <w:color w:val="auto"/>
          <w:sz w:val="21"/>
          <w:highlight w:val="none"/>
        </w:rPr>
      </w:pPr>
    </w:p>
    <w:p w14:paraId="3D1C3CCA">
      <w:pPr>
        <w:spacing w:line="264" w:lineRule="auto"/>
        <w:rPr>
          <w:rFonts w:ascii="Arial"/>
          <w:color w:val="auto"/>
          <w:sz w:val="21"/>
          <w:highlight w:val="none"/>
        </w:rPr>
      </w:pPr>
    </w:p>
    <w:p w14:paraId="28A6554A">
      <w:pPr>
        <w:spacing w:before="78" w:line="219" w:lineRule="auto"/>
        <w:ind w:left="1990"/>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担保人名称</w:t>
      </w:r>
      <w:r>
        <w:rPr>
          <w:rFonts w:ascii="宋体" w:hAnsi="宋体" w:eastAsia="宋体" w:cs="宋体"/>
          <w:color w:val="auto"/>
          <w:spacing w:val="-16"/>
          <w:sz w:val="24"/>
          <w:szCs w:val="24"/>
          <w:highlight w:val="none"/>
        </w:rPr>
        <w:t>：</w:t>
      </w:r>
      <w:r>
        <w:rPr>
          <w:rFonts w:ascii="宋体" w:hAnsi="宋体" w:eastAsia="宋体" w:cs="宋体"/>
          <w:color w:val="auto"/>
          <w:spacing w:val="4"/>
          <w:sz w:val="24"/>
          <w:szCs w:val="24"/>
          <w:highlight w:val="none"/>
          <w:u w:val="single" w:color="auto"/>
        </w:rPr>
        <w:t xml:space="preserve">                             </w:t>
      </w:r>
      <w:r>
        <w:rPr>
          <w:rFonts w:ascii="宋体" w:hAnsi="宋体" w:eastAsia="宋体" w:cs="宋体"/>
          <w:color w:val="auto"/>
          <w:spacing w:val="-16"/>
          <w:sz w:val="24"/>
          <w:szCs w:val="24"/>
          <w:highlight w:val="none"/>
        </w:rPr>
        <w:t>（</w:t>
      </w:r>
      <w:r>
        <w:rPr>
          <w:rFonts w:ascii="宋体" w:hAnsi="宋体" w:eastAsia="宋体" w:cs="宋体"/>
          <w:color w:val="auto"/>
          <w:spacing w:val="2"/>
          <w:sz w:val="24"/>
          <w:szCs w:val="24"/>
          <w:highlight w:val="none"/>
        </w:rPr>
        <w:t>盖单位章）</w:t>
      </w:r>
    </w:p>
    <w:p w14:paraId="4CAE7B25">
      <w:pPr>
        <w:spacing w:before="155" w:line="219" w:lineRule="auto"/>
        <w:ind w:left="1990"/>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法定代表人或其委托代理人</w:t>
      </w:r>
      <w:r>
        <w:rPr>
          <w:rFonts w:ascii="宋体" w:hAnsi="宋体" w:eastAsia="宋体" w:cs="宋体"/>
          <w:color w:val="auto"/>
          <w:spacing w:val="-14"/>
          <w:sz w:val="24"/>
          <w:szCs w:val="24"/>
          <w:highlight w:val="none"/>
        </w:rPr>
        <w:t>：</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14"/>
          <w:sz w:val="24"/>
          <w:szCs w:val="24"/>
          <w:highlight w:val="none"/>
        </w:rPr>
        <w:t>（</w:t>
      </w:r>
      <w:r>
        <w:rPr>
          <w:rFonts w:ascii="宋体" w:hAnsi="宋体" w:eastAsia="宋体" w:cs="宋体"/>
          <w:color w:val="auto"/>
          <w:spacing w:val="1"/>
          <w:sz w:val="24"/>
          <w:szCs w:val="24"/>
          <w:highlight w:val="none"/>
        </w:rPr>
        <w:t>签字）</w:t>
      </w:r>
    </w:p>
    <w:p w14:paraId="1215AE23">
      <w:pPr>
        <w:spacing w:before="157" w:line="229" w:lineRule="auto"/>
        <w:ind w:left="1989"/>
        <w:rPr>
          <w:rFonts w:ascii="宋体" w:hAnsi="宋体" w:eastAsia="宋体" w:cs="宋体"/>
          <w:color w:val="auto"/>
          <w:sz w:val="24"/>
          <w:szCs w:val="24"/>
          <w:highlight w:val="none"/>
        </w:rPr>
      </w:pPr>
      <w:r>
        <w:rPr>
          <w:rFonts w:ascii="宋体" w:hAnsi="宋体" w:eastAsia="宋体" w:cs="宋体"/>
          <w:color w:val="auto"/>
          <w:spacing w:val="-17"/>
          <w:sz w:val="24"/>
          <w:szCs w:val="24"/>
          <w:highlight w:val="none"/>
        </w:rPr>
        <w:t>地</w:t>
      </w:r>
      <w:r>
        <w:rPr>
          <w:rFonts w:ascii="宋体" w:hAnsi="宋体" w:eastAsia="宋体" w:cs="宋体"/>
          <w:color w:val="auto"/>
          <w:spacing w:val="2"/>
          <w:sz w:val="24"/>
          <w:szCs w:val="24"/>
          <w:highlight w:val="none"/>
        </w:rPr>
        <w:t xml:space="preserve">    </w:t>
      </w:r>
      <w:r>
        <w:rPr>
          <w:rFonts w:ascii="宋体" w:hAnsi="宋体" w:eastAsia="宋体" w:cs="宋体"/>
          <w:color w:val="auto"/>
          <w:spacing w:val="-17"/>
          <w:sz w:val="24"/>
          <w:szCs w:val="24"/>
          <w:highlight w:val="none"/>
        </w:rPr>
        <w:t>址</w:t>
      </w:r>
      <w:r>
        <w:rPr>
          <w:rFonts w:ascii="宋体" w:hAnsi="宋体" w:eastAsia="宋体" w:cs="宋体"/>
          <w:color w:val="auto"/>
          <w:spacing w:val="-88"/>
          <w:sz w:val="24"/>
          <w:szCs w:val="24"/>
          <w:highlight w:val="none"/>
        </w:rPr>
        <w:t xml:space="preserve"> </w:t>
      </w:r>
      <w:r>
        <w:rPr>
          <w:rFonts w:ascii="宋体" w:hAnsi="宋体" w:eastAsia="宋体" w:cs="宋体"/>
          <w:color w:val="auto"/>
          <w:spacing w:val="-17"/>
          <w:sz w:val="24"/>
          <w:szCs w:val="24"/>
          <w:highlight w:val="none"/>
        </w:rPr>
        <w:t>：</w:t>
      </w:r>
      <w:r>
        <w:rPr>
          <w:rFonts w:ascii="宋体" w:hAnsi="宋体" w:eastAsia="宋体" w:cs="宋体"/>
          <w:color w:val="auto"/>
          <w:sz w:val="24"/>
          <w:szCs w:val="24"/>
          <w:highlight w:val="none"/>
          <w:u w:val="single" w:color="auto"/>
        </w:rPr>
        <w:t xml:space="preserve">                                        </w:t>
      </w:r>
    </w:p>
    <w:p w14:paraId="3305314D">
      <w:pPr>
        <w:spacing w:before="142" w:line="219" w:lineRule="auto"/>
        <w:ind w:left="2007"/>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邮政编码：</w:t>
      </w:r>
      <w:r>
        <w:rPr>
          <w:rFonts w:ascii="宋体" w:hAnsi="宋体" w:eastAsia="宋体" w:cs="宋体"/>
          <w:color w:val="auto"/>
          <w:spacing w:val="-3"/>
          <w:sz w:val="24"/>
          <w:szCs w:val="24"/>
          <w:highlight w:val="none"/>
          <w:u w:val="single" w:color="auto"/>
        </w:rPr>
        <w:t xml:space="preserve">                              </w:t>
      </w:r>
      <w:r>
        <w:rPr>
          <w:rFonts w:ascii="宋体" w:hAnsi="宋体" w:eastAsia="宋体" w:cs="宋体"/>
          <w:color w:val="auto"/>
          <w:spacing w:val="-4"/>
          <w:sz w:val="24"/>
          <w:szCs w:val="24"/>
          <w:highlight w:val="none"/>
          <w:u w:val="single" w:color="auto"/>
        </w:rPr>
        <w:t xml:space="preserve">           </w:t>
      </w:r>
    </w:p>
    <w:p w14:paraId="17B0157D">
      <w:pPr>
        <w:spacing w:before="155" w:line="221" w:lineRule="auto"/>
        <w:ind w:left="2017"/>
        <w:rPr>
          <w:rFonts w:ascii="宋体" w:hAnsi="宋体" w:eastAsia="宋体" w:cs="宋体"/>
          <w:color w:val="auto"/>
          <w:sz w:val="24"/>
          <w:szCs w:val="24"/>
          <w:highlight w:val="none"/>
        </w:rPr>
      </w:pPr>
      <w:r>
        <w:rPr>
          <w:rFonts w:ascii="宋体" w:hAnsi="宋体" w:eastAsia="宋体" w:cs="宋体"/>
          <w:color w:val="auto"/>
          <w:spacing w:val="-26"/>
          <w:sz w:val="24"/>
          <w:szCs w:val="24"/>
          <w:highlight w:val="none"/>
        </w:rPr>
        <w:t>电</w:t>
      </w:r>
      <w:r>
        <w:rPr>
          <w:rFonts w:ascii="宋体" w:hAnsi="宋体" w:eastAsia="宋体" w:cs="宋体"/>
          <w:color w:val="auto"/>
          <w:spacing w:val="2"/>
          <w:sz w:val="24"/>
          <w:szCs w:val="24"/>
          <w:highlight w:val="none"/>
        </w:rPr>
        <w:t xml:space="preserve">    </w:t>
      </w:r>
      <w:r>
        <w:rPr>
          <w:rFonts w:ascii="宋体" w:hAnsi="宋体" w:eastAsia="宋体" w:cs="宋体"/>
          <w:color w:val="auto"/>
          <w:spacing w:val="-26"/>
          <w:sz w:val="24"/>
          <w:szCs w:val="24"/>
          <w:highlight w:val="none"/>
        </w:rPr>
        <w:t>话</w:t>
      </w:r>
      <w:r>
        <w:rPr>
          <w:rFonts w:ascii="宋体" w:hAnsi="宋体" w:eastAsia="宋体" w:cs="宋体"/>
          <w:color w:val="auto"/>
          <w:spacing w:val="-89"/>
          <w:sz w:val="24"/>
          <w:szCs w:val="24"/>
          <w:highlight w:val="none"/>
        </w:rPr>
        <w:t xml:space="preserve"> </w:t>
      </w:r>
      <w:r>
        <w:rPr>
          <w:rFonts w:ascii="宋体" w:hAnsi="宋体" w:eastAsia="宋体" w:cs="宋体"/>
          <w:color w:val="auto"/>
          <w:spacing w:val="-26"/>
          <w:sz w:val="24"/>
          <w:szCs w:val="24"/>
          <w:highlight w:val="none"/>
        </w:rPr>
        <w:t>：</w:t>
      </w:r>
      <w:r>
        <w:rPr>
          <w:rFonts w:ascii="宋体" w:hAnsi="宋体" w:eastAsia="宋体" w:cs="宋体"/>
          <w:color w:val="auto"/>
          <w:sz w:val="24"/>
          <w:szCs w:val="24"/>
          <w:highlight w:val="none"/>
          <w:u w:val="single" w:color="auto"/>
        </w:rPr>
        <w:t xml:space="preserve">                                        </w:t>
      </w:r>
    </w:p>
    <w:p w14:paraId="1727B765">
      <w:pPr>
        <w:spacing w:before="153" w:line="219" w:lineRule="auto"/>
        <w:ind w:left="1987"/>
        <w:rPr>
          <w:rFonts w:ascii="宋体" w:hAnsi="宋体" w:eastAsia="宋体" w:cs="宋体"/>
          <w:color w:val="auto"/>
          <w:sz w:val="24"/>
          <w:szCs w:val="24"/>
          <w:highlight w:val="none"/>
        </w:rPr>
      </w:pPr>
      <w:r>
        <w:rPr>
          <w:rFonts w:ascii="宋体" w:hAnsi="宋体" w:eastAsia="宋体" w:cs="宋体"/>
          <w:color w:val="auto"/>
          <w:spacing w:val="-17"/>
          <w:sz w:val="24"/>
          <w:szCs w:val="24"/>
          <w:highlight w:val="none"/>
        </w:rPr>
        <w:t>传</w:t>
      </w:r>
      <w:r>
        <w:rPr>
          <w:rFonts w:ascii="宋体" w:hAnsi="宋体" w:eastAsia="宋体" w:cs="宋体"/>
          <w:color w:val="auto"/>
          <w:spacing w:val="3"/>
          <w:sz w:val="24"/>
          <w:szCs w:val="24"/>
          <w:highlight w:val="none"/>
        </w:rPr>
        <w:t xml:space="preserve">    </w:t>
      </w:r>
      <w:r>
        <w:rPr>
          <w:rFonts w:ascii="宋体" w:hAnsi="宋体" w:eastAsia="宋体" w:cs="宋体"/>
          <w:color w:val="auto"/>
          <w:spacing w:val="-17"/>
          <w:sz w:val="24"/>
          <w:szCs w:val="24"/>
          <w:highlight w:val="none"/>
        </w:rPr>
        <w:t>真</w:t>
      </w:r>
      <w:r>
        <w:rPr>
          <w:rFonts w:ascii="宋体" w:hAnsi="宋体" w:eastAsia="宋体" w:cs="宋体"/>
          <w:color w:val="auto"/>
          <w:spacing w:val="-90"/>
          <w:sz w:val="24"/>
          <w:szCs w:val="24"/>
          <w:highlight w:val="none"/>
        </w:rPr>
        <w:t xml:space="preserve"> </w:t>
      </w:r>
      <w:r>
        <w:rPr>
          <w:rFonts w:ascii="宋体" w:hAnsi="宋体" w:eastAsia="宋体" w:cs="宋体"/>
          <w:color w:val="auto"/>
          <w:spacing w:val="-17"/>
          <w:sz w:val="24"/>
          <w:szCs w:val="24"/>
          <w:highlight w:val="none"/>
        </w:rPr>
        <w:t>：</w:t>
      </w:r>
      <w:r>
        <w:rPr>
          <w:rFonts w:ascii="宋体" w:hAnsi="宋体" w:eastAsia="宋体" w:cs="宋体"/>
          <w:color w:val="auto"/>
          <w:sz w:val="24"/>
          <w:szCs w:val="24"/>
          <w:highlight w:val="none"/>
          <w:u w:val="single" w:color="auto"/>
        </w:rPr>
        <w:t xml:space="preserve">                                        </w:t>
      </w:r>
    </w:p>
    <w:p w14:paraId="7209BA02">
      <w:pPr>
        <w:tabs>
          <w:tab w:val="left" w:pos="5999"/>
        </w:tabs>
        <w:spacing w:before="155" w:line="219" w:lineRule="auto"/>
        <w:ind w:left="5039"/>
        <w:rPr>
          <w:rFonts w:ascii="宋体" w:hAnsi="宋体" w:eastAsia="宋体" w:cs="宋体"/>
          <w:color w:val="auto"/>
          <w:sz w:val="24"/>
          <w:szCs w:val="24"/>
          <w:highlight w:val="none"/>
        </w:rPr>
      </w:pPr>
      <w:r>
        <w:rPr>
          <w:rFonts w:ascii="宋体" w:hAnsi="宋体" w:eastAsia="宋体" w:cs="宋体"/>
          <w:color w:val="auto"/>
          <w:sz w:val="24"/>
          <w:szCs w:val="24"/>
          <w:highlight w:val="none"/>
          <w:u w:val="single" w:color="auto"/>
        </w:rPr>
        <w:tab/>
      </w:r>
      <w:r>
        <w:rPr>
          <w:rFonts w:ascii="宋体" w:hAnsi="宋体" w:eastAsia="宋体" w:cs="宋体"/>
          <w:color w:val="auto"/>
          <w:spacing w:val="-109"/>
          <w:sz w:val="24"/>
          <w:szCs w:val="24"/>
          <w:highlight w:val="none"/>
        </w:rPr>
        <w:t xml:space="preserve"> </w:t>
      </w:r>
      <w:r>
        <w:rPr>
          <w:rFonts w:ascii="宋体" w:hAnsi="宋体" w:eastAsia="宋体" w:cs="宋体"/>
          <w:color w:val="auto"/>
          <w:spacing w:val="-9"/>
          <w:sz w:val="24"/>
          <w:szCs w:val="24"/>
          <w:highlight w:val="none"/>
        </w:rPr>
        <w:t>年</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105"/>
          <w:sz w:val="24"/>
          <w:szCs w:val="24"/>
          <w:highlight w:val="none"/>
        </w:rPr>
        <w:t xml:space="preserve"> </w:t>
      </w:r>
      <w:r>
        <w:rPr>
          <w:rFonts w:ascii="宋体" w:hAnsi="宋体" w:eastAsia="宋体" w:cs="宋体"/>
          <w:color w:val="auto"/>
          <w:spacing w:val="-9"/>
          <w:sz w:val="24"/>
          <w:szCs w:val="24"/>
          <w:highlight w:val="none"/>
        </w:rPr>
        <w:t>月</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69"/>
          <w:sz w:val="24"/>
          <w:szCs w:val="24"/>
          <w:highlight w:val="none"/>
        </w:rPr>
        <w:t xml:space="preserve"> </w:t>
      </w:r>
      <w:r>
        <w:rPr>
          <w:rFonts w:ascii="宋体" w:hAnsi="宋体" w:eastAsia="宋体" w:cs="宋体"/>
          <w:color w:val="auto"/>
          <w:spacing w:val="-9"/>
          <w:sz w:val="24"/>
          <w:szCs w:val="24"/>
          <w:highlight w:val="none"/>
        </w:rPr>
        <w:t>日</w:t>
      </w:r>
    </w:p>
    <w:p w14:paraId="178FEBA0">
      <w:pPr>
        <w:spacing w:before="182" w:line="406" w:lineRule="auto"/>
        <w:ind w:left="21" w:right="2" w:hanging="13"/>
        <w:rPr>
          <w:rFonts w:ascii="宋体" w:hAnsi="宋体" w:eastAsia="宋体" w:cs="宋体"/>
          <w:color w:val="auto"/>
          <w:sz w:val="20"/>
          <w:szCs w:val="20"/>
          <w:highlight w:val="none"/>
        </w:rPr>
      </w:pPr>
      <w:r>
        <w:rPr>
          <w:rFonts w:ascii="宋体" w:hAnsi="宋体" w:eastAsia="宋体" w:cs="宋体"/>
          <w:color w:val="auto"/>
          <w:spacing w:val="11"/>
          <w:sz w:val="20"/>
          <w:szCs w:val="20"/>
          <w:highlight w:val="none"/>
        </w:rPr>
        <w:t>注：本保函格式只作为参考，投标人可根据当地银行及相关规定的格</w:t>
      </w:r>
      <w:r>
        <w:rPr>
          <w:rFonts w:ascii="宋体" w:hAnsi="宋体" w:eastAsia="宋体" w:cs="宋体"/>
          <w:color w:val="auto"/>
          <w:spacing w:val="10"/>
          <w:sz w:val="20"/>
          <w:szCs w:val="20"/>
          <w:highlight w:val="none"/>
        </w:rPr>
        <w:t>式填写，但主要内容须与本保函内容原则上保持一致。如：“本保函在投标有效期或经延长的投标有</w:t>
      </w:r>
      <w:r>
        <w:rPr>
          <w:rFonts w:ascii="宋体" w:hAnsi="宋体" w:eastAsia="宋体" w:cs="宋体"/>
          <w:color w:val="auto"/>
          <w:spacing w:val="9"/>
          <w:sz w:val="20"/>
          <w:szCs w:val="20"/>
          <w:highlight w:val="none"/>
        </w:rPr>
        <w:t>效期内保持有效</w:t>
      </w:r>
      <w:r>
        <w:rPr>
          <w:rFonts w:ascii="宋体" w:hAnsi="宋体" w:eastAsia="宋体" w:cs="宋体"/>
          <w:color w:val="auto"/>
          <w:spacing w:val="-69"/>
          <w:sz w:val="20"/>
          <w:szCs w:val="20"/>
          <w:highlight w:val="none"/>
        </w:rPr>
        <w:t xml:space="preserve"> </w:t>
      </w:r>
      <w:r>
        <w:rPr>
          <w:rFonts w:ascii="宋体" w:hAnsi="宋体" w:eastAsia="宋体" w:cs="宋体"/>
          <w:color w:val="auto"/>
          <w:spacing w:val="9"/>
          <w:sz w:val="20"/>
          <w:szCs w:val="20"/>
          <w:highlight w:val="none"/>
        </w:rPr>
        <w:t>”可改为本</w:t>
      </w:r>
    </w:p>
    <w:p w14:paraId="78EFABE2">
      <w:pPr>
        <w:spacing w:line="228" w:lineRule="auto"/>
        <w:ind w:left="8"/>
        <w:outlineLvl w:val="1"/>
        <w:rPr>
          <w:rFonts w:ascii="宋体" w:hAnsi="宋体" w:eastAsia="宋体" w:cs="宋体"/>
          <w:color w:val="auto"/>
          <w:sz w:val="20"/>
          <w:szCs w:val="20"/>
          <w:highlight w:val="none"/>
        </w:rPr>
      </w:pPr>
      <w:bookmarkStart w:id="448" w:name="bookmark158"/>
      <w:bookmarkEnd w:id="448"/>
      <w:bookmarkStart w:id="449" w:name="_Toc22362"/>
      <w:bookmarkStart w:id="450" w:name="_Toc5778"/>
      <w:bookmarkStart w:id="451" w:name="_Toc9490"/>
      <w:bookmarkStart w:id="452" w:name="_Toc19508"/>
      <w:bookmarkStart w:id="453" w:name="_Toc8474"/>
      <w:bookmarkStart w:id="454" w:name="_Toc15904"/>
      <w:bookmarkStart w:id="455" w:name="_Toc23260"/>
      <w:r>
        <w:rPr>
          <w:rFonts w:ascii="宋体" w:hAnsi="宋体" w:eastAsia="宋体" w:cs="宋体"/>
          <w:color w:val="auto"/>
          <w:spacing w:val="8"/>
          <w:sz w:val="20"/>
          <w:szCs w:val="20"/>
          <w:highlight w:val="none"/>
        </w:rPr>
        <w:t>保函自</w:t>
      </w:r>
      <w:r>
        <w:rPr>
          <w:rFonts w:ascii="宋体" w:hAnsi="宋体" w:eastAsia="宋体" w:cs="宋体"/>
          <w:color w:val="auto"/>
          <w:spacing w:val="8"/>
          <w:sz w:val="20"/>
          <w:szCs w:val="20"/>
          <w:highlight w:val="none"/>
          <w:u w:val="single" w:color="auto"/>
        </w:rPr>
        <w:t xml:space="preserve">     （生效日期）</w:t>
      </w:r>
      <w:r>
        <w:rPr>
          <w:rFonts w:ascii="宋体" w:hAnsi="宋体" w:eastAsia="宋体" w:cs="宋体"/>
          <w:color w:val="auto"/>
          <w:spacing w:val="8"/>
          <w:sz w:val="20"/>
          <w:szCs w:val="20"/>
          <w:highlight w:val="none"/>
        </w:rPr>
        <w:t>之日起生效，至</w:t>
      </w:r>
      <w:r>
        <w:rPr>
          <w:rFonts w:ascii="宋体" w:hAnsi="宋体" w:eastAsia="宋体" w:cs="宋体"/>
          <w:color w:val="auto"/>
          <w:spacing w:val="8"/>
          <w:sz w:val="20"/>
          <w:szCs w:val="20"/>
          <w:highlight w:val="none"/>
          <w:u w:val="single" w:color="auto"/>
        </w:rPr>
        <w:t xml:space="preserve">     （失效日期）</w:t>
      </w:r>
      <w:r>
        <w:rPr>
          <w:rFonts w:ascii="宋体" w:hAnsi="宋体" w:eastAsia="宋体" w:cs="宋体"/>
          <w:color w:val="auto"/>
          <w:spacing w:val="8"/>
          <w:sz w:val="20"/>
          <w:szCs w:val="20"/>
          <w:highlight w:val="none"/>
        </w:rPr>
        <w:t>之日失效。</w:t>
      </w:r>
      <w:bookmarkEnd w:id="449"/>
      <w:bookmarkEnd w:id="450"/>
      <w:bookmarkEnd w:id="451"/>
      <w:bookmarkEnd w:id="452"/>
      <w:bookmarkEnd w:id="453"/>
      <w:bookmarkEnd w:id="454"/>
      <w:bookmarkEnd w:id="455"/>
    </w:p>
    <w:p w14:paraId="0D72A929">
      <w:pPr>
        <w:spacing w:line="184" w:lineRule="auto"/>
        <w:rPr>
          <w:rFonts w:ascii="宋体" w:hAnsi="宋体" w:eastAsia="宋体" w:cs="宋体"/>
          <w:color w:val="auto"/>
          <w:sz w:val="18"/>
          <w:szCs w:val="18"/>
          <w:highlight w:val="none"/>
        </w:rPr>
        <w:sectPr>
          <w:type w:val="continuous"/>
          <w:pgSz w:w="11906" w:h="16839"/>
          <w:pgMar w:top="1431" w:right="1415" w:bottom="1297" w:left="1416" w:header="0" w:footer="1067" w:gutter="0"/>
          <w:pgNumType w:fmt="decimal"/>
          <w:cols w:equalWidth="0" w:num="1">
            <w:col w:w="9075"/>
          </w:cols>
        </w:sectPr>
      </w:pPr>
    </w:p>
    <w:p w14:paraId="431C323C">
      <w:pPr>
        <w:spacing w:before="164" w:line="219" w:lineRule="auto"/>
        <w:ind w:left="3578"/>
        <w:rPr>
          <w:rFonts w:ascii="宋体" w:hAnsi="宋体" w:eastAsia="宋体" w:cs="宋体"/>
          <w:color w:val="auto"/>
          <w:sz w:val="24"/>
          <w:szCs w:val="24"/>
          <w:highlight w:val="none"/>
        </w:rPr>
      </w:pPr>
      <w:r>
        <w:rPr>
          <w:rFonts w:ascii="宋体" w:hAnsi="宋体" w:eastAsia="宋体" w:cs="宋体"/>
          <w:b/>
          <w:bCs/>
          <w:color w:val="auto"/>
          <w:spacing w:val="-4"/>
          <w:sz w:val="24"/>
          <w:szCs w:val="24"/>
          <w:highlight w:val="none"/>
        </w:rPr>
        <w:t>五、资格审查资料</w:t>
      </w:r>
    </w:p>
    <w:p w14:paraId="60DD8292">
      <w:pPr>
        <w:spacing w:before="322" w:line="219" w:lineRule="auto"/>
        <w:ind w:left="2896"/>
        <w:rPr>
          <w:rFonts w:ascii="宋体" w:hAnsi="宋体" w:eastAsia="宋体" w:cs="宋体"/>
          <w:color w:val="auto"/>
          <w:sz w:val="30"/>
          <w:szCs w:val="30"/>
          <w:highlight w:val="none"/>
        </w:rPr>
      </w:pPr>
      <w:r>
        <w:rPr>
          <w:rFonts w:ascii="宋体" w:hAnsi="宋体" w:eastAsia="宋体" w:cs="宋体"/>
          <w:b/>
          <w:bCs/>
          <w:color w:val="auto"/>
          <w:spacing w:val="-5"/>
          <w:sz w:val="30"/>
          <w:szCs w:val="30"/>
          <w:highlight w:val="none"/>
        </w:rPr>
        <w:t>（一）投标人基本情况表</w:t>
      </w:r>
    </w:p>
    <w:p w14:paraId="1D894A30">
      <w:pPr>
        <w:spacing w:line="182" w:lineRule="exact"/>
        <w:rPr>
          <w:color w:val="auto"/>
          <w:highlight w:val="none"/>
        </w:rPr>
      </w:pPr>
    </w:p>
    <w:tbl>
      <w:tblPr>
        <w:tblStyle w:val="17"/>
        <w:tblW w:w="8890" w:type="dxa"/>
        <w:tblInd w:w="8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50"/>
        <w:gridCol w:w="897"/>
        <w:gridCol w:w="1025"/>
        <w:gridCol w:w="1286"/>
        <w:gridCol w:w="414"/>
        <w:gridCol w:w="872"/>
        <w:gridCol w:w="828"/>
        <w:gridCol w:w="284"/>
        <w:gridCol w:w="1234"/>
      </w:tblGrid>
      <w:tr w14:paraId="285E50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2050" w:type="dxa"/>
            <w:vAlign w:val="top"/>
          </w:tcPr>
          <w:p w14:paraId="4A474F45">
            <w:pPr>
              <w:pStyle w:val="18"/>
              <w:spacing w:before="176" w:line="228" w:lineRule="auto"/>
              <w:ind w:left="509"/>
              <w:rPr>
                <w:color w:val="auto"/>
                <w:highlight w:val="none"/>
              </w:rPr>
            </w:pPr>
            <w:r>
              <w:rPr>
                <w:color w:val="auto"/>
                <w:spacing w:val="7"/>
                <w:highlight w:val="none"/>
              </w:rPr>
              <w:t>投标人名称</w:t>
            </w:r>
          </w:p>
        </w:tc>
        <w:tc>
          <w:tcPr>
            <w:tcW w:w="6840" w:type="dxa"/>
            <w:gridSpan w:val="8"/>
            <w:vAlign w:val="top"/>
          </w:tcPr>
          <w:p w14:paraId="4F85466A">
            <w:pPr>
              <w:rPr>
                <w:rFonts w:ascii="Arial"/>
                <w:color w:val="auto"/>
                <w:sz w:val="21"/>
                <w:highlight w:val="none"/>
              </w:rPr>
            </w:pPr>
          </w:p>
        </w:tc>
      </w:tr>
      <w:tr w14:paraId="07C547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2050" w:type="dxa"/>
            <w:vAlign w:val="top"/>
          </w:tcPr>
          <w:p w14:paraId="3F39E3F8">
            <w:pPr>
              <w:pStyle w:val="18"/>
              <w:spacing w:before="173" w:line="229" w:lineRule="auto"/>
              <w:ind w:left="609"/>
              <w:rPr>
                <w:color w:val="auto"/>
                <w:highlight w:val="none"/>
              </w:rPr>
            </w:pPr>
            <w:r>
              <w:rPr>
                <w:color w:val="auto"/>
                <w:spacing w:val="7"/>
                <w:highlight w:val="none"/>
              </w:rPr>
              <w:t>注册地址</w:t>
            </w:r>
          </w:p>
        </w:tc>
        <w:tc>
          <w:tcPr>
            <w:tcW w:w="3208" w:type="dxa"/>
            <w:gridSpan w:val="3"/>
            <w:vAlign w:val="top"/>
          </w:tcPr>
          <w:p w14:paraId="36028E10">
            <w:pPr>
              <w:rPr>
                <w:rFonts w:ascii="Arial"/>
                <w:color w:val="auto"/>
                <w:sz w:val="21"/>
                <w:highlight w:val="none"/>
              </w:rPr>
            </w:pPr>
          </w:p>
        </w:tc>
        <w:tc>
          <w:tcPr>
            <w:tcW w:w="1286" w:type="dxa"/>
            <w:gridSpan w:val="2"/>
            <w:vAlign w:val="top"/>
          </w:tcPr>
          <w:p w14:paraId="368C302C">
            <w:pPr>
              <w:pStyle w:val="18"/>
              <w:spacing w:before="173" w:line="228" w:lineRule="auto"/>
              <w:ind w:left="244"/>
              <w:rPr>
                <w:color w:val="auto"/>
                <w:highlight w:val="none"/>
              </w:rPr>
            </w:pPr>
            <w:r>
              <w:rPr>
                <w:color w:val="auto"/>
                <w:spacing w:val="3"/>
                <w:highlight w:val="none"/>
              </w:rPr>
              <w:t>邮政编码</w:t>
            </w:r>
          </w:p>
        </w:tc>
        <w:tc>
          <w:tcPr>
            <w:tcW w:w="2346" w:type="dxa"/>
            <w:gridSpan w:val="3"/>
            <w:vAlign w:val="top"/>
          </w:tcPr>
          <w:p w14:paraId="0F4FD6EF">
            <w:pPr>
              <w:rPr>
                <w:rFonts w:ascii="Arial"/>
                <w:color w:val="auto"/>
                <w:sz w:val="21"/>
                <w:highlight w:val="none"/>
              </w:rPr>
            </w:pPr>
          </w:p>
        </w:tc>
      </w:tr>
      <w:tr w14:paraId="2EE4D7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2050" w:type="dxa"/>
            <w:vMerge w:val="restart"/>
            <w:tcBorders>
              <w:bottom w:val="nil"/>
            </w:tcBorders>
            <w:vAlign w:val="top"/>
          </w:tcPr>
          <w:p w14:paraId="249CCD92">
            <w:pPr>
              <w:spacing w:line="331" w:lineRule="auto"/>
              <w:rPr>
                <w:rFonts w:ascii="Arial"/>
                <w:color w:val="auto"/>
                <w:sz w:val="21"/>
                <w:highlight w:val="none"/>
              </w:rPr>
            </w:pPr>
          </w:p>
          <w:p w14:paraId="214EDBB1">
            <w:pPr>
              <w:pStyle w:val="18"/>
              <w:spacing w:before="65" w:line="229" w:lineRule="auto"/>
              <w:ind w:left="610"/>
              <w:rPr>
                <w:color w:val="auto"/>
                <w:highlight w:val="none"/>
              </w:rPr>
            </w:pPr>
            <w:r>
              <w:rPr>
                <w:color w:val="auto"/>
                <w:spacing w:val="7"/>
                <w:highlight w:val="none"/>
              </w:rPr>
              <w:t>联系方式</w:t>
            </w:r>
          </w:p>
        </w:tc>
        <w:tc>
          <w:tcPr>
            <w:tcW w:w="897" w:type="dxa"/>
            <w:vAlign w:val="top"/>
          </w:tcPr>
          <w:p w14:paraId="2AB69985">
            <w:pPr>
              <w:pStyle w:val="18"/>
              <w:spacing w:before="173" w:line="230" w:lineRule="auto"/>
              <w:ind w:left="137"/>
              <w:rPr>
                <w:color w:val="auto"/>
                <w:highlight w:val="none"/>
              </w:rPr>
            </w:pPr>
            <w:r>
              <w:rPr>
                <w:color w:val="auto"/>
                <w:spacing w:val="6"/>
                <w:highlight w:val="none"/>
              </w:rPr>
              <w:t>联系人</w:t>
            </w:r>
          </w:p>
        </w:tc>
        <w:tc>
          <w:tcPr>
            <w:tcW w:w="2311" w:type="dxa"/>
            <w:gridSpan w:val="2"/>
            <w:vAlign w:val="top"/>
          </w:tcPr>
          <w:p w14:paraId="3114D34E">
            <w:pPr>
              <w:rPr>
                <w:rFonts w:ascii="Arial"/>
                <w:color w:val="auto"/>
                <w:sz w:val="21"/>
                <w:highlight w:val="none"/>
              </w:rPr>
            </w:pPr>
          </w:p>
        </w:tc>
        <w:tc>
          <w:tcPr>
            <w:tcW w:w="1286" w:type="dxa"/>
            <w:gridSpan w:val="2"/>
            <w:vAlign w:val="top"/>
          </w:tcPr>
          <w:p w14:paraId="6E3FCFDB">
            <w:pPr>
              <w:pStyle w:val="18"/>
              <w:spacing w:before="173" w:line="230" w:lineRule="auto"/>
              <w:ind w:left="411"/>
              <w:rPr>
                <w:color w:val="auto"/>
                <w:highlight w:val="none"/>
              </w:rPr>
            </w:pPr>
            <w:r>
              <w:rPr>
                <w:color w:val="auto"/>
                <w:spacing w:val="-12"/>
                <w:highlight w:val="none"/>
              </w:rPr>
              <w:t>电</w:t>
            </w:r>
            <w:r>
              <w:rPr>
                <w:color w:val="auto"/>
                <w:spacing w:val="16"/>
                <w:highlight w:val="none"/>
              </w:rPr>
              <w:t xml:space="preserve"> </w:t>
            </w:r>
            <w:r>
              <w:rPr>
                <w:color w:val="auto"/>
                <w:spacing w:val="-12"/>
                <w:highlight w:val="none"/>
              </w:rPr>
              <w:t>话</w:t>
            </w:r>
          </w:p>
        </w:tc>
        <w:tc>
          <w:tcPr>
            <w:tcW w:w="2346" w:type="dxa"/>
            <w:gridSpan w:val="3"/>
            <w:vAlign w:val="top"/>
          </w:tcPr>
          <w:p w14:paraId="301A3F05">
            <w:pPr>
              <w:rPr>
                <w:rFonts w:ascii="Arial"/>
                <w:color w:val="auto"/>
                <w:sz w:val="21"/>
                <w:highlight w:val="none"/>
              </w:rPr>
            </w:pPr>
          </w:p>
        </w:tc>
      </w:tr>
      <w:tr w14:paraId="317546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2050" w:type="dxa"/>
            <w:vMerge w:val="continue"/>
            <w:tcBorders>
              <w:top w:val="nil"/>
            </w:tcBorders>
            <w:vAlign w:val="top"/>
          </w:tcPr>
          <w:p w14:paraId="0123CFEF">
            <w:pPr>
              <w:rPr>
                <w:rFonts w:ascii="Arial"/>
                <w:color w:val="auto"/>
                <w:sz w:val="21"/>
                <w:highlight w:val="none"/>
              </w:rPr>
            </w:pPr>
          </w:p>
        </w:tc>
        <w:tc>
          <w:tcPr>
            <w:tcW w:w="897" w:type="dxa"/>
            <w:vAlign w:val="top"/>
          </w:tcPr>
          <w:p w14:paraId="2174B758">
            <w:pPr>
              <w:pStyle w:val="18"/>
              <w:spacing w:before="174" w:line="227" w:lineRule="auto"/>
              <w:ind w:left="135"/>
              <w:rPr>
                <w:color w:val="auto"/>
                <w:highlight w:val="none"/>
              </w:rPr>
            </w:pPr>
            <w:r>
              <w:rPr>
                <w:color w:val="auto"/>
                <w:spacing w:val="1"/>
                <w:highlight w:val="none"/>
              </w:rPr>
              <w:t>传</w:t>
            </w:r>
            <w:r>
              <w:rPr>
                <w:color w:val="auto"/>
                <w:spacing w:val="10"/>
                <w:highlight w:val="none"/>
              </w:rPr>
              <w:t xml:space="preserve">  </w:t>
            </w:r>
            <w:r>
              <w:rPr>
                <w:color w:val="auto"/>
                <w:spacing w:val="1"/>
                <w:highlight w:val="none"/>
              </w:rPr>
              <w:t>真</w:t>
            </w:r>
          </w:p>
        </w:tc>
        <w:tc>
          <w:tcPr>
            <w:tcW w:w="2311" w:type="dxa"/>
            <w:gridSpan w:val="2"/>
            <w:vAlign w:val="top"/>
          </w:tcPr>
          <w:p w14:paraId="60E3D7B3">
            <w:pPr>
              <w:rPr>
                <w:rFonts w:ascii="Arial"/>
                <w:color w:val="auto"/>
                <w:sz w:val="21"/>
                <w:highlight w:val="none"/>
              </w:rPr>
            </w:pPr>
          </w:p>
        </w:tc>
        <w:tc>
          <w:tcPr>
            <w:tcW w:w="1286" w:type="dxa"/>
            <w:gridSpan w:val="2"/>
            <w:vAlign w:val="top"/>
          </w:tcPr>
          <w:p w14:paraId="5C07F83B">
            <w:pPr>
              <w:pStyle w:val="18"/>
              <w:spacing w:before="174" w:line="228" w:lineRule="auto"/>
              <w:ind w:left="253"/>
              <w:rPr>
                <w:color w:val="auto"/>
                <w:highlight w:val="none"/>
              </w:rPr>
            </w:pPr>
            <w:r>
              <w:rPr>
                <w:color w:val="auto"/>
                <w:spacing w:val="1"/>
                <w:highlight w:val="none"/>
              </w:rPr>
              <w:t>电子邮件</w:t>
            </w:r>
          </w:p>
        </w:tc>
        <w:tc>
          <w:tcPr>
            <w:tcW w:w="2346" w:type="dxa"/>
            <w:gridSpan w:val="3"/>
            <w:vAlign w:val="top"/>
          </w:tcPr>
          <w:p w14:paraId="5CE2DCDA">
            <w:pPr>
              <w:rPr>
                <w:rFonts w:ascii="Arial"/>
                <w:color w:val="auto"/>
                <w:sz w:val="21"/>
                <w:highlight w:val="none"/>
              </w:rPr>
            </w:pPr>
          </w:p>
        </w:tc>
      </w:tr>
      <w:tr w14:paraId="366F84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2050" w:type="dxa"/>
            <w:vAlign w:val="top"/>
          </w:tcPr>
          <w:p w14:paraId="5DD77946">
            <w:pPr>
              <w:pStyle w:val="18"/>
              <w:spacing w:before="172" w:line="228" w:lineRule="auto"/>
              <w:ind w:left="507"/>
              <w:rPr>
                <w:color w:val="auto"/>
                <w:highlight w:val="none"/>
              </w:rPr>
            </w:pPr>
            <w:r>
              <w:rPr>
                <w:color w:val="auto"/>
                <w:spacing w:val="7"/>
                <w:highlight w:val="none"/>
              </w:rPr>
              <w:t>法定代表人</w:t>
            </w:r>
          </w:p>
        </w:tc>
        <w:tc>
          <w:tcPr>
            <w:tcW w:w="897" w:type="dxa"/>
            <w:vAlign w:val="top"/>
          </w:tcPr>
          <w:p w14:paraId="7EF67BDC">
            <w:pPr>
              <w:pStyle w:val="18"/>
              <w:spacing w:before="172" w:line="228" w:lineRule="auto"/>
              <w:ind w:left="242"/>
              <w:rPr>
                <w:color w:val="auto"/>
                <w:highlight w:val="none"/>
              </w:rPr>
            </w:pPr>
            <w:r>
              <w:rPr>
                <w:color w:val="auto"/>
                <w:spacing w:val="4"/>
                <w:highlight w:val="none"/>
              </w:rPr>
              <w:t>姓名</w:t>
            </w:r>
          </w:p>
        </w:tc>
        <w:tc>
          <w:tcPr>
            <w:tcW w:w="1025" w:type="dxa"/>
            <w:vAlign w:val="top"/>
          </w:tcPr>
          <w:p w14:paraId="463AAFC5">
            <w:pPr>
              <w:rPr>
                <w:rFonts w:ascii="Arial"/>
                <w:color w:val="auto"/>
                <w:sz w:val="21"/>
                <w:highlight w:val="none"/>
              </w:rPr>
            </w:pPr>
          </w:p>
        </w:tc>
        <w:tc>
          <w:tcPr>
            <w:tcW w:w="1286" w:type="dxa"/>
            <w:vAlign w:val="top"/>
          </w:tcPr>
          <w:p w14:paraId="099D7016">
            <w:pPr>
              <w:pStyle w:val="18"/>
              <w:spacing w:before="172" w:line="228" w:lineRule="auto"/>
              <w:ind w:left="229"/>
              <w:rPr>
                <w:color w:val="auto"/>
                <w:highlight w:val="none"/>
              </w:rPr>
            </w:pPr>
            <w:r>
              <w:rPr>
                <w:color w:val="auto"/>
                <w:spacing w:val="7"/>
                <w:highlight w:val="none"/>
              </w:rPr>
              <w:t>技术职称</w:t>
            </w:r>
          </w:p>
        </w:tc>
        <w:tc>
          <w:tcPr>
            <w:tcW w:w="1286" w:type="dxa"/>
            <w:gridSpan w:val="2"/>
            <w:vAlign w:val="top"/>
          </w:tcPr>
          <w:p w14:paraId="5B30687F">
            <w:pPr>
              <w:rPr>
                <w:rFonts w:ascii="Arial"/>
                <w:color w:val="auto"/>
                <w:sz w:val="21"/>
                <w:highlight w:val="none"/>
              </w:rPr>
            </w:pPr>
          </w:p>
        </w:tc>
        <w:tc>
          <w:tcPr>
            <w:tcW w:w="1112" w:type="dxa"/>
            <w:gridSpan w:val="2"/>
            <w:vAlign w:val="top"/>
          </w:tcPr>
          <w:p w14:paraId="067F98B3">
            <w:pPr>
              <w:pStyle w:val="18"/>
              <w:spacing w:before="173" w:line="230" w:lineRule="auto"/>
              <w:ind w:left="378"/>
              <w:rPr>
                <w:color w:val="auto"/>
                <w:highlight w:val="none"/>
              </w:rPr>
            </w:pPr>
            <w:r>
              <w:rPr>
                <w:color w:val="auto"/>
                <w:spacing w:val="-8"/>
                <w:highlight w:val="none"/>
              </w:rPr>
              <w:t>电话</w:t>
            </w:r>
          </w:p>
        </w:tc>
        <w:tc>
          <w:tcPr>
            <w:tcW w:w="1234" w:type="dxa"/>
            <w:vAlign w:val="top"/>
          </w:tcPr>
          <w:p w14:paraId="0CB3FE3F">
            <w:pPr>
              <w:rPr>
                <w:rFonts w:ascii="Arial"/>
                <w:color w:val="auto"/>
                <w:sz w:val="21"/>
                <w:highlight w:val="none"/>
              </w:rPr>
            </w:pPr>
          </w:p>
        </w:tc>
      </w:tr>
      <w:tr w14:paraId="23115F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2050" w:type="dxa"/>
            <w:vAlign w:val="top"/>
          </w:tcPr>
          <w:p w14:paraId="4C4EC487">
            <w:pPr>
              <w:pStyle w:val="18"/>
              <w:spacing w:before="174" w:line="228" w:lineRule="auto"/>
              <w:ind w:left="507"/>
              <w:rPr>
                <w:color w:val="auto"/>
                <w:highlight w:val="none"/>
              </w:rPr>
            </w:pPr>
            <w:r>
              <w:rPr>
                <w:color w:val="auto"/>
                <w:spacing w:val="7"/>
                <w:highlight w:val="none"/>
              </w:rPr>
              <w:t>技术负责人</w:t>
            </w:r>
          </w:p>
        </w:tc>
        <w:tc>
          <w:tcPr>
            <w:tcW w:w="897" w:type="dxa"/>
            <w:vAlign w:val="top"/>
          </w:tcPr>
          <w:p w14:paraId="5A3698CC">
            <w:pPr>
              <w:pStyle w:val="18"/>
              <w:spacing w:before="174" w:line="228" w:lineRule="auto"/>
              <w:ind w:left="242"/>
              <w:rPr>
                <w:color w:val="auto"/>
                <w:highlight w:val="none"/>
              </w:rPr>
            </w:pPr>
            <w:r>
              <w:rPr>
                <w:color w:val="auto"/>
                <w:spacing w:val="4"/>
                <w:highlight w:val="none"/>
              </w:rPr>
              <w:t>姓名</w:t>
            </w:r>
          </w:p>
        </w:tc>
        <w:tc>
          <w:tcPr>
            <w:tcW w:w="1025" w:type="dxa"/>
            <w:vAlign w:val="top"/>
          </w:tcPr>
          <w:p w14:paraId="5BE06608">
            <w:pPr>
              <w:rPr>
                <w:rFonts w:ascii="Arial"/>
                <w:color w:val="auto"/>
                <w:sz w:val="21"/>
                <w:highlight w:val="none"/>
              </w:rPr>
            </w:pPr>
          </w:p>
        </w:tc>
        <w:tc>
          <w:tcPr>
            <w:tcW w:w="1286" w:type="dxa"/>
            <w:vAlign w:val="top"/>
          </w:tcPr>
          <w:p w14:paraId="794B517B">
            <w:pPr>
              <w:pStyle w:val="18"/>
              <w:spacing w:before="174" w:line="228" w:lineRule="auto"/>
              <w:ind w:left="229"/>
              <w:rPr>
                <w:color w:val="auto"/>
                <w:highlight w:val="none"/>
              </w:rPr>
            </w:pPr>
            <w:r>
              <w:rPr>
                <w:color w:val="auto"/>
                <w:spacing w:val="7"/>
                <w:highlight w:val="none"/>
              </w:rPr>
              <w:t>技术职称</w:t>
            </w:r>
          </w:p>
        </w:tc>
        <w:tc>
          <w:tcPr>
            <w:tcW w:w="1286" w:type="dxa"/>
            <w:gridSpan w:val="2"/>
            <w:vAlign w:val="top"/>
          </w:tcPr>
          <w:p w14:paraId="6608A990">
            <w:pPr>
              <w:rPr>
                <w:rFonts w:ascii="Arial"/>
                <w:color w:val="auto"/>
                <w:sz w:val="21"/>
                <w:highlight w:val="none"/>
              </w:rPr>
            </w:pPr>
          </w:p>
        </w:tc>
        <w:tc>
          <w:tcPr>
            <w:tcW w:w="1112" w:type="dxa"/>
            <w:gridSpan w:val="2"/>
            <w:vAlign w:val="top"/>
          </w:tcPr>
          <w:p w14:paraId="67AD3907">
            <w:pPr>
              <w:pStyle w:val="18"/>
              <w:spacing w:before="174" w:line="230" w:lineRule="auto"/>
              <w:ind w:left="378"/>
              <w:rPr>
                <w:color w:val="auto"/>
                <w:highlight w:val="none"/>
              </w:rPr>
            </w:pPr>
            <w:r>
              <w:rPr>
                <w:color w:val="auto"/>
                <w:spacing w:val="-8"/>
                <w:highlight w:val="none"/>
              </w:rPr>
              <w:t>电话</w:t>
            </w:r>
          </w:p>
        </w:tc>
        <w:tc>
          <w:tcPr>
            <w:tcW w:w="1234" w:type="dxa"/>
            <w:vAlign w:val="top"/>
          </w:tcPr>
          <w:p w14:paraId="63282049">
            <w:pPr>
              <w:rPr>
                <w:rFonts w:ascii="Arial"/>
                <w:color w:val="auto"/>
                <w:sz w:val="21"/>
                <w:highlight w:val="none"/>
              </w:rPr>
            </w:pPr>
          </w:p>
        </w:tc>
      </w:tr>
      <w:tr w14:paraId="6F2041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2050" w:type="dxa"/>
            <w:vAlign w:val="top"/>
          </w:tcPr>
          <w:p w14:paraId="1A4AA625">
            <w:pPr>
              <w:pStyle w:val="18"/>
              <w:spacing w:before="173" w:line="227" w:lineRule="auto"/>
              <w:ind w:left="193"/>
              <w:rPr>
                <w:color w:val="auto"/>
                <w:highlight w:val="none"/>
              </w:rPr>
            </w:pPr>
            <w:r>
              <w:rPr>
                <w:color w:val="auto"/>
                <w:spacing w:val="8"/>
                <w:highlight w:val="none"/>
              </w:rPr>
              <w:t>企业监理资质证书</w:t>
            </w:r>
          </w:p>
        </w:tc>
        <w:tc>
          <w:tcPr>
            <w:tcW w:w="6840" w:type="dxa"/>
            <w:gridSpan w:val="8"/>
            <w:vAlign w:val="top"/>
          </w:tcPr>
          <w:p w14:paraId="14E0403A">
            <w:pPr>
              <w:pStyle w:val="18"/>
              <w:spacing w:before="173" w:line="227" w:lineRule="auto"/>
              <w:ind w:left="219"/>
              <w:rPr>
                <w:color w:val="auto"/>
                <w:highlight w:val="none"/>
              </w:rPr>
            </w:pPr>
            <w:r>
              <w:rPr>
                <w:color w:val="auto"/>
                <w:spacing w:val="4"/>
                <w:highlight w:val="none"/>
              </w:rPr>
              <w:t>发证机关：</w:t>
            </w:r>
            <w:r>
              <w:rPr>
                <w:color w:val="auto"/>
                <w:spacing w:val="10"/>
                <w:highlight w:val="none"/>
              </w:rPr>
              <w:t xml:space="preserve">     </w:t>
            </w:r>
            <w:r>
              <w:rPr>
                <w:color w:val="auto"/>
                <w:spacing w:val="4"/>
                <w:highlight w:val="none"/>
              </w:rPr>
              <w:t>类型：</w:t>
            </w:r>
            <w:r>
              <w:rPr>
                <w:color w:val="auto"/>
                <w:spacing w:val="6"/>
                <w:highlight w:val="none"/>
              </w:rPr>
              <w:t xml:space="preserve">              </w:t>
            </w:r>
            <w:r>
              <w:rPr>
                <w:color w:val="auto"/>
                <w:spacing w:val="4"/>
                <w:highlight w:val="none"/>
              </w:rPr>
              <w:t>等级：</w:t>
            </w:r>
            <w:r>
              <w:rPr>
                <w:color w:val="auto"/>
                <w:spacing w:val="9"/>
                <w:highlight w:val="none"/>
              </w:rPr>
              <w:t xml:space="preserve">      </w:t>
            </w:r>
            <w:r>
              <w:rPr>
                <w:color w:val="auto"/>
                <w:spacing w:val="4"/>
                <w:highlight w:val="none"/>
              </w:rPr>
              <w:t>证书号：</w:t>
            </w:r>
          </w:p>
        </w:tc>
      </w:tr>
      <w:tr w14:paraId="70537C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2050" w:type="dxa"/>
            <w:vAlign w:val="top"/>
          </w:tcPr>
          <w:p w14:paraId="006B7B9F">
            <w:pPr>
              <w:pStyle w:val="18"/>
              <w:spacing w:before="174" w:line="227" w:lineRule="auto"/>
              <w:ind w:left="194"/>
              <w:rPr>
                <w:color w:val="auto"/>
                <w:highlight w:val="none"/>
              </w:rPr>
            </w:pPr>
            <w:r>
              <w:rPr>
                <w:color w:val="auto"/>
                <w:spacing w:val="8"/>
                <w:highlight w:val="none"/>
              </w:rPr>
              <w:t>统一社会信用代码</w:t>
            </w:r>
          </w:p>
        </w:tc>
        <w:tc>
          <w:tcPr>
            <w:tcW w:w="3208" w:type="dxa"/>
            <w:gridSpan w:val="3"/>
            <w:vAlign w:val="top"/>
          </w:tcPr>
          <w:p w14:paraId="1860FD30">
            <w:pPr>
              <w:rPr>
                <w:rFonts w:ascii="Arial"/>
                <w:color w:val="auto"/>
                <w:sz w:val="21"/>
                <w:highlight w:val="none"/>
              </w:rPr>
            </w:pPr>
          </w:p>
        </w:tc>
        <w:tc>
          <w:tcPr>
            <w:tcW w:w="3632" w:type="dxa"/>
            <w:gridSpan w:val="5"/>
            <w:vAlign w:val="top"/>
          </w:tcPr>
          <w:p w14:paraId="6AF8FCFA">
            <w:pPr>
              <w:pStyle w:val="18"/>
              <w:spacing w:before="174" w:line="228" w:lineRule="auto"/>
              <w:ind w:left="1199"/>
              <w:rPr>
                <w:color w:val="auto"/>
                <w:highlight w:val="none"/>
              </w:rPr>
            </w:pPr>
            <w:r>
              <w:rPr>
                <w:color w:val="auto"/>
                <w:spacing w:val="5"/>
                <w:highlight w:val="none"/>
              </w:rPr>
              <w:t>员工总人数：</w:t>
            </w:r>
          </w:p>
        </w:tc>
      </w:tr>
      <w:tr w14:paraId="6B56D8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2050" w:type="dxa"/>
            <w:vAlign w:val="top"/>
          </w:tcPr>
          <w:p w14:paraId="3A030DF3">
            <w:pPr>
              <w:pStyle w:val="18"/>
              <w:spacing w:before="173" w:line="227" w:lineRule="auto"/>
              <w:ind w:left="609"/>
              <w:rPr>
                <w:color w:val="auto"/>
                <w:highlight w:val="none"/>
              </w:rPr>
            </w:pPr>
            <w:r>
              <w:rPr>
                <w:color w:val="auto"/>
                <w:spacing w:val="7"/>
                <w:highlight w:val="none"/>
              </w:rPr>
              <w:t>注册资本</w:t>
            </w:r>
          </w:p>
        </w:tc>
        <w:tc>
          <w:tcPr>
            <w:tcW w:w="3208" w:type="dxa"/>
            <w:gridSpan w:val="3"/>
            <w:vAlign w:val="top"/>
          </w:tcPr>
          <w:p w14:paraId="4A03BA84">
            <w:pPr>
              <w:rPr>
                <w:rFonts w:ascii="Arial"/>
                <w:color w:val="auto"/>
                <w:sz w:val="21"/>
                <w:highlight w:val="none"/>
              </w:rPr>
            </w:pPr>
          </w:p>
        </w:tc>
        <w:tc>
          <w:tcPr>
            <w:tcW w:w="414" w:type="dxa"/>
            <w:vMerge w:val="restart"/>
            <w:tcBorders>
              <w:bottom w:val="nil"/>
            </w:tcBorders>
            <w:textDirection w:val="tbRlV"/>
            <w:vAlign w:val="top"/>
          </w:tcPr>
          <w:p w14:paraId="69760A39">
            <w:pPr>
              <w:pStyle w:val="18"/>
              <w:spacing w:before="91" w:line="216" w:lineRule="auto"/>
              <w:ind w:left="629"/>
              <w:rPr>
                <w:color w:val="auto"/>
                <w:highlight w:val="none"/>
              </w:rPr>
            </w:pPr>
            <w:r>
              <w:rPr>
                <w:color w:val="auto"/>
                <w:spacing w:val="8"/>
                <w:highlight w:val="none"/>
              </w:rPr>
              <w:t>其</w:t>
            </w:r>
            <w:r>
              <w:rPr>
                <w:color w:val="auto"/>
                <w:spacing w:val="15"/>
                <w:highlight w:val="none"/>
              </w:rPr>
              <w:t xml:space="preserve">  </w:t>
            </w:r>
            <w:r>
              <w:rPr>
                <w:color w:val="auto"/>
                <w:spacing w:val="8"/>
                <w:highlight w:val="none"/>
              </w:rPr>
              <w:t>中</w:t>
            </w:r>
          </w:p>
        </w:tc>
        <w:tc>
          <w:tcPr>
            <w:tcW w:w="1700" w:type="dxa"/>
            <w:gridSpan w:val="2"/>
            <w:vAlign w:val="top"/>
          </w:tcPr>
          <w:p w14:paraId="62EF233D">
            <w:pPr>
              <w:pStyle w:val="18"/>
              <w:spacing w:before="172" w:line="228" w:lineRule="auto"/>
              <w:ind w:left="233"/>
              <w:rPr>
                <w:color w:val="auto"/>
                <w:highlight w:val="none"/>
              </w:rPr>
            </w:pPr>
            <w:r>
              <w:rPr>
                <w:color w:val="auto"/>
                <w:spacing w:val="7"/>
                <w:highlight w:val="none"/>
              </w:rPr>
              <w:t>高级职称人员</w:t>
            </w:r>
          </w:p>
        </w:tc>
        <w:tc>
          <w:tcPr>
            <w:tcW w:w="1518" w:type="dxa"/>
            <w:gridSpan w:val="2"/>
            <w:vAlign w:val="top"/>
          </w:tcPr>
          <w:p w14:paraId="07BEDB1F">
            <w:pPr>
              <w:rPr>
                <w:rFonts w:ascii="Arial"/>
                <w:color w:val="auto"/>
                <w:sz w:val="21"/>
                <w:highlight w:val="none"/>
              </w:rPr>
            </w:pPr>
          </w:p>
        </w:tc>
      </w:tr>
      <w:tr w14:paraId="1119AF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2050" w:type="dxa"/>
            <w:vAlign w:val="top"/>
          </w:tcPr>
          <w:p w14:paraId="263E7CE9">
            <w:pPr>
              <w:pStyle w:val="18"/>
              <w:spacing w:before="175" w:line="228" w:lineRule="auto"/>
              <w:ind w:left="611"/>
              <w:rPr>
                <w:color w:val="auto"/>
                <w:highlight w:val="none"/>
              </w:rPr>
            </w:pPr>
            <w:r>
              <w:rPr>
                <w:color w:val="auto"/>
                <w:spacing w:val="6"/>
                <w:highlight w:val="none"/>
              </w:rPr>
              <w:t>成立日期</w:t>
            </w:r>
          </w:p>
        </w:tc>
        <w:tc>
          <w:tcPr>
            <w:tcW w:w="3208" w:type="dxa"/>
            <w:gridSpan w:val="3"/>
            <w:vAlign w:val="top"/>
          </w:tcPr>
          <w:p w14:paraId="081F609C">
            <w:pPr>
              <w:rPr>
                <w:rFonts w:ascii="Arial"/>
                <w:color w:val="auto"/>
                <w:sz w:val="21"/>
                <w:highlight w:val="none"/>
              </w:rPr>
            </w:pPr>
          </w:p>
        </w:tc>
        <w:tc>
          <w:tcPr>
            <w:tcW w:w="414" w:type="dxa"/>
            <w:vMerge w:val="continue"/>
            <w:tcBorders>
              <w:top w:val="nil"/>
              <w:bottom w:val="nil"/>
            </w:tcBorders>
            <w:textDirection w:val="tbRlV"/>
            <w:vAlign w:val="top"/>
          </w:tcPr>
          <w:p w14:paraId="6B92724D">
            <w:pPr>
              <w:rPr>
                <w:rFonts w:ascii="Arial"/>
                <w:color w:val="auto"/>
                <w:sz w:val="21"/>
                <w:highlight w:val="none"/>
              </w:rPr>
            </w:pPr>
          </w:p>
        </w:tc>
        <w:tc>
          <w:tcPr>
            <w:tcW w:w="1700" w:type="dxa"/>
            <w:gridSpan w:val="2"/>
            <w:vAlign w:val="top"/>
          </w:tcPr>
          <w:p w14:paraId="03CBA49E">
            <w:pPr>
              <w:pStyle w:val="18"/>
              <w:spacing w:before="175" w:line="228" w:lineRule="auto"/>
              <w:ind w:left="247"/>
              <w:rPr>
                <w:color w:val="auto"/>
                <w:highlight w:val="none"/>
              </w:rPr>
            </w:pPr>
            <w:r>
              <w:rPr>
                <w:color w:val="auto"/>
                <w:spacing w:val="4"/>
                <w:highlight w:val="none"/>
              </w:rPr>
              <w:t>中级职称人员</w:t>
            </w:r>
          </w:p>
        </w:tc>
        <w:tc>
          <w:tcPr>
            <w:tcW w:w="1518" w:type="dxa"/>
            <w:gridSpan w:val="2"/>
            <w:vAlign w:val="top"/>
          </w:tcPr>
          <w:p w14:paraId="606119A1">
            <w:pPr>
              <w:rPr>
                <w:rFonts w:ascii="Arial"/>
                <w:color w:val="auto"/>
                <w:sz w:val="21"/>
                <w:highlight w:val="none"/>
              </w:rPr>
            </w:pPr>
          </w:p>
        </w:tc>
      </w:tr>
      <w:tr w14:paraId="5FAD4A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2050" w:type="dxa"/>
            <w:vAlign w:val="top"/>
          </w:tcPr>
          <w:p w14:paraId="30713EF7">
            <w:pPr>
              <w:pStyle w:val="18"/>
              <w:spacing w:before="174" w:line="227" w:lineRule="auto"/>
              <w:ind w:left="189"/>
              <w:rPr>
                <w:color w:val="auto"/>
                <w:highlight w:val="none"/>
              </w:rPr>
            </w:pPr>
            <w:r>
              <w:rPr>
                <w:color w:val="auto"/>
                <w:spacing w:val="8"/>
                <w:highlight w:val="none"/>
              </w:rPr>
              <w:t>基本账户开户银行</w:t>
            </w:r>
          </w:p>
        </w:tc>
        <w:tc>
          <w:tcPr>
            <w:tcW w:w="3208" w:type="dxa"/>
            <w:gridSpan w:val="3"/>
            <w:vAlign w:val="top"/>
          </w:tcPr>
          <w:p w14:paraId="4F5D755A">
            <w:pPr>
              <w:rPr>
                <w:rFonts w:ascii="Arial"/>
                <w:color w:val="auto"/>
                <w:sz w:val="21"/>
                <w:highlight w:val="none"/>
              </w:rPr>
            </w:pPr>
          </w:p>
        </w:tc>
        <w:tc>
          <w:tcPr>
            <w:tcW w:w="414" w:type="dxa"/>
            <w:vMerge w:val="continue"/>
            <w:tcBorders>
              <w:top w:val="nil"/>
              <w:bottom w:val="nil"/>
            </w:tcBorders>
            <w:textDirection w:val="tbRlV"/>
            <w:vAlign w:val="top"/>
          </w:tcPr>
          <w:p w14:paraId="5A53A46E">
            <w:pPr>
              <w:rPr>
                <w:rFonts w:ascii="Arial"/>
                <w:color w:val="auto"/>
                <w:sz w:val="21"/>
                <w:highlight w:val="none"/>
              </w:rPr>
            </w:pPr>
          </w:p>
        </w:tc>
        <w:tc>
          <w:tcPr>
            <w:tcW w:w="1700" w:type="dxa"/>
            <w:gridSpan w:val="2"/>
            <w:vAlign w:val="top"/>
          </w:tcPr>
          <w:p w14:paraId="00F6EA57">
            <w:pPr>
              <w:pStyle w:val="18"/>
              <w:spacing w:before="173" w:line="228" w:lineRule="auto"/>
              <w:ind w:left="228"/>
              <w:rPr>
                <w:color w:val="auto"/>
                <w:highlight w:val="none"/>
              </w:rPr>
            </w:pPr>
            <w:r>
              <w:rPr>
                <w:color w:val="auto"/>
                <w:spacing w:val="8"/>
                <w:highlight w:val="none"/>
              </w:rPr>
              <w:t>技术人员数量</w:t>
            </w:r>
          </w:p>
        </w:tc>
        <w:tc>
          <w:tcPr>
            <w:tcW w:w="1518" w:type="dxa"/>
            <w:gridSpan w:val="2"/>
            <w:vAlign w:val="top"/>
          </w:tcPr>
          <w:p w14:paraId="7D7DC902">
            <w:pPr>
              <w:rPr>
                <w:rFonts w:ascii="Arial"/>
                <w:color w:val="auto"/>
                <w:sz w:val="21"/>
                <w:highlight w:val="none"/>
              </w:rPr>
            </w:pPr>
          </w:p>
        </w:tc>
      </w:tr>
      <w:tr w14:paraId="1133A0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2050" w:type="dxa"/>
            <w:vAlign w:val="top"/>
          </w:tcPr>
          <w:p w14:paraId="2862A30B">
            <w:pPr>
              <w:pStyle w:val="18"/>
              <w:spacing w:before="175" w:line="227" w:lineRule="auto"/>
              <w:ind w:left="189"/>
              <w:rPr>
                <w:color w:val="auto"/>
                <w:highlight w:val="none"/>
              </w:rPr>
            </w:pPr>
            <w:r>
              <w:rPr>
                <w:color w:val="auto"/>
                <w:spacing w:val="8"/>
                <w:highlight w:val="none"/>
              </w:rPr>
              <w:t>基本账户银行账号</w:t>
            </w:r>
          </w:p>
        </w:tc>
        <w:tc>
          <w:tcPr>
            <w:tcW w:w="3208" w:type="dxa"/>
            <w:gridSpan w:val="3"/>
            <w:vAlign w:val="top"/>
          </w:tcPr>
          <w:p w14:paraId="287E861F">
            <w:pPr>
              <w:rPr>
                <w:rFonts w:ascii="Arial"/>
                <w:color w:val="auto"/>
                <w:sz w:val="21"/>
                <w:highlight w:val="none"/>
              </w:rPr>
            </w:pPr>
          </w:p>
        </w:tc>
        <w:tc>
          <w:tcPr>
            <w:tcW w:w="414" w:type="dxa"/>
            <w:vMerge w:val="continue"/>
            <w:tcBorders>
              <w:top w:val="nil"/>
            </w:tcBorders>
            <w:textDirection w:val="tbRlV"/>
            <w:vAlign w:val="top"/>
          </w:tcPr>
          <w:p w14:paraId="47C0BDD9">
            <w:pPr>
              <w:rPr>
                <w:rFonts w:ascii="Arial"/>
                <w:color w:val="auto"/>
                <w:sz w:val="21"/>
                <w:highlight w:val="none"/>
              </w:rPr>
            </w:pPr>
          </w:p>
        </w:tc>
        <w:tc>
          <w:tcPr>
            <w:tcW w:w="1700" w:type="dxa"/>
            <w:gridSpan w:val="2"/>
            <w:vAlign w:val="top"/>
          </w:tcPr>
          <w:p w14:paraId="38454C41">
            <w:pPr>
              <w:pStyle w:val="18"/>
              <w:spacing w:before="175" w:line="228" w:lineRule="auto"/>
              <w:ind w:left="230"/>
              <w:rPr>
                <w:color w:val="auto"/>
                <w:highlight w:val="none"/>
              </w:rPr>
            </w:pPr>
            <w:r>
              <w:rPr>
                <w:color w:val="auto"/>
                <w:spacing w:val="7"/>
                <w:highlight w:val="none"/>
              </w:rPr>
              <w:t>各类注册人员</w:t>
            </w:r>
          </w:p>
        </w:tc>
        <w:tc>
          <w:tcPr>
            <w:tcW w:w="1518" w:type="dxa"/>
            <w:gridSpan w:val="2"/>
            <w:vAlign w:val="top"/>
          </w:tcPr>
          <w:p w14:paraId="192AE086">
            <w:pPr>
              <w:rPr>
                <w:rFonts w:ascii="Arial"/>
                <w:color w:val="auto"/>
                <w:sz w:val="21"/>
                <w:highlight w:val="none"/>
              </w:rPr>
            </w:pPr>
          </w:p>
        </w:tc>
      </w:tr>
      <w:tr w14:paraId="2EF2E3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2050" w:type="dxa"/>
            <w:vAlign w:val="top"/>
          </w:tcPr>
          <w:p w14:paraId="6965A6A9">
            <w:pPr>
              <w:pStyle w:val="18"/>
              <w:spacing w:before="174" w:line="228" w:lineRule="auto"/>
              <w:ind w:left="717"/>
              <w:rPr>
                <w:color w:val="auto"/>
                <w:highlight w:val="none"/>
              </w:rPr>
            </w:pPr>
            <w:r>
              <w:rPr>
                <w:color w:val="auto"/>
                <w:spacing w:val="6"/>
                <w:highlight w:val="none"/>
              </w:rPr>
              <w:t>经营范围</w:t>
            </w:r>
          </w:p>
        </w:tc>
        <w:tc>
          <w:tcPr>
            <w:tcW w:w="6840" w:type="dxa"/>
            <w:gridSpan w:val="8"/>
            <w:vAlign w:val="top"/>
          </w:tcPr>
          <w:p w14:paraId="556EB9A1">
            <w:pPr>
              <w:rPr>
                <w:rFonts w:ascii="Arial"/>
                <w:color w:val="auto"/>
                <w:sz w:val="21"/>
                <w:highlight w:val="none"/>
              </w:rPr>
            </w:pPr>
          </w:p>
        </w:tc>
      </w:tr>
      <w:tr w14:paraId="34C506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3" w:hRule="atLeast"/>
        </w:trPr>
        <w:tc>
          <w:tcPr>
            <w:tcW w:w="2050" w:type="dxa"/>
            <w:vAlign w:val="top"/>
          </w:tcPr>
          <w:p w14:paraId="7D8F4D28">
            <w:pPr>
              <w:spacing w:line="266" w:lineRule="auto"/>
              <w:rPr>
                <w:rFonts w:ascii="Arial"/>
                <w:color w:val="auto"/>
                <w:sz w:val="21"/>
                <w:highlight w:val="none"/>
              </w:rPr>
            </w:pPr>
          </w:p>
          <w:p w14:paraId="7F04B0E7">
            <w:pPr>
              <w:spacing w:line="266" w:lineRule="auto"/>
              <w:rPr>
                <w:rFonts w:ascii="Arial"/>
                <w:color w:val="auto"/>
                <w:sz w:val="21"/>
                <w:highlight w:val="none"/>
              </w:rPr>
            </w:pPr>
          </w:p>
          <w:p w14:paraId="2C98917B">
            <w:pPr>
              <w:spacing w:line="266" w:lineRule="auto"/>
              <w:rPr>
                <w:rFonts w:ascii="Arial"/>
                <w:color w:val="auto"/>
                <w:sz w:val="21"/>
                <w:highlight w:val="none"/>
              </w:rPr>
            </w:pPr>
          </w:p>
          <w:p w14:paraId="15F8C797">
            <w:pPr>
              <w:spacing w:line="266" w:lineRule="auto"/>
              <w:rPr>
                <w:rFonts w:ascii="Arial"/>
                <w:color w:val="auto"/>
                <w:sz w:val="21"/>
                <w:highlight w:val="none"/>
              </w:rPr>
            </w:pPr>
          </w:p>
          <w:p w14:paraId="42E7EDEC">
            <w:pPr>
              <w:pStyle w:val="18"/>
              <w:spacing w:before="65" w:line="228" w:lineRule="auto"/>
              <w:ind w:left="192"/>
              <w:rPr>
                <w:color w:val="auto"/>
                <w:highlight w:val="none"/>
              </w:rPr>
            </w:pPr>
            <w:r>
              <w:rPr>
                <w:color w:val="auto"/>
                <w:spacing w:val="8"/>
                <w:highlight w:val="none"/>
              </w:rPr>
              <w:t>投标人关联企业情</w:t>
            </w:r>
          </w:p>
          <w:p w14:paraId="06030E20">
            <w:pPr>
              <w:pStyle w:val="18"/>
              <w:spacing w:before="192" w:line="228" w:lineRule="auto"/>
              <w:ind w:left="928"/>
              <w:rPr>
                <w:color w:val="auto"/>
                <w:highlight w:val="none"/>
              </w:rPr>
            </w:pPr>
            <w:r>
              <w:rPr>
                <w:color w:val="auto"/>
                <w:highlight w:val="none"/>
              </w:rPr>
              <w:t>况</w:t>
            </w:r>
          </w:p>
        </w:tc>
        <w:tc>
          <w:tcPr>
            <w:tcW w:w="6840" w:type="dxa"/>
            <w:gridSpan w:val="8"/>
            <w:vAlign w:val="top"/>
          </w:tcPr>
          <w:p w14:paraId="01CE7A26">
            <w:pPr>
              <w:pStyle w:val="18"/>
              <w:spacing w:before="160" w:line="227" w:lineRule="auto"/>
              <w:ind w:left="115"/>
              <w:rPr>
                <w:color w:val="auto"/>
                <w:highlight w:val="none"/>
              </w:rPr>
            </w:pPr>
            <w:r>
              <w:rPr>
                <w:color w:val="auto"/>
                <w:spacing w:val="8"/>
                <w:highlight w:val="none"/>
              </w:rPr>
              <w:t>投标人应提供关联企业情况，包括：</w:t>
            </w:r>
          </w:p>
          <w:p w14:paraId="1DCA2913">
            <w:pPr>
              <w:pStyle w:val="18"/>
              <w:spacing w:before="154" w:line="322" w:lineRule="auto"/>
              <w:ind w:left="112" w:right="108" w:hanging="95"/>
              <w:rPr>
                <w:color w:val="auto"/>
                <w:highlight w:val="none"/>
              </w:rPr>
            </w:pPr>
            <w:r>
              <w:rPr>
                <w:color w:val="auto"/>
                <w:spacing w:val="11"/>
                <w:highlight w:val="none"/>
              </w:rPr>
              <w:t>（1）投标人的所有股东名称及相应股权（出资额）</w:t>
            </w:r>
            <w:r>
              <w:rPr>
                <w:color w:val="auto"/>
                <w:spacing w:val="-45"/>
                <w:highlight w:val="none"/>
              </w:rPr>
              <w:t xml:space="preserve"> </w:t>
            </w:r>
            <w:r>
              <w:rPr>
                <w:color w:val="auto"/>
                <w:spacing w:val="11"/>
                <w:highlight w:val="none"/>
              </w:rPr>
              <w:t>比例；如投标人为上</w:t>
            </w:r>
            <w:r>
              <w:rPr>
                <w:color w:val="auto"/>
                <w:spacing w:val="12"/>
                <w:highlight w:val="none"/>
              </w:rPr>
              <w:t>市公司，投标人应提供股权占公司股份总数</w:t>
            </w:r>
            <w:r>
              <w:rPr>
                <w:color w:val="auto"/>
                <w:spacing w:val="12"/>
                <w:highlight w:val="none"/>
                <w:u w:val="single" w:color="auto"/>
              </w:rPr>
              <w:t xml:space="preserve"> 5 </w:t>
            </w:r>
            <w:r>
              <w:rPr>
                <w:color w:val="auto"/>
                <w:spacing w:val="12"/>
                <w:highlight w:val="none"/>
              </w:rPr>
              <w:t>%以上的所有股东名称及</w:t>
            </w:r>
            <w:r>
              <w:rPr>
                <w:color w:val="auto"/>
                <w:spacing w:val="7"/>
                <w:highlight w:val="none"/>
              </w:rPr>
              <w:t>相应股权比例；</w:t>
            </w:r>
          </w:p>
          <w:p w14:paraId="2D868B62">
            <w:pPr>
              <w:pStyle w:val="18"/>
              <w:spacing w:before="155" w:line="298" w:lineRule="auto"/>
              <w:ind w:left="135" w:right="127" w:hanging="118"/>
              <w:rPr>
                <w:color w:val="auto"/>
                <w:highlight w:val="none"/>
              </w:rPr>
            </w:pPr>
            <w:r>
              <w:rPr>
                <w:color w:val="auto"/>
                <w:spacing w:val="12"/>
                <w:highlight w:val="none"/>
              </w:rPr>
              <w:t>（2）投标人投资（控股）或管理的下属企业名称、持有股权（出资额）</w:t>
            </w:r>
            <w:r>
              <w:rPr>
                <w:color w:val="auto"/>
                <w:spacing w:val="-5"/>
                <w:highlight w:val="none"/>
              </w:rPr>
              <w:t>比例；</w:t>
            </w:r>
          </w:p>
          <w:p w14:paraId="636B3C73">
            <w:pPr>
              <w:pStyle w:val="18"/>
              <w:spacing w:before="152" w:line="214" w:lineRule="auto"/>
              <w:ind w:left="17"/>
              <w:rPr>
                <w:color w:val="auto"/>
                <w:highlight w:val="none"/>
              </w:rPr>
            </w:pPr>
            <w:r>
              <w:rPr>
                <w:color w:val="auto"/>
                <w:spacing w:val="9"/>
                <w:highlight w:val="none"/>
              </w:rPr>
              <w:t>（3）与投标人单位负责人（即法定代表人）为同一人的其他</w:t>
            </w:r>
            <w:r>
              <w:rPr>
                <w:color w:val="auto"/>
                <w:spacing w:val="8"/>
                <w:highlight w:val="none"/>
              </w:rPr>
              <w:t>单位名称。</w:t>
            </w:r>
          </w:p>
        </w:tc>
      </w:tr>
      <w:tr w14:paraId="4433C0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2050" w:type="dxa"/>
            <w:vAlign w:val="top"/>
          </w:tcPr>
          <w:p w14:paraId="48B5CAE9">
            <w:pPr>
              <w:pStyle w:val="18"/>
              <w:spacing w:before="175" w:line="229" w:lineRule="auto"/>
              <w:ind w:left="823"/>
              <w:rPr>
                <w:color w:val="auto"/>
                <w:highlight w:val="none"/>
              </w:rPr>
            </w:pPr>
            <w:r>
              <w:rPr>
                <w:color w:val="auto"/>
                <w:spacing w:val="3"/>
                <w:highlight w:val="none"/>
              </w:rPr>
              <w:t>备注</w:t>
            </w:r>
          </w:p>
        </w:tc>
        <w:tc>
          <w:tcPr>
            <w:tcW w:w="6840" w:type="dxa"/>
            <w:gridSpan w:val="8"/>
            <w:vAlign w:val="top"/>
          </w:tcPr>
          <w:p w14:paraId="2AD10481">
            <w:pPr>
              <w:rPr>
                <w:rFonts w:ascii="Arial"/>
                <w:color w:val="auto"/>
                <w:sz w:val="21"/>
                <w:highlight w:val="none"/>
              </w:rPr>
            </w:pPr>
          </w:p>
        </w:tc>
      </w:tr>
    </w:tbl>
    <w:p w14:paraId="08690018">
      <w:pPr>
        <w:spacing w:before="119" w:line="227" w:lineRule="auto"/>
        <w:rPr>
          <w:rFonts w:ascii="宋体" w:hAnsi="宋体" w:eastAsia="宋体" w:cs="宋体"/>
          <w:color w:val="auto"/>
          <w:sz w:val="20"/>
          <w:szCs w:val="20"/>
          <w:highlight w:val="none"/>
        </w:rPr>
      </w:pPr>
      <w:r>
        <w:rPr>
          <w:rFonts w:ascii="宋体" w:hAnsi="宋体" w:eastAsia="宋体" w:cs="宋体"/>
          <w:color w:val="auto"/>
          <w:spacing w:val="8"/>
          <w:sz w:val="20"/>
          <w:szCs w:val="20"/>
          <w:highlight w:val="none"/>
        </w:rPr>
        <w:t>注：1.投标人应根据招标文件第二章“投标人须知</w:t>
      </w:r>
      <w:r>
        <w:rPr>
          <w:rFonts w:ascii="宋体" w:hAnsi="宋体" w:eastAsia="宋体" w:cs="宋体"/>
          <w:color w:val="auto"/>
          <w:spacing w:val="-63"/>
          <w:sz w:val="20"/>
          <w:szCs w:val="20"/>
          <w:highlight w:val="none"/>
        </w:rPr>
        <w:t xml:space="preserve"> </w:t>
      </w:r>
      <w:r>
        <w:rPr>
          <w:rFonts w:ascii="宋体" w:hAnsi="宋体" w:eastAsia="宋体" w:cs="宋体"/>
          <w:color w:val="auto"/>
          <w:spacing w:val="8"/>
          <w:sz w:val="20"/>
          <w:szCs w:val="20"/>
          <w:highlight w:val="none"/>
        </w:rPr>
        <w:t>”第3.5.1项的要求在本表后附相关证明材料。</w:t>
      </w:r>
    </w:p>
    <w:p w14:paraId="793E59BF">
      <w:pPr>
        <w:spacing w:before="114" w:line="228" w:lineRule="auto"/>
        <w:ind w:left="422"/>
        <w:rPr>
          <w:rFonts w:ascii="宋体" w:hAnsi="宋体" w:eastAsia="宋体" w:cs="宋体"/>
          <w:color w:val="auto"/>
          <w:sz w:val="20"/>
          <w:szCs w:val="20"/>
          <w:highlight w:val="none"/>
        </w:rPr>
      </w:pPr>
      <w:r>
        <w:rPr>
          <w:rFonts w:ascii="宋体" w:hAnsi="宋体" w:eastAsia="宋体" w:cs="宋体"/>
          <w:color w:val="auto"/>
          <w:spacing w:val="9"/>
          <w:sz w:val="20"/>
          <w:szCs w:val="20"/>
          <w:highlight w:val="none"/>
        </w:rPr>
        <w:t>2.以联合体形式参与投标的，联合体各成员</w:t>
      </w:r>
      <w:r>
        <w:rPr>
          <w:rFonts w:ascii="宋体" w:hAnsi="宋体" w:eastAsia="宋体" w:cs="宋体"/>
          <w:color w:val="auto"/>
          <w:spacing w:val="8"/>
          <w:sz w:val="20"/>
          <w:szCs w:val="20"/>
          <w:highlight w:val="none"/>
        </w:rPr>
        <w:t>应分别填写。</w:t>
      </w:r>
    </w:p>
    <w:p w14:paraId="5A93F08E">
      <w:pPr>
        <w:spacing w:line="228" w:lineRule="auto"/>
        <w:rPr>
          <w:rFonts w:ascii="宋体" w:hAnsi="宋体" w:eastAsia="宋体" w:cs="宋体"/>
          <w:color w:val="auto"/>
          <w:sz w:val="20"/>
          <w:szCs w:val="20"/>
          <w:highlight w:val="none"/>
        </w:rPr>
        <w:sectPr>
          <w:footerReference r:id="rId91" w:type="default"/>
          <w:pgSz w:w="11906" w:h="16839"/>
          <w:pgMar w:top="1431" w:right="1505" w:bottom="1297" w:left="1424" w:header="0" w:footer="1067" w:gutter="0"/>
          <w:pgNumType w:fmt="decimal"/>
          <w:cols w:space="720" w:num="1"/>
        </w:sectPr>
      </w:pPr>
    </w:p>
    <w:p w14:paraId="5EB9D38B">
      <w:pPr>
        <w:spacing w:before="59" w:line="219" w:lineRule="auto"/>
        <w:ind w:left="2567"/>
        <w:rPr>
          <w:rFonts w:ascii="宋体" w:hAnsi="宋体" w:eastAsia="宋体" w:cs="宋体"/>
          <w:color w:val="auto"/>
          <w:sz w:val="30"/>
          <w:szCs w:val="30"/>
          <w:highlight w:val="none"/>
        </w:rPr>
      </w:pPr>
      <w:r>
        <w:rPr>
          <w:rFonts w:ascii="宋体" w:hAnsi="宋体" w:eastAsia="宋体" w:cs="宋体"/>
          <w:b/>
          <w:bCs/>
          <w:color w:val="auto"/>
          <w:spacing w:val="-4"/>
          <w:sz w:val="30"/>
          <w:szCs w:val="30"/>
          <w:highlight w:val="none"/>
        </w:rPr>
        <w:t>（二）投标人企业组织机构框图</w:t>
      </w:r>
    </w:p>
    <w:p w14:paraId="13F3935A">
      <w:pPr>
        <w:spacing w:line="184" w:lineRule="exact"/>
        <w:rPr>
          <w:color w:val="auto"/>
          <w:highlight w:val="none"/>
        </w:rPr>
      </w:pPr>
    </w:p>
    <w:tbl>
      <w:tblPr>
        <w:tblStyle w:val="17"/>
        <w:tblW w:w="8895"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895"/>
      </w:tblGrid>
      <w:tr w14:paraId="49D17A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28" w:hRule="atLeast"/>
        </w:trPr>
        <w:tc>
          <w:tcPr>
            <w:tcW w:w="8895" w:type="dxa"/>
            <w:vAlign w:val="top"/>
          </w:tcPr>
          <w:p w14:paraId="5BC09050">
            <w:pPr>
              <w:spacing w:line="307" w:lineRule="auto"/>
              <w:rPr>
                <w:rFonts w:ascii="Arial"/>
                <w:color w:val="auto"/>
                <w:sz w:val="21"/>
                <w:highlight w:val="none"/>
              </w:rPr>
            </w:pPr>
          </w:p>
          <w:p w14:paraId="3398D8DC">
            <w:pPr>
              <w:spacing w:line="307" w:lineRule="auto"/>
              <w:rPr>
                <w:rFonts w:ascii="Arial"/>
                <w:color w:val="auto"/>
                <w:sz w:val="21"/>
                <w:highlight w:val="none"/>
              </w:rPr>
            </w:pPr>
          </w:p>
          <w:p w14:paraId="0BD0E25B">
            <w:pPr>
              <w:pStyle w:val="18"/>
              <w:spacing w:before="65" w:line="228" w:lineRule="auto"/>
              <w:ind w:left="407"/>
              <w:rPr>
                <w:color w:val="auto"/>
                <w:highlight w:val="none"/>
              </w:rPr>
            </w:pPr>
            <w:r>
              <w:rPr>
                <w:color w:val="auto"/>
                <w:spacing w:val="5"/>
                <w:highlight w:val="none"/>
              </w:rPr>
              <w:t>以框图方式表示</w:t>
            </w:r>
          </w:p>
        </w:tc>
      </w:tr>
      <w:tr w14:paraId="25DF73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36" w:hRule="atLeast"/>
        </w:trPr>
        <w:tc>
          <w:tcPr>
            <w:tcW w:w="8895" w:type="dxa"/>
            <w:vAlign w:val="top"/>
          </w:tcPr>
          <w:p w14:paraId="6637E033">
            <w:pPr>
              <w:pStyle w:val="18"/>
              <w:spacing w:before="163" w:line="228" w:lineRule="auto"/>
              <w:ind w:left="386"/>
              <w:rPr>
                <w:color w:val="auto"/>
                <w:highlight w:val="none"/>
              </w:rPr>
            </w:pPr>
            <w:r>
              <w:rPr>
                <w:color w:val="auto"/>
                <w:spacing w:val="3"/>
                <w:highlight w:val="none"/>
              </w:rPr>
              <w:t>说明</w:t>
            </w:r>
          </w:p>
        </w:tc>
      </w:tr>
    </w:tbl>
    <w:p w14:paraId="792BCCCE">
      <w:pPr>
        <w:rPr>
          <w:rFonts w:ascii="Arial"/>
          <w:color w:val="auto"/>
          <w:sz w:val="21"/>
          <w:highlight w:val="none"/>
        </w:rPr>
      </w:pPr>
    </w:p>
    <w:p w14:paraId="0A2CED25">
      <w:pPr>
        <w:rPr>
          <w:rFonts w:ascii="Arial" w:hAnsi="Arial" w:eastAsia="Arial" w:cs="Arial"/>
          <w:color w:val="auto"/>
          <w:sz w:val="21"/>
          <w:szCs w:val="21"/>
          <w:highlight w:val="none"/>
        </w:rPr>
        <w:sectPr>
          <w:footerReference r:id="rId92" w:type="default"/>
          <w:pgSz w:w="11906" w:h="16839"/>
          <w:pgMar w:top="1401" w:right="1698" w:bottom="1297" w:left="1301" w:header="0" w:footer="1067" w:gutter="0"/>
          <w:pgNumType w:fmt="decimal"/>
          <w:cols w:space="720" w:num="1"/>
        </w:sectPr>
      </w:pPr>
    </w:p>
    <w:p w14:paraId="021E71CC">
      <w:pPr>
        <w:spacing w:line="330" w:lineRule="auto"/>
        <w:rPr>
          <w:rFonts w:ascii="Arial"/>
          <w:color w:val="auto"/>
          <w:sz w:val="21"/>
          <w:highlight w:val="none"/>
        </w:rPr>
      </w:pPr>
    </w:p>
    <w:p w14:paraId="3E42C2EC">
      <w:pPr>
        <w:spacing w:line="330" w:lineRule="auto"/>
        <w:rPr>
          <w:rFonts w:ascii="Arial"/>
          <w:color w:val="auto"/>
          <w:sz w:val="21"/>
          <w:highlight w:val="none"/>
        </w:rPr>
      </w:pPr>
    </w:p>
    <w:p w14:paraId="6D3FD70E">
      <w:pPr>
        <w:spacing w:before="98" w:line="219" w:lineRule="auto"/>
        <w:ind w:left="4578"/>
        <w:rPr>
          <w:rFonts w:ascii="宋体" w:hAnsi="宋体" w:eastAsia="宋体" w:cs="宋体"/>
          <w:color w:val="auto"/>
          <w:sz w:val="30"/>
          <w:szCs w:val="30"/>
          <w:highlight w:val="none"/>
        </w:rPr>
      </w:pPr>
      <w:r>
        <w:rPr>
          <w:rFonts w:ascii="宋体" w:hAnsi="宋体" w:eastAsia="宋体" w:cs="宋体"/>
          <w:b/>
          <w:bCs/>
          <w:color w:val="auto"/>
          <w:spacing w:val="-4"/>
          <w:sz w:val="30"/>
          <w:szCs w:val="30"/>
          <w:highlight w:val="none"/>
        </w:rPr>
        <w:t>（三）近年完成的类似项目情况汇总表</w:t>
      </w:r>
    </w:p>
    <w:p w14:paraId="114FB824">
      <w:pPr>
        <w:spacing w:line="181" w:lineRule="exact"/>
        <w:rPr>
          <w:color w:val="auto"/>
          <w:highlight w:val="none"/>
        </w:rPr>
      </w:pPr>
    </w:p>
    <w:tbl>
      <w:tblPr>
        <w:tblStyle w:val="17"/>
        <w:tblW w:w="1399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2"/>
        <w:gridCol w:w="1031"/>
        <w:gridCol w:w="1289"/>
        <w:gridCol w:w="1031"/>
        <w:gridCol w:w="1434"/>
        <w:gridCol w:w="1307"/>
        <w:gridCol w:w="1140"/>
        <w:gridCol w:w="796"/>
        <w:gridCol w:w="742"/>
        <w:gridCol w:w="1723"/>
        <w:gridCol w:w="1031"/>
        <w:gridCol w:w="1842"/>
      </w:tblGrid>
      <w:tr w14:paraId="338495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6" w:hRule="atLeast"/>
        </w:trPr>
        <w:tc>
          <w:tcPr>
            <w:tcW w:w="632" w:type="dxa"/>
            <w:textDirection w:val="tbRlV"/>
            <w:vAlign w:val="top"/>
          </w:tcPr>
          <w:p w14:paraId="508AE137">
            <w:pPr>
              <w:pStyle w:val="18"/>
              <w:spacing w:before="210" w:line="218" w:lineRule="auto"/>
              <w:ind w:left="170"/>
              <w:rPr>
                <w:color w:val="auto"/>
                <w:highlight w:val="none"/>
              </w:rPr>
            </w:pPr>
            <w:r>
              <w:rPr>
                <w:color w:val="auto"/>
                <w:spacing w:val="8"/>
                <w:highlight w:val="none"/>
              </w:rPr>
              <w:t>序</w:t>
            </w:r>
            <w:r>
              <w:rPr>
                <w:color w:val="auto"/>
                <w:spacing w:val="-35"/>
                <w:highlight w:val="none"/>
              </w:rPr>
              <w:t xml:space="preserve"> </w:t>
            </w:r>
            <w:r>
              <w:rPr>
                <w:color w:val="auto"/>
                <w:spacing w:val="8"/>
                <w:highlight w:val="none"/>
              </w:rPr>
              <w:t>号</w:t>
            </w:r>
          </w:p>
        </w:tc>
        <w:tc>
          <w:tcPr>
            <w:tcW w:w="1031" w:type="dxa"/>
            <w:vAlign w:val="top"/>
          </w:tcPr>
          <w:p w14:paraId="3D735A6C">
            <w:pPr>
              <w:pStyle w:val="18"/>
              <w:spacing w:before="170" w:line="255" w:lineRule="auto"/>
              <w:ind w:left="413" w:right="202" w:hanging="207"/>
              <w:rPr>
                <w:color w:val="auto"/>
                <w:highlight w:val="none"/>
              </w:rPr>
            </w:pPr>
            <w:r>
              <w:rPr>
                <w:color w:val="auto"/>
                <w:spacing w:val="5"/>
                <w:highlight w:val="none"/>
              </w:rPr>
              <w:t>项目名</w:t>
            </w:r>
            <w:r>
              <w:rPr>
                <w:color w:val="auto"/>
                <w:spacing w:val="1"/>
                <w:highlight w:val="none"/>
              </w:rPr>
              <w:t>称</w:t>
            </w:r>
          </w:p>
        </w:tc>
        <w:tc>
          <w:tcPr>
            <w:tcW w:w="1289" w:type="dxa"/>
            <w:vAlign w:val="top"/>
          </w:tcPr>
          <w:p w14:paraId="5F620782">
            <w:pPr>
              <w:pStyle w:val="18"/>
              <w:spacing w:before="170" w:line="255" w:lineRule="auto"/>
              <w:ind w:left="546" w:right="173" w:hanging="371"/>
              <w:rPr>
                <w:color w:val="auto"/>
                <w:highlight w:val="none"/>
              </w:rPr>
            </w:pPr>
            <w:r>
              <w:rPr>
                <w:color w:val="auto"/>
                <w:spacing w:val="6"/>
                <w:highlight w:val="none"/>
              </w:rPr>
              <w:t>新建/改扩</w:t>
            </w:r>
            <w:r>
              <w:rPr>
                <w:color w:val="auto"/>
                <w:highlight w:val="none"/>
              </w:rPr>
              <w:t>建</w:t>
            </w:r>
          </w:p>
        </w:tc>
        <w:tc>
          <w:tcPr>
            <w:tcW w:w="1031" w:type="dxa"/>
            <w:vAlign w:val="top"/>
          </w:tcPr>
          <w:p w14:paraId="5F0C2848">
            <w:pPr>
              <w:pStyle w:val="18"/>
              <w:spacing w:before="170" w:line="255" w:lineRule="auto"/>
              <w:ind w:left="418" w:right="201" w:hanging="208"/>
              <w:rPr>
                <w:color w:val="auto"/>
                <w:highlight w:val="none"/>
              </w:rPr>
            </w:pPr>
            <w:r>
              <w:rPr>
                <w:color w:val="auto"/>
                <w:spacing w:val="4"/>
                <w:highlight w:val="none"/>
              </w:rPr>
              <w:t>公路等</w:t>
            </w:r>
            <w:r>
              <w:rPr>
                <w:color w:val="auto"/>
                <w:highlight w:val="none"/>
              </w:rPr>
              <w:t>级</w:t>
            </w:r>
          </w:p>
        </w:tc>
        <w:tc>
          <w:tcPr>
            <w:tcW w:w="1434" w:type="dxa"/>
            <w:vAlign w:val="top"/>
          </w:tcPr>
          <w:p w14:paraId="47489A17">
            <w:pPr>
              <w:pStyle w:val="18"/>
              <w:spacing w:before="171" w:line="255" w:lineRule="auto"/>
              <w:ind w:left="633" w:right="190" w:hanging="432"/>
              <w:rPr>
                <w:color w:val="auto"/>
                <w:highlight w:val="none"/>
              </w:rPr>
            </w:pPr>
            <w:r>
              <w:rPr>
                <w:color w:val="auto"/>
                <w:spacing w:val="7"/>
                <w:highlight w:val="none"/>
              </w:rPr>
              <w:t>交工验收时</w:t>
            </w:r>
            <w:r>
              <w:rPr>
                <w:color w:val="auto"/>
                <w:highlight w:val="none"/>
              </w:rPr>
              <w:t>间</w:t>
            </w:r>
          </w:p>
        </w:tc>
        <w:tc>
          <w:tcPr>
            <w:tcW w:w="1307" w:type="dxa"/>
            <w:vAlign w:val="top"/>
          </w:tcPr>
          <w:p w14:paraId="08935929">
            <w:pPr>
              <w:rPr>
                <w:rFonts w:ascii="Arial"/>
                <w:color w:val="auto"/>
                <w:sz w:val="21"/>
                <w:highlight w:val="none"/>
              </w:rPr>
            </w:pPr>
          </w:p>
          <w:p w14:paraId="53D3339D">
            <w:pPr>
              <w:pStyle w:val="18"/>
              <w:spacing w:before="65" w:line="228" w:lineRule="auto"/>
              <w:ind w:left="135"/>
              <w:rPr>
                <w:color w:val="auto"/>
                <w:highlight w:val="none"/>
              </w:rPr>
            </w:pPr>
            <w:r>
              <w:rPr>
                <w:color w:val="auto"/>
                <w:spacing w:val="7"/>
                <w:highlight w:val="none"/>
              </w:rPr>
              <w:t>路基（</w:t>
            </w:r>
            <w:r>
              <w:rPr>
                <w:color w:val="auto"/>
                <w:highlight w:val="none"/>
              </w:rPr>
              <w:t>km</w:t>
            </w:r>
            <w:r>
              <w:rPr>
                <w:color w:val="auto"/>
                <w:spacing w:val="7"/>
                <w:highlight w:val="none"/>
              </w:rPr>
              <w:t>）</w:t>
            </w:r>
          </w:p>
        </w:tc>
        <w:tc>
          <w:tcPr>
            <w:tcW w:w="1140" w:type="dxa"/>
            <w:vAlign w:val="top"/>
          </w:tcPr>
          <w:p w14:paraId="0AA2C233">
            <w:pPr>
              <w:pStyle w:val="18"/>
              <w:spacing w:before="171" w:line="260" w:lineRule="auto"/>
              <w:ind w:left="272" w:right="270" w:firstLine="97"/>
              <w:rPr>
                <w:color w:val="auto"/>
                <w:highlight w:val="none"/>
              </w:rPr>
            </w:pPr>
            <w:r>
              <w:rPr>
                <w:color w:val="auto"/>
                <w:spacing w:val="3"/>
                <w:highlight w:val="none"/>
              </w:rPr>
              <w:t>路面</w:t>
            </w:r>
            <w:r>
              <w:rPr>
                <w:color w:val="auto"/>
                <w:spacing w:val="-2"/>
                <w:highlight w:val="none"/>
              </w:rPr>
              <w:t>（km）</w:t>
            </w:r>
          </w:p>
        </w:tc>
        <w:tc>
          <w:tcPr>
            <w:tcW w:w="796" w:type="dxa"/>
            <w:vAlign w:val="top"/>
          </w:tcPr>
          <w:p w14:paraId="59B0A7C7">
            <w:pPr>
              <w:pStyle w:val="18"/>
              <w:spacing w:before="170" w:line="254" w:lineRule="auto"/>
              <w:ind w:left="194" w:right="186"/>
              <w:rPr>
                <w:color w:val="auto"/>
                <w:highlight w:val="none"/>
              </w:rPr>
            </w:pPr>
            <w:r>
              <w:rPr>
                <w:color w:val="auto"/>
                <w:spacing w:val="4"/>
                <w:highlight w:val="none"/>
              </w:rPr>
              <w:t>桥梁概况</w:t>
            </w:r>
          </w:p>
        </w:tc>
        <w:tc>
          <w:tcPr>
            <w:tcW w:w="742" w:type="dxa"/>
            <w:vAlign w:val="top"/>
          </w:tcPr>
          <w:p w14:paraId="1E1FB51D">
            <w:pPr>
              <w:pStyle w:val="18"/>
              <w:spacing w:before="170" w:line="254" w:lineRule="auto"/>
              <w:ind w:left="166" w:right="160" w:firstLine="10"/>
              <w:rPr>
                <w:color w:val="auto"/>
                <w:highlight w:val="none"/>
              </w:rPr>
            </w:pPr>
            <w:r>
              <w:rPr>
                <w:color w:val="auto"/>
                <w:spacing w:val="-1"/>
                <w:highlight w:val="none"/>
              </w:rPr>
              <w:t>隧道</w:t>
            </w:r>
            <w:r>
              <w:rPr>
                <w:color w:val="auto"/>
                <w:spacing w:val="4"/>
                <w:highlight w:val="none"/>
              </w:rPr>
              <w:t>概况</w:t>
            </w:r>
          </w:p>
        </w:tc>
        <w:tc>
          <w:tcPr>
            <w:tcW w:w="1723" w:type="dxa"/>
            <w:vAlign w:val="top"/>
          </w:tcPr>
          <w:p w14:paraId="7A74768D">
            <w:pPr>
              <w:pStyle w:val="18"/>
              <w:spacing w:before="170" w:line="229" w:lineRule="auto"/>
              <w:ind w:left="137"/>
              <w:rPr>
                <w:color w:val="auto"/>
                <w:highlight w:val="none"/>
              </w:rPr>
            </w:pPr>
            <w:r>
              <w:rPr>
                <w:color w:val="auto"/>
                <w:spacing w:val="8"/>
                <w:highlight w:val="none"/>
              </w:rPr>
              <w:t>交通安全设施工</w:t>
            </w:r>
          </w:p>
          <w:p w14:paraId="6DF2554D">
            <w:pPr>
              <w:pStyle w:val="18"/>
              <w:spacing w:before="25" w:line="228" w:lineRule="auto"/>
              <w:ind w:left="448"/>
              <w:rPr>
                <w:color w:val="auto"/>
                <w:highlight w:val="none"/>
              </w:rPr>
            </w:pPr>
            <w:r>
              <w:rPr>
                <w:color w:val="auto"/>
                <w:spacing w:val="7"/>
                <w:highlight w:val="none"/>
              </w:rPr>
              <w:t>程（</w:t>
            </w:r>
            <w:r>
              <w:rPr>
                <w:color w:val="auto"/>
                <w:highlight w:val="none"/>
              </w:rPr>
              <w:t>km</w:t>
            </w:r>
            <w:r>
              <w:rPr>
                <w:color w:val="auto"/>
                <w:spacing w:val="7"/>
                <w:highlight w:val="none"/>
              </w:rPr>
              <w:t>）</w:t>
            </w:r>
          </w:p>
        </w:tc>
        <w:tc>
          <w:tcPr>
            <w:tcW w:w="1031" w:type="dxa"/>
            <w:vAlign w:val="top"/>
          </w:tcPr>
          <w:p w14:paraId="38B24094">
            <w:pPr>
              <w:pStyle w:val="18"/>
              <w:spacing w:before="37" w:line="250" w:lineRule="auto"/>
              <w:ind w:left="417" w:right="197" w:hanging="211"/>
              <w:rPr>
                <w:color w:val="auto"/>
                <w:highlight w:val="none"/>
              </w:rPr>
            </w:pPr>
            <w:r>
              <w:rPr>
                <w:color w:val="auto"/>
                <w:spacing w:val="7"/>
                <w:highlight w:val="none"/>
              </w:rPr>
              <w:t>机电工</w:t>
            </w:r>
            <w:r>
              <w:rPr>
                <w:color w:val="auto"/>
                <w:spacing w:val="1"/>
                <w:highlight w:val="none"/>
              </w:rPr>
              <w:t>程</w:t>
            </w:r>
          </w:p>
          <w:p w14:paraId="5B864AE5">
            <w:pPr>
              <w:pStyle w:val="18"/>
              <w:spacing w:line="218" w:lineRule="auto"/>
              <w:ind w:left="217"/>
              <w:rPr>
                <w:color w:val="auto"/>
                <w:highlight w:val="none"/>
              </w:rPr>
            </w:pPr>
            <w:r>
              <w:rPr>
                <w:color w:val="auto"/>
                <w:spacing w:val="1"/>
                <w:highlight w:val="none"/>
              </w:rPr>
              <w:t>（</w:t>
            </w:r>
            <w:r>
              <w:rPr>
                <w:color w:val="auto"/>
                <w:highlight w:val="none"/>
              </w:rPr>
              <w:t>km</w:t>
            </w:r>
            <w:r>
              <w:rPr>
                <w:color w:val="auto"/>
                <w:spacing w:val="1"/>
                <w:highlight w:val="none"/>
              </w:rPr>
              <w:t>）</w:t>
            </w:r>
          </w:p>
        </w:tc>
        <w:tc>
          <w:tcPr>
            <w:tcW w:w="1842" w:type="dxa"/>
            <w:vAlign w:val="top"/>
          </w:tcPr>
          <w:p w14:paraId="0B7E450D">
            <w:pPr>
              <w:pStyle w:val="18"/>
              <w:spacing w:before="170" w:line="256" w:lineRule="auto"/>
              <w:ind w:left="821" w:right="184" w:hanging="630"/>
              <w:rPr>
                <w:color w:val="auto"/>
                <w:highlight w:val="none"/>
              </w:rPr>
            </w:pPr>
            <w:r>
              <w:rPr>
                <w:color w:val="auto"/>
                <w:spacing w:val="8"/>
                <w:highlight w:val="none"/>
              </w:rPr>
              <w:t>证明资料所在页</w:t>
            </w:r>
            <w:r>
              <w:rPr>
                <w:color w:val="auto"/>
                <w:spacing w:val="1"/>
                <w:highlight w:val="none"/>
              </w:rPr>
              <w:t>码</w:t>
            </w:r>
          </w:p>
        </w:tc>
      </w:tr>
      <w:tr w14:paraId="16E62B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632" w:type="dxa"/>
            <w:vAlign w:val="top"/>
          </w:tcPr>
          <w:p w14:paraId="570C288F">
            <w:pPr>
              <w:rPr>
                <w:rFonts w:ascii="Arial"/>
                <w:color w:val="auto"/>
                <w:sz w:val="21"/>
                <w:highlight w:val="none"/>
              </w:rPr>
            </w:pPr>
          </w:p>
        </w:tc>
        <w:tc>
          <w:tcPr>
            <w:tcW w:w="1031" w:type="dxa"/>
            <w:vAlign w:val="top"/>
          </w:tcPr>
          <w:p w14:paraId="5C6099FF">
            <w:pPr>
              <w:rPr>
                <w:rFonts w:ascii="Arial"/>
                <w:color w:val="auto"/>
                <w:sz w:val="21"/>
                <w:highlight w:val="none"/>
              </w:rPr>
            </w:pPr>
          </w:p>
        </w:tc>
        <w:tc>
          <w:tcPr>
            <w:tcW w:w="1289" w:type="dxa"/>
            <w:vAlign w:val="top"/>
          </w:tcPr>
          <w:p w14:paraId="679E4DDC">
            <w:pPr>
              <w:rPr>
                <w:rFonts w:ascii="Arial"/>
                <w:color w:val="auto"/>
                <w:sz w:val="21"/>
                <w:highlight w:val="none"/>
              </w:rPr>
            </w:pPr>
          </w:p>
        </w:tc>
        <w:tc>
          <w:tcPr>
            <w:tcW w:w="1031" w:type="dxa"/>
            <w:vAlign w:val="top"/>
          </w:tcPr>
          <w:p w14:paraId="42DF6544">
            <w:pPr>
              <w:rPr>
                <w:rFonts w:ascii="Arial"/>
                <w:color w:val="auto"/>
                <w:sz w:val="21"/>
                <w:highlight w:val="none"/>
              </w:rPr>
            </w:pPr>
          </w:p>
        </w:tc>
        <w:tc>
          <w:tcPr>
            <w:tcW w:w="1434" w:type="dxa"/>
            <w:vAlign w:val="top"/>
          </w:tcPr>
          <w:p w14:paraId="092EA613">
            <w:pPr>
              <w:rPr>
                <w:rFonts w:ascii="Arial"/>
                <w:color w:val="auto"/>
                <w:sz w:val="21"/>
                <w:highlight w:val="none"/>
              </w:rPr>
            </w:pPr>
          </w:p>
        </w:tc>
        <w:tc>
          <w:tcPr>
            <w:tcW w:w="1307" w:type="dxa"/>
            <w:vAlign w:val="top"/>
          </w:tcPr>
          <w:p w14:paraId="6D502B55">
            <w:pPr>
              <w:rPr>
                <w:rFonts w:ascii="Arial"/>
                <w:color w:val="auto"/>
                <w:sz w:val="21"/>
                <w:highlight w:val="none"/>
              </w:rPr>
            </w:pPr>
          </w:p>
        </w:tc>
        <w:tc>
          <w:tcPr>
            <w:tcW w:w="1140" w:type="dxa"/>
            <w:vAlign w:val="top"/>
          </w:tcPr>
          <w:p w14:paraId="1BF68C1A">
            <w:pPr>
              <w:rPr>
                <w:rFonts w:ascii="Arial"/>
                <w:color w:val="auto"/>
                <w:sz w:val="21"/>
                <w:highlight w:val="none"/>
              </w:rPr>
            </w:pPr>
          </w:p>
        </w:tc>
        <w:tc>
          <w:tcPr>
            <w:tcW w:w="796" w:type="dxa"/>
            <w:vAlign w:val="top"/>
          </w:tcPr>
          <w:p w14:paraId="6CB84E20">
            <w:pPr>
              <w:rPr>
                <w:rFonts w:ascii="Arial"/>
                <w:color w:val="auto"/>
                <w:sz w:val="21"/>
                <w:highlight w:val="none"/>
              </w:rPr>
            </w:pPr>
          </w:p>
        </w:tc>
        <w:tc>
          <w:tcPr>
            <w:tcW w:w="742" w:type="dxa"/>
            <w:vAlign w:val="top"/>
          </w:tcPr>
          <w:p w14:paraId="333DAEA1">
            <w:pPr>
              <w:rPr>
                <w:rFonts w:ascii="Arial"/>
                <w:color w:val="auto"/>
                <w:sz w:val="21"/>
                <w:highlight w:val="none"/>
              </w:rPr>
            </w:pPr>
          </w:p>
        </w:tc>
        <w:tc>
          <w:tcPr>
            <w:tcW w:w="1723" w:type="dxa"/>
            <w:vAlign w:val="top"/>
          </w:tcPr>
          <w:p w14:paraId="5C79076D">
            <w:pPr>
              <w:rPr>
                <w:rFonts w:ascii="Arial"/>
                <w:color w:val="auto"/>
                <w:sz w:val="21"/>
                <w:highlight w:val="none"/>
              </w:rPr>
            </w:pPr>
          </w:p>
        </w:tc>
        <w:tc>
          <w:tcPr>
            <w:tcW w:w="1031" w:type="dxa"/>
            <w:vAlign w:val="top"/>
          </w:tcPr>
          <w:p w14:paraId="626EDBEB">
            <w:pPr>
              <w:rPr>
                <w:rFonts w:ascii="Arial"/>
                <w:color w:val="auto"/>
                <w:sz w:val="21"/>
                <w:highlight w:val="none"/>
              </w:rPr>
            </w:pPr>
          </w:p>
        </w:tc>
        <w:tc>
          <w:tcPr>
            <w:tcW w:w="1842" w:type="dxa"/>
            <w:vAlign w:val="top"/>
          </w:tcPr>
          <w:p w14:paraId="7D6191AC">
            <w:pPr>
              <w:rPr>
                <w:rFonts w:ascii="Arial"/>
                <w:color w:val="auto"/>
                <w:sz w:val="21"/>
                <w:highlight w:val="none"/>
              </w:rPr>
            </w:pPr>
          </w:p>
        </w:tc>
      </w:tr>
      <w:tr w14:paraId="3C014B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632" w:type="dxa"/>
            <w:vAlign w:val="top"/>
          </w:tcPr>
          <w:p w14:paraId="35B3159E">
            <w:pPr>
              <w:rPr>
                <w:rFonts w:ascii="Arial"/>
                <w:color w:val="auto"/>
                <w:sz w:val="21"/>
                <w:highlight w:val="none"/>
              </w:rPr>
            </w:pPr>
          </w:p>
        </w:tc>
        <w:tc>
          <w:tcPr>
            <w:tcW w:w="1031" w:type="dxa"/>
            <w:vAlign w:val="top"/>
          </w:tcPr>
          <w:p w14:paraId="73C9C105">
            <w:pPr>
              <w:rPr>
                <w:rFonts w:ascii="Arial"/>
                <w:color w:val="auto"/>
                <w:sz w:val="21"/>
                <w:highlight w:val="none"/>
              </w:rPr>
            </w:pPr>
          </w:p>
        </w:tc>
        <w:tc>
          <w:tcPr>
            <w:tcW w:w="1289" w:type="dxa"/>
            <w:vAlign w:val="top"/>
          </w:tcPr>
          <w:p w14:paraId="610843CB">
            <w:pPr>
              <w:rPr>
                <w:rFonts w:ascii="Arial"/>
                <w:color w:val="auto"/>
                <w:sz w:val="21"/>
                <w:highlight w:val="none"/>
              </w:rPr>
            </w:pPr>
          </w:p>
        </w:tc>
        <w:tc>
          <w:tcPr>
            <w:tcW w:w="1031" w:type="dxa"/>
            <w:vAlign w:val="top"/>
          </w:tcPr>
          <w:p w14:paraId="42869FC1">
            <w:pPr>
              <w:rPr>
                <w:rFonts w:ascii="Arial"/>
                <w:color w:val="auto"/>
                <w:sz w:val="21"/>
                <w:highlight w:val="none"/>
              </w:rPr>
            </w:pPr>
          </w:p>
        </w:tc>
        <w:tc>
          <w:tcPr>
            <w:tcW w:w="1434" w:type="dxa"/>
            <w:vAlign w:val="top"/>
          </w:tcPr>
          <w:p w14:paraId="2561C4FB">
            <w:pPr>
              <w:rPr>
                <w:rFonts w:ascii="Arial"/>
                <w:color w:val="auto"/>
                <w:sz w:val="21"/>
                <w:highlight w:val="none"/>
              </w:rPr>
            </w:pPr>
          </w:p>
        </w:tc>
        <w:tc>
          <w:tcPr>
            <w:tcW w:w="1307" w:type="dxa"/>
            <w:vAlign w:val="top"/>
          </w:tcPr>
          <w:p w14:paraId="781156F3">
            <w:pPr>
              <w:rPr>
                <w:rFonts w:ascii="Arial"/>
                <w:color w:val="auto"/>
                <w:sz w:val="21"/>
                <w:highlight w:val="none"/>
              </w:rPr>
            </w:pPr>
          </w:p>
        </w:tc>
        <w:tc>
          <w:tcPr>
            <w:tcW w:w="1140" w:type="dxa"/>
            <w:vAlign w:val="top"/>
          </w:tcPr>
          <w:p w14:paraId="14AC039B">
            <w:pPr>
              <w:rPr>
                <w:rFonts w:ascii="Arial"/>
                <w:color w:val="auto"/>
                <w:sz w:val="21"/>
                <w:highlight w:val="none"/>
              </w:rPr>
            </w:pPr>
          </w:p>
        </w:tc>
        <w:tc>
          <w:tcPr>
            <w:tcW w:w="796" w:type="dxa"/>
            <w:vAlign w:val="top"/>
          </w:tcPr>
          <w:p w14:paraId="365F046D">
            <w:pPr>
              <w:rPr>
                <w:rFonts w:ascii="Arial"/>
                <w:color w:val="auto"/>
                <w:sz w:val="21"/>
                <w:highlight w:val="none"/>
              </w:rPr>
            </w:pPr>
          </w:p>
        </w:tc>
        <w:tc>
          <w:tcPr>
            <w:tcW w:w="742" w:type="dxa"/>
            <w:vAlign w:val="top"/>
          </w:tcPr>
          <w:p w14:paraId="51E98D95">
            <w:pPr>
              <w:rPr>
                <w:rFonts w:ascii="Arial"/>
                <w:color w:val="auto"/>
                <w:sz w:val="21"/>
                <w:highlight w:val="none"/>
              </w:rPr>
            </w:pPr>
          </w:p>
        </w:tc>
        <w:tc>
          <w:tcPr>
            <w:tcW w:w="1723" w:type="dxa"/>
            <w:vAlign w:val="top"/>
          </w:tcPr>
          <w:p w14:paraId="642F8115">
            <w:pPr>
              <w:rPr>
                <w:rFonts w:ascii="Arial"/>
                <w:color w:val="auto"/>
                <w:sz w:val="21"/>
                <w:highlight w:val="none"/>
              </w:rPr>
            </w:pPr>
          </w:p>
        </w:tc>
        <w:tc>
          <w:tcPr>
            <w:tcW w:w="1031" w:type="dxa"/>
            <w:vAlign w:val="top"/>
          </w:tcPr>
          <w:p w14:paraId="57C193C4">
            <w:pPr>
              <w:rPr>
                <w:rFonts w:ascii="Arial"/>
                <w:color w:val="auto"/>
                <w:sz w:val="21"/>
                <w:highlight w:val="none"/>
              </w:rPr>
            </w:pPr>
          </w:p>
        </w:tc>
        <w:tc>
          <w:tcPr>
            <w:tcW w:w="1842" w:type="dxa"/>
            <w:vAlign w:val="top"/>
          </w:tcPr>
          <w:p w14:paraId="70A1C634">
            <w:pPr>
              <w:rPr>
                <w:rFonts w:ascii="Arial"/>
                <w:color w:val="auto"/>
                <w:sz w:val="21"/>
                <w:highlight w:val="none"/>
              </w:rPr>
            </w:pPr>
          </w:p>
        </w:tc>
      </w:tr>
      <w:tr w14:paraId="7AF11C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6" w:hRule="atLeast"/>
        </w:trPr>
        <w:tc>
          <w:tcPr>
            <w:tcW w:w="632" w:type="dxa"/>
            <w:vAlign w:val="top"/>
          </w:tcPr>
          <w:p w14:paraId="69FAB3EA">
            <w:pPr>
              <w:rPr>
                <w:rFonts w:ascii="Arial"/>
                <w:color w:val="auto"/>
                <w:sz w:val="21"/>
                <w:highlight w:val="none"/>
              </w:rPr>
            </w:pPr>
          </w:p>
        </w:tc>
        <w:tc>
          <w:tcPr>
            <w:tcW w:w="1031" w:type="dxa"/>
            <w:vAlign w:val="top"/>
          </w:tcPr>
          <w:p w14:paraId="1CC68D21">
            <w:pPr>
              <w:rPr>
                <w:rFonts w:ascii="Arial"/>
                <w:color w:val="auto"/>
                <w:sz w:val="21"/>
                <w:highlight w:val="none"/>
              </w:rPr>
            </w:pPr>
          </w:p>
        </w:tc>
        <w:tc>
          <w:tcPr>
            <w:tcW w:w="1289" w:type="dxa"/>
            <w:vAlign w:val="top"/>
          </w:tcPr>
          <w:p w14:paraId="45DFCCC3">
            <w:pPr>
              <w:rPr>
                <w:rFonts w:ascii="Arial"/>
                <w:color w:val="auto"/>
                <w:sz w:val="21"/>
                <w:highlight w:val="none"/>
              </w:rPr>
            </w:pPr>
          </w:p>
        </w:tc>
        <w:tc>
          <w:tcPr>
            <w:tcW w:w="1031" w:type="dxa"/>
            <w:vAlign w:val="top"/>
          </w:tcPr>
          <w:p w14:paraId="3B454F36">
            <w:pPr>
              <w:rPr>
                <w:rFonts w:ascii="Arial"/>
                <w:color w:val="auto"/>
                <w:sz w:val="21"/>
                <w:highlight w:val="none"/>
              </w:rPr>
            </w:pPr>
          </w:p>
        </w:tc>
        <w:tc>
          <w:tcPr>
            <w:tcW w:w="1434" w:type="dxa"/>
            <w:vAlign w:val="top"/>
          </w:tcPr>
          <w:p w14:paraId="567274FA">
            <w:pPr>
              <w:rPr>
                <w:rFonts w:ascii="Arial"/>
                <w:color w:val="auto"/>
                <w:sz w:val="21"/>
                <w:highlight w:val="none"/>
              </w:rPr>
            </w:pPr>
          </w:p>
        </w:tc>
        <w:tc>
          <w:tcPr>
            <w:tcW w:w="1307" w:type="dxa"/>
            <w:vAlign w:val="top"/>
          </w:tcPr>
          <w:p w14:paraId="2926C255">
            <w:pPr>
              <w:rPr>
                <w:rFonts w:ascii="Arial"/>
                <w:color w:val="auto"/>
                <w:sz w:val="21"/>
                <w:highlight w:val="none"/>
              </w:rPr>
            </w:pPr>
          </w:p>
        </w:tc>
        <w:tc>
          <w:tcPr>
            <w:tcW w:w="1140" w:type="dxa"/>
            <w:vAlign w:val="top"/>
          </w:tcPr>
          <w:p w14:paraId="469D7FDA">
            <w:pPr>
              <w:rPr>
                <w:rFonts w:ascii="Arial"/>
                <w:color w:val="auto"/>
                <w:sz w:val="21"/>
                <w:highlight w:val="none"/>
              </w:rPr>
            </w:pPr>
          </w:p>
        </w:tc>
        <w:tc>
          <w:tcPr>
            <w:tcW w:w="796" w:type="dxa"/>
            <w:vAlign w:val="top"/>
          </w:tcPr>
          <w:p w14:paraId="1F176810">
            <w:pPr>
              <w:rPr>
                <w:rFonts w:ascii="Arial"/>
                <w:color w:val="auto"/>
                <w:sz w:val="21"/>
                <w:highlight w:val="none"/>
              </w:rPr>
            </w:pPr>
          </w:p>
        </w:tc>
        <w:tc>
          <w:tcPr>
            <w:tcW w:w="742" w:type="dxa"/>
            <w:vAlign w:val="top"/>
          </w:tcPr>
          <w:p w14:paraId="1E382DFA">
            <w:pPr>
              <w:rPr>
                <w:rFonts w:ascii="Arial"/>
                <w:color w:val="auto"/>
                <w:sz w:val="21"/>
                <w:highlight w:val="none"/>
              </w:rPr>
            </w:pPr>
          </w:p>
        </w:tc>
        <w:tc>
          <w:tcPr>
            <w:tcW w:w="1723" w:type="dxa"/>
            <w:vAlign w:val="top"/>
          </w:tcPr>
          <w:p w14:paraId="5A217B6C">
            <w:pPr>
              <w:rPr>
                <w:rFonts w:ascii="Arial"/>
                <w:color w:val="auto"/>
                <w:sz w:val="21"/>
                <w:highlight w:val="none"/>
              </w:rPr>
            </w:pPr>
          </w:p>
        </w:tc>
        <w:tc>
          <w:tcPr>
            <w:tcW w:w="1031" w:type="dxa"/>
            <w:vAlign w:val="top"/>
          </w:tcPr>
          <w:p w14:paraId="7A419807">
            <w:pPr>
              <w:rPr>
                <w:rFonts w:ascii="Arial"/>
                <w:color w:val="auto"/>
                <w:sz w:val="21"/>
                <w:highlight w:val="none"/>
              </w:rPr>
            </w:pPr>
          </w:p>
        </w:tc>
        <w:tc>
          <w:tcPr>
            <w:tcW w:w="1842" w:type="dxa"/>
            <w:vAlign w:val="top"/>
          </w:tcPr>
          <w:p w14:paraId="13D241D0">
            <w:pPr>
              <w:rPr>
                <w:rFonts w:ascii="Arial"/>
                <w:color w:val="auto"/>
                <w:sz w:val="21"/>
                <w:highlight w:val="none"/>
              </w:rPr>
            </w:pPr>
          </w:p>
        </w:tc>
      </w:tr>
      <w:tr w14:paraId="13C71E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6" w:hRule="atLeast"/>
        </w:trPr>
        <w:tc>
          <w:tcPr>
            <w:tcW w:w="632" w:type="dxa"/>
            <w:vAlign w:val="top"/>
          </w:tcPr>
          <w:p w14:paraId="713B8C29">
            <w:pPr>
              <w:rPr>
                <w:rFonts w:ascii="Arial"/>
                <w:color w:val="auto"/>
                <w:sz w:val="21"/>
                <w:highlight w:val="none"/>
              </w:rPr>
            </w:pPr>
          </w:p>
        </w:tc>
        <w:tc>
          <w:tcPr>
            <w:tcW w:w="1031" w:type="dxa"/>
            <w:vAlign w:val="top"/>
          </w:tcPr>
          <w:p w14:paraId="4E418F5B">
            <w:pPr>
              <w:rPr>
                <w:rFonts w:ascii="Arial"/>
                <w:color w:val="auto"/>
                <w:sz w:val="21"/>
                <w:highlight w:val="none"/>
              </w:rPr>
            </w:pPr>
          </w:p>
        </w:tc>
        <w:tc>
          <w:tcPr>
            <w:tcW w:w="1289" w:type="dxa"/>
            <w:vAlign w:val="top"/>
          </w:tcPr>
          <w:p w14:paraId="6B87B4D7">
            <w:pPr>
              <w:rPr>
                <w:rFonts w:ascii="Arial"/>
                <w:color w:val="auto"/>
                <w:sz w:val="21"/>
                <w:highlight w:val="none"/>
              </w:rPr>
            </w:pPr>
          </w:p>
        </w:tc>
        <w:tc>
          <w:tcPr>
            <w:tcW w:w="1031" w:type="dxa"/>
            <w:vAlign w:val="top"/>
          </w:tcPr>
          <w:p w14:paraId="6D6723A0">
            <w:pPr>
              <w:rPr>
                <w:rFonts w:ascii="Arial"/>
                <w:color w:val="auto"/>
                <w:sz w:val="21"/>
                <w:highlight w:val="none"/>
              </w:rPr>
            </w:pPr>
          </w:p>
        </w:tc>
        <w:tc>
          <w:tcPr>
            <w:tcW w:w="1434" w:type="dxa"/>
            <w:vAlign w:val="top"/>
          </w:tcPr>
          <w:p w14:paraId="12AE38B0">
            <w:pPr>
              <w:rPr>
                <w:rFonts w:ascii="Arial"/>
                <w:color w:val="auto"/>
                <w:sz w:val="21"/>
                <w:highlight w:val="none"/>
              </w:rPr>
            </w:pPr>
          </w:p>
        </w:tc>
        <w:tc>
          <w:tcPr>
            <w:tcW w:w="1307" w:type="dxa"/>
            <w:vAlign w:val="top"/>
          </w:tcPr>
          <w:p w14:paraId="1C349FAA">
            <w:pPr>
              <w:rPr>
                <w:rFonts w:ascii="Arial"/>
                <w:color w:val="auto"/>
                <w:sz w:val="21"/>
                <w:highlight w:val="none"/>
              </w:rPr>
            </w:pPr>
          </w:p>
        </w:tc>
        <w:tc>
          <w:tcPr>
            <w:tcW w:w="1140" w:type="dxa"/>
            <w:vAlign w:val="top"/>
          </w:tcPr>
          <w:p w14:paraId="266E0732">
            <w:pPr>
              <w:rPr>
                <w:rFonts w:ascii="Arial"/>
                <w:color w:val="auto"/>
                <w:sz w:val="21"/>
                <w:highlight w:val="none"/>
              </w:rPr>
            </w:pPr>
          </w:p>
        </w:tc>
        <w:tc>
          <w:tcPr>
            <w:tcW w:w="796" w:type="dxa"/>
            <w:vAlign w:val="top"/>
          </w:tcPr>
          <w:p w14:paraId="205D8D95">
            <w:pPr>
              <w:rPr>
                <w:rFonts w:ascii="Arial"/>
                <w:color w:val="auto"/>
                <w:sz w:val="21"/>
                <w:highlight w:val="none"/>
              </w:rPr>
            </w:pPr>
          </w:p>
        </w:tc>
        <w:tc>
          <w:tcPr>
            <w:tcW w:w="742" w:type="dxa"/>
            <w:vAlign w:val="top"/>
          </w:tcPr>
          <w:p w14:paraId="76FE5FA6">
            <w:pPr>
              <w:rPr>
                <w:rFonts w:ascii="Arial"/>
                <w:color w:val="auto"/>
                <w:sz w:val="21"/>
                <w:highlight w:val="none"/>
              </w:rPr>
            </w:pPr>
          </w:p>
        </w:tc>
        <w:tc>
          <w:tcPr>
            <w:tcW w:w="1723" w:type="dxa"/>
            <w:vAlign w:val="top"/>
          </w:tcPr>
          <w:p w14:paraId="5066370D">
            <w:pPr>
              <w:rPr>
                <w:rFonts w:ascii="Arial"/>
                <w:color w:val="auto"/>
                <w:sz w:val="21"/>
                <w:highlight w:val="none"/>
              </w:rPr>
            </w:pPr>
          </w:p>
        </w:tc>
        <w:tc>
          <w:tcPr>
            <w:tcW w:w="1031" w:type="dxa"/>
            <w:vAlign w:val="top"/>
          </w:tcPr>
          <w:p w14:paraId="1BAAD7CE">
            <w:pPr>
              <w:rPr>
                <w:rFonts w:ascii="Arial"/>
                <w:color w:val="auto"/>
                <w:sz w:val="21"/>
                <w:highlight w:val="none"/>
              </w:rPr>
            </w:pPr>
          </w:p>
        </w:tc>
        <w:tc>
          <w:tcPr>
            <w:tcW w:w="1842" w:type="dxa"/>
            <w:vAlign w:val="top"/>
          </w:tcPr>
          <w:p w14:paraId="2C279900">
            <w:pPr>
              <w:rPr>
                <w:rFonts w:ascii="Arial"/>
                <w:color w:val="auto"/>
                <w:sz w:val="21"/>
                <w:highlight w:val="none"/>
              </w:rPr>
            </w:pPr>
          </w:p>
        </w:tc>
      </w:tr>
      <w:tr w14:paraId="4DBA3B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632" w:type="dxa"/>
            <w:vAlign w:val="top"/>
          </w:tcPr>
          <w:p w14:paraId="7E869EEF">
            <w:pPr>
              <w:rPr>
                <w:rFonts w:ascii="Arial"/>
                <w:color w:val="auto"/>
                <w:sz w:val="21"/>
                <w:highlight w:val="none"/>
              </w:rPr>
            </w:pPr>
          </w:p>
        </w:tc>
        <w:tc>
          <w:tcPr>
            <w:tcW w:w="1031" w:type="dxa"/>
            <w:vAlign w:val="top"/>
          </w:tcPr>
          <w:p w14:paraId="64BD25B2">
            <w:pPr>
              <w:rPr>
                <w:rFonts w:ascii="Arial"/>
                <w:color w:val="auto"/>
                <w:sz w:val="21"/>
                <w:highlight w:val="none"/>
              </w:rPr>
            </w:pPr>
          </w:p>
        </w:tc>
        <w:tc>
          <w:tcPr>
            <w:tcW w:w="1289" w:type="dxa"/>
            <w:vAlign w:val="top"/>
          </w:tcPr>
          <w:p w14:paraId="532D2AEE">
            <w:pPr>
              <w:rPr>
                <w:rFonts w:ascii="Arial"/>
                <w:color w:val="auto"/>
                <w:sz w:val="21"/>
                <w:highlight w:val="none"/>
              </w:rPr>
            </w:pPr>
          </w:p>
        </w:tc>
        <w:tc>
          <w:tcPr>
            <w:tcW w:w="1031" w:type="dxa"/>
            <w:vAlign w:val="top"/>
          </w:tcPr>
          <w:p w14:paraId="6F0BC249">
            <w:pPr>
              <w:rPr>
                <w:rFonts w:ascii="Arial"/>
                <w:color w:val="auto"/>
                <w:sz w:val="21"/>
                <w:highlight w:val="none"/>
              </w:rPr>
            </w:pPr>
          </w:p>
        </w:tc>
        <w:tc>
          <w:tcPr>
            <w:tcW w:w="1434" w:type="dxa"/>
            <w:vAlign w:val="top"/>
          </w:tcPr>
          <w:p w14:paraId="4F402CEC">
            <w:pPr>
              <w:rPr>
                <w:rFonts w:ascii="Arial"/>
                <w:color w:val="auto"/>
                <w:sz w:val="21"/>
                <w:highlight w:val="none"/>
              </w:rPr>
            </w:pPr>
          </w:p>
        </w:tc>
        <w:tc>
          <w:tcPr>
            <w:tcW w:w="1307" w:type="dxa"/>
            <w:vAlign w:val="top"/>
          </w:tcPr>
          <w:p w14:paraId="2CE802DE">
            <w:pPr>
              <w:rPr>
                <w:rFonts w:ascii="Arial"/>
                <w:color w:val="auto"/>
                <w:sz w:val="21"/>
                <w:highlight w:val="none"/>
              </w:rPr>
            </w:pPr>
          </w:p>
        </w:tc>
        <w:tc>
          <w:tcPr>
            <w:tcW w:w="1140" w:type="dxa"/>
            <w:vAlign w:val="top"/>
          </w:tcPr>
          <w:p w14:paraId="31F86F58">
            <w:pPr>
              <w:rPr>
                <w:rFonts w:ascii="Arial"/>
                <w:color w:val="auto"/>
                <w:sz w:val="21"/>
                <w:highlight w:val="none"/>
              </w:rPr>
            </w:pPr>
          </w:p>
        </w:tc>
        <w:tc>
          <w:tcPr>
            <w:tcW w:w="796" w:type="dxa"/>
            <w:vAlign w:val="top"/>
          </w:tcPr>
          <w:p w14:paraId="6207EC9B">
            <w:pPr>
              <w:rPr>
                <w:rFonts w:ascii="Arial"/>
                <w:color w:val="auto"/>
                <w:sz w:val="21"/>
                <w:highlight w:val="none"/>
              </w:rPr>
            </w:pPr>
          </w:p>
        </w:tc>
        <w:tc>
          <w:tcPr>
            <w:tcW w:w="742" w:type="dxa"/>
            <w:vAlign w:val="top"/>
          </w:tcPr>
          <w:p w14:paraId="21170CC8">
            <w:pPr>
              <w:rPr>
                <w:rFonts w:ascii="Arial"/>
                <w:color w:val="auto"/>
                <w:sz w:val="21"/>
                <w:highlight w:val="none"/>
              </w:rPr>
            </w:pPr>
          </w:p>
        </w:tc>
        <w:tc>
          <w:tcPr>
            <w:tcW w:w="1723" w:type="dxa"/>
            <w:vAlign w:val="top"/>
          </w:tcPr>
          <w:p w14:paraId="62046228">
            <w:pPr>
              <w:rPr>
                <w:rFonts w:ascii="Arial"/>
                <w:color w:val="auto"/>
                <w:sz w:val="21"/>
                <w:highlight w:val="none"/>
              </w:rPr>
            </w:pPr>
          </w:p>
        </w:tc>
        <w:tc>
          <w:tcPr>
            <w:tcW w:w="1031" w:type="dxa"/>
            <w:vAlign w:val="top"/>
          </w:tcPr>
          <w:p w14:paraId="74BDA261">
            <w:pPr>
              <w:rPr>
                <w:rFonts w:ascii="Arial"/>
                <w:color w:val="auto"/>
                <w:sz w:val="21"/>
                <w:highlight w:val="none"/>
              </w:rPr>
            </w:pPr>
          </w:p>
        </w:tc>
        <w:tc>
          <w:tcPr>
            <w:tcW w:w="1842" w:type="dxa"/>
            <w:vAlign w:val="top"/>
          </w:tcPr>
          <w:p w14:paraId="7FB758D3">
            <w:pPr>
              <w:rPr>
                <w:rFonts w:ascii="Arial"/>
                <w:color w:val="auto"/>
                <w:sz w:val="21"/>
                <w:highlight w:val="none"/>
              </w:rPr>
            </w:pPr>
          </w:p>
        </w:tc>
      </w:tr>
      <w:tr w14:paraId="08E59C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632" w:type="dxa"/>
            <w:vAlign w:val="top"/>
          </w:tcPr>
          <w:p w14:paraId="5E35E70D">
            <w:pPr>
              <w:rPr>
                <w:rFonts w:ascii="Arial"/>
                <w:color w:val="auto"/>
                <w:sz w:val="21"/>
                <w:highlight w:val="none"/>
              </w:rPr>
            </w:pPr>
          </w:p>
        </w:tc>
        <w:tc>
          <w:tcPr>
            <w:tcW w:w="1031" w:type="dxa"/>
            <w:vAlign w:val="top"/>
          </w:tcPr>
          <w:p w14:paraId="457398A4">
            <w:pPr>
              <w:rPr>
                <w:rFonts w:ascii="Arial"/>
                <w:color w:val="auto"/>
                <w:sz w:val="21"/>
                <w:highlight w:val="none"/>
              </w:rPr>
            </w:pPr>
          </w:p>
        </w:tc>
        <w:tc>
          <w:tcPr>
            <w:tcW w:w="1289" w:type="dxa"/>
            <w:vAlign w:val="top"/>
          </w:tcPr>
          <w:p w14:paraId="4928CE1A">
            <w:pPr>
              <w:rPr>
                <w:rFonts w:ascii="Arial"/>
                <w:color w:val="auto"/>
                <w:sz w:val="21"/>
                <w:highlight w:val="none"/>
              </w:rPr>
            </w:pPr>
          </w:p>
        </w:tc>
        <w:tc>
          <w:tcPr>
            <w:tcW w:w="1031" w:type="dxa"/>
            <w:vAlign w:val="top"/>
          </w:tcPr>
          <w:p w14:paraId="5EE890A8">
            <w:pPr>
              <w:rPr>
                <w:rFonts w:ascii="Arial"/>
                <w:color w:val="auto"/>
                <w:sz w:val="21"/>
                <w:highlight w:val="none"/>
              </w:rPr>
            </w:pPr>
          </w:p>
        </w:tc>
        <w:tc>
          <w:tcPr>
            <w:tcW w:w="1434" w:type="dxa"/>
            <w:vAlign w:val="top"/>
          </w:tcPr>
          <w:p w14:paraId="255FF867">
            <w:pPr>
              <w:rPr>
                <w:rFonts w:ascii="Arial"/>
                <w:color w:val="auto"/>
                <w:sz w:val="21"/>
                <w:highlight w:val="none"/>
              </w:rPr>
            </w:pPr>
          </w:p>
        </w:tc>
        <w:tc>
          <w:tcPr>
            <w:tcW w:w="1307" w:type="dxa"/>
            <w:vAlign w:val="top"/>
          </w:tcPr>
          <w:p w14:paraId="1E1807D9">
            <w:pPr>
              <w:rPr>
                <w:rFonts w:ascii="Arial"/>
                <w:color w:val="auto"/>
                <w:sz w:val="21"/>
                <w:highlight w:val="none"/>
              </w:rPr>
            </w:pPr>
          </w:p>
        </w:tc>
        <w:tc>
          <w:tcPr>
            <w:tcW w:w="1140" w:type="dxa"/>
            <w:vAlign w:val="top"/>
          </w:tcPr>
          <w:p w14:paraId="0EA94CF4">
            <w:pPr>
              <w:rPr>
                <w:rFonts w:ascii="Arial"/>
                <w:color w:val="auto"/>
                <w:sz w:val="21"/>
                <w:highlight w:val="none"/>
              </w:rPr>
            </w:pPr>
          </w:p>
        </w:tc>
        <w:tc>
          <w:tcPr>
            <w:tcW w:w="796" w:type="dxa"/>
            <w:vAlign w:val="top"/>
          </w:tcPr>
          <w:p w14:paraId="7DDAF349">
            <w:pPr>
              <w:rPr>
                <w:rFonts w:ascii="Arial"/>
                <w:color w:val="auto"/>
                <w:sz w:val="21"/>
                <w:highlight w:val="none"/>
              </w:rPr>
            </w:pPr>
          </w:p>
        </w:tc>
        <w:tc>
          <w:tcPr>
            <w:tcW w:w="742" w:type="dxa"/>
            <w:vAlign w:val="top"/>
          </w:tcPr>
          <w:p w14:paraId="6333AAFF">
            <w:pPr>
              <w:rPr>
                <w:rFonts w:ascii="Arial"/>
                <w:color w:val="auto"/>
                <w:sz w:val="21"/>
                <w:highlight w:val="none"/>
              </w:rPr>
            </w:pPr>
          </w:p>
        </w:tc>
        <w:tc>
          <w:tcPr>
            <w:tcW w:w="1723" w:type="dxa"/>
            <w:vAlign w:val="top"/>
          </w:tcPr>
          <w:p w14:paraId="5F610BB3">
            <w:pPr>
              <w:rPr>
                <w:rFonts w:ascii="Arial"/>
                <w:color w:val="auto"/>
                <w:sz w:val="21"/>
                <w:highlight w:val="none"/>
              </w:rPr>
            </w:pPr>
          </w:p>
        </w:tc>
        <w:tc>
          <w:tcPr>
            <w:tcW w:w="1031" w:type="dxa"/>
            <w:vAlign w:val="top"/>
          </w:tcPr>
          <w:p w14:paraId="64FB94AB">
            <w:pPr>
              <w:rPr>
                <w:rFonts w:ascii="Arial"/>
                <w:color w:val="auto"/>
                <w:sz w:val="21"/>
                <w:highlight w:val="none"/>
              </w:rPr>
            </w:pPr>
          </w:p>
        </w:tc>
        <w:tc>
          <w:tcPr>
            <w:tcW w:w="1842" w:type="dxa"/>
            <w:vAlign w:val="top"/>
          </w:tcPr>
          <w:p w14:paraId="5E0D2109">
            <w:pPr>
              <w:rPr>
                <w:rFonts w:ascii="Arial"/>
                <w:color w:val="auto"/>
                <w:sz w:val="21"/>
                <w:highlight w:val="none"/>
              </w:rPr>
            </w:pPr>
          </w:p>
        </w:tc>
      </w:tr>
      <w:tr w14:paraId="626DE0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6" w:hRule="atLeast"/>
        </w:trPr>
        <w:tc>
          <w:tcPr>
            <w:tcW w:w="632" w:type="dxa"/>
            <w:vAlign w:val="top"/>
          </w:tcPr>
          <w:p w14:paraId="597EBC11">
            <w:pPr>
              <w:rPr>
                <w:rFonts w:ascii="Arial"/>
                <w:color w:val="auto"/>
                <w:sz w:val="21"/>
                <w:highlight w:val="none"/>
              </w:rPr>
            </w:pPr>
          </w:p>
        </w:tc>
        <w:tc>
          <w:tcPr>
            <w:tcW w:w="1031" w:type="dxa"/>
            <w:vAlign w:val="top"/>
          </w:tcPr>
          <w:p w14:paraId="297E3D5D">
            <w:pPr>
              <w:rPr>
                <w:rFonts w:ascii="Arial"/>
                <w:color w:val="auto"/>
                <w:sz w:val="21"/>
                <w:highlight w:val="none"/>
              </w:rPr>
            </w:pPr>
          </w:p>
        </w:tc>
        <w:tc>
          <w:tcPr>
            <w:tcW w:w="1289" w:type="dxa"/>
            <w:vAlign w:val="top"/>
          </w:tcPr>
          <w:p w14:paraId="1289528E">
            <w:pPr>
              <w:rPr>
                <w:rFonts w:ascii="Arial"/>
                <w:color w:val="auto"/>
                <w:sz w:val="21"/>
                <w:highlight w:val="none"/>
              </w:rPr>
            </w:pPr>
          </w:p>
        </w:tc>
        <w:tc>
          <w:tcPr>
            <w:tcW w:w="1031" w:type="dxa"/>
            <w:vAlign w:val="top"/>
          </w:tcPr>
          <w:p w14:paraId="30A1B9E6">
            <w:pPr>
              <w:rPr>
                <w:rFonts w:ascii="Arial"/>
                <w:color w:val="auto"/>
                <w:sz w:val="21"/>
                <w:highlight w:val="none"/>
              </w:rPr>
            </w:pPr>
          </w:p>
        </w:tc>
        <w:tc>
          <w:tcPr>
            <w:tcW w:w="1434" w:type="dxa"/>
            <w:vAlign w:val="top"/>
          </w:tcPr>
          <w:p w14:paraId="5EC934CA">
            <w:pPr>
              <w:rPr>
                <w:rFonts w:ascii="Arial"/>
                <w:color w:val="auto"/>
                <w:sz w:val="21"/>
                <w:highlight w:val="none"/>
              </w:rPr>
            </w:pPr>
          </w:p>
        </w:tc>
        <w:tc>
          <w:tcPr>
            <w:tcW w:w="1307" w:type="dxa"/>
            <w:vAlign w:val="top"/>
          </w:tcPr>
          <w:p w14:paraId="63B06296">
            <w:pPr>
              <w:rPr>
                <w:rFonts w:ascii="Arial"/>
                <w:color w:val="auto"/>
                <w:sz w:val="21"/>
                <w:highlight w:val="none"/>
              </w:rPr>
            </w:pPr>
          </w:p>
        </w:tc>
        <w:tc>
          <w:tcPr>
            <w:tcW w:w="1140" w:type="dxa"/>
            <w:vAlign w:val="top"/>
          </w:tcPr>
          <w:p w14:paraId="6CCD0138">
            <w:pPr>
              <w:rPr>
                <w:rFonts w:ascii="Arial"/>
                <w:color w:val="auto"/>
                <w:sz w:val="21"/>
                <w:highlight w:val="none"/>
              </w:rPr>
            </w:pPr>
          </w:p>
        </w:tc>
        <w:tc>
          <w:tcPr>
            <w:tcW w:w="796" w:type="dxa"/>
            <w:vAlign w:val="top"/>
          </w:tcPr>
          <w:p w14:paraId="74B22F0F">
            <w:pPr>
              <w:rPr>
                <w:rFonts w:ascii="Arial"/>
                <w:color w:val="auto"/>
                <w:sz w:val="21"/>
                <w:highlight w:val="none"/>
              </w:rPr>
            </w:pPr>
          </w:p>
        </w:tc>
        <w:tc>
          <w:tcPr>
            <w:tcW w:w="742" w:type="dxa"/>
            <w:vAlign w:val="top"/>
          </w:tcPr>
          <w:p w14:paraId="106AE817">
            <w:pPr>
              <w:rPr>
                <w:rFonts w:ascii="Arial"/>
                <w:color w:val="auto"/>
                <w:sz w:val="21"/>
                <w:highlight w:val="none"/>
              </w:rPr>
            </w:pPr>
          </w:p>
        </w:tc>
        <w:tc>
          <w:tcPr>
            <w:tcW w:w="1723" w:type="dxa"/>
            <w:vAlign w:val="top"/>
          </w:tcPr>
          <w:p w14:paraId="6725F61D">
            <w:pPr>
              <w:rPr>
                <w:rFonts w:ascii="Arial"/>
                <w:color w:val="auto"/>
                <w:sz w:val="21"/>
                <w:highlight w:val="none"/>
              </w:rPr>
            </w:pPr>
          </w:p>
        </w:tc>
        <w:tc>
          <w:tcPr>
            <w:tcW w:w="1031" w:type="dxa"/>
            <w:vAlign w:val="top"/>
          </w:tcPr>
          <w:p w14:paraId="50836F12">
            <w:pPr>
              <w:rPr>
                <w:rFonts w:ascii="Arial"/>
                <w:color w:val="auto"/>
                <w:sz w:val="21"/>
                <w:highlight w:val="none"/>
              </w:rPr>
            </w:pPr>
          </w:p>
        </w:tc>
        <w:tc>
          <w:tcPr>
            <w:tcW w:w="1842" w:type="dxa"/>
            <w:vAlign w:val="top"/>
          </w:tcPr>
          <w:p w14:paraId="10570B1E">
            <w:pPr>
              <w:rPr>
                <w:rFonts w:ascii="Arial"/>
                <w:color w:val="auto"/>
                <w:sz w:val="21"/>
                <w:highlight w:val="none"/>
              </w:rPr>
            </w:pPr>
          </w:p>
        </w:tc>
      </w:tr>
      <w:tr w14:paraId="553B98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6" w:hRule="atLeast"/>
        </w:trPr>
        <w:tc>
          <w:tcPr>
            <w:tcW w:w="632" w:type="dxa"/>
            <w:vAlign w:val="top"/>
          </w:tcPr>
          <w:p w14:paraId="649C8B38">
            <w:pPr>
              <w:rPr>
                <w:rFonts w:ascii="Arial"/>
                <w:color w:val="auto"/>
                <w:sz w:val="21"/>
                <w:highlight w:val="none"/>
              </w:rPr>
            </w:pPr>
          </w:p>
        </w:tc>
        <w:tc>
          <w:tcPr>
            <w:tcW w:w="1031" w:type="dxa"/>
            <w:vAlign w:val="top"/>
          </w:tcPr>
          <w:p w14:paraId="0B3B4057">
            <w:pPr>
              <w:rPr>
                <w:rFonts w:ascii="Arial"/>
                <w:color w:val="auto"/>
                <w:sz w:val="21"/>
                <w:highlight w:val="none"/>
              </w:rPr>
            </w:pPr>
          </w:p>
        </w:tc>
        <w:tc>
          <w:tcPr>
            <w:tcW w:w="1289" w:type="dxa"/>
            <w:vAlign w:val="top"/>
          </w:tcPr>
          <w:p w14:paraId="06CD40DE">
            <w:pPr>
              <w:rPr>
                <w:rFonts w:ascii="Arial"/>
                <w:color w:val="auto"/>
                <w:sz w:val="21"/>
                <w:highlight w:val="none"/>
              </w:rPr>
            </w:pPr>
          </w:p>
        </w:tc>
        <w:tc>
          <w:tcPr>
            <w:tcW w:w="1031" w:type="dxa"/>
            <w:vAlign w:val="top"/>
          </w:tcPr>
          <w:p w14:paraId="39DEB5BE">
            <w:pPr>
              <w:rPr>
                <w:rFonts w:ascii="Arial"/>
                <w:color w:val="auto"/>
                <w:sz w:val="21"/>
                <w:highlight w:val="none"/>
              </w:rPr>
            </w:pPr>
          </w:p>
        </w:tc>
        <w:tc>
          <w:tcPr>
            <w:tcW w:w="1434" w:type="dxa"/>
            <w:vAlign w:val="top"/>
          </w:tcPr>
          <w:p w14:paraId="5AFCC4CA">
            <w:pPr>
              <w:rPr>
                <w:rFonts w:ascii="Arial"/>
                <w:color w:val="auto"/>
                <w:sz w:val="21"/>
                <w:highlight w:val="none"/>
              </w:rPr>
            </w:pPr>
          </w:p>
        </w:tc>
        <w:tc>
          <w:tcPr>
            <w:tcW w:w="1307" w:type="dxa"/>
            <w:vAlign w:val="top"/>
          </w:tcPr>
          <w:p w14:paraId="679426E7">
            <w:pPr>
              <w:rPr>
                <w:rFonts w:ascii="Arial"/>
                <w:color w:val="auto"/>
                <w:sz w:val="21"/>
                <w:highlight w:val="none"/>
              </w:rPr>
            </w:pPr>
          </w:p>
        </w:tc>
        <w:tc>
          <w:tcPr>
            <w:tcW w:w="1140" w:type="dxa"/>
            <w:vAlign w:val="top"/>
          </w:tcPr>
          <w:p w14:paraId="54286FC7">
            <w:pPr>
              <w:rPr>
                <w:rFonts w:ascii="Arial"/>
                <w:color w:val="auto"/>
                <w:sz w:val="21"/>
                <w:highlight w:val="none"/>
              </w:rPr>
            </w:pPr>
          </w:p>
        </w:tc>
        <w:tc>
          <w:tcPr>
            <w:tcW w:w="796" w:type="dxa"/>
            <w:vAlign w:val="top"/>
          </w:tcPr>
          <w:p w14:paraId="404EB42B">
            <w:pPr>
              <w:rPr>
                <w:rFonts w:ascii="Arial"/>
                <w:color w:val="auto"/>
                <w:sz w:val="21"/>
                <w:highlight w:val="none"/>
              </w:rPr>
            </w:pPr>
          </w:p>
        </w:tc>
        <w:tc>
          <w:tcPr>
            <w:tcW w:w="742" w:type="dxa"/>
            <w:vAlign w:val="top"/>
          </w:tcPr>
          <w:p w14:paraId="60A73077">
            <w:pPr>
              <w:rPr>
                <w:rFonts w:ascii="Arial"/>
                <w:color w:val="auto"/>
                <w:sz w:val="21"/>
                <w:highlight w:val="none"/>
              </w:rPr>
            </w:pPr>
          </w:p>
        </w:tc>
        <w:tc>
          <w:tcPr>
            <w:tcW w:w="1723" w:type="dxa"/>
            <w:vAlign w:val="top"/>
          </w:tcPr>
          <w:p w14:paraId="01F576DC">
            <w:pPr>
              <w:rPr>
                <w:rFonts w:ascii="Arial"/>
                <w:color w:val="auto"/>
                <w:sz w:val="21"/>
                <w:highlight w:val="none"/>
              </w:rPr>
            </w:pPr>
          </w:p>
        </w:tc>
        <w:tc>
          <w:tcPr>
            <w:tcW w:w="1031" w:type="dxa"/>
            <w:vAlign w:val="top"/>
          </w:tcPr>
          <w:p w14:paraId="3735F73E">
            <w:pPr>
              <w:rPr>
                <w:rFonts w:ascii="Arial"/>
                <w:color w:val="auto"/>
                <w:sz w:val="21"/>
                <w:highlight w:val="none"/>
              </w:rPr>
            </w:pPr>
          </w:p>
        </w:tc>
        <w:tc>
          <w:tcPr>
            <w:tcW w:w="1842" w:type="dxa"/>
            <w:vAlign w:val="top"/>
          </w:tcPr>
          <w:p w14:paraId="733C8398">
            <w:pPr>
              <w:rPr>
                <w:rFonts w:ascii="Arial"/>
                <w:color w:val="auto"/>
                <w:sz w:val="21"/>
                <w:highlight w:val="none"/>
              </w:rPr>
            </w:pPr>
          </w:p>
        </w:tc>
      </w:tr>
      <w:tr w14:paraId="35143B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6" w:hRule="atLeast"/>
        </w:trPr>
        <w:tc>
          <w:tcPr>
            <w:tcW w:w="632" w:type="dxa"/>
            <w:vAlign w:val="top"/>
          </w:tcPr>
          <w:p w14:paraId="71961FD8">
            <w:pPr>
              <w:rPr>
                <w:rFonts w:ascii="Arial"/>
                <w:color w:val="auto"/>
                <w:sz w:val="21"/>
                <w:highlight w:val="none"/>
              </w:rPr>
            </w:pPr>
          </w:p>
        </w:tc>
        <w:tc>
          <w:tcPr>
            <w:tcW w:w="1031" w:type="dxa"/>
            <w:vAlign w:val="top"/>
          </w:tcPr>
          <w:p w14:paraId="0EB173D2">
            <w:pPr>
              <w:rPr>
                <w:rFonts w:ascii="Arial"/>
                <w:color w:val="auto"/>
                <w:sz w:val="21"/>
                <w:highlight w:val="none"/>
              </w:rPr>
            </w:pPr>
          </w:p>
        </w:tc>
        <w:tc>
          <w:tcPr>
            <w:tcW w:w="1289" w:type="dxa"/>
            <w:vAlign w:val="top"/>
          </w:tcPr>
          <w:p w14:paraId="1C9BAA08">
            <w:pPr>
              <w:rPr>
                <w:rFonts w:ascii="Arial"/>
                <w:color w:val="auto"/>
                <w:sz w:val="21"/>
                <w:highlight w:val="none"/>
              </w:rPr>
            </w:pPr>
          </w:p>
        </w:tc>
        <w:tc>
          <w:tcPr>
            <w:tcW w:w="1031" w:type="dxa"/>
            <w:vAlign w:val="top"/>
          </w:tcPr>
          <w:p w14:paraId="59D5BF59">
            <w:pPr>
              <w:rPr>
                <w:rFonts w:ascii="Arial"/>
                <w:color w:val="auto"/>
                <w:sz w:val="21"/>
                <w:highlight w:val="none"/>
              </w:rPr>
            </w:pPr>
          </w:p>
        </w:tc>
        <w:tc>
          <w:tcPr>
            <w:tcW w:w="1434" w:type="dxa"/>
            <w:vAlign w:val="top"/>
          </w:tcPr>
          <w:p w14:paraId="106D2E78">
            <w:pPr>
              <w:rPr>
                <w:rFonts w:ascii="Arial"/>
                <w:color w:val="auto"/>
                <w:sz w:val="21"/>
                <w:highlight w:val="none"/>
              </w:rPr>
            </w:pPr>
          </w:p>
        </w:tc>
        <w:tc>
          <w:tcPr>
            <w:tcW w:w="1307" w:type="dxa"/>
            <w:vAlign w:val="top"/>
          </w:tcPr>
          <w:p w14:paraId="00747514">
            <w:pPr>
              <w:rPr>
                <w:rFonts w:ascii="Arial"/>
                <w:color w:val="auto"/>
                <w:sz w:val="21"/>
                <w:highlight w:val="none"/>
              </w:rPr>
            </w:pPr>
          </w:p>
        </w:tc>
        <w:tc>
          <w:tcPr>
            <w:tcW w:w="1140" w:type="dxa"/>
            <w:vAlign w:val="top"/>
          </w:tcPr>
          <w:p w14:paraId="1A7C58A0">
            <w:pPr>
              <w:rPr>
                <w:rFonts w:ascii="Arial"/>
                <w:color w:val="auto"/>
                <w:sz w:val="21"/>
                <w:highlight w:val="none"/>
              </w:rPr>
            </w:pPr>
          </w:p>
        </w:tc>
        <w:tc>
          <w:tcPr>
            <w:tcW w:w="796" w:type="dxa"/>
            <w:vAlign w:val="top"/>
          </w:tcPr>
          <w:p w14:paraId="27B5472F">
            <w:pPr>
              <w:rPr>
                <w:rFonts w:ascii="Arial"/>
                <w:color w:val="auto"/>
                <w:sz w:val="21"/>
                <w:highlight w:val="none"/>
              </w:rPr>
            </w:pPr>
          </w:p>
        </w:tc>
        <w:tc>
          <w:tcPr>
            <w:tcW w:w="742" w:type="dxa"/>
            <w:vAlign w:val="top"/>
          </w:tcPr>
          <w:p w14:paraId="22E5975B">
            <w:pPr>
              <w:rPr>
                <w:rFonts w:ascii="Arial"/>
                <w:color w:val="auto"/>
                <w:sz w:val="21"/>
                <w:highlight w:val="none"/>
              </w:rPr>
            </w:pPr>
          </w:p>
        </w:tc>
        <w:tc>
          <w:tcPr>
            <w:tcW w:w="1723" w:type="dxa"/>
            <w:vAlign w:val="top"/>
          </w:tcPr>
          <w:p w14:paraId="3F7BFCDA">
            <w:pPr>
              <w:rPr>
                <w:rFonts w:ascii="Arial"/>
                <w:color w:val="auto"/>
                <w:sz w:val="21"/>
                <w:highlight w:val="none"/>
              </w:rPr>
            </w:pPr>
          </w:p>
        </w:tc>
        <w:tc>
          <w:tcPr>
            <w:tcW w:w="1031" w:type="dxa"/>
            <w:vAlign w:val="top"/>
          </w:tcPr>
          <w:p w14:paraId="6BCD00A5">
            <w:pPr>
              <w:rPr>
                <w:rFonts w:ascii="Arial"/>
                <w:color w:val="auto"/>
                <w:sz w:val="21"/>
                <w:highlight w:val="none"/>
              </w:rPr>
            </w:pPr>
          </w:p>
        </w:tc>
        <w:tc>
          <w:tcPr>
            <w:tcW w:w="1842" w:type="dxa"/>
            <w:vAlign w:val="top"/>
          </w:tcPr>
          <w:p w14:paraId="204DB858">
            <w:pPr>
              <w:rPr>
                <w:rFonts w:ascii="Arial"/>
                <w:color w:val="auto"/>
                <w:sz w:val="21"/>
                <w:highlight w:val="none"/>
              </w:rPr>
            </w:pPr>
          </w:p>
        </w:tc>
      </w:tr>
      <w:tr w14:paraId="2632EF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6" w:hRule="atLeast"/>
        </w:trPr>
        <w:tc>
          <w:tcPr>
            <w:tcW w:w="632" w:type="dxa"/>
            <w:vAlign w:val="top"/>
          </w:tcPr>
          <w:p w14:paraId="0734AE36">
            <w:pPr>
              <w:rPr>
                <w:rFonts w:ascii="Arial"/>
                <w:color w:val="auto"/>
                <w:sz w:val="21"/>
                <w:highlight w:val="none"/>
              </w:rPr>
            </w:pPr>
          </w:p>
        </w:tc>
        <w:tc>
          <w:tcPr>
            <w:tcW w:w="1031" w:type="dxa"/>
            <w:vAlign w:val="top"/>
          </w:tcPr>
          <w:p w14:paraId="60A3E282">
            <w:pPr>
              <w:rPr>
                <w:rFonts w:ascii="Arial"/>
                <w:color w:val="auto"/>
                <w:sz w:val="21"/>
                <w:highlight w:val="none"/>
              </w:rPr>
            </w:pPr>
          </w:p>
        </w:tc>
        <w:tc>
          <w:tcPr>
            <w:tcW w:w="1289" w:type="dxa"/>
            <w:vAlign w:val="top"/>
          </w:tcPr>
          <w:p w14:paraId="75B253C8">
            <w:pPr>
              <w:rPr>
                <w:rFonts w:ascii="Arial"/>
                <w:color w:val="auto"/>
                <w:sz w:val="21"/>
                <w:highlight w:val="none"/>
              </w:rPr>
            </w:pPr>
          </w:p>
        </w:tc>
        <w:tc>
          <w:tcPr>
            <w:tcW w:w="1031" w:type="dxa"/>
            <w:vAlign w:val="top"/>
          </w:tcPr>
          <w:p w14:paraId="4AEA2718">
            <w:pPr>
              <w:rPr>
                <w:rFonts w:ascii="Arial"/>
                <w:color w:val="auto"/>
                <w:sz w:val="21"/>
                <w:highlight w:val="none"/>
              </w:rPr>
            </w:pPr>
          </w:p>
        </w:tc>
        <w:tc>
          <w:tcPr>
            <w:tcW w:w="1434" w:type="dxa"/>
            <w:vAlign w:val="top"/>
          </w:tcPr>
          <w:p w14:paraId="076EFB06">
            <w:pPr>
              <w:rPr>
                <w:rFonts w:ascii="Arial"/>
                <w:color w:val="auto"/>
                <w:sz w:val="21"/>
                <w:highlight w:val="none"/>
              </w:rPr>
            </w:pPr>
          </w:p>
        </w:tc>
        <w:tc>
          <w:tcPr>
            <w:tcW w:w="1307" w:type="dxa"/>
            <w:vAlign w:val="top"/>
          </w:tcPr>
          <w:p w14:paraId="4D87E7C0">
            <w:pPr>
              <w:rPr>
                <w:rFonts w:ascii="Arial"/>
                <w:color w:val="auto"/>
                <w:sz w:val="21"/>
                <w:highlight w:val="none"/>
              </w:rPr>
            </w:pPr>
          </w:p>
        </w:tc>
        <w:tc>
          <w:tcPr>
            <w:tcW w:w="1140" w:type="dxa"/>
            <w:vAlign w:val="top"/>
          </w:tcPr>
          <w:p w14:paraId="414C13E8">
            <w:pPr>
              <w:rPr>
                <w:rFonts w:ascii="Arial"/>
                <w:color w:val="auto"/>
                <w:sz w:val="21"/>
                <w:highlight w:val="none"/>
              </w:rPr>
            </w:pPr>
          </w:p>
        </w:tc>
        <w:tc>
          <w:tcPr>
            <w:tcW w:w="796" w:type="dxa"/>
            <w:vAlign w:val="top"/>
          </w:tcPr>
          <w:p w14:paraId="33B0ED2B">
            <w:pPr>
              <w:rPr>
                <w:rFonts w:ascii="Arial"/>
                <w:color w:val="auto"/>
                <w:sz w:val="21"/>
                <w:highlight w:val="none"/>
              </w:rPr>
            </w:pPr>
          </w:p>
        </w:tc>
        <w:tc>
          <w:tcPr>
            <w:tcW w:w="742" w:type="dxa"/>
            <w:vAlign w:val="top"/>
          </w:tcPr>
          <w:p w14:paraId="7EB30E12">
            <w:pPr>
              <w:rPr>
                <w:rFonts w:ascii="Arial"/>
                <w:color w:val="auto"/>
                <w:sz w:val="21"/>
                <w:highlight w:val="none"/>
              </w:rPr>
            </w:pPr>
          </w:p>
        </w:tc>
        <w:tc>
          <w:tcPr>
            <w:tcW w:w="1723" w:type="dxa"/>
            <w:vAlign w:val="top"/>
          </w:tcPr>
          <w:p w14:paraId="3BB3B520">
            <w:pPr>
              <w:rPr>
                <w:rFonts w:ascii="Arial"/>
                <w:color w:val="auto"/>
                <w:sz w:val="21"/>
                <w:highlight w:val="none"/>
              </w:rPr>
            </w:pPr>
          </w:p>
        </w:tc>
        <w:tc>
          <w:tcPr>
            <w:tcW w:w="1031" w:type="dxa"/>
            <w:vAlign w:val="top"/>
          </w:tcPr>
          <w:p w14:paraId="20BE50DA">
            <w:pPr>
              <w:rPr>
                <w:rFonts w:ascii="Arial"/>
                <w:color w:val="auto"/>
                <w:sz w:val="21"/>
                <w:highlight w:val="none"/>
              </w:rPr>
            </w:pPr>
          </w:p>
        </w:tc>
        <w:tc>
          <w:tcPr>
            <w:tcW w:w="1842" w:type="dxa"/>
            <w:vAlign w:val="top"/>
          </w:tcPr>
          <w:p w14:paraId="3F5DB0CD">
            <w:pPr>
              <w:rPr>
                <w:rFonts w:ascii="Arial"/>
                <w:color w:val="auto"/>
                <w:sz w:val="21"/>
                <w:highlight w:val="none"/>
              </w:rPr>
            </w:pPr>
          </w:p>
        </w:tc>
      </w:tr>
      <w:tr w14:paraId="61686F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6" w:hRule="atLeast"/>
        </w:trPr>
        <w:tc>
          <w:tcPr>
            <w:tcW w:w="632" w:type="dxa"/>
            <w:vAlign w:val="top"/>
          </w:tcPr>
          <w:p w14:paraId="489C7A21">
            <w:pPr>
              <w:rPr>
                <w:rFonts w:ascii="Arial"/>
                <w:color w:val="auto"/>
                <w:sz w:val="21"/>
                <w:highlight w:val="none"/>
              </w:rPr>
            </w:pPr>
          </w:p>
        </w:tc>
        <w:tc>
          <w:tcPr>
            <w:tcW w:w="1031" w:type="dxa"/>
            <w:vAlign w:val="top"/>
          </w:tcPr>
          <w:p w14:paraId="6FED24BD">
            <w:pPr>
              <w:rPr>
                <w:rFonts w:ascii="Arial"/>
                <w:color w:val="auto"/>
                <w:sz w:val="21"/>
                <w:highlight w:val="none"/>
              </w:rPr>
            </w:pPr>
          </w:p>
        </w:tc>
        <w:tc>
          <w:tcPr>
            <w:tcW w:w="1289" w:type="dxa"/>
            <w:vAlign w:val="top"/>
          </w:tcPr>
          <w:p w14:paraId="456EFD5F">
            <w:pPr>
              <w:rPr>
                <w:rFonts w:ascii="Arial"/>
                <w:color w:val="auto"/>
                <w:sz w:val="21"/>
                <w:highlight w:val="none"/>
              </w:rPr>
            </w:pPr>
          </w:p>
        </w:tc>
        <w:tc>
          <w:tcPr>
            <w:tcW w:w="1031" w:type="dxa"/>
            <w:vAlign w:val="top"/>
          </w:tcPr>
          <w:p w14:paraId="56D78489">
            <w:pPr>
              <w:rPr>
                <w:rFonts w:ascii="Arial"/>
                <w:color w:val="auto"/>
                <w:sz w:val="21"/>
                <w:highlight w:val="none"/>
              </w:rPr>
            </w:pPr>
          </w:p>
        </w:tc>
        <w:tc>
          <w:tcPr>
            <w:tcW w:w="1434" w:type="dxa"/>
            <w:vAlign w:val="top"/>
          </w:tcPr>
          <w:p w14:paraId="7CCA2DBC">
            <w:pPr>
              <w:rPr>
                <w:rFonts w:ascii="Arial"/>
                <w:color w:val="auto"/>
                <w:sz w:val="21"/>
                <w:highlight w:val="none"/>
              </w:rPr>
            </w:pPr>
          </w:p>
        </w:tc>
        <w:tc>
          <w:tcPr>
            <w:tcW w:w="1307" w:type="dxa"/>
            <w:vAlign w:val="top"/>
          </w:tcPr>
          <w:p w14:paraId="16CAF927">
            <w:pPr>
              <w:rPr>
                <w:rFonts w:ascii="Arial"/>
                <w:color w:val="auto"/>
                <w:sz w:val="21"/>
                <w:highlight w:val="none"/>
              </w:rPr>
            </w:pPr>
          </w:p>
        </w:tc>
        <w:tc>
          <w:tcPr>
            <w:tcW w:w="1140" w:type="dxa"/>
            <w:vAlign w:val="top"/>
          </w:tcPr>
          <w:p w14:paraId="663F0075">
            <w:pPr>
              <w:rPr>
                <w:rFonts w:ascii="Arial"/>
                <w:color w:val="auto"/>
                <w:sz w:val="21"/>
                <w:highlight w:val="none"/>
              </w:rPr>
            </w:pPr>
          </w:p>
        </w:tc>
        <w:tc>
          <w:tcPr>
            <w:tcW w:w="796" w:type="dxa"/>
            <w:vAlign w:val="top"/>
          </w:tcPr>
          <w:p w14:paraId="33B2BF4A">
            <w:pPr>
              <w:rPr>
                <w:rFonts w:ascii="Arial"/>
                <w:color w:val="auto"/>
                <w:sz w:val="21"/>
                <w:highlight w:val="none"/>
              </w:rPr>
            </w:pPr>
          </w:p>
        </w:tc>
        <w:tc>
          <w:tcPr>
            <w:tcW w:w="742" w:type="dxa"/>
            <w:vAlign w:val="top"/>
          </w:tcPr>
          <w:p w14:paraId="29B76B12">
            <w:pPr>
              <w:rPr>
                <w:rFonts w:ascii="Arial"/>
                <w:color w:val="auto"/>
                <w:sz w:val="21"/>
                <w:highlight w:val="none"/>
              </w:rPr>
            </w:pPr>
          </w:p>
        </w:tc>
        <w:tc>
          <w:tcPr>
            <w:tcW w:w="1723" w:type="dxa"/>
            <w:vAlign w:val="top"/>
          </w:tcPr>
          <w:p w14:paraId="03505EE4">
            <w:pPr>
              <w:rPr>
                <w:rFonts w:ascii="Arial"/>
                <w:color w:val="auto"/>
                <w:sz w:val="21"/>
                <w:highlight w:val="none"/>
              </w:rPr>
            </w:pPr>
          </w:p>
        </w:tc>
        <w:tc>
          <w:tcPr>
            <w:tcW w:w="1031" w:type="dxa"/>
            <w:vAlign w:val="top"/>
          </w:tcPr>
          <w:p w14:paraId="69EB856B">
            <w:pPr>
              <w:rPr>
                <w:rFonts w:ascii="Arial"/>
                <w:color w:val="auto"/>
                <w:sz w:val="21"/>
                <w:highlight w:val="none"/>
              </w:rPr>
            </w:pPr>
          </w:p>
        </w:tc>
        <w:tc>
          <w:tcPr>
            <w:tcW w:w="1842" w:type="dxa"/>
            <w:vAlign w:val="top"/>
          </w:tcPr>
          <w:p w14:paraId="171011D0">
            <w:pPr>
              <w:rPr>
                <w:rFonts w:ascii="Arial"/>
                <w:color w:val="auto"/>
                <w:sz w:val="21"/>
                <w:highlight w:val="none"/>
              </w:rPr>
            </w:pPr>
          </w:p>
        </w:tc>
      </w:tr>
      <w:tr w14:paraId="2A6246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6" w:hRule="atLeast"/>
        </w:trPr>
        <w:tc>
          <w:tcPr>
            <w:tcW w:w="632" w:type="dxa"/>
            <w:vAlign w:val="top"/>
          </w:tcPr>
          <w:p w14:paraId="43DF592C">
            <w:pPr>
              <w:rPr>
                <w:rFonts w:ascii="Arial"/>
                <w:color w:val="auto"/>
                <w:sz w:val="21"/>
                <w:highlight w:val="none"/>
              </w:rPr>
            </w:pPr>
          </w:p>
        </w:tc>
        <w:tc>
          <w:tcPr>
            <w:tcW w:w="1031" w:type="dxa"/>
            <w:vAlign w:val="top"/>
          </w:tcPr>
          <w:p w14:paraId="33FC32EA">
            <w:pPr>
              <w:rPr>
                <w:rFonts w:ascii="Arial"/>
                <w:color w:val="auto"/>
                <w:sz w:val="21"/>
                <w:highlight w:val="none"/>
              </w:rPr>
            </w:pPr>
          </w:p>
        </w:tc>
        <w:tc>
          <w:tcPr>
            <w:tcW w:w="1289" w:type="dxa"/>
            <w:vAlign w:val="top"/>
          </w:tcPr>
          <w:p w14:paraId="3E580CBC">
            <w:pPr>
              <w:rPr>
                <w:rFonts w:ascii="Arial"/>
                <w:color w:val="auto"/>
                <w:sz w:val="21"/>
                <w:highlight w:val="none"/>
              </w:rPr>
            </w:pPr>
          </w:p>
        </w:tc>
        <w:tc>
          <w:tcPr>
            <w:tcW w:w="1031" w:type="dxa"/>
            <w:vAlign w:val="top"/>
          </w:tcPr>
          <w:p w14:paraId="59B73DAC">
            <w:pPr>
              <w:rPr>
                <w:rFonts w:ascii="Arial"/>
                <w:color w:val="auto"/>
                <w:sz w:val="21"/>
                <w:highlight w:val="none"/>
              </w:rPr>
            </w:pPr>
          </w:p>
        </w:tc>
        <w:tc>
          <w:tcPr>
            <w:tcW w:w="1434" w:type="dxa"/>
            <w:vAlign w:val="top"/>
          </w:tcPr>
          <w:p w14:paraId="1C54F6D7">
            <w:pPr>
              <w:rPr>
                <w:rFonts w:ascii="Arial"/>
                <w:color w:val="auto"/>
                <w:sz w:val="21"/>
                <w:highlight w:val="none"/>
              </w:rPr>
            </w:pPr>
          </w:p>
        </w:tc>
        <w:tc>
          <w:tcPr>
            <w:tcW w:w="1307" w:type="dxa"/>
            <w:vAlign w:val="top"/>
          </w:tcPr>
          <w:p w14:paraId="71DC34B5">
            <w:pPr>
              <w:rPr>
                <w:rFonts w:ascii="Arial"/>
                <w:color w:val="auto"/>
                <w:sz w:val="21"/>
                <w:highlight w:val="none"/>
              </w:rPr>
            </w:pPr>
          </w:p>
        </w:tc>
        <w:tc>
          <w:tcPr>
            <w:tcW w:w="1140" w:type="dxa"/>
            <w:vAlign w:val="top"/>
          </w:tcPr>
          <w:p w14:paraId="19F9F7B5">
            <w:pPr>
              <w:rPr>
                <w:rFonts w:ascii="Arial"/>
                <w:color w:val="auto"/>
                <w:sz w:val="21"/>
                <w:highlight w:val="none"/>
              </w:rPr>
            </w:pPr>
          </w:p>
        </w:tc>
        <w:tc>
          <w:tcPr>
            <w:tcW w:w="796" w:type="dxa"/>
            <w:vAlign w:val="top"/>
          </w:tcPr>
          <w:p w14:paraId="710CC10A">
            <w:pPr>
              <w:rPr>
                <w:rFonts w:ascii="Arial"/>
                <w:color w:val="auto"/>
                <w:sz w:val="21"/>
                <w:highlight w:val="none"/>
              </w:rPr>
            </w:pPr>
          </w:p>
        </w:tc>
        <w:tc>
          <w:tcPr>
            <w:tcW w:w="742" w:type="dxa"/>
            <w:vAlign w:val="top"/>
          </w:tcPr>
          <w:p w14:paraId="496B6187">
            <w:pPr>
              <w:rPr>
                <w:rFonts w:ascii="Arial"/>
                <w:color w:val="auto"/>
                <w:sz w:val="21"/>
                <w:highlight w:val="none"/>
              </w:rPr>
            </w:pPr>
          </w:p>
        </w:tc>
        <w:tc>
          <w:tcPr>
            <w:tcW w:w="1723" w:type="dxa"/>
            <w:vAlign w:val="top"/>
          </w:tcPr>
          <w:p w14:paraId="4C8CBB4C">
            <w:pPr>
              <w:rPr>
                <w:rFonts w:ascii="Arial"/>
                <w:color w:val="auto"/>
                <w:sz w:val="21"/>
                <w:highlight w:val="none"/>
              </w:rPr>
            </w:pPr>
          </w:p>
        </w:tc>
        <w:tc>
          <w:tcPr>
            <w:tcW w:w="1031" w:type="dxa"/>
            <w:vAlign w:val="top"/>
          </w:tcPr>
          <w:p w14:paraId="1A44DBA7">
            <w:pPr>
              <w:rPr>
                <w:rFonts w:ascii="Arial"/>
                <w:color w:val="auto"/>
                <w:sz w:val="21"/>
                <w:highlight w:val="none"/>
              </w:rPr>
            </w:pPr>
          </w:p>
        </w:tc>
        <w:tc>
          <w:tcPr>
            <w:tcW w:w="1842" w:type="dxa"/>
            <w:vAlign w:val="top"/>
          </w:tcPr>
          <w:p w14:paraId="4107D0B6">
            <w:pPr>
              <w:rPr>
                <w:rFonts w:ascii="Arial"/>
                <w:color w:val="auto"/>
                <w:sz w:val="21"/>
                <w:highlight w:val="none"/>
              </w:rPr>
            </w:pPr>
          </w:p>
        </w:tc>
      </w:tr>
      <w:tr w14:paraId="59B50C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6" w:hRule="atLeast"/>
        </w:trPr>
        <w:tc>
          <w:tcPr>
            <w:tcW w:w="632" w:type="dxa"/>
            <w:vAlign w:val="top"/>
          </w:tcPr>
          <w:p w14:paraId="3757CE1E">
            <w:pPr>
              <w:rPr>
                <w:rFonts w:ascii="Arial"/>
                <w:color w:val="auto"/>
                <w:sz w:val="21"/>
                <w:highlight w:val="none"/>
              </w:rPr>
            </w:pPr>
          </w:p>
        </w:tc>
        <w:tc>
          <w:tcPr>
            <w:tcW w:w="1031" w:type="dxa"/>
            <w:vAlign w:val="top"/>
          </w:tcPr>
          <w:p w14:paraId="3A179D68">
            <w:pPr>
              <w:rPr>
                <w:rFonts w:ascii="Arial"/>
                <w:color w:val="auto"/>
                <w:sz w:val="21"/>
                <w:highlight w:val="none"/>
              </w:rPr>
            </w:pPr>
          </w:p>
        </w:tc>
        <w:tc>
          <w:tcPr>
            <w:tcW w:w="1289" w:type="dxa"/>
            <w:vAlign w:val="top"/>
          </w:tcPr>
          <w:p w14:paraId="197B2A5A">
            <w:pPr>
              <w:rPr>
                <w:rFonts w:ascii="Arial"/>
                <w:color w:val="auto"/>
                <w:sz w:val="21"/>
                <w:highlight w:val="none"/>
              </w:rPr>
            </w:pPr>
          </w:p>
        </w:tc>
        <w:tc>
          <w:tcPr>
            <w:tcW w:w="1031" w:type="dxa"/>
            <w:vAlign w:val="top"/>
          </w:tcPr>
          <w:p w14:paraId="0B403863">
            <w:pPr>
              <w:rPr>
                <w:rFonts w:ascii="Arial"/>
                <w:color w:val="auto"/>
                <w:sz w:val="21"/>
                <w:highlight w:val="none"/>
              </w:rPr>
            </w:pPr>
          </w:p>
        </w:tc>
        <w:tc>
          <w:tcPr>
            <w:tcW w:w="1434" w:type="dxa"/>
            <w:vAlign w:val="top"/>
          </w:tcPr>
          <w:p w14:paraId="1A61675D">
            <w:pPr>
              <w:rPr>
                <w:rFonts w:ascii="Arial"/>
                <w:color w:val="auto"/>
                <w:sz w:val="21"/>
                <w:highlight w:val="none"/>
              </w:rPr>
            </w:pPr>
          </w:p>
        </w:tc>
        <w:tc>
          <w:tcPr>
            <w:tcW w:w="1307" w:type="dxa"/>
            <w:vAlign w:val="top"/>
          </w:tcPr>
          <w:p w14:paraId="7702EA6C">
            <w:pPr>
              <w:rPr>
                <w:rFonts w:ascii="Arial"/>
                <w:color w:val="auto"/>
                <w:sz w:val="21"/>
                <w:highlight w:val="none"/>
              </w:rPr>
            </w:pPr>
          </w:p>
        </w:tc>
        <w:tc>
          <w:tcPr>
            <w:tcW w:w="1140" w:type="dxa"/>
            <w:vAlign w:val="top"/>
          </w:tcPr>
          <w:p w14:paraId="0828EC86">
            <w:pPr>
              <w:rPr>
                <w:rFonts w:ascii="Arial"/>
                <w:color w:val="auto"/>
                <w:sz w:val="21"/>
                <w:highlight w:val="none"/>
              </w:rPr>
            </w:pPr>
          </w:p>
        </w:tc>
        <w:tc>
          <w:tcPr>
            <w:tcW w:w="796" w:type="dxa"/>
            <w:vAlign w:val="top"/>
          </w:tcPr>
          <w:p w14:paraId="0A57DA8C">
            <w:pPr>
              <w:rPr>
                <w:rFonts w:ascii="Arial"/>
                <w:color w:val="auto"/>
                <w:sz w:val="21"/>
                <w:highlight w:val="none"/>
              </w:rPr>
            </w:pPr>
          </w:p>
        </w:tc>
        <w:tc>
          <w:tcPr>
            <w:tcW w:w="742" w:type="dxa"/>
            <w:vAlign w:val="top"/>
          </w:tcPr>
          <w:p w14:paraId="22D392F8">
            <w:pPr>
              <w:rPr>
                <w:rFonts w:ascii="Arial"/>
                <w:color w:val="auto"/>
                <w:sz w:val="21"/>
                <w:highlight w:val="none"/>
              </w:rPr>
            </w:pPr>
          </w:p>
        </w:tc>
        <w:tc>
          <w:tcPr>
            <w:tcW w:w="1723" w:type="dxa"/>
            <w:vAlign w:val="top"/>
          </w:tcPr>
          <w:p w14:paraId="1BB92108">
            <w:pPr>
              <w:rPr>
                <w:rFonts w:ascii="Arial"/>
                <w:color w:val="auto"/>
                <w:sz w:val="21"/>
                <w:highlight w:val="none"/>
              </w:rPr>
            </w:pPr>
          </w:p>
        </w:tc>
        <w:tc>
          <w:tcPr>
            <w:tcW w:w="1031" w:type="dxa"/>
            <w:vAlign w:val="top"/>
          </w:tcPr>
          <w:p w14:paraId="224E163E">
            <w:pPr>
              <w:rPr>
                <w:rFonts w:ascii="Arial"/>
                <w:color w:val="auto"/>
                <w:sz w:val="21"/>
                <w:highlight w:val="none"/>
              </w:rPr>
            </w:pPr>
          </w:p>
        </w:tc>
        <w:tc>
          <w:tcPr>
            <w:tcW w:w="1842" w:type="dxa"/>
            <w:vAlign w:val="top"/>
          </w:tcPr>
          <w:p w14:paraId="3C0533AE">
            <w:pPr>
              <w:rPr>
                <w:rFonts w:ascii="Arial"/>
                <w:color w:val="auto"/>
                <w:sz w:val="21"/>
                <w:highlight w:val="none"/>
              </w:rPr>
            </w:pPr>
          </w:p>
        </w:tc>
      </w:tr>
      <w:tr w14:paraId="63E0CE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632" w:type="dxa"/>
            <w:vAlign w:val="top"/>
          </w:tcPr>
          <w:p w14:paraId="5B60F002">
            <w:pPr>
              <w:rPr>
                <w:rFonts w:ascii="Arial"/>
                <w:color w:val="auto"/>
                <w:sz w:val="21"/>
                <w:highlight w:val="none"/>
              </w:rPr>
            </w:pPr>
          </w:p>
        </w:tc>
        <w:tc>
          <w:tcPr>
            <w:tcW w:w="1031" w:type="dxa"/>
            <w:vAlign w:val="top"/>
          </w:tcPr>
          <w:p w14:paraId="09FAD395">
            <w:pPr>
              <w:rPr>
                <w:rFonts w:ascii="Arial"/>
                <w:color w:val="auto"/>
                <w:sz w:val="21"/>
                <w:highlight w:val="none"/>
              </w:rPr>
            </w:pPr>
          </w:p>
        </w:tc>
        <w:tc>
          <w:tcPr>
            <w:tcW w:w="1289" w:type="dxa"/>
            <w:vAlign w:val="top"/>
          </w:tcPr>
          <w:p w14:paraId="78DB261A">
            <w:pPr>
              <w:rPr>
                <w:rFonts w:ascii="Arial"/>
                <w:color w:val="auto"/>
                <w:sz w:val="21"/>
                <w:highlight w:val="none"/>
              </w:rPr>
            </w:pPr>
          </w:p>
        </w:tc>
        <w:tc>
          <w:tcPr>
            <w:tcW w:w="1031" w:type="dxa"/>
            <w:vAlign w:val="top"/>
          </w:tcPr>
          <w:p w14:paraId="219CD2CC">
            <w:pPr>
              <w:rPr>
                <w:rFonts w:ascii="Arial"/>
                <w:color w:val="auto"/>
                <w:sz w:val="21"/>
                <w:highlight w:val="none"/>
              </w:rPr>
            </w:pPr>
          </w:p>
        </w:tc>
        <w:tc>
          <w:tcPr>
            <w:tcW w:w="1434" w:type="dxa"/>
            <w:vAlign w:val="top"/>
          </w:tcPr>
          <w:p w14:paraId="696C6BB2">
            <w:pPr>
              <w:rPr>
                <w:rFonts w:ascii="Arial"/>
                <w:color w:val="auto"/>
                <w:sz w:val="21"/>
                <w:highlight w:val="none"/>
              </w:rPr>
            </w:pPr>
          </w:p>
        </w:tc>
        <w:tc>
          <w:tcPr>
            <w:tcW w:w="1307" w:type="dxa"/>
            <w:vAlign w:val="top"/>
          </w:tcPr>
          <w:p w14:paraId="217F504A">
            <w:pPr>
              <w:rPr>
                <w:rFonts w:ascii="Arial"/>
                <w:color w:val="auto"/>
                <w:sz w:val="21"/>
                <w:highlight w:val="none"/>
              </w:rPr>
            </w:pPr>
          </w:p>
        </w:tc>
        <w:tc>
          <w:tcPr>
            <w:tcW w:w="1140" w:type="dxa"/>
            <w:vAlign w:val="top"/>
          </w:tcPr>
          <w:p w14:paraId="5697855F">
            <w:pPr>
              <w:rPr>
                <w:rFonts w:ascii="Arial"/>
                <w:color w:val="auto"/>
                <w:sz w:val="21"/>
                <w:highlight w:val="none"/>
              </w:rPr>
            </w:pPr>
          </w:p>
        </w:tc>
        <w:tc>
          <w:tcPr>
            <w:tcW w:w="796" w:type="dxa"/>
            <w:vAlign w:val="top"/>
          </w:tcPr>
          <w:p w14:paraId="3BE5EE21">
            <w:pPr>
              <w:rPr>
                <w:rFonts w:ascii="Arial"/>
                <w:color w:val="auto"/>
                <w:sz w:val="21"/>
                <w:highlight w:val="none"/>
              </w:rPr>
            </w:pPr>
          </w:p>
        </w:tc>
        <w:tc>
          <w:tcPr>
            <w:tcW w:w="742" w:type="dxa"/>
            <w:vAlign w:val="top"/>
          </w:tcPr>
          <w:p w14:paraId="377A2015">
            <w:pPr>
              <w:rPr>
                <w:rFonts w:ascii="Arial"/>
                <w:color w:val="auto"/>
                <w:sz w:val="21"/>
                <w:highlight w:val="none"/>
              </w:rPr>
            </w:pPr>
          </w:p>
        </w:tc>
        <w:tc>
          <w:tcPr>
            <w:tcW w:w="1723" w:type="dxa"/>
            <w:vAlign w:val="top"/>
          </w:tcPr>
          <w:p w14:paraId="4CA29A0B">
            <w:pPr>
              <w:rPr>
                <w:rFonts w:ascii="Arial"/>
                <w:color w:val="auto"/>
                <w:sz w:val="21"/>
                <w:highlight w:val="none"/>
              </w:rPr>
            </w:pPr>
          </w:p>
        </w:tc>
        <w:tc>
          <w:tcPr>
            <w:tcW w:w="1031" w:type="dxa"/>
            <w:vAlign w:val="top"/>
          </w:tcPr>
          <w:p w14:paraId="7785866C">
            <w:pPr>
              <w:rPr>
                <w:rFonts w:ascii="Arial"/>
                <w:color w:val="auto"/>
                <w:sz w:val="21"/>
                <w:highlight w:val="none"/>
              </w:rPr>
            </w:pPr>
          </w:p>
        </w:tc>
        <w:tc>
          <w:tcPr>
            <w:tcW w:w="1842" w:type="dxa"/>
            <w:vAlign w:val="top"/>
          </w:tcPr>
          <w:p w14:paraId="66525665">
            <w:pPr>
              <w:rPr>
                <w:rFonts w:ascii="Arial"/>
                <w:color w:val="auto"/>
                <w:sz w:val="21"/>
                <w:highlight w:val="none"/>
              </w:rPr>
            </w:pPr>
          </w:p>
        </w:tc>
      </w:tr>
    </w:tbl>
    <w:p w14:paraId="248691D5">
      <w:pPr>
        <w:rPr>
          <w:rFonts w:ascii="Arial"/>
          <w:color w:val="auto"/>
          <w:sz w:val="21"/>
          <w:highlight w:val="none"/>
        </w:rPr>
      </w:pPr>
    </w:p>
    <w:p w14:paraId="33BB8706">
      <w:pPr>
        <w:rPr>
          <w:rFonts w:ascii="Arial" w:hAnsi="Arial" w:eastAsia="Arial" w:cs="Arial"/>
          <w:color w:val="auto"/>
          <w:sz w:val="21"/>
          <w:szCs w:val="21"/>
          <w:highlight w:val="none"/>
        </w:rPr>
        <w:sectPr>
          <w:footerReference r:id="rId93" w:type="default"/>
          <w:pgSz w:w="16839" w:h="11906"/>
          <w:pgMar w:top="1012" w:right="1530" w:bottom="1297" w:left="1304" w:header="0" w:footer="1067" w:gutter="0"/>
          <w:pgNumType w:fmt="decimal"/>
          <w:cols w:space="720" w:num="1"/>
        </w:sectPr>
      </w:pPr>
    </w:p>
    <w:p w14:paraId="4E8276B9">
      <w:pPr>
        <w:spacing w:before="60" w:line="219" w:lineRule="auto"/>
        <w:ind w:left="2414"/>
        <w:rPr>
          <w:rFonts w:ascii="宋体" w:hAnsi="宋体" w:eastAsia="宋体" w:cs="宋体"/>
          <w:color w:val="auto"/>
          <w:sz w:val="30"/>
          <w:szCs w:val="30"/>
          <w:highlight w:val="none"/>
        </w:rPr>
      </w:pPr>
      <w:r>
        <w:rPr>
          <w:rFonts w:ascii="宋体" w:hAnsi="宋体" w:eastAsia="宋体" w:cs="宋体"/>
          <w:b/>
          <w:bCs/>
          <w:color w:val="auto"/>
          <w:spacing w:val="-4"/>
          <w:sz w:val="30"/>
          <w:szCs w:val="30"/>
          <w:highlight w:val="none"/>
        </w:rPr>
        <w:t>（四）近年完成的类似项目情况表</w:t>
      </w:r>
    </w:p>
    <w:p w14:paraId="071F8BAD">
      <w:pPr>
        <w:spacing w:before="10"/>
        <w:rPr>
          <w:color w:val="auto"/>
          <w:highlight w:val="none"/>
        </w:rPr>
      </w:pPr>
    </w:p>
    <w:p w14:paraId="77F26E17">
      <w:pPr>
        <w:spacing w:before="9"/>
        <w:rPr>
          <w:color w:val="auto"/>
          <w:highlight w:val="none"/>
        </w:rPr>
      </w:pPr>
    </w:p>
    <w:tbl>
      <w:tblPr>
        <w:tblStyle w:val="17"/>
        <w:tblW w:w="889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70"/>
        <w:gridCol w:w="6525"/>
      </w:tblGrid>
      <w:tr w14:paraId="47581D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2370" w:type="dxa"/>
            <w:vAlign w:val="top"/>
          </w:tcPr>
          <w:p w14:paraId="18673F48">
            <w:pPr>
              <w:pStyle w:val="18"/>
              <w:spacing w:before="274" w:line="229" w:lineRule="auto"/>
              <w:ind w:left="769"/>
              <w:rPr>
                <w:color w:val="auto"/>
                <w:highlight w:val="none"/>
              </w:rPr>
            </w:pPr>
            <w:r>
              <w:rPr>
                <w:color w:val="auto"/>
                <w:highlight w:val="none"/>
              </w:rPr>
              <w:t>序</w:t>
            </w:r>
            <w:r>
              <w:rPr>
                <w:color w:val="auto"/>
                <w:spacing w:val="9"/>
                <w:highlight w:val="none"/>
              </w:rPr>
              <w:t xml:space="preserve">    </w:t>
            </w:r>
            <w:r>
              <w:rPr>
                <w:color w:val="auto"/>
                <w:highlight w:val="none"/>
              </w:rPr>
              <w:t>号</w:t>
            </w:r>
          </w:p>
        </w:tc>
        <w:tc>
          <w:tcPr>
            <w:tcW w:w="6525" w:type="dxa"/>
            <w:vAlign w:val="top"/>
          </w:tcPr>
          <w:p w14:paraId="602911C1">
            <w:pPr>
              <w:rPr>
                <w:rFonts w:ascii="Arial"/>
                <w:color w:val="auto"/>
                <w:sz w:val="21"/>
                <w:highlight w:val="none"/>
              </w:rPr>
            </w:pPr>
          </w:p>
        </w:tc>
      </w:tr>
      <w:tr w14:paraId="21868E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370" w:type="dxa"/>
            <w:vAlign w:val="top"/>
          </w:tcPr>
          <w:p w14:paraId="653D4EA9">
            <w:pPr>
              <w:pStyle w:val="18"/>
              <w:spacing w:before="270" w:line="228" w:lineRule="auto"/>
              <w:ind w:left="773"/>
              <w:rPr>
                <w:color w:val="auto"/>
                <w:highlight w:val="none"/>
              </w:rPr>
            </w:pPr>
            <w:r>
              <w:rPr>
                <w:color w:val="auto"/>
                <w:spacing w:val="6"/>
                <w:highlight w:val="none"/>
              </w:rPr>
              <w:t>项目名称</w:t>
            </w:r>
          </w:p>
        </w:tc>
        <w:tc>
          <w:tcPr>
            <w:tcW w:w="6525" w:type="dxa"/>
            <w:vAlign w:val="top"/>
          </w:tcPr>
          <w:p w14:paraId="1FB58779">
            <w:pPr>
              <w:rPr>
                <w:rFonts w:ascii="Arial"/>
                <w:color w:val="auto"/>
                <w:sz w:val="21"/>
                <w:highlight w:val="none"/>
              </w:rPr>
            </w:pPr>
          </w:p>
        </w:tc>
      </w:tr>
      <w:tr w14:paraId="6DFB95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370" w:type="dxa"/>
            <w:vAlign w:val="top"/>
          </w:tcPr>
          <w:p w14:paraId="572DD2A5">
            <w:pPr>
              <w:pStyle w:val="18"/>
              <w:spacing w:before="272" w:line="228" w:lineRule="auto"/>
              <w:ind w:left="670"/>
              <w:rPr>
                <w:color w:val="auto"/>
                <w:highlight w:val="none"/>
              </w:rPr>
            </w:pPr>
            <w:r>
              <w:rPr>
                <w:color w:val="auto"/>
                <w:spacing w:val="7"/>
                <w:highlight w:val="none"/>
              </w:rPr>
              <w:t>项目所在地</w:t>
            </w:r>
          </w:p>
        </w:tc>
        <w:tc>
          <w:tcPr>
            <w:tcW w:w="6525" w:type="dxa"/>
            <w:vAlign w:val="top"/>
          </w:tcPr>
          <w:p w14:paraId="06F3064F">
            <w:pPr>
              <w:rPr>
                <w:rFonts w:ascii="Arial"/>
                <w:color w:val="auto"/>
                <w:sz w:val="21"/>
                <w:highlight w:val="none"/>
              </w:rPr>
            </w:pPr>
          </w:p>
        </w:tc>
      </w:tr>
      <w:tr w14:paraId="3D9217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14:paraId="45A82529">
            <w:pPr>
              <w:pStyle w:val="18"/>
              <w:spacing w:before="271" w:line="229" w:lineRule="auto"/>
              <w:ind w:left="666"/>
              <w:rPr>
                <w:color w:val="auto"/>
                <w:highlight w:val="none"/>
              </w:rPr>
            </w:pPr>
            <w:r>
              <w:rPr>
                <w:color w:val="auto"/>
                <w:spacing w:val="8"/>
                <w:highlight w:val="none"/>
              </w:rPr>
              <w:t>委托人名称</w:t>
            </w:r>
          </w:p>
        </w:tc>
        <w:tc>
          <w:tcPr>
            <w:tcW w:w="6525" w:type="dxa"/>
            <w:vAlign w:val="top"/>
          </w:tcPr>
          <w:p w14:paraId="6D717122">
            <w:pPr>
              <w:rPr>
                <w:rFonts w:ascii="Arial"/>
                <w:color w:val="auto"/>
                <w:sz w:val="21"/>
                <w:highlight w:val="none"/>
              </w:rPr>
            </w:pPr>
          </w:p>
        </w:tc>
      </w:tr>
      <w:tr w14:paraId="53704C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370" w:type="dxa"/>
            <w:vAlign w:val="top"/>
          </w:tcPr>
          <w:p w14:paraId="32688BD0">
            <w:pPr>
              <w:pStyle w:val="18"/>
              <w:spacing w:before="272" w:line="229" w:lineRule="auto"/>
              <w:ind w:left="666"/>
              <w:rPr>
                <w:color w:val="auto"/>
                <w:highlight w:val="none"/>
              </w:rPr>
            </w:pPr>
            <w:r>
              <w:rPr>
                <w:color w:val="auto"/>
                <w:spacing w:val="8"/>
                <w:highlight w:val="none"/>
              </w:rPr>
              <w:t>委托人地址</w:t>
            </w:r>
          </w:p>
        </w:tc>
        <w:tc>
          <w:tcPr>
            <w:tcW w:w="6525" w:type="dxa"/>
            <w:vAlign w:val="top"/>
          </w:tcPr>
          <w:p w14:paraId="6959C912">
            <w:pPr>
              <w:rPr>
                <w:rFonts w:ascii="Arial"/>
                <w:color w:val="auto"/>
                <w:sz w:val="21"/>
                <w:highlight w:val="none"/>
              </w:rPr>
            </w:pPr>
          </w:p>
        </w:tc>
      </w:tr>
      <w:tr w14:paraId="47DF23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370" w:type="dxa"/>
            <w:vAlign w:val="top"/>
          </w:tcPr>
          <w:p w14:paraId="5B623288">
            <w:pPr>
              <w:pStyle w:val="18"/>
              <w:spacing w:before="272" w:line="229" w:lineRule="auto"/>
              <w:ind w:left="666"/>
              <w:rPr>
                <w:color w:val="auto"/>
                <w:highlight w:val="none"/>
              </w:rPr>
            </w:pPr>
            <w:r>
              <w:rPr>
                <w:color w:val="auto"/>
                <w:spacing w:val="8"/>
                <w:highlight w:val="none"/>
              </w:rPr>
              <w:t>委托人电话</w:t>
            </w:r>
          </w:p>
        </w:tc>
        <w:tc>
          <w:tcPr>
            <w:tcW w:w="6525" w:type="dxa"/>
            <w:vAlign w:val="top"/>
          </w:tcPr>
          <w:p w14:paraId="4E7F3EFB">
            <w:pPr>
              <w:rPr>
                <w:rFonts w:ascii="Arial"/>
                <w:color w:val="auto"/>
                <w:sz w:val="21"/>
                <w:highlight w:val="none"/>
              </w:rPr>
            </w:pPr>
          </w:p>
        </w:tc>
      </w:tr>
      <w:tr w14:paraId="7B469E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370" w:type="dxa"/>
            <w:vAlign w:val="top"/>
          </w:tcPr>
          <w:p w14:paraId="7660BF48">
            <w:pPr>
              <w:pStyle w:val="18"/>
              <w:spacing w:before="272" w:line="228" w:lineRule="auto"/>
              <w:ind w:left="773"/>
              <w:rPr>
                <w:color w:val="auto"/>
                <w:highlight w:val="none"/>
              </w:rPr>
            </w:pPr>
            <w:r>
              <w:rPr>
                <w:color w:val="auto"/>
                <w:spacing w:val="6"/>
                <w:highlight w:val="none"/>
              </w:rPr>
              <w:t>项目等级</w:t>
            </w:r>
          </w:p>
        </w:tc>
        <w:tc>
          <w:tcPr>
            <w:tcW w:w="6525" w:type="dxa"/>
            <w:vAlign w:val="top"/>
          </w:tcPr>
          <w:p w14:paraId="7B67AEF0">
            <w:pPr>
              <w:rPr>
                <w:rFonts w:ascii="Arial"/>
                <w:color w:val="auto"/>
                <w:sz w:val="21"/>
                <w:highlight w:val="none"/>
              </w:rPr>
            </w:pPr>
          </w:p>
        </w:tc>
      </w:tr>
      <w:tr w14:paraId="2CC63A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370" w:type="dxa"/>
            <w:vAlign w:val="top"/>
          </w:tcPr>
          <w:p w14:paraId="791D628D">
            <w:pPr>
              <w:pStyle w:val="18"/>
              <w:spacing w:before="272" w:line="228" w:lineRule="auto"/>
              <w:ind w:left="670"/>
              <w:rPr>
                <w:color w:val="auto"/>
                <w:highlight w:val="none"/>
              </w:rPr>
            </w:pPr>
            <w:r>
              <w:rPr>
                <w:color w:val="auto"/>
                <w:spacing w:val="7"/>
                <w:highlight w:val="none"/>
              </w:rPr>
              <w:t>项目总投资</w:t>
            </w:r>
          </w:p>
        </w:tc>
        <w:tc>
          <w:tcPr>
            <w:tcW w:w="6525" w:type="dxa"/>
            <w:vAlign w:val="top"/>
          </w:tcPr>
          <w:p w14:paraId="66C43242">
            <w:pPr>
              <w:rPr>
                <w:rFonts w:ascii="Arial"/>
                <w:color w:val="auto"/>
                <w:sz w:val="21"/>
                <w:highlight w:val="none"/>
              </w:rPr>
            </w:pPr>
          </w:p>
        </w:tc>
      </w:tr>
      <w:tr w14:paraId="40B1FE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370" w:type="dxa"/>
            <w:vAlign w:val="top"/>
          </w:tcPr>
          <w:p w14:paraId="07FC86E7">
            <w:pPr>
              <w:pStyle w:val="18"/>
              <w:spacing w:before="273" w:line="228" w:lineRule="auto"/>
              <w:ind w:left="667"/>
              <w:rPr>
                <w:color w:val="auto"/>
                <w:highlight w:val="none"/>
              </w:rPr>
            </w:pPr>
            <w:r>
              <w:rPr>
                <w:color w:val="auto"/>
                <w:spacing w:val="7"/>
                <w:highlight w:val="none"/>
              </w:rPr>
              <w:t>监理服务费</w:t>
            </w:r>
          </w:p>
        </w:tc>
        <w:tc>
          <w:tcPr>
            <w:tcW w:w="6525" w:type="dxa"/>
            <w:vAlign w:val="top"/>
          </w:tcPr>
          <w:p w14:paraId="65E83377">
            <w:pPr>
              <w:rPr>
                <w:rFonts w:ascii="Arial"/>
                <w:color w:val="auto"/>
                <w:sz w:val="21"/>
                <w:highlight w:val="none"/>
              </w:rPr>
            </w:pPr>
          </w:p>
        </w:tc>
      </w:tr>
      <w:tr w14:paraId="7AAD3B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370" w:type="dxa"/>
            <w:vAlign w:val="top"/>
          </w:tcPr>
          <w:p w14:paraId="4BAA6553">
            <w:pPr>
              <w:pStyle w:val="18"/>
              <w:spacing w:before="273" w:line="228" w:lineRule="auto"/>
              <w:ind w:left="562"/>
              <w:rPr>
                <w:color w:val="auto"/>
                <w:highlight w:val="none"/>
              </w:rPr>
            </w:pPr>
            <w:r>
              <w:rPr>
                <w:color w:val="auto"/>
                <w:spacing w:val="8"/>
                <w:highlight w:val="none"/>
              </w:rPr>
              <w:t>监理服务期限</w:t>
            </w:r>
          </w:p>
        </w:tc>
        <w:tc>
          <w:tcPr>
            <w:tcW w:w="6525" w:type="dxa"/>
            <w:vAlign w:val="top"/>
          </w:tcPr>
          <w:p w14:paraId="7810B5D1">
            <w:pPr>
              <w:rPr>
                <w:rFonts w:ascii="Arial"/>
                <w:color w:val="auto"/>
                <w:sz w:val="21"/>
                <w:highlight w:val="none"/>
              </w:rPr>
            </w:pPr>
          </w:p>
        </w:tc>
      </w:tr>
      <w:tr w14:paraId="6827F6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370" w:type="dxa"/>
            <w:vAlign w:val="top"/>
          </w:tcPr>
          <w:p w14:paraId="0352E270">
            <w:pPr>
              <w:pStyle w:val="18"/>
              <w:spacing w:before="273" w:line="228" w:lineRule="auto"/>
              <w:ind w:left="770"/>
              <w:rPr>
                <w:color w:val="auto"/>
                <w:highlight w:val="none"/>
              </w:rPr>
            </w:pPr>
            <w:r>
              <w:rPr>
                <w:color w:val="auto"/>
                <w:spacing w:val="7"/>
                <w:highlight w:val="none"/>
              </w:rPr>
              <w:t>监理内容</w:t>
            </w:r>
          </w:p>
        </w:tc>
        <w:tc>
          <w:tcPr>
            <w:tcW w:w="6525" w:type="dxa"/>
            <w:vAlign w:val="top"/>
          </w:tcPr>
          <w:p w14:paraId="66750BA0">
            <w:pPr>
              <w:rPr>
                <w:rFonts w:ascii="Arial"/>
                <w:color w:val="auto"/>
                <w:sz w:val="21"/>
                <w:highlight w:val="none"/>
              </w:rPr>
            </w:pPr>
          </w:p>
        </w:tc>
      </w:tr>
      <w:tr w14:paraId="169C21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4" w:hRule="atLeast"/>
        </w:trPr>
        <w:tc>
          <w:tcPr>
            <w:tcW w:w="2370" w:type="dxa"/>
            <w:vAlign w:val="top"/>
          </w:tcPr>
          <w:p w14:paraId="4AACE59A">
            <w:pPr>
              <w:pStyle w:val="18"/>
              <w:spacing w:before="161" w:line="292" w:lineRule="auto"/>
              <w:ind w:left="771" w:right="134" w:hanging="625"/>
              <w:rPr>
                <w:color w:val="auto"/>
                <w:highlight w:val="none"/>
              </w:rPr>
            </w:pPr>
            <w:r>
              <w:rPr>
                <w:color w:val="auto"/>
                <w:spacing w:val="8"/>
                <w:highlight w:val="none"/>
              </w:rPr>
              <w:t>总监理工程师或驻地监</w:t>
            </w:r>
            <w:r>
              <w:rPr>
                <w:color w:val="auto"/>
                <w:spacing w:val="6"/>
                <w:highlight w:val="none"/>
              </w:rPr>
              <w:t>理工程师</w:t>
            </w:r>
          </w:p>
        </w:tc>
        <w:tc>
          <w:tcPr>
            <w:tcW w:w="6525" w:type="dxa"/>
            <w:vAlign w:val="top"/>
          </w:tcPr>
          <w:p w14:paraId="2C5A11F3">
            <w:pPr>
              <w:rPr>
                <w:rFonts w:ascii="Arial"/>
                <w:color w:val="auto"/>
                <w:sz w:val="21"/>
                <w:highlight w:val="none"/>
              </w:rPr>
            </w:pPr>
          </w:p>
        </w:tc>
      </w:tr>
      <w:tr w14:paraId="0559EC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3" w:hRule="atLeast"/>
        </w:trPr>
        <w:tc>
          <w:tcPr>
            <w:tcW w:w="2370" w:type="dxa"/>
            <w:vAlign w:val="top"/>
          </w:tcPr>
          <w:p w14:paraId="6812F82E">
            <w:pPr>
              <w:spacing w:line="306" w:lineRule="auto"/>
              <w:rPr>
                <w:rFonts w:ascii="Arial"/>
                <w:color w:val="auto"/>
                <w:sz w:val="21"/>
                <w:highlight w:val="none"/>
              </w:rPr>
            </w:pPr>
          </w:p>
          <w:p w14:paraId="5DB9E080">
            <w:pPr>
              <w:spacing w:line="306" w:lineRule="auto"/>
              <w:rPr>
                <w:rFonts w:ascii="Arial"/>
                <w:color w:val="auto"/>
                <w:sz w:val="21"/>
                <w:highlight w:val="none"/>
              </w:rPr>
            </w:pPr>
          </w:p>
          <w:p w14:paraId="00D865A5">
            <w:pPr>
              <w:pStyle w:val="18"/>
              <w:spacing w:before="65" w:line="228" w:lineRule="auto"/>
              <w:ind w:left="773"/>
              <w:rPr>
                <w:color w:val="auto"/>
                <w:highlight w:val="none"/>
              </w:rPr>
            </w:pPr>
            <w:r>
              <w:rPr>
                <w:color w:val="auto"/>
                <w:spacing w:val="6"/>
                <w:highlight w:val="none"/>
              </w:rPr>
              <w:t>项目描述</w:t>
            </w:r>
          </w:p>
        </w:tc>
        <w:tc>
          <w:tcPr>
            <w:tcW w:w="6525" w:type="dxa"/>
            <w:vAlign w:val="top"/>
          </w:tcPr>
          <w:p w14:paraId="2549E74C">
            <w:pPr>
              <w:rPr>
                <w:rFonts w:ascii="Arial"/>
                <w:color w:val="auto"/>
                <w:sz w:val="21"/>
                <w:highlight w:val="none"/>
              </w:rPr>
            </w:pPr>
          </w:p>
        </w:tc>
      </w:tr>
      <w:tr w14:paraId="1A32C5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9" w:hRule="atLeast"/>
        </w:trPr>
        <w:tc>
          <w:tcPr>
            <w:tcW w:w="2370" w:type="dxa"/>
            <w:vAlign w:val="top"/>
          </w:tcPr>
          <w:p w14:paraId="2C94FEBB">
            <w:pPr>
              <w:spacing w:line="296" w:lineRule="auto"/>
              <w:rPr>
                <w:rFonts w:ascii="Arial"/>
                <w:color w:val="auto"/>
                <w:sz w:val="21"/>
                <w:highlight w:val="none"/>
              </w:rPr>
            </w:pPr>
          </w:p>
          <w:p w14:paraId="30773C18">
            <w:pPr>
              <w:pStyle w:val="18"/>
              <w:spacing w:before="65" w:line="229" w:lineRule="auto"/>
              <w:ind w:left="983"/>
              <w:rPr>
                <w:color w:val="auto"/>
                <w:highlight w:val="none"/>
              </w:rPr>
            </w:pPr>
            <w:r>
              <w:rPr>
                <w:color w:val="auto"/>
                <w:spacing w:val="3"/>
                <w:highlight w:val="none"/>
              </w:rPr>
              <w:t>备注</w:t>
            </w:r>
          </w:p>
        </w:tc>
        <w:tc>
          <w:tcPr>
            <w:tcW w:w="6525" w:type="dxa"/>
            <w:vAlign w:val="top"/>
          </w:tcPr>
          <w:p w14:paraId="2EEE4463">
            <w:pPr>
              <w:rPr>
                <w:rFonts w:ascii="Arial"/>
                <w:color w:val="auto"/>
                <w:sz w:val="21"/>
                <w:highlight w:val="none"/>
              </w:rPr>
            </w:pPr>
          </w:p>
        </w:tc>
      </w:tr>
    </w:tbl>
    <w:p w14:paraId="536A8B19">
      <w:pPr>
        <w:spacing w:before="30" w:line="228" w:lineRule="auto"/>
        <w:ind w:left="119"/>
        <w:rPr>
          <w:rFonts w:ascii="宋体" w:hAnsi="宋体" w:eastAsia="宋体" w:cs="宋体"/>
          <w:color w:val="auto"/>
          <w:sz w:val="20"/>
          <w:szCs w:val="20"/>
          <w:highlight w:val="none"/>
        </w:rPr>
      </w:pPr>
      <w:r>
        <w:rPr>
          <w:rFonts w:ascii="宋体" w:hAnsi="宋体" w:eastAsia="宋体" w:cs="宋体"/>
          <w:color w:val="auto"/>
          <w:spacing w:val="9"/>
          <w:sz w:val="20"/>
          <w:szCs w:val="20"/>
          <w:highlight w:val="none"/>
        </w:rPr>
        <w:t>注：1.每张表格只填写一个项目，并标明序号，序号应与汇总表中一致。</w:t>
      </w:r>
    </w:p>
    <w:p w14:paraId="054F75A2">
      <w:pPr>
        <w:spacing w:before="161" w:line="227" w:lineRule="auto"/>
        <w:ind w:left="542"/>
        <w:rPr>
          <w:rFonts w:ascii="宋体" w:hAnsi="宋体" w:eastAsia="宋体" w:cs="宋体"/>
          <w:color w:val="auto"/>
          <w:sz w:val="20"/>
          <w:szCs w:val="20"/>
          <w:highlight w:val="none"/>
        </w:rPr>
      </w:pPr>
      <w:r>
        <w:rPr>
          <w:rFonts w:ascii="宋体" w:hAnsi="宋体" w:eastAsia="宋体" w:cs="宋体"/>
          <w:color w:val="auto"/>
          <w:spacing w:val="8"/>
          <w:sz w:val="20"/>
          <w:szCs w:val="20"/>
          <w:highlight w:val="none"/>
        </w:rPr>
        <w:t>2.投标人应根据招标文件第二章“投标人须知</w:t>
      </w:r>
      <w:r>
        <w:rPr>
          <w:rFonts w:ascii="宋体" w:hAnsi="宋体" w:eastAsia="宋体" w:cs="宋体"/>
          <w:color w:val="auto"/>
          <w:spacing w:val="-72"/>
          <w:sz w:val="20"/>
          <w:szCs w:val="20"/>
          <w:highlight w:val="none"/>
        </w:rPr>
        <w:t xml:space="preserve"> </w:t>
      </w:r>
      <w:r>
        <w:rPr>
          <w:rFonts w:ascii="宋体" w:hAnsi="宋体" w:eastAsia="宋体" w:cs="宋体"/>
          <w:color w:val="auto"/>
          <w:spacing w:val="8"/>
          <w:sz w:val="20"/>
          <w:szCs w:val="20"/>
          <w:highlight w:val="none"/>
        </w:rPr>
        <w:t>”</w:t>
      </w:r>
      <w:r>
        <w:rPr>
          <w:rFonts w:ascii="宋体" w:hAnsi="宋体" w:eastAsia="宋体" w:cs="宋体"/>
          <w:color w:val="auto"/>
          <w:spacing w:val="7"/>
          <w:sz w:val="20"/>
          <w:szCs w:val="20"/>
          <w:highlight w:val="none"/>
        </w:rPr>
        <w:t>第</w:t>
      </w:r>
      <w:r>
        <w:rPr>
          <w:rFonts w:ascii="宋体" w:hAnsi="宋体" w:eastAsia="宋体" w:cs="宋体"/>
          <w:color w:val="auto"/>
          <w:spacing w:val="-35"/>
          <w:sz w:val="20"/>
          <w:szCs w:val="20"/>
          <w:highlight w:val="none"/>
        </w:rPr>
        <w:t xml:space="preserve"> </w:t>
      </w:r>
      <w:r>
        <w:rPr>
          <w:rFonts w:ascii="宋体" w:hAnsi="宋体" w:eastAsia="宋体" w:cs="宋体"/>
          <w:color w:val="auto"/>
          <w:spacing w:val="7"/>
          <w:sz w:val="20"/>
          <w:szCs w:val="20"/>
          <w:highlight w:val="none"/>
        </w:rPr>
        <w:t>3.5.2</w:t>
      </w:r>
      <w:r>
        <w:rPr>
          <w:rFonts w:ascii="宋体" w:hAnsi="宋体" w:eastAsia="宋体" w:cs="宋体"/>
          <w:color w:val="auto"/>
          <w:spacing w:val="-35"/>
          <w:sz w:val="20"/>
          <w:szCs w:val="20"/>
          <w:highlight w:val="none"/>
        </w:rPr>
        <w:t xml:space="preserve"> </w:t>
      </w:r>
      <w:r>
        <w:rPr>
          <w:rFonts w:ascii="宋体" w:hAnsi="宋体" w:eastAsia="宋体" w:cs="宋体"/>
          <w:color w:val="auto"/>
          <w:spacing w:val="7"/>
          <w:sz w:val="20"/>
          <w:szCs w:val="20"/>
          <w:highlight w:val="none"/>
        </w:rPr>
        <w:t>项的要求在本表后附相关证明材料。</w:t>
      </w:r>
    </w:p>
    <w:p w14:paraId="56EBEAAC">
      <w:pPr>
        <w:spacing w:before="162" w:line="303" w:lineRule="auto"/>
        <w:ind w:left="706" w:hanging="162"/>
        <w:rPr>
          <w:rFonts w:ascii="宋体" w:hAnsi="宋体" w:eastAsia="宋体" w:cs="宋体"/>
          <w:color w:val="auto"/>
          <w:sz w:val="20"/>
          <w:szCs w:val="20"/>
          <w:highlight w:val="none"/>
        </w:rPr>
      </w:pPr>
      <w:r>
        <w:rPr>
          <w:rFonts w:ascii="宋体" w:hAnsi="宋体" w:eastAsia="宋体" w:cs="宋体"/>
          <w:color w:val="auto"/>
          <w:spacing w:val="10"/>
          <w:sz w:val="20"/>
          <w:szCs w:val="20"/>
          <w:highlight w:val="none"/>
        </w:rPr>
        <w:t>3.如近年来，投标人法人机构发生合法变更或重组或法人名称变更时，应提供相关部门的合法</w:t>
      </w:r>
      <w:r>
        <w:rPr>
          <w:rFonts w:ascii="宋体" w:hAnsi="宋体" w:eastAsia="宋体" w:cs="宋体"/>
          <w:color w:val="auto"/>
          <w:spacing w:val="9"/>
          <w:sz w:val="20"/>
          <w:szCs w:val="20"/>
          <w:highlight w:val="none"/>
        </w:rPr>
        <w:t>批件或其他相关证明材料来证明其所附业绩的继承性。</w:t>
      </w:r>
    </w:p>
    <w:p w14:paraId="5DB5F9D9">
      <w:pPr>
        <w:spacing w:before="162" w:line="228" w:lineRule="auto"/>
        <w:ind w:left="539"/>
        <w:rPr>
          <w:rFonts w:ascii="宋体" w:hAnsi="宋体" w:eastAsia="宋体" w:cs="宋体"/>
          <w:color w:val="auto"/>
          <w:sz w:val="20"/>
          <w:szCs w:val="20"/>
          <w:highlight w:val="none"/>
        </w:rPr>
      </w:pPr>
      <w:r>
        <w:rPr>
          <w:rFonts w:ascii="宋体" w:hAnsi="宋体" w:eastAsia="宋体" w:cs="宋体"/>
          <w:color w:val="auto"/>
          <w:spacing w:val="9"/>
          <w:sz w:val="20"/>
          <w:szCs w:val="20"/>
          <w:highlight w:val="none"/>
        </w:rPr>
        <w:t>4.以联合体形式参与投标的，联合体各成员应分别</w:t>
      </w:r>
      <w:r>
        <w:rPr>
          <w:rFonts w:ascii="宋体" w:hAnsi="宋体" w:eastAsia="宋体" w:cs="宋体"/>
          <w:color w:val="auto"/>
          <w:spacing w:val="8"/>
          <w:sz w:val="20"/>
          <w:szCs w:val="20"/>
          <w:highlight w:val="none"/>
        </w:rPr>
        <w:t>填写。</w:t>
      </w:r>
    </w:p>
    <w:p w14:paraId="75962051">
      <w:pPr>
        <w:spacing w:line="228" w:lineRule="auto"/>
        <w:rPr>
          <w:rFonts w:ascii="宋体" w:hAnsi="宋体" w:eastAsia="宋体" w:cs="宋体"/>
          <w:color w:val="auto"/>
          <w:sz w:val="20"/>
          <w:szCs w:val="20"/>
          <w:highlight w:val="none"/>
        </w:rPr>
        <w:sectPr>
          <w:footerReference r:id="rId94" w:type="default"/>
          <w:pgSz w:w="11906" w:h="16839"/>
          <w:pgMar w:top="1401" w:right="1418" w:bottom="1297" w:left="1304" w:header="0" w:footer="1067" w:gutter="0"/>
          <w:pgNumType w:fmt="decimal"/>
          <w:cols w:space="720" w:num="1"/>
        </w:sectPr>
      </w:pPr>
    </w:p>
    <w:p w14:paraId="023CEB20">
      <w:pPr>
        <w:spacing w:before="59" w:line="219" w:lineRule="auto"/>
        <w:ind w:left="2865"/>
        <w:rPr>
          <w:rFonts w:ascii="宋体" w:hAnsi="宋体" w:eastAsia="宋体" w:cs="宋体"/>
          <w:color w:val="auto"/>
          <w:sz w:val="30"/>
          <w:szCs w:val="30"/>
          <w:highlight w:val="none"/>
        </w:rPr>
      </w:pPr>
      <w:r>
        <w:rPr>
          <w:rFonts w:ascii="宋体" w:hAnsi="宋体" w:eastAsia="宋体" w:cs="宋体"/>
          <w:b/>
          <w:bCs/>
          <w:color w:val="auto"/>
          <w:spacing w:val="-5"/>
          <w:sz w:val="30"/>
          <w:szCs w:val="30"/>
          <w:highlight w:val="none"/>
        </w:rPr>
        <w:t>（五）投标人的信誉情况表</w:t>
      </w:r>
    </w:p>
    <w:p w14:paraId="4482AF27">
      <w:pPr>
        <w:spacing w:before="214"/>
        <w:rPr>
          <w:color w:val="auto"/>
          <w:highlight w:val="none"/>
        </w:rPr>
      </w:pPr>
    </w:p>
    <w:tbl>
      <w:tblPr>
        <w:tblStyle w:val="17"/>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263"/>
        <w:gridCol w:w="4263"/>
      </w:tblGrid>
      <w:tr w14:paraId="43FCAF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0" w:hRule="atLeast"/>
        </w:trPr>
        <w:tc>
          <w:tcPr>
            <w:tcW w:w="4263" w:type="dxa"/>
            <w:vAlign w:val="top"/>
          </w:tcPr>
          <w:p w14:paraId="4EA28644">
            <w:pPr>
              <w:spacing w:line="336" w:lineRule="auto"/>
              <w:rPr>
                <w:rFonts w:ascii="Arial"/>
                <w:color w:val="auto"/>
                <w:sz w:val="21"/>
                <w:highlight w:val="none"/>
              </w:rPr>
            </w:pPr>
          </w:p>
          <w:p w14:paraId="122AC552">
            <w:pPr>
              <w:pStyle w:val="18"/>
              <w:spacing w:before="62" w:line="229" w:lineRule="auto"/>
              <w:ind w:left="1891"/>
              <w:rPr>
                <w:color w:val="auto"/>
                <w:sz w:val="19"/>
                <w:szCs w:val="19"/>
                <w:highlight w:val="none"/>
              </w:rPr>
            </w:pPr>
            <w:r>
              <w:rPr>
                <w:color w:val="auto"/>
                <w:spacing w:val="-1"/>
                <w:sz w:val="19"/>
                <w:szCs w:val="19"/>
                <w:highlight w:val="none"/>
              </w:rPr>
              <w:t>项</w:t>
            </w:r>
            <w:r>
              <w:rPr>
                <w:color w:val="auto"/>
                <w:spacing w:val="51"/>
                <w:sz w:val="19"/>
                <w:szCs w:val="19"/>
                <w:highlight w:val="none"/>
              </w:rPr>
              <w:t xml:space="preserve"> </w:t>
            </w:r>
            <w:r>
              <w:rPr>
                <w:color w:val="auto"/>
                <w:spacing w:val="-1"/>
                <w:sz w:val="19"/>
                <w:szCs w:val="19"/>
                <w:highlight w:val="none"/>
              </w:rPr>
              <w:t>目</w:t>
            </w:r>
          </w:p>
        </w:tc>
        <w:tc>
          <w:tcPr>
            <w:tcW w:w="4263" w:type="dxa"/>
            <w:vAlign w:val="top"/>
          </w:tcPr>
          <w:p w14:paraId="27CC0058">
            <w:pPr>
              <w:spacing w:line="337" w:lineRule="auto"/>
              <w:rPr>
                <w:rFonts w:ascii="Arial"/>
                <w:color w:val="auto"/>
                <w:sz w:val="21"/>
                <w:highlight w:val="none"/>
              </w:rPr>
            </w:pPr>
          </w:p>
          <w:p w14:paraId="5D1AF34D">
            <w:pPr>
              <w:pStyle w:val="18"/>
              <w:spacing w:before="61" w:line="228" w:lineRule="auto"/>
              <w:ind w:left="1438"/>
              <w:rPr>
                <w:color w:val="auto"/>
                <w:sz w:val="19"/>
                <w:szCs w:val="19"/>
                <w:highlight w:val="none"/>
              </w:rPr>
            </w:pPr>
            <w:r>
              <w:rPr>
                <w:color w:val="auto"/>
                <w:spacing w:val="8"/>
                <w:sz w:val="19"/>
                <w:szCs w:val="19"/>
                <w:highlight w:val="none"/>
              </w:rPr>
              <w:t>投标人情况说明</w:t>
            </w:r>
          </w:p>
        </w:tc>
      </w:tr>
      <w:tr w14:paraId="791A12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5" w:hRule="atLeast"/>
        </w:trPr>
        <w:tc>
          <w:tcPr>
            <w:tcW w:w="4263" w:type="dxa"/>
            <w:vAlign w:val="top"/>
          </w:tcPr>
          <w:p w14:paraId="57E72E90">
            <w:pPr>
              <w:rPr>
                <w:rFonts w:ascii="Arial"/>
                <w:color w:val="auto"/>
                <w:sz w:val="21"/>
                <w:highlight w:val="none"/>
              </w:rPr>
            </w:pPr>
          </w:p>
        </w:tc>
        <w:tc>
          <w:tcPr>
            <w:tcW w:w="4263" w:type="dxa"/>
            <w:vAlign w:val="top"/>
          </w:tcPr>
          <w:p w14:paraId="0A19AC68">
            <w:pPr>
              <w:rPr>
                <w:rFonts w:ascii="Arial"/>
                <w:color w:val="auto"/>
                <w:sz w:val="21"/>
                <w:highlight w:val="none"/>
              </w:rPr>
            </w:pPr>
          </w:p>
        </w:tc>
      </w:tr>
      <w:tr w14:paraId="120296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5" w:hRule="atLeast"/>
        </w:trPr>
        <w:tc>
          <w:tcPr>
            <w:tcW w:w="4263" w:type="dxa"/>
            <w:vAlign w:val="top"/>
          </w:tcPr>
          <w:p w14:paraId="2F6F5D0C">
            <w:pPr>
              <w:rPr>
                <w:rFonts w:ascii="Arial"/>
                <w:color w:val="auto"/>
                <w:sz w:val="21"/>
                <w:highlight w:val="none"/>
              </w:rPr>
            </w:pPr>
          </w:p>
        </w:tc>
        <w:tc>
          <w:tcPr>
            <w:tcW w:w="4263" w:type="dxa"/>
            <w:vAlign w:val="top"/>
          </w:tcPr>
          <w:p w14:paraId="5774C586">
            <w:pPr>
              <w:rPr>
                <w:rFonts w:ascii="Arial"/>
                <w:color w:val="auto"/>
                <w:sz w:val="21"/>
                <w:highlight w:val="none"/>
              </w:rPr>
            </w:pPr>
          </w:p>
        </w:tc>
      </w:tr>
      <w:tr w14:paraId="44424D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5" w:hRule="atLeast"/>
        </w:trPr>
        <w:tc>
          <w:tcPr>
            <w:tcW w:w="4263" w:type="dxa"/>
            <w:vAlign w:val="top"/>
          </w:tcPr>
          <w:p w14:paraId="7CFC698E">
            <w:pPr>
              <w:rPr>
                <w:rFonts w:ascii="Arial"/>
                <w:color w:val="auto"/>
                <w:sz w:val="21"/>
                <w:highlight w:val="none"/>
              </w:rPr>
            </w:pPr>
          </w:p>
        </w:tc>
        <w:tc>
          <w:tcPr>
            <w:tcW w:w="4263" w:type="dxa"/>
            <w:vAlign w:val="top"/>
          </w:tcPr>
          <w:p w14:paraId="492C32EF">
            <w:pPr>
              <w:rPr>
                <w:rFonts w:ascii="Arial"/>
                <w:color w:val="auto"/>
                <w:sz w:val="21"/>
                <w:highlight w:val="none"/>
              </w:rPr>
            </w:pPr>
          </w:p>
        </w:tc>
      </w:tr>
      <w:tr w14:paraId="1BFD4F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6" w:hRule="atLeast"/>
        </w:trPr>
        <w:tc>
          <w:tcPr>
            <w:tcW w:w="4263" w:type="dxa"/>
            <w:vAlign w:val="top"/>
          </w:tcPr>
          <w:p w14:paraId="4ADDDB20">
            <w:pPr>
              <w:rPr>
                <w:rFonts w:ascii="Arial"/>
                <w:color w:val="auto"/>
                <w:sz w:val="21"/>
                <w:highlight w:val="none"/>
              </w:rPr>
            </w:pPr>
          </w:p>
        </w:tc>
        <w:tc>
          <w:tcPr>
            <w:tcW w:w="4263" w:type="dxa"/>
            <w:vAlign w:val="top"/>
          </w:tcPr>
          <w:p w14:paraId="0677C5EB">
            <w:pPr>
              <w:rPr>
                <w:rFonts w:ascii="Arial"/>
                <w:color w:val="auto"/>
                <w:sz w:val="21"/>
                <w:highlight w:val="none"/>
              </w:rPr>
            </w:pPr>
          </w:p>
        </w:tc>
      </w:tr>
      <w:tr w14:paraId="109518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5" w:hRule="atLeast"/>
        </w:trPr>
        <w:tc>
          <w:tcPr>
            <w:tcW w:w="4263" w:type="dxa"/>
            <w:vAlign w:val="top"/>
          </w:tcPr>
          <w:p w14:paraId="3FBCBE49">
            <w:pPr>
              <w:rPr>
                <w:rFonts w:ascii="Arial"/>
                <w:color w:val="auto"/>
                <w:sz w:val="21"/>
                <w:highlight w:val="none"/>
              </w:rPr>
            </w:pPr>
          </w:p>
        </w:tc>
        <w:tc>
          <w:tcPr>
            <w:tcW w:w="4263" w:type="dxa"/>
            <w:vAlign w:val="top"/>
          </w:tcPr>
          <w:p w14:paraId="239B3F3C">
            <w:pPr>
              <w:rPr>
                <w:rFonts w:ascii="Arial"/>
                <w:color w:val="auto"/>
                <w:sz w:val="21"/>
                <w:highlight w:val="none"/>
              </w:rPr>
            </w:pPr>
          </w:p>
        </w:tc>
      </w:tr>
      <w:tr w14:paraId="412E0C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0" w:hRule="atLeast"/>
        </w:trPr>
        <w:tc>
          <w:tcPr>
            <w:tcW w:w="4263" w:type="dxa"/>
            <w:vAlign w:val="top"/>
          </w:tcPr>
          <w:p w14:paraId="0CB22496">
            <w:pPr>
              <w:rPr>
                <w:rFonts w:ascii="Arial"/>
                <w:color w:val="auto"/>
                <w:sz w:val="21"/>
                <w:highlight w:val="none"/>
              </w:rPr>
            </w:pPr>
          </w:p>
        </w:tc>
        <w:tc>
          <w:tcPr>
            <w:tcW w:w="4263" w:type="dxa"/>
            <w:vAlign w:val="top"/>
          </w:tcPr>
          <w:p w14:paraId="6F7449CF">
            <w:pPr>
              <w:rPr>
                <w:rFonts w:ascii="Arial"/>
                <w:color w:val="auto"/>
                <w:sz w:val="21"/>
                <w:highlight w:val="none"/>
              </w:rPr>
            </w:pPr>
          </w:p>
        </w:tc>
      </w:tr>
    </w:tbl>
    <w:p w14:paraId="5DF442D4">
      <w:pPr>
        <w:spacing w:before="303" w:line="377" w:lineRule="auto"/>
        <w:ind w:left="542" w:hanging="423"/>
        <w:rPr>
          <w:rFonts w:ascii="宋体" w:hAnsi="宋体" w:eastAsia="宋体" w:cs="宋体"/>
          <w:color w:val="auto"/>
          <w:sz w:val="20"/>
          <w:szCs w:val="20"/>
          <w:highlight w:val="none"/>
        </w:rPr>
      </w:pPr>
      <w:r>
        <w:rPr>
          <w:rFonts w:ascii="宋体" w:hAnsi="宋体" w:eastAsia="宋体" w:cs="宋体"/>
          <w:color w:val="auto"/>
          <w:spacing w:val="9"/>
          <w:sz w:val="20"/>
          <w:szCs w:val="20"/>
          <w:highlight w:val="none"/>
        </w:rPr>
        <w:t>注：1.投标人应按照招标文件第二章“投</w:t>
      </w:r>
      <w:r>
        <w:rPr>
          <w:rFonts w:ascii="宋体" w:hAnsi="宋体" w:eastAsia="宋体" w:cs="宋体"/>
          <w:color w:val="auto"/>
          <w:spacing w:val="8"/>
          <w:sz w:val="20"/>
          <w:szCs w:val="20"/>
          <w:highlight w:val="none"/>
        </w:rPr>
        <w:t>标人须知</w:t>
      </w:r>
      <w:r>
        <w:rPr>
          <w:rFonts w:ascii="宋体" w:hAnsi="宋体" w:eastAsia="宋体" w:cs="宋体"/>
          <w:color w:val="auto"/>
          <w:spacing w:val="-67"/>
          <w:sz w:val="20"/>
          <w:szCs w:val="20"/>
          <w:highlight w:val="none"/>
        </w:rPr>
        <w:t xml:space="preserve"> </w:t>
      </w:r>
      <w:r>
        <w:rPr>
          <w:rFonts w:ascii="宋体" w:hAnsi="宋体" w:eastAsia="宋体" w:cs="宋体"/>
          <w:color w:val="auto"/>
          <w:spacing w:val="8"/>
          <w:sz w:val="20"/>
          <w:szCs w:val="20"/>
          <w:highlight w:val="none"/>
        </w:rPr>
        <w:t>”前附表附录</w:t>
      </w:r>
      <w:r>
        <w:rPr>
          <w:rFonts w:ascii="宋体" w:hAnsi="宋体" w:eastAsia="宋体" w:cs="宋体"/>
          <w:color w:val="auto"/>
          <w:spacing w:val="-30"/>
          <w:sz w:val="20"/>
          <w:szCs w:val="20"/>
          <w:highlight w:val="none"/>
        </w:rPr>
        <w:t xml:space="preserve"> </w:t>
      </w:r>
      <w:r>
        <w:rPr>
          <w:rFonts w:ascii="宋体" w:hAnsi="宋体" w:eastAsia="宋体" w:cs="宋体"/>
          <w:color w:val="auto"/>
          <w:spacing w:val="8"/>
          <w:sz w:val="20"/>
          <w:szCs w:val="20"/>
          <w:highlight w:val="none"/>
        </w:rPr>
        <w:t>3</w:t>
      </w:r>
      <w:r>
        <w:rPr>
          <w:rFonts w:ascii="宋体" w:hAnsi="宋体" w:eastAsia="宋体" w:cs="宋体"/>
          <w:color w:val="auto"/>
          <w:spacing w:val="-37"/>
          <w:sz w:val="20"/>
          <w:szCs w:val="20"/>
          <w:highlight w:val="none"/>
        </w:rPr>
        <w:t xml:space="preserve"> </w:t>
      </w:r>
      <w:r>
        <w:rPr>
          <w:rFonts w:ascii="宋体" w:hAnsi="宋体" w:eastAsia="宋体" w:cs="宋体"/>
          <w:color w:val="auto"/>
          <w:spacing w:val="8"/>
          <w:sz w:val="20"/>
          <w:szCs w:val="20"/>
          <w:highlight w:val="none"/>
        </w:rPr>
        <w:t>和“投标人须知</w:t>
      </w:r>
      <w:r>
        <w:rPr>
          <w:rFonts w:ascii="宋体" w:hAnsi="宋体" w:eastAsia="宋体" w:cs="宋体"/>
          <w:color w:val="auto"/>
          <w:spacing w:val="-70"/>
          <w:sz w:val="20"/>
          <w:szCs w:val="20"/>
          <w:highlight w:val="none"/>
        </w:rPr>
        <w:t xml:space="preserve"> </w:t>
      </w:r>
      <w:r>
        <w:rPr>
          <w:rFonts w:ascii="宋体" w:hAnsi="宋体" w:eastAsia="宋体" w:cs="宋体"/>
          <w:color w:val="auto"/>
          <w:spacing w:val="8"/>
          <w:sz w:val="20"/>
          <w:szCs w:val="20"/>
          <w:highlight w:val="none"/>
        </w:rPr>
        <w:t>”正文第</w:t>
      </w:r>
      <w:r>
        <w:rPr>
          <w:rFonts w:ascii="宋体" w:hAnsi="宋体" w:eastAsia="宋体" w:cs="宋体"/>
          <w:color w:val="auto"/>
          <w:spacing w:val="-22"/>
          <w:sz w:val="20"/>
          <w:szCs w:val="20"/>
          <w:highlight w:val="none"/>
        </w:rPr>
        <w:t xml:space="preserve"> </w:t>
      </w:r>
      <w:r>
        <w:rPr>
          <w:rFonts w:ascii="宋体" w:hAnsi="宋体" w:eastAsia="宋体" w:cs="宋体"/>
          <w:color w:val="auto"/>
          <w:spacing w:val="8"/>
          <w:sz w:val="20"/>
          <w:szCs w:val="20"/>
          <w:highlight w:val="none"/>
        </w:rPr>
        <w:t>1.4.4项规定，逐条说明其信誉情况。</w:t>
      </w:r>
    </w:p>
    <w:p w14:paraId="14F9CD11">
      <w:pPr>
        <w:spacing w:line="226" w:lineRule="auto"/>
        <w:ind w:left="542"/>
        <w:rPr>
          <w:rFonts w:ascii="宋体" w:hAnsi="宋体" w:eastAsia="宋体" w:cs="宋体"/>
          <w:color w:val="auto"/>
          <w:sz w:val="20"/>
          <w:szCs w:val="20"/>
          <w:highlight w:val="none"/>
        </w:rPr>
      </w:pPr>
      <w:r>
        <w:rPr>
          <w:rFonts w:ascii="宋体" w:hAnsi="宋体" w:eastAsia="宋体" w:cs="宋体"/>
          <w:color w:val="auto"/>
          <w:spacing w:val="8"/>
          <w:sz w:val="20"/>
          <w:szCs w:val="20"/>
          <w:highlight w:val="none"/>
        </w:rPr>
        <w:t>2.投标人应根据招标文件第二章“投标人须知</w:t>
      </w:r>
      <w:r>
        <w:rPr>
          <w:rFonts w:ascii="宋体" w:hAnsi="宋体" w:eastAsia="宋体" w:cs="宋体"/>
          <w:color w:val="auto"/>
          <w:spacing w:val="-72"/>
          <w:sz w:val="20"/>
          <w:szCs w:val="20"/>
          <w:highlight w:val="none"/>
        </w:rPr>
        <w:t xml:space="preserve"> </w:t>
      </w:r>
      <w:r>
        <w:rPr>
          <w:rFonts w:ascii="宋体" w:hAnsi="宋体" w:eastAsia="宋体" w:cs="宋体"/>
          <w:color w:val="auto"/>
          <w:spacing w:val="8"/>
          <w:sz w:val="20"/>
          <w:szCs w:val="20"/>
          <w:highlight w:val="none"/>
        </w:rPr>
        <w:t>”</w:t>
      </w:r>
      <w:r>
        <w:rPr>
          <w:rFonts w:ascii="宋体" w:hAnsi="宋体" w:eastAsia="宋体" w:cs="宋体"/>
          <w:color w:val="auto"/>
          <w:spacing w:val="7"/>
          <w:sz w:val="20"/>
          <w:szCs w:val="20"/>
          <w:highlight w:val="none"/>
        </w:rPr>
        <w:t>第</w:t>
      </w:r>
      <w:r>
        <w:rPr>
          <w:rFonts w:ascii="宋体" w:hAnsi="宋体" w:eastAsia="宋体" w:cs="宋体"/>
          <w:color w:val="auto"/>
          <w:spacing w:val="-35"/>
          <w:sz w:val="20"/>
          <w:szCs w:val="20"/>
          <w:highlight w:val="none"/>
        </w:rPr>
        <w:t xml:space="preserve"> </w:t>
      </w:r>
      <w:r>
        <w:rPr>
          <w:rFonts w:ascii="宋体" w:hAnsi="宋体" w:eastAsia="宋体" w:cs="宋体"/>
          <w:color w:val="auto"/>
          <w:spacing w:val="7"/>
          <w:sz w:val="20"/>
          <w:szCs w:val="20"/>
          <w:highlight w:val="none"/>
        </w:rPr>
        <w:t>3.5.3</w:t>
      </w:r>
      <w:r>
        <w:rPr>
          <w:rFonts w:ascii="宋体" w:hAnsi="宋体" w:eastAsia="宋体" w:cs="宋体"/>
          <w:color w:val="auto"/>
          <w:spacing w:val="-35"/>
          <w:sz w:val="20"/>
          <w:szCs w:val="20"/>
          <w:highlight w:val="none"/>
        </w:rPr>
        <w:t xml:space="preserve"> </w:t>
      </w:r>
      <w:r>
        <w:rPr>
          <w:rFonts w:ascii="宋体" w:hAnsi="宋体" w:eastAsia="宋体" w:cs="宋体"/>
          <w:color w:val="auto"/>
          <w:spacing w:val="7"/>
          <w:sz w:val="20"/>
          <w:szCs w:val="20"/>
          <w:highlight w:val="none"/>
        </w:rPr>
        <w:t>项的要求在本表后附相关证明材料。</w:t>
      </w:r>
    </w:p>
    <w:p w14:paraId="5C8EF740">
      <w:pPr>
        <w:spacing w:before="163" w:line="228" w:lineRule="auto"/>
        <w:ind w:left="544"/>
        <w:rPr>
          <w:rFonts w:ascii="宋体" w:hAnsi="宋体" w:eastAsia="宋体" w:cs="宋体"/>
          <w:color w:val="auto"/>
          <w:sz w:val="20"/>
          <w:szCs w:val="20"/>
          <w:highlight w:val="none"/>
        </w:rPr>
      </w:pPr>
      <w:r>
        <w:rPr>
          <w:rFonts w:ascii="宋体" w:hAnsi="宋体" w:eastAsia="宋体" w:cs="宋体"/>
          <w:color w:val="auto"/>
          <w:spacing w:val="8"/>
          <w:sz w:val="20"/>
          <w:szCs w:val="20"/>
          <w:highlight w:val="none"/>
        </w:rPr>
        <w:t>3.以联合体形式参与投标的，联合体各成员应分别填写。</w:t>
      </w:r>
    </w:p>
    <w:p w14:paraId="4B3FD111">
      <w:pPr>
        <w:spacing w:line="228" w:lineRule="auto"/>
        <w:rPr>
          <w:rFonts w:ascii="宋体" w:hAnsi="宋体" w:eastAsia="宋体" w:cs="宋体"/>
          <w:color w:val="auto"/>
          <w:sz w:val="20"/>
          <w:szCs w:val="20"/>
          <w:highlight w:val="none"/>
        </w:rPr>
        <w:sectPr>
          <w:footerReference r:id="rId95" w:type="default"/>
          <w:pgSz w:w="11906" w:h="16839"/>
          <w:pgMar w:top="1401" w:right="1419" w:bottom="1297" w:left="1304" w:header="0" w:footer="1069" w:gutter="0"/>
          <w:pgNumType w:fmt="decimal"/>
          <w:cols w:space="720" w:num="1"/>
        </w:sectPr>
      </w:pPr>
    </w:p>
    <w:p w14:paraId="7C30ABE6">
      <w:pPr>
        <w:spacing w:before="59" w:line="219" w:lineRule="auto"/>
        <w:ind w:left="1052"/>
        <w:rPr>
          <w:rFonts w:ascii="宋体" w:hAnsi="宋体" w:eastAsia="宋体" w:cs="宋体"/>
          <w:color w:val="auto"/>
          <w:sz w:val="30"/>
          <w:szCs w:val="30"/>
          <w:highlight w:val="none"/>
        </w:rPr>
      </w:pPr>
      <w:r>
        <w:rPr>
          <w:rFonts w:ascii="宋体" w:hAnsi="宋体" w:eastAsia="宋体" w:cs="宋体"/>
          <w:b/>
          <w:bCs/>
          <w:color w:val="auto"/>
          <w:spacing w:val="-3"/>
          <w:sz w:val="30"/>
          <w:szCs w:val="30"/>
          <w:highlight w:val="none"/>
        </w:rPr>
        <w:t>（六）拟委任的总监理工程师或驻地监理工程</w:t>
      </w:r>
      <w:r>
        <w:rPr>
          <w:rFonts w:ascii="宋体" w:hAnsi="宋体" w:eastAsia="宋体" w:cs="宋体"/>
          <w:b/>
          <w:bCs/>
          <w:color w:val="auto"/>
          <w:spacing w:val="-4"/>
          <w:sz w:val="30"/>
          <w:szCs w:val="30"/>
          <w:highlight w:val="none"/>
        </w:rPr>
        <w:t>师资历表</w:t>
      </w:r>
    </w:p>
    <w:p w14:paraId="002B8054">
      <w:pPr>
        <w:spacing w:before="147"/>
        <w:rPr>
          <w:color w:val="auto"/>
          <w:highlight w:val="none"/>
        </w:rPr>
      </w:pPr>
    </w:p>
    <w:tbl>
      <w:tblPr>
        <w:tblStyle w:val="17"/>
        <w:tblW w:w="873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39"/>
        <w:gridCol w:w="51"/>
        <w:gridCol w:w="1151"/>
        <w:gridCol w:w="302"/>
        <w:gridCol w:w="1059"/>
        <w:gridCol w:w="1380"/>
        <w:gridCol w:w="337"/>
        <w:gridCol w:w="1543"/>
        <w:gridCol w:w="386"/>
        <w:gridCol w:w="1287"/>
      </w:tblGrid>
      <w:tr w14:paraId="55E04A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9" w:hRule="atLeast"/>
        </w:trPr>
        <w:tc>
          <w:tcPr>
            <w:tcW w:w="1239" w:type="dxa"/>
            <w:vAlign w:val="top"/>
          </w:tcPr>
          <w:p w14:paraId="0B0A05AD">
            <w:pPr>
              <w:spacing w:line="355" w:lineRule="auto"/>
              <w:rPr>
                <w:rFonts w:ascii="Arial"/>
                <w:color w:val="auto"/>
                <w:sz w:val="21"/>
                <w:highlight w:val="none"/>
              </w:rPr>
            </w:pPr>
          </w:p>
          <w:p w14:paraId="485892E6">
            <w:pPr>
              <w:pStyle w:val="18"/>
              <w:spacing w:before="65" w:line="228" w:lineRule="auto"/>
              <w:ind w:left="205"/>
              <w:rPr>
                <w:color w:val="auto"/>
                <w:highlight w:val="none"/>
              </w:rPr>
            </w:pPr>
            <w:r>
              <w:rPr>
                <w:color w:val="auto"/>
                <w:highlight w:val="none"/>
              </w:rPr>
              <w:t>姓</w:t>
            </w:r>
            <w:r>
              <w:rPr>
                <w:color w:val="auto"/>
                <w:spacing w:val="7"/>
                <w:highlight w:val="none"/>
              </w:rPr>
              <w:t xml:space="preserve">    </w:t>
            </w:r>
            <w:r>
              <w:rPr>
                <w:color w:val="auto"/>
                <w:highlight w:val="none"/>
              </w:rPr>
              <w:t>名</w:t>
            </w:r>
          </w:p>
        </w:tc>
        <w:tc>
          <w:tcPr>
            <w:tcW w:w="1504" w:type="dxa"/>
            <w:gridSpan w:val="3"/>
            <w:vAlign w:val="top"/>
          </w:tcPr>
          <w:p w14:paraId="21F30394">
            <w:pPr>
              <w:rPr>
                <w:rFonts w:ascii="Arial"/>
                <w:color w:val="auto"/>
                <w:sz w:val="21"/>
                <w:highlight w:val="none"/>
              </w:rPr>
            </w:pPr>
          </w:p>
        </w:tc>
        <w:tc>
          <w:tcPr>
            <w:tcW w:w="1059" w:type="dxa"/>
            <w:vAlign w:val="top"/>
          </w:tcPr>
          <w:p w14:paraId="4D41A90E">
            <w:pPr>
              <w:spacing w:line="355" w:lineRule="auto"/>
              <w:rPr>
                <w:rFonts w:ascii="Arial"/>
                <w:color w:val="auto"/>
                <w:sz w:val="21"/>
                <w:highlight w:val="none"/>
              </w:rPr>
            </w:pPr>
          </w:p>
          <w:p w14:paraId="459C7A02">
            <w:pPr>
              <w:pStyle w:val="18"/>
              <w:spacing w:before="65" w:line="228" w:lineRule="auto"/>
              <w:ind w:left="115"/>
              <w:rPr>
                <w:color w:val="auto"/>
                <w:highlight w:val="none"/>
              </w:rPr>
            </w:pPr>
            <w:r>
              <w:rPr>
                <w:color w:val="auto"/>
                <w:highlight w:val="none"/>
              </w:rPr>
              <w:t>年</w:t>
            </w:r>
            <w:r>
              <w:rPr>
                <w:color w:val="auto"/>
                <w:spacing w:val="7"/>
                <w:highlight w:val="none"/>
              </w:rPr>
              <w:t xml:space="preserve">    </w:t>
            </w:r>
            <w:r>
              <w:rPr>
                <w:color w:val="auto"/>
                <w:highlight w:val="none"/>
              </w:rPr>
              <w:t>龄</w:t>
            </w:r>
          </w:p>
        </w:tc>
        <w:tc>
          <w:tcPr>
            <w:tcW w:w="1380" w:type="dxa"/>
            <w:vAlign w:val="top"/>
          </w:tcPr>
          <w:p w14:paraId="7FF5147F">
            <w:pPr>
              <w:rPr>
                <w:rFonts w:ascii="Arial"/>
                <w:color w:val="auto"/>
                <w:sz w:val="21"/>
                <w:highlight w:val="none"/>
              </w:rPr>
            </w:pPr>
          </w:p>
        </w:tc>
        <w:tc>
          <w:tcPr>
            <w:tcW w:w="1880" w:type="dxa"/>
            <w:gridSpan w:val="2"/>
            <w:vAlign w:val="top"/>
          </w:tcPr>
          <w:p w14:paraId="26505AA8">
            <w:pPr>
              <w:pStyle w:val="18"/>
              <w:spacing w:before="223" w:line="321" w:lineRule="auto"/>
              <w:ind w:left="635" w:right="98" w:hanging="529"/>
              <w:rPr>
                <w:color w:val="auto"/>
                <w:highlight w:val="none"/>
              </w:rPr>
            </w:pPr>
            <w:r>
              <w:rPr>
                <w:color w:val="auto"/>
                <w:spacing w:val="8"/>
                <w:highlight w:val="none"/>
              </w:rPr>
              <w:t>执业或职业资格证</w:t>
            </w:r>
            <w:r>
              <w:rPr>
                <w:color w:val="auto"/>
                <w:spacing w:val="5"/>
                <w:highlight w:val="none"/>
              </w:rPr>
              <w:t>书名称</w:t>
            </w:r>
          </w:p>
        </w:tc>
        <w:tc>
          <w:tcPr>
            <w:tcW w:w="1673" w:type="dxa"/>
            <w:gridSpan w:val="2"/>
            <w:vAlign w:val="top"/>
          </w:tcPr>
          <w:p w14:paraId="6B62E2B4">
            <w:pPr>
              <w:rPr>
                <w:rFonts w:ascii="Arial"/>
                <w:color w:val="auto"/>
                <w:sz w:val="21"/>
                <w:highlight w:val="none"/>
              </w:rPr>
            </w:pPr>
          </w:p>
        </w:tc>
      </w:tr>
      <w:tr w14:paraId="0ADB43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4" w:hRule="atLeast"/>
        </w:trPr>
        <w:tc>
          <w:tcPr>
            <w:tcW w:w="1239" w:type="dxa"/>
            <w:vAlign w:val="top"/>
          </w:tcPr>
          <w:p w14:paraId="165802F9">
            <w:pPr>
              <w:spacing w:line="381" w:lineRule="auto"/>
              <w:rPr>
                <w:rFonts w:ascii="Arial"/>
                <w:color w:val="auto"/>
                <w:sz w:val="21"/>
                <w:highlight w:val="none"/>
              </w:rPr>
            </w:pPr>
          </w:p>
          <w:p w14:paraId="7E32CB66">
            <w:pPr>
              <w:pStyle w:val="18"/>
              <w:spacing w:before="65" w:line="228" w:lineRule="auto"/>
              <w:ind w:left="206"/>
              <w:rPr>
                <w:color w:val="auto"/>
                <w:highlight w:val="none"/>
              </w:rPr>
            </w:pPr>
            <w:r>
              <w:rPr>
                <w:color w:val="auto"/>
                <w:spacing w:val="7"/>
                <w:highlight w:val="none"/>
              </w:rPr>
              <w:t>技术职称</w:t>
            </w:r>
          </w:p>
        </w:tc>
        <w:tc>
          <w:tcPr>
            <w:tcW w:w="1504" w:type="dxa"/>
            <w:gridSpan w:val="3"/>
            <w:vAlign w:val="top"/>
          </w:tcPr>
          <w:p w14:paraId="4F3D36C4">
            <w:pPr>
              <w:rPr>
                <w:rFonts w:ascii="Arial"/>
                <w:color w:val="auto"/>
                <w:sz w:val="21"/>
                <w:highlight w:val="none"/>
              </w:rPr>
            </w:pPr>
          </w:p>
        </w:tc>
        <w:tc>
          <w:tcPr>
            <w:tcW w:w="1059" w:type="dxa"/>
            <w:vAlign w:val="top"/>
          </w:tcPr>
          <w:p w14:paraId="7EB515C1">
            <w:pPr>
              <w:spacing w:line="381" w:lineRule="auto"/>
              <w:rPr>
                <w:rFonts w:ascii="Arial"/>
                <w:color w:val="auto"/>
                <w:sz w:val="21"/>
                <w:highlight w:val="none"/>
              </w:rPr>
            </w:pPr>
          </w:p>
          <w:p w14:paraId="6AE4551F">
            <w:pPr>
              <w:pStyle w:val="18"/>
              <w:spacing w:before="66" w:line="229" w:lineRule="auto"/>
              <w:ind w:left="118"/>
              <w:rPr>
                <w:color w:val="auto"/>
                <w:highlight w:val="none"/>
              </w:rPr>
            </w:pPr>
            <w:r>
              <w:rPr>
                <w:color w:val="auto"/>
                <w:spacing w:val="-2"/>
                <w:highlight w:val="none"/>
              </w:rPr>
              <w:t>学</w:t>
            </w:r>
            <w:r>
              <w:rPr>
                <w:color w:val="auto"/>
                <w:spacing w:val="8"/>
                <w:highlight w:val="none"/>
              </w:rPr>
              <w:t xml:space="preserve">    </w:t>
            </w:r>
            <w:r>
              <w:rPr>
                <w:color w:val="auto"/>
                <w:spacing w:val="-2"/>
                <w:highlight w:val="none"/>
              </w:rPr>
              <w:t>历</w:t>
            </w:r>
          </w:p>
        </w:tc>
        <w:tc>
          <w:tcPr>
            <w:tcW w:w="1380" w:type="dxa"/>
            <w:vAlign w:val="top"/>
          </w:tcPr>
          <w:p w14:paraId="73CAD1EA">
            <w:pPr>
              <w:rPr>
                <w:rFonts w:ascii="Arial"/>
                <w:color w:val="auto"/>
                <w:sz w:val="21"/>
                <w:highlight w:val="none"/>
              </w:rPr>
            </w:pPr>
          </w:p>
        </w:tc>
        <w:tc>
          <w:tcPr>
            <w:tcW w:w="1880" w:type="dxa"/>
            <w:gridSpan w:val="2"/>
            <w:vAlign w:val="top"/>
          </w:tcPr>
          <w:p w14:paraId="67D847A5">
            <w:pPr>
              <w:pStyle w:val="18"/>
              <w:spacing w:before="222" w:line="347" w:lineRule="auto"/>
              <w:ind w:left="528" w:right="413" w:hanging="108"/>
              <w:rPr>
                <w:color w:val="auto"/>
                <w:highlight w:val="none"/>
              </w:rPr>
            </w:pPr>
            <w:r>
              <w:rPr>
                <w:color w:val="auto"/>
                <w:spacing w:val="8"/>
                <w:highlight w:val="none"/>
              </w:rPr>
              <w:t>拟在本标段</w:t>
            </w:r>
            <w:r>
              <w:rPr>
                <w:color w:val="auto"/>
                <w:spacing w:val="6"/>
                <w:highlight w:val="none"/>
              </w:rPr>
              <w:t>工程任职</w:t>
            </w:r>
          </w:p>
        </w:tc>
        <w:tc>
          <w:tcPr>
            <w:tcW w:w="1673" w:type="dxa"/>
            <w:gridSpan w:val="2"/>
            <w:vAlign w:val="top"/>
          </w:tcPr>
          <w:p w14:paraId="1F23D219">
            <w:pPr>
              <w:rPr>
                <w:rFonts w:ascii="Arial"/>
                <w:color w:val="auto"/>
                <w:sz w:val="21"/>
                <w:highlight w:val="none"/>
              </w:rPr>
            </w:pPr>
          </w:p>
        </w:tc>
      </w:tr>
      <w:tr w14:paraId="7BDE6B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5" w:hRule="atLeast"/>
        </w:trPr>
        <w:tc>
          <w:tcPr>
            <w:tcW w:w="1239" w:type="dxa"/>
            <w:vAlign w:val="top"/>
          </w:tcPr>
          <w:p w14:paraId="47942C22">
            <w:pPr>
              <w:rPr>
                <w:rFonts w:ascii="Arial"/>
                <w:color w:val="auto"/>
                <w:sz w:val="21"/>
                <w:highlight w:val="none"/>
              </w:rPr>
            </w:pPr>
          </w:p>
          <w:p w14:paraId="2D65B28D">
            <w:pPr>
              <w:pStyle w:val="18"/>
              <w:spacing w:before="65" w:line="228" w:lineRule="auto"/>
              <w:ind w:left="207"/>
              <w:rPr>
                <w:color w:val="auto"/>
                <w:highlight w:val="none"/>
              </w:rPr>
            </w:pPr>
            <w:r>
              <w:rPr>
                <w:color w:val="auto"/>
                <w:spacing w:val="6"/>
                <w:highlight w:val="none"/>
              </w:rPr>
              <w:t>工作年限</w:t>
            </w:r>
          </w:p>
        </w:tc>
        <w:tc>
          <w:tcPr>
            <w:tcW w:w="3943" w:type="dxa"/>
            <w:gridSpan w:val="5"/>
            <w:vAlign w:val="top"/>
          </w:tcPr>
          <w:p w14:paraId="6A2083B5">
            <w:pPr>
              <w:rPr>
                <w:rFonts w:ascii="Arial"/>
                <w:color w:val="auto"/>
                <w:sz w:val="21"/>
                <w:highlight w:val="none"/>
              </w:rPr>
            </w:pPr>
          </w:p>
        </w:tc>
        <w:tc>
          <w:tcPr>
            <w:tcW w:w="1880" w:type="dxa"/>
            <w:gridSpan w:val="2"/>
            <w:vAlign w:val="top"/>
          </w:tcPr>
          <w:p w14:paraId="1CFD4B1E">
            <w:pPr>
              <w:rPr>
                <w:rFonts w:ascii="Arial"/>
                <w:color w:val="auto"/>
                <w:sz w:val="21"/>
                <w:highlight w:val="none"/>
              </w:rPr>
            </w:pPr>
          </w:p>
          <w:p w14:paraId="5A6F99A9">
            <w:pPr>
              <w:pStyle w:val="18"/>
              <w:spacing w:before="65" w:line="228" w:lineRule="auto"/>
              <w:ind w:left="109"/>
              <w:rPr>
                <w:color w:val="auto"/>
                <w:highlight w:val="none"/>
              </w:rPr>
            </w:pPr>
            <w:r>
              <w:rPr>
                <w:color w:val="auto"/>
                <w:spacing w:val="8"/>
                <w:highlight w:val="none"/>
              </w:rPr>
              <w:t>从事监理工作年限</w:t>
            </w:r>
          </w:p>
        </w:tc>
        <w:tc>
          <w:tcPr>
            <w:tcW w:w="1673" w:type="dxa"/>
            <w:gridSpan w:val="2"/>
            <w:vAlign w:val="top"/>
          </w:tcPr>
          <w:p w14:paraId="05796B8A">
            <w:pPr>
              <w:rPr>
                <w:rFonts w:ascii="Arial"/>
                <w:color w:val="auto"/>
                <w:sz w:val="21"/>
                <w:highlight w:val="none"/>
              </w:rPr>
            </w:pPr>
          </w:p>
        </w:tc>
      </w:tr>
      <w:tr w14:paraId="34D399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1239" w:type="dxa"/>
            <w:vAlign w:val="top"/>
          </w:tcPr>
          <w:p w14:paraId="38615A6C">
            <w:pPr>
              <w:pStyle w:val="18"/>
              <w:spacing w:before="221" w:line="228" w:lineRule="auto"/>
              <w:ind w:left="209"/>
              <w:rPr>
                <w:color w:val="auto"/>
                <w:highlight w:val="none"/>
              </w:rPr>
            </w:pPr>
            <w:r>
              <w:rPr>
                <w:color w:val="auto"/>
                <w:spacing w:val="6"/>
                <w:highlight w:val="none"/>
              </w:rPr>
              <w:t>毕业学校</w:t>
            </w:r>
          </w:p>
        </w:tc>
        <w:tc>
          <w:tcPr>
            <w:tcW w:w="7496" w:type="dxa"/>
            <w:gridSpan w:val="9"/>
            <w:vAlign w:val="top"/>
          </w:tcPr>
          <w:p w14:paraId="0398ED03">
            <w:pPr>
              <w:pStyle w:val="18"/>
              <w:spacing w:before="222" w:line="221" w:lineRule="auto"/>
              <w:ind w:left="237"/>
              <w:rPr>
                <w:color w:val="auto"/>
                <w:highlight w:val="none"/>
              </w:rPr>
            </w:pPr>
            <w:r>
              <w:rPr>
                <w:color w:val="auto"/>
                <w:spacing w:val="2"/>
                <w:highlight w:val="none"/>
              </w:rPr>
              <w:t>______年___月毕业于______________学校____________专业，学制______年</w:t>
            </w:r>
          </w:p>
        </w:tc>
      </w:tr>
      <w:tr w14:paraId="0A24A8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8735" w:type="dxa"/>
            <w:gridSpan w:val="10"/>
            <w:vAlign w:val="top"/>
          </w:tcPr>
          <w:p w14:paraId="42CB8112">
            <w:pPr>
              <w:pStyle w:val="18"/>
              <w:spacing w:before="221" w:line="231" w:lineRule="auto"/>
              <w:ind w:left="3691"/>
              <w:rPr>
                <w:color w:val="auto"/>
                <w:highlight w:val="none"/>
              </w:rPr>
            </w:pPr>
            <w:r>
              <w:rPr>
                <w:color w:val="auto"/>
                <w:spacing w:val="-1"/>
                <w:highlight w:val="none"/>
              </w:rPr>
              <w:t>经</w:t>
            </w:r>
            <w:r>
              <w:rPr>
                <w:color w:val="auto"/>
                <w:spacing w:val="6"/>
                <w:highlight w:val="none"/>
              </w:rPr>
              <w:t xml:space="preserve">         </w:t>
            </w:r>
            <w:r>
              <w:rPr>
                <w:color w:val="auto"/>
                <w:spacing w:val="-1"/>
                <w:highlight w:val="none"/>
              </w:rPr>
              <w:t>历</w:t>
            </w:r>
          </w:p>
        </w:tc>
      </w:tr>
      <w:tr w14:paraId="4C6274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trPr>
        <w:tc>
          <w:tcPr>
            <w:tcW w:w="1290" w:type="dxa"/>
            <w:gridSpan w:val="2"/>
            <w:vAlign w:val="top"/>
          </w:tcPr>
          <w:p w14:paraId="367802AF">
            <w:pPr>
              <w:spacing w:line="354" w:lineRule="auto"/>
              <w:rPr>
                <w:rFonts w:ascii="Arial"/>
                <w:color w:val="auto"/>
                <w:sz w:val="21"/>
                <w:highlight w:val="none"/>
              </w:rPr>
            </w:pPr>
          </w:p>
          <w:p w14:paraId="3DF24506">
            <w:pPr>
              <w:pStyle w:val="18"/>
              <w:spacing w:before="65" w:line="230" w:lineRule="auto"/>
              <w:ind w:left="344"/>
              <w:rPr>
                <w:color w:val="auto"/>
                <w:highlight w:val="none"/>
              </w:rPr>
            </w:pPr>
            <w:r>
              <w:rPr>
                <w:color w:val="auto"/>
                <w:spacing w:val="-5"/>
                <w:highlight w:val="none"/>
              </w:rPr>
              <w:t>时</w:t>
            </w:r>
            <w:r>
              <w:rPr>
                <w:color w:val="auto"/>
                <w:spacing w:val="17"/>
                <w:highlight w:val="none"/>
              </w:rPr>
              <w:t xml:space="preserve">  </w:t>
            </w:r>
            <w:r>
              <w:rPr>
                <w:color w:val="auto"/>
                <w:spacing w:val="-5"/>
                <w:highlight w:val="none"/>
              </w:rPr>
              <w:t>间</w:t>
            </w:r>
          </w:p>
        </w:tc>
        <w:tc>
          <w:tcPr>
            <w:tcW w:w="4229" w:type="dxa"/>
            <w:gridSpan w:val="5"/>
            <w:vAlign w:val="top"/>
          </w:tcPr>
          <w:p w14:paraId="5B4618B3">
            <w:pPr>
              <w:spacing w:line="354" w:lineRule="auto"/>
              <w:rPr>
                <w:rFonts w:ascii="Arial"/>
                <w:color w:val="auto"/>
                <w:sz w:val="21"/>
                <w:highlight w:val="none"/>
              </w:rPr>
            </w:pPr>
          </w:p>
          <w:p w14:paraId="7A05C223">
            <w:pPr>
              <w:pStyle w:val="18"/>
              <w:spacing w:before="65" w:line="228" w:lineRule="auto"/>
              <w:ind w:left="861"/>
              <w:rPr>
                <w:color w:val="auto"/>
                <w:highlight w:val="none"/>
              </w:rPr>
            </w:pPr>
            <w:r>
              <w:rPr>
                <w:color w:val="auto"/>
                <w:spacing w:val="8"/>
                <w:highlight w:val="none"/>
              </w:rPr>
              <w:t>参加过的类似工程项目名称</w:t>
            </w:r>
          </w:p>
        </w:tc>
        <w:tc>
          <w:tcPr>
            <w:tcW w:w="1929" w:type="dxa"/>
            <w:gridSpan w:val="2"/>
            <w:vAlign w:val="top"/>
          </w:tcPr>
          <w:p w14:paraId="410479F8">
            <w:pPr>
              <w:spacing w:line="354" w:lineRule="auto"/>
              <w:rPr>
                <w:rFonts w:ascii="Arial"/>
                <w:color w:val="auto"/>
                <w:sz w:val="21"/>
                <w:highlight w:val="none"/>
              </w:rPr>
            </w:pPr>
          </w:p>
          <w:p w14:paraId="178A0DCB">
            <w:pPr>
              <w:pStyle w:val="18"/>
              <w:spacing w:before="65" w:line="228" w:lineRule="auto"/>
              <w:ind w:left="552"/>
              <w:rPr>
                <w:color w:val="auto"/>
                <w:highlight w:val="none"/>
              </w:rPr>
            </w:pPr>
            <w:r>
              <w:rPr>
                <w:color w:val="auto"/>
                <w:spacing w:val="7"/>
                <w:highlight w:val="none"/>
              </w:rPr>
              <w:t>担任职务</w:t>
            </w:r>
          </w:p>
        </w:tc>
        <w:tc>
          <w:tcPr>
            <w:tcW w:w="1287" w:type="dxa"/>
            <w:vAlign w:val="top"/>
          </w:tcPr>
          <w:p w14:paraId="0ECC57E9">
            <w:pPr>
              <w:pStyle w:val="18"/>
              <w:spacing w:before="220" w:line="320" w:lineRule="auto"/>
              <w:ind w:left="338" w:right="118" w:hanging="216"/>
              <w:rPr>
                <w:color w:val="auto"/>
                <w:highlight w:val="none"/>
              </w:rPr>
            </w:pPr>
            <w:r>
              <w:rPr>
                <w:color w:val="auto"/>
                <w:spacing w:val="8"/>
                <w:highlight w:val="none"/>
              </w:rPr>
              <w:t>委托人及联</w:t>
            </w:r>
            <w:r>
              <w:rPr>
                <w:color w:val="auto"/>
                <w:spacing w:val="5"/>
                <w:highlight w:val="none"/>
              </w:rPr>
              <w:t>系电话</w:t>
            </w:r>
          </w:p>
        </w:tc>
      </w:tr>
      <w:tr w14:paraId="17EE4B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5" w:hRule="atLeast"/>
        </w:trPr>
        <w:tc>
          <w:tcPr>
            <w:tcW w:w="1290" w:type="dxa"/>
            <w:gridSpan w:val="2"/>
            <w:vAlign w:val="top"/>
          </w:tcPr>
          <w:p w14:paraId="4E1C72B1">
            <w:pPr>
              <w:rPr>
                <w:rFonts w:ascii="Arial"/>
                <w:color w:val="auto"/>
                <w:sz w:val="21"/>
                <w:highlight w:val="none"/>
              </w:rPr>
            </w:pPr>
          </w:p>
        </w:tc>
        <w:tc>
          <w:tcPr>
            <w:tcW w:w="4229" w:type="dxa"/>
            <w:gridSpan w:val="5"/>
            <w:vAlign w:val="top"/>
          </w:tcPr>
          <w:p w14:paraId="3B1780F2">
            <w:pPr>
              <w:rPr>
                <w:rFonts w:ascii="Arial"/>
                <w:color w:val="auto"/>
                <w:sz w:val="21"/>
                <w:highlight w:val="none"/>
              </w:rPr>
            </w:pPr>
          </w:p>
        </w:tc>
        <w:tc>
          <w:tcPr>
            <w:tcW w:w="1929" w:type="dxa"/>
            <w:gridSpan w:val="2"/>
            <w:vAlign w:val="top"/>
          </w:tcPr>
          <w:p w14:paraId="6EA2A8D2">
            <w:pPr>
              <w:rPr>
                <w:rFonts w:ascii="Arial"/>
                <w:color w:val="auto"/>
                <w:sz w:val="21"/>
                <w:highlight w:val="none"/>
              </w:rPr>
            </w:pPr>
          </w:p>
        </w:tc>
        <w:tc>
          <w:tcPr>
            <w:tcW w:w="1287" w:type="dxa"/>
            <w:vAlign w:val="top"/>
          </w:tcPr>
          <w:p w14:paraId="55C47CAF">
            <w:pPr>
              <w:rPr>
                <w:rFonts w:ascii="Arial"/>
                <w:color w:val="auto"/>
                <w:sz w:val="21"/>
                <w:highlight w:val="none"/>
              </w:rPr>
            </w:pPr>
          </w:p>
        </w:tc>
      </w:tr>
      <w:tr w14:paraId="3BAB1A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6" w:hRule="atLeast"/>
        </w:trPr>
        <w:tc>
          <w:tcPr>
            <w:tcW w:w="1290" w:type="dxa"/>
            <w:gridSpan w:val="2"/>
            <w:vAlign w:val="top"/>
          </w:tcPr>
          <w:p w14:paraId="333488E0">
            <w:pPr>
              <w:rPr>
                <w:rFonts w:ascii="Arial"/>
                <w:color w:val="auto"/>
                <w:sz w:val="21"/>
                <w:highlight w:val="none"/>
              </w:rPr>
            </w:pPr>
          </w:p>
        </w:tc>
        <w:tc>
          <w:tcPr>
            <w:tcW w:w="4229" w:type="dxa"/>
            <w:gridSpan w:val="5"/>
            <w:vAlign w:val="top"/>
          </w:tcPr>
          <w:p w14:paraId="699D6D03">
            <w:pPr>
              <w:rPr>
                <w:rFonts w:ascii="Arial"/>
                <w:color w:val="auto"/>
                <w:sz w:val="21"/>
                <w:highlight w:val="none"/>
              </w:rPr>
            </w:pPr>
          </w:p>
        </w:tc>
        <w:tc>
          <w:tcPr>
            <w:tcW w:w="1929" w:type="dxa"/>
            <w:gridSpan w:val="2"/>
            <w:vAlign w:val="top"/>
          </w:tcPr>
          <w:p w14:paraId="08760EAA">
            <w:pPr>
              <w:rPr>
                <w:rFonts w:ascii="Arial"/>
                <w:color w:val="auto"/>
                <w:sz w:val="21"/>
                <w:highlight w:val="none"/>
              </w:rPr>
            </w:pPr>
          </w:p>
        </w:tc>
        <w:tc>
          <w:tcPr>
            <w:tcW w:w="1287" w:type="dxa"/>
            <w:vAlign w:val="top"/>
          </w:tcPr>
          <w:p w14:paraId="6BF30C3F">
            <w:pPr>
              <w:rPr>
                <w:rFonts w:ascii="Arial"/>
                <w:color w:val="auto"/>
                <w:sz w:val="21"/>
                <w:highlight w:val="none"/>
              </w:rPr>
            </w:pPr>
          </w:p>
        </w:tc>
      </w:tr>
      <w:tr w14:paraId="081CC4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5" w:hRule="atLeast"/>
        </w:trPr>
        <w:tc>
          <w:tcPr>
            <w:tcW w:w="1290" w:type="dxa"/>
            <w:gridSpan w:val="2"/>
            <w:vAlign w:val="top"/>
          </w:tcPr>
          <w:p w14:paraId="29885233">
            <w:pPr>
              <w:rPr>
                <w:rFonts w:ascii="Arial"/>
                <w:color w:val="auto"/>
                <w:sz w:val="21"/>
                <w:highlight w:val="none"/>
              </w:rPr>
            </w:pPr>
          </w:p>
        </w:tc>
        <w:tc>
          <w:tcPr>
            <w:tcW w:w="4229" w:type="dxa"/>
            <w:gridSpan w:val="5"/>
            <w:vAlign w:val="top"/>
          </w:tcPr>
          <w:p w14:paraId="47F0BE29">
            <w:pPr>
              <w:rPr>
                <w:rFonts w:ascii="Arial"/>
                <w:color w:val="auto"/>
                <w:sz w:val="21"/>
                <w:highlight w:val="none"/>
              </w:rPr>
            </w:pPr>
          </w:p>
        </w:tc>
        <w:tc>
          <w:tcPr>
            <w:tcW w:w="1929" w:type="dxa"/>
            <w:gridSpan w:val="2"/>
            <w:vAlign w:val="top"/>
          </w:tcPr>
          <w:p w14:paraId="6C277FC7">
            <w:pPr>
              <w:rPr>
                <w:rFonts w:ascii="Arial"/>
                <w:color w:val="auto"/>
                <w:sz w:val="21"/>
                <w:highlight w:val="none"/>
              </w:rPr>
            </w:pPr>
          </w:p>
        </w:tc>
        <w:tc>
          <w:tcPr>
            <w:tcW w:w="1287" w:type="dxa"/>
            <w:vAlign w:val="top"/>
          </w:tcPr>
          <w:p w14:paraId="72C21491">
            <w:pPr>
              <w:rPr>
                <w:rFonts w:ascii="Arial"/>
                <w:color w:val="auto"/>
                <w:sz w:val="21"/>
                <w:highlight w:val="none"/>
              </w:rPr>
            </w:pPr>
          </w:p>
        </w:tc>
      </w:tr>
      <w:tr w14:paraId="11F824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5" w:hRule="atLeast"/>
        </w:trPr>
        <w:tc>
          <w:tcPr>
            <w:tcW w:w="1290" w:type="dxa"/>
            <w:gridSpan w:val="2"/>
            <w:vAlign w:val="top"/>
          </w:tcPr>
          <w:p w14:paraId="76FA5249">
            <w:pPr>
              <w:rPr>
                <w:rFonts w:ascii="Arial"/>
                <w:color w:val="auto"/>
                <w:sz w:val="21"/>
                <w:highlight w:val="none"/>
              </w:rPr>
            </w:pPr>
          </w:p>
        </w:tc>
        <w:tc>
          <w:tcPr>
            <w:tcW w:w="4229" w:type="dxa"/>
            <w:gridSpan w:val="5"/>
            <w:vAlign w:val="top"/>
          </w:tcPr>
          <w:p w14:paraId="48681984">
            <w:pPr>
              <w:rPr>
                <w:rFonts w:ascii="Arial"/>
                <w:color w:val="auto"/>
                <w:sz w:val="21"/>
                <w:highlight w:val="none"/>
              </w:rPr>
            </w:pPr>
          </w:p>
        </w:tc>
        <w:tc>
          <w:tcPr>
            <w:tcW w:w="1929" w:type="dxa"/>
            <w:gridSpan w:val="2"/>
            <w:vAlign w:val="top"/>
          </w:tcPr>
          <w:p w14:paraId="4E090F6F">
            <w:pPr>
              <w:rPr>
                <w:rFonts w:ascii="Arial"/>
                <w:color w:val="auto"/>
                <w:sz w:val="21"/>
                <w:highlight w:val="none"/>
              </w:rPr>
            </w:pPr>
          </w:p>
        </w:tc>
        <w:tc>
          <w:tcPr>
            <w:tcW w:w="1287" w:type="dxa"/>
            <w:vAlign w:val="top"/>
          </w:tcPr>
          <w:p w14:paraId="15DA24A3">
            <w:pPr>
              <w:rPr>
                <w:rFonts w:ascii="Arial"/>
                <w:color w:val="auto"/>
                <w:sz w:val="21"/>
                <w:highlight w:val="none"/>
              </w:rPr>
            </w:pPr>
          </w:p>
        </w:tc>
      </w:tr>
      <w:tr w14:paraId="0C64B9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6" w:hRule="atLeast"/>
        </w:trPr>
        <w:tc>
          <w:tcPr>
            <w:tcW w:w="1290" w:type="dxa"/>
            <w:gridSpan w:val="2"/>
            <w:vAlign w:val="top"/>
          </w:tcPr>
          <w:p w14:paraId="2D84CCB3">
            <w:pPr>
              <w:rPr>
                <w:rFonts w:ascii="Arial"/>
                <w:color w:val="auto"/>
                <w:sz w:val="21"/>
                <w:highlight w:val="none"/>
              </w:rPr>
            </w:pPr>
          </w:p>
        </w:tc>
        <w:tc>
          <w:tcPr>
            <w:tcW w:w="4229" w:type="dxa"/>
            <w:gridSpan w:val="5"/>
            <w:vAlign w:val="top"/>
          </w:tcPr>
          <w:p w14:paraId="4FB3E3B3">
            <w:pPr>
              <w:rPr>
                <w:rFonts w:ascii="Arial"/>
                <w:color w:val="auto"/>
                <w:sz w:val="21"/>
                <w:highlight w:val="none"/>
              </w:rPr>
            </w:pPr>
          </w:p>
        </w:tc>
        <w:tc>
          <w:tcPr>
            <w:tcW w:w="1929" w:type="dxa"/>
            <w:gridSpan w:val="2"/>
            <w:vAlign w:val="top"/>
          </w:tcPr>
          <w:p w14:paraId="799383E7">
            <w:pPr>
              <w:rPr>
                <w:rFonts w:ascii="Arial"/>
                <w:color w:val="auto"/>
                <w:sz w:val="21"/>
                <w:highlight w:val="none"/>
              </w:rPr>
            </w:pPr>
          </w:p>
        </w:tc>
        <w:tc>
          <w:tcPr>
            <w:tcW w:w="1287" w:type="dxa"/>
            <w:vAlign w:val="top"/>
          </w:tcPr>
          <w:p w14:paraId="47E595C3">
            <w:pPr>
              <w:rPr>
                <w:rFonts w:ascii="Arial"/>
                <w:color w:val="auto"/>
                <w:sz w:val="21"/>
                <w:highlight w:val="none"/>
              </w:rPr>
            </w:pPr>
          </w:p>
        </w:tc>
      </w:tr>
      <w:tr w14:paraId="5ED31F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5" w:hRule="atLeast"/>
        </w:trPr>
        <w:tc>
          <w:tcPr>
            <w:tcW w:w="1290" w:type="dxa"/>
            <w:gridSpan w:val="2"/>
            <w:vAlign w:val="top"/>
          </w:tcPr>
          <w:p w14:paraId="0D610F73">
            <w:pPr>
              <w:rPr>
                <w:rFonts w:ascii="Arial"/>
                <w:color w:val="auto"/>
                <w:sz w:val="21"/>
                <w:highlight w:val="none"/>
              </w:rPr>
            </w:pPr>
          </w:p>
        </w:tc>
        <w:tc>
          <w:tcPr>
            <w:tcW w:w="4229" w:type="dxa"/>
            <w:gridSpan w:val="5"/>
            <w:vAlign w:val="top"/>
          </w:tcPr>
          <w:p w14:paraId="19F14425">
            <w:pPr>
              <w:rPr>
                <w:rFonts w:ascii="Arial"/>
                <w:color w:val="auto"/>
                <w:sz w:val="21"/>
                <w:highlight w:val="none"/>
              </w:rPr>
            </w:pPr>
          </w:p>
        </w:tc>
        <w:tc>
          <w:tcPr>
            <w:tcW w:w="1929" w:type="dxa"/>
            <w:gridSpan w:val="2"/>
            <w:vAlign w:val="top"/>
          </w:tcPr>
          <w:p w14:paraId="171F6897">
            <w:pPr>
              <w:rPr>
                <w:rFonts w:ascii="Arial"/>
                <w:color w:val="auto"/>
                <w:sz w:val="21"/>
                <w:highlight w:val="none"/>
              </w:rPr>
            </w:pPr>
          </w:p>
        </w:tc>
        <w:tc>
          <w:tcPr>
            <w:tcW w:w="1287" w:type="dxa"/>
            <w:vAlign w:val="top"/>
          </w:tcPr>
          <w:p w14:paraId="1FDC27F7">
            <w:pPr>
              <w:rPr>
                <w:rFonts w:ascii="Arial"/>
                <w:color w:val="auto"/>
                <w:sz w:val="21"/>
                <w:highlight w:val="none"/>
              </w:rPr>
            </w:pPr>
          </w:p>
        </w:tc>
      </w:tr>
      <w:tr w14:paraId="5EE94D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6" w:hRule="atLeast"/>
        </w:trPr>
        <w:tc>
          <w:tcPr>
            <w:tcW w:w="2441" w:type="dxa"/>
            <w:gridSpan w:val="3"/>
            <w:vAlign w:val="top"/>
          </w:tcPr>
          <w:p w14:paraId="6EACE29F">
            <w:pPr>
              <w:spacing w:line="242" w:lineRule="auto"/>
              <w:rPr>
                <w:rFonts w:ascii="Arial"/>
                <w:color w:val="auto"/>
                <w:sz w:val="21"/>
                <w:highlight w:val="none"/>
              </w:rPr>
            </w:pPr>
          </w:p>
          <w:p w14:paraId="7ACE6496">
            <w:pPr>
              <w:pStyle w:val="18"/>
              <w:spacing w:before="65" w:line="228" w:lineRule="auto"/>
              <w:ind w:left="811"/>
              <w:rPr>
                <w:color w:val="auto"/>
                <w:highlight w:val="none"/>
              </w:rPr>
            </w:pPr>
            <w:r>
              <w:rPr>
                <w:color w:val="auto"/>
                <w:spacing w:val="6"/>
                <w:highlight w:val="none"/>
              </w:rPr>
              <w:t>获奖情况</w:t>
            </w:r>
          </w:p>
        </w:tc>
        <w:tc>
          <w:tcPr>
            <w:tcW w:w="6294" w:type="dxa"/>
            <w:gridSpan w:val="7"/>
            <w:vAlign w:val="top"/>
          </w:tcPr>
          <w:p w14:paraId="12D7FD7D">
            <w:pPr>
              <w:rPr>
                <w:rFonts w:ascii="Arial"/>
                <w:color w:val="auto"/>
                <w:sz w:val="21"/>
                <w:highlight w:val="none"/>
              </w:rPr>
            </w:pPr>
          </w:p>
        </w:tc>
      </w:tr>
      <w:tr w14:paraId="33C497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3" w:hRule="atLeast"/>
        </w:trPr>
        <w:tc>
          <w:tcPr>
            <w:tcW w:w="2441" w:type="dxa"/>
            <w:gridSpan w:val="3"/>
            <w:vAlign w:val="top"/>
          </w:tcPr>
          <w:p w14:paraId="10112879">
            <w:pPr>
              <w:spacing w:line="464" w:lineRule="auto"/>
              <w:rPr>
                <w:rFonts w:ascii="Arial"/>
                <w:color w:val="auto"/>
                <w:sz w:val="21"/>
                <w:highlight w:val="none"/>
              </w:rPr>
            </w:pPr>
          </w:p>
          <w:p w14:paraId="0ACB2B46">
            <w:pPr>
              <w:pStyle w:val="18"/>
              <w:spacing w:before="65" w:line="229" w:lineRule="auto"/>
              <w:ind w:left="757"/>
              <w:rPr>
                <w:color w:val="auto"/>
                <w:highlight w:val="none"/>
              </w:rPr>
            </w:pPr>
            <w:r>
              <w:rPr>
                <w:color w:val="auto"/>
                <w:spacing w:val="-1"/>
                <w:highlight w:val="none"/>
              </w:rPr>
              <w:t>备</w:t>
            </w:r>
            <w:r>
              <w:rPr>
                <w:color w:val="auto"/>
                <w:spacing w:val="6"/>
                <w:highlight w:val="none"/>
              </w:rPr>
              <w:t xml:space="preserve">     </w:t>
            </w:r>
            <w:r>
              <w:rPr>
                <w:color w:val="auto"/>
                <w:spacing w:val="-1"/>
                <w:highlight w:val="none"/>
              </w:rPr>
              <w:t>注</w:t>
            </w:r>
          </w:p>
        </w:tc>
        <w:tc>
          <w:tcPr>
            <w:tcW w:w="6294" w:type="dxa"/>
            <w:gridSpan w:val="7"/>
            <w:vAlign w:val="top"/>
          </w:tcPr>
          <w:p w14:paraId="77DCD5AA">
            <w:pPr>
              <w:pStyle w:val="18"/>
              <w:spacing w:before="165" w:line="369" w:lineRule="auto"/>
              <w:ind w:left="114" w:right="108"/>
              <w:rPr>
                <w:color w:val="auto"/>
                <w:highlight w:val="none"/>
              </w:rPr>
            </w:pPr>
            <w:r>
              <w:rPr>
                <w:color w:val="auto"/>
                <w:spacing w:val="13"/>
                <w:highlight w:val="none"/>
              </w:rPr>
              <w:t>本人</w:t>
            </w:r>
            <w:r>
              <w:rPr>
                <w:color w:val="auto"/>
                <w:spacing w:val="-91"/>
                <w:highlight w:val="none"/>
              </w:rPr>
              <w:t xml:space="preserve"> </w:t>
            </w:r>
            <w:r>
              <w:rPr>
                <w:color w:val="auto"/>
                <w:spacing w:val="13"/>
                <w:highlight w:val="none"/>
                <w:u w:val="single" w:color="auto"/>
              </w:rPr>
              <w:t xml:space="preserve">             （签名）</w:t>
            </w:r>
            <w:r>
              <w:rPr>
                <w:color w:val="auto"/>
                <w:spacing w:val="13"/>
                <w:highlight w:val="none"/>
              </w:rPr>
              <w:t>知晓为本项目的总监理工程师/驻地</w:t>
            </w:r>
            <w:r>
              <w:rPr>
                <w:color w:val="auto"/>
                <w:spacing w:val="8"/>
                <w:highlight w:val="none"/>
              </w:rPr>
              <w:t>监理工程师，并对其真实性负责。</w:t>
            </w:r>
          </w:p>
        </w:tc>
      </w:tr>
    </w:tbl>
    <w:p w14:paraId="39C85154">
      <w:pPr>
        <w:spacing w:before="158" w:line="227" w:lineRule="auto"/>
        <w:ind w:left="39"/>
        <w:rPr>
          <w:rFonts w:ascii="宋体" w:hAnsi="宋体" w:eastAsia="宋体" w:cs="宋体"/>
          <w:color w:val="auto"/>
          <w:sz w:val="20"/>
          <w:szCs w:val="20"/>
          <w:highlight w:val="none"/>
        </w:rPr>
      </w:pPr>
      <w:r>
        <w:rPr>
          <w:rFonts w:ascii="宋体" w:hAnsi="宋体" w:eastAsia="宋体" w:cs="宋体"/>
          <w:color w:val="auto"/>
          <w:spacing w:val="9"/>
          <w:sz w:val="20"/>
          <w:szCs w:val="20"/>
          <w:highlight w:val="none"/>
        </w:rPr>
        <w:t>注：1.本表应填写总监理工程师（含备选）或驻地监理工程师（含备选）相关情况。</w:t>
      </w:r>
    </w:p>
    <w:p w14:paraId="2CF310D0">
      <w:pPr>
        <w:spacing w:before="154" w:line="227" w:lineRule="auto"/>
        <w:jc w:val="right"/>
        <w:rPr>
          <w:rFonts w:ascii="宋体" w:hAnsi="宋体" w:eastAsia="宋体" w:cs="宋体"/>
          <w:color w:val="auto"/>
          <w:sz w:val="20"/>
          <w:szCs w:val="20"/>
          <w:highlight w:val="none"/>
        </w:rPr>
      </w:pPr>
      <w:r>
        <w:rPr>
          <w:rFonts w:ascii="宋体" w:hAnsi="宋体" w:eastAsia="宋体" w:cs="宋体"/>
          <w:color w:val="auto"/>
          <w:spacing w:val="7"/>
          <w:sz w:val="20"/>
          <w:szCs w:val="20"/>
          <w:highlight w:val="none"/>
        </w:rPr>
        <w:t>2.投标人应根据招标文件第二章“投标人须知</w:t>
      </w:r>
      <w:r>
        <w:rPr>
          <w:rFonts w:ascii="宋体" w:hAnsi="宋体" w:eastAsia="宋体" w:cs="宋体"/>
          <w:color w:val="auto"/>
          <w:spacing w:val="-72"/>
          <w:sz w:val="20"/>
          <w:szCs w:val="20"/>
          <w:highlight w:val="none"/>
        </w:rPr>
        <w:t xml:space="preserve"> </w:t>
      </w:r>
      <w:r>
        <w:rPr>
          <w:rFonts w:ascii="宋体" w:hAnsi="宋体" w:eastAsia="宋体" w:cs="宋体"/>
          <w:color w:val="auto"/>
          <w:spacing w:val="7"/>
          <w:sz w:val="20"/>
          <w:szCs w:val="20"/>
          <w:highlight w:val="none"/>
        </w:rPr>
        <w:t>”第</w:t>
      </w:r>
      <w:r>
        <w:rPr>
          <w:rFonts w:ascii="宋体" w:hAnsi="宋体" w:eastAsia="宋体" w:cs="宋体"/>
          <w:color w:val="auto"/>
          <w:spacing w:val="-35"/>
          <w:sz w:val="20"/>
          <w:szCs w:val="20"/>
          <w:highlight w:val="none"/>
        </w:rPr>
        <w:t xml:space="preserve"> </w:t>
      </w:r>
      <w:r>
        <w:rPr>
          <w:rFonts w:ascii="宋体" w:hAnsi="宋体" w:eastAsia="宋体" w:cs="宋体"/>
          <w:color w:val="auto"/>
          <w:spacing w:val="7"/>
          <w:sz w:val="20"/>
          <w:szCs w:val="20"/>
          <w:highlight w:val="none"/>
        </w:rPr>
        <w:t>3.5.4</w:t>
      </w:r>
      <w:r>
        <w:rPr>
          <w:rFonts w:ascii="宋体" w:hAnsi="宋体" w:eastAsia="宋体" w:cs="宋体"/>
          <w:color w:val="auto"/>
          <w:spacing w:val="-35"/>
          <w:sz w:val="20"/>
          <w:szCs w:val="20"/>
          <w:highlight w:val="none"/>
        </w:rPr>
        <w:t xml:space="preserve"> </w:t>
      </w:r>
      <w:r>
        <w:rPr>
          <w:rFonts w:ascii="宋体" w:hAnsi="宋体" w:eastAsia="宋体" w:cs="宋体"/>
          <w:color w:val="auto"/>
          <w:spacing w:val="7"/>
          <w:sz w:val="20"/>
          <w:szCs w:val="20"/>
          <w:highlight w:val="none"/>
        </w:rPr>
        <w:t>项的要求在本表后附相关证</w:t>
      </w:r>
      <w:r>
        <w:rPr>
          <w:rFonts w:ascii="宋体" w:hAnsi="宋体" w:eastAsia="宋体" w:cs="宋体"/>
          <w:color w:val="auto"/>
          <w:spacing w:val="6"/>
          <w:sz w:val="20"/>
          <w:szCs w:val="20"/>
          <w:highlight w:val="none"/>
        </w:rPr>
        <w:t>明材料。</w:t>
      </w:r>
    </w:p>
    <w:p w14:paraId="302FB8E3">
      <w:pPr>
        <w:spacing w:line="227" w:lineRule="auto"/>
        <w:rPr>
          <w:rFonts w:ascii="宋体" w:hAnsi="宋体" w:eastAsia="宋体" w:cs="宋体"/>
          <w:color w:val="auto"/>
          <w:sz w:val="20"/>
          <w:szCs w:val="20"/>
          <w:highlight w:val="none"/>
        </w:rPr>
        <w:sectPr>
          <w:footerReference r:id="rId96" w:type="default"/>
          <w:pgSz w:w="11906" w:h="16839"/>
          <w:pgMar w:top="1401" w:right="1495" w:bottom="1297" w:left="1384" w:header="0" w:footer="1067" w:gutter="0"/>
          <w:pgNumType w:fmt="decimal"/>
          <w:cols w:space="720" w:num="1"/>
        </w:sectPr>
      </w:pPr>
    </w:p>
    <w:p w14:paraId="66C4B018">
      <w:pPr>
        <w:spacing w:before="65" w:line="233" w:lineRule="auto"/>
        <w:ind w:left="1775"/>
        <w:rPr>
          <w:rFonts w:ascii="宋体" w:hAnsi="宋体" w:eastAsia="宋体" w:cs="宋体"/>
          <w:color w:val="auto"/>
          <w:sz w:val="14"/>
          <w:szCs w:val="14"/>
          <w:highlight w:val="none"/>
        </w:rPr>
      </w:pPr>
      <w:r>
        <w:rPr>
          <w:rFonts w:ascii="宋体" w:hAnsi="宋体" w:eastAsia="宋体" w:cs="宋体"/>
          <w:b/>
          <w:bCs/>
          <w:color w:val="auto"/>
          <w:spacing w:val="-3"/>
          <w:sz w:val="30"/>
          <w:szCs w:val="30"/>
          <w:highlight w:val="none"/>
        </w:rPr>
        <w:t>（七）拟委任的其他主要监理人员汇总表</w:t>
      </w:r>
    </w:p>
    <w:p w14:paraId="5B6106C2">
      <w:pPr>
        <w:spacing w:before="19"/>
        <w:rPr>
          <w:color w:val="auto"/>
          <w:highlight w:val="none"/>
        </w:rPr>
      </w:pPr>
    </w:p>
    <w:tbl>
      <w:tblPr>
        <w:tblStyle w:val="17"/>
        <w:tblW w:w="8951" w:type="dxa"/>
        <w:tblInd w:w="5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14"/>
        <w:gridCol w:w="1421"/>
        <w:gridCol w:w="1005"/>
        <w:gridCol w:w="775"/>
        <w:gridCol w:w="544"/>
        <w:gridCol w:w="1264"/>
        <w:gridCol w:w="791"/>
        <w:gridCol w:w="971"/>
        <w:gridCol w:w="1266"/>
      </w:tblGrid>
      <w:tr w14:paraId="6588E0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914" w:type="dxa"/>
            <w:vMerge w:val="restart"/>
            <w:tcBorders>
              <w:bottom w:val="nil"/>
            </w:tcBorders>
            <w:vAlign w:val="top"/>
          </w:tcPr>
          <w:p w14:paraId="6609920B">
            <w:pPr>
              <w:spacing w:line="335" w:lineRule="auto"/>
              <w:rPr>
                <w:rFonts w:ascii="Arial"/>
                <w:color w:val="auto"/>
                <w:sz w:val="21"/>
                <w:highlight w:val="none"/>
              </w:rPr>
            </w:pPr>
          </w:p>
          <w:p w14:paraId="5ADCCEAB">
            <w:pPr>
              <w:pStyle w:val="18"/>
              <w:spacing w:before="65" w:line="229" w:lineRule="auto"/>
              <w:ind w:left="251"/>
              <w:rPr>
                <w:color w:val="auto"/>
                <w:highlight w:val="none"/>
              </w:rPr>
            </w:pPr>
            <w:r>
              <w:rPr>
                <w:color w:val="auto"/>
                <w:spacing w:val="5"/>
                <w:highlight w:val="none"/>
              </w:rPr>
              <w:t>序号</w:t>
            </w:r>
          </w:p>
        </w:tc>
        <w:tc>
          <w:tcPr>
            <w:tcW w:w="1421" w:type="dxa"/>
            <w:vMerge w:val="restart"/>
            <w:tcBorders>
              <w:bottom w:val="nil"/>
            </w:tcBorders>
            <w:vAlign w:val="top"/>
          </w:tcPr>
          <w:p w14:paraId="666E58BF">
            <w:pPr>
              <w:spacing w:line="335" w:lineRule="auto"/>
              <w:rPr>
                <w:rFonts w:ascii="Arial"/>
                <w:color w:val="auto"/>
                <w:sz w:val="21"/>
                <w:highlight w:val="none"/>
              </w:rPr>
            </w:pPr>
          </w:p>
          <w:p w14:paraId="03F96DDD">
            <w:pPr>
              <w:pStyle w:val="18"/>
              <w:spacing w:before="65" w:line="227" w:lineRule="auto"/>
              <w:ind w:left="190"/>
              <w:rPr>
                <w:color w:val="auto"/>
                <w:highlight w:val="none"/>
              </w:rPr>
            </w:pPr>
            <w:r>
              <w:rPr>
                <w:color w:val="auto"/>
                <w:spacing w:val="7"/>
                <w:highlight w:val="none"/>
              </w:rPr>
              <w:t>本标段任职</w:t>
            </w:r>
          </w:p>
        </w:tc>
        <w:tc>
          <w:tcPr>
            <w:tcW w:w="1005" w:type="dxa"/>
            <w:vMerge w:val="restart"/>
            <w:tcBorders>
              <w:bottom w:val="nil"/>
            </w:tcBorders>
            <w:vAlign w:val="top"/>
          </w:tcPr>
          <w:p w14:paraId="745E99FE">
            <w:pPr>
              <w:spacing w:line="335" w:lineRule="auto"/>
              <w:rPr>
                <w:rFonts w:ascii="Arial"/>
                <w:color w:val="auto"/>
                <w:sz w:val="21"/>
                <w:highlight w:val="none"/>
              </w:rPr>
            </w:pPr>
          </w:p>
          <w:p w14:paraId="4A68A418">
            <w:pPr>
              <w:pStyle w:val="18"/>
              <w:spacing w:before="65" w:line="228" w:lineRule="auto"/>
              <w:ind w:left="297"/>
              <w:rPr>
                <w:color w:val="auto"/>
                <w:highlight w:val="none"/>
              </w:rPr>
            </w:pPr>
            <w:r>
              <w:rPr>
                <w:color w:val="auto"/>
                <w:spacing w:val="4"/>
                <w:highlight w:val="none"/>
              </w:rPr>
              <w:t>姓名</w:t>
            </w:r>
          </w:p>
        </w:tc>
        <w:tc>
          <w:tcPr>
            <w:tcW w:w="775" w:type="dxa"/>
            <w:vMerge w:val="restart"/>
            <w:tcBorders>
              <w:bottom w:val="nil"/>
            </w:tcBorders>
            <w:vAlign w:val="top"/>
          </w:tcPr>
          <w:p w14:paraId="14A5FBCD">
            <w:pPr>
              <w:pStyle w:val="18"/>
              <w:spacing w:before="181" w:line="228" w:lineRule="auto"/>
              <w:ind w:left="184"/>
              <w:rPr>
                <w:color w:val="auto"/>
                <w:highlight w:val="none"/>
              </w:rPr>
            </w:pPr>
            <w:r>
              <w:rPr>
                <w:color w:val="auto"/>
                <w:spacing w:val="4"/>
                <w:highlight w:val="none"/>
              </w:rPr>
              <w:t>技术</w:t>
            </w:r>
          </w:p>
          <w:p w14:paraId="3E55641D">
            <w:pPr>
              <w:pStyle w:val="18"/>
              <w:spacing w:before="194" w:line="230" w:lineRule="auto"/>
              <w:ind w:left="184"/>
              <w:rPr>
                <w:color w:val="auto"/>
                <w:highlight w:val="none"/>
              </w:rPr>
            </w:pPr>
            <w:r>
              <w:rPr>
                <w:color w:val="auto"/>
                <w:spacing w:val="4"/>
                <w:highlight w:val="none"/>
              </w:rPr>
              <w:t>职称</w:t>
            </w:r>
          </w:p>
        </w:tc>
        <w:tc>
          <w:tcPr>
            <w:tcW w:w="544" w:type="dxa"/>
            <w:vMerge w:val="restart"/>
            <w:tcBorders>
              <w:bottom w:val="nil"/>
            </w:tcBorders>
            <w:textDirection w:val="tbRlV"/>
            <w:vAlign w:val="top"/>
          </w:tcPr>
          <w:p w14:paraId="1992D95C">
            <w:pPr>
              <w:pStyle w:val="18"/>
              <w:spacing w:before="164" w:line="217" w:lineRule="auto"/>
              <w:ind w:left="181"/>
              <w:rPr>
                <w:color w:val="auto"/>
                <w:highlight w:val="none"/>
              </w:rPr>
            </w:pPr>
            <w:r>
              <w:rPr>
                <w:color w:val="auto"/>
                <w:spacing w:val="8"/>
                <w:highlight w:val="none"/>
              </w:rPr>
              <w:t>专</w:t>
            </w:r>
            <w:r>
              <w:rPr>
                <w:color w:val="auto"/>
                <w:spacing w:val="16"/>
                <w:highlight w:val="none"/>
              </w:rPr>
              <w:t xml:space="preserve">  </w:t>
            </w:r>
            <w:r>
              <w:rPr>
                <w:color w:val="auto"/>
                <w:spacing w:val="8"/>
                <w:highlight w:val="none"/>
              </w:rPr>
              <w:t>业</w:t>
            </w:r>
          </w:p>
        </w:tc>
        <w:tc>
          <w:tcPr>
            <w:tcW w:w="3026" w:type="dxa"/>
            <w:gridSpan w:val="3"/>
            <w:vAlign w:val="top"/>
          </w:tcPr>
          <w:p w14:paraId="4A08313D">
            <w:pPr>
              <w:pStyle w:val="18"/>
              <w:spacing w:before="176" w:line="228" w:lineRule="auto"/>
              <w:ind w:left="575"/>
              <w:rPr>
                <w:color w:val="auto"/>
                <w:highlight w:val="none"/>
              </w:rPr>
            </w:pPr>
            <w:r>
              <w:rPr>
                <w:color w:val="auto"/>
                <w:spacing w:val="8"/>
                <w:highlight w:val="none"/>
              </w:rPr>
              <w:t>执业或职业资格证明</w:t>
            </w:r>
          </w:p>
        </w:tc>
        <w:tc>
          <w:tcPr>
            <w:tcW w:w="1266" w:type="dxa"/>
            <w:vMerge w:val="restart"/>
            <w:tcBorders>
              <w:bottom w:val="nil"/>
            </w:tcBorders>
            <w:vAlign w:val="top"/>
          </w:tcPr>
          <w:p w14:paraId="129DB8DE">
            <w:pPr>
              <w:spacing w:line="335" w:lineRule="auto"/>
              <w:rPr>
                <w:rFonts w:ascii="Arial"/>
                <w:color w:val="auto"/>
                <w:sz w:val="21"/>
                <w:highlight w:val="none"/>
              </w:rPr>
            </w:pPr>
          </w:p>
          <w:p w14:paraId="5CD04B3C">
            <w:pPr>
              <w:pStyle w:val="18"/>
              <w:spacing w:before="65" w:line="229" w:lineRule="auto"/>
              <w:ind w:left="432"/>
              <w:rPr>
                <w:color w:val="auto"/>
                <w:highlight w:val="none"/>
              </w:rPr>
            </w:pPr>
            <w:r>
              <w:rPr>
                <w:color w:val="auto"/>
                <w:spacing w:val="3"/>
                <w:highlight w:val="none"/>
              </w:rPr>
              <w:t>备注</w:t>
            </w:r>
          </w:p>
        </w:tc>
      </w:tr>
      <w:tr w14:paraId="73F40A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914" w:type="dxa"/>
            <w:vMerge w:val="continue"/>
            <w:tcBorders>
              <w:top w:val="nil"/>
            </w:tcBorders>
            <w:vAlign w:val="top"/>
          </w:tcPr>
          <w:p w14:paraId="6EEEF398">
            <w:pPr>
              <w:rPr>
                <w:rFonts w:ascii="Arial"/>
                <w:color w:val="auto"/>
                <w:sz w:val="21"/>
                <w:highlight w:val="none"/>
              </w:rPr>
            </w:pPr>
          </w:p>
        </w:tc>
        <w:tc>
          <w:tcPr>
            <w:tcW w:w="1421" w:type="dxa"/>
            <w:vMerge w:val="continue"/>
            <w:tcBorders>
              <w:top w:val="nil"/>
            </w:tcBorders>
            <w:vAlign w:val="top"/>
          </w:tcPr>
          <w:p w14:paraId="1E33EF48">
            <w:pPr>
              <w:rPr>
                <w:rFonts w:ascii="Arial"/>
                <w:color w:val="auto"/>
                <w:sz w:val="21"/>
                <w:highlight w:val="none"/>
              </w:rPr>
            </w:pPr>
          </w:p>
        </w:tc>
        <w:tc>
          <w:tcPr>
            <w:tcW w:w="1005" w:type="dxa"/>
            <w:vMerge w:val="continue"/>
            <w:tcBorders>
              <w:top w:val="nil"/>
            </w:tcBorders>
            <w:vAlign w:val="top"/>
          </w:tcPr>
          <w:p w14:paraId="0B0949D0">
            <w:pPr>
              <w:rPr>
                <w:rFonts w:ascii="Arial"/>
                <w:color w:val="auto"/>
                <w:sz w:val="21"/>
                <w:highlight w:val="none"/>
              </w:rPr>
            </w:pPr>
          </w:p>
        </w:tc>
        <w:tc>
          <w:tcPr>
            <w:tcW w:w="775" w:type="dxa"/>
            <w:vMerge w:val="continue"/>
            <w:tcBorders>
              <w:top w:val="nil"/>
            </w:tcBorders>
            <w:vAlign w:val="top"/>
          </w:tcPr>
          <w:p w14:paraId="02E2C4C3">
            <w:pPr>
              <w:rPr>
                <w:rFonts w:ascii="Arial"/>
                <w:color w:val="auto"/>
                <w:sz w:val="21"/>
                <w:highlight w:val="none"/>
              </w:rPr>
            </w:pPr>
          </w:p>
        </w:tc>
        <w:tc>
          <w:tcPr>
            <w:tcW w:w="544" w:type="dxa"/>
            <w:vMerge w:val="continue"/>
            <w:tcBorders>
              <w:top w:val="nil"/>
            </w:tcBorders>
            <w:textDirection w:val="tbRlV"/>
            <w:vAlign w:val="top"/>
          </w:tcPr>
          <w:p w14:paraId="606C4305">
            <w:pPr>
              <w:rPr>
                <w:rFonts w:ascii="Arial"/>
                <w:color w:val="auto"/>
                <w:sz w:val="21"/>
                <w:highlight w:val="none"/>
              </w:rPr>
            </w:pPr>
          </w:p>
        </w:tc>
        <w:tc>
          <w:tcPr>
            <w:tcW w:w="1264" w:type="dxa"/>
            <w:vAlign w:val="top"/>
          </w:tcPr>
          <w:p w14:paraId="033745BA">
            <w:pPr>
              <w:pStyle w:val="18"/>
              <w:spacing w:before="173" w:line="227" w:lineRule="auto"/>
              <w:ind w:left="217"/>
              <w:rPr>
                <w:color w:val="auto"/>
                <w:highlight w:val="none"/>
              </w:rPr>
            </w:pPr>
            <w:r>
              <w:rPr>
                <w:color w:val="auto"/>
                <w:spacing w:val="7"/>
                <w:highlight w:val="none"/>
              </w:rPr>
              <w:t>证书名称</w:t>
            </w:r>
          </w:p>
        </w:tc>
        <w:tc>
          <w:tcPr>
            <w:tcW w:w="791" w:type="dxa"/>
            <w:vAlign w:val="top"/>
          </w:tcPr>
          <w:p w14:paraId="7BBF1E30">
            <w:pPr>
              <w:pStyle w:val="18"/>
              <w:spacing w:before="174" w:line="228" w:lineRule="auto"/>
              <w:ind w:left="195"/>
              <w:rPr>
                <w:color w:val="auto"/>
                <w:highlight w:val="none"/>
              </w:rPr>
            </w:pPr>
            <w:r>
              <w:rPr>
                <w:color w:val="auto"/>
                <w:spacing w:val="3"/>
                <w:highlight w:val="none"/>
              </w:rPr>
              <w:t>级别</w:t>
            </w:r>
          </w:p>
        </w:tc>
        <w:tc>
          <w:tcPr>
            <w:tcW w:w="971" w:type="dxa"/>
            <w:vAlign w:val="top"/>
          </w:tcPr>
          <w:p w14:paraId="7308F15F">
            <w:pPr>
              <w:pStyle w:val="18"/>
              <w:spacing w:before="174" w:line="229" w:lineRule="auto"/>
              <w:ind w:left="282"/>
              <w:rPr>
                <w:color w:val="auto"/>
                <w:highlight w:val="none"/>
              </w:rPr>
            </w:pPr>
            <w:r>
              <w:rPr>
                <w:color w:val="auto"/>
                <w:spacing w:val="4"/>
                <w:highlight w:val="none"/>
              </w:rPr>
              <w:t>证号</w:t>
            </w:r>
          </w:p>
        </w:tc>
        <w:tc>
          <w:tcPr>
            <w:tcW w:w="1266" w:type="dxa"/>
            <w:vMerge w:val="continue"/>
            <w:tcBorders>
              <w:top w:val="nil"/>
            </w:tcBorders>
            <w:vAlign w:val="top"/>
          </w:tcPr>
          <w:p w14:paraId="462E82BB">
            <w:pPr>
              <w:rPr>
                <w:rFonts w:ascii="Arial"/>
                <w:color w:val="auto"/>
                <w:sz w:val="21"/>
                <w:highlight w:val="none"/>
              </w:rPr>
            </w:pPr>
          </w:p>
        </w:tc>
      </w:tr>
      <w:tr w14:paraId="17839A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914" w:type="dxa"/>
            <w:vAlign w:val="top"/>
          </w:tcPr>
          <w:p w14:paraId="616DD468">
            <w:pPr>
              <w:rPr>
                <w:rFonts w:ascii="Arial"/>
                <w:color w:val="auto"/>
                <w:sz w:val="21"/>
                <w:highlight w:val="none"/>
              </w:rPr>
            </w:pPr>
          </w:p>
        </w:tc>
        <w:tc>
          <w:tcPr>
            <w:tcW w:w="1421" w:type="dxa"/>
            <w:vAlign w:val="top"/>
          </w:tcPr>
          <w:p w14:paraId="76947E57">
            <w:pPr>
              <w:rPr>
                <w:rFonts w:ascii="Arial"/>
                <w:color w:val="auto"/>
                <w:sz w:val="21"/>
                <w:highlight w:val="none"/>
              </w:rPr>
            </w:pPr>
          </w:p>
        </w:tc>
        <w:tc>
          <w:tcPr>
            <w:tcW w:w="1005" w:type="dxa"/>
            <w:vAlign w:val="top"/>
          </w:tcPr>
          <w:p w14:paraId="157DF448">
            <w:pPr>
              <w:rPr>
                <w:rFonts w:ascii="Arial"/>
                <w:color w:val="auto"/>
                <w:sz w:val="21"/>
                <w:highlight w:val="none"/>
              </w:rPr>
            </w:pPr>
          </w:p>
        </w:tc>
        <w:tc>
          <w:tcPr>
            <w:tcW w:w="775" w:type="dxa"/>
            <w:vAlign w:val="top"/>
          </w:tcPr>
          <w:p w14:paraId="6B4D400E">
            <w:pPr>
              <w:rPr>
                <w:rFonts w:ascii="Arial"/>
                <w:color w:val="auto"/>
                <w:sz w:val="21"/>
                <w:highlight w:val="none"/>
              </w:rPr>
            </w:pPr>
          </w:p>
        </w:tc>
        <w:tc>
          <w:tcPr>
            <w:tcW w:w="544" w:type="dxa"/>
            <w:vAlign w:val="top"/>
          </w:tcPr>
          <w:p w14:paraId="0C649877">
            <w:pPr>
              <w:rPr>
                <w:rFonts w:ascii="Arial"/>
                <w:color w:val="auto"/>
                <w:sz w:val="21"/>
                <w:highlight w:val="none"/>
              </w:rPr>
            </w:pPr>
          </w:p>
        </w:tc>
        <w:tc>
          <w:tcPr>
            <w:tcW w:w="1264" w:type="dxa"/>
            <w:vAlign w:val="top"/>
          </w:tcPr>
          <w:p w14:paraId="5B3CC64D">
            <w:pPr>
              <w:rPr>
                <w:rFonts w:ascii="Arial"/>
                <w:color w:val="auto"/>
                <w:sz w:val="21"/>
                <w:highlight w:val="none"/>
              </w:rPr>
            </w:pPr>
          </w:p>
        </w:tc>
        <w:tc>
          <w:tcPr>
            <w:tcW w:w="791" w:type="dxa"/>
            <w:vAlign w:val="top"/>
          </w:tcPr>
          <w:p w14:paraId="026B6974">
            <w:pPr>
              <w:rPr>
                <w:rFonts w:ascii="Arial"/>
                <w:color w:val="auto"/>
                <w:sz w:val="21"/>
                <w:highlight w:val="none"/>
              </w:rPr>
            </w:pPr>
          </w:p>
        </w:tc>
        <w:tc>
          <w:tcPr>
            <w:tcW w:w="971" w:type="dxa"/>
            <w:vAlign w:val="top"/>
          </w:tcPr>
          <w:p w14:paraId="67E1A124">
            <w:pPr>
              <w:rPr>
                <w:rFonts w:ascii="Arial"/>
                <w:color w:val="auto"/>
                <w:sz w:val="21"/>
                <w:highlight w:val="none"/>
              </w:rPr>
            </w:pPr>
          </w:p>
        </w:tc>
        <w:tc>
          <w:tcPr>
            <w:tcW w:w="1266" w:type="dxa"/>
            <w:vAlign w:val="top"/>
          </w:tcPr>
          <w:p w14:paraId="0E9A1454">
            <w:pPr>
              <w:rPr>
                <w:rFonts w:ascii="Arial"/>
                <w:color w:val="auto"/>
                <w:sz w:val="21"/>
                <w:highlight w:val="none"/>
              </w:rPr>
            </w:pPr>
          </w:p>
        </w:tc>
      </w:tr>
      <w:tr w14:paraId="2DE25F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914" w:type="dxa"/>
            <w:vAlign w:val="top"/>
          </w:tcPr>
          <w:p w14:paraId="24836726">
            <w:pPr>
              <w:rPr>
                <w:rFonts w:ascii="Arial"/>
                <w:color w:val="auto"/>
                <w:sz w:val="21"/>
                <w:highlight w:val="none"/>
              </w:rPr>
            </w:pPr>
          </w:p>
        </w:tc>
        <w:tc>
          <w:tcPr>
            <w:tcW w:w="1421" w:type="dxa"/>
            <w:vAlign w:val="top"/>
          </w:tcPr>
          <w:p w14:paraId="69504510">
            <w:pPr>
              <w:rPr>
                <w:rFonts w:ascii="Arial"/>
                <w:color w:val="auto"/>
                <w:sz w:val="21"/>
                <w:highlight w:val="none"/>
              </w:rPr>
            </w:pPr>
          </w:p>
        </w:tc>
        <w:tc>
          <w:tcPr>
            <w:tcW w:w="1005" w:type="dxa"/>
            <w:vAlign w:val="top"/>
          </w:tcPr>
          <w:p w14:paraId="19F7AC39">
            <w:pPr>
              <w:rPr>
                <w:rFonts w:ascii="Arial"/>
                <w:color w:val="auto"/>
                <w:sz w:val="21"/>
                <w:highlight w:val="none"/>
              </w:rPr>
            </w:pPr>
          </w:p>
        </w:tc>
        <w:tc>
          <w:tcPr>
            <w:tcW w:w="775" w:type="dxa"/>
            <w:vAlign w:val="top"/>
          </w:tcPr>
          <w:p w14:paraId="52FA825C">
            <w:pPr>
              <w:rPr>
                <w:rFonts w:ascii="Arial"/>
                <w:color w:val="auto"/>
                <w:sz w:val="21"/>
                <w:highlight w:val="none"/>
              </w:rPr>
            </w:pPr>
          </w:p>
        </w:tc>
        <w:tc>
          <w:tcPr>
            <w:tcW w:w="544" w:type="dxa"/>
            <w:vAlign w:val="top"/>
          </w:tcPr>
          <w:p w14:paraId="05E30752">
            <w:pPr>
              <w:rPr>
                <w:rFonts w:ascii="Arial"/>
                <w:color w:val="auto"/>
                <w:sz w:val="21"/>
                <w:highlight w:val="none"/>
              </w:rPr>
            </w:pPr>
          </w:p>
        </w:tc>
        <w:tc>
          <w:tcPr>
            <w:tcW w:w="1264" w:type="dxa"/>
            <w:vAlign w:val="top"/>
          </w:tcPr>
          <w:p w14:paraId="28AB3410">
            <w:pPr>
              <w:rPr>
                <w:rFonts w:ascii="Arial"/>
                <w:color w:val="auto"/>
                <w:sz w:val="21"/>
                <w:highlight w:val="none"/>
              </w:rPr>
            </w:pPr>
          </w:p>
        </w:tc>
        <w:tc>
          <w:tcPr>
            <w:tcW w:w="791" w:type="dxa"/>
            <w:vAlign w:val="top"/>
          </w:tcPr>
          <w:p w14:paraId="3C717CE6">
            <w:pPr>
              <w:rPr>
                <w:rFonts w:ascii="Arial"/>
                <w:color w:val="auto"/>
                <w:sz w:val="21"/>
                <w:highlight w:val="none"/>
              </w:rPr>
            </w:pPr>
          </w:p>
        </w:tc>
        <w:tc>
          <w:tcPr>
            <w:tcW w:w="971" w:type="dxa"/>
            <w:vAlign w:val="top"/>
          </w:tcPr>
          <w:p w14:paraId="02195F56">
            <w:pPr>
              <w:rPr>
                <w:rFonts w:ascii="Arial"/>
                <w:color w:val="auto"/>
                <w:sz w:val="21"/>
                <w:highlight w:val="none"/>
              </w:rPr>
            </w:pPr>
          </w:p>
        </w:tc>
        <w:tc>
          <w:tcPr>
            <w:tcW w:w="1266" w:type="dxa"/>
            <w:vAlign w:val="top"/>
          </w:tcPr>
          <w:p w14:paraId="0382B878">
            <w:pPr>
              <w:rPr>
                <w:rFonts w:ascii="Arial"/>
                <w:color w:val="auto"/>
                <w:sz w:val="21"/>
                <w:highlight w:val="none"/>
              </w:rPr>
            </w:pPr>
          </w:p>
        </w:tc>
      </w:tr>
      <w:tr w14:paraId="2A4508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914" w:type="dxa"/>
            <w:vAlign w:val="top"/>
          </w:tcPr>
          <w:p w14:paraId="32DBAC61">
            <w:pPr>
              <w:rPr>
                <w:rFonts w:ascii="Arial"/>
                <w:color w:val="auto"/>
                <w:sz w:val="21"/>
                <w:highlight w:val="none"/>
              </w:rPr>
            </w:pPr>
          </w:p>
        </w:tc>
        <w:tc>
          <w:tcPr>
            <w:tcW w:w="1421" w:type="dxa"/>
            <w:vAlign w:val="top"/>
          </w:tcPr>
          <w:p w14:paraId="3A96DDD0">
            <w:pPr>
              <w:rPr>
                <w:rFonts w:ascii="Arial"/>
                <w:color w:val="auto"/>
                <w:sz w:val="21"/>
                <w:highlight w:val="none"/>
              </w:rPr>
            </w:pPr>
          </w:p>
        </w:tc>
        <w:tc>
          <w:tcPr>
            <w:tcW w:w="1005" w:type="dxa"/>
            <w:vAlign w:val="top"/>
          </w:tcPr>
          <w:p w14:paraId="5346A238">
            <w:pPr>
              <w:rPr>
                <w:rFonts w:ascii="Arial"/>
                <w:color w:val="auto"/>
                <w:sz w:val="21"/>
                <w:highlight w:val="none"/>
              </w:rPr>
            </w:pPr>
          </w:p>
        </w:tc>
        <w:tc>
          <w:tcPr>
            <w:tcW w:w="775" w:type="dxa"/>
            <w:vAlign w:val="top"/>
          </w:tcPr>
          <w:p w14:paraId="24247256">
            <w:pPr>
              <w:rPr>
                <w:rFonts w:ascii="Arial"/>
                <w:color w:val="auto"/>
                <w:sz w:val="21"/>
                <w:highlight w:val="none"/>
              </w:rPr>
            </w:pPr>
          </w:p>
        </w:tc>
        <w:tc>
          <w:tcPr>
            <w:tcW w:w="544" w:type="dxa"/>
            <w:vAlign w:val="top"/>
          </w:tcPr>
          <w:p w14:paraId="77E38FF3">
            <w:pPr>
              <w:rPr>
                <w:rFonts w:ascii="Arial"/>
                <w:color w:val="auto"/>
                <w:sz w:val="21"/>
                <w:highlight w:val="none"/>
              </w:rPr>
            </w:pPr>
          </w:p>
        </w:tc>
        <w:tc>
          <w:tcPr>
            <w:tcW w:w="1264" w:type="dxa"/>
            <w:vAlign w:val="top"/>
          </w:tcPr>
          <w:p w14:paraId="622072C4">
            <w:pPr>
              <w:rPr>
                <w:rFonts w:ascii="Arial"/>
                <w:color w:val="auto"/>
                <w:sz w:val="21"/>
                <w:highlight w:val="none"/>
              </w:rPr>
            </w:pPr>
          </w:p>
        </w:tc>
        <w:tc>
          <w:tcPr>
            <w:tcW w:w="791" w:type="dxa"/>
            <w:vAlign w:val="top"/>
          </w:tcPr>
          <w:p w14:paraId="1ABE5536">
            <w:pPr>
              <w:rPr>
                <w:rFonts w:ascii="Arial"/>
                <w:color w:val="auto"/>
                <w:sz w:val="21"/>
                <w:highlight w:val="none"/>
              </w:rPr>
            </w:pPr>
          </w:p>
        </w:tc>
        <w:tc>
          <w:tcPr>
            <w:tcW w:w="971" w:type="dxa"/>
            <w:vAlign w:val="top"/>
          </w:tcPr>
          <w:p w14:paraId="605DA461">
            <w:pPr>
              <w:rPr>
                <w:rFonts w:ascii="Arial"/>
                <w:color w:val="auto"/>
                <w:sz w:val="21"/>
                <w:highlight w:val="none"/>
              </w:rPr>
            </w:pPr>
          </w:p>
        </w:tc>
        <w:tc>
          <w:tcPr>
            <w:tcW w:w="1266" w:type="dxa"/>
            <w:vAlign w:val="top"/>
          </w:tcPr>
          <w:p w14:paraId="030D8DCE">
            <w:pPr>
              <w:rPr>
                <w:rFonts w:ascii="Arial"/>
                <w:color w:val="auto"/>
                <w:sz w:val="21"/>
                <w:highlight w:val="none"/>
              </w:rPr>
            </w:pPr>
          </w:p>
        </w:tc>
      </w:tr>
      <w:tr w14:paraId="4129DD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914" w:type="dxa"/>
            <w:vAlign w:val="top"/>
          </w:tcPr>
          <w:p w14:paraId="435346FE">
            <w:pPr>
              <w:rPr>
                <w:rFonts w:ascii="Arial"/>
                <w:color w:val="auto"/>
                <w:sz w:val="21"/>
                <w:highlight w:val="none"/>
              </w:rPr>
            </w:pPr>
          </w:p>
        </w:tc>
        <w:tc>
          <w:tcPr>
            <w:tcW w:w="1421" w:type="dxa"/>
            <w:vAlign w:val="top"/>
          </w:tcPr>
          <w:p w14:paraId="65B3EC1C">
            <w:pPr>
              <w:rPr>
                <w:rFonts w:ascii="Arial"/>
                <w:color w:val="auto"/>
                <w:sz w:val="21"/>
                <w:highlight w:val="none"/>
              </w:rPr>
            </w:pPr>
          </w:p>
        </w:tc>
        <w:tc>
          <w:tcPr>
            <w:tcW w:w="1005" w:type="dxa"/>
            <w:vAlign w:val="top"/>
          </w:tcPr>
          <w:p w14:paraId="287C8E90">
            <w:pPr>
              <w:rPr>
                <w:rFonts w:ascii="Arial"/>
                <w:color w:val="auto"/>
                <w:sz w:val="21"/>
                <w:highlight w:val="none"/>
              </w:rPr>
            </w:pPr>
          </w:p>
        </w:tc>
        <w:tc>
          <w:tcPr>
            <w:tcW w:w="775" w:type="dxa"/>
            <w:vAlign w:val="top"/>
          </w:tcPr>
          <w:p w14:paraId="018C8047">
            <w:pPr>
              <w:rPr>
                <w:rFonts w:ascii="Arial"/>
                <w:color w:val="auto"/>
                <w:sz w:val="21"/>
                <w:highlight w:val="none"/>
              </w:rPr>
            </w:pPr>
          </w:p>
        </w:tc>
        <w:tc>
          <w:tcPr>
            <w:tcW w:w="544" w:type="dxa"/>
            <w:vAlign w:val="top"/>
          </w:tcPr>
          <w:p w14:paraId="725AFAD6">
            <w:pPr>
              <w:rPr>
                <w:rFonts w:ascii="Arial"/>
                <w:color w:val="auto"/>
                <w:sz w:val="21"/>
                <w:highlight w:val="none"/>
              </w:rPr>
            </w:pPr>
          </w:p>
        </w:tc>
        <w:tc>
          <w:tcPr>
            <w:tcW w:w="1264" w:type="dxa"/>
            <w:vAlign w:val="top"/>
          </w:tcPr>
          <w:p w14:paraId="1D589BE2">
            <w:pPr>
              <w:rPr>
                <w:rFonts w:ascii="Arial"/>
                <w:color w:val="auto"/>
                <w:sz w:val="21"/>
                <w:highlight w:val="none"/>
              </w:rPr>
            </w:pPr>
          </w:p>
        </w:tc>
        <w:tc>
          <w:tcPr>
            <w:tcW w:w="791" w:type="dxa"/>
            <w:vAlign w:val="top"/>
          </w:tcPr>
          <w:p w14:paraId="17FC5660">
            <w:pPr>
              <w:rPr>
                <w:rFonts w:ascii="Arial"/>
                <w:color w:val="auto"/>
                <w:sz w:val="21"/>
                <w:highlight w:val="none"/>
              </w:rPr>
            </w:pPr>
          </w:p>
        </w:tc>
        <w:tc>
          <w:tcPr>
            <w:tcW w:w="971" w:type="dxa"/>
            <w:vAlign w:val="top"/>
          </w:tcPr>
          <w:p w14:paraId="0BC87A24">
            <w:pPr>
              <w:rPr>
                <w:rFonts w:ascii="Arial"/>
                <w:color w:val="auto"/>
                <w:sz w:val="21"/>
                <w:highlight w:val="none"/>
              </w:rPr>
            </w:pPr>
          </w:p>
        </w:tc>
        <w:tc>
          <w:tcPr>
            <w:tcW w:w="1266" w:type="dxa"/>
            <w:vAlign w:val="top"/>
          </w:tcPr>
          <w:p w14:paraId="37555832">
            <w:pPr>
              <w:rPr>
                <w:rFonts w:ascii="Arial"/>
                <w:color w:val="auto"/>
                <w:sz w:val="21"/>
                <w:highlight w:val="none"/>
              </w:rPr>
            </w:pPr>
          </w:p>
        </w:tc>
      </w:tr>
      <w:tr w14:paraId="277A83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914" w:type="dxa"/>
            <w:vAlign w:val="top"/>
          </w:tcPr>
          <w:p w14:paraId="4E329271">
            <w:pPr>
              <w:rPr>
                <w:rFonts w:ascii="Arial"/>
                <w:color w:val="auto"/>
                <w:sz w:val="21"/>
                <w:highlight w:val="none"/>
              </w:rPr>
            </w:pPr>
          </w:p>
        </w:tc>
        <w:tc>
          <w:tcPr>
            <w:tcW w:w="1421" w:type="dxa"/>
            <w:vAlign w:val="top"/>
          </w:tcPr>
          <w:p w14:paraId="7766763E">
            <w:pPr>
              <w:rPr>
                <w:rFonts w:ascii="Arial"/>
                <w:color w:val="auto"/>
                <w:sz w:val="21"/>
                <w:highlight w:val="none"/>
              </w:rPr>
            </w:pPr>
          </w:p>
        </w:tc>
        <w:tc>
          <w:tcPr>
            <w:tcW w:w="1005" w:type="dxa"/>
            <w:vAlign w:val="top"/>
          </w:tcPr>
          <w:p w14:paraId="4D969879">
            <w:pPr>
              <w:rPr>
                <w:rFonts w:ascii="Arial"/>
                <w:color w:val="auto"/>
                <w:sz w:val="21"/>
                <w:highlight w:val="none"/>
              </w:rPr>
            </w:pPr>
          </w:p>
        </w:tc>
        <w:tc>
          <w:tcPr>
            <w:tcW w:w="775" w:type="dxa"/>
            <w:vAlign w:val="top"/>
          </w:tcPr>
          <w:p w14:paraId="57FA7087">
            <w:pPr>
              <w:rPr>
                <w:rFonts w:ascii="Arial"/>
                <w:color w:val="auto"/>
                <w:sz w:val="21"/>
                <w:highlight w:val="none"/>
              </w:rPr>
            </w:pPr>
          </w:p>
        </w:tc>
        <w:tc>
          <w:tcPr>
            <w:tcW w:w="544" w:type="dxa"/>
            <w:vAlign w:val="top"/>
          </w:tcPr>
          <w:p w14:paraId="6956BA93">
            <w:pPr>
              <w:rPr>
                <w:rFonts w:ascii="Arial"/>
                <w:color w:val="auto"/>
                <w:sz w:val="21"/>
                <w:highlight w:val="none"/>
              </w:rPr>
            </w:pPr>
          </w:p>
        </w:tc>
        <w:tc>
          <w:tcPr>
            <w:tcW w:w="1264" w:type="dxa"/>
            <w:vAlign w:val="top"/>
          </w:tcPr>
          <w:p w14:paraId="4E89666E">
            <w:pPr>
              <w:rPr>
                <w:rFonts w:ascii="Arial"/>
                <w:color w:val="auto"/>
                <w:sz w:val="21"/>
                <w:highlight w:val="none"/>
              </w:rPr>
            </w:pPr>
          </w:p>
        </w:tc>
        <w:tc>
          <w:tcPr>
            <w:tcW w:w="791" w:type="dxa"/>
            <w:vAlign w:val="top"/>
          </w:tcPr>
          <w:p w14:paraId="6BDC44D8">
            <w:pPr>
              <w:rPr>
                <w:rFonts w:ascii="Arial"/>
                <w:color w:val="auto"/>
                <w:sz w:val="21"/>
                <w:highlight w:val="none"/>
              </w:rPr>
            </w:pPr>
          </w:p>
        </w:tc>
        <w:tc>
          <w:tcPr>
            <w:tcW w:w="971" w:type="dxa"/>
            <w:vAlign w:val="top"/>
          </w:tcPr>
          <w:p w14:paraId="01276AC5">
            <w:pPr>
              <w:rPr>
                <w:rFonts w:ascii="Arial"/>
                <w:color w:val="auto"/>
                <w:sz w:val="21"/>
                <w:highlight w:val="none"/>
              </w:rPr>
            </w:pPr>
          </w:p>
        </w:tc>
        <w:tc>
          <w:tcPr>
            <w:tcW w:w="1266" w:type="dxa"/>
            <w:vAlign w:val="top"/>
          </w:tcPr>
          <w:p w14:paraId="25C5723A">
            <w:pPr>
              <w:rPr>
                <w:rFonts w:ascii="Arial"/>
                <w:color w:val="auto"/>
                <w:sz w:val="21"/>
                <w:highlight w:val="none"/>
              </w:rPr>
            </w:pPr>
          </w:p>
        </w:tc>
      </w:tr>
      <w:tr w14:paraId="387A1C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914" w:type="dxa"/>
            <w:vAlign w:val="top"/>
          </w:tcPr>
          <w:p w14:paraId="285D9B77">
            <w:pPr>
              <w:rPr>
                <w:rFonts w:ascii="Arial"/>
                <w:color w:val="auto"/>
                <w:sz w:val="21"/>
                <w:highlight w:val="none"/>
              </w:rPr>
            </w:pPr>
          </w:p>
        </w:tc>
        <w:tc>
          <w:tcPr>
            <w:tcW w:w="1421" w:type="dxa"/>
            <w:vAlign w:val="top"/>
          </w:tcPr>
          <w:p w14:paraId="12C236EC">
            <w:pPr>
              <w:rPr>
                <w:rFonts w:ascii="Arial"/>
                <w:color w:val="auto"/>
                <w:sz w:val="21"/>
                <w:highlight w:val="none"/>
              </w:rPr>
            </w:pPr>
          </w:p>
        </w:tc>
        <w:tc>
          <w:tcPr>
            <w:tcW w:w="1005" w:type="dxa"/>
            <w:vAlign w:val="top"/>
          </w:tcPr>
          <w:p w14:paraId="39B3BA0C">
            <w:pPr>
              <w:rPr>
                <w:rFonts w:ascii="Arial"/>
                <w:color w:val="auto"/>
                <w:sz w:val="21"/>
                <w:highlight w:val="none"/>
              </w:rPr>
            </w:pPr>
          </w:p>
        </w:tc>
        <w:tc>
          <w:tcPr>
            <w:tcW w:w="775" w:type="dxa"/>
            <w:vAlign w:val="top"/>
          </w:tcPr>
          <w:p w14:paraId="0AF1CFEC">
            <w:pPr>
              <w:rPr>
                <w:rFonts w:ascii="Arial"/>
                <w:color w:val="auto"/>
                <w:sz w:val="21"/>
                <w:highlight w:val="none"/>
              </w:rPr>
            </w:pPr>
          </w:p>
        </w:tc>
        <w:tc>
          <w:tcPr>
            <w:tcW w:w="544" w:type="dxa"/>
            <w:vAlign w:val="top"/>
          </w:tcPr>
          <w:p w14:paraId="1957D2E6">
            <w:pPr>
              <w:rPr>
                <w:rFonts w:ascii="Arial"/>
                <w:color w:val="auto"/>
                <w:sz w:val="21"/>
                <w:highlight w:val="none"/>
              </w:rPr>
            </w:pPr>
          </w:p>
        </w:tc>
        <w:tc>
          <w:tcPr>
            <w:tcW w:w="1264" w:type="dxa"/>
            <w:vAlign w:val="top"/>
          </w:tcPr>
          <w:p w14:paraId="765C4EA7">
            <w:pPr>
              <w:rPr>
                <w:rFonts w:ascii="Arial"/>
                <w:color w:val="auto"/>
                <w:sz w:val="21"/>
                <w:highlight w:val="none"/>
              </w:rPr>
            </w:pPr>
          </w:p>
        </w:tc>
        <w:tc>
          <w:tcPr>
            <w:tcW w:w="791" w:type="dxa"/>
            <w:vAlign w:val="top"/>
          </w:tcPr>
          <w:p w14:paraId="28A8B2F6">
            <w:pPr>
              <w:rPr>
                <w:rFonts w:ascii="Arial"/>
                <w:color w:val="auto"/>
                <w:sz w:val="21"/>
                <w:highlight w:val="none"/>
              </w:rPr>
            </w:pPr>
          </w:p>
        </w:tc>
        <w:tc>
          <w:tcPr>
            <w:tcW w:w="971" w:type="dxa"/>
            <w:vAlign w:val="top"/>
          </w:tcPr>
          <w:p w14:paraId="4F33964D">
            <w:pPr>
              <w:rPr>
                <w:rFonts w:ascii="Arial"/>
                <w:color w:val="auto"/>
                <w:sz w:val="21"/>
                <w:highlight w:val="none"/>
              </w:rPr>
            </w:pPr>
          </w:p>
        </w:tc>
        <w:tc>
          <w:tcPr>
            <w:tcW w:w="1266" w:type="dxa"/>
            <w:vAlign w:val="top"/>
          </w:tcPr>
          <w:p w14:paraId="701D3129">
            <w:pPr>
              <w:rPr>
                <w:rFonts w:ascii="Arial"/>
                <w:color w:val="auto"/>
                <w:sz w:val="21"/>
                <w:highlight w:val="none"/>
              </w:rPr>
            </w:pPr>
          </w:p>
        </w:tc>
      </w:tr>
      <w:tr w14:paraId="2B0CB2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914" w:type="dxa"/>
            <w:vAlign w:val="top"/>
          </w:tcPr>
          <w:p w14:paraId="0CE24696">
            <w:pPr>
              <w:rPr>
                <w:rFonts w:ascii="Arial"/>
                <w:color w:val="auto"/>
                <w:sz w:val="21"/>
                <w:highlight w:val="none"/>
              </w:rPr>
            </w:pPr>
          </w:p>
        </w:tc>
        <w:tc>
          <w:tcPr>
            <w:tcW w:w="1421" w:type="dxa"/>
            <w:vAlign w:val="top"/>
          </w:tcPr>
          <w:p w14:paraId="003262B3">
            <w:pPr>
              <w:rPr>
                <w:rFonts w:ascii="Arial"/>
                <w:color w:val="auto"/>
                <w:sz w:val="21"/>
                <w:highlight w:val="none"/>
              </w:rPr>
            </w:pPr>
          </w:p>
        </w:tc>
        <w:tc>
          <w:tcPr>
            <w:tcW w:w="1005" w:type="dxa"/>
            <w:vAlign w:val="top"/>
          </w:tcPr>
          <w:p w14:paraId="547480D6">
            <w:pPr>
              <w:rPr>
                <w:rFonts w:ascii="Arial"/>
                <w:color w:val="auto"/>
                <w:sz w:val="21"/>
                <w:highlight w:val="none"/>
              </w:rPr>
            </w:pPr>
          </w:p>
        </w:tc>
        <w:tc>
          <w:tcPr>
            <w:tcW w:w="775" w:type="dxa"/>
            <w:vAlign w:val="top"/>
          </w:tcPr>
          <w:p w14:paraId="3BC022C3">
            <w:pPr>
              <w:rPr>
                <w:rFonts w:ascii="Arial"/>
                <w:color w:val="auto"/>
                <w:sz w:val="21"/>
                <w:highlight w:val="none"/>
              </w:rPr>
            </w:pPr>
          </w:p>
        </w:tc>
        <w:tc>
          <w:tcPr>
            <w:tcW w:w="544" w:type="dxa"/>
            <w:vAlign w:val="top"/>
          </w:tcPr>
          <w:p w14:paraId="53D41577">
            <w:pPr>
              <w:rPr>
                <w:rFonts w:ascii="Arial"/>
                <w:color w:val="auto"/>
                <w:sz w:val="21"/>
                <w:highlight w:val="none"/>
              </w:rPr>
            </w:pPr>
          </w:p>
        </w:tc>
        <w:tc>
          <w:tcPr>
            <w:tcW w:w="1264" w:type="dxa"/>
            <w:vAlign w:val="top"/>
          </w:tcPr>
          <w:p w14:paraId="79F187DA">
            <w:pPr>
              <w:rPr>
                <w:rFonts w:ascii="Arial"/>
                <w:color w:val="auto"/>
                <w:sz w:val="21"/>
                <w:highlight w:val="none"/>
              </w:rPr>
            </w:pPr>
          </w:p>
        </w:tc>
        <w:tc>
          <w:tcPr>
            <w:tcW w:w="791" w:type="dxa"/>
            <w:vAlign w:val="top"/>
          </w:tcPr>
          <w:p w14:paraId="44144795">
            <w:pPr>
              <w:rPr>
                <w:rFonts w:ascii="Arial"/>
                <w:color w:val="auto"/>
                <w:sz w:val="21"/>
                <w:highlight w:val="none"/>
              </w:rPr>
            </w:pPr>
          </w:p>
        </w:tc>
        <w:tc>
          <w:tcPr>
            <w:tcW w:w="971" w:type="dxa"/>
            <w:vAlign w:val="top"/>
          </w:tcPr>
          <w:p w14:paraId="138E7410">
            <w:pPr>
              <w:rPr>
                <w:rFonts w:ascii="Arial"/>
                <w:color w:val="auto"/>
                <w:sz w:val="21"/>
                <w:highlight w:val="none"/>
              </w:rPr>
            </w:pPr>
          </w:p>
        </w:tc>
        <w:tc>
          <w:tcPr>
            <w:tcW w:w="1266" w:type="dxa"/>
            <w:vAlign w:val="top"/>
          </w:tcPr>
          <w:p w14:paraId="6DD7D956">
            <w:pPr>
              <w:rPr>
                <w:rFonts w:ascii="Arial"/>
                <w:color w:val="auto"/>
                <w:sz w:val="21"/>
                <w:highlight w:val="none"/>
              </w:rPr>
            </w:pPr>
          </w:p>
        </w:tc>
      </w:tr>
      <w:tr w14:paraId="47128B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914" w:type="dxa"/>
            <w:vAlign w:val="top"/>
          </w:tcPr>
          <w:p w14:paraId="7B77E893">
            <w:pPr>
              <w:rPr>
                <w:rFonts w:ascii="Arial"/>
                <w:color w:val="auto"/>
                <w:sz w:val="21"/>
                <w:highlight w:val="none"/>
              </w:rPr>
            </w:pPr>
          </w:p>
        </w:tc>
        <w:tc>
          <w:tcPr>
            <w:tcW w:w="1421" w:type="dxa"/>
            <w:vAlign w:val="top"/>
          </w:tcPr>
          <w:p w14:paraId="2768ECD1">
            <w:pPr>
              <w:rPr>
                <w:rFonts w:ascii="Arial"/>
                <w:color w:val="auto"/>
                <w:sz w:val="21"/>
                <w:highlight w:val="none"/>
              </w:rPr>
            </w:pPr>
          </w:p>
        </w:tc>
        <w:tc>
          <w:tcPr>
            <w:tcW w:w="1005" w:type="dxa"/>
            <w:vAlign w:val="top"/>
          </w:tcPr>
          <w:p w14:paraId="266C3BFF">
            <w:pPr>
              <w:rPr>
                <w:rFonts w:ascii="Arial"/>
                <w:color w:val="auto"/>
                <w:sz w:val="21"/>
                <w:highlight w:val="none"/>
              </w:rPr>
            </w:pPr>
          </w:p>
        </w:tc>
        <w:tc>
          <w:tcPr>
            <w:tcW w:w="775" w:type="dxa"/>
            <w:vAlign w:val="top"/>
          </w:tcPr>
          <w:p w14:paraId="499DE42F">
            <w:pPr>
              <w:rPr>
                <w:rFonts w:ascii="Arial"/>
                <w:color w:val="auto"/>
                <w:sz w:val="21"/>
                <w:highlight w:val="none"/>
              </w:rPr>
            </w:pPr>
          </w:p>
        </w:tc>
        <w:tc>
          <w:tcPr>
            <w:tcW w:w="544" w:type="dxa"/>
            <w:vAlign w:val="top"/>
          </w:tcPr>
          <w:p w14:paraId="52AFB137">
            <w:pPr>
              <w:rPr>
                <w:rFonts w:ascii="Arial"/>
                <w:color w:val="auto"/>
                <w:sz w:val="21"/>
                <w:highlight w:val="none"/>
              </w:rPr>
            </w:pPr>
          </w:p>
        </w:tc>
        <w:tc>
          <w:tcPr>
            <w:tcW w:w="1264" w:type="dxa"/>
            <w:vAlign w:val="top"/>
          </w:tcPr>
          <w:p w14:paraId="07A214E7">
            <w:pPr>
              <w:rPr>
                <w:rFonts w:ascii="Arial"/>
                <w:color w:val="auto"/>
                <w:sz w:val="21"/>
                <w:highlight w:val="none"/>
              </w:rPr>
            </w:pPr>
          </w:p>
        </w:tc>
        <w:tc>
          <w:tcPr>
            <w:tcW w:w="791" w:type="dxa"/>
            <w:vAlign w:val="top"/>
          </w:tcPr>
          <w:p w14:paraId="4A33016E">
            <w:pPr>
              <w:rPr>
                <w:rFonts w:ascii="Arial"/>
                <w:color w:val="auto"/>
                <w:sz w:val="21"/>
                <w:highlight w:val="none"/>
              </w:rPr>
            </w:pPr>
          </w:p>
        </w:tc>
        <w:tc>
          <w:tcPr>
            <w:tcW w:w="971" w:type="dxa"/>
            <w:vAlign w:val="top"/>
          </w:tcPr>
          <w:p w14:paraId="42BDE2A3">
            <w:pPr>
              <w:rPr>
                <w:rFonts w:ascii="Arial"/>
                <w:color w:val="auto"/>
                <w:sz w:val="21"/>
                <w:highlight w:val="none"/>
              </w:rPr>
            </w:pPr>
          </w:p>
        </w:tc>
        <w:tc>
          <w:tcPr>
            <w:tcW w:w="1266" w:type="dxa"/>
            <w:vAlign w:val="top"/>
          </w:tcPr>
          <w:p w14:paraId="6B06F5DD">
            <w:pPr>
              <w:rPr>
                <w:rFonts w:ascii="Arial"/>
                <w:color w:val="auto"/>
                <w:sz w:val="21"/>
                <w:highlight w:val="none"/>
              </w:rPr>
            </w:pPr>
          </w:p>
        </w:tc>
      </w:tr>
      <w:tr w14:paraId="7F30B0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914" w:type="dxa"/>
            <w:vAlign w:val="top"/>
          </w:tcPr>
          <w:p w14:paraId="0ABB75FF">
            <w:pPr>
              <w:rPr>
                <w:rFonts w:ascii="Arial"/>
                <w:color w:val="auto"/>
                <w:sz w:val="21"/>
                <w:highlight w:val="none"/>
              </w:rPr>
            </w:pPr>
          </w:p>
        </w:tc>
        <w:tc>
          <w:tcPr>
            <w:tcW w:w="1421" w:type="dxa"/>
            <w:vAlign w:val="top"/>
          </w:tcPr>
          <w:p w14:paraId="339EDC49">
            <w:pPr>
              <w:rPr>
                <w:rFonts w:ascii="Arial"/>
                <w:color w:val="auto"/>
                <w:sz w:val="21"/>
                <w:highlight w:val="none"/>
              </w:rPr>
            </w:pPr>
          </w:p>
        </w:tc>
        <w:tc>
          <w:tcPr>
            <w:tcW w:w="1005" w:type="dxa"/>
            <w:vAlign w:val="top"/>
          </w:tcPr>
          <w:p w14:paraId="578C384A">
            <w:pPr>
              <w:rPr>
                <w:rFonts w:ascii="Arial"/>
                <w:color w:val="auto"/>
                <w:sz w:val="21"/>
                <w:highlight w:val="none"/>
              </w:rPr>
            </w:pPr>
          </w:p>
        </w:tc>
        <w:tc>
          <w:tcPr>
            <w:tcW w:w="775" w:type="dxa"/>
            <w:vAlign w:val="top"/>
          </w:tcPr>
          <w:p w14:paraId="4085BA6A">
            <w:pPr>
              <w:rPr>
                <w:rFonts w:ascii="Arial"/>
                <w:color w:val="auto"/>
                <w:sz w:val="21"/>
                <w:highlight w:val="none"/>
              </w:rPr>
            </w:pPr>
          </w:p>
        </w:tc>
        <w:tc>
          <w:tcPr>
            <w:tcW w:w="544" w:type="dxa"/>
            <w:vAlign w:val="top"/>
          </w:tcPr>
          <w:p w14:paraId="79CE9F30">
            <w:pPr>
              <w:rPr>
                <w:rFonts w:ascii="Arial"/>
                <w:color w:val="auto"/>
                <w:sz w:val="21"/>
                <w:highlight w:val="none"/>
              </w:rPr>
            </w:pPr>
          </w:p>
        </w:tc>
        <w:tc>
          <w:tcPr>
            <w:tcW w:w="1264" w:type="dxa"/>
            <w:vAlign w:val="top"/>
          </w:tcPr>
          <w:p w14:paraId="21AC372F">
            <w:pPr>
              <w:rPr>
                <w:rFonts w:ascii="Arial"/>
                <w:color w:val="auto"/>
                <w:sz w:val="21"/>
                <w:highlight w:val="none"/>
              </w:rPr>
            </w:pPr>
          </w:p>
        </w:tc>
        <w:tc>
          <w:tcPr>
            <w:tcW w:w="791" w:type="dxa"/>
            <w:vAlign w:val="top"/>
          </w:tcPr>
          <w:p w14:paraId="6F68890D">
            <w:pPr>
              <w:rPr>
                <w:rFonts w:ascii="Arial"/>
                <w:color w:val="auto"/>
                <w:sz w:val="21"/>
                <w:highlight w:val="none"/>
              </w:rPr>
            </w:pPr>
          </w:p>
        </w:tc>
        <w:tc>
          <w:tcPr>
            <w:tcW w:w="971" w:type="dxa"/>
            <w:vAlign w:val="top"/>
          </w:tcPr>
          <w:p w14:paraId="2BC0727E">
            <w:pPr>
              <w:rPr>
                <w:rFonts w:ascii="Arial"/>
                <w:color w:val="auto"/>
                <w:sz w:val="21"/>
                <w:highlight w:val="none"/>
              </w:rPr>
            </w:pPr>
          </w:p>
        </w:tc>
        <w:tc>
          <w:tcPr>
            <w:tcW w:w="1266" w:type="dxa"/>
            <w:vAlign w:val="top"/>
          </w:tcPr>
          <w:p w14:paraId="2ADF4176">
            <w:pPr>
              <w:rPr>
                <w:rFonts w:ascii="Arial"/>
                <w:color w:val="auto"/>
                <w:sz w:val="21"/>
                <w:highlight w:val="none"/>
              </w:rPr>
            </w:pPr>
          </w:p>
        </w:tc>
      </w:tr>
      <w:tr w14:paraId="15107C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914" w:type="dxa"/>
            <w:vAlign w:val="top"/>
          </w:tcPr>
          <w:p w14:paraId="2DD4E4F4">
            <w:pPr>
              <w:rPr>
                <w:rFonts w:ascii="Arial"/>
                <w:color w:val="auto"/>
                <w:sz w:val="21"/>
                <w:highlight w:val="none"/>
              </w:rPr>
            </w:pPr>
          </w:p>
        </w:tc>
        <w:tc>
          <w:tcPr>
            <w:tcW w:w="1421" w:type="dxa"/>
            <w:vAlign w:val="top"/>
          </w:tcPr>
          <w:p w14:paraId="2D14DD89">
            <w:pPr>
              <w:rPr>
                <w:rFonts w:ascii="Arial"/>
                <w:color w:val="auto"/>
                <w:sz w:val="21"/>
                <w:highlight w:val="none"/>
              </w:rPr>
            </w:pPr>
          </w:p>
        </w:tc>
        <w:tc>
          <w:tcPr>
            <w:tcW w:w="1005" w:type="dxa"/>
            <w:vAlign w:val="top"/>
          </w:tcPr>
          <w:p w14:paraId="4A162C4B">
            <w:pPr>
              <w:rPr>
                <w:rFonts w:ascii="Arial"/>
                <w:color w:val="auto"/>
                <w:sz w:val="21"/>
                <w:highlight w:val="none"/>
              </w:rPr>
            </w:pPr>
          </w:p>
        </w:tc>
        <w:tc>
          <w:tcPr>
            <w:tcW w:w="775" w:type="dxa"/>
            <w:vAlign w:val="top"/>
          </w:tcPr>
          <w:p w14:paraId="30D3D794">
            <w:pPr>
              <w:rPr>
                <w:rFonts w:ascii="Arial"/>
                <w:color w:val="auto"/>
                <w:sz w:val="21"/>
                <w:highlight w:val="none"/>
              </w:rPr>
            </w:pPr>
          </w:p>
        </w:tc>
        <w:tc>
          <w:tcPr>
            <w:tcW w:w="544" w:type="dxa"/>
            <w:vAlign w:val="top"/>
          </w:tcPr>
          <w:p w14:paraId="5815DBA6">
            <w:pPr>
              <w:rPr>
                <w:rFonts w:ascii="Arial"/>
                <w:color w:val="auto"/>
                <w:sz w:val="21"/>
                <w:highlight w:val="none"/>
              </w:rPr>
            </w:pPr>
          </w:p>
        </w:tc>
        <w:tc>
          <w:tcPr>
            <w:tcW w:w="1264" w:type="dxa"/>
            <w:vAlign w:val="top"/>
          </w:tcPr>
          <w:p w14:paraId="6365527A">
            <w:pPr>
              <w:rPr>
                <w:rFonts w:ascii="Arial"/>
                <w:color w:val="auto"/>
                <w:sz w:val="21"/>
                <w:highlight w:val="none"/>
              </w:rPr>
            </w:pPr>
          </w:p>
        </w:tc>
        <w:tc>
          <w:tcPr>
            <w:tcW w:w="791" w:type="dxa"/>
            <w:vAlign w:val="top"/>
          </w:tcPr>
          <w:p w14:paraId="509517C2">
            <w:pPr>
              <w:rPr>
                <w:rFonts w:ascii="Arial"/>
                <w:color w:val="auto"/>
                <w:sz w:val="21"/>
                <w:highlight w:val="none"/>
              </w:rPr>
            </w:pPr>
          </w:p>
        </w:tc>
        <w:tc>
          <w:tcPr>
            <w:tcW w:w="971" w:type="dxa"/>
            <w:vAlign w:val="top"/>
          </w:tcPr>
          <w:p w14:paraId="1F64C73A">
            <w:pPr>
              <w:rPr>
                <w:rFonts w:ascii="Arial"/>
                <w:color w:val="auto"/>
                <w:sz w:val="21"/>
                <w:highlight w:val="none"/>
              </w:rPr>
            </w:pPr>
          </w:p>
        </w:tc>
        <w:tc>
          <w:tcPr>
            <w:tcW w:w="1266" w:type="dxa"/>
            <w:vAlign w:val="top"/>
          </w:tcPr>
          <w:p w14:paraId="4CD1EC75">
            <w:pPr>
              <w:rPr>
                <w:rFonts w:ascii="Arial"/>
                <w:color w:val="auto"/>
                <w:sz w:val="21"/>
                <w:highlight w:val="none"/>
              </w:rPr>
            </w:pPr>
          </w:p>
        </w:tc>
      </w:tr>
      <w:tr w14:paraId="144AF5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914" w:type="dxa"/>
            <w:vAlign w:val="top"/>
          </w:tcPr>
          <w:p w14:paraId="4948E7E5">
            <w:pPr>
              <w:rPr>
                <w:rFonts w:ascii="Arial"/>
                <w:color w:val="auto"/>
                <w:sz w:val="21"/>
                <w:highlight w:val="none"/>
              </w:rPr>
            </w:pPr>
          </w:p>
        </w:tc>
        <w:tc>
          <w:tcPr>
            <w:tcW w:w="1421" w:type="dxa"/>
            <w:vAlign w:val="top"/>
          </w:tcPr>
          <w:p w14:paraId="26BFA4FF">
            <w:pPr>
              <w:rPr>
                <w:rFonts w:ascii="Arial"/>
                <w:color w:val="auto"/>
                <w:sz w:val="21"/>
                <w:highlight w:val="none"/>
              </w:rPr>
            </w:pPr>
          </w:p>
        </w:tc>
        <w:tc>
          <w:tcPr>
            <w:tcW w:w="1005" w:type="dxa"/>
            <w:vAlign w:val="top"/>
          </w:tcPr>
          <w:p w14:paraId="5405B8A2">
            <w:pPr>
              <w:rPr>
                <w:rFonts w:ascii="Arial"/>
                <w:color w:val="auto"/>
                <w:sz w:val="21"/>
                <w:highlight w:val="none"/>
              </w:rPr>
            </w:pPr>
          </w:p>
        </w:tc>
        <w:tc>
          <w:tcPr>
            <w:tcW w:w="775" w:type="dxa"/>
            <w:vAlign w:val="top"/>
          </w:tcPr>
          <w:p w14:paraId="5E374B7B">
            <w:pPr>
              <w:rPr>
                <w:rFonts w:ascii="Arial"/>
                <w:color w:val="auto"/>
                <w:sz w:val="21"/>
                <w:highlight w:val="none"/>
              </w:rPr>
            </w:pPr>
          </w:p>
        </w:tc>
        <w:tc>
          <w:tcPr>
            <w:tcW w:w="544" w:type="dxa"/>
            <w:vAlign w:val="top"/>
          </w:tcPr>
          <w:p w14:paraId="26D40B9B">
            <w:pPr>
              <w:rPr>
                <w:rFonts w:ascii="Arial"/>
                <w:color w:val="auto"/>
                <w:sz w:val="21"/>
                <w:highlight w:val="none"/>
              </w:rPr>
            </w:pPr>
          </w:p>
        </w:tc>
        <w:tc>
          <w:tcPr>
            <w:tcW w:w="1264" w:type="dxa"/>
            <w:vAlign w:val="top"/>
          </w:tcPr>
          <w:p w14:paraId="4CF89193">
            <w:pPr>
              <w:rPr>
                <w:rFonts w:ascii="Arial"/>
                <w:color w:val="auto"/>
                <w:sz w:val="21"/>
                <w:highlight w:val="none"/>
              </w:rPr>
            </w:pPr>
          </w:p>
        </w:tc>
        <w:tc>
          <w:tcPr>
            <w:tcW w:w="791" w:type="dxa"/>
            <w:vAlign w:val="top"/>
          </w:tcPr>
          <w:p w14:paraId="7DAED9B4">
            <w:pPr>
              <w:rPr>
                <w:rFonts w:ascii="Arial"/>
                <w:color w:val="auto"/>
                <w:sz w:val="21"/>
                <w:highlight w:val="none"/>
              </w:rPr>
            </w:pPr>
          </w:p>
        </w:tc>
        <w:tc>
          <w:tcPr>
            <w:tcW w:w="971" w:type="dxa"/>
            <w:vAlign w:val="top"/>
          </w:tcPr>
          <w:p w14:paraId="10E353A7">
            <w:pPr>
              <w:rPr>
                <w:rFonts w:ascii="Arial"/>
                <w:color w:val="auto"/>
                <w:sz w:val="21"/>
                <w:highlight w:val="none"/>
              </w:rPr>
            </w:pPr>
          </w:p>
        </w:tc>
        <w:tc>
          <w:tcPr>
            <w:tcW w:w="1266" w:type="dxa"/>
            <w:vAlign w:val="top"/>
          </w:tcPr>
          <w:p w14:paraId="0FAA6E18">
            <w:pPr>
              <w:rPr>
                <w:rFonts w:ascii="Arial"/>
                <w:color w:val="auto"/>
                <w:sz w:val="21"/>
                <w:highlight w:val="none"/>
              </w:rPr>
            </w:pPr>
          </w:p>
        </w:tc>
      </w:tr>
      <w:tr w14:paraId="56DD3B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914" w:type="dxa"/>
            <w:vAlign w:val="top"/>
          </w:tcPr>
          <w:p w14:paraId="3A583FA7">
            <w:pPr>
              <w:rPr>
                <w:rFonts w:ascii="Arial"/>
                <w:color w:val="auto"/>
                <w:sz w:val="21"/>
                <w:highlight w:val="none"/>
              </w:rPr>
            </w:pPr>
          </w:p>
        </w:tc>
        <w:tc>
          <w:tcPr>
            <w:tcW w:w="1421" w:type="dxa"/>
            <w:vAlign w:val="top"/>
          </w:tcPr>
          <w:p w14:paraId="0571CFC5">
            <w:pPr>
              <w:rPr>
                <w:rFonts w:ascii="Arial"/>
                <w:color w:val="auto"/>
                <w:sz w:val="21"/>
                <w:highlight w:val="none"/>
              </w:rPr>
            </w:pPr>
          </w:p>
        </w:tc>
        <w:tc>
          <w:tcPr>
            <w:tcW w:w="1005" w:type="dxa"/>
            <w:vAlign w:val="top"/>
          </w:tcPr>
          <w:p w14:paraId="6BF9AB29">
            <w:pPr>
              <w:rPr>
                <w:rFonts w:ascii="Arial"/>
                <w:color w:val="auto"/>
                <w:sz w:val="21"/>
                <w:highlight w:val="none"/>
              </w:rPr>
            </w:pPr>
          </w:p>
        </w:tc>
        <w:tc>
          <w:tcPr>
            <w:tcW w:w="775" w:type="dxa"/>
            <w:vAlign w:val="top"/>
          </w:tcPr>
          <w:p w14:paraId="32611D79">
            <w:pPr>
              <w:rPr>
                <w:rFonts w:ascii="Arial"/>
                <w:color w:val="auto"/>
                <w:sz w:val="21"/>
                <w:highlight w:val="none"/>
              </w:rPr>
            </w:pPr>
          </w:p>
        </w:tc>
        <w:tc>
          <w:tcPr>
            <w:tcW w:w="544" w:type="dxa"/>
            <w:vAlign w:val="top"/>
          </w:tcPr>
          <w:p w14:paraId="1054F2D2">
            <w:pPr>
              <w:rPr>
                <w:rFonts w:ascii="Arial"/>
                <w:color w:val="auto"/>
                <w:sz w:val="21"/>
                <w:highlight w:val="none"/>
              </w:rPr>
            </w:pPr>
          </w:p>
        </w:tc>
        <w:tc>
          <w:tcPr>
            <w:tcW w:w="1264" w:type="dxa"/>
            <w:vAlign w:val="top"/>
          </w:tcPr>
          <w:p w14:paraId="2AEE9606">
            <w:pPr>
              <w:rPr>
                <w:rFonts w:ascii="Arial"/>
                <w:color w:val="auto"/>
                <w:sz w:val="21"/>
                <w:highlight w:val="none"/>
              </w:rPr>
            </w:pPr>
          </w:p>
        </w:tc>
        <w:tc>
          <w:tcPr>
            <w:tcW w:w="791" w:type="dxa"/>
            <w:vAlign w:val="top"/>
          </w:tcPr>
          <w:p w14:paraId="6C15B6BD">
            <w:pPr>
              <w:rPr>
                <w:rFonts w:ascii="Arial"/>
                <w:color w:val="auto"/>
                <w:sz w:val="21"/>
                <w:highlight w:val="none"/>
              </w:rPr>
            </w:pPr>
          </w:p>
        </w:tc>
        <w:tc>
          <w:tcPr>
            <w:tcW w:w="971" w:type="dxa"/>
            <w:vAlign w:val="top"/>
          </w:tcPr>
          <w:p w14:paraId="0E5A7F88">
            <w:pPr>
              <w:rPr>
                <w:rFonts w:ascii="Arial"/>
                <w:color w:val="auto"/>
                <w:sz w:val="21"/>
                <w:highlight w:val="none"/>
              </w:rPr>
            </w:pPr>
          </w:p>
        </w:tc>
        <w:tc>
          <w:tcPr>
            <w:tcW w:w="1266" w:type="dxa"/>
            <w:vAlign w:val="top"/>
          </w:tcPr>
          <w:p w14:paraId="46379D78">
            <w:pPr>
              <w:rPr>
                <w:rFonts w:ascii="Arial"/>
                <w:color w:val="auto"/>
                <w:sz w:val="21"/>
                <w:highlight w:val="none"/>
              </w:rPr>
            </w:pPr>
          </w:p>
        </w:tc>
      </w:tr>
      <w:tr w14:paraId="0937A1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914" w:type="dxa"/>
            <w:vAlign w:val="top"/>
          </w:tcPr>
          <w:p w14:paraId="3C591F73">
            <w:pPr>
              <w:rPr>
                <w:rFonts w:ascii="Arial"/>
                <w:color w:val="auto"/>
                <w:sz w:val="21"/>
                <w:highlight w:val="none"/>
              </w:rPr>
            </w:pPr>
          </w:p>
        </w:tc>
        <w:tc>
          <w:tcPr>
            <w:tcW w:w="1421" w:type="dxa"/>
            <w:vAlign w:val="top"/>
          </w:tcPr>
          <w:p w14:paraId="1A406B0C">
            <w:pPr>
              <w:rPr>
                <w:rFonts w:ascii="Arial"/>
                <w:color w:val="auto"/>
                <w:sz w:val="21"/>
                <w:highlight w:val="none"/>
              </w:rPr>
            </w:pPr>
          </w:p>
        </w:tc>
        <w:tc>
          <w:tcPr>
            <w:tcW w:w="1005" w:type="dxa"/>
            <w:vAlign w:val="top"/>
          </w:tcPr>
          <w:p w14:paraId="0397D40F">
            <w:pPr>
              <w:rPr>
                <w:rFonts w:ascii="Arial"/>
                <w:color w:val="auto"/>
                <w:sz w:val="21"/>
                <w:highlight w:val="none"/>
              </w:rPr>
            </w:pPr>
          </w:p>
        </w:tc>
        <w:tc>
          <w:tcPr>
            <w:tcW w:w="775" w:type="dxa"/>
            <w:vAlign w:val="top"/>
          </w:tcPr>
          <w:p w14:paraId="6D78C873">
            <w:pPr>
              <w:rPr>
                <w:rFonts w:ascii="Arial"/>
                <w:color w:val="auto"/>
                <w:sz w:val="21"/>
                <w:highlight w:val="none"/>
              </w:rPr>
            </w:pPr>
          </w:p>
        </w:tc>
        <w:tc>
          <w:tcPr>
            <w:tcW w:w="544" w:type="dxa"/>
            <w:vAlign w:val="top"/>
          </w:tcPr>
          <w:p w14:paraId="6F273DEB">
            <w:pPr>
              <w:rPr>
                <w:rFonts w:ascii="Arial"/>
                <w:color w:val="auto"/>
                <w:sz w:val="21"/>
                <w:highlight w:val="none"/>
              </w:rPr>
            </w:pPr>
          </w:p>
        </w:tc>
        <w:tc>
          <w:tcPr>
            <w:tcW w:w="1264" w:type="dxa"/>
            <w:vAlign w:val="top"/>
          </w:tcPr>
          <w:p w14:paraId="489300DC">
            <w:pPr>
              <w:rPr>
                <w:rFonts w:ascii="Arial"/>
                <w:color w:val="auto"/>
                <w:sz w:val="21"/>
                <w:highlight w:val="none"/>
              </w:rPr>
            </w:pPr>
          </w:p>
        </w:tc>
        <w:tc>
          <w:tcPr>
            <w:tcW w:w="791" w:type="dxa"/>
            <w:vAlign w:val="top"/>
          </w:tcPr>
          <w:p w14:paraId="4C033346">
            <w:pPr>
              <w:rPr>
                <w:rFonts w:ascii="Arial"/>
                <w:color w:val="auto"/>
                <w:sz w:val="21"/>
                <w:highlight w:val="none"/>
              </w:rPr>
            </w:pPr>
          </w:p>
        </w:tc>
        <w:tc>
          <w:tcPr>
            <w:tcW w:w="971" w:type="dxa"/>
            <w:vAlign w:val="top"/>
          </w:tcPr>
          <w:p w14:paraId="22DC67F3">
            <w:pPr>
              <w:rPr>
                <w:rFonts w:ascii="Arial"/>
                <w:color w:val="auto"/>
                <w:sz w:val="21"/>
                <w:highlight w:val="none"/>
              </w:rPr>
            </w:pPr>
          </w:p>
        </w:tc>
        <w:tc>
          <w:tcPr>
            <w:tcW w:w="1266" w:type="dxa"/>
            <w:vAlign w:val="top"/>
          </w:tcPr>
          <w:p w14:paraId="3D2DDC95">
            <w:pPr>
              <w:rPr>
                <w:rFonts w:ascii="Arial"/>
                <w:color w:val="auto"/>
                <w:sz w:val="21"/>
                <w:highlight w:val="none"/>
              </w:rPr>
            </w:pPr>
          </w:p>
        </w:tc>
      </w:tr>
      <w:tr w14:paraId="3C8141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914" w:type="dxa"/>
            <w:vAlign w:val="top"/>
          </w:tcPr>
          <w:p w14:paraId="6D0323E5">
            <w:pPr>
              <w:rPr>
                <w:rFonts w:ascii="Arial"/>
                <w:color w:val="auto"/>
                <w:sz w:val="21"/>
                <w:highlight w:val="none"/>
              </w:rPr>
            </w:pPr>
          </w:p>
        </w:tc>
        <w:tc>
          <w:tcPr>
            <w:tcW w:w="1421" w:type="dxa"/>
            <w:vAlign w:val="top"/>
          </w:tcPr>
          <w:p w14:paraId="11FFACE3">
            <w:pPr>
              <w:rPr>
                <w:rFonts w:ascii="Arial"/>
                <w:color w:val="auto"/>
                <w:sz w:val="21"/>
                <w:highlight w:val="none"/>
              </w:rPr>
            </w:pPr>
          </w:p>
        </w:tc>
        <w:tc>
          <w:tcPr>
            <w:tcW w:w="1005" w:type="dxa"/>
            <w:vAlign w:val="top"/>
          </w:tcPr>
          <w:p w14:paraId="390034AA">
            <w:pPr>
              <w:rPr>
                <w:rFonts w:ascii="Arial"/>
                <w:color w:val="auto"/>
                <w:sz w:val="21"/>
                <w:highlight w:val="none"/>
              </w:rPr>
            </w:pPr>
          </w:p>
        </w:tc>
        <w:tc>
          <w:tcPr>
            <w:tcW w:w="775" w:type="dxa"/>
            <w:vAlign w:val="top"/>
          </w:tcPr>
          <w:p w14:paraId="5873A63A">
            <w:pPr>
              <w:rPr>
                <w:rFonts w:ascii="Arial"/>
                <w:color w:val="auto"/>
                <w:sz w:val="21"/>
                <w:highlight w:val="none"/>
              </w:rPr>
            </w:pPr>
          </w:p>
        </w:tc>
        <w:tc>
          <w:tcPr>
            <w:tcW w:w="544" w:type="dxa"/>
            <w:vAlign w:val="top"/>
          </w:tcPr>
          <w:p w14:paraId="7574BCCC">
            <w:pPr>
              <w:rPr>
                <w:rFonts w:ascii="Arial"/>
                <w:color w:val="auto"/>
                <w:sz w:val="21"/>
                <w:highlight w:val="none"/>
              </w:rPr>
            </w:pPr>
          </w:p>
        </w:tc>
        <w:tc>
          <w:tcPr>
            <w:tcW w:w="1264" w:type="dxa"/>
            <w:vAlign w:val="top"/>
          </w:tcPr>
          <w:p w14:paraId="3FBBB591">
            <w:pPr>
              <w:rPr>
                <w:rFonts w:ascii="Arial"/>
                <w:color w:val="auto"/>
                <w:sz w:val="21"/>
                <w:highlight w:val="none"/>
              </w:rPr>
            </w:pPr>
          </w:p>
        </w:tc>
        <w:tc>
          <w:tcPr>
            <w:tcW w:w="791" w:type="dxa"/>
            <w:vAlign w:val="top"/>
          </w:tcPr>
          <w:p w14:paraId="21924F05">
            <w:pPr>
              <w:rPr>
                <w:rFonts w:ascii="Arial"/>
                <w:color w:val="auto"/>
                <w:sz w:val="21"/>
                <w:highlight w:val="none"/>
              </w:rPr>
            </w:pPr>
          </w:p>
        </w:tc>
        <w:tc>
          <w:tcPr>
            <w:tcW w:w="971" w:type="dxa"/>
            <w:vAlign w:val="top"/>
          </w:tcPr>
          <w:p w14:paraId="750D122C">
            <w:pPr>
              <w:rPr>
                <w:rFonts w:ascii="Arial"/>
                <w:color w:val="auto"/>
                <w:sz w:val="21"/>
                <w:highlight w:val="none"/>
              </w:rPr>
            </w:pPr>
          </w:p>
        </w:tc>
        <w:tc>
          <w:tcPr>
            <w:tcW w:w="1266" w:type="dxa"/>
            <w:vAlign w:val="top"/>
          </w:tcPr>
          <w:p w14:paraId="739E9B72">
            <w:pPr>
              <w:rPr>
                <w:rFonts w:ascii="Arial"/>
                <w:color w:val="auto"/>
                <w:sz w:val="21"/>
                <w:highlight w:val="none"/>
              </w:rPr>
            </w:pPr>
          </w:p>
        </w:tc>
      </w:tr>
      <w:tr w14:paraId="0A4C1D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914" w:type="dxa"/>
            <w:vAlign w:val="top"/>
          </w:tcPr>
          <w:p w14:paraId="400CB8AA">
            <w:pPr>
              <w:rPr>
                <w:rFonts w:ascii="Arial"/>
                <w:color w:val="auto"/>
                <w:sz w:val="21"/>
                <w:highlight w:val="none"/>
              </w:rPr>
            </w:pPr>
          </w:p>
        </w:tc>
        <w:tc>
          <w:tcPr>
            <w:tcW w:w="1421" w:type="dxa"/>
            <w:vAlign w:val="top"/>
          </w:tcPr>
          <w:p w14:paraId="779C7EE5">
            <w:pPr>
              <w:rPr>
                <w:rFonts w:ascii="Arial"/>
                <w:color w:val="auto"/>
                <w:sz w:val="21"/>
                <w:highlight w:val="none"/>
              </w:rPr>
            </w:pPr>
          </w:p>
        </w:tc>
        <w:tc>
          <w:tcPr>
            <w:tcW w:w="1005" w:type="dxa"/>
            <w:vAlign w:val="top"/>
          </w:tcPr>
          <w:p w14:paraId="5F241BE8">
            <w:pPr>
              <w:rPr>
                <w:rFonts w:ascii="Arial"/>
                <w:color w:val="auto"/>
                <w:sz w:val="21"/>
                <w:highlight w:val="none"/>
              </w:rPr>
            </w:pPr>
          </w:p>
        </w:tc>
        <w:tc>
          <w:tcPr>
            <w:tcW w:w="775" w:type="dxa"/>
            <w:vAlign w:val="top"/>
          </w:tcPr>
          <w:p w14:paraId="58A43D35">
            <w:pPr>
              <w:rPr>
                <w:rFonts w:ascii="Arial"/>
                <w:color w:val="auto"/>
                <w:sz w:val="21"/>
                <w:highlight w:val="none"/>
              </w:rPr>
            </w:pPr>
          </w:p>
        </w:tc>
        <w:tc>
          <w:tcPr>
            <w:tcW w:w="544" w:type="dxa"/>
            <w:vAlign w:val="top"/>
          </w:tcPr>
          <w:p w14:paraId="149276F8">
            <w:pPr>
              <w:rPr>
                <w:rFonts w:ascii="Arial"/>
                <w:color w:val="auto"/>
                <w:sz w:val="21"/>
                <w:highlight w:val="none"/>
              </w:rPr>
            </w:pPr>
          </w:p>
        </w:tc>
        <w:tc>
          <w:tcPr>
            <w:tcW w:w="1264" w:type="dxa"/>
            <w:vAlign w:val="top"/>
          </w:tcPr>
          <w:p w14:paraId="0999F4EF">
            <w:pPr>
              <w:rPr>
                <w:rFonts w:ascii="Arial"/>
                <w:color w:val="auto"/>
                <w:sz w:val="21"/>
                <w:highlight w:val="none"/>
              </w:rPr>
            </w:pPr>
          </w:p>
        </w:tc>
        <w:tc>
          <w:tcPr>
            <w:tcW w:w="791" w:type="dxa"/>
            <w:vAlign w:val="top"/>
          </w:tcPr>
          <w:p w14:paraId="34FF3413">
            <w:pPr>
              <w:rPr>
                <w:rFonts w:ascii="Arial"/>
                <w:color w:val="auto"/>
                <w:sz w:val="21"/>
                <w:highlight w:val="none"/>
              </w:rPr>
            </w:pPr>
          </w:p>
        </w:tc>
        <w:tc>
          <w:tcPr>
            <w:tcW w:w="971" w:type="dxa"/>
            <w:vAlign w:val="top"/>
          </w:tcPr>
          <w:p w14:paraId="0C17E8A1">
            <w:pPr>
              <w:rPr>
                <w:rFonts w:ascii="Arial"/>
                <w:color w:val="auto"/>
                <w:sz w:val="21"/>
                <w:highlight w:val="none"/>
              </w:rPr>
            </w:pPr>
          </w:p>
        </w:tc>
        <w:tc>
          <w:tcPr>
            <w:tcW w:w="1266" w:type="dxa"/>
            <w:vAlign w:val="top"/>
          </w:tcPr>
          <w:p w14:paraId="1963D713">
            <w:pPr>
              <w:rPr>
                <w:rFonts w:ascii="Arial"/>
                <w:color w:val="auto"/>
                <w:sz w:val="21"/>
                <w:highlight w:val="none"/>
              </w:rPr>
            </w:pPr>
          </w:p>
        </w:tc>
      </w:tr>
      <w:tr w14:paraId="4F3284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914" w:type="dxa"/>
            <w:vAlign w:val="top"/>
          </w:tcPr>
          <w:p w14:paraId="01F49013">
            <w:pPr>
              <w:rPr>
                <w:rFonts w:ascii="Arial"/>
                <w:color w:val="auto"/>
                <w:sz w:val="21"/>
                <w:highlight w:val="none"/>
              </w:rPr>
            </w:pPr>
          </w:p>
        </w:tc>
        <w:tc>
          <w:tcPr>
            <w:tcW w:w="1421" w:type="dxa"/>
            <w:vAlign w:val="top"/>
          </w:tcPr>
          <w:p w14:paraId="2B9245E3">
            <w:pPr>
              <w:rPr>
                <w:rFonts w:ascii="Arial"/>
                <w:color w:val="auto"/>
                <w:sz w:val="21"/>
                <w:highlight w:val="none"/>
              </w:rPr>
            </w:pPr>
          </w:p>
        </w:tc>
        <w:tc>
          <w:tcPr>
            <w:tcW w:w="1005" w:type="dxa"/>
            <w:vAlign w:val="top"/>
          </w:tcPr>
          <w:p w14:paraId="52D36102">
            <w:pPr>
              <w:rPr>
                <w:rFonts w:ascii="Arial"/>
                <w:color w:val="auto"/>
                <w:sz w:val="21"/>
                <w:highlight w:val="none"/>
              </w:rPr>
            </w:pPr>
          </w:p>
        </w:tc>
        <w:tc>
          <w:tcPr>
            <w:tcW w:w="775" w:type="dxa"/>
            <w:vAlign w:val="top"/>
          </w:tcPr>
          <w:p w14:paraId="5531CE2A">
            <w:pPr>
              <w:rPr>
                <w:rFonts w:ascii="Arial"/>
                <w:color w:val="auto"/>
                <w:sz w:val="21"/>
                <w:highlight w:val="none"/>
              </w:rPr>
            </w:pPr>
          </w:p>
        </w:tc>
        <w:tc>
          <w:tcPr>
            <w:tcW w:w="544" w:type="dxa"/>
            <w:vAlign w:val="top"/>
          </w:tcPr>
          <w:p w14:paraId="7813B025">
            <w:pPr>
              <w:rPr>
                <w:rFonts w:ascii="Arial"/>
                <w:color w:val="auto"/>
                <w:sz w:val="21"/>
                <w:highlight w:val="none"/>
              </w:rPr>
            </w:pPr>
          </w:p>
        </w:tc>
        <w:tc>
          <w:tcPr>
            <w:tcW w:w="1264" w:type="dxa"/>
            <w:vAlign w:val="top"/>
          </w:tcPr>
          <w:p w14:paraId="57219C09">
            <w:pPr>
              <w:rPr>
                <w:rFonts w:ascii="Arial"/>
                <w:color w:val="auto"/>
                <w:sz w:val="21"/>
                <w:highlight w:val="none"/>
              </w:rPr>
            </w:pPr>
          </w:p>
        </w:tc>
        <w:tc>
          <w:tcPr>
            <w:tcW w:w="791" w:type="dxa"/>
            <w:vAlign w:val="top"/>
          </w:tcPr>
          <w:p w14:paraId="72246533">
            <w:pPr>
              <w:rPr>
                <w:rFonts w:ascii="Arial"/>
                <w:color w:val="auto"/>
                <w:sz w:val="21"/>
                <w:highlight w:val="none"/>
              </w:rPr>
            </w:pPr>
          </w:p>
        </w:tc>
        <w:tc>
          <w:tcPr>
            <w:tcW w:w="971" w:type="dxa"/>
            <w:vAlign w:val="top"/>
          </w:tcPr>
          <w:p w14:paraId="728EC3F3">
            <w:pPr>
              <w:rPr>
                <w:rFonts w:ascii="Arial"/>
                <w:color w:val="auto"/>
                <w:sz w:val="21"/>
                <w:highlight w:val="none"/>
              </w:rPr>
            </w:pPr>
          </w:p>
        </w:tc>
        <w:tc>
          <w:tcPr>
            <w:tcW w:w="1266" w:type="dxa"/>
            <w:vAlign w:val="top"/>
          </w:tcPr>
          <w:p w14:paraId="24A2ECDC">
            <w:pPr>
              <w:rPr>
                <w:rFonts w:ascii="Arial"/>
                <w:color w:val="auto"/>
                <w:sz w:val="21"/>
                <w:highlight w:val="none"/>
              </w:rPr>
            </w:pPr>
          </w:p>
        </w:tc>
      </w:tr>
      <w:tr w14:paraId="65F033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914" w:type="dxa"/>
            <w:vAlign w:val="top"/>
          </w:tcPr>
          <w:p w14:paraId="6BE9E6E5">
            <w:pPr>
              <w:rPr>
                <w:rFonts w:ascii="Arial"/>
                <w:color w:val="auto"/>
                <w:sz w:val="21"/>
                <w:highlight w:val="none"/>
              </w:rPr>
            </w:pPr>
          </w:p>
        </w:tc>
        <w:tc>
          <w:tcPr>
            <w:tcW w:w="1421" w:type="dxa"/>
            <w:vAlign w:val="top"/>
          </w:tcPr>
          <w:p w14:paraId="5FB3BF3C">
            <w:pPr>
              <w:rPr>
                <w:rFonts w:ascii="Arial"/>
                <w:color w:val="auto"/>
                <w:sz w:val="21"/>
                <w:highlight w:val="none"/>
              </w:rPr>
            </w:pPr>
          </w:p>
        </w:tc>
        <w:tc>
          <w:tcPr>
            <w:tcW w:w="1005" w:type="dxa"/>
            <w:vAlign w:val="top"/>
          </w:tcPr>
          <w:p w14:paraId="63EA223E">
            <w:pPr>
              <w:rPr>
                <w:rFonts w:ascii="Arial"/>
                <w:color w:val="auto"/>
                <w:sz w:val="21"/>
                <w:highlight w:val="none"/>
              </w:rPr>
            </w:pPr>
          </w:p>
        </w:tc>
        <w:tc>
          <w:tcPr>
            <w:tcW w:w="775" w:type="dxa"/>
            <w:vAlign w:val="top"/>
          </w:tcPr>
          <w:p w14:paraId="5720A350">
            <w:pPr>
              <w:rPr>
                <w:rFonts w:ascii="Arial"/>
                <w:color w:val="auto"/>
                <w:sz w:val="21"/>
                <w:highlight w:val="none"/>
              </w:rPr>
            </w:pPr>
          </w:p>
        </w:tc>
        <w:tc>
          <w:tcPr>
            <w:tcW w:w="544" w:type="dxa"/>
            <w:vAlign w:val="top"/>
          </w:tcPr>
          <w:p w14:paraId="503741EB">
            <w:pPr>
              <w:rPr>
                <w:rFonts w:ascii="Arial"/>
                <w:color w:val="auto"/>
                <w:sz w:val="21"/>
                <w:highlight w:val="none"/>
              </w:rPr>
            </w:pPr>
          </w:p>
        </w:tc>
        <w:tc>
          <w:tcPr>
            <w:tcW w:w="1264" w:type="dxa"/>
            <w:vAlign w:val="top"/>
          </w:tcPr>
          <w:p w14:paraId="5B38E078">
            <w:pPr>
              <w:rPr>
                <w:rFonts w:ascii="Arial"/>
                <w:color w:val="auto"/>
                <w:sz w:val="21"/>
                <w:highlight w:val="none"/>
              </w:rPr>
            </w:pPr>
          </w:p>
        </w:tc>
        <w:tc>
          <w:tcPr>
            <w:tcW w:w="791" w:type="dxa"/>
            <w:vAlign w:val="top"/>
          </w:tcPr>
          <w:p w14:paraId="1504359C">
            <w:pPr>
              <w:rPr>
                <w:rFonts w:ascii="Arial"/>
                <w:color w:val="auto"/>
                <w:sz w:val="21"/>
                <w:highlight w:val="none"/>
              </w:rPr>
            </w:pPr>
          </w:p>
        </w:tc>
        <w:tc>
          <w:tcPr>
            <w:tcW w:w="971" w:type="dxa"/>
            <w:vAlign w:val="top"/>
          </w:tcPr>
          <w:p w14:paraId="4406BC59">
            <w:pPr>
              <w:rPr>
                <w:rFonts w:ascii="Arial"/>
                <w:color w:val="auto"/>
                <w:sz w:val="21"/>
                <w:highlight w:val="none"/>
              </w:rPr>
            </w:pPr>
          </w:p>
        </w:tc>
        <w:tc>
          <w:tcPr>
            <w:tcW w:w="1266" w:type="dxa"/>
            <w:vAlign w:val="top"/>
          </w:tcPr>
          <w:p w14:paraId="576A43B6">
            <w:pPr>
              <w:rPr>
                <w:rFonts w:ascii="Arial"/>
                <w:color w:val="auto"/>
                <w:sz w:val="21"/>
                <w:highlight w:val="none"/>
              </w:rPr>
            </w:pPr>
          </w:p>
        </w:tc>
      </w:tr>
      <w:tr w14:paraId="1A1016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914" w:type="dxa"/>
            <w:vAlign w:val="top"/>
          </w:tcPr>
          <w:p w14:paraId="477A717C">
            <w:pPr>
              <w:rPr>
                <w:rFonts w:ascii="Arial"/>
                <w:color w:val="auto"/>
                <w:sz w:val="21"/>
                <w:highlight w:val="none"/>
              </w:rPr>
            </w:pPr>
          </w:p>
        </w:tc>
        <w:tc>
          <w:tcPr>
            <w:tcW w:w="1421" w:type="dxa"/>
            <w:vAlign w:val="top"/>
          </w:tcPr>
          <w:p w14:paraId="22F3A39A">
            <w:pPr>
              <w:rPr>
                <w:rFonts w:ascii="Arial"/>
                <w:color w:val="auto"/>
                <w:sz w:val="21"/>
                <w:highlight w:val="none"/>
              </w:rPr>
            </w:pPr>
          </w:p>
        </w:tc>
        <w:tc>
          <w:tcPr>
            <w:tcW w:w="1005" w:type="dxa"/>
            <w:vAlign w:val="top"/>
          </w:tcPr>
          <w:p w14:paraId="08CDBEC4">
            <w:pPr>
              <w:rPr>
                <w:rFonts w:ascii="Arial"/>
                <w:color w:val="auto"/>
                <w:sz w:val="21"/>
                <w:highlight w:val="none"/>
              </w:rPr>
            </w:pPr>
          </w:p>
        </w:tc>
        <w:tc>
          <w:tcPr>
            <w:tcW w:w="775" w:type="dxa"/>
            <w:vAlign w:val="top"/>
          </w:tcPr>
          <w:p w14:paraId="1AFA5BF9">
            <w:pPr>
              <w:rPr>
                <w:rFonts w:ascii="Arial"/>
                <w:color w:val="auto"/>
                <w:sz w:val="21"/>
                <w:highlight w:val="none"/>
              </w:rPr>
            </w:pPr>
          </w:p>
        </w:tc>
        <w:tc>
          <w:tcPr>
            <w:tcW w:w="544" w:type="dxa"/>
            <w:vAlign w:val="top"/>
          </w:tcPr>
          <w:p w14:paraId="0CA1AB62">
            <w:pPr>
              <w:rPr>
                <w:rFonts w:ascii="Arial"/>
                <w:color w:val="auto"/>
                <w:sz w:val="21"/>
                <w:highlight w:val="none"/>
              </w:rPr>
            </w:pPr>
          </w:p>
        </w:tc>
        <w:tc>
          <w:tcPr>
            <w:tcW w:w="1264" w:type="dxa"/>
            <w:vAlign w:val="top"/>
          </w:tcPr>
          <w:p w14:paraId="01FE4324">
            <w:pPr>
              <w:rPr>
                <w:rFonts w:ascii="Arial"/>
                <w:color w:val="auto"/>
                <w:sz w:val="21"/>
                <w:highlight w:val="none"/>
              </w:rPr>
            </w:pPr>
          </w:p>
        </w:tc>
        <w:tc>
          <w:tcPr>
            <w:tcW w:w="791" w:type="dxa"/>
            <w:vAlign w:val="top"/>
          </w:tcPr>
          <w:p w14:paraId="5B143DDE">
            <w:pPr>
              <w:rPr>
                <w:rFonts w:ascii="Arial"/>
                <w:color w:val="auto"/>
                <w:sz w:val="21"/>
                <w:highlight w:val="none"/>
              </w:rPr>
            </w:pPr>
          </w:p>
        </w:tc>
        <w:tc>
          <w:tcPr>
            <w:tcW w:w="971" w:type="dxa"/>
            <w:vAlign w:val="top"/>
          </w:tcPr>
          <w:p w14:paraId="59E7EEC9">
            <w:pPr>
              <w:rPr>
                <w:rFonts w:ascii="Arial"/>
                <w:color w:val="auto"/>
                <w:sz w:val="21"/>
                <w:highlight w:val="none"/>
              </w:rPr>
            </w:pPr>
          </w:p>
        </w:tc>
        <w:tc>
          <w:tcPr>
            <w:tcW w:w="1266" w:type="dxa"/>
            <w:vAlign w:val="top"/>
          </w:tcPr>
          <w:p w14:paraId="2115CE7D">
            <w:pPr>
              <w:rPr>
                <w:rFonts w:ascii="Arial"/>
                <w:color w:val="auto"/>
                <w:sz w:val="21"/>
                <w:highlight w:val="none"/>
              </w:rPr>
            </w:pPr>
          </w:p>
        </w:tc>
      </w:tr>
      <w:tr w14:paraId="61B2AC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914" w:type="dxa"/>
            <w:vAlign w:val="top"/>
          </w:tcPr>
          <w:p w14:paraId="6A4DC7E4">
            <w:pPr>
              <w:rPr>
                <w:rFonts w:ascii="Arial"/>
                <w:color w:val="auto"/>
                <w:sz w:val="21"/>
                <w:highlight w:val="none"/>
              </w:rPr>
            </w:pPr>
          </w:p>
        </w:tc>
        <w:tc>
          <w:tcPr>
            <w:tcW w:w="1421" w:type="dxa"/>
            <w:vAlign w:val="top"/>
          </w:tcPr>
          <w:p w14:paraId="1608FA6C">
            <w:pPr>
              <w:rPr>
                <w:rFonts w:ascii="Arial"/>
                <w:color w:val="auto"/>
                <w:sz w:val="21"/>
                <w:highlight w:val="none"/>
              </w:rPr>
            </w:pPr>
          </w:p>
        </w:tc>
        <w:tc>
          <w:tcPr>
            <w:tcW w:w="1005" w:type="dxa"/>
            <w:vAlign w:val="top"/>
          </w:tcPr>
          <w:p w14:paraId="5DF4C3C7">
            <w:pPr>
              <w:rPr>
                <w:rFonts w:ascii="Arial"/>
                <w:color w:val="auto"/>
                <w:sz w:val="21"/>
                <w:highlight w:val="none"/>
              </w:rPr>
            </w:pPr>
          </w:p>
        </w:tc>
        <w:tc>
          <w:tcPr>
            <w:tcW w:w="775" w:type="dxa"/>
            <w:vAlign w:val="top"/>
          </w:tcPr>
          <w:p w14:paraId="59E5DBC1">
            <w:pPr>
              <w:rPr>
                <w:rFonts w:ascii="Arial"/>
                <w:color w:val="auto"/>
                <w:sz w:val="21"/>
                <w:highlight w:val="none"/>
              </w:rPr>
            </w:pPr>
          </w:p>
        </w:tc>
        <w:tc>
          <w:tcPr>
            <w:tcW w:w="544" w:type="dxa"/>
            <w:vAlign w:val="top"/>
          </w:tcPr>
          <w:p w14:paraId="1BEE1359">
            <w:pPr>
              <w:rPr>
                <w:rFonts w:ascii="Arial"/>
                <w:color w:val="auto"/>
                <w:sz w:val="21"/>
                <w:highlight w:val="none"/>
              </w:rPr>
            </w:pPr>
          </w:p>
        </w:tc>
        <w:tc>
          <w:tcPr>
            <w:tcW w:w="1264" w:type="dxa"/>
            <w:vAlign w:val="top"/>
          </w:tcPr>
          <w:p w14:paraId="091E09FF">
            <w:pPr>
              <w:rPr>
                <w:rFonts w:ascii="Arial"/>
                <w:color w:val="auto"/>
                <w:sz w:val="21"/>
                <w:highlight w:val="none"/>
              </w:rPr>
            </w:pPr>
          </w:p>
        </w:tc>
        <w:tc>
          <w:tcPr>
            <w:tcW w:w="791" w:type="dxa"/>
            <w:vAlign w:val="top"/>
          </w:tcPr>
          <w:p w14:paraId="2DE4B024">
            <w:pPr>
              <w:rPr>
                <w:rFonts w:ascii="Arial"/>
                <w:color w:val="auto"/>
                <w:sz w:val="21"/>
                <w:highlight w:val="none"/>
              </w:rPr>
            </w:pPr>
          </w:p>
        </w:tc>
        <w:tc>
          <w:tcPr>
            <w:tcW w:w="971" w:type="dxa"/>
            <w:vAlign w:val="top"/>
          </w:tcPr>
          <w:p w14:paraId="47B0575B">
            <w:pPr>
              <w:rPr>
                <w:rFonts w:ascii="Arial"/>
                <w:color w:val="auto"/>
                <w:sz w:val="21"/>
                <w:highlight w:val="none"/>
              </w:rPr>
            </w:pPr>
          </w:p>
        </w:tc>
        <w:tc>
          <w:tcPr>
            <w:tcW w:w="1266" w:type="dxa"/>
            <w:vAlign w:val="top"/>
          </w:tcPr>
          <w:p w14:paraId="398E4602">
            <w:pPr>
              <w:rPr>
                <w:rFonts w:ascii="Arial"/>
                <w:color w:val="auto"/>
                <w:sz w:val="21"/>
                <w:highlight w:val="none"/>
              </w:rPr>
            </w:pPr>
          </w:p>
        </w:tc>
      </w:tr>
      <w:tr w14:paraId="60DFE2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914" w:type="dxa"/>
            <w:vAlign w:val="top"/>
          </w:tcPr>
          <w:p w14:paraId="5D1504F1">
            <w:pPr>
              <w:rPr>
                <w:rFonts w:ascii="Arial"/>
                <w:color w:val="auto"/>
                <w:sz w:val="21"/>
                <w:highlight w:val="none"/>
              </w:rPr>
            </w:pPr>
          </w:p>
        </w:tc>
        <w:tc>
          <w:tcPr>
            <w:tcW w:w="1421" w:type="dxa"/>
            <w:vAlign w:val="top"/>
          </w:tcPr>
          <w:p w14:paraId="146898D9">
            <w:pPr>
              <w:rPr>
                <w:rFonts w:ascii="Arial"/>
                <w:color w:val="auto"/>
                <w:sz w:val="21"/>
                <w:highlight w:val="none"/>
              </w:rPr>
            </w:pPr>
          </w:p>
        </w:tc>
        <w:tc>
          <w:tcPr>
            <w:tcW w:w="1005" w:type="dxa"/>
            <w:vAlign w:val="top"/>
          </w:tcPr>
          <w:p w14:paraId="49200487">
            <w:pPr>
              <w:rPr>
                <w:rFonts w:ascii="Arial"/>
                <w:color w:val="auto"/>
                <w:sz w:val="21"/>
                <w:highlight w:val="none"/>
              </w:rPr>
            </w:pPr>
          </w:p>
        </w:tc>
        <w:tc>
          <w:tcPr>
            <w:tcW w:w="775" w:type="dxa"/>
            <w:vAlign w:val="top"/>
          </w:tcPr>
          <w:p w14:paraId="558482D5">
            <w:pPr>
              <w:rPr>
                <w:rFonts w:ascii="Arial"/>
                <w:color w:val="auto"/>
                <w:sz w:val="21"/>
                <w:highlight w:val="none"/>
              </w:rPr>
            </w:pPr>
          </w:p>
        </w:tc>
        <w:tc>
          <w:tcPr>
            <w:tcW w:w="544" w:type="dxa"/>
            <w:vAlign w:val="top"/>
          </w:tcPr>
          <w:p w14:paraId="4AD82D16">
            <w:pPr>
              <w:rPr>
                <w:rFonts w:ascii="Arial"/>
                <w:color w:val="auto"/>
                <w:sz w:val="21"/>
                <w:highlight w:val="none"/>
              </w:rPr>
            </w:pPr>
          </w:p>
        </w:tc>
        <w:tc>
          <w:tcPr>
            <w:tcW w:w="1264" w:type="dxa"/>
            <w:vAlign w:val="top"/>
          </w:tcPr>
          <w:p w14:paraId="0EEF2F86">
            <w:pPr>
              <w:rPr>
                <w:rFonts w:ascii="Arial"/>
                <w:color w:val="auto"/>
                <w:sz w:val="21"/>
                <w:highlight w:val="none"/>
              </w:rPr>
            </w:pPr>
          </w:p>
        </w:tc>
        <w:tc>
          <w:tcPr>
            <w:tcW w:w="791" w:type="dxa"/>
            <w:vAlign w:val="top"/>
          </w:tcPr>
          <w:p w14:paraId="063EFC4D">
            <w:pPr>
              <w:rPr>
                <w:rFonts w:ascii="Arial"/>
                <w:color w:val="auto"/>
                <w:sz w:val="21"/>
                <w:highlight w:val="none"/>
              </w:rPr>
            </w:pPr>
          </w:p>
        </w:tc>
        <w:tc>
          <w:tcPr>
            <w:tcW w:w="971" w:type="dxa"/>
            <w:vAlign w:val="top"/>
          </w:tcPr>
          <w:p w14:paraId="1BA2DBC4">
            <w:pPr>
              <w:rPr>
                <w:rFonts w:ascii="Arial"/>
                <w:color w:val="auto"/>
                <w:sz w:val="21"/>
                <w:highlight w:val="none"/>
              </w:rPr>
            </w:pPr>
          </w:p>
        </w:tc>
        <w:tc>
          <w:tcPr>
            <w:tcW w:w="1266" w:type="dxa"/>
            <w:vAlign w:val="top"/>
          </w:tcPr>
          <w:p w14:paraId="2459FD40">
            <w:pPr>
              <w:rPr>
                <w:rFonts w:ascii="Arial"/>
                <w:color w:val="auto"/>
                <w:sz w:val="21"/>
                <w:highlight w:val="none"/>
              </w:rPr>
            </w:pPr>
          </w:p>
        </w:tc>
      </w:tr>
      <w:tr w14:paraId="5D9FFB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914" w:type="dxa"/>
            <w:vAlign w:val="top"/>
          </w:tcPr>
          <w:p w14:paraId="7E6ECEBD">
            <w:pPr>
              <w:rPr>
                <w:rFonts w:ascii="Arial"/>
                <w:color w:val="auto"/>
                <w:sz w:val="21"/>
                <w:highlight w:val="none"/>
              </w:rPr>
            </w:pPr>
          </w:p>
        </w:tc>
        <w:tc>
          <w:tcPr>
            <w:tcW w:w="1421" w:type="dxa"/>
            <w:vAlign w:val="top"/>
          </w:tcPr>
          <w:p w14:paraId="1D316550">
            <w:pPr>
              <w:rPr>
                <w:rFonts w:ascii="Arial"/>
                <w:color w:val="auto"/>
                <w:sz w:val="21"/>
                <w:highlight w:val="none"/>
              </w:rPr>
            </w:pPr>
          </w:p>
        </w:tc>
        <w:tc>
          <w:tcPr>
            <w:tcW w:w="1005" w:type="dxa"/>
            <w:vAlign w:val="top"/>
          </w:tcPr>
          <w:p w14:paraId="4691D1DF">
            <w:pPr>
              <w:rPr>
                <w:rFonts w:ascii="Arial"/>
                <w:color w:val="auto"/>
                <w:sz w:val="21"/>
                <w:highlight w:val="none"/>
              </w:rPr>
            </w:pPr>
          </w:p>
        </w:tc>
        <w:tc>
          <w:tcPr>
            <w:tcW w:w="775" w:type="dxa"/>
            <w:vAlign w:val="top"/>
          </w:tcPr>
          <w:p w14:paraId="20E3E48C">
            <w:pPr>
              <w:rPr>
                <w:rFonts w:ascii="Arial"/>
                <w:color w:val="auto"/>
                <w:sz w:val="21"/>
                <w:highlight w:val="none"/>
              </w:rPr>
            </w:pPr>
          </w:p>
        </w:tc>
        <w:tc>
          <w:tcPr>
            <w:tcW w:w="544" w:type="dxa"/>
            <w:vAlign w:val="top"/>
          </w:tcPr>
          <w:p w14:paraId="316A29D3">
            <w:pPr>
              <w:rPr>
                <w:rFonts w:ascii="Arial"/>
                <w:color w:val="auto"/>
                <w:sz w:val="21"/>
                <w:highlight w:val="none"/>
              </w:rPr>
            </w:pPr>
          </w:p>
        </w:tc>
        <w:tc>
          <w:tcPr>
            <w:tcW w:w="1264" w:type="dxa"/>
            <w:vAlign w:val="top"/>
          </w:tcPr>
          <w:p w14:paraId="1DA8A500">
            <w:pPr>
              <w:rPr>
                <w:rFonts w:ascii="Arial"/>
                <w:color w:val="auto"/>
                <w:sz w:val="21"/>
                <w:highlight w:val="none"/>
              </w:rPr>
            </w:pPr>
          </w:p>
        </w:tc>
        <w:tc>
          <w:tcPr>
            <w:tcW w:w="791" w:type="dxa"/>
            <w:vAlign w:val="top"/>
          </w:tcPr>
          <w:p w14:paraId="0150ACF5">
            <w:pPr>
              <w:rPr>
                <w:rFonts w:ascii="Arial"/>
                <w:color w:val="auto"/>
                <w:sz w:val="21"/>
                <w:highlight w:val="none"/>
              </w:rPr>
            </w:pPr>
          </w:p>
        </w:tc>
        <w:tc>
          <w:tcPr>
            <w:tcW w:w="971" w:type="dxa"/>
            <w:vAlign w:val="top"/>
          </w:tcPr>
          <w:p w14:paraId="2899279C">
            <w:pPr>
              <w:rPr>
                <w:rFonts w:ascii="Arial"/>
                <w:color w:val="auto"/>
                <w:sz w:val="21"/>
                <w:highlight w:val="none"/>
              </w:rPr>
            </w:pPr>
          </w:p>
        </w:tc>
        <w:tc>
          <w:tcPr>
            <w:tcW w:w="1266" w:type="dxa"/>
            <w:vAlign w:val="top"/>
          </w:tcPr>
          <w:p w14:paraId="4BEEB841">
            <w:pPr>
              <w:rPr>
                <w:rFonts w:ascii="Arial"/>
                <w:color w:val="auto"/>
                <w:sz w:val="21"/>
                <w:highlight w:val="none"/>
              </w:rPr>
            </w:pPr>
          </w:p>
        </w:tc>
      </w:tr>
    </w:tbl>
    <w:p w14:paraId="774B30D4">
      <w:pPr>
        <w:spacing w:before="158" w:line="227" w:lineRule="auto"/>
        <w:ind w:left="7"/>
        <w:rPr>
          <w:rFonts w:hint="default" w:ascii="宋体" w:hAnsi="宋体" w:eastAsia="宋体" w:cs="宋体"/>
          <w:color w:val="auto"/>
          <w:sz w:val="20"/>
          <w:szCs w:val="20"/>
          <w:highlight w:val="none"/>
          <w:lang w:val="en-US" w:eastAsia="zh-CN"/>
        </w:rPr>
      </w:pPr>
      <w:r>
        <w:rPr>
          <w:rFonts w:ascii="宋体" w:hAnsi="宋体" w:eastAsia="宋体" w:cs="宋体"/>
          <w:color w:val="auto"/>
          <w:spacing w:val="7"/>
          <w:sz w:val="20"/>
          <w:szCs w:val="20"/>
          <w:highlight w:val="none"/>
        </w:rPr>
        <w:t>注：本表填报的人员应满足招标文件第二章“投标人须知</w:t>
      </w:r>
      <w:r>
        <w:rPr>
          <w:rFonts w:ascii="宋体" w:hAnsi="宋体" w:eastAsia="宋体" w:cs="宋体"/>
          <w:color w:val="auto"/>
          <w:spacing w:val="-57"/>
          <w:sz w:val="20"/>
          <w:szCs w:val="20"/>
          <w:highlight w:val="none"/>
        </w:rPr>
        <w:t xml:space="preserve"> </w:t>
      </w:r>
      <w:r>
        <w:rPr>
          <w:rFonts w:ascii="宋体" w:hAnsi="宋体" w:eastAsia="宋体" w:cs="宋体"/>
          <w:color w:val="auto"/>
          <w:spacing w:val="7"/>
          <w:sz w:val="20"/>
          <w:szCs w:val="20"/>
          <w:highlight w:val="none"/>
        </w:rPr>
        <w:t>”前附表附录</w:t>
      </w:r>
      <w:r>
        <w:rPr>
          <w:rFonts w:ascii="宋体" w:hAnsi="宋体" w:eastAsia="宋体" w:cs="宋体"/>
          <w:color w:val="auto"/>
          <w:spacing w:val="-32"/>
          <w:sz w:val="20"/>
          <w:szCs w:val="20"/>
          <w:highlight w:val="none"/>
        </w:rPr>
        <w:t xml:space="preserve"> </w:t>
      </w:r>
      <w:r>
        <w:rPr>
          <w:rFonts w:ascii="宋体" w:hAnsi="宋体" w:eastAsia="宋体" w:cs="宋体"/>
          <w:color w:val="auto"/>
          <w:spacing w:val="7"/>
          <w:sz w:val="20"/>
          <w:szCs w:val="20"/>
          <w:highlight w:val="none"/>
        </w:rPr>
        <w:t>5</w:t>
      </w:r>
      <w:r>
        <w:rPr>
          <w:rFonts w:ascii="宋体" w:hAnsi="宋体" w:eastAsia="宋体" w:cs="宋体"/>
          <w:color w:val="auto"/>
          <w:spacing w:val="-24"/>
          <w:sz w:val="20"/>
          <w:szCs w:val="20"/>
          <w:highlight w:val="none"/>
        </w:rPr>
        <w:t xml:space="preserve"> </w:t>
      </w:r>
      <w:r>
        <w:rPr>
          <w:rFonts w:ascii="宋体" w:hAnsi="宋体" w:eastAsia="宋体" w:cs="宋体"/>
          <w:color w:val="auto"/>
          <w:spacing w:val="7"/>
          <w:sz w:val="20"/>
          <w:szCs w:val="20"/>
          <w:highlight w:val="none"/>
        </w:rPr>
        <w:t>的要求。</w:t>
      </w:r>
      <w:r>
        <w:rPr>
          <w:rFonts w:hint="eastAsia" w:ascii="宋体" w:hAnsi="宋体" w:eastAsia="宋体" w:cs="宋体"/>
          <w:color w:val="auto"/>
          <w:spacing w:val="7"/>
          <w:sz w:val="20"/>
          <w:szCs w:val="20"/>
          <w:highlight w:val="none"/>
          <w:lang w:val="en-US" w:eastAsia="zh-CN"/>
        </w:rPr>
        <w:t>(注：本次招标不需要提供其他主要监理人员汇总名单，仅须承诺按标段配置其他主要监理人员，若中标再向招标人提供其他主要监理人员的具体名单。)</w:t>
      </w:r>
    </w:p>
    <w:p w14:paraId="2859F79E">
      <w:pPr>
        <w:spacing w:line="255" w:lineRule="auto"/>
        <w:rPr>
          <w:rFonts w:ascii="Arial"/>
          <w:color w:val="auto"/>
          <w:sz w:val="21"/>
          <w:highlight w:val="none"/>
        </w:rPr>
      </w:pPr>
    </w:p>
    <w:p w14:paraId="3446AF77">
      <w:pPr>
        <w:spacing w:line="255" w:lineRule="auto"/>
        <w:rPr>
          <w:rFonts w:ascii="Arial"/>
          <w:color w:val="auto"/>
          <w:sz w:val="21"/>
          <w:highlight w:val="none"/>
        </w:rPr>
      </w:pPr>
    </w:p>
    <w:p w14:paraId="1A8BBD12">
      <w:pPr>
        <w:spacing w:line="255" w:lineRule="auto"/>
        <w:rPr>
          <w:rFonts w:ascii="Arial"/>
          <w:color w:val="auto"/>
          <w:sz w:val="21"/>
          <w:highlight w:val="none"/>
        </w:rPr>
      </w:pPr>
    </w:p>
    <w:p w14:paraId="4B5EF749">
      <w:pPr>
        <w:spacing w:line="255" w:lineRule="auto"/>
        <w:rPr>
          <w:rFonts w:ascii="Arial"/>
          <w:color w:val="auto"/>
          <w:sz w:val="21"/>
          <w:highlight w:val="none"/>
        </w:rPr>
      </w:pPr>
    </w:p>
    <w:p w14:paraId="15D1062E">
      <w:pPr>
        <w:spacing w:line="255" w:lineRule="auto"/>
        <w:rPr>
          <w:rFonts w:ascii="Arial"/>
          <w:color w:val="auto"/>
          <w:sz w:val="21"/>
          <w:highlight w:val="none"/>
        </w:rPr>
      </w:pPr>
    </w:p>
    <w:p w14:paraId="7E076FA2">
      <w:pPr>
        <w:spacing w:line="255" w:lineRule="auto"/>
        <w:rPr>
          <w:rFonts w:ascii="Arial"/>
          <w:color w:val="auto"/>
          <w:sz w:val="21"/>
          <w:highlight w:val="none"/>
        </w:rPr>
      </w:pPr>
    </w:p>
    <w:p w14:paraId="4B33A5C7">
      <w:pPr>
        <w:spacing w:line="256" w:lineRule="auto"/>
        <w:rPr>
          <w:rFonts w:ascii="Arial"/>
          <w:color w:val="auto"/>
          <w:sz w:val="21"/>
          <w:highlight w:val="none"/>
        </w:rPr>
      </w:pPr>
    </w:p>
    <w:p w14:paraId="3088BCDB">
      <w:pPr>
        <w:spacing w:line="256" w:lineRule="auto"/>
        <w:rPr>
          <w:rFonts w:ascii="Arial"/>
          <w:color w:val="auto"/>
          <w:sz w:val="21"/>
          <w:highlight w:val="none"/>
        </w:rPr>
      </w:pPr>
    </w:p>
    <w:p w14:paraId="2B04C56F">
      <w:pPr>
        <w:spacing w:line="256" w:lineRule="auto"/>
        <w:rPr>
          <w:rFonts w:ascii="Arial"/>
          <w:color w:val="auto"/>
          <w:sz w:val="21"/>
          <w:highlight w:val="none"/>
        </w:rPr>
      </w:pPr>
    </w:p>
    <w:p w14:paraId="21344D19">
      <w:pPr>
        <w:spacing w:before="65" w:line="233" w:lineRule="auto"/>
        <w:ind w:left="1808"/>
        <w:rPr>
          <w:rFonts w:hint="eastAsia" w:ascii="宋体" w:hAnsi="宋体" w:eastAsia="宋体" w:cs="宋体"/>
          <w:color w:val="auto"/>
          <w:sz w:val="14"/>
          <w:szCs w:val="14"/>
          <w:highlight w:val="none"/>
          <w:lang w:val="en-US" w:eastAsia="zh-CN"/>
        </w:rPr>
      </w:pPr>
      <w:bookmarkStart w:id="456" w:name="bookmark159"/>
      <w:bookmarkEnd w:id="456"/>
      <w:r>
        <w:rPr>
          <w:rFonts w:ascii="宋体" w:hAnsi="宋体" w:eastAsia="宋体" w:cs="宋体"/>
          <w:b/>
          <w:bCs/>
          <w:color w:val="auto"/>
          <w:spacing w:val="-3"/>
          <w:sz w:val="30"/>
          <w:szCs w:val="30"/>
          <w:highlight w:val="none"/>
        </w:rPr>
        <w:t>（八）拟委任的其他主要监理人员资历表</w:t>
      </w:r>
    </w:p>
    <w:p w14:paraId="3881CEFC">
      <w:pPr>
        <w:spacing w:before="147"/>
        <w:rPr>
          <w:color w:val="auto"/>
          <w:highlight w:val="none"/>
        </w:rPr>
      </w:pPr>
    </w:p>
    <w:tbl>
      <w:tblPr>
        <w:tblStyle w:val="17"/>
        <w:tblW w:w="912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28"/>
        <w:gridCol w:w="1222"/>
        <w:gridCol w:w="346"/>
        <w:gridCol w:w="1107"/>
        <w:gridCol w:w="1442"/>
        <w:gridCol w:w="303"/>
        <w:gridCol w:w="1661"/>
        <w:gridCol w:w="354"/>
        <w:gridCol w:w="1365"/>
      </w:tblGrid>
      <w:tr w14:paraId="487504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9" w:hRule="atLeast"/>
        </w:trPr>
        <w:tc>
          <w:tcPr>
            <w:tcW w:w="1328" w:type="dxa"/>
            <w:vAlign w:val="top"/>
          </w:tcPr>
          <w:p w14:paraId="3A718942">
            <w:pPr>
              <w:spacing w:line="355" w:lineRule="auto"/>
              <w:rPr>
                <w:rFonts w:ascii="Arial"/>
                <w:color w:val="auto"/>
                <w:sz w:val="21"/>
                <w:highlight w:val="none"/>
              </w:rPr>
            </w:pPr>
          </w:p>
          <w:p w14:paraId="38B28261">
            <w:pPr>
              <w:pStyle w:val="18"/>
              <w:spacing w:before="65" w:line="228" w:lineRule="auto"/>
              <w:ind w:left="234"/>
              <w:rPr>
                <w:color w:val="auto"/>
                <w:highlight w:val="none"/>
              </w:rPr>
            </w:pPr>
            <w:r>
              <w:rPr>
                <w:color w:val="auto"/>
                <w:highlight w:val="none"/>
              </w:rPr>
              <w:t>姓</w:t>
            </w:r>
            <w:r>
              <w:rPr>
                <w:color w:val="auto"/>
                <w:spacing w:val="7"/>
                <w:highlight w:val="none"/>
              </w:rPr>
              <w:t xml:space="preserve">    </w:t>
            </w:r>
            <w:r>
              <w:rPr>
                <w:color w:val="auto"/>
                <w:highlight w:val="none"/>
              </w:rPr>
              <w:t>名</w:t>
            </w:r>
          </w:p>
        </w:tc>
        <w:tc>
          <w:tcPr>
            <w:tcW w:w="1568" w:type="dxa"/>
            <w:gridSpan w:val="2"/>
            <w:vAlign w:val="top"/>
          </w:tcPr>
          <w:p w14:paraId="50EF2C1C">
            <w:pPr>
              <w:rPr>
                <w:rFonts w:ascii="Arial"/>
                <w:color w:val="auto"/>
                <w:sz w:val="21"/>
                <w:highlight w:val="none"/>
              </w:rPr>
            </w:pPr>
          </w:p>
        </w:tc>
        <w:tc>
          <w:tcPr>
            <w:tcW w:w="1107" w:type="dxa"/>
            <w:vAlign w:val="top"/>
          </w:tcPr>
          <w:p w14:paraId="0A365E0A">
            <w:pPr>
              <w:spacing w:line="355" w:lineRule="auto"/>
              <w:rPr>
                <w:rFonts w:ascii="Arial"/>
                <w:color w:val="auto"/>
                <w:sz w:val="21"/>
                <w:highlight w:val="none"/>
              </w:rPr>
            </w:pPr>
          </w:p>
          <w:p w14:paraId="448A9BC1">
            <w:pPr>
              <w:pStyle w:val="18"/>
              <w:spacing w:before="65" w:line="228" w:lineRule="auto"/>
              <w:ind w:left="108"/>
              <w:rPr>
                <w:color w:val="auto"/>
                <w:highlight w:val="none"/>
              </w:rPr>
            </w:pPr>
            <w:r>
              <w:rPr>
                <w:color w:val="auto"/>
                <w:highlight w:val="none"/>
              </w:rPr>
              <w:t>年</w:t>
            </w:r>
            <w:r>
              <w:rPr>
                <w:color w:val="auto"/>
                <w:spacing w:val="6"/>
                <w:highlight w:val="none"/>
              </w:rPr>
              <w:t xml:space="preserve">    </w:t>
            </w:r>
            <w:r>
              <w:rPr>
                <w:color w:val="auto"/>
                <w:highlight w:val="none"/>
              </w:rPr>
              <w:t>龄</w:t>
            </w:r>
          </w:p>
        </w:tc>
        <w:tc>
          <w:tcPr>
            <w:tcW w:w="1442" w:type="dxa"/>
            <w:vAlign w:val="top"/>
          </w:tcPr>
          <w:p w14:paraId="6483FA3A">
            <w:pPr>
              <w:rPr>
                <w:rFonts w:ascii="Arial"/>
                <w:color w:val="auto"/>
                <w:sz w:val="21"/>
                <w:highlight w:val="none"/>
              </w:rPr>
            </w:pPr>
          </w:p>
        </w:tc>
        <w:tc>
          <w:tcPr>
            <w:tcW w:w="1964" w:type="dxa"/>
            <w:gridSpan w:val="2"/>
            <w:vAlign w:val="top"/>
          </w:tcPr>
          <w:p w14:paraId="484FBF1C">
            <w:pPr>
              <w:pStyle w:val="18"/>
              <w:spacing w:before="223" w:line="227" w:lineRule="auto"/>
              <w:ind w:left="11"/>
              <w:rPr>
                <w:color w:val="auto"/>
                <w:highlight w:val="none"/>
              </w:rPr>
            </w:pPr>
            <w:r>
              <w:rPr>
                <w:color w:val="auto"/>
                <w:spacing w:val="8"/>
                <w:highlight w:val="none"/>
              </w:rPr>
              <w:t>执业或职业资格证书</w:t>
            </w:r>
          </w:p>
          <w:p w14:paraId="0867A0E5">
            <w:pPr>
              <w:pStyle w:val="18"/>
              <w:spacing w:before="154" w:line="230" w:lineRule="auto"/>
              <w:ind w:left="748"/>
              <w:rPr>
                <w:color w:val="auto"/>
                <w:highlight w:val="none"/>
              </w:rPr>
            </w:pPr>
            <w:r>
              <w:rPr>
                <w:color w:val="auto"/>
                <w:spacing w:val="3"/>
                <w:highlight w:val="none"/>
              </w:rPr>
              <w:t>名称</w:t>
            </w:r>
          </w:p>
        </w:tc>
        <w:tc>
          <w:tcPr>
            <w:tcW w:w="1719" w:type="dxa"/>
            <w:gridSpan w:val="2"/>
            <w:vAlign w:val="top"/>
          </w:tcPr>
          <w:p w14:paraId="2C72C398">
            <w:pPr>
              <w:rPr>
                <w:rFonts w:ascii="Arial"/>
                <w:color w:val="auto"/>
                <w:sz w:val="21"/>
                <w:highlight w:val="none"/>
              </w:rPr>
            </w:pPr>
          </w:p>
        </w:tc>
      </w:tr>
      <w:tr w14:paraId="22FA30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4" w:hRule="atLeast"/>
        </w:trPr>
        <w:tc>
          <w:tcPr>
            <w:tcW w:w="1328" w:type="dxa"/>
            <w:vAlign w:val="top"/>
          </w:tcPr>
          <w:p w14:paraId="1654CE9D">
            <w:pPr>
              <w:spacing w:line="381" w:lineRule="auto"/>
              <w:rPr>
                <w:rFonts w:ascii="Arial"/>
                <w:color w:val="auto"/>
                <w:sz w:val="21"/>
                <w:highlight w:val="none"/>
              </w:rPr>
            </w:pPr>
          </w:p>
          <w:p w14:paraId="49273E8E">
            <w:pPr>
              <w:pStyle w:val="18"/>
              <w:spacing w:before="65" w:line="228" w:lineRule="auto"/>
              <w:ind w:left="234"/>
              <w:rPr>
                <w:color w:val="auto"/>
                <w:highlight w:val="none"/>
              </w:rPr>
            </w:pPr>
            <w:r>
              <w:rPr>
                <w:color w:val="auto"/>
                <w:spacing w:val="7"/>
                <w:highlight w:val="none"/>
              </w:rPr>
              <w:t>技术职称</w:t>
            </w:r>
          </w:p>
        </w:tc>
        <w:tc>
          <w:tcPr>
            <w:tcW w:w="1568" w:type="dxa"/>
            <w:gridSpan w:val="2"/>
            <w:vAlign w:val="top"/>
          </w:tcPr>
          <w:p w14:paraId="1C9C80E2">
            <w:pPr>
              <w:rPr>
                <w:rFonts w:ascii="Arial"/>
                <w:color w:val="auto"/>
                <w:sz w:val="21"/>
                <w:highlight w:val="none"/>
              </w:rPr>
            </w:pPr>
          </w:p>
        </w:tc>
        <w:tc>
          <w:tcPr>
            <w:tcW w:w="1107" w:type="dxa"/>
            <w:vAlign w:val="top"/>
          </w:tcPr>
          <w:p w14:paraId="3911F5A8">
            <w:pPr>
              <w:spacing w:line="381" w:lineRule="auto"/>
              <w:rPr>
                <w:rFonts w:ascii="Arial"/>
                <w:color w:val="auto"/>
                <w:sz w:val="21"/>
                <w:highlight w:val="none"/>
              </w:rPr>
            </w:pPr>
          </w:p>
          <w:p w14:paraId="2478D9FE">
            <w:pPr>
              <w:pStyle w:val="18"/>
              <w:spacing w:before="66" w:line="229" w:lineRule="auto"/>
              <w:ind w:left="111"/>
              <w:rPr>
                <w:color w:val="auto"/>
                <w:highlight w:val="none"/>
              </w:rPr>
            </w:pPr>
            <w:r>
              <w:rPr>
                <w:color w:val="auto"/>
                <w:spacing w:val="-2"/>
                <w:highlight w:val="none"/>
              </w:rPr>
              <w:t>学</w:t>
            </w:r>
            <w:r>
              <w:rPr>
                <w:color w:val="auto"/>
                <w:spacing w:val="7"/>
                <w:highlight w:val="none"/>
              </w:rPr>
              <w:t xml:space="preserve">    </w:t>
            </w:r>
            <w:r>
              <w:rPr>
                <w:color w:val="auto"/>
                <w:spacing w:val="-2"/>
                <w:highlight w:val="none"/>
              </w:rPr>
              <w:t>历</w:t>
            </w:r>
          </w:p>
        </w:tc>
        <w:tc>
          <w:tcPr>
            <w:tcW w:w="1442" w:type="dxa"/>
            <w:vAlign w:val="top"/>
          </w:tcPr>
          <w:p w14:paraId="4840A69C">
            <w:pPr>
              <w:rPr>
                <w:rFonts w:ascii="Arial"/>
                <w:color w:val="auto"/>
                <w:sz w:val="21"/>
                <w:highlight w:val="none"/>
              </w:rPr>
            </w:pPr>
          </w:p>
        </w:tc>
        <w:tc>
          <w:tcPr>
            <w:tcW w:w="1964" w:type="dxa"/>
            <w:gridSpan w:val="2"/>
            <w:vAlign w:val="top"/>
          </w:tcPr>
          <w:p w14:paraId="7E6F4BD9">
            <w:pPr>
              <w:pStyle w:val="18"/>
              <w:spacing w:before="222" w:line="347" w:lineRule="auto"/>
              <w:ind w:left="539" w:right="486" w:hanging="108"/>
              <w:rPr>
                <w:color w:val="auto"/>
                <w:highlight w:val="none"/>
              </w:rPr>
            </w:pPr>
            <w:r>
              <w:rPr>
                <w:color w:val="auto"/>
                <w:spacing w:val="8"/>
                <w:highlight w:val="none"/>
              </w:rPr>
              <w:t>拟在本标段</w:t>
            </w:r>
            <w:r>
              <w:rPr>
                <w:color w:val="auto"/>
                <w:spacing w:val="6"/>
                <w:highlight w:val="none"/>
              </w:rPr>
              <w:t>工程任职</w:t>
            </w:r>
          </w:p>
        </w:tc>
        <w:tc>
          <w:tcPr>
            <w:tcW w:w="1719" w:type="dxa"/>
            <w:gridSpan w:val="2"/>
            <w:vAlign w:val="top"/>
          </w:tcPr>
          <w:p w14:paraId="23A389B8">
            <w:pPr>
              <w:rPr>
                <w:rFonts w:ascii="Arial"/>
                <w:color w:val="auto"/>
                <w:sz w:val="21"/>
                <w:highlight w:val="none"/>
              </w:rPr>
            </w:pPr>
          </w:p>
        </w:tc>
      </w:tr>
      <w:tr w14:paraId="2FCE8D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5" w:hRule="atLeast"/>
        </w:trPr>
        <w:tc>
          <w:tcPr>
            <w:tcW w:w="1328" w:type="dxa"/>
            <w:vAlign w:val="top"/>
          </w:tcPr>
          <w:p w14:paraId="01132E24">
            <w:pPr>
              <w:rPr>
                <w:rFonts w:ascii="Arial"/>
                <w:color w:val="auto"/>
                <w:sz w:val="21"/>
                <w:highlight w:val="none"/>
              </w:rPr>
            </w:pPr>
          </w:p>
          <w:p w14:paraId="6AFFACA3">
            <w:pPr>
              <w:pStyle w:val="18"/>
              <w:spacing w:before="65" w:line="228" w:lineRule="auto"/>
              <w:ind w:left="236"/>
              <w:rPr>
                <w:color w:val="auto"/>
                <w:highlight w:val="none"/>
              </w:rPr>
            </w:pPr>
            <w:r>
              <w:rPr>
                <w:color w:val="auto"/>
                <w:spacing w:val="6"/>
                <w:highlight w:val="none"/>
              </w:rPr>
              <w:t>工作年限</w:t>
            </w:r>
          </w:p>
        </w:tc>
        <w:tc>
          <w:tcPr>
            <w:tcW w:w="4117" w:type="dxa"/>
            <w:gridSpan w:val="4"/>
            <w:vAlign w:val="top"/>
          </w:tcPr>
          <w:p w14:paraId="2F0EC0ED">
            <w:pPr>
              <w:rPr>
                <w:rFonts w:ascii="Arial"/>
                <w:color w:val="auto"/>
                <w:sz w:val="21"/>
                <w:highlight w:val="none"/>
              </w:rPr>
            </w:pPr>
          </w:p>
        </w:tc>
        <w:tc>
          <w:tcPr>
            <w:tcW w:w="1964" w:type="dxa"/>
            <w:gridSpan w:val="2"/>
            <w:vAlign w:val="top"/>
          </w:tcPr>
          <w:p w14:paraId="7C70F77A">
            <w:pPr>
              <w:rPr>
                <w:rFonts w:ascii="Arial"/>
                <w:color w:val="auto"/>
                <w:sz w:val="21"/>
                <w:highlight w:val="none"/>
              </w:rPr>
            </w:pPr>
          </w:p>
          <w:p w14:paraId="4BAC1963">
            <w:pPr>
              <w:pStyle w:val="18"/>
              <w:spacing w:before="65" w:line="228" w:lineRule="auto"/>
              <w:ind w:left="119"/>
              <w:rPr>
                <w:color w:val="auto"/>
                <w:highlight w:val="none"/>
              </w:rPr>
            </w:pPr>
            <w:r>
              <w:rPr>
                <w:color w:val="auto"/>
                <w:spacing w:val="8"/>
                <w:highlight w:val="none"/>
              </w:rPr>
              <w:t>从事监理工作年限</w:t>
            </w:r>
          </w:p>
        </w:tc>
        <w:tc>
          <w:tcPr>
            <w:tcW w:w="1719" w:type="dxa"/>
            <w:gridSpan w:val="2"/>
            <w:vAlign w:val="top"/>
          </w:tcPr>
          <w:p w14:paraId="140F2A3C">
            <w:pPr>
              <w:rPr>
                <w:rFonts w:ascii="Arial"/>
                <w:color w:val="auto"/>
                <w:sz w:val="21"/>
                <w:highlight w:val="none"/>
              </w:rPr>
            </w:pPr>
          </w:p>
        </w:tc>
      </w:tr>
      <w:tr w14:paraId="0912E0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1328" w:type="dxa"/>
            <w:vAlign w:val="top"/>
          </w:tcPr>
          <w:p w14:paraId="21C5EEBA">
            <w:pPr>
              <w:pStyle w:val="18"/>
              <w:spacing w:before="221" w:line="228" w:lineRule="auto"/>
              <w:ind w:left="238"/>
              <w:rPr>
                <w:color w:val="auto"/>
                <w:highlight w:val="none"/>
              </w:rPr>
            </w:pPr>
            <w:r>
              <w:rPr>
                <w:color w:val="auto"/>
                <w:spacing w:val="6"/>
                <w:highlight w:val="none"/>
              </w:rPr>
              <w:t>毕业学校</w:t>
            </w:r>
          </w:p>
        </w:tc>
        <w:tc>
          <w:tcPr>
            <w:tcW w:w="7800" w:type="dxa"/>
            <w:gridSpan w:val="8"/>
            <w:vAlign w:val="top"/>
          </w:tcPr>
          <w:p w14:paraId="3E9164C5">
            <w:pPr>
              <w:pStyle w:val="18"/>
              <w:spacing w:before="222" w:line="221" w:lineRule="auto"/>
              <w:ind w:left="59"/>
              <w:rPr>
                <w:color w:val="auto"/>
                <w:highlight w:val="none"/>
              </w:rPr>
            </w:pPr>
            <w:r>
              <w:rPr>
                <w:color w:val="auto"/>
                <w:spacing w:val="3"/>
                <w:highlight w:val="none"/>
              </w:rPr>
              <w:t>______年___月毕业于_________________</w:t>
            </w:r>
            <w:r>
              <w:rPr>
                <w:color w:val="auto"/>
                <w:spacing w:val="2"/>
                <w:highlight w:val="none"/>
              </w:rPr>
              <w:t>___学校____________专业，学制______年</w:t>
            </w:r>
          </w:p>
        </w:tc>
      </w:tr>
      <w:tr w14:paraId="68B67B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9128" w:type="dxa"/>
            <w:gridSpan w:val="9"/>
            <w:vAlign w:val="top"/>
          </w:tcPr>
          <w:p w14:paraId="77B6596A">
            <w:pPr>
              <w:pStyle w:val="18"/>
              <w:spacing w:before="221" w:line="231" w:lineRule="auto"/>
              <w:ind w:left="3888"/>
              <w:rPr>
                <w:color w:val="auto"/>
                <w:highlight w:val="none"/>
              </w:rPr>
            </w:pPr>
            <w:r>
              <w:rPr>
                <w:color w:val="auto"/>
                <w:spacing w:val="-1"/>
                <w:highlight w:val="none"/>
              </w:rPr>
              <w:t>经</w:t>
            </w:r>
            <w:r>
              <w:rPr>
                <w:color w:val="auto"/>
                <w:spacing w:val="6"/>
                <w:highlight w:val="none"/>
              </w:rPr>
              <w:t xml:space="preserve">         </w:t>
            </w:r>
            <w:r>
              <w:rPr>
                <w:color w:val="auto"/>
                <w:spacing w:val="-1"/>
                <w:highlight w:val="none"/>
              </w:rPr>
              <w:t>历</w:t>
            </w:r>
          </w:p>
        </w:tc>
      </w:tr>
      <w:tr w14:paraId="413FCA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trPr>
        <w:tc>
          <w:tcPr>
            <w:tcW w:w="1328" w:type="dxa"/>
            <w:vAlign w:val="top"/>
          </w:tcPr>
          <w:p w14:paraId="50AC36EE">
            <w:pPr>
              <w:spacing w:line="354" w:lineRule="auto"/>
              <w:rPr>
                <w:rFonts w:ascii="Arial"/>
                <w:color w:val="auto"/>
                <w:sz w:val="21"/>
                <w:highlight w:val="none"/>
              </w:rPr>
            </w:pPr>
          </w:p>
          <w:p w14:paraId="145FB75E">
            <w:pPr>
              <w:pStyle w:val="18"/>
              <w:spacing w:before="65" w:line="230" w:lineRule="auto"/>
              <w:ind w:left="373"/>
              <w:rPr>
                <w:color w:val="auto"/>
                <w:highlight w:val="none"/>
              </w:rPr>
            </w:pPr>
            <w:r>
              <w:rPr>
                <w:color w:val="auto"/>
                <w:spacing w:val="-5"/>
                <w:highlight w:val="none"/>
              </w:rPr>
              <w:t>时</w:t>
            </w:r>
            <w:r>
              <w:rPr>
                <w:color w:val="auto"/>
                <w:spacing w:val="17"/>
                <w:highlight w:val="none"/>
              </w:rPr>
              <w:t xml:space="preserve">  </w:t>
            </w:r>
            <w:r>
              <w:rPr>
                <w:color w:val="auto"/>
                <w:spacing w:val="-5"/>
                <w:highlight w:val="none"/>
              </w:rPr>
              <w:t>间</w:t>
            </w:r>
          </w:p>
        </w:tc>
        <w:tc>
          <w:tcPr>
            <w:tcW w:w="4420" w:type="dxa"/>
            <w:gridSpan w:val="5"/>
            <w:vAlign w:val="top"/>
          </w:tcPr>
          <w:p w14:paraId="6C8D4491">
            <w:pPr>
              <w:spacing w:line="354" w:lineRule="auto"/>
              <w:rPr>
                <w:rFonts w:ascii="Arial"/>
                <w:color w:val="auto"/>
                <w:sz w:val="21"/>
                <w:highlight w:val="none"/>
              </w:rPr>
            </w:pPr>
          </w:p>
          <w:p w14:paraId="4F14C17D">
            <w:pPr>
              <w:pStyle w:val="18"/>
              <w:spacing w:before="65" w:line="228" w:lineRule="auto"/>
              <w:ind w:left="976"/>
              <w:rPr>
                <w:color w:val="auto"/>
                <w:highlight w:val="none"/>
              </w:rPr>
            </w:pPr>
            <w:r>
              <w:rPr>
                <w:color w:val="auto"/>
                <w:spacing w:val="8"/>
                <w:highlight w:val="none"/>
              </w:rPr>
              <w:t>参加过的类似工程项目名称</w:t>
            </w:r>
          </w:p>
        </w:tc>
        <w:tc>
          <w:tcPr>
            <w:tcW w:w="2015" w:type="dxa"/>
            <w:gridSpan w:val="2"/>
            <w:vAlign w:val="top"/>
          </w:tcPr>
          <w:p w14:paraId="047F5020">
            <w:pPr>
              <w:spacing w:line="354" w:lineRule="auto"/>
              <w:rPr>
                <w:rFonts w:ascii="Arial"/>
                <w:color w:val="auto"/>
                <w:sz w:val="21"/>
                <w:highlight w:val="none"/>
              </w:rPr>
            </w:pPr>
          </w:p>
          <w:p w14:paraId="6273D9A3">
            <w:pPr>
              <w:pStyle w:val="18"/>
              <w:spacing w:before="65" w:line="228" w:lineRule="auto"/>
              <w:ind w:left="614"/>
              <w:rPr>
                <w:color w:val="auto"/>
                <w:highlight w:val="none"/>
              </w:rPr>
            </w:pPr>
            <w:r>
              <w:rPr>
                <w:color w:val="auto"/>
                <w:spacing w:val="7"/>
                <w:highlight w:val="none"/>
              </w:rPr>
              <w:t>担任职务</w:t>
            </w:r>
          </w:p>
        </w:tc>
        <w:tc>
          <w:tcPr>
            <w:tcW w:w="1365" w:type="dxa"/>
            <w:vAlign w:val="top"/>
          </w:tcPr>
          <w:p w14:paraId="0D950D9D">
            <w:pPr>
              <w:pStyle w:val="18"/>
              <w:spacing w:before="220" w:line="320" w:lineRule="auto"/>
              <w:ind w:left="511" w:right="43" w:hanging="445"/>
              <w:rPr>
                <w:color w:val="auto"/>
                <w:highlight w:val="none"/>
              </w:rPr>
            </w:pPr>
            <w:r>
              <w:rPr>
                <w:color w:val="auto"/>
                <w:spacing w:val="8"/>
                <w:highlight w:val="none"/>
              </w:rPr>
              <w:t>委托人及联系</w:t>
            </w:r>
            <w:r>
              <w:rPr>
                <w:color w:val="auto"/>
                <w:spacing w:val="-8"/>
                <w:highlight w:val="none"/>
              </w:rPr>
              <w:t>电话</w:t>
            </w:r>
          </w:p>
        </w:tc>
      </w:tr>
      <w:tr w14:paraId="6F20DB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5" w:hRule="atLeast"/>
        </w:trPr>
        <w:tc>
          <w:tcPr>
            <w:tcW w:w="1328" w:type="dxa"/>
            <w:vAlign w:val="top"/>
          </w:tcPr>
          <w:p w14:paraId="146E854B">
            <w:pPr>
              <w:rPr>
                <w:rFonts w:ascii="Arial"/>
                <w:color w:val="auto"/>
                <w:sz w:val="21"/>
                <w:highlight w:val="none"/>
              </w:rPr>
            </w:pPr>
          </w:p>
        </w:tc>
        <w:tc>
          <w:tcPr>
            <w:tcW w:w="4420" w:type="dxa"/>
            <w:gridSpan w:val="5"/>
            <w:vAlign w:val="top"/>
          </w:tcPr>
          <w:p w14:paraId="219B167B">
            <w:pPr>
              <w:rPr>
                <w:rFonts w:ascii="Arial"/>
                <w:color w:val="auto"/>
                <w:sz w:val="21"/>
                <w:highlight w:val="none"/>
              </w:rPr>
            </w:pPr>
          </w:p>
        </w:tc>
        <w:tc>
          <w:tcPr>
            <w:tcW w:w="2015" w:type="dxa"/>
            <w:gridSpan w:val="2"/>
            <w:vAlign w:val="top"/>
          </w:tcPr>
          <w:p w14:paraId="3655BA38">
            <w:pPr>
              <w:rPr>
                <w:rFonts w:ascii="Arial"/>
                <w:color w:val="auto"/>
                <w:sz w:val="21"/>
                <w:highlight w:val="none"/>
              </w:rPr>
            </w:pPr>
          </w:p>
        </w:tc>
        <w:tc>
          <w:tcPr>
            <w:tcW w:w="1365" w:type="dxa"/>
            <w:vAlign w:val="top"/>
          </w:tcPr>
          <w:p w14:paraId="66CB8AC3">
            <w:pPr>
              <w:rPr>
                <w:rFonts w:ascii="Arial"/>
                <w:color w:val="auto"/>
                <w:sz w:val="21"/>
                <w:highlight w:val="none"/>
              </w:rPr>
            </w:pPr>
          </w:p>
        </w:tc>
      </w:tr>
      <w:tr w14:paraId="197BB1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6" w:hRule="atLeast"/>
        </w:trPr>
        <w:tc>
          <w:tcPr>
            <w:tcW w:w="1328" w:type="dxa"/>
            <w:vAlign w:val="top"/>
          </w:tcPr>
          <w:p w14:paraId="6B9220A4">
            <w:pPr>
              <w:rPr>
                <w:rFonts w:ascii="Arial"/>
                <w:color w:val="auto"/>
                <w:sz w:val="21"/>
                <w:highlight w:val="none"/>
              </w:rPr>
            </w:pPr>
          </w:p>
        </w:tc>
        <w:tc>
          <w:tcPr>
            <w:tcW w:w="4420" w:type="dxa"/>
            <w:gridSpan w:val="5"/>
            <w:vAlign w:val="top"/>
          </w:tcPr>
          <w:p w14:paraId="5EE0FAEB">
            <w:pPr>
              <w:rPr>
                <w:rFonts w:ascii="Arial"/>
                <w:color w:val="auto"/>
                <w:sz w:val="21"/>
                <w:highlight w:val="none"/>
              </w:rPr>
            </w:pPr>
          </w:p>
        </w:tc>
        <w:tc>
          <w:tcPr>
            <w:tcW w:w="2015" w:type="dxa"/>
            <w:gridSpan w:val="2"/>
            <w:vAlign w:val="top"/>
          </w:tcPr>
          <w:p w14:paraId="0BC4D195">
            <w:pPr>
              <w:rPr>
                <w:rFonts w:ascii="Arial"/>
                <w:color w:val="auto"/>
                <w:sz w:val="21"/>
                <w:highlight w:val="none"/>
              </w:rPr>
            </w:pPr>
          </w:p>
        </w:tc>
        <w:tc>
          <w:tcPr>
            <w:tcW w:w="1365" w:type="dxa"/>
            <w:vAlign w:val="top"/>
          </w:tcPr>
          <w:p w14:paraId="5C88BE1C">
            <w:pPr>
              <w:rPr>
                <w:rFonts w:ascii="Arial"/>
                <w:color w:val="auto"/>
                <w:sz w:val="21"/>
                <w:highlight w:val="none"/>
              </w:rPr>
            </w:pPr>
          </w:p>
        </w:tc>
      </w:tr>
      <w:tr w14:paraId="344875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5" w:hRule="atLeast"/>
        </w:trPr>
        <w:tc>
          <w:tcPr>
            <w:tcW w:w="1328" w:type="dxa"/>
            <w:vAlign w:val="top"/>
          </w:tcPr>
          <w:p w14:paraId="72B5777C">
            <w:pPr>
              <w:rPr>
                <w:rFonts w:ascii="Arial"/>
                <w:color w:val="auto"/>
                <w:sz w:val="21"/>
                <w:highlight w:val="none"/>
              </w:rPr>
            </w:pPr>
          </w:p>
        </w:tc>
        <w:tc>
          <w:tcPr>
            <w:tcW w:w="4420" w:type="dxa"/>
            <w:gridSpan w:val="5"/>
            <w:vAlign w:val="top"/>
          </w:tcPr>
          <w:p w14:paraId="4AE64588">
            <w:pPr>
              <w:rPr>
                <w:rFonts w:ascii="Arial"/>
                <w:color w:val="auto"/>
                <w:sz w:val="21"/>
                <w:highlight w:val="none"/>
              </w:rPr>
            </w:pPr>
          </w:p>
        </w:tc>
        <w:tc>
          <w:tcPr>
            <w:tcW w:w="2015" w:type="dxa"/>
            <w:gridSpan w:val="2"/>
            <w:vAlign w:val="top"/>
          </w:tcPr>
          <w:p w14:paraId="0707805A">
            <w:pPr>
              <w:rPr>
                <w:rFonts w:ascii="Arial"/>
                <w:color w:val="auto"/>
                <w:sz w:val="21"/>
                <w:highlight w:val="none"/>
              </w:rPr>
            </w:pPr>
          </w:p>
        </w:tc>
        <w:tc>
          <w:tcPr>
            <w:tcW w:w="1365" w:type="dxa"/>
            <w:vAlign w:val="top"/>
          </w:tcPr>
          <w:p w14:paraId="4FCDFE00">
            <w:pPr>
              <w:rPr>
                <w:rFonts w:ascii="Arial"/>
                <w:color w:val="auto"/>
                <w:sz w:val="21"/>
                <w:highlight w:val="none"/>
              </w:rPr>
            </w:pPr>
          </w:p>
        </w:tc>
      </w:tr>
      <w:tr w14:paraId="70B1A9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5" w:hRule="atLeast"/>
        </w:trPr>
        <w:tc>
          <w:tcPr>
            <w:tcW w:w="1328" w:type="dxa"/>
            <w:vAlign w:val="top"/>
          </w:tcPr>
          <w:p w14:paraId="1BFEE617">
            <w:pPr>
              <w:rPr>
                <w:rFonts w:ascii="Arial"/>
                <w:color w:val="auto"/>
                <w:sz w:val="21"/>
                <w:highlight w:val="none"/>
              </w:rPr>
            </w:pPr>
          </w:p>
        </w:tc>
        <w:tc>
          <w:tcPr>
            <w:tcW w:w="4420" w:type="dxa"/>
            <w:gridSpan w:val="5"/>
            <w:vAlign w:val="top"/>
          </w:tcPr>
          <w:p w14:paraId="4D2A27C6">
            <w:pPr>
              <w:rPr>
                <w:rFonts w:ascii="Arial"/>
                <w:color w:val="auto"/>
                <w:sz w:val="21"/>
                <w:highlight w:val="none"/>
              </w:rPr>
            </w:pPr>
          </w:p>
        </w:tc>
        <w:tc>
          <w:tcPr>
            <w:tcW w:w="2015" w:type="dxa"/>
            <w:gridSpan w:val="2"/>
            <w:vAlign w:val="top"/>
          </w:tcPr>
          <w:p w14:paraId="4F01C4AF">
            <w:pPr>
              <w:rPr>
                <w:rFonts w:ascii="Arial"/>
                <w:color w:val="auto"/>
                <w:sz w:val="21"/>
                <w:highlight w:val="none"/>
              </w:rPr>
            </w:pPr>
          </w:p>
        </w:tc>
        <w:tc>
          <w:tcPr>
            <w:tcW w:w="1365" w:type="dxa"/>
            <w:vAlign w:val="top"/>
          </w:tcPr>
          <w:p w14:paraId="25036F97">
            <w:pPr>
              <w:rPr>
                <w:rFonts w:ascii="Arial"/>
                <w:color w:val="auto"/>
                <w:sz w:val="21"/>
                <w:highlight w:val="none"/>
              </w:rPr>
            </w:pPr>
          </w:p>
        </w:tc>
      </w:tr>
      <w:tr w14:paraId="1E2995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6" w:hRule="atLeast"/>
        </w:trPr>
        <w:tc>
          <w:tcPr>
            <w:tcW w:w="1328" w:type="dxa"/>
            <w:vAlign w:val="top"/>
          </w:tcPr>
          <w:p w14:paraId="06677FD1">
            <w:pPr>
              <w:rPr>
                <w:rFonts w:ascii="Arial"/>
                <w:color w:val="auto"/>
                <w:sz w:val="21"/>
                <w:highlight w:val="none"/>
              </w:rPr>
            </w:pPr>
          </w:p>
        </w:tc>
        <w:tc>
          <w:tcPr>
            <w:tcW w:w="4420" w:type="dxa"/>
            <w:gridSpan w:val="5"/>
            <w:vAlign w:val="top"/>
          </w:tcPr>
          <w:p w14:paraId="22F39892">
            <w:pPr>
              <w:rPr>
                <w:rFonts w:ascii="Arial"/>
                <w:color w:val="auto"/>
                <w:sz w:val="21"/>
                <w:highlight w:val="none"/>
              </w:rPr>
            </w:pPr>
          </w:p>
        </w:tc>
        <w:tc>
          <w:tcPr>
            <w:tcW w:w="2015" w:type="dxa"/>
            <w:gridSpan w:val="2"/>
            <w:vAlign w:val="top"/>
          </w:tcPr>
          <w:p w14:paraId="06223248">
            <w:pPr>
              <w:rPr>
                <w:rFonts w:ascii="Arial"/>
                <w:color w:val="auto"/>
                <w:sz w:val="21"/>
                <w:highlight w:val="none"/>
              </w:rPr>
            </w:pPr>
          </w:p>
        </w:tc>
        <w:tc>
          <w:tcPr>
            <w:tcW w:w="1365" w:type="dxa"/>
            <w:vAlign w:val="top"/>
          </w:tcPr>
          <w:p w14:paraId="6F135665">
            <w:pPr>
              <w:rPr>
                <w:rFonts w:ascii="Arial"/>
                <w:color w:val="auto"/>
                <w:sz w:val="21"/>
                <w:highlight w:val="none"/>
              </w:rPr>
            </w:pPr>
          </w:p>
        </w:tc>
      </w:tr>
      <w:tr w14:paraId="016F1C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5" w:hRule="atLeast"/>
        </w:trPr>
        <w:tc>
          <w:tcPr>
            <w:tcW w:w="1328" w:type="dxa"/>
            <w:vAlign w:val="top"/>
          </w:tcPr>
          <w:p w14:paraId="1C608604">
            <w:pPr>
              <w:rPr>
                <w:rFonts w:ascii="Arial"/>
                <w:color w:val="auto"/>
                <w:sz w:val="21"/>
                <w:highlight w:val="none"/>
              </w:rPr>
            </w:pPr>
          </w:p>
        </w:tc>
        <w:tc>
          <w:tcPr>
            <w:tcW w:w="4420" w:type="dxa"/>
            <w:gridSpan w:val="5"/>
            <w:vAlign w:val="top"/>
          </w:tcPr>
          <w:p w14:paraId="61BDC66C">
            <w:pPr>
              <w:rPr>
                <w:rFonts w:ascii="Arial"/>
                <w:color w:val="auto"/>
                <w:sz w:val="21"/>
                <w:highlight w:val="none"/>
              </w:rPr>
            </w:pPr>
          </w:p>
        </w:tc>
        <w:tc>
          <w:tcPr>
            <w:tcW w:w="2015" w:type="dxa"/>
            <w:gridSpan w:val="2"/>
            <w:vAlign w:val="top"/>
          </w:tcPr>
          <w:p w14:paraId="1F25677C">
            <w:pPr>
              <w:rPr>
                <w:rFonts w:ascii="Arial"/>
                <w:color w:val="auto"/>
                <w:sz w:val="21"/>
                <w:highlight w:val="none"/>
              </w:rPr>
            </w:pPr>
          </w:p>
        </w:tc>
        <w:tc>
          <w:tcPr>
            <w:tcW w:w="1365" w:type="dxa"/>
            <w:vAlign w:val="top"/>
          </w:tcPr>
          <w:p w14:paraId="3DDE7547">
            <w:pPr>
              <w:rPr>
                <w:rFonts w:ascii="Arial"/>
                <w:color w:val="auto"/>
                <w:sz w:val="21"/>
                <w:highlight w:val="none"/>
              </w:rPr>
            </w:pPr>
          </w:p>
        </w:tc>
      </w:tr>
      <w:tr w14:paraId="30090E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6" w:hRule="atLeast"/>
        </w:trPr>
        <w:tc>
          <w:tcPr>
            <w:tcW w:w="2550" w:type="dxa"/>
            <w:gridSpan w:val="2"/>
            <w:vAlign w:val="top"/>
          </w:tcPr>
          <w:p w14:paraId="1B6B754E">
            <w:pPr>
              <w:spacing w:line="242" w:lineRule="auto"/>
              <w:rPr>
                <w:rFonts w:ascii="Arial"/>
                <w:color w:val="auto"/>
                <w:sz w:val="21"/>
                <w:highlight w:val="none"/>
              </w:rPr>
            </w:pPr>
          </w:p>
          <w:p w14:paraId="3CFB390B">
            <w:pPr>
              <w:pStyle w:val="18"/>
              <w:spacing w:before="65" w:line="228" w:lineRule="auto"/>
              <w:ind w:left="863"/>
              <w:rPr>
                <w:color w:val="auto"/>
                <w:highlight w:val="none"/>
              </w:rPr>
            </w:pPr>
            <w:r>
              <w:rPr>
                <w:color w:val="auto"/>
                <w:spacing w:val="6"/>
                <w:highlight w:val="none"/>
              </w:rPr>
              <w:t>获奖情况</w:t>
            </w:r>
          </w:p>
        </w:tc>
        <w:tc>
          <w:tcPr>
            <w:tcW w:w="6578" w:type="dxa"/>
            <w:gridSpan w:val="7"/>
            <w:vAlign w:val="top"/>
          </w:tcPr>
          <w:p w14:paraId="61F86190">
            <w:pPr>
              <w:rPr>
                <w:rFonts w:ascii="Arial"/>
                <w:color w:val="auto"/>
                <w:sz w:val="21"/>
                <w:highlight w:val="none"/>
              </w:rPr>
            </w:pPr>
          </w:p>
        </w:tc>
      </w:tr>
      <w:tr w14:paraId="33193D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3" w:hRule="atLeast"/>
        </w:trPr>
        <w:tc>
          <w:tcPr>
            <w:tcW w:w="2550" w:type="dxa"/>
            <w:gridSpan w:val="2"/>
            <w:vAlign w:val="top"/>
          </w:tcPr>
          <w:p w14:paraId="05B86485">
            <w:pPr>
              <w:spacing w:line="464" w:lineRule="auto"/>
              <w:rPr>
                <w:rFonts w:ascii="Arial"/>
                <w:color w:val="auto"/>
                <w:sz w:val="21"/>
                <w:highlight w:val="none"/>
              </w:rPr>
            </w:pPr>
          </w:p>
          <w:p w14:paraId="65F6CAF1">
            <w:pPr>
              <w:pStyle w:val="18"/>
              <w:spacing w:before="65" w:line="229" w:lineRule="auto"/>
              <w:ind w:left="810"/>
              <w:rPr>
                <w:color w:val="auto"/>
                <w:highlight w:val="none"/>
              </w:rPr>
            </w:pPr>
            <w:r>
              <w:rPr>
                <w:color w:val="auto"/>
                <w:spacing w:val="-1"/>
                <w:highlight w:val="none"/>
              </w:rPr>
              <w:t>备</w:t>
            </w:r>
            <w:r>
              <w:rPr>
                <w:color w:val="auto"/>
                <w:spacing w:val="7"/>
                <w:highlight w:val="none"/>
              </w:rPr>
              <w:t xml:space="preserve">     </w:t>
            </w:r>
            <w:r>
              <w:rPr>
                <w:color w:val="auto"/>
                <w:spacing w:val="-1"/>
                <w:highlight w:val="none"/>
              </w:rPr>
              <w:t>注</w:t>
            </w:r>
          </w:p>
        </w:tc>
        <w:tc>
          <w:tcPr>
            <w:tcW w:w="6578" w:type="dxa"/>
            <w:gridSpan w:val="7"/>
            <w:vAlign w:val="top"/>
          </w:tcPr>
          <w:p w14:paraId="672B82AC">
            <w:pPr>
              <w:rPr>
                <w:rFonts w:ascii="Arial"/>
                <w:color w:val="auto"/>
                <w:sz w:val="21"/>
                <w:highlight w:val="none"/>
              </w:rPr>
            </w:pPr>
          </w:p>
        </w:tc>
      </w:tr>
    </w:tbl>
    <w:p w14:paraId="2A5B1A2E">
      <w:pPr>
        <w:spacing w:before="54" w:line="227" w:lineRule="auto"/>
        <w:ind w:left="462"/>
        <w:rPr>
          <w:rFonts w:ascii="宋体" w:hAnsi="宋体" w:eastAsia="宋体" w:cs="宋体"/>
          <w:color w:val="auto"/>
          <w:sz w:val="20"/>
          <w:szCs w:val="20"/>
          <w:highlight w:val="none"/>
        </w:rPr>
      </w:pPr>
      <w:r>
        <w:rPr>
          <w:rFonts w:ascii="宋体" w:hAnsi="宋体" w:eastAsia="宋体" w:cs="宋体"/>
          <w:color w:val="auto"/>
          <w:spacing w:val="8"/>
          <w:sz w:val="20"/>
          <w:szCs w:val="20"/>
          <w:highlight w:val="none"/>
        </w:rPr>
        <w:t>注：</w:t>
      </w:r>
      <w:r>
        <w:rPr>
          <w:rFonts w:hint="eastAsia" w:ascii="宋体" w:hAnsi="宋体" w:eastAsia="宋体" w:cs="宋体"/>
          <w:color w:val="auto"/>
          <w:spacing w:val="8"/>
          <w:sz w:val="20"/>
          <w:szCs w:val="20"/>
          <w:highlight w:val="none"/>
          <w:lang w:val="en-US" w:eastAsia="zh-CN"/>
        </w:rPr>
        <w:t>本次招标不作要求，无须填写</w:t>
      </w:r>
      <w:r>
        <w:rPr>
          <w:rFonts w:ascii="宋体" w:hAnsi="宋体" w:eastAsia="宋体" w:cs="宋体"/>
          <w:color w:val="auto"/>
          <w:spacing w:val="7"/>
          <w:sz w:val="20"/>
          <w:szCs w:val="20"/>
          <w:highlight w:val="none"/>
        </w:rPr>
        <w:t>。</w:t>
      </w:r>
    </w:p>
    <w:p w14:paraId="7645849F">
      <w:pPr>
        <w:spacing w:line="261" w:lineRule="auto"/>
        <w:rPr>
          <w:rFonts w:ascii="Arial"/>
          <w:color w:val="auto"/>
          <w:sz w:val="21"/>
          <w:highlight w:val="none"/>
        </w:rPr>
      </w:pPr>
    </w:p>
    <w:p w14:paraId="4EE1760F">
      <w:pPr>
        <w:spacing w:line="261" w:lineRule="auto"/>
        <w:rPr>
          <w:rFonts w:ascii="Arial"/>
          <w:color w:val="auto"/>
          <w:sz w:val="21"/>
          <w:highlight w:val="none"/>
        </w:rPr>
      </w:pPr>
    </w:p>
    <w:p w14:paraId="43924E37">
      <w:pPr>
        <w:spacing w:line="261" w:lineRule="auto"/>
        <w:rPr>
          <w:rFonts w:ascii="Arial"/>
          <w:color w:val="auto"/>
          <w:sz w:val="21"/>
          <w:highlight w:val="none"/>
        </w:rPr>
      </w:pPr>
    </w:p>
    <w:p w14:paraId="2350D378">
      <w:pPr>
        <w:spacing w:line="261" w:lineRule="auto"/>
        <w:rPr>
          <w:rFonts w:ascii="Arial"/>
          <w:color w:val="auto"/>
          <w:sz w:val="21"/>
          <w:highlight w:val="none"/>
        </w:rPr>
      </w:pPr>
    </w:p>
    <w:p w14:paraId="182D940A">
      <w:pPr>
        <w:spacing w:line="261" w:lineRule="auto"/>
        <w:rPr>
          <w:rFonts w:ascii="Arial"/>
          <w:color w:val="auto"/>
          <w:sz w:val="21"/>
          <w:highlight w:val="none"/>
        </w:rPr>
      </w:pPr>
    </w:p>
    <w:p w14:paraId="2B9296DC">
      <w:pPr>
        <w:spacing w:line="261" w:lineRule="auto"/>
        <w:rPr>
          <w:rFonts w:ascii="Arial"/>
          <w:color w:val="auto"/>
          <w:sz w:val="21"/>
          <w:highlight w:val="none"/>
        </w:rPr>
      </w:pPr>
    </w:p>
    <w:p w14:paraId="496C534B">
      <w:pPr>
        <w:spacing w:line="217" w:lineRule="auto"/>
        <w:rPr>
          <w:rFonts w:ascii="宋体" w:hAnsi="宋体" w:eastAsia="宋体" w:cs="宋体"/>
          <w:color w:val="auto"/>
          <w:sz w:val="18"/>
          <w:szCs w:val="18"/>
          <w:highlight w:val="none"/>
        </w:rPr>
        <w:sectPr>
          <w:footerReference r:id="rId97" w:type="default"/>
          <w:pgSz w:w="11906" w:h="16839"/>
          <w:pgMar w:top="1373" w:right="1388" w:bottom="1297" w:left="1384" w:header="0" w:footer="1065" w:gutter="0"/>
          <w:pgNumType w:fmt="decimal"/>
          <w:cols w:space="720" w:num="1"/>
        </w:sectPr>
      </w:pPr>
      <w:bookmarkStart w:id="457" w:name="bookmark160"/>
      <w:bookmarkEnd w:id="457"/>
    </w:p>
    <w:p w14:paraId="091BA139">
      <w:pPr>
        <w:spacing w:before="59" w:line="218" w:lineRule="auto"/>
        <w:ind w:left="1348"/>
        <w:rPr>
          <w:rFonts w:ascii="宋体" w:hAnsi="宋体" w:eastAsia="宋体" w:cs="宋体"/>
          <w:color w:val="auto"/>
          <w:sz w:val="30"/>
          <w:szCs w:val="30"/>
          <w:highlight w:val="none"/>
        </w:rPr>
      </w:pPr>
      <w:r>
        <w:rPr>
          <w:rFonts w:ascii="宋体" w:hAnsi="宋体" w:eastAsia="宋体" w:cs="宋体"/>
          <w:b/>
          <w:bCs/>
          <w:color w:val="auto"/>
          <w:spacing w:val="-4"/>
          <w:sz w:val="30"/>
          <w:szCs w:val="30"/>
          <w:highlight w:val="none"/>
        </w:rPr>
        <w:t>（九）关于使用广东省信用评价等级的申请承诺书</w:t>
      </w:r>
    </w:p>
    <w:p w14:paraId="0D6B49E9">
      <w:pPr>
        <w:spacing w:line="306" w:lineRule="auto"/>
        <w:rPr>
          <w:rFonts w:ascii="Arial"/>
          <w:color w:val="auto"/>
          <w:sz w:val="21"/>
          <w:highlight w:val="none"/>
        </w:rPr>
      </w:pPr>
    </w:p>
    <w:p w14:paraId="6F9E099C">
      <w:pPr>
        <w:spacing w:before="78" w:line="220" w:lineRule="auto"/>
        <w:ind w:left="109"/>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致招标人</w:t>
      </w:r>
      <w:r>
        <w:rPr>
          <w:rFonts w:ascii="宋体" w:hAnsi="宋体" w:eastAsia="宋体" w:cs="宋体"/>
          <w:color w:val="auto"/>
          <w:spacing w:val="-16"/>
          <w:sz w:val="24"/>
          <w:szCs w:val="24"/>
          <w:highlight w:val="none"/>
        </w:rPr>
        <w:t>：</w:t>
      </w:r>
      <w:r>
        <w:rPr>
          <w:rFonts w:ascii="宋体" w:hAnsi="宋体" w:eastAsia="宋体" w:cs="宋体"/>
          <w:color w:val="auto"/>
          <w:spacing w:val="1"/>
          <w:sz w:val="24"/>
          <w:szCs w:val="24"/>
          <w:highlight w:val="none"/>
          <w:u w:val="single" w:color="auto"/>
        </w:rPr>
        <w:t xml:space="preserve"> </w:t>
      </w:r>
      <w:r>
        <w:rPr>
          <w:rFonts w:ascii="宋体" w:hAnsi="宋体" w:eastAsia="宋体" w:cs="宋体"/>
          <w:color w:val="auto"/>
          <w:spacing w:val="-16"/>
          <w:sz w:val="24"/>
          <w:szCs w:val="24"/>
          <w:highlight w:val="none"/>
          <w:u w:val="single" w:color="auto"/>
        </w:rPr>
        <w:t>（</w:t>
      </w:r>
      <w:r>
        <w:rPr>
          <w:rFonts w:ascii="宋体" w:hAnsi="宋体" w:eastAsia="宋体" w:cs="宋体"/>
          <w:color w:val="auto"/>
          <w:spacing w:val="2"/>
          <w:sz w:val="24"/>
          <w:szCs w:val="24"/>
          <w:highlight w:val="none"/>
          <w:u w:val="single" w:color="auto"/>
        </w:rPr>
        <w:t>招标人全称）</w:t>
      </w:r>
    </w:p>
    <w:p w14:paraId="6BD39D80">
      <w:pPr>
        <w:spacing w:before="115" w:line="219" w:lineRule="auto"/>
        <w:ind w:left="591"/>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按照相关要求，现我单位对使用信用等级申请如下：</w:t>
      </w:r>
    </w:p>
    <w:p w14:paraId="33CBC47B">
      <w:pPr>
        <w:spacing w:before="114" w:line="308" w:lineRule="auto"/>
        <w:ind w:left="109" w:right="10" w:firstLine="483"/>
        <w:jc w:val="both"/>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一、我单位在</w:t>
      </w:r>
      <w:r>
        <w:rPr>
          <w:rFonts w:ascii="宋体" w:hAnsi="宋体" w:eastAsia="宋体" w:cs="宋体"/>
          <w:color w:val="auto"/>
          <w:spacing w:val="-1"/>
          <w:sz w:val="24"/>
          <w:szCs w:val="24"/>
          <w:highlight w:val="none"/>
          <w:u w:val="single" w:color="auto"/>
        </w:rPr>
        <w:t xml:space="preserve">                     </w:t>
      </w:r>
      <w:r>
        <w:rPr>
          <w:rFonts w:ascii="宋体" w:hAnsi="宋体" w:eastAsia="宋体" w:cs="宋体"/>
          <w:color w:val="auto"/>
          <w:spacing w:val="-2"/>
          <w:sz w:val="24"/>
          <w:szCs w:val="24"/>
          <w:highlight w:val="none"/>
          <w:u w:val="single" w:color="auto"/>
        </w:rPr>
        <w:t xml:space="preserve"> 施工监理</w:t>
      </w:r>
      <w:r>
        <w:rPr>
          <w:rFonts w:ascii="宋体" w:hAnsi="宋体" w:eastAsia="宋体" w:cs="宋体"/>
          <w:color w:val="auto"/>
          <w:spacing w:val="-2"/>
          <w:sz w:val="24"/>
          <w:szCs w:val="24"/>
          <w:highlight w:val="none"/>
        </w:rPr>
        <w:t>招标（第</w:t>
      </w:r>
      <w:r>
        <w:rPr>
          <w:rFonts w:ascii="宋体" w:hAnsi="宋体" w:eastAsia="宋体" w:cs="宋体"/>
          <w:color w:val="auto"/>
          <w:spacing w:val="-2"/>
          <w:sz w:val="24"/>
          <w:szCs w:val="24"/>
          <w:highlight w:val="none"/>
          <w:u w:val="single" w:color="auto"/>
        </w:rPr>
        <w:t xml:space="preserve">      标段）</w:t>
      </w:r>
      <w:r>
        <w:rPr>
          <w:rFonts w:ascii="宋体" w:hAnsi="宋体" w:eastAsia="宋体" w:cs="宋体"/>
          <w:color w:val="auto"/>
          <w:spacing w:val="-2"/>
          <w:sz w:val="24"/>
          <w:szCs w:val="24"/>
          <w:highlight w:val="none"/>
        </w:rPr>
        <w:t>的招标中，</w:t>
      </w:r>
      <w:r>
        <w:rPr>
          <w:rFonts w:ascii="宋体" w:hAnsi="宋体" w:eastAsia="宋体" w:cs="宋体"/>
          <w:b/>
          <w:bCs/>
          <w:color w:val="auto"/>
          <w:spacing w:val="-2"/>
          <w:sz w:val="24"/>
          <w:szCs w:val="24"/>
          <w:highlight w:val="none"/>
        </w:rPr>
        <w:t>第</w:t>
      </w:r>
      <w:r>
        <w:rPr>
          <w:rFonts w:ascii="宋体" w:hAnsi="宋体" w:eastAsia="宋体" w:cs="宋体"/>
          <w:color w:val="auto"/>
          <w:spacing w:val="-2"/>
          <w:sz w:val="24"/>
          <w:szCs w:val="24"/>
          <w:highlight w:val="none"/>
          <w:u w:val="single" w:color="auto"/>
        </w:rPr>
        <w:t xml:space="preserve">    </w:t>
      </w:r>
      <w:r>
        <w:rPr>
          <w:rFonts w:ascii="宋体" w:hAnsi="宋体" w:eastAsia="宋体" w:cs="宋体"/>
          <w:color w:val="auto"/>
          <w:spacing w:val="-104"/>
          <w:sz w:val="24"/>
          <w:szCs w:val="24"/>
          <w:highlight w:val="none"/>
        </w:rPr>
        <w:t xml:space="preserve"> </w:t>
      </w:r>
      <w:r>
        <w:rPr>
          <w:rFonts w:ascii="宋体" w:hAnsi="宋体" w:eastAsia="宋体" w:cs="宋体"/>
          <w:b/>
          <w:bCs/>
          <w:color w:val="auto"/>
          <w:spacing w:val="-2"/>
          <w:sz w:val="24"/>
          <w:szCs w:val="24"/>
          <w:highlight w:val="none"/>
        </w:rPr>
        <w:t>次使用（</w:t>
      </w:r>
      <w:r>
        <w:rPr>
          <w:rFonts w:ascii="宋体" w:hAnsi="宋体" w:eastAsia="宋体" w:cs="宋体"/>
          <w:color w:val="auto"/>
          <w:spacing w:val="-71"/>
          <w:sz w:val="24"/>
          <w:szCs w:val="24"/>
          <w:highlight w:val="none"/>
        </w:rPr>
        <w:t xml:space="preserve"> </w:t>
      </w:r>
      <w:r>
        <w:rPr>
          <w:rFonts w:ascii="宋体" w:hAnsi="宋体" w:eastAsia="宋体" w:cs="宋体"/>
          <w:b/>
          <w:bCs/>
          <w:color w:val="auto"/>
          <w:spacing w:val="-2"/>
          <w:sz w:val="24"/>
          <w:szCs w:val="24"/>
          <w:highlight w:val="none"/>
          <w:u w:val="single" w:color="auto"/>
        </w:rPr>
        <w:t>或不使用</w:t>
      </w:r>
      <w:r>
        <w:rPr>
          <w:rFonts w:ascii="宋体" w:hAnsi="宋体" w:eastAsia="宋体" w:cs="宋体"/>
          <w:b/>
          <w:bCs/>
          <w:color w:val="auto"/>
          <w:spacing w:val="-2"/>
          <w:sz w:val="24"/>
          <w:szCs w:val="24"/>
          <w:highlight w:val="none"/>
        </w:rPr>
        <w:t>）</w:t>
      </w:r>
      <w:r>
        <w:rPr>
          <w:rFonts w:ascii="宋体" w:hAnsi="宋体" w:eastAsia="宋体" w:cs="宋体"/>
          <w:color w:val="auto"/>
          <w:spacing w:val="-2"/>
          <w:sz w:val="24"/>
          <w:szCs w:val="24"/>
          <w:highlight w:val="none"/>
        </w:rPr>
        <w:t>广东省交通运输</w:t>
      </w:r>
      <w:r>
        <w:rPr>
          <w:rFonts w:ascii="宋体" w:hAnsi="宋体" w:eastAsia="宋体" w:cs="宋体"/>
          <w:color w:val="auto"/>
          <w:spacing w:val="-3"/>
          <w:sz w:val="24"/>
          <w:szCs w:val="24"/>
          <w:highlight w:val="none"/>
        </w:rPr>
        <w:t>厅发布的</w:t>
      </w:r>
      <w:r>
        <w:rPr>
          <w:rFonts w:ascii="宋体" w:hAnsi="宋体" w:eastAsia="宋体" w:cs="宋体"/>
          <w:color w:val="auto"/>
          <w:spacing w:val="-3"/>
          <w:sz w:val="24"/>
          <w:szCs w:val="24"/>
          <w:highlight w:val="none"/>
          <w:u w:val="single" w:color="auto"/>
        </w:rPr>
        <w:t xml:space="preserve">     </w:t>
      </w:r>
      <w:r>
        <w:rPr>
          <w:rFonts w:ascii="宋体" w:hAnsi="宋体" w:eastAsia="宋体" w:cs="宋体"/>
          <w:color w:val="auto"/>
          <w:spacing w:val="-109"/>
          <w:sz w:val="24"/>
          <w:szCs w:val="24"/>
          <w:highlight w:val="none"/>
        </w:rPr>
        <w:t xml:space="preserve"> </w:t>
      </w:r>
      <w:r>
        <w:rPr>
          <w:rFonts w:ascii="宋体" w:hAnsi="宋体" w:eastAsia="宋体" w:cs="宋体"/>
          <w:color w:val="auto"/>
          <w:spacing w:val="-3"/>
          <w:sz w:val="24"/>
          <w:szCs w:val="24"/>
          <w:highlight w:val="none"/>
        </w:rPr>
        <w:t>年度信用评价</w:t>
      </w:r>
      <w:r>
        <w:rPr>
          <w:rFonts w:ascii="宋体" w:hAnsi="宋体" w:eastAsia="宋体" w:cs="宋体"/>
          <w:color w:val="auto"/>
          <w:spacing w:val="-3"/>
          <w:sz w:val="24"/>
          <w:szCs w:val="24"/>
          <w:highlight w:val="none"/>
          <w:u w:val="single" w:color="auto"/>
        </w:rPr>
        <w:t xml:space="preserve">    </w:t>
      </w:r>
      <w:r>
        <w:rPr>
          <w:rFonts w:ascii="宋体" w:hAnsi="宋体" w:eastAsia="宋体" w:cs="宋体"/>
          <w:color w:val="auto"/>
          <w:spacing w:val="-109"/>
          <w:sz w:val="24"/>
          <w:szCs w:val="24"/>
          <w:highlight w:val="none"/>
        </w:rPr>
        <w:t xml:space="preserve"> </w:t>
      </w:r>
      <w:r>
        <w:rPr>
          <w:rFonts w:ascii="宋体" w:hAnsi="宋体" w:eastAsia="宋体" w:cs="宋体"/>
          <w:color w:val="auto"/>
          <w:spacing w:val="-3"/>
          <w:sz w:val="24"/>
          <w:szCs w:val="24"/>
          <w:highlight w:val="none"/>
        </w:rPr>
        <w:t>等级结果</w:t>
      </w:r>
      <w:r>
        <w:rPr>
          <w:rFonts w:ascii="宋体" w:hAnsi="宋体" w:eastAsia="宋体" w:cs="宋体"/>
          <w:color w:val="auto"/>
          <w:spacing w:val="-2"/>
          <w:sz w:val="24"/>
          <w:szCs w:val="24"/>
          <w:highlight w:val="none"/>
        </w:rPr>
        <w:t>和对应等级分值。</w:t>
      </w:r>
    </w:p>
    <w:p w14:paraId="2BA514B3">
      <w:pPr>
        <w:spacing w:line="218" w:lineRule="auto"/>
        <w:ind w:left="593"/>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二、我单位承诺，在递交本次申请后，我单位将失去一次使用</w:t>
      </w:r>
      <w:r>
        <w:rPr>
          <w:rFonts w:ascii="宋体" w:hAnsi="宋体" w:eastAsia="宋体" w:cs="宋体"/>
          <w:color w:val="auto"/>
          <w:spacing w:val="-1"/>
          <w:sz w:val="24"/>
          <w:szCs w:val="24"/>
          <w:highlight w:val="none"/>
          <w:u w:val="single" w:color="auto"/>
        </w:rPr>
        <w:t xml:space="preserve">      </w:t>
      </w:r>
      <w:r>
        <w:rPr>
          <w:rFonts w:ascii="宋体" w:hAnsi="宋体" w:eastAsia="宋体" w:cs="宋体"/>
          <w:color w:val="auto"/>
          <w:spacing w:val="-98"/>
          <w:sz w:val="24"/>
          <w:szCs w:val="24"/>
          <w:highlight w:val="none"/>
        </w:rPr>
        <w:t xml:space="preserve"> </w:t>
      </w:r>
      <w:r>
        <w:rPr>
          <w:rFonts w:ascii="宋体" w:hAnsi="宋体" w:eastAsia="宋体" w:cs="宋体"/>
          <w:color w:val="auto"/>
          <w:spacing w:val="-1"/>
          <w:sz w:val="24"/>
          <w:szCs w:val="24"/>
          <w:highlight w:val="none"/>
        </w:rPr>
        <w:t>等级结果</w:t>
      </w:r>
    </w:p>
    <w:p w14:paraId="08FBB5F0">
      <w:pPr>
        <w:spacing w:before="114" w:line="264" w:lineRule="auto"/>
        <w:ind w:left="110" w:right="180" w:hanging="110"/>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w:t>
      </w:r>
      <w:r>
        <w:rPr>
          <w:rFonts w:ascii="宋体" w:hAnsi="宋体" w:eastAsia="宋体" w:cs="宋体"/>
          <w:b/>
          <w:bCs/>
          <w:color w:val="auto"/>
          <w:spacing w:val="-2"/>
          <w:sz w:val="24"/>
          <w:szCs w:val="24"/>
          <w:highlight w:val="none"/>
          <w:u w:val="single" w:color="auto"/>
        </w:rPr>
        <w:t>不使用时上述填“/</w:t>
      </w:r>
      <w:r>
        <w:rPr>
          <w:rFonts w:ascii="宋体" w:hAnsi="宋体" w:eastAsia="宋体" w:cs="宋体"/>
          <w:color w:val="auto"/>
          <w:spacing w:val="-82"/>
          <w:sz w:val="24"/>
          <w:szCs w:val="24"/>
          <w:highlight w:val="none"/>
          <w:u w:val="single" w:color="auto"/>
        </w:rPr>
        <w:t xml:space="preserve"> </w:t>
      </w:r>
      <w:r>
        <w:rPr>
          <w:rFonts w:ascii="宋体" w:hAnsi="宋体" w:eastAsia="宋体" w:cs="宋体"/>
          <w:b/>
          <w:bCs/>
          <w:color w:val="auto"/>
          <w:spacing w:val="-2"/>
          <w:sz w:val="24"/>
          <w:szCs w:val="24"/>
          <w:highlight w:val="none"/>
          <w:u w:val="single" w:color="auto"/>
        </w:rPr>
        <w:t>”）</w:t>
      </w:r>
      <w:r>
        <w:rPr>
          <w:rFonts w:ascii="宋体" w:hAnsi="宋体" w:eastAsia="宋体" w:cs="宋体"/>
          <w:color w:val="auto"/>
          <w:spacing w:val="-2"/>
          <w:sz w:val="24"/>
          <w:szCs w:val="24"/>
          <w:highlight w:val="none"/>
        </w:rPr>
        <w:t>参与投标的机会。当累计使用超过规定的次数，我单位同意</w:t>
      </w:r>
      <w:r>
        <w:rPr>
          <w:rFonts w:ascii="宋体" w:hAnsi="宋体" w:eastAsia="宋体" w:cs="宋体"/>
          <w:color w:val="auto"/>
          <w:spacing w:val="-1"/>
          <w:sz w:val="24"/>
          <w:szCs w:val="24"/>
          <w:highlight w:val="none"/>
        </w:rPr>
        <w:t>按降低一个信用等级对应分值来认定参与投标评审。</w:t>
      </w:r>
    </w:p>
    <w:p w14:paraId="3EF2C8BB">
      <w:pPr>
        <w:spacing w:before="115" w:line="263" w:lineRule="auto"/>
        <w:ind w:left="111" w:right="192" w:firstLine="478"/>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三、如果我单位发生违反规定使用信用等级结果的情形，</w:t>
      </w:r>
      <w:r>
        <w:rPr>
          <w:rFonts w:ascii="宋体" w:hAnsi="宋体" w:eastAsia="宋体" w:cs="宋体"/>
          <w:color w:val="auto"/>
          <w:spacing w:val="-61"/>
          <w:sz w:val="24"/>
          <w:szCs w:val="24"/>
          <w:highlight w:val="none"/>
        </w:rPr>
        <w:t xml:space="preserve"> </w:t>
      </w:r>
      <w:r>
        <w:rPr>
          <w:rFonts w:ascii="宋体" w:hAnsi="宋体" w:eastAsia="宋体" w:cs="宋体"/>
          <w:color w:val="auto"/>
          <w:spacing w:val="-2"/>
          <w:sz w:val="24"/>
          <w:szCs w:val="24"/>
          <w:highlight w:val="none"/>
        </w:rPr>
        <w:t>自愿接受省级交通运输主管部门的处理。</w:t>
      </w:r>
    </w:p>
    <w:p w14:paraId="1E538CC5">
      <w:pPr>
        <w:spacing w:before="117" w:line="310" w:lineRule="auto"/>
        <w:ind w:left="589" w:right="312" w:firstLine="18"/>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 xml:space="preserve">附件：本单位使用 </w:t>
      </w:r>
      <w:r>
        <w:rPr>
          <w:rFonts w:ascii="宋体" w:hAnsi="宋体" w:eastAsia="宋体" w:cs="宋体"/>
          <w:color w:val="auto"/>
          <w:spacing w:val="-1"/>
          <w:sz w:val="24"/>
          <w:szCs w:val="24"/>
          <w:highlight w:val="none"/>
          <w:u w:val="single" w:color="auto"/>
        </w:rPr>
        <w:t xml:space="preserve">    </w:t>
      </w:r>
      <w:r>
        <w:rPr>
          <w:rFonts w:ascii="宋体" w:hAnsi="宋体" w:eastAsia="宋体" w:cs="宋体"/>
          <w:color w:val="auto"/>
          <w:spacing w:val="-110"/>
          <w:sz w:val="24"/>
          <w:szCs w:val="24"/>
          <w:highlight w:val="none"/>
        </w:rPr>
        <w:t xml:space="preserve"> </w:t>
      </w:r>
      <w:r>
        <w:rPr>
          <w:rFonts w:ascii="宋体" w:hAnsi="宋体" w:eastAsia="宋体" w:cs="宋体"/>
          <w:color w:val="auto"/>
          <w:spacing w:val="-1"/>
          <w:sz w:val="24"/>
          <w:szCs w:val="24"/>
          <w:highlight w:val="none"/>
        </w:rPr>
        <w:t>年度广东省公路水运工程从业单位信用等级情况</w:t>
      </w:r>
      <w:r>
        <w:rPr>
          <w:rFonts w:ascii="宋体" w:hAnsi="宋体" w:eastAsia="宋体" w:cs="宋体"/>
          <w:color w:val="auto"/>
          <w:spacing w:val="-2"/>
          <w:sz w:val="24"/>
          <w:szCs w:val="24"/>
          <w:highlight w:val="none"/>
        </w:rPr>
        <w:t>汇总表</w:t>
      </w:r>
      <w:r>
        <w:rPr>
          <w:rFonts w:ascii="宋体" w:hAnsi="宋体" w:eastAsia="宋体" w:cs="宋体"/>
          <w:color w:val="auto"/>
          <w:spacing w:val="-3"/>
          <w:sz w:val="24"/>
          <w:szCs w:val="24"/>
          <w:highlight w:val="none"/>
        </w:rPr>
        <w:t>特此承诺</w:t>
      </w:r>
    </w:p>
    <w:p w14:paraId="2AF06E6F">
      <w:pPr>
        <w:spacing w:before="304" w:line="220" w:lineRule="auto"/>
        <w:ind w:left="2248"/>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投标人（单位全称</w:t>
      </w:r>
      <w:r>
        <w:rPr>
          <w:rFonts w:ascii="宋体" w:hAnsi="宋体" w:eastAsia="宋体" w:cs="宋体"/>
          <w:color w:val="auto"/>
          <w:spacing w:val="1"/>
          <w:sz w:val="24"/>
          <w:szCs w:val="24"/>
          <w:highlight w:val="none"/>
        </w:rPr>
        <w:t>）：</w:t>
      </w:r>
      <w:r>
        <w:rPr>
          <w:rFonts w:ascii="宋体" w:hAnsi="宋体" w:eastAsia="宋体" w:cs="宋体"/>
          <w:color w:val="auto"/>
          <w:sz w:val="24"/>
          <w:szCs w:val="24"/>
          <w:highlight w:val="none"/>
          <w:u w:val="single" w:color="auto"/>
        </w:rPr>
        <w:t xml:space="preserve">                          </w:t>
      </w:r>
    </w:p>
    <w:p w14:paraId="5AC72DE7">
      <w:pPr>
        <w:spacing w:line="283" w:lineRule="auto"/>
        <w:rPr>
          <w:rFonts w:ascii="Arial"/>
          <w:color w:val="auto"/>
          <w:sz w:val="21"/>
          <w:highlight w:val="none"/>
        </w:rPr>
      </w:pPr>
    </w:p>
    <w:p w14:paraId="36750031">
      <w:pPr>
        <w:spacing w:line="283" w:lineRule="auto"/>
        <w:rPr>
          <w:rFonts w:ascii="Arial"/>
          <w:color w:val="auto"/>
          <w:sz w:val="21"/>
          <w:highlight w:val="none"/>
        </w:rPr>
      </w:pPr>
    </w:p>
    <w:p w14:paraId="7EC7ADAA">
      <w:pPr>
        <w:spacing w:before="79" w:line="219" w:lineRule="auto"/>
        <w:ind w:left="2305"/>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投标人的法定代表人或其委托代理人签名：</w:t>
      </w:r>
      <w:r>
        <w:rPr>
          <w:rFonts w:ascii="宋体" w:hAnsi="宋体" w:eastAsia="宋体" w:cs="宋体"/>
          <w:color w:val="auto"/>
          <w:sz w:val="24"/>
          <w:szCs w:val="24"/>
          <w:highlight w:val="none"/>
          <w:u w:val="single" w:color="auto"/>
        </w:rPr>
        <w:t xml:space="preserve">            </w:t>
      </w:r>
    </w:p>
    <w:p w14:paraId="3CD36EA1">
      <w:pPr>
        <w:spacing w:line="327" w:lineRule="auto"/>
        <w:rPr>
          <w:rFonts w:ascii="Arial"/>
          <w:color w:val="auto"/>
          <w:sz w:val="21"/>
          <w:highlight w:val="none"/>
        </w:rPr>
      </w:pPr>
    </w:p>
    <w:p w14:paraId="21A5EA40">
      <w:pPr>
        <w:spacing w:line="328" w:lineRule="auto"/>
        <w:rPr>
          <w:rFonts w:ascii="Arial"/>
          <w:color w:val="auto"/>
          <w:sz w:val="21"/>
          <w:highlight w:val="none"/>
        </w:rPr>
      </w:pPr>
    </w:p>
    <w:p w14:paraId="2185937F">
      <w:pPr>
        <w:spacing w:before="78" w:line="219" w:lineRule="auto"/>
        <w:jc w:val="right"/>
        <w:rPr>
          <w:rFonts w:ascii="宋体" w:hAnsi="宋体" w:eastAsia="宋体" w:cs="宋体"/>
          <w:color w:val="auto"/>
          <w:sz w:val="24"/>
          <w:szCs w:val="24"/>
          <w:highlight w:val="none"/>
        </w:rPr>
      </w:pPr>
      <w:r>
        <w:rPr>
          <w:rFonts w:ascii="宋体" w:hAnsi="宋体" w:eastAsia="宋体" w:cs="宋体"/>
          <w:color w:val="auto"/>
          <w:spacing w:val="-26"/>
          <w:sz w:val="24"/>
          <w:szCs w:val="24"/>
          <w:highlight w:val="none"/>
        </w:rPr>
        <w:t>年</w:t>
      </w:r>
      <w:r>
        <w:rPr>
          <w:rFonts w:ascii="宋体" w:hAnsi="宋体" w:eastAsia="宋体" w:cs="宋体"/>
          <w:color w:val="auto"/>
          <w:spacing w:val="4"/>
          <w:sz w:val="24"/>
          <w:szCs w:val="24"/>
          <w:highlight w:val="none"/>
        </w:rPr>
        <w:t xml:space="preserve">    </w:t>
      </w:r>
      <w:r>
        <w:rPr>
          <w:rFonts w:ascii="宋体" w:hAnsi="宋体" w:eastAsia="宋体" w:cs="宋体"/>
          <w:color w:val="auto"/>
          <w:spacing w:val="-26"/>
          <w:sz w:val="24"/>
          <w:szCs w:val="24"/>
          <w:highlight w:val="none"/>
        </w:rPr>
        <w:t>月</w:t>
      </w:r>
      <w:r>
        <w:rPr>
          <w:rFonts w:ascii="宋体" w:hAnsi="宋体" w:eastAsia="宋体" w:cs="宋体"/>
          <w:color w:val="auto"/>
          <w:spacing w:val="12"/>
          <w:sz w:val="24"/>
          <w:szCs w:val="24"/>
          <w:highlight w:val="none"/>
        </w:rPr>
        <w:t xml:space="preserve">    </w:t>
      </w:r>
      <w:r>
        <w:rPr>
          <w:rFonts w:ascii="宋体" w:hAnsi="宋体" w:eastAsia="宋体" w:cs="宋体"/>
          <w:color w:val="auto"/>
          <w:spacing w:val="-26"/>
          <w:sz w:val="24"/>
          <w:szCs w:val="24"/>
          <w:highlight w:val="none"/>
        </w:rPr>
        <w:t>日</w:t>
      </w:r>
    </w:p>
    <w:p w14:paraId="4BB07878">
      <w:pPr>
        <w:spacing w:before="163" w:line="230" w:lineRule="auto"/>
        <w:ind w:left="537"/>
        <w:rPr>
          <w:rFonts w:ascii="宋体" w:hAnsi="宋体" w:eastAsia="宋体" w:cs="宋体"/>
          <w:color w:val="auto"/>
          <w:sz w:val="19"/>
          <w:szCs w:val="19"/>
          <w:highlight w:val="none"/>
        </w:rPr>
      </w:pPr>
      <w:r>
        <w:rPr>
          <w:rFonts w:ascii="宋体" w:hAnsi="宋体" w:eastAsia="宋体" w:cs="宋体"/>
          <w:color w:val="auto"/>
          <w:spacing w:val="2"/>
          <w:sz w:val="19"/>
          <w:szCs w:val="19"/>
          <w:highlight w:val="none"/>
        </w:rPr>
        <w:t>备注：</w:t>
      </w:r>
    </w:p>
    <w:p w14:paraId="772AD362">
      <w:pPr>
        <w:spacing w:before="161" w:line="309" w:lineRule="auto"/>
        <w:ind w:left="109" w:right="197" w:firstLine="440"/>
        <w:rPr>
          <w:rFonts w:ascii="宋体" w:hAnsi="宋体" w:eastAsia="宋体" w:cs="宋体"/>
          <w:color w:val="auto"/>
          <w:sz w:val="19"/>
          <w:szCs w:val="19"/>
          <w:highlight w:val="none"/>
        </w:rPr>
      </w:pPr>
      <w:r>
        <w:rPr>
          <w:rFonts w:ascii="宋体" w:hAnsi="宋体" w:eastAsia="宋体" w:cs="宋体"/>
          <w:color w:val="auto"/>
          <w:spacing w:val="8"/>
          <w:sz w:val="19"/>
          <w:szCs w:val="19"/>
          <w:highlight w:val="none"/>
        </w:rPr>
        <w:t>1、</w:t>
      </w:r>
      <w:r>
        <w:rPr>
          <w:rFonts w:ascii="宋体" w:hAnsi="宋体" w:eastAsia="宋体" w:cs="宋体"/>
          <w:color w:val="auto"/>
          <w:sz w:val="19"/>
          <w:szCs w:val="19"/>
          <w:highlight w:val="none"/>
        </w:rPr>
        <w:t>AA</w:t>
      </w:r>
      <w:r>
        <w:rPr>
          <w:rFonts w:ascii="宋体" w:hAnsi="宋体" w:eastAsia="宋体" w:cs="宋体"/>
          <w:color w:val="auto"/>
          <w:spacing w:val="8"/>
          <w:sz w:val="19"/>
          <w:szCs w:val="19"/>
          <w:highlight w:val="none"/>
        </w:rPr>
        <w:t>、A</w:t>
      </w:r>
      <w:r>
        <w:rPr>
          <w:rFonts w:ascii="宋体" w:hAnsi="宋体" w:eastAsia="宋体" w:cs="宋体"/>
          <w:color w:val="auto"/>
          <w:spacing w:val="-16"/>
          <w:sz w:val="19"/>
          <w:szCs w:val="19"/>
          <w:highlight w:val="none"/>
        </w:rPr>
        <w:t xml:space="preserve"> </w:t>
      </w:r>
      <w:r>
        <w:rPr>
          <w:rFonts w:ascii="宋体" w:hAnsi="宋体" w:eastAsia="宋体" w:cs="宋体"/>
          <w:color w:val="auto"/>
          <w:spacing w:val="8"/>
          <w:sz w:val="19"/>
          <w:szCs w:val="19"/>
          <w:highlight w:val="none"/>
        </w:rPr>
        <w:t>级信用等级企业必须填写此申请承诺书；选择“使用</w:t>
      </w:r>
      <w:r>
        <w:rPr>
          <w:rFonts w:ascii="宋体" w:hAnsi="宋体" w:eastAsia="宋体" w:cs="宋体"/>
          <w:color w:val="auto"/>
          <w:spacing w:val="-66"/>
          <w:sz w:val="19"/>
          <w:szCs w:val="19"/>
          <w:highlight w:val="none"/>
        </w:rPr>
        <w:t xml:space="preserve"> </w:t>
      </w:r>
      <w:r>
        <w:rPr>
          <w:rFonts w:ascii="宋体" w:hAnsi="宋体" w:eastAsia="宋体" w:cs="宋体"/>
          <w:color w:val="auto"/>
          <w:spacing w:val="8"/>
          <w:sz w:val="19"/>
          <w:szCs w:val="19"/>
          <w:highlight w:val="none"/>
        </w:rPr>
        <w:t>”时需和附表（情况汇总表）一起</w:t>
      </w:r>
      <w:r>
        <w:rPr>
          <w:rFonts w:ascii="宋体" w:hAnsi="宋体" w:eastAsia="宋体" w:cs="宋体"/>
          <w:color w:val="auto"/>
          <w:spacing w:val="7"/>
          <w:sz w:val="19"/>
          <w:szCs w:val="19"/>
          <w:highlight w:val="none"/>
        </w:rPr>
        <w:t>编入投标文件中。</w:t>
      </w:r>
    </w:p>
    <w:p w14:paraId="4B15BE28">
      <w:pPr>
        <w:spacing w:before="167" w:line="227" w:lineRule="auto"/>
        <w:ind w:left="537"/>
        <w:rPr>
          <w:rFonts w:ascii="宋体" w:hAnsi="宋体" w:eastAsia="宋体" w:cs="宋体"/>
          <w:color w:val="auto"/>
          <w:sz w:val="19"/>
          <w:szCs w:val="19"/>
          <w:highlight w:val="none"/>
        </w:rPr>
      </w:pPr>
      <w:r>
        <w:rPr>
          <w:rFonts w:ascii="宋体" w:hAnsi="宋体" w:eastAsia="宋体" w:cs="宋体"/>
          <w:color w:val="auto"/>
          <w:spacing w:val="10"/>
          <w:sz w:val="19"/>
          <w:szCs w:val="19"/>
          <w:highlight w:val="none"/>
        </w:rPr>
        <w:t>2、</w:t>
      </w:r>
      <w:r>
        <w:rPr>
          <w:rFonts w:ascii="宋体" w:hAnsi="宋体" w:eastAsia="宋体" w:cs="宋体"/>
          <w:color w:val="auto"/>
          <w:sz w:val="19"/>
          <w:szCs w:val="19"/>
          <w:highlight w:val="none"/>
        </w:rPr>
        <w:t>AA</w:t>
      </w:r>
      <w:r>
        <w:rPr>
          <w:rFonts w:ascii="宋体" w:hAnsi="宋体" w:eastAsia="宋体" w:cs="宋体"/>
          <w:color w:val="auto"/>
          <w:spacing w:val="10"/>
          <w:sz w:val="19"/>
          <w:szCs w:val="19"/>
          <w:highlight w:val="none"/>
        </w:rPr>
        <w:t>、A 级信用等级企业应区分标段、分别填写并提</w:t>
      </w:r>
      <w:r>
        <w:rPr>
          <w:rFonts w:ascii="宋体" w:hAnsi="宋体" w:eastAsia="宋体" w:cs="宋体"/>
          <w:color w:val="auto"/>
          <w:spacing w:val="9"/>
          <w:sz w:val="19"/>
          <w:szCs w:val="19"/>
          <w:highlight w:val="none"/>
        </w:rPr>
        <w:t>交此申请承诺书；如同时对多个标段选择</w:t>
      </w:r>
    </w:p>
    <w:p w14:paraId="4A64DEC9">
      <w:pPr>
        <w:spacing w:before="166" w:line="335" w:lineRule="auto"/>
        <w:ind w:left="106" w:right="72" w:hanging="107"/>
        <w:rPr>
          <w:rFonts w:ascii="宋体" w:hAnsi="宋体" w:eastAsia="宋体" w:cs="宋体"/>
          <w:color w:val="auto"/>
          <w:sz w:val="19"/>
          <w:szCs w:val="19"/>
          <w:highlight w:val="none"/>
        </w:rPr>
      </w:pPr>
      <w:r>
        <w:rPr>
          <w:rFonts w:ascii="宋体" w:hAnsi="宋体" w:eastAsia="宋体" w:cs="宋体"/>
          <w:color w:val="auto"/>
          <w:spacing w:val="9"/>
          <w:sz w:val="19"/>
          <w:szCs w:val="19"/>
          <w:highlight w:val="none"/>
        </w:rPr>
        <w:t>“使用</w:t>
      </w:r>
      <w:r>
        <w:rPr>
          <w:rFonts w:ascii="宋体" w:hAnsi="宋体" w:eastAsia="宋体" w:cs="宋体"/>
          <w:color w:val="auto"/>
          <w:spacing w:val="-66"/>
          <w:sz w:val="19"/>
          <w:szCs w:val="19"/>
          <w:highlight w:val="none"/>
        </w:rPr>
        <w:t xml:space="preserve"> </w:t>
      </w:r>
      <w:r>
        <w:rPr>
          <w:rFonts w:ascii="宋体" w:hAnsi="宋体" w:eastAsia="宋体" w:cs="宋体"/>
          <w:color w:val="auto"/>
          <w:spacing w:val="9"/>
          <w:sz w:val="19"/>
          <w:szCs w:val="19"/>
          <w:highlight w:val="none"/>
        </w:rPr>
        <w:t>”时，使用次数应按标段累加（即各</w:t>
      </w:r>
      <w:r>
        <w:rPr>
          <w:rFonts w:ascii="宋体" w:hAnsi="宋体" w:eastAsia="宋体" w:cs="宋体"/>
          <w:color w:val="auto"/>
          <w:spacing w:val="8"/>
          <w:sz w:val="19"/>
          <w:szCs w:val="19"/>
          <w:highlight w:val="none"/>
        </w:rPr>
        <w:t>个标段申请承诺书的使用次数应不一致）</w:t>
      </w:r>
      <w:r>
        <w:rPr>
          <w:rFonts w:ascii="宋体" w:hAnsi="宋体" w:eastAsia="宋体" w:cs="宋体"/>
          <w:color w:val="auto"/>
          <w:spacing w:val="-56"/>
          <w:sz w:val="19"/>
          <w:szCs w:val="19"/>
          <w:highlight w:val="none"/>
        </w:rPr>
        <w:t xml:space="preserve"> </w:t>
      </w:r>
      <w:r>
        <w:rPr>
          <w:rFonts w:ascii="宋体" w:hAnsi="宋体" w:eastAsia="宋体" w:cs="宋体"/>
          <w:color w:val="auto"/>
          <w:spacing w:val="8"/>
          <w:sz w:val="19"/>
          <w:szCs w:val="19"/>
          <w:highlight w:val="none"/>
        </w:rPr>
        <w:t>。如同时对多个标</w:t>
      </w:r>
      <w:r>
        <w:rPr>
          <w:rFonts w:ascii="宋体" w:hAnsi="宋体" w:eastAsia="宋体" w:cs="宋体"/>
          <w:color w:val="auto"/>
          <w:spacing w:val="9"/>
          <w:sz w:val="19"/>
          <w:szCs w:val="19"/>
          <w:highlight w:val="none"/>
        </w:rPr>
        <w:t>段选择“使用</w:t>
      </w:r>
      <w:r>
        <w:rPr>
          <w:rFonts w:ascii="宋体" w:hAnsi="宋体" w:eastAsia="宋体" w:cs="宋体"/>
          <w:color w:val="auto"/>
          <w:spacing w:val="-60"/>
          <w:sz w:val="19"/>
          <w:szCs w:val="19"/>
          <w:highlight w:val="none"/>
        </w:rPr>
        <w:t xml:space="preserve"> </w:t>
      </w:r>
      <w:r>
        <w:rPr>
          <w:rFonts w:ascii="宋体" w:hAnsi="宋体" w:eastAsia="宋体" w:cs="宋体"/>
          <w:color w:val="auto"/>
          <w:spacing w:val="9"/>
          <w:sz w:val="19"/>
          <w:szCs w:val="19"/>
          <w:highlight w:val="none"/>
        </w:rPr>
        <w:t>”而多个标段所附申请承诺书的使用次数为同一次时，多个标段均视为未正确填报申请承诺书，均按不承诺使用对应的信用等级处理。</w:t>
      </w:r>
    </w:p>
    <w:p w14:paraId="576130E1">
      <w:pPr>
        <w:spacing w:before="165" w:line="309" w:lineRule="auto"/>
        <w:ind w:left="108" w:right="144" w:firstLine="430"/>
        <w:rPr>
          <w:rFonts w:ascii="宋体" w:hAnsi="宋体" w:eastAsia="宋体" w:cs="宋体"/>
          <w:color w:val="auto"/>
          <w:sz w:val="19"/>
          <w:szCs w:val="19"/>
          <w:highlight w:val="none"/>
        </w:rPr>
      </w:pPr>
      <w:r>
        <w:rPr>
          <w:rFonts w:ascii="宋体" w:hAnsi="宋体" w:eastAsia="宋体" w:cs="宋体"/>
          <w:color w:val="auto"/>
          <w:spacing w:val="9"/>
          <w:sz w:val="19"/>
          <w:szCs w:val="19"/>
          <w:highlight w:val="none"/>
        </w:rPr>
        <w:t>3、中标候选人公示将对所有承诺使用最新一年度</w:t>
      </w:r>
      <w:r>
        <w:rPr>
          <w:rFonts w:ascii="宋体" w:hAnsi="宋体" w:eastAsia="宋体" w:cs="宋体"/>
          <w:color w:val="auto"/>
          <w:spacing w:val="-28"/>
          <w:sz w:val="19"/>
          <w:szCs w:val="19"/>
          <w:highlight w:val="none"/>
        </w:rPr>
        <w:t xml:space="preserve"> </w:t>
      </w:r>
      <w:r>
        <w:rPr>
          <w:rFonts w:ascii="宋体" w:hAnsi="宋体" w:eastAsia="宋体" w:cs="宋体"/>
          <w:color w:val="auto"/>
          <w:sz w:val="19"/>
          <w:szCs w:val="19"/>
          <w:highlight w:val="none"/>
        </w:rPr>
        <w:t>AA</w:t>
      </w:r>
      <w:r>
        <w:rPr>
          <w:rFonts w:ascii="宋体" w:hAnsi="宋体" w:eastAsia="宋体" w:cs="宋体"/>
          <w:color w:val="auto"/>
          <w:spacing w:val="9"/>
          <w:sz w:val="19"/>
          <w:szCs w:val="19"/>
          <w:highlight w:val="none"/>
        </w:rPr>
        <w:t>、A</w:t>
      </w:r>
      <w:r>
        <w:rPr>
          <w:rFonts w:ascii="宋体" w:hAnsi="宋体" w:eastAsia="宋体" w:cs="宋体"/>
          <w:color w:val="auto"/>
          <w:spacing w:val="-33"/>
          <w:sz w:val="19"/>
          <w:szCs w:val="19"/>
          <w:highlight w:val="none"/>
        </w:rPr>
        <w:t xml:space="preserve"> </w:t>
      </w:r>
      <w:r>
        <w:rPr>
          <w:rFonts w:ascii="宋体" w:hAnsi="宋体" w:eastAsia="宋体" w:cs="宋体"/>
          <w:color w:val="auto"/>
          <w:spacing w:val="9"/>
          <w:sz w:val="19"/>
          <w:szCs w:val="19"/>
          <w:highlight w:val="none"/>
        </w:rPr>
        <w:t>级投标人的年度信用等级使用情况进行公</w:t>
      </w:r>
      <w:r>
        <w:rPr>
          <w:rFonts w:ascii="宋体" w:hAnsi="宋体" w:eastAsia="宋体" w:cs="宋体"/>
          <w:color w:val="auto"/>
          <w:sz w:val="19"/>
          <w:szCs w:val="19"/>
          <w:highlight w:val="none"/>
        </w:rPr>
        <w:t>开。</w:t>
      </w:r>
    </w:p>
    <w:p w14:paraId="54BF6224">
      <w:pPr>
        <w:spacing w:before="151" w:line="229" w:lineRule="auto"/>
        <w:ind w:left="556"/>
        <w:rPr>
          <w:rFonts w:ascii="宋体" w:hAnsi="宋体" w:eastAsia="宋体" w:cs="宋体"/>
          <w:color w:val="auto"/>
          <w:sz w:val="20"/>
          <w:szCs w:val="20"/>
          <w:highlight w:val="none"/>
        </w:rPr>
      </w:pPr>
      <w:r>
        <w:rPr>
          <w:rFonts w:ascii="宋体" w:hAnsi="宋体" w:eastAsia="宋体" w:cs="宋体"/>
          <w:color w:val="auto"/>
          <w:spacing w:val="9"/>
          <w:sz w:val="20"/>
          <w:szCs w:val="20"/>
          <w:highlight w:val="none"/>
        </w:rPr>
        <w:t>4、</w:t>
      </w:r>
      <w:r>
        <w:rPr>
          <w:rFonts w:ascii="宋体" w:hAnsi="宋体" w:eastAsia="宋体" w:cs="宋体"/>
          <w:color w:val="auto"/>
          <w:spacing w:val="9"/>
          <w:sz w:val="19"/>
          <w:szCs w:val="19"/>
          <w:highlight w:val="none"/>
        </w:rPr>
        <w:t>以联合体形式投标的，联合体各成员应分别填写</w:t>
      </w:r>
      <w:r>
        <w:rPr>
          <w:rFonts w:ascii="宋体" w:hAnsi="宋体" w:eastAsia="宋体" w:cs="宋体"/>
          <w:color w:val="auto"/>
          <w:spacing w:val="9"/>
          <w:sz w:val="20"/>
          <w:szCs w:val="20"/>
          <w:highlight w:val="none"/>
        </w:rPr>
        <w:t>。</w:t>
      </w:r>
    </w:p>
    <w:p w14:paraId="25AC9127">
      <w:pPr>
        <w:spacing w:line="229" w:lineRule="auto"/>
        <w:rPr>
          <w:rFonts w:ascii="宋体" w:hAnsi="宋体" w:eastAsia="宋体" w:cs="宋体"/>
          <w:color w:val="auto"/>
          <w:sz w:val="20"/>
          <w:szCs w:val="20"/>
          <w:highlight w:val="none"/>
        </w:rPr>
        <w:sectPr>
          <w:footerReference r:id="rId98" w:type="default"/>
          <w:pgSz w:w="11906" w:h="16839"/>
          <w:pgMar w:top="1401" w:right="1417" w:bottom="1297" w:left="1315" w:header="0" w:footer="1067" w:gutter="0"/>
          <w:pgNumType w:fmt="decimal"/>
          <w:cols w:space="720" w:num="1"/>
        </w:sectPr>
      </w:pPr>
    </w:p>
    <w:p w14:paraId="70FCB91D">
      <w:pPr>
        <w:spacing w:before="56" w:line="219" w:lineRule="auto"/>
        <w:ind w:left="144"/>
        <w:rPr>
          <w:rFonts w:ascii="宋体" w:hAnsi="宋体" w:eastAsia="宋体" w:cs="宋体"/>
          <w:color w:val="auto"/>
          <w:sz w:val="28"/>
          <w:szCs w:val="28"/>
          <w:highlight w:val="none"/>
        </w:rPr>
      </w:pPr>
      <w:r>
        <w:rPr>
          <w:rFonts w:ascii="宋体" w:hAnsi="宋体" w:eastAsia="宋体" w:cs="宋体"/>
          <w:color w:val="auto"/>
          <w:spacing w:val="-11"/>
          <w:sz w:val="28"/>
          <w:szCs w:val="28"/>
          <w:highlight w:val="none"/>
        </w:rPr>
        <w:t>附表：</w:t>
      </w:r>
    </w:p>
    <w:p w14:paraId="6AF251A6">
      <w:pPr>
        <w:spacing w:line="298" w:lineRule="auto"/>
        <w:rPr>
          <w:rFonts w:ascii="Arial"/>
          <w:color w:val="auto"/>
          <w:sz w:val="21"/>
          <w:highlight w:val="none"/>
        </w:rPr>
      </w:pPr>
    </w:p>
    <w:p w14:paraId="51DA3217">
      <w:pPr>
        <w:tabs>
          <w:tab w:val="left" w:pos="2338"/>
        </w:tabs>
        <w:spacing w:before="91" w:line="243" w:lineRule="auto"/>
        <w:ind w:left="3397" w:right="793" w:hanging="2600"/>
        <w:rPr>
          <w:rFonts w:ascii="宋体" w:hAnsi="宋体" w:eastAsia="宋体" w:cs="宋体"/>
          <w:color w:val="auto"/>
          <w:sz w:val="28"/>
          <w:szCs w:val="28"/>
          <w:highlight w:val="none"/>
        </w:rPr>
      </w:pPr>
      <w:r>
        <w:rPr>
          <w:rFonts w:ascii="宋体" w:hAnsi="宋体" w:eastAsia="宋体" w:cs="宋体"/>
          <w:color w:val="auto"/>
          <w:sz w:val="28"/>
          <w:szCs w:val="28"/>
          <w:highlight w:val="none"/>
          <w:u w:val="single" w:color="auto"/>
        </w:rPr>
        <w:tab/>
      </w:r>
      <w:r>
        <w:rPr>
          <w:rFonts w:ascii="宋体" w:hAnsi="宋体" w:eastAsia="宋体" w:cs="宋体"/>
          <w:color w:val="auto"/>
          <w:spacing w:val="-125"/>
          <w:sz w:val="28"/>
          <w:szCs w:val="28"/>
          <w:highlight w:val="none"/>
        </w:rPr>
        <w:t xml:space="preserve"> </w:t>
      </w:r>
      <w:r>
        <w:rPr>
          <w:rFonts w:ascii="宋体" w:hAnsi="宋体" w:eastAsia="宋体" w:cs="宋体"/>
          <w:color w:val="auto"/>
          <w:spacing w:val="-1"/>
          <w:sz w:val="28"/>
          <w:szCs w:val="28"/>
          <w:highlight w:val="none"/>
        </w:rPr>
        <w:t>单位使用</w:t>
      </w:r>
      <w:r>
        <w:rPr>
          <w:rFonts w:ascii="宋体" w:hAnsi="宋体" w:eastAsia="宋体" w:cs="宋体"/>
          <w:color w:val="auto"/>
          <w:spacing w:val="-1"/>
          <w:sz w:val="28"/>
          <w:szCs w:val="28"/>
          <w:highlight w:val="none"/>
          <w:u w:val="single" w:color="auto"/>
        </w:rPr>
        <w:t xml:space="preserve">          </w:t>
      </w:r>
      <w:r>
        <w:rPr>
          <w:rFonts w:ascii="宋体" w:hAnsi="宋体" w:eastAsia="宋体" w:cs="宋体"/>
          <w:color w:val="auto"/>
          <w:spacing w:val="-128"/>
          <w:sz w:val="28"/>
          <w:szCs w:val="28"/>
          <w:highlight w:val="none"/>
        </w:rPr>
        <w:t xml:space="preserve"> </w:t>
      </w:r>
      <w:r>
        <w:rPr>
          <w:rFonts w:ascii="宋体" w:hAnsi="宋体" w:eastAsia="宋体" w:cs="宋体"/>
          <w:color w:val="auto"/>
          <w:spacing w:val="-1"/>
          <w:sz w:val="28"/>
          <w:szCs w:val="28"/>
          <w:highlight w:val="none"/>
        </w:rPr>
        <w:t>年度广东省公路工程从业单位</w:t>
      </w:r>
      <w:r>
        <w:rPr>
          <w:rFonts w:ascii="宋体" w:hAnsi="宋体" w:eastAsia="宋体" w:cs="宋体"/>
          <w:color w:val="auto"/>
          <w:spacing w:val="-2"/>
          <w:sz w:val="28"/>
          <w:szCs w:val="28"/>
          <w:highlight w:val="none"/>
        </w:rPr>
        <w:t>信用等级情况汇总表</w:t>
      </w:r>
    </w:p>
    <w:p w14:paraId="15BB5F45">
      <w:pPr>
        <w:spacing w:before="75"/>
        <w:rPr>
          <w:color w:val="auto"/>
          <w:highlight w:val="none"/>
        </w:rPr>
      </w:pPr>
    </w:p>
    <w:p w14:paraId="63B35C06">
      <w:pPr>
        <w:spacing w:before="75"/>
        <w:rPr>
          <w:color w:val="auto"/>
          <w:highlight w:val="none"/>
        </w:rPr>
      </w:pPr>
    </w:p>
    <w:p w14:paraId="3705F774">
      <w:pPr>
        <w:spacing w:before="74"/>
        <w:rPr>
          <w:color w:val="auto"/>
          <w:highlight w:val="none"/>
        </w:rPr>
      </w:pPr>
    </w:p>
    <w:tbl>
      <w:tblPr>
        <w:tblStyle w:val="17"/>
        <w:tblW w:w="928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5"/>
        <w:gridCol w:w="2171"/>
        <w:gridCol w:w="1547"/>
        <w:gridCol w:w="1720"/>
        <w:gridCol w:w="1671"/>
        <w:gridCol w:w="1254"/>
      </w:tblGrid>
      <w:tr w14:paraId="7102D4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925" w:type="dxa"/>
            <w:vAlign w:val="top"/>
          </w:tcPr>
          <w:p w14:paraId="16A46B10">
            <w:pPr>
              <w:pStyle w:val="18"/>
              <w:spacing w:before="172" w:line="229" w:lineRule="auto"/>
              <w:ind w:left="258"/>
              <w:rPr>
                <w:color w:val="auto"/>
                <w:highlight w:val="none"/>
              </w:rPr>
            </w:pPr>
            <w:r>
              <w:rPr>
                <w:color w:val="auto"/>
                <w:spacing w:val="5"/>
                <w:highlight w:val="none"/>
              </w:rPr>
              <w:t>序号</w:t>
            </w:r>
          </w:p>
        </w:tc>
        <w:tc>
          <w:tcPr>
            <w:tcW w:w="2171" w:type="dxa"/>
            <w:vAlign w:val="top"/>
          </w:tcPr>
          <w:p w14:paraId="6AA5777E">
            <w:pPr>
              <w:pStyle w:val="18"/>
              <w:spacing w:before="172" w:line="228" w:lineRule="auto"/>
              <w:ind w:left="565"/>
              <w:rPr>
                <w:color w:val="auto"/>
                <w:highlight w:val="none"/>
              </w:rPr>
            </w:pPr>
            <w:r>
              <w:rPr>
                <w:color w:val="auto"/>
                <w:spacing w:val="7"/>
                <w:highlight w:val="none"/>
              </w:rPr>
              <w:t>招标人名称</w:t>
            </w:r>
          </w:p>
        </w:tc>
        <w:tc>
          <w:tcPr>
            <w:tcW w:w="1547" w:type="dxa"/>
            <w:vAlign w:val="top"/>
          </w:tcPr>
          <w:p w14:paraId="0FFF9199">
            <w:pPr>
              <w:pStyle w:val="18"/>
              <w:spacing w:before="34" w:line="235" w:lineRule="auto"/>
              <w:ind w:left="570" w:right="162" w:hanging="421"/>
              <w:rPr>
                <w:color w:val="auto"/>
                <w:highlight w:val="none"/>
              </w:rPr>
            </w:pPr>
            <w:r>
              <w:rPr>
                <w:color w:val="auto"/>
                <w:spacing w:val="5"/>
                <w:highlight w:val="none"/>
              </w:rPr>
              <w:t>标段（标类）</w:t>
            </w:r>
            <w:r>
              <w:rPr>
                <w:color w:val="auto"/>
                <w:spacing w:val="3"/>
                <w:highlight w:val="none"/>
              </w:rPr>
              <w:t>名称</w:t>
            </w:r>
          </w:p>
        </w:tc>
        <w:tc>
          <w:tcPr>
            <w:tcW w:w="1720" w:type="dxa"/>
            <w:vAlign w:val="top"/>
          </w:tcPr>
          <w:p w14:paraId="76BD59D8">
            <w:pPr>
              <w:pStyle w:val="18"/>
              <w:spacing w:before="34" w:line="235" w:lineRule="auto"/>
              <w:ind w:left="350" w:right="229" w:hanging="114"/>
              <w:rPr>
                <w:color w:val="auto"/>
                <w:highlight w:val="none"/>
              </w:rPr>
            </w:pPr>
            <w:r>
              <w:rPr>
                <w:color w:val="auto"/>
                <w:spacing w:val="8"/>
                <w:highlight w:val="none"/>
              </w:rPr>
              <w:t>递交文件时间</w:t>
            </w:r>
            <w:r>
              <w:rPr>
                <w:color w:val="auto"/>
                <w:spacing w:val="3"/>
                <w:highlight w:val="none"/>
              </w:rPr>
              <w:t>（年月日）</w:t>
            </w:r>
          </w:p>
        </w:tc>
        <w:tc>
          <w:tcPr>
            <w:tcW w:w="1671" w:type="dxa"/>
            <w:vAlign w:val="top"/>
          </w:tcPr>
          <w:p w14:paraId="66601DCD">
            <w:pPr>
              <w:pStyle w:val="18"/>
              <w:spacing w:before="35" w:line="228" w:lineRule="auto"/>
              <w:ind w:left="213"/>
              <w:rPr>
                <w:color w:val="auto"/>
                <w:highlight w:val="none"/>
              </w:rPr>
            </w:pPr>
            <w:r>
              <w:rPr>
                <w:color w:val="auto"/>
                <w:spacing w:val="8"/>
                <w:highlight w:val="none"/>
              </w:rPr>
              <w:t>使用信用等级</w:t>
            </w:r>
          </w:p>
          <w:p w14:paraId="564AD440">
            <w:pPr>
              <w:pStyle w:val="18"/>
              <w:spacing w:before="26" w:line="217" w:lineRule="auto"/>
              <w:ind w:left="434"/>
              <w:rPr>
                <w:color w:val="auto"/>
                <w:highlight w:val="none"/>
              </w:rPr>
            </w:pPr>
            <w:r>
              <w:rPr>
                <w:color w:val="auto"/>
                <w:spacing w:val="2"/>
                <w:highlight w:val="none"/>
              </w:rPr>
              <w:t>（</w:t>
            </w:r>
            <w:r>
              <w:rPr>
                <w:color w:val="auto"/>
                <w:highlight w:val="none"/>
              </w:rPr>
              <w:t>AA</w:t>
            </w:r>
            <w:r>
              <w:rPr>
                <w:color w:val="auto"/>
                <w:spacing w:val="2"/>
                <w:highlight w:val="none"/>
              </w:rPr>
              <w:t>/A）</w:t>
            </w:r>
          </w:p>
        </w:tc>
        <w:tc>
          <w:tcPr>
            <w:tcW w:w="1254" w:type="dxa"/>
            <w:vAlign w:val="top"/>
          </w:tcPr>
          <w:p w14:paraId="79DE8948">
            <w:pPr>
              <w:pStyle w:val="18"/>
              <w:spacing w:before="172" w:line="229" w:lineRule="auto"/>
              <w:ind w:left="425"/>
              <w:rPr>
                <w:color w:val="auto"/>
                <w:highlight w:val="none"/>
              </w:rPr>
            </w:pPr>
            <w:r>
              <w:rPr>
                <w:color w:val="auto"/>
                <w:spacing w:val="3"/>
                <w:highlight w:val="none"/>
              </w:rPr>
              <w:t>备注</w:t>
            </w:r>
          </w:p>
        </w:tc>
      </w:tr>
      <w:tr w14:paraId="074822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925" w:type="dxa"/>
            <w:vAlign w:val="top"/>
          </w:tcPr>
          <w:p w14:paraId="01890C1E">
            <w:pPr>
              <w:pStyle w:val="18"/>
              <w:spacing w:before="31" w:line="270" w:lineRule="exact"/>
              <w:ind w:left="430"/>
              <w:rPr>
                <w:color w:val="auto"/>
                <w:highlight w:val="none"/>
              </w:rPr>
            </w:pPr>
            <w:r>
              <w:rPr>
                <w:color w:val="auto"/>
                <w:position w:val="1"/>
                <w:highlight w:val="none"/>
              </w:rPr>
              <w:t>1</w:t>
            </w:r>
          </w:p>
        </w:tc>
        <w:tc>
          <w:tcPr>
            <w:tcW w:w="2171" w:type="dxa"/>
            <w:vAlign w:val="top"/>
          </w:tcPr>
          <w:p w14:paraId="55E9D5BB">
            <w:pPr>
              <w:rPr>
                <w:rFonts w:ascii="Arial"/>
                <w:color w:val="auto"/>
                <w:sz w:val="21"/>
                <w:highlight w:val="none"/>
              </w:rPr>
            </w:pPr>
          </w:p>
        </w:tc>
        <w:tc>
          <w:tcPr>
            <w:tcW w:w="1547" w:type="dxa"/>
            <w:vAlign w:val="top"/>
          </w:tcPr>
          <w:p w14:paraId="4D34712F">
            <w:pPr>
              <w:rPr>
                <w:rFonts w:ascii="Arial"/>
                <w:color w:val="auto"/>
                <w:sz w:val="21"/>
                <w:highlight w:val="none"/>
              </w:rPr>
            </w:pPr>
          </w:p>
        </w:tc>
        <w:tc>
          <w:tcPr>
            <w:tcW w:w="1720" w:type="dxa"/>
            <w:vAlign w:val="top"/>
          </w:tcPr>
          <w:p w14:paraId="1CD73383">
            <w:pPr>
              <w:rPr>
                <w:rFonts w:ascii="Arial"/>
                <w:color w:val="auto"/>
                <w:sz w:val="21"/>
                <w:highlight w:val="none"/>
              </w:rPr>
            </w:pPr>
          </w:p>
        </w:tc>
        <w:tc>
          <w:tcPr>
            <w:tcW w:w="1671" w:type="dxa"/>
            <w:vAlign w:val="top"/>
          </w:tcPr>
          <w:p w14:paraId="4C778C01">
            <w:pPr>
              <w:rPr>
                <w:rFonts w:ascii="Arial"/>
                <w:color w:val="auto"/>
                <w:sz w:val="21"/>
                <w:highlight w:val="none"/>
              </w:rPr>
            </w:pPr>
          </w:p>
        </w:tc>
        <w:tc>
          <w:tcPr>
            <w:tcW w:w="1254" w:type="dxa"/>
            <w:vAlign w:val="top"/>
          </w:tcPr>
          <w:p w14:paraId="3351122F">
            <w:pPr>
              <w:rPr>
                <w:rFonts w:ascii="Arial"/>
                <w:color w:val="auto"/>
                <w:sz w:val="21"/>
                <w:highlight w:val="none"/>
              </w:rPr>
            </w:pPr>
          </w:p>
        </w:tc>
      </w:tr>
      <w:tr w14:paraId="60B460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925" w:type="dxa"/>
            <w:vAlign w:val="top"/>
          </w:tcPr>
          <w:p w14:paraId="3E32EFB2">
            <w:pPr>
              <w:pStyle w:val="18"/>
              <w:spacing w:before="32" w:line="270" w:lineRule="exact"/>
              <w:ind w:left="417"/>
              <w:rPr>
                <w:color w:val="auto"/>
                <w:highlight w:val="none"/>
              </w:rPr>
            </w:pPr>
            <w:r>
              <w:rPr>
                <w:color w:val="auto"/>
                <w:position w:val="1"/>
                <w:highlight w:val="none"/>
              </w:rPr>
              <w:t>2</w:t>
            </w:r>
          </w:p>
        </w:tc>
        <w:tc>
          <w:tcPr>
            <w:tcW w:w="2171" w:type="dxa"/>
            <w:vAlign w:val="top"/>
          </w:tcPr>
          <w:p w14:paraId="458EA13F">
            <w:pPr>
              <w:rPr>
                <w:rFonts w:ascii="Arial"/>
                <w:color w:val="auto"/>
                <w:sz w:val="21"/>
                <w:highlight w:val="none"/>
              </w:rPr>
            </w:pPr>
          </w:p>
        </w:tc>
        <w:tc>
          <w:tcPr>
            <w:tcW w:w="1547" w:type="dxa"/>
            <w:vAlign w:val="top"/>
          </w:tcPr>
          <w:p w14:paraId="3189634F">
            <w:pPr>
              <w:rPr>
                <w:rFonts w:ascii="Arial"/>
                <w:color w:val="auto"/>
                <w:sz w:val="21"/>
                <w:highlight w:val="none"/>
              </w:rPr>
            </w:pPr>
          </w:p>
        </w:tc>
        <w:tc>
          <w:tcPr>
            <w:tcW w:w="1720" w:type="dxa"/>
            <w:vAlign w:val="top"/>
          </w:tcPr>
          <w:p w14:paraId="794311FF">
            <w:pPr>
              <w:rPr>
                <w:rFonts w:ascii="Arial"/>
                <w:color w:val="auto"/>
                <w:sz w:val="21"/>
                <w:highlight w:val="none"/>
              </w:rPr>
            </w:pPr>
          </w:p>
        </w:tc>
        <w:tc>
          <w:tcPr>
            <w:tcW w:w="1671" w:type="dxa"/>
            <w:vAlign w:val="top"/>
          </w:tcPr>
          <w:p w14:paraId="3B3554C4">
            <w:pPr>
              <w:rPr>
                <w:rFonts w:ascii="Arial"/>
                <w:color w:val="auto"/>
                <w:sz w:val="21"/>
                <w:highlight w:val="none"/>
              </w:rPr>
            </w:pPr>
          </w:p>
        </w:tc>
        <w:tc>
          <w:tcPr>
            <w:tcW w:w="1254" w:type="dxa"/>
            <w:vAlign w:val="top"/>
          </w:tcPr>
          <w:p w14:paraId="791A25FC">
            <w:pPr>
              <w:rPr>
                <w:rFonts w:ascii="Arial"/>
                <w:color w:val="auto"/>
                <w:sz w:val="21"/>
                <w:highlight w:val="none"/>
              </w:rPr>
            </w:pPr>
          </w:p>
        </w:tc>
      </w:tr>
      <w:tr w14:paraId="203C37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925" w:type="dxa"/>
            <w:vAlign w:val="top"/>
          </w:tcPr>
          <w:p w14:paraId="314FC02F">
            <w:pPr>
              <w:pStyle w:val="18"/>
              <w:spacing w:before="32" w:line="268" w:lineRule="exact"/>
              <w:ind w:left="419"/>
              <w:rPr>
                <w:color w:val="auto"/>
                <w:highlight w:val="none"/>
              </w:rPr>
            </w:pPr>
            <w:r>
              <w:rPr>
                <w:color w:val="auto"/>
                <w:position w:val="1"/>
                <w:highlight w:val="none"/>
              </w:rPr>
              <w:t>3</w:t>
            </w:r>
          </w:p>
        </w:tc>
        <w:tc>
          <w:tcPr>
            <w:tcW w:w="2171" w:type="dxa"/>
            <w:vAlign w:val="top"/>
          </w:tcPr>
          <w:p w14:paraId="5C2E4E1A">
            <w:pPr>
              <w:rPr>
                <w:rFonts w:ascii="Arial"/>
                <w:color w:val="auto"/>
                <w:sz w:val="21"/>
                <w:highlight w:val="none"/>
              </w:rPr>
            </w:pPr>
          </w:p>
        </w:tc>
        <w:tc>
          <w:tcPr>
            <w:tcW w:w="1547" w:type="dxa"/>
            <w:vAlign w:val="top"/>
          </w:tcPr>
          <w:p w14:paraId="5BACCB8F">
            <w:pPr>
              <w:rPr>
                <w:rFonts w:ascii="Arial"/>
                <w:color w:val="auto"/>
                <w:sz w:val="21"/>
                <w:highlight w:val="none"/>
              </w:rPr>
            </w:pPr>
          </w:p>
        </w:tc>
        <w:tc>
          <w:tcPr>
            <w:tcW w:w="1720" w:type="dxa"/>
            <w:vAlign w:val="top"/>
          </w:tcPr>
          <w:p w14:paraId="221948D3">
            <w:pPr>
              <w:rPr>
                <w:rFonts w:ascii="Arial"/>
                <w:color w:val="auto"/>
                <w:sz w:val="21"/>
                <w:highlight w:val="none"/>
              </w:rPr>
            </w:pPr>
          </w:p>
        </w:tc>
        <w:tc>
          <w:tcPr>
            <w:tcW w:w="1671" w:type="dxa"/>
            <w:vAlign w:val="top"/>
          </w:tcPr>
          <w:p w14:paraId="3A58E2FB">
            <w:pPr>
              <w:rPr>
                <w:rFonts w:ascii="Arial"/>
                <w:color w:val="auto"/>
                <w:sz w:val="21"/>
                <w:highlight w:val="none"/>
              </w:rPr>
            </w:pPr>
          </w:p>
        </w:tc>
        <w:tc>
          <w:tcPr>
            <w:tcW w:w="1254" w:type="dxa"/>
            <w:vAlign w:val="top"/>
          </w:tcPr>
          <w:p w14:paraId="58E1CACA">
            <w:pPr>
              <w:rPr>
                <w:rFonts w:ascii="Arial"/>
                <w:color w:val="auto"/>
                <w:sz w:val="21"/>
                <w:highlight w:val="none"/>
              </w:rPr>
            </w:pPr>
          </w:p>
        </w:tc>
      </w:tr>
      <w:tr w14:paraId="64D4AA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925" w:type="dxa"/>
            <w:vAlign w:val="top"/>
          </w:tcPr>
          <w:p w14:paraId="7CC04E36">
            <w:pPr>
              <w:pStyle w:val="18"/>
              <w:spacing w:before="34" w:line="270" w:lineRule="exact"/>
              <w:ind w:left="414"/>
              <w:rPr>
                <w:color w:val="auto"/>
                <w:highlight w:val="none"/>
              </w:rPr>
            </w:pPr>
            <w:r>
              <w:rPr>
                <w:color w:val="auto"/>
                <w:position w:val="1"/>
                <w:highlight w:val="none"/>
              </w:rPr>
              <w:t>4</w:t>
            </w:r>
          </w:p>
        </w:tc>
        <w:tc>
          <w:tcPr>
            <w:tcW w:w="2171" w:type="dxa"/>
            <w:vAlign w:val="top"/>
          </w:tcPr>
          <w:p w14:paraId="4B8FE2C8">
            <w:pPr>
              <w:rPr>
                <w:rFonts w:ascii="Arial"/>
                <w:color w:val="auto"/>
                <w:sz w:val="21"/>
                <w:highlight w:val="none"/>
              </w:rPr>
            </w:pPr>
          </w:p>
        </w:tc>
        <w:tc>
          <w:tcPr>
            <w:tcW w:w="1547" w:type="dxa"/>
            <w:vAlign w:val="top"/>
          </w:tcPr>
          <w:p w14:paraId="1E067DFC">
            <w:pPr>
              <w:rPr>
                <w:rFonts w:ascii="Arial"/>
                <w:color w:val="auto"/>
                <w:sz w:val="21"/>
                <w:highlight w:val="none"/>
              </w:rPr>
            </w:pPr>
          </w:p>
        </w:tc>
        <w:tc>
          <w:tcPr>
            <w:tcW w:w="1720" w:type="dxa"/>
            <w:vAlign w:val="top"/>
          </w:tcPr>
          <w:p w14:paraId="68B77524">
            <w:pPr>
              <w:rPr>
                <w:rFonts w:ascii="Arial"/>
                <w:color w:val="auto"/>
                <w:sz w:val="21"/>
                <w:highlight w:val="none"/>
              </w:rPr>
            </w:pPr>
          </w:p>
        </w:tc>
        <w:tc>
          <w:tcPr>
            <w:tcW w:w="1671" w:type="dxa"/>
            <w:vAlign w:val="top"/>
          </w:tcPr>
          <w:p w14:paraId="04B21925">
            <w:pPr>
              <w:rPr>
                <w:rFonts w:ascii="Arial"/>
                <w:color w:val="auto"/>
                <w:sz w:val="21"/>
                <w:highlight w:val="none"/>
              </w:rPr>
            </w:pPr>
          </w:p>
        </w:tc>
        <w:tc>
          <w:tcPr>
            <w:tcW w:w="1254" w:type="dxa"/>
            <w:vAlign w:val="top"/>
          </w:tcPr>
          <w:p w14:paraId="0A7891C1">
            <w:pPr>
              <w:rPr>
                <w:rFonts w:ascii="Arial"/>
                <w:color w:val="auto"/>
                <w:sz w:val="21"/>
                <w:highlight w:val="none"/>
              </w:rPr>
            </w:pPr>
          </w:p>
        </w:tc>
      </w:tr>
      <w:tr w14:paraId="5B54EB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925" w:type="dxa"/>
            <w:vAlign w:val="top"/>
          </w:tcPr>
          <w:p w14:paraId="08AA2F99">
            <w:pPr>
              <w:pStyle w:val="18"/>
              <w:spacing w:before="33" w:line="269" w:lineRule="exact"/>
              <w:ind w:left="419"/>
              <w:rPr>
                <w:color w:val="auto"/>
                <w:highlight w:val="none"/>
              </w:rPr>
            </w:pPr>
            <w:r>
              <w:rPr>
                <w:color w:val="auto"/>
                <w:position w:val="1"/>
                <w:highlight w:val="none"/>
              </w:rPr>
              <w:t>5</w:t>
            </w:r>
          </w:p>
        </w:tc>
        <w:tc>
          <w:tcPr>
            <w:tcW w:w="2171" w:type="dxa"/>
            <w:vAlign w:val="top"/>
          </w:tcPr>
          <w:p w14:paraId="1153E723">
            <w:pPr>
              <w:rPr>
                <w:rFonts w:ascii="Arial"/>
                <w:color w:val="auto"/>
                <w:sz w:val="21"/>
                <w:highlight w:val="none"/>
              </w:rPr>
            </w:pPr>
          </w:p>
        </w:tc>
        <w:tc>
          <w:tcPr>
            <w:tcW w:w="1547" w:type="dxa"/>
            <w:vAlign w:val="top"/>
          </w:tcPr>
          <w:p w14:paraId="1C370D4E">
            <w:pPr>
              <w:rPr>
                <w:rFonts w:ascii="Arial"/>
                <w:color w:val="auto"/>
                <w:sz w:val="21"/>
                <w:highlight w:val="none"/>
              </w:rPr>
            </w:pPr>
          </w:p>
        </w:tc>
        <w:tc>
          <w:tcPr>
            <w:tcW w:w="1720" w:type="dxa"/>
            <w:vAlign w:val="top"/>
          </w:tcPr>
          <w:p w14:paraId="30FED9D5">
            <w:pPr>
              <w:rPr>
                <w:rFonts w:ascii="Arial"/>
                <w:color w:val="auto"/>
                <w:sz w:val="21"/>
                <w:highlight w:val="none"/>
              </w:rPr>
            </w:pPr>
          </w:p>
        </w:tc>
        <w:tc>
          <w:tcPr>
            <w:tcW w:w="1671" w:type="dxa"/>
            <w:vAlign w:val="top"/>
          </w:tcPr>
          <w:p w14:paraId="73EA37E9">
            <w:pPr>
              <w:rPr>
                <w:rFonts w:ascii="Arial"/>
                <w:color w:val="auto"/>
                <w:sz w:val="21"/>
                <w:highlight w:val="none"/>
              </w:rPr>
            </w:pPr>
          </w:p>
        </w:tc>
        <w:tc>
          <w:tcPr>
            <w:tcW w:w="1254" w:type="dxa"/>
            <w:vAlign w:val="top"/>
          </w:tcPr>
          <w:p w14:paraId="25CFD30E">
            <w:pPr>
              <w:rPr>
                <w:rFonts w:ascii="Arial"/>
                <w:color w:val="auto"/>
                <w:sz w:val="21"/>
                <w:highlight w:val="none"/>
              </w:rPr>
            </w:pPr>
          </w:p>
        </w:tc>
      </w:tr>
      <w:tr w14:paraId="037839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925" w:type="dxa"/>
            <w:vAlign w:val="top"/>
          </w:tcPr>
          <w:p w14:paraId="0845924A">
            <w:pPr>
              <w:pStyle w:val="18"/>
              <w:spacing w:before="35" w:line="268" w:lineRule="exact"/>
              <w:ind w:left="416"/>
              <w:rPr>
                <w:color w:val="auto"/>
                <w:highlight w:val="none"/>
              </w:rPr>
            </w:pPr>
            <w:r>
              <w:rPr>
                <w:color w:val="auto"/>
                <w:position w:val="1"/>
                <w:highlight w:val="none"/>
              </w:rPr>
              <w:t>6</w:t>
            </w:r>
          </w:p>
        </w:tc>
        <w:tc>
          <w:tcPr>
            <w:tcW w:w="2171" w:type="dxa"/>
            <w:vAlign w:val="top"/>
          </w:tcPr>
          <w:p w14:paraId="70338CED">
            <w:pPr>
              <w:rPr>
                <w:rFonts w:ascii="Arial"/>
                <w:color w:val="auto"/>
                <w:sz w:val="21"/>
                <w:highlight w:val="none"/>
              </w:rPr>
            </w:pPr>
          </w:p>
        </w:tc>
        <w:tc>
          <w:tcPr>
            <w:tcW w:w="1547" w:type="dxa"/>
            <w:vAlign w:val="top"/>
          </w:tcPr>
          <w:p w14:paraId="3A1DCF7A">
            <w:pPr>
              <w:rPr>
                <w:rFonts w:ascii="Arial"/>
                <w:color w:val="auto"/>
                <w:sz w:val="21"/>
                <w:highlight w:val="none"/>
              </w:rPr>
            </w:pPr>
          </w:p>
        </w:tc>
        <w:tc>
          <w:tcPr>
            <w:tcW w:w="1720" w:type="dxa"/>
            <w:vAlign w:val="top"/>
          </w:tcPr>
          <w:p w14:paraId="183ADD61">
            <w:pPr>
              <w:rPr>
                <w:rFonts w:ascii="Arial"/>
                <w:color w:val="auto"/>
                <w:sz w:val="21"/>
                <w:highlight w:val="none"/>
              </w:rPr>
            </w:pPr>
          </w:p>
        </w:tc>
        <w:tc>
          <w:tcPr>
            <w:tcW w:w="1671" w:type="dxa"/>
            <w:vAlign w:val="top"/>
          </w:tcPr>
          <w:p w14:paraId="252CE55D">
            <w:pPr>
              <w:rPr>
                <w:rFonts w:ascii="Arial"/>
                <w:color w:val="auto"/>
                <w:sz w:val="21"/>
                <w:highlight w:val="none"/>
              </w:rPr>
            </w:pPr>
          </w:p>
        </w:tc>
        <w:tc>
          <w:tcPr>
            <w:tcW w:w="1254" w:type="dxa"/>
            <w:vAlign w:val="top"/>
          </w:tcPr>
          <w:p w14:paraId="60237916">
            <w:pPr>
              <w:rPr>
                <w:rFonts w:ascii="Arial"/>
                <w:color w:val="auto"/>
                <w:sz w:val="21"/>
                <w:highlight w:val="none"/>
              </w:rPr>
            </w:pPr>
          </w:p>
        </w:tc>
      </w:tr>
      <w:tr w14:paraId="2E20A8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925" w:type="dxa"/>
            <w:vAlign w:val="top"/>
          </w:tcPr>
          <w:p w14:paraId="6A56C275">
            <w:pPr>
              <w:pStyle w:val="18"/>
              <w:spacing w:before="34" w:line="268" w:lineRule="exact"/>
              <w:ind w:left="419"/>
              <w:rPr>
                <w:color w:val="auto"/>
                <w:highlight w:val="none"/>
              </w:rPr>
            </w:pPr>
            <w:r>
              <w:rPr>
                <w:color w:val="auto"/>
                <w:position w:val="1"/>
                <w:highlight w:val="none"/>
              </w:rPr>
              <w:t>7</w:t>
            </w:r>
          </w:p>
        </w:tc>
        <w:tc>
          <w:tcPr>
            <w:tcW w:w="2171" w:type="dxa"/>
            <w:vAlign w:val="top"/>
          </w:tcPr>
          <w:p w14:paraId="08AA0A55">
            <w:pPr>
              <w:rPr>
                <w:rFonts w:ascii="Arial"/>
                <w:color w:val="auto"/>
                <w:sz w:val="21"/>
                <w:highlight w:val="none"/>
              </w:rPr>
            </w:pPr>
          </w:p>
        </w:tc>
        <w:tc>
          <w:tcPr>
            <w:tcW w:w="1547" w:type="dxa"/>
            <w:vAlign w:val="top"/>
          </w:tcPr>
          <w:p w14:paraId="528C894B">
            <w:pPr>
              <w:rPr>
                <w:rFonts w:ascii="Arial"/>
                <w:color w:val="auto"/>
                <w:sz w:val="21"/>
                <w:highlight w:val="none"/>
              </w:rPr>
            </w:pPr>
          </w:p>
        </w:tc>
        <w:tc>
          <w:tcPr>
            <w:tcW w:w="1720" w:type="dxa"/>
            <w:vAlign w:val="top"/>
          </w:tcPr>
          <w:p w14:paraId="33D94C5A">
            <w:pPr>
              <w:rPr>
                <w:rFonts w:ascii="Arial"/>
                <w:color w:val="auto"/>
                <w:sz w:val="21"/>
                <w:highlight w:val="none"/>
              </w:rPr>
            </w:pPr>
          </w:p>
        </w:tc>
        <w:tc>
          <w:tcPr>
            <w:tcW w:w="1671" w:type="dxa"/>
            <w:vAlign w:val="top"/>
          </w:tcPr>
          <w:p w14:paraId="548ADD42">
            <w:pPr>
              <w:rPr>
                <w:rFonts w:ascii="Arial"/>
                <w:color w:val="auto"/>
                <w:sz w:val="21"/>
                <w:highlight w:val="none"/>
              </w:rPr>
            </w:pPr>
          </w:p>
        </w:tc>
        <w:tc>
          <w:tcPr>
            <w:tcW w:w="1254" w:type="dxa"/>
            <w:vAlign w:val="top"/>
          </w:tcPr>
          <w:p w14:paraId="2DAF6BAF">
            <w:pPr>
              <w:rPr>
                <w:rFonts w:ascii="Arial"/>
                <w:color w:val="auto"/>
                <w:sz w:val="21"/>
                <w:highlight w:val="none"/>
              </w:rPr>
            </w:pPr>
          </w:p>
        </w:tc>
      </w:tr>
      <w:tr w14:paraId="10ECC9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925" w:type="dxa"/>
            <w:vAlign w:val="top"/>
          </w:tcPr>
          <w:p w14:paraId="1239AFCA">
            <w:pPr>
              <w:pStyle w:val="18"/>
              <w:spacing w:before="34" w:line="268" w:lineRule="exact"/>
              <w:ind w:left="415"/>
              <w:rPr>
                <w:color w:val="auto"/>
                <w:highlight w:val="none"/>
              </w:rPr>
            </w:pPr>
            <w:r>
              <w:rPr>
                <w:color w:val="auto"/>
                <w:position w:val="1"/>
                <w:highlight w:val="none"/>
              </w:rPr>
              <w:t>8</w:t>
            </w:r>
          </w:p>
        </w:tc>
        <w:tc>
          <w:tcPr>
            <w:tcW w:w="2171" w:type="dxa"/>
            <w:vAlign w:val="top"/>
          </w:tcPr>
          <w:p w14:paraId="30001A2C">
            <w:pPr>
              <w:rPr>
                <w:rFonts w:ascii="Arial"/>
                <w:color w:val="auto"/>
                <w:sz w:val="21"/>
                <w:highlight w:val="none"/>
              </w:rPr>
            </w:pPr>
          </w:p>
        </w:tc>
        <w:tc>
          <w:tcPr>
            <w:tcW w:w="1547" w:type="dxa"/>
            <w:vAlign w:val="top"/>
          </w:tcPr>
          <w:p w14:paraId="721198F3">
            <w:pPr>
              <w:rPr>
                <w:rFonts w:ascii="Arial"/>
                <w:color w:val="auto"/>
                <w:sz w:val="21"/>
                <w:highlight w:val="none"/>
              </w:rPr>
            </w:pPr>
          </w:p>
        </w:tc>
        <w:tc>
          <w:tcPr>
            <w:tcW w:w="1720" w:type="dxa"/>
            <w:vAlign w:val="top"/>
          </w:tcPr>
          <w:p w14:paraId="23BF8C67">
            <w:pPr>
              <w:rPr>
                <w:rFonts w:ascii="Arial"/>
                <w:color w:val="auto"/>
                <w:sz w:val="21"/>
                <w:highlight w:val="none"/>
              </w:rPr>
            </w:pPr>
          </w:p>
        </w:tc>
        <w:tc>
          <w:tcPr>
            <w:tcW w:w="1671" w:type="dxa"/>
            <w:vAlign w:val="top"/>
          </w:tcPr>
          <w:p w14:paraId="6777D414">
            <w:pPr>
              <w:rPr>
                <w:rFonts w:ascii="Arial"/>
                <w:color w:val="auto"/>
                <w:sz w:val="21"/>
                <w:highlight w:val="none"/>
              </w:rPr>
            </w:pPr>
          </w:p>
        </w:tc>
        <w:tc>
          <w:tcPr>
            <w:tcW w:w="1254" w:type="dxa"/>
            <w:vAlign w:val="top"/>
          </w:tcPr>
          <w:p w14:paraId="3D4D91BC">
            <w:pPr>
              <w:rPr>
                <w:rFonts w:ascii="Arial"/>
                <w:color w:val="auto"/>
                <w:sz w:val="21"/>
                <w:highlight w:val="none"/>
              </w:rPr>
            </w:pPr>
          </w:p>
        </w:tc>
      </w:tr>
      <w:tr w14:paraId="77CE65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925" w:type="dxa"/>
            <w:vAlign w:val="top"/>
          </w:tcPr>
          <w:p w14:paraId="0F302DC6">
            <w:pPr>
              <w:pStyle w:val="18"/>
              <w:spacing w:before="189" w:line="84" w:lineRule="exact"/>
              <w:ind w:left="317"/>
              <w:rPr>
                <w:color w:val="auto"/>
                <w:highlight w:val="none"/>
              </w:rPr>
            </w:pPr>
            <w:r>
              <w:rPr>
                <w:color w:val="auto"/>
                <w:spacing w:val="3"/>
                <w:position w:val="1"/>
                <w:highlight w:val="none"/>
              </w:rPr>
              <w:t>...</w:t>
            </w:r>
          </w:p>
        </w:tc>
        <w:tc>
          <w:tcPr>
            <w:tcW w:w="2171" w:type="dxa"/>
            <w:vAlign w:val="top"/>
          </w:tcPr>
          <w:p w14:paraId="3C1B10F3">
            <w:pPr>
              <w:rPr>
                <w:rFonts w:ascii="Arial"/>
                <w:color w:val="auto"/>
                <w:sz w:val="21"/>
                <w:highlight w:val="none"/>
              </w:rPr>
            </w:pPr>
          </w:p>
        </w:tc>
        <w:tc>
          <w:tcPr>
            <w:tcW w:w="1547" w:type="dxa"/>
            <w:vAlign w:val="top"/>
          </w:tcPr>
          <w:p w14:paraId="4DFE87F8">
            <w:pPr>
              <w:rPr>
                <w:rFonts w:ascii="Arial"/>
                <w:color w:val="auto"/>
                <w:sz w:val="21"/>
                <w:highlight w:val="none"/>
              </w:rPr>
            </w:pPr>
          </w:p>
        </w:tc>
        <w:tc>
          <w:tcPr>
            <w:tcW w:w="1720" w:type="dxa"/>
            <w:vAlign w:val="top"/>
          </w:tcPr>
          <w:p w14:paraId="16B9FBB8">
            <w:pPr>
              <w:rPr>
                <w:rFonts w:ascii="Arial"/>
                <w:color w:val="auto"/>
                <w:sz w:val="21"/>
                <w:highlight w:val="none"/>
              </w:rPr>
            </w:pPr>
          </w:p>
        </w:tc>
        <w:tc>
          <w:tcPr>
            <w:tcW w:w="1671" w:type="dxa"/>
            <w:vAlign w:val="top"/>
          </w:tcPr>
          <w:p w14:paraId="316C29D1">
            <w:pPr>
              <w:rPr>
                <w:rFonts w:ascii="Arial"/>
                <w:color w:val="auto"/>
                <w:sz w:val="21"/>
                <w:highlight w:val="none"/>
              </w:rPr>
            </w:pPr>
          </w:p>
        </w:tc>
        <w:tc>
          <w:tcPr>
            <w:tcW w:w="1254" w:type="dxa"/>
            <w:vAlign w:val="top"/>
          </w:tcPr>
          <w:p w14:paraId="2526AE5D">
            <w:pPr>
              <w:rPr>
                <w:rFonts w:ascii="Arial"/>
                <w:color w:val="auto"/>
                <w:sz w:val="21"/>
                <w:highlight w:val="none"/>
              </w:rPr>
            </w:pPr>
          </w:p>
        </w:tc>
      </w:tr>
    </w:tbl>
    <w:p w14:paraId="00B8B6BA">
      <w:pPr>
        <w:spacing w:before="30" w:line="226" w:lineRule="auto"/>
        <w:ind w:left="122"/>
        <w:rPr>
          <w:rFonts w:ascii="宋体" w:hAnsi="宋体" w:eastAsia="宋体" w:cs="宋体"/>
          <w:color w:val="auto"/>
          <w:sz w:val="20"/>
          <w:szCs w:val="20"/>
          <w:highlight w:val="none"/>
        </w:rPr>
      </w:pPr>
      <w:r>
        <w:rPr>
          <w:rFonts w:ascii="宋体" w:hAnsi="宋体" w:eastAsia="宋体" w:cs="宋体"/>
          <w:color w:val="auto"/>
          <w:spacing w:val="8"/>
          <w:sz w:val="20"/>
          <w:szCs w:val="20"/>
          <w:highlight w:val="none"/>
        </w:rPr>
        <w:t>备注：1、应如实填报信用评价等级使用情况。</w:t>
      </w:r>
    </w:p>
    <w:p w14:paraId="11F77AD4">
      <w:pPr>
        <w:spacing w:before="165" w:line="228" w:lineRule="auto"/>
        <w:ind w:left="753"/>
        <w:rPr>
          <w:rFonts w:ascii="宋体" w:hAnsi="宋体" w:eastAsia="宋体" w:cs="宋体"/>
          <w:color w:val="auto"/>
          <w:sz w:val="20"/>
          <w:szCs w:val="20"/>
          <w:highlight w:val="none"/>
        </w:rPr>
      </w:pPr>
      <w:r>
        <w:rPr>
          <w:rFonts w:ascii="宋体" w:hAnsi="宋体" w:eastAsia="宋体" w:cs="宋体"/>
          <w:color w:val="auto"/>
          <w:spacing w:val="9"/>
          <w:sz w:val="20"/>
          <w:szCs w:val="20"/>
          <w:highlight w:val="none"/>
        </w:rPr>
        <w:t>2、以联合体形式投标的，联合体各成员应</w:t>
      </w:r>
      <w:r>
        <w:rPr>
          <w:rFonts w:ascii="宋体" w:hAnsi="宋体" w:eastAsia="宋体" w:cs="宋体"/>
          <w:color w:val="auto"/>
          <w:spacing w:val="8"/>
          <w:sz w:val="20"/>
          <w:szCs w:val="20"/>
          <w:highlight w:val="none"/>
        </w:rPr>
        <w:t>分别填写。</w:t>
      </w:r>
    </w:p>
    <w:p w14:paraId="7824FD0B">
      <w:pPr>
        <w:spacing w:line="228" w:lineRule="auto"/>
        <w:rPr>
          <w:rFonts w:ascii="宋体" w:hAnsi="宋体" w:eastAsia="宋体" w:cs="宋体"/>
          <w:color w:val="auto"/>
          <w:sz w:val="20"/>
          <w:szCs w:val="20"/>
          <w:highlight w:val="none"/>
        </w:rPr>
        <w:sectPr>
          <w:footerReference r:id="rId99" w:type="default"/>
          <w:pgSz w:w="11906" w:h="16839"/>
          <w:pgMar w:top="1402" w:right="1308" w:bottom="1297" w:left="1304" w:header="0" w:footer="1065" w:gutter="0"/>
          <w:pgNumType w:fmt="decimal"/>
          <w:cols w:space="720" w:num="1"/>
        </w:sectPr>
      </w:pPr>
    </w:p>
    <w:p w14:paraId="783F8B0C">
      <w:pPr>
        <w:spacing w:before="163" w:line="220" w:lineRule="auto"/>
        <w:ind w:left="3823"/>
        <w:outlineLvl w:val="1"/>
        <w:rPr>
          <w:rFonts w:ascii="宋体" w:hAnsi="宋体" w:eastAsia="宋体" w:cs="宋体"/>
          <w:color w:val="auto"/>
          <w:sz w:val="24"/>
          <w:szCs w:val="24"/>
          <w:highlight w:val="none"/>
        </w:rPr>
      </w:pPr>
      <w:bookmarkStart w:id="458" w:name="_Toc19107"/>
      <w:bookmarkStart w:id="459" w:name="_Toc26927"/>
      <w:bookmarkStart w:id="460" w:name="_Toc8352"/>
      <w:bookmarkStart w:id="461" w:name="_Toc5688"/>
      <w:bookmarkStart w:id="462" w:name="_Toc12003"/>
      <w:bookmarkStart w:id="463" w:name="_Toc10748"/>
      <w:bookmarkStart w:id="464" w:name="_Toc29810"/>
      <w:r>
        <w:rPr>
          <w:rFonts w:ascii="宋体" w:hAnsi="宋体" w:eastAsia="宋体" w:cs="宋体"/>
          <w:b/>
          <w:bCs/>
          <w:color w:val="auto"/>
          <w:spacing w:val="-4"/>
          <w:sz w:val="24"/>
          <w:szCs w:val="24"/>
          <w:highlight w:val="none"/>
        </w:rPr>
        <w:t>六、其他资料</w:t>
      </w:r>
      <w:bookmarkEnd w:id="458"/>
      <w:bookmarkEnd w:id="459"/>
      <w:bookmarkEnd w:id="460"/>
      <w:bookmarkEnd w:id="461"/>
      <w:bookmarkEnd w:id="462"/>
      <w:bookmarkEnd w:id="463"/>
      <w:bookmarkEnd w:id="464"/>
    </w:p>
    <w:p w14:paraId="3B3BBFB2">
      <w:pPr>
        <w:spacing w:line="250" w:lineRule="auto"/>
        <w:rPr>
          <w:rFonts w:ascii="Arial"/>
          <w:color w:val="auto"/>
          <w:sz w:val="21"/>
          <w:highlight w:val="none"/>
        </w:rPr>
      </w:pPr>
    </w:p>
    <w:p w14:paraId="0DB75374">
      <w:pPr>
        <w:spacing w:line="251" w:lineRule="auto"/>
        <w:rPr>
          <w:rFonts w:ascii="Arial"/>
          <w:color w:val="auto"/>
          <w:sz w:val="21"/>
          <w:highlight w:val="none"/>
        </w:rPr>
      </w:pPr>
    </w:p>
    <w:p w14:paraId="2DB05C81">
      <w:pPr>
        <w:spacing w:before="78" w:line="290" w:lineRule="auto"/>
        <w:ind w:left="8" w:firstLine="539"/>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（一）提供最新年度广东省公路工程从业单位信用评价等级（若有</w:t>
      </w:r>
      <w:r>
        <w:rPr>
          <w:rFonts w:ascii="宋体" w:hAnsi="宋体" w:eastAsia="宋体" w:cs="宋体"/>
          <w:color w:val="auto"/>
          <w:spacing w:val="7"/>
          <w:sz w:val="24"/>
          <w:szCs w:val="24"/>
          <w:highlight w:val="none"/>
        </w:rPr>
        <w:t>），</w:t>
      </w:r>
      <w:r>
        <w:rPr>
          <w:rFonts w:ascii="宋体" w:hAnsi="宋体" w:eastAsia="宋体" w:cs="宋体"/>
          <w:color w:val="auto"/>
          <w:spacing w:val="-2"/>
          <w:sz w:val="24"/>
          <w:szCs w:val="24"/>
          <w:highlight w:val="none"/>
        </w:rPr>
        <w:t>并标识单位所在位置；</w:t>
      </w:r>
    </w:p>
    <w:p w14:paraId="78A7C188">
      <w:pPr>
        <w:spacing w:before="181" w:line="288" w:lineRule="auto"/>
        <w:ind w:left="9" w:firstLine="538"/>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（二）初次进入且无广东省最新年度信用评价等级的，但在最新一年度的全国综合评价结果为</w:t>
      </w:r>
      <w:r>
        <w:rPr>
          <w:rFonts w:ascii="宋体" w:hAnsi="宋体" w:eastAsia="宋体" w:cs="宋体"/>
          <w:color w:val="auto"/>
          <w:spacing w:val="-53"/>
          <w:sz w:val="24"/>
          <w:szCs w:val="24"/>
          <w:highlight w:val="none"/>
        </w:rPr>
        <w:t xml:space="preserve"> </w:t>
      </w:r>
      <w:r>
        <w:rPr>
          <w:rFonts w:ascii="宋体" w:hAnsi="宋体" w:eastAsia="宋体" w:cs="宋体"/>
          <w:color w:val="auto"/>
          <w:spacing w:val="-1"/>
          <w:sz w:val="24"/>
          <w:szCs w:val="24"/>
          <w:highlight w:val="none"/>
        </w:rPr>
        <w:t>C</w:t>
      </w:r>
      <w:r>
        <w:rPr>
          <w:rFonts w:ascii="宋体" w:hAnsi="宋体" w:eastAsia="宋体" w:cs="宋体"/>
          <w:color w:val="auto"/>
          <w:spacing w:val="-47"/>
          <w:sz w:val="24"/>
          <w:szCs w:val="24"/>
          <w:highlight w:val="none"/>
        </w:rPr>
        <w:t xml:space="preserve"> </w:t>
      </w:r>
      <w:r>
        <w:rPr>
          <w:rFonts w:ascii="宋体" w:hAnsi="宋体" w:eastAsia="宋体" w:cs="宋体"/>
          <w:color w:val="auto"/>
          <w:spacing w:val="-1"/>
          <w:sz w:val="24"/>
          <w:szCs w:val="24"/>
          <w:highlight w:val="none"/>
        </w:rPr>
        <w:t>级或</w:t>
      </w:r>
      <w:r>
        <w:rPr>
          <w:rFonts w:ascii="宋体" w:hAnsi="宋体" w:eastAsia="宋体" w:cs="宋体"/>
          <w:color w:val="auto"/>
          <w:spacing w:val="-55"/>
          <w:sz w:val="24"/>
          <w:szCs w:val="24"/>
          <w:highlight w:val="none"/>
        </w:rPr>
        <w:t xml:space="preserve"> </w:t>
      </w:r>
      <w:r>
        <w:rPr>
          <w:rFonts w:ascii="宋体" w:hAnsi="宋体" w:eastAsia="宋体" w:cs="宋体"/>
          <w:color w:val="auto"/>
          <w:spacing w:val="-1"/>
          <w:sz w:val="24"/>
          <w:szCs w:val="24"/>
          <w:highlight w:val="none"/>
        </w:rPr>
        <w:t>D</w:t>
      </w:r>
      <w:r>
        <w:rPr>
          <w:rFonts w:ascii="宋体" w:hAnsi="宋体" w:eastAsia="宋体" w:cs="宋体"/>
          <w:color w:val="auto"/>
          <w:spacing w:val="-47"/>
          <w:sz w:val="24"/>
          <w:szCs w:val="24"/>
          <w:highlight w:val="none"/>
        </w:rPr>
        <w:t xml:space="preserve"> </w:t>
      </w:r>
      <w:r>
        <w:rPr>
          <w:rFonts w:ascii="宋体" w:hAnsi="宋体" w:eastAsia="宋体" w:cs="宋体"/>
          <w:color w:val="auto"/>
          <w:spacing w:val="-1"/>
          <w:sz w:val="24"/>
          <w:szCs w:val="24"/>
          <w:highlight w:val="none"/>
        </w:rPr>
        <w:t>级的，提供最新一年度的全国综</w:t>
      </w:r>
      <w:r>
        <w:rPr>
          <w:rFonts w:ascii="宋体" w:hAnsi="宋体" w:eastAsia="宋体" w:cs="宋体"/>
          <w:color w:val="auto"/>
          <w:spacing w:val="-2"/>
          <w:sz w:val="24"/>
          <w:szCs w:val="24"/>
          <w:highlight w:val="none"/>
        </w:rPr>
        <w:t>合评价结果单位查询所在页；</w:t>
      </w:r>
    </w:p>
    <w:p w14:paraId="06E7EF52">
      <w:pPr>
        <w:spacing w:before="182" w:line="289" w:lineRule="auto"/>
        <w:ind w:left="9" w:firstLine="538"/>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（三）如上一年度有信用评价而最新年度在广东省无信用等级的需提供上一年度</w:t>
      </w:r>
      <w:r>
        <w:rPr>
          <w:rFonts w:ascii="宋体" w:hAnsi="宋体" w:eastAsia="宋体" w:cs="宋体"/>
          <w:color w:val="auto"/>
          <w:spacing w:val="-2"/>
          <w:sz w:val="24"/>
          <w:szCs w:val="24"/>
          <w:highlight w:val="none"/>
        </w:rPr>
        <w:t>有信用评价（若有</w:t>
      </w:r>
      <w:r>
        <w:rPr>
          <w:rFonts w:ascii="宋体" w:hAnsi="宋体" w:eastAsia="宋体" w:cs="宋体"/>
          <w:color w:val="auto"/>
          <w:spacing w:val="12"/>
          <w:sz w:val="24"/>
          <w:szCs w:val="24"/>
          <w:highlight w:val="none"/>
        </w:rPr>
        <w:t>），</w:t>
      </w:r>
      <w:r>
        <w:rPr>
          <w:rFonts w:ascii="宋体" w:hAnsi="宋体" w:eastAsia="宋体" w:cs="宋体"/>
          <w:color w:val="auto"/>
          <w:spacing w:val="-2"/>
          <w:sz w:val="24"/>
          <w:szCs w:val="24"/>
          <w:highlight w:val="none"/>
        </w:rPr>
        <w:t>并标识单位所在位置。</w:t>
      </w:r>
    </w:p>
    <w:p w14:paraId="14E37FC0">
      <w:pPr>
        <w:spacing w:before="185" w:line="310" w:lineRule="auto"/>
        <w:ind w:left="11" w:right="39" w:firstLine="536"/>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（四）详细说明投标人因供应公路工程（含附属设施）施工监理原因导致质量、</w:t>
      </w:r>
      <w:r>
        <w:rPr>
          <w:rFonts w:ascii="宋体" w:hAnsi="宋体" w:eastAsia="宋体" w:cs="宋体"/>
          <w:color w:val="auto"/>
          <w:sz w:val="24"/>
          <w:szCs w:val="24"/>
          <w:highlight w:val="none"/>
        </w:rPr>
        <w:t>安全事故被交通运输部、广东省交通运输厅、</w:t>
      </w:r>
      <w:r>
        <w:rPr>
          <w:rFonts w:ascii="宋体" w:hAnsi="宋体" w:eastAsia="宋体" w:cs="宋体"/>
          <w:color w:val="auto"/>
          <w:sz w:val="24"/>
          <w:szCs w:val="24"/>
          <w:highlight w:val="none"/>
          <w:u w:val="single" w:color="auto"/>
        </w:rPr>
        <w:t>（项目</w:t>
      </w:r>
      <w:r>
        <w:rPr>
          <w:rFonts w:ascii="宋体" w:hAnsi="宋体" w:eastAsia="宋体" w:cs="宋体"/>
          <w:color w:val="auto"/>
          <w:spacing w:val="-1"/>
          <w:sz w:val="24"/>
          <w:szCs w:val="24"/>
          <w:highlight w:val="none"/>
          <w:u w:val="single" w:color="auto"/>
        </w:rPr>
        <w:t>涉及各地级以上市）市交通运输局</w:t>
      </w:r>
      <w:r>
        <w:rPr>
          <w:color w:val="auto"/>
          <w:highlight w:val="none"/>
        </w:rPr>
        <w:fldChar w:fldCharType="begin"/>
      </w:r>
      <w:r>
        <w:rPr>
          <w:color w:val="auto"/>
          <w:highlight w:val="none"/>
        </w:rPr>
        <w:instrText xml:space="preserve"> HYPERLINK \l "bookmark161" </w:instrText>
      </w:r>
      <w:r>
        <w:rPr>
          <w:color w:val="auto"/>
          <w:highlight w:val="none"/>
        </w:rPr>
        <w:fldChar w:fldCharType="separate"/>
      </w:r>
      <w:r>
        <w:rPr>
          <w:rFonts w:ascii="宋体" w:hAnsi="宋体" w:eastAsia="宋体" w:cs="宋体"/>
          <w:color w:val="auto"/>
          <w:spacing w:val="-1"/>
          <w:position w:val="12"/>
          <w:sz w:val="12"/>
          <w:szCs w:val="12"/>
          <w:highlight w:val="none"/>
          <w:u w:val="single" w:color="auto"/>
        </w:rPr>
        <w:t>①</w:t>
      </w:r>
      <w:r>
        <w:rPr>
          <w:rFonts w:ascii="宋体" w:hAnsi="宋体" w:eastAsia="宋体" w:cs="宋体"/>
          <w:color w:val="auto"/>
          <w:spacing w:val="-1"/>
          <w:position w:val="12"/>
          <w:sz w:val="12"/>
          <w:szCs w:val="12"/>
          <w:highlight w:val="none"/>
          <w:u w:val="single" w:color="auto"/>
        </w:rPr>
        <w:fldChar w:fldCharType="end"/>
      </w:r>
      <w:r>
        <w:rPr>
          <w:rFonts w:ascii="宋体" w:hAnsi="宋体" w:eastAsia="宋体" w:cs="宋体"/>
          <w:color w:val="auto"/>
          <w:spacing w:val="-1"/>
          <w:sz w:val="24"/>
          <w:szCs w:val="24"/>
          <w:highlight w:val="none"/>
          <w:u w:val="single" w:color="auto"/>
        </w:rPr>
        <w:t>行政处罚</w:t>
      </w:r>
      <w:r>
        <w:rPr>
          <w:rFonts w:ascii="宋体" w:hAnsi="宋体" w:eastAsia="宋体" w:cs="宋体"/>
          <w:color w:val="auto"/>
          <w:spacing w:val="-1"/>
          <w:sz w:val="24"/>
          <w:szCs w:val="24"/>
          <w:highlight w:val="none"/>
        </w:rPr>
        <w:t>且在处罚信息公示期内的情况，并附相关文件。</w:t>
      </w:r>
    </w:p>
    <w:p w14:paraId="7524069B">
      <w:pPr>
        <w:spacing w:before="189" w:line="219" w:lineRule="auto"/>
        <w:ind w:left="547"/>
        <w:rPr>
          <w:rFonts w:ascii="宋体" w:hAnsi="宋体" w:eastAsia="宋体" w:cs="宋体"/>
          <w:color w:val="auto"/>
          <w:sz w:val="24"/>
          <w:szCs w:val="24"/>
          <w:highlight w:val="none"/>
        </w:rPr>
      </w:pPr>
      <w:bookmarkStart w:id="465" w:name="bookmark161"/>
      <w:bookmarkEnd w:id="465"/>
      <w:r>
        <w:rPr>
          <w:rFonts w:ascii="宋体" w:hAnsi="宋体" w:eastAsia="宋体" w:cs="宋体"/>
          <w:color w:val="auto"/>
          <w:spacing w:val="-1"/>
          <w:sz w:val="24"/>
          <w:szCs w:val="24"/>
          <w:highlight w:val="none"/>
        </w:rPr>
        <w:t>（五）投标人认为需要的其他内容（如体现技术能力的相关证明材料）。</w:t>
      </w:r>
    </w:p>
    <w:p w14:paraId="5027381D">
      <w:pPr>
        <w:spacing w:line="247" w:lineRule="auto"/>
        <w:rPr>
          <w:rFonts w:ascii="Arial"/>
          <w:color w:val="auto"/>
          <w:sz w:val="21"/>
          <w:highlight w:val="none"/>
        </w:rPr>
      </w:pPr>
    </w:p>
    <w:p w14:paraId="2CD3CF7F">
      <w:pPr>
        <w:spacing w:line="247" w:lineRule="auto"/>
        <w:rPr>
          <w:rFonts w:ascii="Arial"/>
          <w:color w:val="auto"/>
          <w:sz w:val="21"/>
          <w:highlight w:val="none"/>
        </w:rPr>
      </w:pPr>
    </w:p>
    <w:p w14:paraId="5BCB24D1">
      <w:pPr>
        <w:spacing w:line="247" w:lineRule="auto"/>
        <w:rPr>
          <w:rFonts w:ascii="Arial"/>
          <w:color w:val="auto"/>
          <w:sz w:val="21"/>
          <w:highlight w:val="none"/>
        </w:rPr>
      </w:pPr>
    </w:p>
    <w:p w14:paraId="6E7C83F6">
      <w:pPr>
        <w:spacing w:line="247" w:lineRule="auto"/>
        <w:rPr>
          <w:rFonts w:ascii="Arial"/>
          <w:color w:val="auto"/>
          <w:sz w:val="21"/>
          <w:highlight w:val="none"/>
        </w:rPr>
      </w:pPr>
    </w:p>
    <w:p w14:paraId="19EEBC0F">
      <w:pPr>
        <w:spacing w:line="247" w:lineRule="auto"/>
        <w:rPr>
          <w:rFonts w:ascii="Arial"/>
          <w:color w:val="auto"/>
          <w:sz w:val="21"/>
          <w:highlight w:val="none"/>
        </w:rPr>
      </w:pPr>
    </w:p>
    <w:p w14:paraId="7B8C9970">
      <w:pPr>
        <w:spacing w:line="247" w:lineRule="auto"/>
        <w:rPr>
          <w:rFonts w:ascii="Arial"/>
          <w:color w:val="auto"/>
          <w:sz w:val="21"/>
          <w:highlight w:val="none"/>
        </w:rPr>
      </w:pPr>
    </w:p>
    <w:p w14:paraId="12EF124C">
      <w:pPr>
        <w:spacing w:line="247" w:lineRule="auto"/>
        <w:rPr>
          <w:rFonts w:ascii="Arial"/>
          <w:color w:val="auto"/>
          <w:sz w:val="21"/>
          <w:highlight w:val="none"/>
        </w:rPr>
      </w:pPr>
    </w:p>
    <w:p w14:paraId="63C75DBD">
      <w:pPr>
        <w:spacing w:line="247" w:lineRule="auto"/>
        <w:rPr>
          <w:rFonts w:ascii="Arial"/>
          <w:color w:val="auto"/>
          <w:sz w:val="21"/>
          <w:highlight w:val="none"/>
        </w:rPr>
      </w:pPr>
    </w:p>
    <w:p w14:paraId="274F901C">
      <w:pPr>
        <w:spacing w:line="247" w:lineRule="auto"/>
        <w:rPr>
          <w:rFonts w:ascii="Arial"/>
          <w:color w:val="auto"/>
          <w:sz w:val="21"/>
          <w:highlight w:val="none"/>
        </w:rPr>
      </w:pPr>
    </w:p>
    <w:p w14:paraId="64B1EB26">
      <w:pPr>
        <w:spacing w:line="247" w:lineRule="auto"/>
        <w:rPr>
          <w:rFonts w:ascii="Arial"/>
          <w:color w:val="auto"/>
          <w:sz w:val="21"/>
          <w:highlight w:val="none"/>
        </w:rPr>
      </w:pPr>
    </w:p>
    <w:p w14:paraId="25CE146A">
      <w:pPr>
        <w:spacing w:line="247" w:lineRule="auto"/>
        <w:rPr>
          <w:rFonts w:ascii="Arial"/>
          <w:color w:val="auto"/>
          <w:sz w:val="21"/>
          <w:highlight w:val="none"/>
        </w:rPr>
      </w:pPr>
    </w:p>
    <w:p w14:paraId="10DAC889">
      <w:pPr>
        <w:spacing w:line="247" w:lineRule="auto"/>
        <w:rPr>
          <w:rFonts w:ascii="Arial"/>
          <w:color w:val="auto"/>
          <w:sz w:val="21"/>
          <w:highlight w:val="none"/>
        </w:rPr>
      </w:pPr>
    </w:p>
    <w:p w14:paraId="561905E0">
      <w:pPr>
        <w:spacing w:line="247" w:lineRule="auto"/>
        <w:rPr>
          <w:rFonts w:ascii="Arial"/>
          <w:color w:val="auto"/>
          <w:sz w:val="21"/>
          <w:highlight w:val="none"/>
        </w:rPr>
      </w:pPr>
    </w:p>
    <w:p w14:paraId="74661C73">
      <w:pPr>
        <w:spacing w:line="247" w:lineRule="auto"/>
        <w:rPr>
          <w:rFonts w:ascii="Arial"/>
          <w:color w:val="auto"/>
          <w:sz w:val="21"/>
          <w:highlight w:val="none"/>
        </w:rPr>
      </w:pPr>
    </w:p>
    <w:p w14:paraId="14147FC7">
      <w:pPr>
        <w:spacing w:line="247" w:lineRule="auto"/>
        <w:rPr>
          <w:rFonts w:ascii="Arial"/>
          <w:color w:val="auto"/>
          <w:sz w:val="21"/>
          <w:highlight w:val="none"/>
        </w:rPr>
      </w:pPr>
    </w:p>
    <w:p w14:paraId="470F8891">
      <w:pPr>
        <w:spacing w:line="247" w:lineRule="auto"/>
        <w:rPr>
          <w:rFonts w:ascii="Arial"/>
          <w:color w:val="auto"/>
          <w:sz w:val="21"/>
          <w:highlight w:val="none"/>
        </w:rPr>
      </w:pPr>
    </w:p>
    <w:p w14:paraId="4E5B1A91">
      <w:pPr>
        <w:spacing w:line="247" w:lineRule="auto"/>
        <w:rPr>
          <w:rFonts w:ascii="Arial"/>
          <w:color w:val="auto"/>
          <w:sz w:val="21"/>
          <w:highlight w:val="none"/>
        </w:rPr>
      </w:pPr>
    </w:p>
    <w:p w14:paraId="1B249E7F">
      <w:pPr>
        <w:spacing w:line="247" w:lineRule="auto"/>
        <w:rPr>
          <w:rFonts w:ascii="Arial"/>
          <w:color w:val="auto"/>
          <w:sz w:val="21"/>
          <w:highlight w:val="none"/>
        </w:rPr>
      </w:pPr>
    </w:p>
    <w:p w14:paraId="3FA61A1A">
      <w:pPr>
        <w:spacing w:line="247" w:lineRule="auto"/>
        <w:rPr>
          <w:rFonts w:ascii="Arial"/>
          <w:color w:val="auto"/>
          <w:sz w:val="21"/>
          <w:highlight w:val="none"/>
        </w:rPr>
      </w:pPr>
    </w:p>
    <w:p w14:paraId="67257D78">
      <w:pPr>
        <w:spacing w:line="247" w:lineRule="auto"/>
        <w:rPr>
          <w:rFonts w:ascii="Arial"/>
          <w:color w:val="auto"/>
          <w:sz w:val="21"/>
          <w:highlight w:val="none"/>
        </w:rPr>
      </w:pPr>
    </w:p>
    <w:p w14:paraId="5924D7A9">
      <w:pPr>
        <w:spacing w:line="247" w:lineRule="auto"/>
        <w:rPr>
          <w:rFonts w:ascii="Arial"/>
          <w:color w:val="auto"/>
          <w:sz w:val="21"/>
          <w:highlight w:val="none"/>
        </w:rPr>
      </w:pPr>
    </w:p>
    <w:p w14:paraId="56385935">
      <w:pPr>
        <w:spacing w:line="247" w:lineRule="auto"/>
        <w:rPr>
          <w:rFonts w:ascii="Arial"/>
          <w:color w:val="auto"/>
          <w:sz w:val="21"/>
          <w:highlight w:val="none"/>
        </w:rPr>
      </w:pPr>
    </w:p>
    <w:p w14:paraId="66976B9E">
      <w:pPr>
        <w:spacing w:line="247" w:lineRule="auto"/>
        <w:rPr>
          <w:rFonts w:ascii="Arial"/>
          <w:color w:val="auto"/>
          <w:sz w:val="21"/>
          <w:highlight w:val="none"/>
        </w:rPr>
      </w:pPr>
    </w:p>
    <w:p w14:paraId="1EF9DB01">
      <w:pPr>
        <w:spacing w:line="247" w:lineRule="auto"/>
        <w:rPr>
          <w:rFonts w:ascii="Arial"/>
          <w:color w:val="auto"/>
          <w:sz w:val="21"/>
          <w:highlight w:val="none"/>
        </w:rPr>
      </w:pPr>
    </w:p>
    <w:p w14:paraId="541FFA11">
      <w:pPr>
        <w:spacing w:line="247" w:lineRule="auto"/>
        <w:rPr>
          <w:rFonts w:ascii="Arial"/>
          <w:color w:val="auto"/>
          <w:sz w:val="21"/>
          <w:highlight w:val="none"/>
        </w:rPr>
      </w:pPr>
    </w:p>
    <w:p w14:paraId="08B59E1F">
      <w:pPr>
        <w:spacing w:line="247" w:lineRule="auto"/>
        <w:rPr>
          <w:rFonts w:ascii="Arial"/>
          <w:color w:val="auto"/>
          <w:sz w:val="21"/>
          <w:highlight w:val="none"/>
        </w:rPr>
      </w:pPr>
    </w:p>
    <w:p w14:paraId="476B160D">
      <w:pPr>
        <w:spacing w:line="247" w:lineRule="auto"/>
        <w:rPr>
          <w:rFonts w:ascii="Arial"/>
          <w:color w:val="auto"/>
          <w:sz w:val="21"/>
          <w:highlight w:val="none"/>
        </w:rPr>
      </w:pPr>
    </w:p>
    <w:p w14:paraId="5525C456">
      <w:pPr>
        <w:spacing w:line="247" w:lineRule="auto"/>
        <w:rPr>
          <w:rFonts w:ascii="Arial"/>
          <w:color w:val="auto"/>
          <w:sz w:val="21"/>
          <w:highlight w:val="none"/>
        </w:rPr>
      </w:pPr>
    </w:p>
    <w:p w14:paraId="46276E53">
      <w:pPr>
        <w:spacing w:line="247" w:lineRule="auto"/>
        <w:rPr>
          <w:rFonts w:ascii="Arial"/>
          <w:color w:val="auto"/>
          <w:sz w:val="21"/>
          <w:highlight w:val="none"/>
        </w:rPr>
      </w:pPr>
    </w:p>
    <w:p w14:paraId="2A7471FF">
      <w:pPr>
        <w:spacing w:line="247" w:lineRule="auto"/>
        <w:rPr>
          <w:rFonts w:ascii="Arial"/>
          <w:color w:val="auto"/>
          <w:sz w:val="21"/>
          <w:highlight w:val="none"/>
        </w:rPr>
      </w:pPr>
    </w:p>
    <w:p w14:paraId="548774B1">
      <w:pPr>
        <w:spacing w:line="248" w:lineRule="auto"/>
        <w:rPr>
          <w:rFonts w:ascii="Arial"/>
          <w:color w:val="auto"/>
          <w:sz w:val="21"/>
          <w:highlight w:val="none"/>
        </w:rPr>
      </w:pPr>
    </w:p>
    <w:p w14:paraId="543B6D3C">
      <w:pPr>
        <w:spacing w:line="248" w:lineRule="auto"/>
        <w:rPr>
          <w:rFonts w:ascii="Arial"/>
          <w:color w:val="auto"/>
          <w:sz w:val="21"/>
          <w:highlight w:val="none"/>
        </w:rPr>
      </w:pPr>
      <w:r>
        <w:rPr>
          <w:color w:val="auto"/>
          <w:highlight w:val="none"/>
        </w:rPr>
        <w:pict>
          <v:shape id="_x0000_s1098" o:spid="_x0000_s1098" style="position:absolute;left:0pt;margin-left:0pt;margin-top:11.15pt;height:0pt;width:144pt;z-index:251704320;mso-width-relative:page;mso-height-relative:page;" filled="f" stroked="t" coordsize="2880,0" path="m0,0l2880,0e">
            <v:fill on="f" focussize="0,0"/>
            <v:stroke weight="0pt" color="#000000" miterlimit="0" joinstyle="bevel" endcap="square"/>
            <v:imagedata o:title=""/>
            <o:lock v:ext="edit"/>
          </v:shape>
        </w:pict>
      </w:r>
    </w:p>
    <w:p w14:paraId="38D55FF7">
      <w:pPr>
        <w:spacing w:line="248" w:lineRule="auto"/>
        <w:rPr>
          <w:rFonts w:ascii="Arial"/>
          <w:color w:val="auto"/>
          <w:sz w:val="21"/>
          <w:highlight w:val="none"/>
        </w:rPr>
      </w:pPr>
    </w:p>
    <w:p w14:paraId="1E2A1B3A">
      <w:pPr>
        <w:spacing w:before="60" w:line="217" w:lineRule="auto"/>
        <w:ind w:left="5"/>
        <w:rPr>
          <w:rFonts w:ascii="宋体" w:hAnsi="宋体" w:eastAsia="宋体" w:cs="宋体"/>
          <w:color w:val="auto"/>
          <w:sz w:val="18"/>
          <w:szCs w:val="18"/>
          <w:highlight w:val="none"/>
        </w:rPr>
      </w:pPr>
      <w:r>
        <w:rPr>
          <w:rFonts w:ascii="宋体" w:hAnsi="宋体" w:eastAsia="宋体" w:cs="宋体"/>
          <w:color w:val="auto"/>
          <w:sz w:val="18"/>
          <w:szCs w:val="18"/>
          <w:highlight w:val="none"/>
        </w:rPr>
        <w:t>① 根据评标办法中行政处罚扣分选择项目涉及各地级以上</w:t>
      </w:r>
      <w:r>
        <w:rPr>
          <w:rFonts w:ascii="宋体" w:hAnsi="宋体" w:eastAsia="宋体" w:cs="宋体"/>
          <w:color w:val="auto"/>
          <w:spacing w:val="-1"/>
          <w:sz w:val="18"/>
          <w:szCs w:val="18"/>
          <w:highlight w:val="none"/>
        </w:rPr>
        <w:t>市交通运输局。</w:t>
      </w:r>
    </w:p>
    <w:p w14:paraId="012C551E">
      <w:pPr>
        <w:spacing w:line="217" w:lineRule="auto"/>
        <w:rPr>
          <w:rFonts w:ascii="宋体" w:hAnsi="宋体" w:eastAsia="宋体" w:cs="宋体"/>
          <w:color w:val="auto"/>
          <w:sz w:val="18"/>
          <w:szCs w:val="18"/>
          <w:highlight w:val="none"/>
        </w:rPr>
        <w:sectPr>
          <w:footerReference r:id="rId100" w:type="default"/>
          <w:pgSz w:w="11906" w:h="16839"/>
          <w:pgMar w:top="1431" w:right="1562" w:bottom="1297" w:left="1417" w:header="0" w:footer="1067" w:gutter="0"/>
          <w:pgNumType w:fmt="decimal"/>
          <w:cols w:space="720" w:num="1"/>
        </w:sectPr>
      </w:pPr>
    </w:p>
    <w:p w14:paraId="00C6396C">
      <w:pPr>
        <w:spacing w:before="64" w:line="225" w:lineRule="auto"/>
        <w:ind w:left="2733"/>
        <w:rPr>
          <w:rFonts w:ascii="宋体" w:hAnsi="宋体" w:eastAsia="宋体" w:cs="宋体"/>
          <w:color w:val="auto"/>
          <w:sz w:val="31"/>
          <w:szCs w:val="31"/>
          <w:highlight w:val="none"/>
        </w:rPr>
      </w:pPr>
      <w:r>
        <w:rPr>
          <w:rFonts w:ascii="宋体" w:hAnsi="宋体" w:eastAsia="宋体" w:cs="宋体"/>
          <w:b/>
          <w:bCs/>
          <w:color w:val="auto"/>
          <w:spacing w:val="5"/>
          <w:sz w:val="31"/>
          <w:szCs w:val="31"/>
          <w:highlight w:val="none"/>
        </w:rPr>
        <w:t>（一）投标人的自评分表</w:t>
      </w:r>
    </w:p>
    <w:p w14:paraId="597DDFA7">
      <w:pPr>
        <w:spacing w:line="194" w:lineRule="exact"/>
        <w:rPr>
          <w:color w:val="auto"/>
          <w:highlight w:val="none"/>
        </w:rPr>
      </w:pPr>
    </w:p>
    <w:tbl>
      <w:tblPr>
        <w:tblStyle w:val="17"/>
        <w:tblW w:w="894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5"/>
        <w:gridCol w:w="1359"/>
        <w:gridCol w:w="911"/>
        <w:gridCol w:w="1679"/>
        <w:gridCol w:w="1221"/>
        <w:gridCol w:w="1392"/>
        <w:gridCol w:w="1569"/>
      </w:tblGrid>
      <w:tr w14:paraId="0AE952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3" w:hRule="atLeast"/>
        </w:trPr>
        <w:tc>
          <w:tcPr>
            <w:tcW w:w="815" w:type="dxa"/>
            <w:vAlign w:val="top"/>
          </w:tcPr>
          <w:p w14:paraId="12CBAB49">
            <w:pPr>
              <w:spacing w:line="366" w:lineRule="auto"/>
              <w:rPr>
                <w:rFonts w:ascii="Arial"/>
                <w:color w:val="auto"/>
                <w:sz w:val="21"/>
                <w:highlight w:val="none"/>
              </w:rPr>
            </w:pPr>
          </w:p>
          <w:p w14:paraId="504C20C6">
            <w:pPr>
              <w:pStyle w:val="18"/>
              <w:spacing w:before="65" w:line="229" w:lineRule="auto"/>
              <w:ind w:left="113"/>
              <w:rPr>
                <w:color w:val="auto"/>
                <w:highlight w:val="none"/>
              </w:rPr>
            </w:pPr>
            <w:r>
              <w:rPr>
                <w:color w:val="auto"/>
                <w:spacing w:val="5"/>
                <w:highlight w:val="none"/>
              </w:rPr>
              <w:t>序号</w:t>
            </w:r>
          </w:p>
        </w:tc>
        <w:tc>
          <w:tcPr>
            <w:tcW w:w="1359" w:type="dxa"/>
            <w:vAlign w:val="top"/>
          </w:tcPr>
          <w:p w14:paraId="30D768E6">
            <w:pPr>
              <w:spacing w:line="365" w:lineRule="auto"/>
              <w:rPr>
                <w:rFonts w:ascii="Arial"/>
                <w:color w:val="auto"/>
                <w:sz w:val="21"/>
                <w:highlight w:val="none"/>
              </w:rPr>
            </w:pPr>
          </w:p>
          <w:p w14:paraId="55D7869E">
            <w:pPr>
              <w:pStyle w:val="18"/>
              <w:spacing w:before="65" w:line="228" w:lineRule="auto"/>
              <w:ind w:left="263"/>
              <w:rPr>
                <w:color w:val="auto"/>
                <w:highlight w:val="none"/>
              </w:rPr>
            </w:pPr>
            <w:r>
              <w:rPr>
                <w:color w:val="auto"/>
                <w:spacing w:val="7"/>
                <w:highlight w:val="none"/>
              </w:rPr>
              <w:t>评分因素</w:t>
            </w:r>
          </w:p>
        </w:tc>
        <w:tc>
          <w:tcPr>
            <w:tcW w:w="911" w:type="dxa"/>
            <w:vAlign w:val="top"/>
          </w:tcPr>
          <w:p w14:paraId="4AA36C36">
            <w:pPr>
              <w:spacing w:line="365" w:lineRule="auto"/>
              <w:rPr>
                <w:rFonts w:ascii="Arial"/>
                <w:color w:val="auto"/>
                <w:sz w:val="21"/>
                <w:highlight w:val="none"/>
              </w:rPr>
            </w:pPr>
          </w:p>
          <w:p w14:paraId="1D4755E3">
            <w:pPr>
              <w:pStyle w:val="18"/>
              <w:spacing w:before="65" w:line="228" w:lineRule="auto"/>
              <w:ind w:left="249"/>
              <w:rPr>
                <w:color w:val="auto"/>
                <w:highlight w:val="none"/>
              </w:rPr>
            </w:pPr>
            <w:r>
              <w:rPr>
                <w:color w:val="auto"/>
                <w:spacing w:val="4"/>
                <w:highlight w:val="none"/>
              </w:rPr>
              <w:t>满分</w:t>
            </w:r>
          </w:p>
        </w:tc>
        <w:tc>
          <w:tcPr>
            <w:tcW w:w="1679" w:type="dxa"/>
            <w:vAlign w:val="top"/>
          </w:tcPr>
          <w:p w14:paraId="49A04B26">
            <w:pPr>
              <w:spacing w:line="366" w:lineRule="auto"/>
              <w:rPr>
                <w:rFonts w:ascii="Arial"/>
                <w:color w:val="auto"/>
                <w:sz w:val="21"/>
                <w:highlight w:val="none"/>
              </w:rPr>
            </w:pPr>
          </w:p>
          <w:p w14:paraId="6A7CCD9B">
            <w:pPr>
              <w:pStyle w:val="18"/>
              <w:spacing w:before="65" w:line="228" w:lineRule="auto"/>
              <w:ind w:left="424"/>
              <w:rPr>
                <w:color w:val="auto"/>
                <w:highlight w:val="none"/>
              </w:rPr>
            </w:pPr>
            <w:r>
              <w:rPr>
                <w:color w:val="auto"/>
                <w:spacing w:val="7"/>
                <w:highlight w:val="none"/>
              </w:rPr>
              <w:t>评分标准</w:t>
            </w:r>
          </w:p>
        </w:tc>
        <w:tc>
          <w:tcPr>
            <w:tcW w:w="1221" w:type="dxa"/>
            <w:vAlign w:val="top"/>
          </w:tcPr>
          <w:p w14:paraId="6E6BC06D">
            <w:pPr>
              <w:spacing w:line="366" w:lineRule="auto"/>
              <w:rPr>
                <w:rFonts w:ascii="Arial"/>
                <w:color w:val="auto"/>
                <w:sz w:val="21"/>
                <w:highlight w:val="none"/>
              </w:rPr>
            </w:pPr>
          </w:p>
          <w:p w14:paraId="73D6B5CC">
            <w:pPr>
              <w:pStyle w:val="18"/>
              <w:spacing w:before="65" w:line="228" w:lineRule="auto"/>
              <w:ind w:left="336"/>
              <w:rPr>
                <w:color w:val="auto"/>
                <w:highlight w:val="none"/>
              </w:rPr>
            </w:pPr>
            <w:r>
              <w:rPr>
                <w:color w:val="auto"/>
                <w:spacing w:val="-5"/>
                <w:highlight w:val="none"/>
              </w:rPr>
              <w:t>自评分</w:t>
            </w:r>
          </w:p>
        </w:tc>
        <w:tc>
          <w:tcPr>
            <w:tcW w:w="1392" w:type="dxa"/>
            <w:vAlign w:val="top"/>
          </w:tcPr>
          <w:p w14:paraId="670241BF">
            <w:pPr>
              <w:pStyle w:val="18"/>
              <w:spacing w:before="229" w:line="378" w:lineRule="auto"/>
              <w:ind w:left="616" w:right="168" w:hanging="440"/>
              <w:rPr>
                <w:color w:val="auto"/>
                <w:highlight w:val="none"/>
              </w:rPr>
            </w:pPr>
            <w:r>
              <w:rPr>
                <w:color w:val="auto"/>
                <w:spacing w:val="8"/>
                <w:highlight w:val="none"/>
              </w:rPr>
              <w:t>评分情况说</w:t>
            </w:r>
            <w:r>
              <w:rPr>
                <w:color w:val="auto"/>
                <w:highlight w:val="none"/>
              </w:rPr>
              <w:t>明</w:t>
            </w:r>
          </w:p>
        </w:tc>
        <w:tc>
          <w:tcPr>
            <w:tcW w:w="1569" w:type="dxa"/>
            <w:vAlign w:val="top"/>
          </w:tcPr>
          <w:p w14:paraId="236E2DE5">
            <w:pPr>
              <w:spacing w:line="366" w:lineRule="auto"/>
              <w:rPr>
                <w:rFonts w:ascii="Arial"/>
                <w:color w:val="auto"/>
                <w:sz w:val="21"/>
                <w:highlight w:val="none"/>
              </w:rPr>
            </w:pPr>
          </w:p>
          <w:p w14:paraId="099DAF5A">
            <w:pPr>
              <w:pStyle w:val="18"/>
              <w:spacing w:before="65" w:line="228" w:lineRule="auto"/>
              <w:ind w:left="374"/>
              <w:rPr>
                <w:color w:val="auto"/>
                <w:highlight w:val="none"/>
              </w:rPr>
            </w:pPr>
            <w:r>
              <w:rPr>
                <w:color w:val="auto"/>
                <w:spacing w:val="6"/>
                <w:highlight w:val="none"/>
              </w:rPr>
              <w:t>页码索引</w:t>
            </w:r>
          </w:p>
        </w:tc>
      </w:tr>
      <w:tr w14:paraId="08C645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815" w:type="dxa"/>
            <w:vAlign w:val="top"/>
          </w:tcPr>
          <w:p w14:paraId="0C6F8141">
            <w:pPr>
              <w:rPr>
                <w:rFonts w:ascii="Arial"/>
                <w:color w:val="auto"/>
                <w:sz w:val="21"/>
                <w:highlight w:val="none"/>
              </w:rPr>
            </w:pPr>
          </w:p>
        </w:tc>
        <w:tc>
          <w:tcPr>
            <w:tcW w:w="1359" w:type="dxa"/>
            <w:vAlign w:val="top"/>
          </w:tcPr>
          <w:p w14:paraId="60028D27">
            <w:pPr>
              <w:rPr>
                <w:rFonts w:ascii="Arial"/>
                <w:color w:val="auto"/>
                <w:sz w:val="21"/>
                <w:highlight w:val="none"/>
              </w:rPr>
            </w:pPr>
          </w:p>
        </w:tc>
        <w:tc>
          <w:tcPr>
            <w:tcW w:w="911" w:type="dxa"/>
            <w:vAlign w:val="top"/>
          </w:tcPr>
          <w:p w14:paraId="7F1DA73B">
            <w:pPr>
              <w:rPr>
                <w:rFonts w:ascii="Arial"/>
                <w:color w:val="auto"/>
                <w:sz w:val="21"/>
                <w:highlight w:val="none"/>
              </w:rPr>
            </w:pPr>
          </w:p>
        </w:tc>
        <w:tc>
          <w:tcPr>
            <w:tcW w:w="1679" w:type="dxa"/>
            <w:vAlign w:val="top"/>
          </w:tcPr>
          <w:p w14:paraId="7966DA5A">
            <w:pPr>
              <w:pStyle w:val="18"/>
              <w:spacing w:before="30" w:line="360" w:lineRule="auto"/>
              <w:ind w:left="533" w:right="209" w:hanging="315"/>
              <w:rPr>
                <w:color w:val="auto"/>
                <w:highlight w:val="none"/>
              </w:rPr>
            </w:pPr>
            <w:r>
              <w:rPr>
                <w:color w:val="auto"/>
                <w:spacing w:val="7"/>
                <w:highlight w:val="none"/>
              </w:rPr>
              <w:t>与评标办法规</w:t>
            </w:r>
            <w:r>
              <w:rPr>
                <w:color w:val="auto"/>
                <w:spacing w:val="5"/>
                <w:highlight w:val="none"/>
              </w:rPr>
              <w:t>定一致</w:t>
            </w:r>
          </w:p>
        </w:tc>
        <w:tc>
          <w:tcPr>
            <w:tcW w:w="1221" w:type="dxa"/>
            <w:vAlign w:val="top"/>
          </w:tcPr>
          <w:p w14:paraId="2EAD409E">
            <w:pPr>
              <w:rPr>
                <w:rFonts w:ascii="Arial"/>
                <w:color w:val="auto"/>
                <w:sz w:val="21"/>
                <w:highlight w:val="none"/>
              </w:rPr>
            </w:pPr>
          </w:p>
        </w:tc>
        <w:tc>
          <w:tcPr>
            <w:tcW w:w="1392" w:type="dxa"/>
            <w:vAlign w:val="top"/>
          </w:tcPr>
          <w:p w14:paraId="03F2E562">
            <w:pPr>
              <w:rPr>
                <w:rFonts w:ascii="Arial"/>
                <w:color w:val="auto"/>
                <w:sz w:val="21"/>
                <w:highlight w:val="none"/>
              </w:rPr>
            </w:pPr>
          </w:p>
        </w:tc>
        <w:tc>
          <w:tcPr>
            <w:tcW w:w="1569" w:type="dxa"/>
            <w:vAlign w:val="top"/>
          </w:tcPr>
          <w:p w14:paraId="11B49240">
            <w:pPr>
              <w:rPr>
                <w:rFonts w:ascii="Arial"/>
                <w:color w:val="auto"/>
                <w:sz w:val="21"/>
                <w:highlight w:val="none"/>
              </w:rPr>
            </w:pPr>
          </w:p>
        </w:tc>
      </w:tr>
      <w:tr w14:paraId="6C03A1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815" w:type="dxa"/>
            <w:vAlign w:val="top"/>
          </w:tcPr>
          <w:p w14:paraId="7EC6F799">
            <w:pPr>
              <w:rPr>
                <w:rFonts w:ascii="Arial"/>
                <w:color w:val="auto"/>
                <w:sz w:val="21"/>
                <w:highlight w:val="none"/>
              </w:rPr>
            </w:pPr>
          </w:p>
        </w:tc>
        <w:tc>
          <w:tcPr>
            <w:tcW w:w="1359" w:type="dxa"/>
            <w:vAlign w:val="top"/>
          </w:tcPr>
          <w:p w14:paraId="0CEDF14C">
            <w:pPr>
              <w:rPr>
                <w:rFonts w:ascii="Arial"/>
                <w:color w:val="auto"/>
                <w:sz w:val="21"/>
                <w:highlight w:val="none"/>
              </w:rPr>
            </w:pPr>
          </w:p>
        </w:tc>
        <w:tc>
          <w:tcPr>
            <w:tcW w:w="911" w:type="dxa"/>
            <w:vAlign w:val="top"/>
          </w:tcPr>
          <w:p w14:paraId="5DB264FE">
            <w:pPr>
              <w:rPr>
                <w:rFonts w:ascii="Arial"/>
                <w:color w:val="auto"/>
                <w:sz w:val="21"/>
                <w:highlight w:val="none"/>
              </w:rPr>
            </w:pPr>
          </w:p>
        </w:tc>
        <w:tc>
          <w:tcPr>
            <w:tcW w:w="1679" w:type="dxa"/>
            <w:vAlign w:val="top"/>
          </w:tcPr>
          <w:p w14:paraId="59B11D0E">
            <w:pPr>
              <w:pStyle w:val="18"/>
              <w:spacing w:before="33" w:line="359" w:lineRule="auto"/>
              <w:ind w:left="533" w:right="157" w:hanging="262"/>
              <w:rPr>
                <w:color w:val="auto"/>
                <w:highlight w:val="none"/>
              </w:rPr>
            </w:pPr>
            <w:r>
              <w:rPr>
                <w:color w:val="auto"/>
                <w:spacing w:val="7"/>
                <w:highlight w:val="none"/>
              </w:rPr>
              <w:t>与评标办法规</w:t>
            </w:r>
            <w:r>
              <w:rPr>
                <w:color w:val="auto"/>
                <w:spacing w:val="5"/>
                <w:highlight w:val="none"/>
              </w:rPr>
              <w:t>定一致</w:t>
            </w:r>
          </w:p>
        </w:tc>
        <w:tc>
          <w:tcPr>
            <w:tcW w:w="1221" w:type="dxa"/>
            <w:vAlign w:val="top"/>
          </w:tcPr>
          <w:p w14:paraId="18604BFE">
            <w:pPr>
              <w:rPr>
                <w:rFonts w:ascii="Arial"/>
                <w:color w:val="auto"/>
                <w:sz w:val="21"/>
                <w:highlight w:val="none"/>
              </w:rPr>
            </w:pPr>
          </w:p>
        </w:tc>
        <w:tc>
          <w:tcPr>
            <w:tcW w:w="1392" w:type="dxa"/>
            <w:vAlign w:val="top"/>
          </w:tcPr>
          <w:p w14:paraId="7D984BB9">
            <w:pPr>
              <w:rPr>
                <w:rFonts w:ascii="Arial"/>
                <w:color w:val="auto"/>
                <w:sz w:val="21"/>
                <w:highlight w:val="none"/>
              </w:rPr>
            </w:pPr>
          </w:p>
        </w:tc>
        <w:tc>
          <w:tcPr>
            <w:tcW w:w="1569" w:type="dxa"/>
            <w:vAlign w:val="top"/>
          </w:tcPr>
          <w:p w14:paraId="089F27C5">
            <w:pPr>
              <w:rPr>
                <w:rFonts w:ascii="Arial"/>
                <w:color w:val="auto"/>
                <w:sz w:val="21"/>
                <w:highlight w:val="none"/>
              </w:rPr>
            </w:pPr>
          </w:p>
        </w:tc>
      </w:tr>
      <w:tr w14:paraId="12CFB8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3" w:hRule="atLeast"/>
        </w:trPr>
        <w:tc>
          <w:tcPr>
            <w:tcW w:w="815" w:type="dxa"/>
            <w:vAlign w:val="top"/>
          </w:tcPr>
          <w:p w14:paraId="71B2E129">
            <w:pPr>
              <w:rPr>
                <w:rFonts w:ascii="Arial"/>
                <w:color w:val="auto"/>
                <w:sz w:val="21"/>
                <w:highlight w:val="none"/>
              </w:rPr>
            </w:pPr>
          </w:p>
        </w:tc>
        <w:tc>
          <w:tcPr>
            <w:tcW w:w="1359" w:type="dxa"/>
            <w:vAlign w:val="top"/>
          </w:tcPr>
          <w:p w14:paraId="6C4EADE0">
            <w:pPr>
              <w:rPr>
                <w:rFonts w:ascii="Arial"/>
                <w:color w:val="auto"/>
                <w:sz w:val="21"/>
                <w:highlight w:val="none"/>
              </w:rPr>
            </w:pPr>
          </w:p>
        </w:tc>
        <w:tc>
          <w:tcPr>
            <w:tcW w:w="911" w:type="dxa"/>
            <w:vAlign w:val="top"/>
          </w:tcPr>
          <w:p w14:paraId="615F3CBA">
            <w:pPr>
              <w:rPr>
                <w:rFonts w:ascii="Arial"/>
                <w:color w:val="auto"/>
                <w:sz w:val="21"/>
                <w:highlight w:val="none"/>
              </w:rPr>
            </w:pPr>
          </w:p>
        </w:tc>
        <w:tc>
          <w:tcPr>
            <w:tcW w:w="1679" w:type="dxa"/>
            <w:vAlign w:val="top"/>
          </w:tcPr>
          <w:p w14:paraId="04986E79">
            <w:pPr>
              <w:pStyle w:val="18"/>
              <w:spacing w:before="74" w:line="378" w:lineRule="auto"/>
              <w:ind w:left="533" w:right="205" w:hanging="310"/>
              <w:rPr>
                <w:color w:val="auto"/>
                <w:highlight w:val="none"/>
              </w:rPr>
            </w:pPr>
            <w:r>
              <w:rPr>
                <w:color w:val="auto"/>
                <w:spacing w:val="7"/>
                <w:highlight w:val="none"/>
              </w:rPr>
              <w:t>与评标办法规</w:t>
            </w:r>
            <w:r>
              <w:rPr>
                <w:color w:val="auto"/>
                <w:spacing w:val="5"/>
                <w:highlight w:val="none"/>
              </w:rPr>
              <w:t>定一致</w:t>
            </w:r>
          </w:p>
        </w:tc>
        <w:tc>
          <w:tcPr>
            <w:tcW w:w="1221" w:type="dxa"/>
            <w:vAlign w:val="top"/>
          </w:tcPr>
          <w:p w14:paraId="288BF96C">
            <w:pPr>
              <w:rPr>
                <w:rFonts w:ascii="Arial"/>
                <w:color w:val="auto"/>
                <w:sz w:val="21"/>
                <w:highlight w:val="none"/>
              </w:rPr>
            </w:pPr>
          </w:p>
        </w:tc>
        <w:tc>
          <w:tcPr>
            <w:tcW w:w="1392" w:type="dxa"/>
            <w:vAlign w:val="top"/>
          </w:tcPr>
          <w:p w14:paraId="391BC98A">
            <w:pPr>
              <w:rPr>
                <w:rFonts w:ascii="Arial"/>
                <w:color w:val="auto"/>
                <w:sz w:val="21"/>
                <w:highlight w:val="none"/>
              </w:rPr>
            </w:pPr>
          </w:p>
        </w:tc>
        <w:tc>
          <w:tcPr>
            <w:tcW w:w="1569" w:type="dxa"/>
            <w:vAlign w:val="top"/>
          </w:tcPr>
          <w:p w14:paraId="0991101B">
            <w:pPr>
              <w:rPr>
                <w:rFonts w:ascii="Arial"/>
                <w:color w:val="auto"/>
                <w:sz w:val="21"/>
                <w:highlight w:val="none"/>
              </w:rPr>
            </w:pPr>
          </w:p>
        </w:tc>
      </w:tr>
      <w:tr w14:paraId="0A088A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815" w:type="dxa"/>
            <w:vAlign w:val="top"/>
          </w:tcPr>
          <w:p w14:paraId="663512A0">
            <w:pPr>
              <w:rPr>
                <w:rFonts w:ascii="Arial"/>
                <w:color w:val="auto"/>
                <w:sz w:val="21"/>
                <w:highlight w:val="none"/>
              </w:rPr>
            </w:pPr>
          </w:p>
        </w:tc>
        <w:tc>
          <w:tcPr>
            <w:tcW w:w="1359" w:type="dxa"/>
            <w:vAlign w:val="top"/>
          </w:tcPr>
          <w:p w14:paraId="4B52D6D2">
            <w:pPr>
              <w:rPr>
                <w:rFonts w:ascii="Arial"/>
                <w:color w:val="auto"/>
                <w:sz w:val="21"/>
                <w:highlight w:val="none"/>
              </w:rPr>
            </w:pPr>
          </w:p>
        </w:tc>
        <w:tc>
          <w:tcPr>
            <w:tcW w:w="911" w:type="dxa"/>
            <w:vAlign w:val="top"/>
          </w:tcPr>
          <w:p w14:paraId="4801A568">
            <w:pPr>
              <w:rPr>
                <w:rFonts w:ascii="Arial"/>
                <w:color w:val="auto"/>
                <w:sz w:val="21"/>
                <w:highlight w:val="none"/>
              </w:rPr>
            </w:pPr>
          </w:p>
        </w:tc>
        <w:tc>
          <w:tcPr>
            <w:tcW w:w="1679" w:type="dxa"/>
            <w:vAlign w:val="top"/>
          </w:tcPr>
          <w:p w14:paraId="57916E5E">
            <w:pPr>
              <w:pStyle w:val="18"/>
              <w:spacing w:before="35" w:line="358" w:lineRule="auto"/>
              <w:ind w:left="533" w:right="209" w:hanging="315"/>
              <w:rPr>
                <w:color w:val="auto"/>
                <w:highlight w:val="none"/>
              </w:rPr>
            </w:pPr>
            <w:r>
              <w:rPr>
                <w:color w:val="auto"/>
                <w:spacing w:val="7"/>
                <w:highlight w:val="none"/>
              </w:rPr>
              <w:t>与评标办法规</w:t>
            </w:r>
            <w:r>
              <w:rPr>
                <w:color w:val="auto"/>
                <w:spacing w:val="5"/>
                <w:highlight w:val="none"/>
              </w:rPr>
              <w:t>定一致</w:t>
            </w:r>
          </w:p>
        </w:tc>
        <w:tc>
          <w:tcPr>
            <w:tcW w:w="1221" w:type="dxa"/>
            <w:vAlign w:val="top"/>
          </w:tcPr>
          <w:p w14:paraId="4EFAB887">
            <w:pPr>
              <w:rPr>
                <w:rFonts w:ascii="Arial"/>
                <w:color w:val="auto"/>
                <w:sz w:val="21"/>
                <w:highlight w:val="none"/>
              </w:rPr>
            </w:pPr>
          </w:p>
        </w:tc>
        <w:tc>
          <w:tcPr>
            <w:tcW w:w="1392" w:type="dxa"/>
            <w:vAlign w:val="top"/>
          </w:tcPr>
          <w:p w14:paraId="51082A09">
            <w:pPr>
              <w:rPr>
                <w:rFonts w:ascii="Arial"/>
                <w:color w:val="auto"/>
                <w:sz w:val="21"/>
                <w:highlight w:val="none"/>
              </w:rPr>
            </w:pPr>
          </w:p>
        </w:tc>
        <w:tc>
          <w:tcPr>
            <w:tcW w:w="1569" w:type="dxa"/>
            <w:vAlign w:val="top"/>
          </w:tcPr>
          <w:p w14:paraId="101F37EA">
            <w:pPr>
              <w:rPr>
                <w:rFonts w:ascii="Arial"/>
                <w:color w:val="auto"/>
                <w:sz w:val="21"/>
                <w:highlight w:val="none"/>
              </w:rPr>
            </w:pPr>
          </w:p>
        </w:tc>
      </w:tr>
      <w:tr w14:paraId="198793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5" w:hRule="atLeast"/>
        </w:trPr>
        <w:tc>
          <w:tcPr>
            <w:tcW w:w="815" w:type="dxa"/>
            <w:tcBorders>
              <w:right w:val="nil"/>
            </w:tcBorders>
            <w:vAlign w:val="top"/>
          </w:tcPr>
          <w:p w14:paraId="02D2458A">
            <w:pPr>
              <w:rPr>
                <w:rFonts w:ascii="Arial"/>
                <w:color w:val="auto"/>
                <w:sz w:val="21"/>
                <w:highlight w:val="none"/>
              </w:rPr>
            </w:pPr>
          </w:p>
        </w:tc>
        <w:tc>
          <w:tcPr>
            <w:tcW w:w="1359" w:type="dxa"/>
            <w:tcBorders>
              <w:left w:val="nil"/>
            </w:tcBorders>
            <w:vAlign w:val="top"/>
          </w:tcPr>
          <w:p w14:paraId="4AB3CCAA">
            <w:pPr>
              <w:spacing w:line="246" w:lineRule="auto"/>
              <w:rPr>
                <w:rFonts w:ascii="Arial"/>
                <w:color w:val="auto"/>
                <w:sz w:val="21"/>
                <w:highlight w:val="none"/>
              </w:rPr>
            </w:pPr>
          </w:p>
          <w:p w14:paraId="469379AE">
            <w:pPr>
              <w:pStyle w:val="18"/>
              <w:spacing w:before="65" w:line="229" w:lineRule="auto"/>
              <w:ind w:left="71"/>
              <w:rPr>
                <w:color w:val="auto"/>
                <w:highlight w:val="none"/>
              </w:rPr>
            </w:pPr>
            <w:r>
              <w:rPr>
                <w:color w:val="auto"/>
                <w:spacing w:val="4"/>
                <w:highlight w:val="none"/>
              </w:rPr>
              <w:t>合计</w:t>
            </w:r>
          </w:p>
        </w:tc>
        <w:tc>
          <w:tcPr>
            <w:tcW w:w="911" w:type="dxa"/>
            <w:vAlign w:val="top"/>
          </w:tcPr>
          <w:p w14:paraId="0D1F6632">
            <w:pPr>
              <w:rPr>
                <w:rFonts w:ascii="Arial"/>
                <w:color w:val="auto"/>
                <w:sz w:val="21"/>
                <w:highlight w:val="none"/>
              </w:rPr>
            </w:pPr>
          </w:p>
        </w:tc>
        <w:tc>
          <w:tcPr>
            <w:tcW w:w="1679" w:type="dxa"/>
            <w:vAlign w:val="top"/>
          </w:tcPr>
          <w:p w14:paraId="2AC3BE6F">
            <w:pPr>
              <w:spacing w:line="343" w:lineRule="auto"/>
              <w:rPr>
                <w:rFonts w:ascii="Arial"/>
                <w:color w:val="auto"/>
                <w:sz w:val="21"/>
                <w:highlight w:val="none"/>
              </w:rPr>
            </w:pPr>
          </w:p>
          <w:p w14:paraId="53F2A3D9">
            <w:pPr>
              <w:pStyle w:val="18"/>
              <w:spacing w:before="65" w:line="136" w:lineRule="exact"/>
              <w:ind w:left="793"/>
              <w:rPr>
                <w:color w:val="auto"/>
                <w:highlight w:val="none"/>
              </w:rPr>
            </w:pPr>
            <w:r>
              <w:rPr>
                <w:color w:val="auto"/>
                <w:position w:val="-3"/>
                <w:highlight w:val="none"/>
              </w:rPr>
              <w:t>-</w:t>
            </w:r>
          </w:p>
        </w:tc>
        <w:tc>
          <w:tcPr>
            <w:tcW w:w="1221" w:type="dxa"/>
            <w:vAlign w:val="top"/>
          </w:tcPr>
          <w:p w14:paraId="7D9277A0">
            <w:pPr>
              <w:rPr>
                <w:rFonts w:ascii="Arial"/>
                <w:color w:val="auto"/>
                <w:sz w:val="21"/>
                <w:highlight w:val="none"/>
              </w:rPr>
            </w:pPr>
          </w:p>
        </w:tc>
        <w:tc>
          <w:tcPr>
            <w:tcW w:w="1392" w:type="dxa"/>
            <w:tcBorders>
              <w:right w:val="nil"/>
            </w:tcBorders>
            <w:vAlign w:val="top"/>
          </w:tcPr>
          <w:p w14:paraId="6E332EBE">
            <w:pPr>
              <w:rPr>
                <w:rFonts w:ascii="Arial"/>
                <w:color w:val="auto"/>
                <w:sz w:val="21"/>
                <w:highlight w:val="none"/>
              </w:rPr>
            </w:pPr>
          </w:p>
        </w:tc>
        <w:tc>
          <w:tcPr>
            <w:tcW w:w="1569" w:type="dxa"/>
            <w:tcBorders>
              <w:left w:val="nil"/>
            </w:tcBorders>
            <w:vAlign w:val="top"/>
          </w:tcPr>
          <w:p w14:paraId="47ECC115">
            <w:pPr>
              <w:spacing w:line="343" w:lineRule="auto"/>
              <w:rPr>
                <w:rFonts w:ascii="Arial"/>
                <w:color w:val="auto"/>
                <w:sz w:val="21"/>
                <w:highlight w:val="none"/>
              </w:rPr>
            </w:pPr>
          </w:p>
          <w:p w14:paraId="183F465F">
            <w:pPr>
              <w:pStyle w:val="18"/>
              <w:spacing w:before="65" w:line="136" w:lineRule="exact"/>
              <w:ind w:left="41"/>
              <w:rPr>
                <w:color w:val="auto"/>
                <w:highlight w:val="none"/>
              </w:rPr>
            </w:pPr>
            <w:r>
              <w:rPr>
                <w:color w:val="auto"/>
                <w:position w:val="-3"/>
                <w:highlight w:val="none"/>
              </w:rPr>
              <w:t>-</w:t>
            </w:r>
          </w:p>
        </w:tc>
      </w:tr>
    </w:tbl>
    <w:p w14:paraId="07DB1243">
      <w:pPr>
        <w:spacing w:line="373" w:lineRule="auto"/>
        <w:rPr>
          <w:rFonts w:ascii="Arial"/>
          <w:color w:val="auto"/>
          <w:sz w:val="21"/>
          <w:highlight w:val="none"/>
        </w:rPr>
      </w:pPr>
    </w:p>
    <w:p w14:paraId="40EE5A24">
      <w:pPr>
        <w:spacing w:before="65" w:line="227" w:lineRule="auto"/>
        <w:ind w:left="4202"/>
        <w:rPr>
          <w:rFonts w:ascii="宋体" w:hAnsi="宋体" w:eastAsia="宋体" w:cs="宋体"/>
          <w:color w:val="auto"/>
          <w:sz w:val="20"/>
          <w:szCs w:val="20"/>
          <w:highlight w:val="none"/>
        </w:rPr>
      </w:pPr>
      <w:r>
        <w:rPr>
          <w:rFonts w:ascii="宋体" w:hAnsi="宋体" w:eastAsia="宋体" w:cs="宋体"/>
          <w:color w:val="auto"/>
          <w:spacing w:val="3"/>
          <w:sz w:val="20"/>
          <w:szCs w:val="20"/>
          <w:highlight w:val="none"/>
        </w:rPr>
        <w:t>投标人：</w:t>
      </w:r>
      <w:r>
        <w:rPr>
          <w:rFonts w:ascii="宋体" w:hAnsi="宋体" w:eastAsia="宋体" w:cs="宋体"/>
          <w:color w:val="auto"/>
          <w:sz w:val="20"/>
          <w:szCs w:val="20"/>
          <w:highlight w:val="none"/>
          <w:u w:val="single" w:color="auto"/>
        </w:rPr>
        <w:t xml:space="preserve">                       </w:t>
      </w:r>
      <w:r>
        <w:rPr>
          <w:rFonts w:ascii="宋体" w:hAnsi="宋体" w:eastAsia="宋体" w:cs="宋体"/>
          <w:color w:val="auto"/>
          <w:spacing w:val="-41"/>
          <w:sz w:val="20"/>
          <w:szCs w:val="20"/>
          <w:highlight w:val="none"/>
        </w:rPr>
        <w:t xml:space="preserve"> </w:t>
      </w:r>
      <w:r>
        <w:rPr>
          <w:rFonts w:ascii="宋体" w:hAnsi="宋体" w:eastAsia="宋体" w:cs="宋体"/>
          <w:color w:val="auto"/>
          <w:spacing w:val="3"/>
          <w:sz w:val="20"/>
          <w:szCs w:val="20"/>
          <w:highlight w:val="none"/>
        </w:rPr>
        <w:t>(盖单位章)</w:t>
      </w:r>
    </w:p>
    <w:p w14:paraId="7AEA79CE">
      <w:pPr>
        <w:spacing w:line="250" w:lineRule="auto"/>
        <w:rPr>
          <w:rFonts w:ascii="Arial"/>
          <w:color w:val="auto"/>
          <w:sz w:val="21"/>
          <w:highlight w:val="none"/>
        </w:rPr>
      </w:pPr>
    </w:p>
    <w:p w14:paraId="59247BF4">
      <w:pPr>
        <w:spacing w:line="251" w:lineRule="auto"/>
        <w:rPr>
          <w:rFonts w:ascii="Arial"/>
          <w:color w:val="auto"/>
          <w:sz w:val="21"/>
          <w:highlight w:val="none"/>
        </w:rPr>
      </w:pPr>
    </w:p>
    <w:p w14:paraId="7D21530B">
      <w:pPr>
        <w:spacing w:before="65" w:line="228" w:lineRule="auto"/>
        <w:ind w:left="4200"/>
        <w:outlineLvl w:val="1"/>
        <w:rPr>
          <w:rFonts w:ascii="宋体" w:hAnsi="宋体" w:eastAsia="宋体" w:cs="宋体"/>
          <w:color w:val="auto"/>
          <w:sz w:val="20"/>
          <w:szCs w:val="20"/>
          <w:highlight w:val="none"/>
        </w:rPr>
      </w:pPr>
      <w:bookmarkStart w:id="466" w:name="_Toc21754"/>
      <w:bookmarkStart w:id="467" w:name="_Toc29051"/>
      <w:bookmarkStart w:id="468" w:name="_Toc11736"/>
      <w:bookmarkStart w:id="469" w:name="_Toc29955"/>
      <w:bookmarkStart w:id="470" w:name="_Toc28833"/>
      <w:bookmarkStart w:id="471" w:name="_Toc31403"/>
      <w:bookmarkStart w:id="472" w:name="_Toc14586"/>
      <w:r>
        <w:rPr>
          <w:rFonts w:ascii="宋体" w:hAnsi="宋体" w:eastAsia="宋体" w:cs="宋体"/>
          <w:color w:val="auto"/>
          <w:spacing w:val="9"/>
          <w:sz w:val="20"/>
          <w:szCs w:val="20"/>
          <w:highlight w:val="none"/>
        </w:rPr>
        <w:t>法定代表人（或被授权人）签名：</w:t>
      </w:r>
      <w:bookmarkEnd w:id="466"/>
      <w:bookmarkEnd w:id="467"/>
      <w:bookmarkEnd w:id="468"/>
      <w:bookmarkEnd w:id="469"/>
      <w:bookmarkEnd w:id="470"/>
      <w:bookmarkEnd w:id="471"/>
      <w:bookmarkEnd w:id="472"/>
      <w:r>
        <w:rPr>
          <w:rFonts w:ascii="宋体" w:hAnsi="宋体" w:eastAsia="宋体" w:cs="宋体"/>
          <w:color w:val="auto"/>
          <w:sz w:val="20"/>
          <w:szCs w:val="20"/>
          <w:highlight w:val="none"/>
          <w:u w:val="single" w:color="auto"/>
        </w:rPr>
        <w:t xml:space="preserve">            </w:t>
      </w:r>
    </w:p>
    <w:p w14:paraId="7E30DEA6">
      <w:pPr>
        <w:spacing w:line="228" w:lineRule="auto"/>
        <w:rPr>
          <w:rFonts w:ascii="宋体" w:hAnsi="宋体" w:eastAsia="宋体" w:cs="宋体"/>
          <w:color w:val="auto"/>
          <w:sz w:val="20"/>
          <w:szCs w:val="20"/>
          <w:highlight w:val="none"/>
        </w:rPr>
        <w:sectPr>
          <w:footerReference r:id="rId101" w:type="default"/>
          <w:pgSz w:w="11906" w:h="16839"/>
          <w:pgMar w:top="1403" w:right="1477" w:bottom="1297" w:left="1477" w:header="0" w:footer="1067" w:gutter="0"/>
          <w:pgNumType w:fmt="decimal"/>
          <w:cols w:space="720" w:num="1"/>
        </w:sectPr>
      </w:pPr>
    </w:p>
    <w:p w14:paraId="107D23AB">
      <w:pPr>
        <w:spacing w:before="163" w:line="219" w:lineRule="auto"/>
        <w:ind w:left="3694"/>
        <w:rPr>
          <w:rFonts w:ascii="宋体" w:hAnsi="宋体" w:eastAsia="宋体" w:cs="宋体"/>
          <w:color w:val="auto"/>
          <w:sz w:val="24"/>
          <w:szCs w:val="24"/>
          <w:highlight w:val="none"/>
        </w:rPr>
      </w:pPr>
      <w:r>
        <w:rPr>
          <w:rFonts w:ascii="宋体" w:hAnsi="宋体" w:eastAsia="宋体" w:cs="宋体"/>
          <w:b/>
          <w:bCs/>
          <w:color w:val="auto"/>
          <w:spacing w:val="-4"/>
          <w:sz w:val="24"/>
          <w:szCs w:val="24"/>
          <w:highlight w:val="none"/>
        </w:rPr>
        <w:t>七、技术建议书</w:t>
      </w:r>
    </w:p>
    <w:p w14:paraId="5EA98D90">
      <w:pPr>
        <w:spacing w:line="260" w:lineRule="auto"/>
        <w:rPr>
          <w:rFonts w:ascii="Arial"/>
          <w:color w:val="auto"/>
          <w:sz w:val="21"/>
          <w:highlight w:val="none"/>
        </w:rPr>
      </w:pPr>
    </w:p>
    <w:p w14:paraId="4E6D672C">
      <w:pPr>
        <w:spacing w:line="261" w:lineRule="auto"/>
        <w:rPr>
          <w:rFonts w:ascii="Arial"/>
          <w:color w:val="auto"/>
          <w:sz w:val="21"/>
          <w:highlight w:val="none"/>
        </w:rPr>
      </w:pPr>
    </w:p>
    <w:p w14:paraId="4D43CD5B">
      <w:pPr>
        <w:spacing w:line="261" w:lineRule="auto"/>
        <w:rPr>
          <w:rFonts w:ascii="Arial"/>
          <w:color w:val="auto"/>
          <w:sz w:val="21"/>
          <w:highlight w:val="none"/>
        </w:rPr>
      </w:pPr>
    </w:p>
    <w:p w14:paraId="281C7E29">
      <w:pPr>
        <w:spacing w:before="78" w:line="219" w:lineRule="auto"/>
        <w:ind w:left="499"/>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1. 工程概述：主要对拟投监理标段的工程总体概况进行简单描述。</w:t>
      </w:r>
    </w:p>
    <w:p w14:paraId="3BB53B74">
      <w:pPr>
        <w:spacing w:before="153" w:line="279" w:lineRule="auto"/>
        <w:ind w:left="2" w:firstLine="481"/>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2. 监理工作范围：依据监理合同中约定的监</w:t>
      </w:r>
      <w:r>
        <w:rPr>
          <w:rFonts w:ascii="宋体" w:hAnsi="宋体" w:eastAsia="宋体" w:cs="宋体"/>
          <w:color w:val="auto"/>
          <w:spacing w:val="1"/>
          <w:sz w:val="24"/>
          <w:szCs w:val="24"/>
          <w:highlight w:val="none"/>
        </w:rPr>
        <w:t>理服务的要求和范围，对拟投监理标</w:t>
      </w:r>
      <w:r>
        <w:rPr>
          <w:rFonts w:ascii="宋体" w:hAnsi="宋体" w:eastAsia="宋体" w:cs="宋体"/>
          <w:color w:val="auto"/>
          <w:spacing w:val="-1"/>
          <w:sz w:val="24"/>
          <w:szCs w:val="24"/>
          <w:highlight w:val="none"/>
        </w:rPr>
        <w:t>段的监理工作安排、主要监理人员的岗位职责进行必要的阐述。</w:t>
      </w:r>
    </w:p>
    <w:p w14:paraId="2831158A">
      <w:pPr>
        <w:spacing w:before="157" w:line="279" w:lineRule="auto"/>
        <w:ind w:left="5" w:firstLine="480"/>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3. 现场监理机构设置与人员安排：通过</w:t>
      </w:r>
      <w:r>
        <w:rPr>
          <w:rFonts w:ascii="宋体" w:hAnsi="宋体" w:eastAsia="宋体" w:cs="宋体"/>
          <w:color w:val="auto"/>
          <w:spacing w:val="1"/>
          <w:sz w:val="24"/>
          <w:szCs w:val="24"/>
          <w:highlight w:val="none"/>
        </w:rPr>
        <w:t>框图形式，明确拟投监理标段的组织机构</w:t>
      </w:r>
      <w:r>
        <w:rPr>
          <w:rFonts w:ascii="宋体" w:hAnsi="宋体" w:eastAsia="宋体" w:cs="宋体"/>
          <w:color w:val="auto"/>
          <w:spacing w:val="-5"/>
          <w:sz w:val="24"/>
          <w:szCs w:val="24"/>
          <w:highlight w:val="none"/>
        </w:rPr>
        <w:t>设置。</w:t>
      </w:r>
    </w:p>
    <w:p w14:paraId="553910ED">
      <w:pPr>
        <w:spacing w:before="152" w:line="279" w:lineRule="auto"/>
        <w:ind w:left="2" w:firstLine="478"/>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4. 监理仪器、设备和设施的配备：投标人根据拟投监</w:t>
      </w:r>
      <w:r>
        <w:rPr>
          <w:rFonts w:ascii="宋体" w:hAnsi="宋体" w:eastAsia="宋体" w:cs="宋体"/>
          <w:color w:val="auto"/>
          <w:spacing w:val="1"/>
          <w:sz w:val="24"/>
          <w:szCs w:val="24"/>
          <w:highlight w:val="none"/>
        </w:rPr>
        <w:t>理标段的现场工作需要，对</w:t>
      </w:r>
      <w:r>
        <w:rPr>
          <w:rFonts w:ascii="宋体" w:hAnsi="宋体" w:eastAsia="宋体" w:cs="宋体"/>
          <w:color w:val="auto"/>
          <w:spacing w:val="-1"/>
          <w:sz w:val="24"/>
          <w:szCs w:val="24"/>
          <w:highlight w:val="none"/>
        </w:rPr>
        <w:t>其拟投入本工程的监理仪器、设备和设施的配备等情况作简要介绍。</w:t>
      </w:r>
    </w:p>
    <w:p w14:paraId="02E814F7">
      <w:pPr>
        <w:spacing w:before="153" w:line="299" w:lineRule="auto"/>
        <w:ind w:firstLine="486"/>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5. 监理工作程序：结合监理工作的阶段</w:t>
      </w:r>
      <w:r>
        <w:rPr>
          <w:rFonts w:ascii="宋体" w:hAnsi="宋体" w:eastAsia="宋体" w:cs="宋体"/>
          <w:color w:val="auto"/>
          <w:spacing w:val="1"/>
          <w:sz w:val="24"/>
          <w:szCs w:val="24"/>
          <w:highlight w:val="none"/>
        </w:rPr>
        <w:t>划分，对工程质量控制、进度控制、施工</w:t>
      </w:r>
      <w:r>
        <w:rPr>
          <w:rFonts w:ascii="宋体" w:hAnsi="宋体" w:eastAsia="宋体" w:cs="宋体"/>
          <w:color w:val="auto"/>
          <w:spacing w:val="5"/>
          <w:sz w:val="24"/>
          <w:szCs w:val="24"/>
          <w:highlight w:val="none"/>
        </w:rPr>
        <w:t>安全控制、施工环境保护、费用控制、合同及其他事项管理、文件资料管理等方</w:t>
      </w:r>
      <w:r>
        <w:rPr>
          <w:rFonts w:ascii="宋体" w:hAnsi="宋体" w:eastAsia="宋体" w:cs="宋体"/>
          <w:color w:val="auto"/>
          <w:spacing w:val="4"/>
          <w:sz w:val="24"/>
          <w:szCs w:val="24"/>
          <w:highlight w:val="none"/>
        </w:rPr>
        <w:t>面，</w:t>
      </w:r>
      <w:r>
        <w:rPr>
          <w:rFonts w:ascii="宋体" w:hAnsi="宋体" w:eastAsia="宋体" w:cs="宋体"/>
          <w:color w:val="auto"/>
          <w:spacing w:val="-1"/>
          <w:sz w:val="24"/>
          <w:szCs w:val="24"/>
          <w:highlight w:val="none"/>
        </w:rPr>
        <w:t>进行监理工作的方法与流程的简要阐述。</w:t>
      </w:r>
    </w:p>
    <w:p w14:paraId="018E418A">
      <w:pPr>
        <w:spacing w:before="154" w:line="279" w:lineRule="auto"/>
        <w:ind w:firstLine="482"/>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6. 监理大纲（或监理方案）和措施（包含《广</w:t>
      </w:r>
      <w:r>
        <w:rPr>
          <w:rFonts w:ascii="宋体" w:hAnsi="宋体" w:eastAsia="宋体" w:cs="宋体"/>
          <w:color w:val="auto"/>
          <w:spacing w:val="1"/>
          <w:sz w:val="24"/>
          <w:szCs w:val="24"/>
          <w:highlight w:val="none"/>
        </w:rPr>
        <w:t>东省公路工程施工标准化指南》中</w:t>
      </w:r>
      <w:r>
        <w:rPr>
          <w:rFonts w:ascii="宋体" w:hAnsi="宋体" w:eastAsia="宋体" w:cs="宋体"/>
          <w:color w:val="auto"/>
          <w:spacing w:val="-1"/>
          <w:sz w:val="24"/>
          <w:szCs w:val="24"/>
          <w:highlight w:val="none"/>
        </w:rPr>
        <w:t>对监理的要求执行方案）。</w:t>
      </w:r>
    </w:p>
    <w:p w14:paraId="46E058B1">
      <w:pPr>
        <w:spacing w:before="156" w:line="279" w:lineRule="auto"/>
        <w:ind w:left="4" w:firstLine="482"/>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7. 本工程监理工作的重点与难点分析：根据招标文件及现场考察，对本工程监理</w:t>
      </w:r>
      <w:r>
        <w:rPr>
          <w:rFonts w:ascii="宋体" w:hAnsi="宋体" w:eastAsia="宋体" w:cs="宋体"/>
          <w:color w:val="auto"/>
          <w:spacing w:val="-1"/>
          <w:sz w:val="24"/>
          <w:szCs w:val="24"/>
          <w:highlight w:val="none"/>
        </w:rPr>
        <w:t>工作需要特别给予重视的问题逐一论述并给出解决方法。</w:t>
      </w:r>
    </w:p>
    <w:p w14:paraId="2DA6BB83">
      <w:pPr>
        <w:spacing w:before="154" w:line="279" w:lineRule="auto"/>
        <w:ind w:right="58" w:firstLine="481"/>
        <w:rPr>
          <w:rFonts w:ascii="宋体" w:hAnsi="宋体" w:eastAsia="宋体" w:cs="宋体"/>
          <w:color w:val="auto"/>
          <w:sz w:val="24"/>
          <w:szCs w:val="24"/>
          <w:highlight w:val="none"/>
        </w:rPr>
      </w:pPr>
      <w:r>
        <w:rPr>
          <w:rFonts w:ascii="宋体" w:hAnsi="宋体" w:eastAsia="宋体" w:cs="宋体"/>
          <w:color w:val="auto"/>
          <w:sz w:val="24"/>
          <w:szCs w:val="24"/>
          <w:highlight w:val="none"/>
        </w:rPr>
        <w:t>8. 对本工程建议：为更好地完成本工程的监理工作，监理人可根据以往的经验，</w:t>
      </w:r>
      <w:r>
        <w:rPr>
          <w:rFonts w:ascii="宋体" w:hAnsi="宋体" w:eastAsia="宋体" w:cs="宋体"/>
          <w:color w:val="auto"/>
          <w:spacing w:val="-1"/>
          <w:sz w:val="24"/>
          <w:szCs w:val="24"/>
          <w:highlight w:val="none"/>
        </w:rPr>
        <w:t>对本工程监理工作提出建议。</w:t>
      </w:r>
    </w:p>
    <w:p w14:paraId="2EA6D874">
      <w:pPr>
        <w:spacing w:line="279" w:lineRule="auto"/>
        <w:rPr>
          <w:rFonts w:ascii="宋体" w:hAnsi="宋体" w:eastAsia="宋体" w:cs="宋体"/>
          <w:color w:val="auto"/>
          <w:sz w:val="24"/>
          <w:szCs w:val="24"/>
          <w:highlight w:val="none"/>
        </w:rPr>
        <w:sectPr>
          <w:footerReference r:id="rId102" w:type="default"/>
          <w:pgSz w:w="11906" w:h="16839"/>
          <w:pgMar w:top="1431" w:right="1418" w:bottom="1297" w:left="1423" w:header="0" w:footer="1066" w:gutter="0"/>
          <w:pgNumType w:fmt="decimal"/>
          <w:cols w:space="720" w:num="1"/>
        </w:sectPr>
      </w:pPr>
    </w:p>
    <w:p w14:paraId="55AE4A6F">
      <w:pPr>
        <w:spacing w:line="316" w:lineRule="auto"/>
        <w:rPr>
          <w:rFonts w:ascii="Arial"/>
          <w:color w:val="auto"/>
          <w:sz w:val="21"/>
          <w:highlight w:val="none"/>
        </w:rPr>
      </w:pPr>
    </w:p>
    <w:p w14:paraId="458E1030">
      <w:pPr>
        <w:spacing w:line="316" w:lineRule="auto"/>
        <w:rPr>
          <w:rFonts w:ascii="Arial"/>
          <w:color w:val="auto"/>
          <w:sz w:val="21"/>
          <w:highlight w:val="none"/>
        </w:rPr>
      </w:pPr>
    </w:p>
    <w:p w14:paraId="48D0CA50">
      <w:pPr>
        <w:spacing w:before="130" w:line="220" w:lineRule="auto"/>
        <w:ind w:left="3581"/>
        <w:rPr>
          <w:rFonts w:ascii="宋体" w:hAnsi="宋体" w:eastAsia="宋体" w:cs="宋体"/>
          <w:color w:val="auto"/>
          <w:sz w:val="40"/>
          <w:szCs w:val="40"/>
          <w:highlight w:val="none"/>
        </w:rPr>
      </w:pPr>
      <w:r>
        <w:rPr>
          <w:rFonts w:ascii="宋体" w:hAnsi="宋体" w:eastAsia="宋体" w:cs="宋体"/>
          <w:color w:val="auto"/>
          <w:spacing w:val="-5"/>
          <w:sz w:val="40"/>
          <w:szCs w:val="40"/>
          <w:highlight w:val="none"/>
        </w:rPr>
        <w:t>广东省</w:t>
      </w:r>
    </w:p>
    <w:p w14:paraId="7EB85494">
      <w:pPr>
        <w:spacing w:line="364" w:lineRule="auto"/>
        <w:rPr>
          <w:rFonts w:ascii="Arial"/>
          <w:color w:val="auto"/>
          <w:sz w:val="21"/>
          <w:highlight w:val="none"/>
        </w:rPr>
      </w:pPr>
    </w:p>
    <w:p w14:paraId="07702FBD">
      <w:pPr>
        <w:tabs>
          <w:tab w:val="left" w:pos="1593"/>
        </w:tabs>
        <w:spacing w:before="130" w:line="221" w:lineRule="auto"/>
        <w:ind w:left="1367"/>
        <w:rPr>
          <w:rFonts w:ascii="宋体" w:hAnsi="宋体" w:eastAsia="宋体" w:cs="宋体"/>
          <w:color w:val="auto"/>
          <w:sz w:val="40"/>
          <w:szCs w:val="40"/>
          <w:highlight w:val="none"/>
        </w:rPr>
      </w:pPr>
      <w:r>
        <w:rPr>
          <w:rFonts w:ascii="宋体" w:hAnsi="宋体" w:eastAsia="宋体" w:cs="宋体"/>
          <w:color w:val="auto"/>
          <w:sz w:val="40"/>
          <w:szCs w:val="40"/>
          <w:highlight w:val="none"/>
          <w:u w:val="single" w:color="auto"/>
        </w:rPr>
        <w:tab/>
      </w:r>
      <w:r>
        <w:rPr>
          <w:rFonts w:ascii="宋体" w:hAnsi="宋体" w:eastAsia="宋体" w:cs="宋体"/>
          <w:color w:val="auto"/>
          <w:spacing w:val="-16"/>
          <w:sz w:val="40"/>
          <w:szCs w:val="40"/>
          <w:highlight w:val="none"/>
          <w:u w:val="single" w:color="auto"/>
        </w:rPr>
        <w:t xml:space="preserve">（项目名称）  </w:t>
      </w:r>
      <w:r>
        <w:rPr>
          <w:rFonts w:ascii="宋体" w:hAnsi="宋体" w:eastAsia="宋体" w:cs="宋体"/>
          <w:color w:val="auto"/>
          <w:spacing w:val="-172"/>
          <w:sz w:val="40"/>
          <w:szCs w:val="40"/>
          <w:highlight w:val="none"/>
        </w:rPr>
        <w:t xml:space="preserve"> </w:t>
      </w:r>
      <w:r>
        <w:rPr>
          <w:rFonts w:ascii="宋体" w:hAnsi="宋体" w:eastAsia="宋体" w:cs="宋体"/>
          <w:color w:val="auto"/>
          <w:spacing w:val="-16"/>
          <w:sz w:val="40"/>
          <w:szCs w:val="40"/>
          <w:highlight w:val="none"/>
        </w:rPr>
        <w:t>标段施工监理招标</w:t>
      </w:r>
    </w:p>
    <w:p w14:paraId="3EDA4EA5">
      <w:pPr>
        <w:spacing w:line="272" w:lineRule="auto"/>
        <w:rPr>
          <w:rFonts w:ascii="Arial"/>
          <w:color w:val="auto"/>
          <w:sz w:val="21"/>
          <w:highlight w:val="none"/>
        </w:rPr>
      </w:pPr>
    </w:p>
    <w:p w14:paraId="6D072ACA">
      <w:pPr>
        <w:spacing w:line="272" w:lineRule="auto"/>
        <w:rPr>
          <w:rFonts w:ascii="Arial"/>
          <w:color w:val="auto"/>
          <w:sz w:val="21"/>
          <w:highlight w:val="none"/>
        </w:rPr>
      </w:pPr>
    </w:p>
    <w:p w14:paraId="2F8789E7">
      <w:pPr>
        <w:spacing w:line="272" w:lineRule="auto"/>
        <w:rPr>
          <w:rFonts w:ascii="Arial"/>
          <w:color w:val="auto"/>
          <w:sz w:val="21"/>
          <w:highlight w:val="none"/>
        </w:rPr>
      </w:pPr>
    </w:p>
    <w:p w14:paraId="0EC9BAC5">
      <w:pPr>
        <w:spacing w:line="272" w:lineRule="auto"/>
        <w:rPr>
          <w:rFonts w:ascii="Arial"/>
          <w:color w:val="auto"/>
          <w:sz w:val="21"/>
          <w:highlight w:val="none"/>
        </w:rPr>
      </w:pPr>
    </w:p>
    <w:p w14:paraId="03538BED">
      <w:pPr>
        <w:spacing w:line="272" w:lineRule="auto"/>
        <w:rPr>
          <w:rFonts w:ascii="Arial"/>
          <w:color w:val="auto"/>
          <w:sz w:val="21"/>
          <w:highlight w:val="none"/>
        </w:rPr>
      </w:pPr>
    </w:p>
    <w:p w14:paraId="67883DDB">
      <w:pPr>
        <w:spacing w:line="272" w:lineRule="auto"/>
        <w:rPr>
          <w:rFonts w:ascii="Arial"/>
          <w:color w:val="auto"/>
          <w:sz w:val="21"/>
          <w:highlight w:val="none"/>
        </w:rPr>
      </w:pPr>
    </w:p>
    <w:p w14:paraId="4941C20D">
      <w:pPr>
        <w:spacing w:before="139" w:line="223" w:lineRule="auto"/>
        <w:ind w:left="2642"/>
        <w:rPr>
          <w:rFonts w:ascii="宋体" w:hAnsi="宋体" w:eastAsia="宋体" w:cs="宋体"/>
          <w:color w:val="auto"/>
          <w:sz w:val="43"/>
          <w:szCs w:val="43"/>
          <w:highlight w:val="none"/>
        </w:rPr>
      </w:pPr>
      <w:r>
        <w:rPr>
          <w:rFonts w:ascii="宋体" w:hAnsi="宋体" w:eastAsia="宋体" w:cs="宋体"/>
          <w:b/>
          <w:bCs/>
          <w:color w:val="auto"/>
          <w:spacing w:val="-14"/>
          <w:sz w:val="43"/>
          <w:szCs w:val="43"/>
          <w:highlight w:val="none"/>
        </w:rPr>
        <w:t>投</w:t>
      </w:r>
      <w:r>
        <w:rPr>
          <w:rFonts w:ascii="宋体" w:hAnsi="宋体" w:eastAsia="宋体" w:cs="宋体"/>
          <w:color w:val="auto"/>
          <w:spacing w:val="17"/>
          <w:sz w:val="43"/>
          <w:szCs w:val="43"/>
          <w:highlight w:val="none"/>
        </w:rPr>
        <w:t xml:space="preserve">  </w:t>
      </w:r>
      <w:r>
        <w:rPr>
          <w:rFonts w:ascii="宋体" w:hAnsi="宋体" w:eastAsia="宋体" w:cs="宋体"/>
          <w:b/>
          <w:bCs/>
          <w:color w:val="auto"/>
          <w:spacing w:val="-14"/>
          <w:sz w:val="43"/>
          <w:szCs w:val="43"/>
          <w:highlight w:val="none"/>
        </w:rPr>
        <w:t>标</w:t>
      </w:r>
      <w:r>
        <w:rPr>
          <w:rFonts w:ascii="宋体" w:hAnsi="宋体" w:eastAsia="宋体" w:cs="宋体"/>
          <w:color w:val="auto"/>
          <w:spacing w:val="17"/>
          <w:sz w:val="43"/>
          <w:szCs w:val="43"/>
          <w:highlight w:val="none"/>
        </w:rPr>
        <w:t xml:space="preserve">  </w:t>
      </w:r>
      <w:r>
        <w:rPr>
          <w:rFonts w:ascii="宋体" w:hAnsi="宋体" w:eastAsia="宋体" w:cs="宋体"/>
          <w:b/>
          <w:bCs/>
          <w:color w:val="auto"/>
          <w:spacing w:val="-14"/>
          <w:sz w:val="43"/>
          <w:szCs w:val="43"/>
          <w:highlight w:val="none"/>
        </w:rPr>
        <w:t>文</w:t>
      </w:r>
      <w:r>
        <w:rPr>
          <w:rFonts w:ascii="宋体" w:hAnsi="宋体" w:eastAsia="宋体" w:cs="宋体"/>
          <w:color w:val="auto"/>
          <w:spacing w:val="15"/>
          <w:sz w:val="43"/>
          <w:szCs w:val="43"/>
          <w:highlight w:val="none"/>
        </w:rPr>
        <w:t xml:space="preserve">  </w:t>
      </w:r>
      <w:r>
        <w:rPr>
          <w:rFonts w:ascii="宋体" w:hAnsi="宋体" w:eastAsia="宋体" w:cs="宋体"/>
          <w:b/>
          <w:bCs/>
          <w:color w:val="auto"/>
          <w:spacing w:val="-14"/>
          <w:sz w:val="43"/>
          <w:szCs w:val="43"/>
          <w:highlight w:val="none"/>
        </w:rPr>
        <w:t>件</w:t>
      </w:r>
    </w:p>
    <w:p w14:paraId="5A6B6444">
      <w:pPr>
        <w:spacing w:before="320" w:line="223" w:lineRule="auto"/>
        <w:ind w:left="3229"/>
        <w:outlineLvl w:val="0"/>
        <w:rPr>
          <w:rFonts w:ascii="宋体" w:hAnsi="宋体" w:eastAsia="宋体" w:cs="宋体"/>
          <w:color w:val="auto"/>
          <w:sz w:val="31"/>
          <w:szCs w:val="31"/>
          <w:highlight w:val="none"/>
        </w:rPr>
      </w:pPr>
      <w:bookmarkStart w:id="473" w:name="_Toc19174"/>
      <w:bookmarkStart w:id="474" w:name="_Toc12916"/>
      <w:bookmarkStart w:id="475" w:name="_Toc2015"/>
      <w:bookmarkStart w:id="476" w:name="_Toc18581"/>
      <w:bookmarkStart w:id="477" w:name="_Toc4172"/>
      <w:bookmarkStart w:id="478" w:name="_Toc2989"/>
      <w:bookmarkStart w:id="479" w:name="_Toc21957"/>
      <w:r>
        <w:rPr>
          <w:rFonts w:ascii="宋体" w:hAnsi="宋体" w:eastAsia="宋体" w:cs="宋体"/>
          <w:b/>
          <w:bCs/>
          <w:color w:val="auto"/>
          <w:spacing w:val="1"/>
          <w:sz w:val="31"/>
          <w:szCs w:val="31"/>
          <w:highlight w:val="none"/>
        </w:rPr>
        <w:t>（报价文件）</w:t>
      </w:r>
      <w:bookmarkEnd w:id="473"/>
      <w:bookmarkEnd w:id="474"/>
      <w:bookmarkEnd w:id="475"/>
      <w:bookmarkEnd w:id="476"/>
      <w:bookmarkEnd w:id="477"/>
      <w:bookmarkEnd w:id="478"/>
      <w:bookmarkEnd w:id="479"/>
    </w:p>
    <w:p w14:paraId="58AC62E6">
      <w:pPr>
        <w:spacing w:line="241" w:lineRule="auto"/>
        <w:rPr>
          <w:rFonts w:ascii="Arial"/>
          <w:color w:val="auto"/>
          <w:sz w:val="21"/>
          <w:highlight w:val="none"/>
        </w:rPr>
      </w:pPr>
    </w:p>
    <w:p w14:paraId="4E0C0B26">
      <w:pPr>
        <w:spacing w:line="241" w:lineRule="auto"/>
        <w:rPr>
          <w:rFonts w:ascii="Arial"/>
          <w:color w:val="auto"/>
          <w:sz w:val="21"/>
          <w:highlight w:val="none"/>
        </w:rPr>
      </w:pPr>
    </w:p>
    <w:p w14:paraId="70D42568">
      <w:pPr>
        <w:spacing w:line="241" w:lineRule="auto"/>
        <w:rPr>
          <w:rFonts w:ascii="Arial"/>
          <w:color w:val="auto"/>
          <w:sz w:val="21"/>
          <w:highlight w:val="none"/>
        </w:rPr>
      </w:pPr>
    </w:p>
    <w:p w14:paraId="69C51BC9">
      <w:pPr>
        <w:spacing w:line="241" w:lineRule="auto"/>
        <w:rPr>
          <w:rFonts w:ascii="Arial"/>
          <w:color w:val="auto"/>
          <w:sz w:val="21"/>
          <w:highlight w:val="none"/>
        </w:rPr>
      </w:pPr>
    </w:p>
    <w:p w14:paraId="177A1AF0">
      <w:pPr>
        <w:spacing w:line="241" w:lineRule="auto"/>
        <w:rPr>
          <w:rFonts w:ascii="Arial"/>
          <w:color w:val="auto"/>
          <w:sz w:val="21"/>
          <w:highlight w:val="none"/>
        </w:rPr>
      </w:pPr>
    </w:p>
    <w:p w14:paraId="4ACA2341">
      <w:pPr>
        <w:spacing w:line="241" w:lineRule="auto"/>
        <w:rPr>
          <w:rFonts w:ascii="Arial"/>
          <w:color w:val="auto"/>
          <w:sz w:val="21"/>
          <w:highlight w:val="none"/>
        </w:rPr>
      </w:pPr>
    </w:p>
    <w:p w14:paraId="0641089C">
      <w:pPr>
        <w:spacing w:line="241" w:lineRule="auto"/>
        <w:rPr>
          <w:rFonts w:ascii="Arial"/>
          <w:color w:val="auto"/>
          <w:sz w:val="21"/>
          <w:highlight w:val="none"/>
        </w:rPr>
      </w:pPr>
    </w:p>
    <w:p w14:paraId="0B7C2AA7">
      <w:pPr>
        <w:spacing w:line="241" w:lineRule="auto"/>
        <w:rPr>
          <w:rFonts w:ascii="Arial"/>
          <w:color w:val="auto"/>
          <w:sz w:val="21"/>
          <w:highlight w:val="none"/>
        </w:rPr>
      </w:pPr>
    </w:p>
    <w:p w14:paraId="48B6E2AE">
      <w:pPr>
        <w:spacing w:line="241" w:lineRule="auto"/>
        <w:rPr>
          <w:rFonts w:ascii="Arial"/>
          <w:color w:val="auto"/>
          <w:sz w:val="21"/>
          <w:highlight w:val="none"/>
        </w:rPr>
      </w:pPr>
    </w:p>
    <w:p w14:paraId="784B3140">
      <w:pPr>
        <w:spacing w:line="241" w:lineRule="auto"/>
        <w:rPr>
          <w:rFonts w:ascii="Arial"/>
          <w:color w:val="auto"/>
          <w:sz w:val="21"/>
          <w:highlight w:val="none"/>
        </w:rPr>
      </w:pPr>
    </w:p>
    <w:p w14:paraId="6F5D2942">
      <w:pPr>
        <w:spacing w:line="241" w:lineRule="auto"/>
        <w:rPr>
          <w:rFonts w:ascii="Arial"/>
          <w:color w:val="auto"/>
          <w:sz w:val="21"/>
          <w:highlight w:val="none"/>
        </w:rPr>
      </w:pPr>
    </w:p>
    <w:p w14:paraId="5C0D2267">
      <w:pPr>
        <w:spacing w:line="241" w:lineRule="auto"/>
        <w:rPr>
          <w:rFonts w:ascii="Arial"/>
          <w:color w:val="auto"/>
          <w:sz w:val="21"/>
          <w:highlight w:val="none"/>
        </w:rPr>
      </w:pPr>
    </w:p>
    <w:p w14:paraId="1CF2ACA7">
      <w:pPr>
        <w:spacing w:line="241" w:lineRule="auto"/>
        <w:rPr>
          <w:rFonts w:ascii="Arial"/>
          <w:color w:val="auto"/>
          <w:sz w:val="21"/>
          <w:highlight w:val="none"/>
        </w:rPr>
      </w:pPr>
    </w:p>
    <w:p w14:paraId="1205286C">
      <w:pPr>
        <w:spacing w:line="241" w:lineRule="auto"/>
        <w:rPr>
          <w:rFonts w:ascii="Arial"/>
          <w:color w:val="auto"/>
          <w:sz w:val="21"/>
          <w:highlight w:val="none"/>
        </w:rPr>
      </w:pPr>
    </w:p>
    <w:p w14:paraId="182B09D8">
      <w:pPr>
        <w:spacing w:line="241" w:lineRule="auto"/>
        <w:rPr>
          <w:rFonts w:ascii="Arial"/>
          <w:color w:val="auto"/>
          <w:sz w:val="21"/>
          <w:highlight w:val="none"/>
        </w:rPr>
      </w:pPr>
    </w:p>
    <w:p w14:paraId="1FAA4BCE">
      <w:pPr>
        <w:spacing w:line="242" w:lineRule="auto"/>
        <w:rPr>
          <w:rFonts w:ascii="Arial"/>
          <w:color w:val="auto"/>
          <w:sz w:val="21"/>
          <w:highlight w:val="none"/>
        </w:rPr>
      </w:pPr>
    </w:p>
    <w:p w14:paraId="30AD7607">
      <w:pPr>
        <w:spacing w:line="242" w:lineRule="auto"/>
        <w:rPr>
          <w:rFonts w:ascii="Arial"/>
          <w:color w:val="auto"/>
          <w:sz w:val="21"/>
          <w:highlight w:val="none"/>
        </w:rPr>
      </w:pPr>
    </w:p>
    <w:p w14:paraId="18EB5C89">
      <w:pPr>
        <w:spacing w:line="242" w:lineRule="auto"/>
        <w:rPr>
          <w:rFonts w:ascii="Arial"/>
          <w:color w:val="auto"/>
          <w:sz w:val="21"/>
          <w:highlight w:val="none"/>
        </w:rPr>
      </w:pPr>
    </w:p>
    <w:p w14:paraId="3977A5B6">
      <w:pPr>
        <w:spacing w:line="242" w:lineRule="auto"/>
        <w:rPr>
          <w:rFonts w:ascii="Arial"/>
          <w:color w:val="auto"/>
          <w:sz w:val="21"/>
          <w:highlight w:val="none"/>
        </w:rPr>
      </w:pPr>
    </w:p>
    <w:p w14:paraId="5636A7D7">
      <w:pPr>
        <w:spacing w:line="242" w:lineRule="auto"/>
        <w:rPr>
          <w:rFonts w:ascii="Arial"/>
          <w:color w:val="auto"/>
          <w:sz w:val="21"/>
          <w:highlight w:val="none"/>
        </w:rPr>
      </w:pPr>
    </w:p>
    <w:p w14:paraId="08491432">
      <w:pPr>
        <w:spacing w:line="242" w:lineRule="auto"/>
        <w:rPr>
          <w:rFonts w:ascii="Arial"/>
          <w:color w:val="auto"/>
          <w:sz w:val="21"/>
          <w:highlight w:val="none"/>
        </w:rPr>
      </w:pPr>
    </w:p>
    <w:p w14:paraId="47646FCC">
      <w:pPr>
        <w:spacing w:line="242" w:lineRule="auto"/>
        <w:rPr>
          <w:rFonts w:ascii="Arial"/>
          <w:color w:val="auto"/>
          <w:sz w:val="21"/>
          <w:highlight w:val="none"/>
        </w:rPr>
      </w:pPr>
    </w:p>
    <w:p w14:paraId="2912827A">
      <w:pPr>
        <w:spacing w:line="242" w:lineRule="auto"/>
        <w:rPr>
          <w:rFonts w:ascii="Arial"/>
          <w:color w:val="auto"/>
          <w:sz w:val="21"/>
          <w:highlight w:val="none"/>
        </w:rPr>
      </w:pPr>
    </w:p>
    <w:p w14:paraId="613E8E40">
      <w:pPr>
        <w:spacing w:line="242" w:lineRule="auto"/>
        <w:rPr>
          <w:rFonts w:ascii="Arial"/>
          <w:color w:val="auto"/>
          <w:sz w:val="21"/>
          <w:highlight w:val="none"/>
        </w:rPr>
      </w:pPr>
    </w:p>
    <w:p w14:paraId="56924F25">
      <w:pPr>
        <w:spacing w:line="242" w:lineRule="auto"/>
        <w:rPr>
          <w:rFonts w:ascii="Arial"/>
          <w:color w:val="auto"/>
          <w:sz w:val="21"/>
          <w:highlight w:val="none"/>
        </w:rPr>
      </w:pPr>
    </w:p>
    <w:p w14:paraId="2BE26257">
      <w:pPr>
        <w:spacing w:line="242" w:lineRule="auto"/>
        <w:rPr>
          <w:rFonts w:ascii="Arial"/>
          <w:color w:val="auto"/>
          <w:sz w:val="21"/>
          <w:highlight w:val="none"/>
        </w:rPr>
      </w:pPr>
    </w:p>
    <w:p w14:paraId="2144214E">
      <w:pPr>
        <w:spacing w:before="92" w:line="219" w:lineRule="auto"/>
        <w:ind w:left="542"/>
        <w:rPr>
          <w:rFonts w:ascii="宋体" w:hAnsi="宋体" w:eastAsia="宋体" w:cs="宋体"/>
          <w:color w:val="auto"/>
          <w:sz w:val="28"/>
          <w:szCs w:val="28"/>
          <w:highlight w:val="none"/>
        </w:rPr>
      </w:pPr>
      <w:r>
        <w:rPr>
          <w:rFonts w:ascii="宋体" w:hAnsi="宋体" w:eastAsia="宋体" w:cs="宋体"/>
          <w:color w:val="auto"/>
          <w:spacing w:val="-5"/>
          <w:sz w:val="28"/>
          <w:szCs w:val="28"/>
          <w:highlight w:val="none"/>
        </w:rPr>
        <w:t>投标人：</w:t>
      </w:r>
      <w:r>
        <w:rPr>
          <w:rFonts w:ascii="宋体" w:hAnsi="宋体" w:eastAsia="宋体" w:cs="宋体"/>
          <w:color w:val="auto"/>
          <w:spacing w:val="-5"/>
          <w:sz w:val="28"/>
          <w:szCs w:val="28"/>
          <w:highlight w:val="none"/>
          <w:u w:val="single" w:color="auto"/>
        </w:rPr>
        <w:t xml:space="preserve">                                   </w:t>
      </w:r>
      <w:r>
        <w:rPr>
          <w:rFonts w:ascii="宋体" w:hAnsi="宋体" w:eastAsia="宋体" w:cs="宋体"/>
          <w:color w:val="auto"/>
          <w:spacing w:val="-70"/>
          <w:sz w:val="28"/>
          <w:szCs w:val="28"/>
          <w:highlight w:val="none"/>
        </w:rPr>
        <w:t xml:space="preserve"> </w:t>
      </w:r>
      <w:r>
        <w:rPr>
          <w:rFonts w:ascii="宋体" w:hAnsi="宋体" w:eastAsia="宋体" w:cs="宋体"/>
          <w:color w:val="auto"/>
          <w:spacing w:val="-5"/>
          <w:sz w:val="28"/>
          <w:szCs w:val="28"/>
          <w:highlight w:val="none"/>
        </w:rPr>
        <w:t>(盖单位章)</w:t>
      </w:r>
    </w:p>
    <w:p w14:paraId="15441540">
      <w:pPr>
        <w:spacing w:line="452" w:lineRule="auto"/>
        <w:rPr>
          <w:rFonts w:ascii="Arial"/>
          <w:color w:val="auto"/>
          <w:sz w:val="21"/>
          <w:highlight w:val="none"/>
        </w:rPr>
      </w:pPr>
    </w:p>
    <w:p w14:paraId="27841125">
      <w:pPr>
        <w:tabs>
          <w:tab w:val="left" w:pos="3117"/>
        </w:tabs>
        <w:spacing w:before="91" w:line="220" w:lineRule="auto"/>
        <w:ind w:left="1996"/>
        <w:rPr>
          <w:rFonts w:ascii="宋体" w:hAnsi="宋体" w:eastAsia="宋体" w:cs="宋体"/>
          <w:color w:val="auto"/>
          <w:sz w:val="28"/>
          <w:szCs w:val="28"/>
          <w:highlight w:val="none"/>
        </w:rPr>
      </w:pPr>
      <w:r>
        <w:rPr>
          <w:rFonts w:ascii="宋体" w:hAnsi="宋体" w:eastAsia="宋体" w:cs="宋体"/>
          <w:color w:val="auto"/>
          <w:sz w:val="28"/>
          <w:szCs w:val="28"/>
          <w:highlight w:val="none"/>
          <w:u w:val="single" w:color="auto"/>
        </w:rPr>
        <w:tab/>
      </w:r>
      <w:r>
        <w:rPr>
          <w:rFonts w:ascii="宋体" w:hAnsi="宋体" w:eastAsia="宋体" w:cs="宋体"/>
          <w:color w:val="auto"/>
          <w:spacing w:val="-127"/>
          <w:sz w:val="28"/>
          <w:szCs w:val="28"/>
          <w:highlight w:val="none"/>
        </w:rPr>
        <w:t xml:space="preserve"> </w:t>
      </w:r>
      <w:r>
        <w:rPr>
          <w:rFonts w:ascii="宋体" w:hAnsi="宋体" w:eastAsia="宋体" w:cs="宋体"/>
          <w:color w:val="auto"/>
          <w:spacing w:val="-10"/>
          <w:sz w:val="28"/>
          <w:szCs w:val="28"/>
          <w:highlight w:val="none"/>
        </w:rPr>
        <w:t>年</w:t>
      </w:r>
      <w:r>
        <w:rPr>
          <w:rFonts w:ascii="宋体" w:hAnsi="宋体" w:eastAsia="宋体" w:cs="宋体"/>
          <w:color w:val="auto"/>
          <w:spacing w:val="19"/>
          <w:sz w:val="28"/>
          <w:szCs w:val="28"/>
          <w:highlight w:val="none"/>
          <w:u w:val="single" w:color="auto"/>
        </w:rPr>
        <w:t xml:space="preserve">       </w:t>
      </w:r>
      <w:r>
        <w:rPr>
          <w:rFonts w:ascii="宋体" w:hAnsi="宋体" w:eastAsia="宋体" w:cs="宋体"/>
          <w:color w:val="auto"/>
          <w:spacing w:val="-117"/>
          <w:sz w:val="28"/>
          <w:szCs w:val="28"/>
          <w:highlight w:val="none"/>
        </w:rPr>
        <w:t xml:space="preserve"> </w:t>
      </w:r>
      <w:r>
        <w:rPr>
          <w:rFonts w:ascii="宋体" w:hAnsi="宋体" w:eastAsia="宋体" w:cs="宋体"/>
          <w:color w:val="auto"/>
          <w:spacing w:val="-10"/>
          <w:sz w:val="28"/>
          <w:szCs w:val="28"/>
          <w:highlight w:val="none"/>
        </w:rPr>
        <w:t>月</w:t>
      </w:r>
      <w:r>
        <w:rPr>
          <w:rFonts w:ascii="宋体" w:hAnsi="宋体" w:eastAsia="宋体" w:cs="宋体"/>
          <w:color w:val="auto"/>
          <w:spacing w:val="17"/>
          <w:sz w:val="28"/>
          <w:szCs w:val="28"/>
          <w:highlight w:val="none"/>
          <w:u w:val="single" w:color="auto"/>
        </w:rPr>
        <w:t xml:space="preserve">        </w:t>
      </w:r>
      <w:r>
        <w:rPr>
          <w:rFonts w:ascii="宋体" w:hAnsi="宋体" w:eastAsia="宋体" w:cs="宋体"/>
          <w:color w:val="auto"/>
          <w:spacing w:val="-77"/>
          <w:sz w:val="28"/>
          <w:szCs w:val="28"/>
          <w:highlight w:val="none"/>
        </w:rPr>
        <w:t xml:space="preserve"> </w:t>
      </w:r>
      <w:r>
        <w:rPr>
          <w:rFonts w:ascii="宋体" w:hAnsi="宋体" w:eastAsia="宋体" w:cs="宋体"/>
          <w:color w:val="auto"/>
          <w:spacing w:val="-10"/>
          <w:sz w:val="28"/>
          <w:szCs w:val="28"/>
          <w:highlight w:val="none"/>
        </w:rPr>
        <w:t>日</w:t>
      </w:r>
    </w:p>
    <w:p w14:paraId="37236D3A">
      <w:pPr>
        <w:spacing w:line="220" w:lineRule="auto"/>
        <w:rPr>
          <w:rFonts w:ascii="宋体" w:hAnsi="宋体" w:eastAsia="宋体" w:cs="宋体"/>
          <w:color w:val="auto"/>
          <w:sz w:val="28"/>
          <w:szCs w:val="28"/>
          <w:highlight w:val="none"/>
        </w:rPr>
        <w:sectPr>
          <w:footerReference r:id="rId103" w:type="default"/>
          <w:pgSz w:w="11906" w:h="16839"/>
          <w:pgMar w:top="1431" w:right="1785" w:bottom="1297" w:left="1785" w:header="0" w:footer="1067" w:gutter="0"/>
          <w:pgNumType w:fmt="decimal"/>
          <w:cols w:space="720" w:num="1"/>
        </w:sectPr>
      </w:pPr>
    </w:p>
    <w:p w14:paraId="0D8A329E">
      <w:pPr>
        <w:spacing w:line="252" w:lineRule="auto"/>
        <w:rPr>
          <w:rFonts w:ascii="Arial"/>
          <w:color w:val="auto"/>
          <w:sz w:val="21"/>
          <w:highlight w:val="none"/>
        </w:rPr>
      </w:pPr>
    </w:p>
    <w:p w14:paraId="5AE5D20C">
      <w:pPr>
        <w:spacing w:line="253" w:lineRule="auto"/>
        <w:rPr>
          <w:rFonts w:ascii="Arial"/>
          <w:color w:val="auto"/>
          <w:sz w:val="21"/>
          <w:highlight w:val="none"/>
        </w:rPr>
      </w:pPr>
    </w:p>
    <w:p w14:paraId="162635C1">
      <w:pPr>
        <w:spacing w:line="253" w:lineRule="auto"/>
        <w:rPr>
          <w:rFonts w:ascii="Arial"/>
          <w:color w:val="auto"/>
          <w:sz w:val="21"/>
          <w:highlight w:val="none"/>
        </w:rPr>
      </w:pPr>
    </w:p>
    <w:p w14:paraId="59562795">
      <w:pPr>
        <w:spacing w:before="100" w:line="227" w:lineRule="auto"/>
        <w:ind w:left="3759"/>
        <w:rPr>
          <w:rFonts w:ascii="宋体" w:hAnsi="宋体" w:eastAsia="宋体" w:cs="宋体"/>
          <w:color w:val="auto"/>
          <w:sz w:val="31"/>
          <w:szCs w:val="31"/>
          <w:highlight w:val="none"/>
        </w:rPr>
      </w:pPr>
      <w:r>
        <w:rPr>
          <w:rFonts w:ascii="宋体" w:hAnsi="宋体" w:eastAsia="宋体" w:cs="宋体"/>
          <w:color w:val="auto"/>
          <w:spacing w:val="-33"/>
          <w:sz w:val="31"/>
          <w:szCs w:val="31"/>
          <w:highlight w:val="none"/>
        </w:rPr>
        <w:t>目</w:t>
      </w:r>
      <w:r>
        <w:rPr>
          <w:rFonts w:ascii="宋体" w:hAnsi="宋体" w:eastAsia="宋体" w:cs="宋体"/>
          <w:color w:val="auto"/>
          <w:spacing w:val="13"/>
          <w:sz w:val="31"/>
          <w:szCs w:val="31"/>
          <w:highlight w:val="none"/>
        </w:rPr>
        <w:t xml:space="preserve">  </w:t>
      </w:r>
      <w:r>
        <w:rPr>
          <w:rFonts w:ascii="宋体" w:hAnsi="宋体" w:eastAsia="宋体" w:cs="宋体"/>
          <w:color w:val="auto"/>
          <w:spacing w:val="-33"/>
          <w:sz w:val="31"/>
          <w:szCs w:val="31"/>
          <w:highlight w:val="none"/>
        </w:rPr>
        <w:t>录</w:t>
      </w:r>
    </w:p>
    <w:p w14:paraId="0E8EDE67">
      <w:pPr>
        <w:spacing w:line="271" w:lineRule="auto"/>
        <w:rPr>
          <w:rFonts w:ascii="Arial"/>
          <w:color w:val="auto"/>
          <w:sz w:val="21"/>
          <w:highlight w:val="none"/>
        </w:rPr>
      </w:pPr>
    </w:p>
    <w:p w14:paraId="192D9899">
      <w:pPr>
        <w:spacing w:before="91" w:line="221" w:lineRule="auto"/>
        <w:ind w:left="70"/>
        <w:outlineLvl w:val="1"/>
        <w:rPr>
          <w:rFonts w:ascii="宋体" w:hAnsi="宋体" w:eastAsia="宋体" w:cs="宋体"/>
          <w:color w:val="auto"/>
          <w:sz w:val="28"/>
          <w:szCs w:val="28"/>
          <w:highlight w:val="none"/>
        </w:rPr>
      </w:pPr>
      <w:bookmarkStart w:id="480" w:name="_Toc3956"/>
      <w:bookmarkStart w:id="481" w:name="_Toc26072"/>
      <w:bookmarkStart w:id="482" w:name="_Toc32037"/>
      <w:bookmarkStart w:id="483" w:name="_Toc15374"/>
      <w:bookmarkStart w:id="484" w:name="_Toc30613"/>
      <w:bookmarkStart w:id="485" w:name="_Toc6027"/>
      <w:bookmarkStart w:id="486" w:name="_Toc15450"/>
      <w:r>
        <w:rPr>
          <w:rFonts w:ascii="宋体" w:hAnsi="宋体" w:eastAsia="宋体" w:cs="宋体"/>
          <w:color w:val="auto"/>
          <w:spacing w:val="-3"/>
          <w:sz w:val="28"/>
          <w:szCs w:val="28"/>
          <w:highlight w:val="none"/>
        </w:rPr>
        <w:t>一、投标函</w:t>
      </w:r>
      <w:bookmarkEnd w:id="480"/>
      <w:bookmarkEnd w:id="481"/>
      <w:bookmarkEnd w:id="482"/>
      <w:bookmarkEnd w:id="483"/>
      <w:bookmarkEnd w:id="484"/>
      <w:bookmarkEnd w:id="485"/>
      <w:bookmarkEnd w:id="486"/>
    </w:p>
    <w:p w14:paraId="0016F445">
      <w:pPr>
        <w:spacing w:line="273" w:lineRule="auto"/>
        <w:rPr>
          <w:rFonts w:ascii="Arial"/>
          <w:color w:val="auto"/>
          <w:sz w:val="21"/>
          <w:highlight w:val="none"/>
        </w:rPr>
      </w:pPr>
    </w:p>
    <w:p w14:paraId="40DB3DF8">
      <w:pPr>
        <w:spacing w:before="91" w:line="220" w:lineRule="auto"/>
        <w:ind w:left="70"/>
        <w:rPr>
          <w:rFonts w:ascii="宋体" w:hAnsi="宋体" w:eastAsia="宋体" w:cs="宋体"/>
          <w:color w:val="auto"/>
          <w:sz w:val="28"/>
          <w:szCs w:val="28"/>
          <w:highlight w:val="none"/>
        </w:rPr>
      </w:pPr>
      <w:r>
        <w:rPr>
          <w:rFonts w:ascii="宋体" w:hAnsi="宋体" w:eastAsia="宋体" w:cs="宋体"/>
          <w:color w:val="auto"/>
          <w:spacing w:val="-2"/>
          <w:sz w:val="28"/>
          <w:szCs w:val="28"/>
          <w:highlight w:val="none"/>
        </w:rPr>
        <w:t>二、监理服务费用清单</w:t>
      </w:r>
    </w:p>
    <w:p w14:paraId="679CCEA5">
      <w:pPr>
        <w:spacing w:line="220" w:lineRule="auto"/>
        <w:rPr>
          <w:rFonts w:ascii="宋体" w:hAnsi="宋体" w:eastAsia="宋体" w:cs="宋体"/>
          <w:color w:val="auto"/>
          <w:sz w:val="28"/>
          <w:szCs w:val="28"/>
          <w:highlight w:val="none"/>
        </w:rPr>
      </w:pPr>
    </w:p>
    <w:p w14:paraId="524B57E0">
      <w:pPr>
        <w:spacing w:before="91" w:line="220" w:lineRule="auto"/>
        <w:ind w:left="70"/>
        <w:rPr>
          <w:rFonts w:hint="eastAsia" w:ascii="宋体" w:hAnsi="宋体" w:eastAsia="宋体" w:cs="宋体"/>
          <w:color w:val="auto"/>
          <w:spacing w:val="-2"/>
          <w:sz w:val="28"/>
          <w:szCs w:val="28"/>
          <w:highlight w:val="none"/>
          <w:lang w:val="en-US" w:eastAsia="zh-CN"/>
        </w:rPr>
        <w:sectPr>
          <w:footerReference r:id="rId104" w:type="default"/>
          <w:pgSz w:w="11906" w:h="16839"/>
          <w:pgMar w:top="1431" w:right="1785" w:bottom="1297" w:left="1785" w:header="0" w:footer="1069" w:gutter="0"/>
          <w:pgNumType w:fmt="decimal"/>
          <w:cols w:space="720" w:num="1"/>
        </w:sectPr>
      </w:pPr>
      <w:r>
        <w:rPr>
          <w:rFonts w:hint="eastAsia" w:ascii="宋体" w:hAnsi="宋体" w:eastAsia="宋体" w:cs="宋体"/>
          <w:color w:val="auto"/>
          <w:spacing w:val="-2"/>
          <w:sz w:val="28"/>
          <w:szCs w:val="28"/>
          <w:highlight w:val="none"/>
          <w:lang w:val="en-US" w:eastAsia="zh-CN"/>
        </w:rPr>
        <w:t>三、定标佐证资料（格式自拟）</w:t>
      </w:r>
    </w:p>
    <w:p w14:paraId="6285A6DC">
      <w:pPr>
        <w:spacing w:before="163" w:line="220" w:lineRule="auto"/>
        <w:ind w:left="3945"/>
        <w:rPr>
          <w:rFonts w:ascii="宋体" w:hAnsi="宋体" w:eastAsia="宋体" w:cs="宋体"/>
          <w:color w:val="auto"/>
          <w:sz w:val="24"/>
          <w:szCs w:val="24"/>
          <w:highlight w:val="none"/>
        </w:rPr>
      </w:pPr>
      <w:r>
        <w:rPr>
          <w:rFonts w:ascii="宋体" w:hAnsi="宋体" w:eastAsia="宋体" w:cs="宋体"/>
          <w:b/>
          <w:bCs/>
          <w:color w:val="auto"/>
          <w:spacing w:val="-5"/>
          <w:sz w:val="24"/>
          <w:szCs w:val="24"/>
          <w:highlight w:val="none"/>
        </w:rPr>
        <w:t>一、投标函</w:t>
      </w:r>
    </w:p>
    <w:p w14:paraId="7C03C69B">
      <w:pPr>
        <w:spacing w:line="320" w:lineRule="auto"/>
        <w:rPr>
          <w:rFonts w:ascii="Arial"/>
          <w:color w:val="auto"/>
          <w:sz w:val="21"/>
          <w:highlight w:val="none"/>
        </w:rPr>
      </w:pPr>
    </w:p>
    <w:p w14:paraId="5D569AF2">
      <w:pPr>
        <w:tabs>
          <w:tab w:val="left" w:pos="2997"/>
        </w:tabs>
        <w:spacing w:before="78" w:line="220" w:lineRule="auto"/>
        <w:ind w:left="118"/>
        <w:rPr>
          <w:rFonts w:ascii="宋体" w:hAnsi="宋体" w:eastAsia="宋体" w:cs="宋体"/>
          <w:color w:val="auto"/>
          <w:sz w:val="24"/>
          <w:szCs w:val="24"/>
          <w:highlight w:val="none"/>
        </w:rPr>
      </w:pPr>
      <w:r>
        <w:rPr>
          <w:rFonts w:ascii="宋体" w:hAnsi="宋体" w:eastAsia="宋体" w:cs="宋体"/>
          <w:color w:val="auto"/>
          <w:sz w:val="24"/>
          <w:szCs w:val="24"/>
          <w:highlight w:val="none"/>
          <w:u w:val="single" w:color="auto"/>
        </w:rPr>
        <w:tab/>
      </w:r>
      <w:r>
        <w:rPr>
          <w:rFonts w:ascii="宋体" w:hAnsi="宋体" w:eastAsia="宋体" w:cs="宋体"/>
          <w:color w:val="auto"/>
          <w:sz w:val="24"/>
          <w:szCs w:val="24"/>
          <w:highlight w:val="none"/>
        </w:rPr>
        <w:t>（招标人名称）：</w:t>
      </w:r>
    </w:p>
    <w:p w14:paraId="155FE7F7">
      <w:pPr>
        <w:spacing w:before="232" w:line="286" w:lineRule="auto"/>
        <w:ind w:left="9" w:firstLine="496"/>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1．我方已仔细研究</w:t>
      </w:r>
      <w:r>
        <w:rPr>
          <w:rFonts w:ascii="宋体" w:hAnsi="宋体" w:eastAsia="宋体" w:cs="宋体"/>
          <w:color w:val="auto"/>
          <w:spacing w:val="-118"/>
          <w:sz w:val="24"/>
          <w:szCs w:val="24"/>
          <w:highlight w:val="none"/>
        </w:rPr>
        <w:t xml:space="preserve"> </w:t>
      </w:r>
      <w:r>
        <w:rPr>
          <w:rFonts w:ascii="宋体" w:hAnsi="宋体" w:eastAsia="宋体" w:cs="宋体"/>
          <w:color w:val="auto"/>
          <w:spacing w:val="3"/>
          <w:sz w:val="24"/>
          <w:szCs w:val="24"/>
          <w:highlight w:val="none"/>
          <w:u w:val="single" w:color="auto"/>
        </w:rPr>
        <w:t xml:space="preserve">                  </w:t>
      </w:r>
      <w:r>
        <w:rPr>
          <w:rFonts w:ascii="宋体" w:hAnsi="宋体" w:eastAsia="宋体" w:cs="宋体"/>
          <w:color w:val="auto"/>
          <w:spacing w:val="3"/>
          <w:sz w:val="24"/>
          <w:szCs w:val="24"/>
          <w:highlight w:val="none"/>
        </w:rPr>
        <w:t>（项目名称）</w:t>
      </w:r>
      <w:r>
        <w:rPr>
          <w:rFonts w:ascii="宋体" w:hAnsi="宋体" w:eastAsia="宋体" w:cs="宋体"/>
          <w:color w:val="auto"/>
          <w:spacing w:val="4"/>
          <w:sz w:val="24"/>
          <w:szCs w:val="24"/>
          <w:highlight w:val="none"/>
          <w:u w:val="single" w:color="auto"/>
        </w:rPr>
        <w:t xml:space="preserve">         </w:t>
      </w:r>
      <w:r>
        <w:rPr>
          <w:rFonts w:ascii="宋体" w:hAnsi="宋体" w:eastAsia="宋体" w:cs="宋体"/>
          <w:color w:val="auto"/>
          <w:spacing w:val="-110"/>
          <w:sz w:val="24"/>
          <w:szCs w:val="24"/>
          <w:highlight w:val="none"/>
        </w:rPr>
        <w:t xml:space="preserve"> </w:t>
      </w:r>
      <w:r>
        <w:rPr>
          <w:rFonts w:ascii="宋体" w:hAnsi="宋体" w:eastAsia="宋体" w:cs="宋体"/>
          <w:color w:val="auto"/>
          <w:spacing w:val="3"/>
          <w:sz w:val="24"/>
          <w:szCs w:val="24"/>
          <w:highlight w:val="none"/>
        </w:rPr>
        <w:t>标段</w:t>
      </w:r>
      <w:r>
        <w:rPr>
          <w:rFonts w:ascii="宋体" w:hAnsi="宋体" w:eastAsia="宋体" w:cs="宋体"/>
          <w:color w:val="auto"/>
          <w:spacing w:val="2"/>
          <w:sz w:val="24"/>
          <w:szCs w:val="24"/>
          <w:highlight w:val="none"/>
        </w:rPr>
        <w:t>施工监理招</w:t>
      </w:r>
      <w:r>
        <w:rPr>
          <w:rFonts w:ascii="宋体" w:hAnsi="宋体" w:eastAsia="宋体" w:cs="宋体"/>
          <w:color w:val="auto"/>
          <w:spacing w:val="23"/>
          <w:sz w:val="24"/>
          <w:szCs w:val="24"/>
          <w:highlight w:val="none"/>
        </w:rPr>
        <w:t>标文件的全部内容（含补遗书</w:t>
      </w:r>
      <w:r>
        <w:rPr>
          <w:rFonts w:ascii="宋体" w:hAnsi="宋体" w:eastAsia="宋体" w:cs="宋体"/>
          <w:color w:val="auto"/>
          <w:spacing w:val="4"/>
          <w:sz w:val="24"/>
          <w:szCs w:val="24"/>
          <w:highlight w:val="none"/>
        </w:rPr>
        <w:t>）</w:t>
      </w:r>
      <w:r>
        <w:rPr>
          <w:rFonts w:ascii="宋体" w:hAnsi="宋体" w:eastAsia="宋体" w:cs="宋体"/>
          <w:color w:val="auto"/>
          <w:spacing w:val="-36"/>
          <w:sz w:val="24"/>
          <w:szCs w:val="24"/>
          <w:highlight w:val="none"/>
        </w:rPr>
        <w:t xml:space="preserve"> </w:t>
      </w:r>
      <w:r>
        <w:rPr>
          <w:rFonts w:ascii="宋体" w:hAnsi="宋体" w:eastAsia="宋体" w:cs="宋体"/>
          <w:color w:val="auto"/>
          <w:spacing w:val="4"/>
          <w:sz w:val="24"/>
          <w:szCs w:val="24"/>
          <w:highlight w:val="none"/>
        </w:rPr>
        <w:t>，</w:t>
      </w:r>
      <w:r>
        <w:rPr>
          <w:rFonts w:ascii="宋体" w:hAnsi="宋体" w:eastAsia="宋体" w:cs="宋体"/>
          <w:color w:val="auto"/>
          <w:spacing w:val="23"/>
          <w:sz w:val="24"/>
          <w:szCs w:val="24"/>
          <w:highlight w:val="none"/>
        </w:rPr>
        <w:t>在考察工程现场后</w:t>
      </w:r>
      <w:r>
        <w:rPr>
          <w:rFonts w:ascii="宋体" w:hAnsi="宋体" w:eastAsia="宋体" w:cs="宋体"/>
          <w:color w:val="auto"/>
          <w:spacing w:val="-62"/>
          <w:sz w:val="24"/>
          <w:szCs w:val="24"/>
          <w:highlight w:val="none"/>
        </w:rPr>
        <w:t xml:space="preserve"> </w:t>
      </w:r>
      <w:r>
        <w:rPr>
          <w:rFonts w:ascii="宋体" w:hAnsi="宋体" w:eastAsia="宋体" w:cs="宋体"/>
          <w:color w:val="auto"/>
          <w:spacing w:val="23"/>
          <w:sz w:val="24"/>
          <w:szCs w:val="24"/>
          <w:highlight w:val="none"/>
        </w:rPr>
        <w:t>，愿意以人民币（大</w:t>
      </w:r>
      <w:r>
        <w:rPr>
          <w:rFonts w:ascii="宋体" w:hAnsi="宋体" w:eastAsia="宋体" w:cs="宋体"/>
          <w:color w:val="auto"/>
          <w:spacing w:val="22"/>
          <w:sz w:val="24"/>
          <w:szCs w:val="24"/>
          <w:highlight w:val="none"/>
        </w:rPr>
        <w:t>写）</w:t>
      </w:r>
      <w:r>
        <w:rPr>
          <w:rFonts w:ascii="宋体" w:hAnsi="宋体" w:eastAsia="宋体" w:cs="宋体"/>
          <w:color w:val="auto"/>
          <w:sz w:val="24"/>
          <w:szCs w:val="24"/>
          <w:highlight w:val="none"/>
        </w:rPr>
        <w:t>元 (¥</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85"/>
          <w:sz w:val="24"/>
          <w:szCs w:val="24"/>
          <w:highlight w:val="none"/>
        </w:rPr>
        <w:t xml:space="preserve"> </w:t>
      </w:r>
      <w:r>
        <w:rPr>
          <w:rFonts w:ascii="宋体" w:hAnsi="宋体" w:eastAsia="宋体" w:cs="宋体"/>
          <w:color w:val="auto"/>
          <w:sz w:val="24"/>
          <w:szCs w:val="24"/>
          <w:highlight w:val="none"/>
        </w:rPr>
        <w:t>)</w:t>
      </w:r>
      <w:r>
        <w:rPr>
          <w:rFonts w:ascii="宋体" w:hAnsi="宋体" w:eastAsia="宋体" w:cs="宋体"/>
          <w:color w:val="auto"/>
          <w:spacing w:val="47"/>
          <w:sz w:val="24"/>
          <w:szCs w:val="24"/>
          <w:highlight w:val="none"/>
        </w:rPr>
        <w:t xml:space="preserve"> </w:t>
      </w:r>
      <w:r>
        <w:rPr>
          <w:rFonts w:ascii="宋体" w:hAnsi="宋体" w:eastAsia="宋体" w:cs="宋体"/>
          <w:color w:val="auto"/>
          <w:sz w:val="24"/>
          <w:szCs w:val="24"/>
          <w:highlight w:val="none"/>
        </w:rPr>
        <w:t>的投标总报价（或</w:t>
      </w:r>
      <w:r>
        <w:rPr>
          <w:rFonts w:ascii="宋体" w:hAnsi="宋体" w:eastAsia="宋体" w:cs="宋体"/>
          <w:color w:val="auto"/>
          <w:spacing w:val="-1"/>
          <w:sz w:val="24"/>
          <w:szCs w:val="24"/>
          <w:highlight w:val="none"/>
        </w:rPr>
        <w:t>根据招标文件规定修正核实后确定的另一金额，其中，增值税税率为</w:t>
      </w:r>
      <w:r>
        <w:rPr>
          <w:rFonts w:ascii="宋体" w:hAnsi="宋体" w:eastAsia="宋体" w:cs="宋体"/>
          <w:color w:val="auto"/>
          <w:spacing w:val="-1"/>
          <w:sz w:val="24"/>
          <w:szCs w:val="24"/>
          <w:highlight w:val="none"/>
          <w:u w:val="single" w:color="auto"/>
        </w:rPr>
        <w:t xml:space="preserve">         </w:t>
      </w:r>
      <w:r>
        <w:rPr>
          <w:rFonts w:ascii="宋体" w:hAnsi="宋体" w:eastAsia="宋体" w:cs="宋体"/>
          <w:color w:val="auto"/>
          <w:spacing w:val="-85"/>
          <w:sz w:val="24"/>
          <w:szCs w:val="24"/>
          <w:highlight w:val="none"/>
        </w:rPr>
        <w:t xml:space="preserve"> </w:t>
      </w:r>
      <w:r>
        <w:rPr>
          <w:rFonts w:ascii="宋体" w:hAnsi="宋体" w:eastAsia="宋体" w:cs="宋体"/>
          <w:color w:val="auto"/>
          <w:spacing w:val="-8"/>
          <w:sz w:val="24"/>
          <w:szCs w:val="24"/>
          <w:highlight w:val="none"/>
        </w:rPr>
        <w:t>），</w:t>
      </w:r>
      <w:r>
        <w:rPr>
          <w:rFonts w:ascii="宋体" w:hAnsi="宋体" w:eastAsia="宋体" w:cs="宋体"/>
          <w:color w:val="auto"/>
          <w:spacing w:val="-1"/>
          <w:sz w:val="24"/>
          <w:szCs w:val="24"/>
          <w:highlight w:val="none"/>
        </w:rPr>
        <w:t>按合同约定完成施工监理工作。</w:t>
      </w:r>
    </w:p>
    <w:p w14:paraId="18C759FC">
      <w:pPr>
        <w:spacing w:before="115" w:line="263" w:lineRule="auto"/>
        <w:ind w:left="8" w:firstLine="482"/>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2．在合同协议书正式签署生效之前，本投标函连</w:t>
      </w:r>
      <w:r>
        <w:rPr>
          <w:rFonts w:ascii="宋体" w:hAnsi="宋体" w:eastAsia="宋体" w:cs="宋体"/>
          <w:color w:val="auto"/>
          <w:spacing w:val="1"/>
          <w:sz w:val="24"/>
          <w:szCs w:val="24"/>
          <w:highlight w:val="none"/>
        </w:rPr>
        <w:t>同你方的中标通知书将构成我们</w:t>
      </w:r>
      <w:r>
        <w:rPr>
          <w:rFonts w:ascii="宋体" w:hAnsi="宋体" w:eastAsia="宋体" w:cs="宋体"/>
          <w:color w:val="auto"/>
          <w:spacing w:val="-1"/>
          <w:sz w:val="24"/>
          <w:szCs w:val="24"/>
          <w:highlight w:val="none"/>
        </w:rPr>
        <w:t>双方之间共同遵守的文件，对双方具有约束力。</w:t>
      </w:r>
    </w:p>
    <w:p w14:paraId="6F67CD27">
      <w:pPr>
        <w:spacing w:before="116" w:line="219" w:lineRule="auto"/>
        <w:ind w:left="493"/>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3</w:t>
      </w:r>
      <w:r>
        <w:rPr>
          <w:rFonts w:ascii="宋体" w:hAnsi="宋体" w:eastAsia="宋体" w:cs="宋体"/>
          <w:color w:val="auto"/>
          <w:spacing w:val="-17"/>
          <w:sz w:val="24"/>
          <w:szCs w:val="24"/>
          <w:highlight w:val="none"/>
        </w:rPr>
        <w:t>．</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17"/>
          <w:sz w:val="24"/>
          <w:szCs w:val="24"/>
          <w:highlight w:val="none"/>
        </w:rPr>
        <w:t>（</w:t>
      </w:r>
      <w:r>
        <w:rPr>
          <w:rFonts w:ascii="宋体" w:hAnsi="宋体" w:eastAsia="宋体" w:cs="宋体"/>
          <w:color w:val="auto"/>
          <w:spacing w:val="2"/>
          <w:sz w:val="24"/>
          <w:szCs w:val="24"/>
          <w:highlight w:val="none"/>
        </w:rPr>
        <w:t>其他补充说明）。</w:t>
      </w:r>
    </w:p>
    <w:p w14:paraId="5E000926">
      <w:pPr>
        <w:spacing w:line="309" w:lineRule="auto"/>
        <w:rPr>
          <w:rFonts w:ascii="Arial"/>
          <w:color w:val="auto"/>
          <w:sz w:val="21"/>
          <w:highlight w:val="none"/>
        </w:rPr>
      </w:pPr>
    </w:p>
    <w:p w14:paraId="3ED888E8">
      <w:pPr>
        <w:spacing w:before="79" w:line="342" w:lineRule="auto"/>
        <w:ind w:left="3431"/>
        <w:rPr>
          <w:rFonts w:ascii="宋体" w:hAnsi="宋体" w:eastAsia="宋体" w:cs="宋体"/>
          <w:color w:val="auto"/>
          <w:sz w:val="12"/>
          <w:szCs w:val="12"/>
          <w:highlight w:val="none"/>
        </w:rPr>
      </w:pPr>
      <w:r>
        <w:rPr>
          <w:rFonts w:ascii="宋体" w:hAnsi="宋体" w:eastAsia="宋体" w:cs="宋体"/>
          <w:color w:val="auto"/>
          <w:spacing w:val="4"/>
          <w:sz w:val="24"/>
          <w:szCs w:val="24"/>
          <w:highlight w:val="none"/>
        </w:rPr>
        <w:t>投 标 人</w:t>
      </w:r>
      <w:r>
        <w:rPr>
          <w:rFonts w:ascii="宋体" w:hAnsi="宋体" w:eastAsia="宋体" w:cs="宋体"/>
          <w:color w:val="auto"/>
          <w:spacing w:val="-29"/>
          <w:sz w:val="24"/>
          <w:szCs w:val="24"/>
          <w:highlight w:val="none"/>
        </w:rPr>
        <w:t>：</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29"/>
          <w:sz w:val="24"/>
          <w:szCs w:val="24"/>
          <w:highlight w:val="none"/>
        </w:rPr>
        <w:t>（</w:t>
      </w:r>
      <w:r>
        <w:rPr>
          <w:rFonts w:ascii="宋体" w:hAnsi="宋体" w:eastAsia="宋体" w:cs="宋体"/>
          <w:color w:val="auto"/>
          <w:spacing w:val="4"/>
          <w:sz w:val="24"/>
          <w:szCs w:val="24"/>
          <w:highlight w:val="none"/>
        </w:rPr>
        <w:t>盖单位章）</w:t>
      </w:r>
      <w:r>
        <w:rPr>
          <w:color w:val="auto"/>
          <w:highlight w:val="none"/>
        </w:rPr>
        <w:fldChar w:fldCharType="begin"/>
      </w:r>
      <w:r>
        <w:rPr>
          <w:color w:val="auto"/>
          <w:highlight w:val="none"/>
        </w:rPr>
        <w:instrText xml:space="preserve"> HYPERLINK \l "bookmark162" </w:instrText>
      </w:r>
      <w:r>
        <w:rPr>
          <w:color w:val="auto"/>
          <w:highlight w:val="none"/>
        </w:rPr>
        <w:fldChar w:fldCharType="separate"/>
      </w:r>
      <w:r>
        <w:rPr>
          <w:rFonts w:ascii="宋体" w:hAnsi="宋体" w:eastAsia="宋体" w:cs="宋体"/>
          <w:color w:val="auto"/>
          <w:spacing w:val="4"/>
          <w:position w:val="11"/>
          <w:sz w:val="12"/>
          <w:szCs w:val="12"/>
          <w:highlight w:val="none"/>
        </w:rPr>
        <w:t>①</w:t>
      </w:r>
      <w:r>
        <w:rPr>
          <w:rFonts w:ascii="宋体" w:hAnsi="宋体" w:eastAsia="宋体" w:cs="宋体"/>
          <w:color w:val="auto"/>
          <w:spacing w:val="4"/>
          <w:position w:val="11"/>
          <w:sz w:val="12"/>
          <w:szCs w:val="12"/>
          <w:highlight w:val="none"/>
        </w:rPr>
        <w:fldChar w:fldCharType="end"/>
      </w:r>
    </w:p>
    <w:p w14:paraId="607E5BF2">
      <w:pPr>
        <w:spacing w:before="81" w:line="219" w:lineRule="auto"/>
        <w:ind w:left="3429"/>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法定代表人或其委托代理人</w:t>
      </w:r>
      <w:r>
        <w:rPr>
          <w:rFonts w:ascii="宋体" w:hAnsi="宋体" w:eastAsia="宋体" w:cs="宋体"/>
          <w:color w:val="auto"/>
          <w:spacing w:val="-14"/>
          <w:sz w:val="24"/>
          <w:szCs w:val="24"/>
          <w:highlight w:val="none"/>
        </w:rPr>
        <w:t>：</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14"/>
          <w:sz w:val="24"/>
          <w:szCs w:val="24"/>
          <w:highlight w:val="none"/>
        </w:rPr>
        <w:t>（</w:t>
      </w:r>
      <w:r>
        <w:rPr>
          <w:rFonts w:ascii="宋体" w:hAnsi="宋体" w:eastAsia="宋体" w:cs="宋体"/>
          <w:color w:val="auto"/>
          <w:spacing w:val="1"/>
          <w:sz w:val="24"/>
          <w:szCs w:val="24"/>
          <w:highlight w:val="none"/>
        </w:rPr>
        <w:t>签字）</w:t>
      </w:r>
    </w:p>
    <w:p w14:paraId="31ECF2EB">
      <w:pPr>
        <w:spacing w:before="115" w:line="229" w:lineRule="auto"/>
        <w:ind w:left="3428"/>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地址：</w:t>
      </w:r>
      <w:r>
        <w:rPr>
          <w:rFonts w:ascii="宋体" w:hAnsi="宋体" w:eastAsia="宋体" w:cs="宋体"/>
          <w:color w:val="auto"/>
          <w:sz w:val="24"/>
          <w:szCs w:val="24"/>
          <w:highlight w:val="none"/>
          <w:u w:val="single" w:color="auto"/>
        </w:rPr>
        <w:t xml:space="preserve">                                     </w:t>
      </w:r>
    </w:p>
    <w:p w14:paraId="6836B077">
      <w:pPr>
        <w:spacing w:before="101" w:line="224" w:lineRule="auto"/>
        <w:ind w:left="3447"/>
        <w:rPr>
          <w:rFonts w:ascii="宋体" w:hAnsi="宋体" w:eastAsia="宋体" w:cs="宋体"/>
          <w:color w:val="auto"/>
          <w:sz w:val="24"/>
          <w:szCs w:val="24"/>
          <w:highlight w:val="none"/>
        </w:rPr>
      </w:pPr>
      <w:r>
        <w:rPr>
          <w:rFonts w:ascii="宋体" w:hAnsi="宋体" w:eastAsia="宋体" w:cs="宋体"/>
          <w:color w:val="auto"/>
          <w:spacing w:val="-10"/>
          <w:sz w:val="24"/>
          <w:szCs w:val="24"/>
          <w:highlight w:val="none"/>
        </w:rPr>
        <w:t>网址：</w:t>
      </w:r>
      <w:r>
        <w:rPr>
          <w:rFonts w:ascii="宋体" w:hAnsi="宋体" w:eastAsia="宋体" w:cs="宋体"/>
          <w:color w:val="auto"/>
          <w:sz w:val="24"/>
          <w:szCs w:val="24"/>
          <w:highlight w:val="none"/>
          <w:u w:val="single" w:color="auto"/>
        </w:rPr>
        <w:t xml:space="preserve">                                     </w:t>
      </w:r>
    </w:p>
    <w:p w14:paraId="2144AD8C">
      <w:pPr>
        <w:spacing w:before="110" w:line="221" w:lineRule="auto"/>
        <w:ind w:left="3456"/>
        <w:rPr>
          <w:rFonts w:ascii="宋体" w:hAnsi="宋体" w:eastAsia="宋体" w:cs="宋体"/>
          <w:color w:val="auto"/>
          <w:sz w:val="24"/>
          <w:szCs w:val="24"/>
          <w:highlight w:val="none"/>
        </w:rPr>
      </w:pPr>
      <w:r>
        <w:rPr>
          <w:rFonts w:ascii="宋体" w:hAnsi="宋体" w:eastAsia="宋体" w:cs="宋体"/>
          <w:color w:val="auto"/>
          <w:spacing w:val="-13"/>
          <w:sz w:val="24"/>
          <w:szCs w:val="24"/>
          <w:highlight w:val="none"/>
        </w:rPr>
        <w:t>电话：</w:t>
      </w:r>
      <w:r>
        <w:rPr>
          <w:rFonts w:ascii="宋体" w:hAnsi="宋体" w:eastAsia="宋体" w:cs="宋体"/>
          <w:color w:val="auto"/>
          <w:sz w:val="24"/>
          <w:szCs w:val="24"/>
          <w:highlight w:val="none"/>
          <w:u w:val="single" w:color="auto"/>
        </w:rPr>
        <w:t xml:space="preserve">                                     </w:t>
      </w:r>
    </w:p>
    <w:p w14:paraId="4050CC32">
      <w:pPr>
        <w:spacing w:before="113" w:line="219" w:lineRule="auto"/>
        <w:ind w:left="3426"/>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传真：</w:t>
      </w:r>
      <w:r>
        <w:rPr>
          <w:rFonts w:ascii="宋体" w:hAnsi="宋体" w:eastAsia="宋体" w:cs="宋体"/>
          <w:color w:val="auto"/>
          <w:sz w:val="24"/>
          <w:szCs w:val="24"/>
          <w:highlight w:val="none"/>
          <w:u w:val="single" w:color="auto"/>
        </w:rPr>
        <w:t xml:space="preserve">                                     </w:t>
      </w:r>
    </w:p>
    <w:p w14:paraId="2EA32F48">
      <w:pPr>
        <w:spacing w:before="114" w:line="219" w:lineRule="auto"/>
        <w:ind w:left="3446"/>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邮政编码：</w:t>
      </w:r>
      <w:r>
        <w:rPr>
          <w:rFonts w:ascii="宋体" w:hAnsi="宋体" w:eastAsia="宋体" w:cs="宋体"/>
          <w:color w:val="auto"/>
          <w:spacing w:val="-4"/>
          <w:sz w:val="24"/>
          <w:szCs w:val="24"/>
          <w:highlight w:val="none"/>
          <w:u w:val="single" w:color="auto"/>
        </w:rPr>
        <w:t xml:space="preserve">                                   </w:t>
      </w:r>
    </w:p>
    <w:p w14:paraId="1213E3ED">
      <w:pPr>
        <w:spacing w:line="345" w:lineRule="auto"/>
        <w:rPr>
          <w:rFonts w:ascii="Arial"/>
          <w:color w:val="auto"/>
          <w:sz w:val="21"/>
          <w:highlight w:val="none"/>
        </w:rPr>
      </w:pPr>
    </w:p>
    <w:p w14:paraId="6121C8F0">
      <w:pPr>
        <w:tabs>
          <w:tab w:val="left" w:pos="6670"/>
        </w:tabs>
        <w:spacing w:before="79" w:line="219" w:lineRule="auto"/>
        <w:ind w:left="5590"/>
        <w:outlineLvl w:val="1"/>
        <w:rPr>
          <w:rFonts w:ascii="宋体" w:hAnsi="宋体" w:eastAsia="宋体" w:cs="宋体"/>
          <w:color w:val="auto"/>
          <w:sz w:val="24"/>
          <w:szCs w:val="24"/>
          <w:highlight w:val="none"/>
        </w:rPr>
      </w:pPr>
      <w:bookmarkStart w:id="487" w:name="bookmark162"/>
      <w:bookmarkEnd w:id="487"/>
      <w:r>
        <w:rPr>
          <w:rFonts w:ascii="宋体" w:hAnsi="宋体" w:eastAsia="宋体" w:cs="宋体"/>
          <w:color w:val="auto"/>
          <w:sz w:val="24"/>
          <w:szCs w:val="24"/>
          <w:highlight w:val="none"/>
          <w:u w:val="single" w:color="auto"/>
        </w:rPr>
        <w:tab/>
      </w:r>
      <w:r>
        <w:rPr>
          <w:rFonts w:ascii="宋体" w:hAnsi="宋体" w:eastAsia="宋体" w:cs="宋体"/>
          <w:color w:val="auto"/>
          <w:spacing w:val="-108"/>
          <w:sz w:val="24"/>
          <w:szCs w:val="24"/>
          <w:highlight w:val="none"/>
        </w:rPr>
        <w:t xml:space="preserve"> </w:t>
      </w:r>
      <w:bookmarkStart w:id="488" w:name="_Toc1007"/>
      <w:bookmarkStart w:id="489" w:name="_Toc19932"/>
      <w:bookmarkStart w:id="490" w:name="_Toc19658"/>
      <w:bookmarkStart w:id="491" w:name="_Toc3153"/>
      <w:bookmarkStart w:id="492" w:name="_Toc11909"/>
      <w:bookmarkStart w:id="493" w:name="_Toc16024"/>
      <w:bookmarkStart w:id="494" w:name="_Toc18449"/>
      <w:r>
        <w:rPr>
          <w:rFonts w:ascii="宋体" w:hAnsi="宋体" w:eastAsia="宋体" w:cs="宋体"/>
          <w:color w:val="auto"/>
          <w:spacing w:val="-26"/>
          <w:sz w:val="24"/>
          <w:szCs w:val="24"/>
          <w:highlight w:val="none"/>
        </w:rPr>
        <w:t>年</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105"/>
          <w:sz w:val="24"/>
          <w:szCs w:val="24"/>
          <w:highlight w:val="none"/>
        </w:rPr>
        <w:t xml:space="preserve"> </w:t>
      </w:r>
      <w:r>
        <w:rPr>
          <w:rFonts w:ascii="宋体" w:hAnsi="宋体" w:eastAsia="宋体" w:cs="宋体"/>
          <w:color w:val="auto"/>
          <w:spacing w:val="-26"/>
          <w:sz w:val="24"/>
          <w:szCs w:val="24"/>
          <w:highlight w:val="none"/>
        </w:rPr>
        <w:t>月</w:t>
      </w:r>
      <w:r>
        <w:rPr>
          <w:rFonts w:ascii="宋体" w:hAnsi="宋体" w:eastAsia="宋体" w:cs="宋体"/>
          <w:color w:val="auto"/>
          <w:sz w:val="24"/>
          <w:szCs w:val="24"/>
          <w:highlight w:val="none"/>
          <w:u w:val="single" w:color="auto"/>
        </w:rPr>
        <w:t xml:space="preserve">       </w:t>
      </w:r>
      <w:r>
        <w:rPr>
          <w:rFonts w:ascii="宋体" w:hAnsi="宋体" w:eastAsia="宋体" w:cs="宋体"/>
          <w:color w:val="auto"/>
          <w:spacing w:val="-69"/>
          <w:sz w:val="24"/>
          <w:szCs w:val="24"/>
          <w:highlight w:val="none"/>
        </w:rPr>
        <w:t xml:space="preserve"> </w:t>
      </w:r>
      <w:r>
        <w:rPr>
          <w:rFonts w:ascii="宋体" w:hAnsi="宋体" w:eastAsia="宋体" w:cs="宋体"/>
          <w:color w:val="auto"/>
          <w:spacing w:val="-26"/>
          <w:sz w:val="24"/>
          <w:szCs w:val="24"/>
          <w:highlight w:val="none"/>
        </w:rPr>
        <w:t>日</w:t>
      </w:r>
      <w:bookmarkEnd w:id="488"/>
      <w:bookmarkEnd w:id="489"/>
      <w:bookmarkEnd w:id="490"/>
      <w:bookmarkEnd w:id="491"/>
      <w:bookmarkEnd w:id="492"/>
      <w:bookmarkEnd w:id="493"/>
      <w:bookmarkEnd w:id="494"/>
    </w:p>
    <w:p w14:paraId="68AC9015">
      <w:pPr>
        <w:spacing w:line="248" w:lineRule="auto"/>
        <w:rPr>
          <w:rFonts w:ascii="Arial"/>
          <w:color w:val="auto"/>
          <w:sz w:val="21"/>
          <w:highlight w:val="none"/>
        </w:rPr>
      </w:pPr>
    </w:p>
    <w:p w14:paraId="790710DC">
      <w:pPr>
        <w:spacing w:line="248" w:lineRule="auto"/>
        <w:rPr>
          <w:rFonts w:ascii="Arial"/>
          <w:color w:val="auto"/>
          <w:sz w:val="21"/>
          <w:highlight w:val="none"/>
        </w:rPr>
      </w:pPr>
    </w:p>
    <w:p w14:paraId="0FF25819">
      <w:pPr>
        <w:spacing w:line="248" w:lineRule="auto"/>
        <w:rPr>
          <w:rFonts w:ascii="Arial"/>
          <w:color w:val="auto"/>
          <w:sz w:val="21"/>
          <w:highlight w:val="none"/>
        </w:rPr>
      </w:pPr>
    </w:p>
    <w:p w14:paraId="6C82456C">
      <w:pPr>
        <w:spacing w:line="248" w:lineRule="auto"/>
        <w:rPr>
          <w:rFonts w:ascii="Arial"/>
          <w:color w:val="auto"/>
          <w:sz w:val="21"/>
          <w:highlight w:val="none"/>
        </w:rPr>
      </w:pPr>
    </w:p>
    <w:p w14:paraId="358B4A34">
      <w:pPr>
        <w:spacing w:line="249" w:lineRule="auto"/>
        <w:rPr>
          <w:rFonts w:ascii="Arial"/>
          <w:color w:val="auto"/>
          <w:sz w:val="21"/>
          <w:highlight w:val="none"/>
        </w:rPr>
      </w:pPr>
    </w:p>
    <w:p w14:paraId="462C7466">
      <w:pPr>
        <w:spacing w:line="249" w:lineRule="auto"/>
        <w:rPr>
          <w:rFonts w:ascii="Arial"/>
          <w:color w:val="auto"/>
          <w:sz w:val="21"/>
          <w:highlight w:val="none"/>
        </w:rPr>
      </w:pPr>
    </w:p>
    <w:p w14:paraId="5D02DA9C">
      <w:pPr>
        <w:spacing w:line="249" w:lineRule="auto"/>
        <w:rPr>
          <w:rFonts w:ascii="Arial"/>
          <w:color w:val="auto"/>
          <w:sz w:val="21"/>
          <w:highlight w:val="none"/>
        </w:rPr>
      </w:pPr>
    </w:p>
    <w:p w14:paraId="1A3BA812">
      <w:pPr>
        <w:spacing w:line="249" w:lineRule="auto"/>
        <w:rPr>
          <w:rFonts w:ascii="Arial"/>
          <w:color w:val="auto"/>
          <w:sz w:val="21"/>
          <w:highlight w:val="none"/>
        </w:rPr>
      </w:pPr>
    </w:p>
    <w:p w14:paraId="7EAC035A">
      <w:pPr>
        <w:spacing w:line="249" w:lineRule="auto"/>
        <w:rPr>
          <w:rFonts w:ascii="Arial"/>
          <w:color w:val="auto"/>
          <w:sz w:val="21"/>
          <w:highlight w:val="none"/>
        </w:rPr>
      </w:pPr>
    </w:p>
    <w:p w14:paraId="577C008C">
      <w:pPr>
        <w:spacing w:line="249" w:lineRule="auto"/>
        <w:rPr>
          <w:rFonts w:ascii="Arial"/>
          <w:color w:val="auto"/>
          <w:sz w:val="21"/>
          <w:highlight w:val="none"/>
        </w:rPr>
      </w:pPr>
    </w:p>
    <w:p w14:paraId="543B7DD9">
      <w:pPr>
        <w:spacing w:line="249" w:lineRule="auto"/>
        <w:rPr>
          <w:rFonts w:ascii="Arial"/>
          <w:color w:val="auto"/>
          <w:sz w:val="21"/>
          <w:highlight w:val="none"/>
        </w:rPr>
      </w:pPr>
    </w:p>
    <w:p w14:paraId="4A1D1175">
      <w:pPr>
        <w:spacing w:line="249" w:lineRule="auto"/>
        <w:rPr>
          <w:rFonts w:ascii="Arial"/>
          <w:color w:val="auto"/>
          <w:sz w:val="21"/>
          <w:highlight w:val="none"/>
        </w:rPr>
      </w:pPr>
    </w:p>
    <w:p w14:paraId="0108D6C0">
      <w:pPr>
        <w:spacing w:line="249" w:lineRule="auto"/>
        <w:rPr>
          <w:rFonts w:ascii="Arial"/>
          <w:color w:val="auto"/>
          <w:sz w:val="21"/>
          <w:highlight w:val="none"/>
        </w:rPr>
      </w:pPr>
    </w:p>
    <w:p w14:paraId="5D9E20DF">
      <w:pPr>
        <w:spacing w:line="249" w:lineRule="auto"/>
        <w:rPr>
          <w:rFonts w:ascii="Arial"/>
          <w:color w:val="auto"/>
          <w:sz w:val="21"/>
          <w:highlight w:val="none"/>
        </w:rPr>
      </w:pPr>
    </w:p>
    <w:p w14:paraId="3ADB2406">
      <w:pPr>
        <w:spacing w:line="249" w:lineRule="auto"/>
        <w:rPr>
          <w:rFonts w:ascii="Arial"/>
          <w:color w:val="auto"/>
          <w:sz w:val="21"/>
          <w:highlight w:val="none"/>
        </w:rPr>
      </w:pPr>
    </w:p>
    <w:p w14:paraId="5EEF1F15">
      <w:pPr>
        <w:spacing w:line="249" w:lineRule="auto"/>
        <w:rPr>
          <w:rFonts w:ascii="Arial"/>
          <w:color w:val="auto"/>
          <w:sz w:val="21"/>
          <w:highlight w:val="none"/>
        </w:rPr>
      </w:pPr>
    </w:p>
    <w:p w14:paraId="2245026D">
      <w:pPr>
        <w:spacing w:line="249" w:lineRule="auto"/>
        <w:rPr>
          <w:rFonts w:ascii="Arial"/>
          <w:color w:val="auto"/>
          <w:sz w:val="21"/>
          <w:highlight w:val="none"/>
        </w:rPr>
      </w:pPr>
    </w:p>
    <w:p w14:paraId="48B6E735">
      <w:pPr>
        <w:spacing w:line="249" w:lineRule="auto"/>
        <w:rPr>
          <w:rFonts w:ascii="Arial"/>
          <w:color w:val="auto"/>
          <w:sz w:val="21"/>
          <w:highlight w:val="none"/>
        </w:rPr>
      </w:pPr>
    </w:p>
    <w:p w14:paraId="68DBC313">
      <w:pPr>
        <w:spacing w:line="249" w:lineRule="auto"/>
        <w:rPr>
          <w:rFonts w:ascii="Arial"/>
          <w:color w:val="auto"/>
          <w:sz w:val="21"/>
          <w:highlight w:val="none"/>
        </w:rPr>
      </w:pPr>
    </w:p>
    <w:p w14:paraId="6882AA07">
      <w:pPr>
        <w:spacing w:line="249" w:lineRule="auto"/>
        <w:rPr>
          <w:rFonts w:ascii="Arial"/>
          <w:color w:val="auto"/>
          <w:sz w:val="21"/>
          <w:highlight w:val="none"/>
        </w:rPr>
      </w:pPr>
    </w:p>
    <w:p w14:paraId="47238665">
      <w:pPr>
        <w:spacing w:line="249" w:lineRule="auto"/>
        <w:rPr>
          <w:rFonts w:ascii="Arial"/>
          <w:color w:val="auto"/>
          <w:sz w:val="21"/>
          <w:highlight w:val="none"/>
        </w:rPr>
      </w:pPr>
    </w:p>
    <w:p w14:paraId="52E2098B">
      <w:pPr>
        <w:spacing w:line="249" w:lineRule="auto"/>
        <w:rPr>
          <w:rFonts w:ascii="Arial"/>
          <w:color w:val="auto"/>
          <w:sz w:val="21"/>
          <w:highlight w:val="none"/>
        </w:rPr>
      </w:pPr>
    </w:p>
    <w:p w14:paraId="0050B239">
      <w:pPr>
        <w:spacing w:line="249" w:lineRule="auto"/>
        <w:rPr>
          <w:rFonts w:ascii="Arial"/>
          <w:color w:val="auto"/>
          <w:sz w:val="21"/>
          <w:highlight w:val="none"/>
        </w:rPr>
      </w:pPr>
      <w:r>
        <w:rPr>
          <w:color w:val="auto"/>
          <w:highlight w:val="none"/>
        </w:rPr>
        <w:pict>
          <v:shape id="_x0000_s1099" o:spid="_x0000_s1099" style="position:absolute;left:0pt;margin-left:0pt;margin-top:4.7pt;height:0pt;width:144pt;z-index:251705344;mso-width-relative:page;mso-height-relative:page;" filled="f" stroked="t" coordsize="2880,0" path="m0,0l2880,0e">
            <v:fill on="f" focussize="0,0"/>
            <v:stroke weight="0pt" color="#000000" miterlimit="0" joinstyle="bevel" endcap="square"/>
            <v:imagedata o:title=""/>
            <o:lock v:ext="edit"/>
          </v:shape>
        </w:pict>
      </w:r>
    </w:p>
    <w:p w14:paraId="705066F1">
      <w:pPr>
        <w:spacing w:before="58" w:line="217" w:lineRule="auto"/>
        <w:ind w:left="5"/>
        <w:rPr>
          <w:rFonts w:ascii="宋体" w:hAnsi="宋体" w:eastAsia="宋体" w:cs="宋体"/>
          <w:color w:val="auto"/>
          <w:sz w:val="18"/>
          <w:szCs w:val="18"/>
          <w:highlight w:val="none"/>
        </w:rPr>
      </w:pPr>
      <w:r>
        <w:rPr>
          <w:rFonts w:ascii="宋体" w:hAnsi="宋体" w:eastAsia="宋体" w:cs="宋体"/>
          <w:color w:val="auto"/>
          <w:sz w:val="18"/>
          <w:szCs w:val="18"/>
          <w:highlight w:val="none"/>
        </w:rPr>
        <w:t>① 投标人仅须在投标函上加盖单位章，或由法定代表人或其委</w:t>
      </w:r>
      <w:r>
        <w:rPr>
          <w:rFonts w:ascii="宋体" w:hAnsi="宋体" w:eastAsia="宋体" w:cs="宋体"/>
          <w:color w:val="auto"/>
          <w:spacing w:val="-1"/>
          <w:sz w:val="18"/>
          <w:szCs w:val="18"/>
          <w:highlight w:val="none"/>
        </w:rPr>
        <w:t>托代理人签字。</w:t>
      </w:r>
    </w:p>
    <w:p w14:paraId="0E686BF3">
      <w:pPr>
        <w:spacing w:line="217" w:lineRule="auto"/>
        <w:rPr>
          <w:rFonts w:ascii="宋体" w:hAnsi="宋体" w:eastAsia="宋体" w:cs="宋体"/>
          <w:color w:val="auto"/>
          <w:sz w:val="18"/>
          <w:szCs w:val="18"/>
          <w:highlight w:val="none"/>
        </w:rPr>
        <w:sectPr>
          <w:footerReference r:id="rId105" w:type="default"/>
          <w:pgSz w:w="11906" w:h="16839"/>
          <w:pgMar w:top="1431" w:right="1417" w:bottom="1297" w:left="1417" w:header="0" w:footer="1067" w:gutter="0"/>
          <w:pgNumType w:fmt="decimal"/>
          <w:cols w:space="720" w:num="1"/>
        </w:sectPr>
      </w:pPr>
    </w:p>
    <w:p w14:paraId="03005D4F">
      <w:pPr>
        <w:spacing w:before="164" w:line="219" w:lineRule="auto"/>
        <w:ind w:left="3336"/>
        <w:rPr>
          <w:rFonts w:ascii="宋体" w:hAnsi="宋体" w:eastAsia="宋体" w:cs="宋体"/>
          <w:color w:val="auto"/>
          <w:sz w:val="24"/>
          <w:szCs w:val="24"/>
          <w:highlight w:val="none"/>
        </w:rPr>
      </w:pPr>
      <w:r>
        <w:rPr>
          <w:rFonts w:ascii="宋体" w:hAnsi="宋体" w:eastAsia="宋体" w:cs="宋体"/>
          <w:b/>
          <w:bCs/>
          <w:color w:val="auto"/>
          <w:spacing w:val="-3"/>
          <w:sz w:val="24"/>
          <w:szCs w:val="24"/>
          <w:highlight w:val="none"/>
        </w:rPr>
        <w:t>二、监理服务费用清单</w:t>
      </w:r>
    </w:p>
    <w:p w14:paraId="51AA9C6A">
      <w:pPr>
        <w:spacing w:before="326" w:line="223" w:lineRule="auto"/>
        <w:ind w:left="3109"/>
        <w:rPr>
          <w:rFonts w:ascii="宋体" w:hAnsi="宋体" w:eastAsia="宋体" w:cs="宋体"/>
          <w:color w:val="auto"/>
          <w:sz w:val="31"/>
          <w:szCs w:val="31"/>
          <w:highlight w:val="none"/>
        </w:rPr>
      </w:pPr>
      <w:r>
        <w:rPr>
          <w:rFonts w:ascii="宋体" w:hAnsi="宋体" w:eastAsia="宋体" w:cs="宋体"/>
          <w:b/>
          <w:bCs/>
          <w:color w:val="auto"/>
          <w:spacing w:val="4"/>
          <w:sz w:val="31"/>
          <w:szCs w:val="31"/>
          <w:highlight w:val="none"/>
        </w:rPr>
        <w:t>（一）报价清单说明</w:t>
      </w:r>
    </w:p>
    <w:p w14:paraId="6E163A74">
      <w:pPr>
        <w:spacing w:before="302" w:line="274" w:lineRule="auto"/>
        <w:ind w:left="3" w:firstLine="493"/>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1. 本报价表中各表项目和数量由投标人根据工程需要填写，除此之外，还应在每</w:t>
      </w:r>
      <w:r>
        <w:rPr>
          <w:rFonts w:ascii="宋体" w:hAnsi="宋体" w:eastAsia="宋体" w:cs="宋体"/>
          <w:color w:val="auto"/>
          <w:spacing w:val="5"/>
          <w:sz w:val="24"/>
          <w:szCs w:val="24"/>
          <w:highlight w:val="none"/>
        </w:rPr>
        <w:t>张报价表后附报价计算说明。如折旧费计算说明中应指出每种监理设施</w:t>
      </w:r>
      <w:r>
        <w:rPr>
          <w:rFonts w:ascii="宋体" w:hAnsi="宋体" w:eastAsia="宋体" w:cs="宋体"/>
          <w:color w:val="auto"/>
          <w:spacing w:val="4"/>
          <w:sz w:val="24"/>
          <w:szCs w:val="24"/>
          <w:highlight w:val="none"/>
        </w:rPr>
        <w:t>折旧寿命、折</w:t>
      </w:r>
      <w:r>
        <w:rPr>
          <w:rFonts w:ascii="宋体" w:hAnsi="宋体" w:eastAsia="宋体" w:cs="宋体"/>
          <w:color w:val="auto"/>
          <w:spacing w:val="5"/>
          <w:sz w:val="24"/>
          <w:szCs w:val="24"/>
          <w:highlight w:val="none"/>
        </w:rPr>
        <w:t>旧期、年折旧费等，使用、维修、管理费等计算说明中应指出每年各项</w:t>
      </w:r>
      <w:r>
        <w:rPr>
          <w:rFonts w:ascii="宋体" w:hAnsi="宋体" w:eastAsia="宋体" w:cs="宋体"/>
          <w:color w:val="auto"/>
          <w:spacing w:val="4"/>
          <w:sz w:val="24"/>
          <w:szCs w:val="24"/>
          <w:highlight w:val="none"/>
        </w:rPr>
        <w:t>费用情况、计</w:t>
      </w:r>
      <w:r>
        <w:rPr>
          <w:rFonts w:ascii="宋体" w:hAnsi="宋体" w:eastAsia="宋体" w:cs="宋体"/>
          <w:color w:val="auto"/>
          <w:spacing w:val="-3"/>
          <w:sz w:val="24"/>
          <w:szCs w:val="24"/>
          <w:highlight w:val="none"/>
        </w:rPr>
        <w:t>算公式等。</w:t>
      </w:r>
    </w:p>
    <w:p w14:paraId="1DED90C6">
      <w:pPr>
        <w:spacing w:before="95" w:line="256" w:lineRule="auto"/>
        <w:ind w:left="2" w:firstLine="479"/>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2. 监理人员配备数量应根据招标文件的要求、投标人编</w:t>
      </w:r>
      <w:r>
        <w:rPr>
          <w:rFonts w:ascii="宋体" w:hAnsi="宋体" w:eastAsia="宋体" w:cs="宋体"/>
          <w:color w:val="auto"/>
          <w:spacing w:val="1"/>
          <w:sz w:val="24"/>
          <w:szCs w:val="24"/>
          <w:highlight w:val="none"/>
        </w:rPr>
        <w:t>写的技术建议书并参考投</w:t>
      </w:r>
      <w:r>
        <w:rPr>
          <w:rFonts w:ascii="宋体" w:hAnsi="宋体" w:eastAsia="宋体" w:cs="宋体"/>
          <w:color w:val="auto"/>
          <w:spacing w:val="-1"/>
          <w:sz w:val="24"/>
          <w:szCs w:val="24"/>
          <w:highlight w:val="none"/>
        </w:rPr>
        <w:t>标人以往监理工作经验填报。</w:t>
      </w:r>
    </w:p>
    <w:p w14:paraId="273D7A10">
      <w:pPr>
        <w:spacing w:before="95" w:line="274" w:lineRule="auto"/>
        <w:ind w:left="2" w:right="2" w:firstLine="481"/>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3. 投标人必须配备施工监理所需的监理办公</w:t>
      </w:r>
      <w:r>
        <w:rPr>
          <w:rFonts w:ascii="宋体" w:hAnsi="宋体" w:eastAsia="宋体" w:cs="宋体"/>
          <w:color w:val="auto"/>
          <w:spacing w:val="1"/>
          <w:sz w:val="24"/>
          <w:szCs w:val="24"/>
          <w:highlight w:val="none"/>
        </w:rPr>
        <w:t>设施(含通讯设施)、试验检测设施、</w:t>
      </w:r>
      <w:r>
        <w:rPr>
          <w:rFonts w:ascii="宋体" w:hAnsi="宋体" w:eastAsia="宋体" w:cs="宋体"/>
          <w:color w:val="auto"/>
          <w:spacing w:val="5"/>
          <w:sz w:val="24"/>
          <w:szCs w:val="24"/>
          <w:highlight w:val="none"/>
        </w:rPr>
        <w:t>交通设施、生活设施等。监理办公设施(含通讯设施)、试验检</w:t>
      </w:r>
      <w:r>
        <w:rPr>
          <w:rFonts w:ascii="宋体" w:hAnsi="宋体" w:eastAsia="宋体" w:cs="宋体"/>
          <w:color w:val="auto"/>
          <w:spacing w:val="4"/>
          <w:sz w:val="24"/>
          <w:szCs w:val="24"/>
          <w:highlight w:val="none"/>
        </w:rPr>
        <w:t>测设施、交通设施、生</w:t>
      </w:r>
      <w:r>
        <w:rPr>
          <w:rFonts w:ascii="宋体" w:hAnsi="宋体" w:eastAsia="宋体" w:cs="宋体"/>
          <w:color w:val="auto"/>
          <w:spacing w:val="5"/>
          <w:sz w:val="24"/>
          <w:szCs w:val="24"/>
          <w:highlight w:val="none"/>
        </w:rPr>
        <w:t>活设施等应根据招标文件的要求、投标人编写的技术建议书并参考投标人</w:t>
      </w:r>
      <w:r>
        <w:rPr>
          <w:rFonts w:ascii="宋体" w:hAnsi="宋体" w:eastAsia="宋体" w:cs="宋体"/>
          <w:color w:val="auto"/>
          <w:spacing w:val="4"/>
          <w:sz w:val="24"/>
          <w:szCs w:val="24"/>
          <w:highlight w:val="none"/>
        </w:rPr>
        <w:t>以往监理工</w:t>
      </w:r>
      <w:r>
        <w:rPr>
          <w:rFonts w:ascii="宋体" w:hAnsi="宋体" w:eastAsia="宋体" w:cs="宋体"/>
          <w:color w:val="auto"/>
          <w:spacing w:val="-2"/>
          <w:sz w:val="24"/>
          <w:szCs w:val="24"/>
          <w:highlight w:val="none"/>
        </w:rPr>
        <w:t>作经验配置。</w:t>
      </w:r>
    </w:p>
    <w:p w14:paraId="456AFCAA">
      <w:pPr>
        <w:spacing w:before="92" w:line="256" w:lineRule="auto"/>
        <w:ind w:left="2" w:firstLine="475"/>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4. 监理工程师的驻地设施及配备的设备，如交通、通讯工具及燃</w:t>
      </w:r>
      <w:r>
        <w:rPr>
          <w:rFonts w:ascii="宋体" w:hAnsi="宋体" w:eastAsia="宋体" w:cs="宋体"/>
          <w:color w:val="auto"/>
          <w:spacing w:val="1"/>
          <w:sz w:val="24"/>
          <w:szCs w:val="24"/>
          <w:highlight w:val="none"/>
        </w:rPr>
        <w:t>料消耗、维护等</w:t>
      </w:r>
      <w:r>
        <w:rPr>
          <w:rFonts w:ascii="宋体" w:hAnsi="宋体" w:eastAsia="宋体" w:cs="宋体"/>
          <w:color w:val="auto"/>
          <w:spacing w:val="-1"/>
          <w:sz w:val="24"/>
          <w:szCs w:val="24"/>
          <w:highlight w:val="none"/>
        </w:rPr>
        <w:t>均由投标人按规定列入投标报价中。</w:t>
      </w:r>
    </w:p>
    <w:p w14:paraId="681B8FD0">
      <w:pPr>
        <w:spacing w:before="95" w:line="219" w:lineRule="auto"/>
        <w:ind w:left="484"/>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5.投标人在填报监理服务费用时应综合考虑下列因素：</w:t>
      </w:r>
    </w:p>
    <w:p w14:paraId="75407561">
      <w:pPr>
        <w:spacing w:before="97" w:line="256" w:lineRule="auto"/>
        <w:ind w:left="2" w:right="2" w:firstLine="488"/>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（1）监理人所提供的各级监理人员、试验检测仪器、车辆均应满足委托人在专用</w:t>
      </w:r>
      <w:r>
        <w:rPr>
          <w:rFonts w:ascii="宋体" w:hAnsi="宋体" w:eastAsia="宋体" w:cs="宋体"/>
          <w:color w:val="auto"/>
          <w:spacing w:val="-1"/>
          <w:sz w:val="24"/>
          <w:szCs w:val="24"/>
          <w:highlight w:val="none"/>
        </w:rPr>
        <w:t>合同条款中提出的最低限度要求。</w:t>
      </w:r>
    </w:p>
    <w:p w14:paraId="44B876D1">
      <w:pPr>
        <w:spacing w:before="94" w:line="255" w:lineRule="auto"/>
        <w:ind w:left="1" w:right="2" w:firstLine="489"/>
        <w:rPr>
          <w:rFonts w:ascii="宋体" w:hAnsi="宋体" w:eastAsia="宋体" w:cs="宋体"/>
          <w:color w:val="auto"/>
          <w:sz w:val="24"/>
          <w:szCs w:val="24"/>
          <w:highlight w:val="none"/>
        </w:rPr>
      </w:pPr>
      <w:r>
        <w:rPr>
          <w:rFonts w:ascii="宋体" w:hAnsi="宋体" w:eastAsia="宋体" w:cs="宋体"/>
          <w:color w:val="auto"/>
          <w:sz w:val="24"/>
          <w:szCs w:val="24"/>
          <w:highlight w:val="none"/>
        </w:rPr>
        <w:t>（2）除合同条款第</w:t>
      </w:r>
      <w:r>
        <w:rPr>
          <w:rFonts w:ascii="宋体" w:hAnsi="宋体" w:eastAsia="宋体" w:cs="宋体"/>
          <w:color w:val="auto"/>
          <w:spacing w:val="-47"/>
          <w:sz w:val="24"/>
          <w:szCs w:val="24"/>
          <w:highlight w:val="none"/>
        </w:rPr>
        <w:t xml:space="preserve"> </w:t>
      </w:r>
      <w:r>
        <w:rPr>
          <w:rFonts w:ascii="宋体" w:hAnsi="宋体" w:eastAsia="宋体" w:cs="宋体"/>
          <w:color w:val="auto"/>
          <w:sz w:val="24"/>
          <w:szCs w:val="24"/>
          <w:highlight w:val="none"/>
        </w:rPr>
        <w:t>8</w:t>
      </w:r>
      <w:r>
        <w:rPr>
          <w:rFonts w:ascii="宋体" w:hAnsi="宋体" w:eastAsia="宋体" w:cs="宋体"/>
          <w:color w:val="auto"/>
          <w:spacing w:val="-46"/>
          <w:sz w:val="24"/>
          <w:szCs w:val="24"/>
          <w:highlight w:val="none"/>
        </w:rPr>
        <w:t xml:space="preserve"> </w:t>
      </w:r>
      <w:r>
        <w:rPr>
          <w:rFonts w:ascii="宋体" w:hAnsi="宋体" w:eastAsia="宋体" w:cs="宋体"/>
          <w:color w:val="auto"/>
          <w:sz w:val="24"/>
          <w:szCs w:val="24"/>
          <w:highlight w:val="none"/>
        </w:rPr>
        <w:t>条约定的变更情形和项目专用合同条款第</w:t>
      </w:r>
      <w:r>
        <w:rPr>
          <w:rFonts w:ascii="宋体" w:hAnsi="宋体" w:eastAsia="宋体" w:cs="宋体"/>
          <w:color w:val="auto"/>
          <w:spacing w:val="-48"/>
          <w:sz w:val="24"/>
          <w:szCs w:val="24"/>
          <w:highlight w:val="none"/>
        </w:rPr>
        <w:t xml:space="preserve"> </w:t>
      </w:r>
      <w:r>
        <w:rPr>
          <w:rFonts w:ascii="宋体" w:hAnsi="宋体" w:eastAsia="宋体" w:cs="宋体"/>
          <w:color w:val="auto"/>
          <w:sz w:val="24"/>
          <w:szCs w:val="24"/>
          <w:highlight w:val="none"/>
        </w:rPr>
        <w:t>9.1.1</w:t>
      </w:r>
      <w:r>
        <w:rPr>
          <w:rFonts w:ascii="宋体" w:hAnsi="宋体" w:eastAsia="宋体" w:cs="宋体"/>
          <w:color w:val="auto"/>
          <w:spacing w:val="-44"/>
          <w:sz w:val="24"/>
          <w:szCs w:val="24"/>
          <w:highlight w:val="none"/>
        </w:rPr>
        <w:t xml:space="preserve"> </w:t>
      </w:r>
      <w:r>
        <w:rPr>
          <w:rFonts w:ascii="宋体" w:hAnsi="宋体" w:eastAsia="宋体" w:cs="宋体"/>
          <w:color w:val="auto"/>
          <w:sz w:val="24"/>
          <w:szCs w:val="24"/>
          <w:highlight w:val="none"/>
        </w:rPr>
        <w:t>项约</w:t>
      </w:r>
      <w:r>
        <w:rPr>
          <w:rFonts w:ascii="宋体" w:hAnsi="宋体" w:eastAsia="宋体" w:cs="宋体"/>
          <w:color w:val="auto"/>
          <w:spacing w:val="-1"/>
          <w:sz w:val="24"/>
          <w:szCs w:val="24"/>
          <w:highlight w:val="none"/>
        </w:rPr>
        <w:t>定的其</w:t>
      </w:r>
      <w:r>
        <w:rPr>
          <w:rFonts w:ascii="宋体" w:hAnsi="宋体" w:eastAsia="宋体" w:cs="宋体"/>
          <w:color w:val="auto"/>
          <w:sz w:val="24"/>
          <w:szCs w:val="24"/>
          <w:highlight w:val="none"/>
        </w:rPr>
        <w:t>他情形外，本监理合同的监理服务费用在合同</w:t>
      </w:r>
      <w:r>
        <w:rPr>
          <w:rFonts w:ascii="宋体" w:hAnsi="宋体" w:eastAsia="宋体" w:cs="宋体"/>
          <w:color w:val="auto"/>
          <w:spacing w:val="-1"/>
          <w:sz w:val="24"/>
          <w:szCs w:val="24"/>
          <w:highlight w:val="none"/>
        </w:rPr>
        <w:t>实施期间一律不予调整。</w:t>
      </w:r>
    </w:p>
    <w:p w14:paraId="271F85AC">
      <w:pPr>
        <w:spacing w:before="97" w:line="255" w:lineRule="auto"/>
        <w:ind w:right="2" w:firstLine="480"/>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6.投标人因完成本项目施工监理服务需缴纳的一切税费均由投标人承担，并包含</w:t>
      </w:r>
      <w:r>
        <w:rPr>
          <w:rFonts w:ascii="宋体" w:hAnsi="宋体" w:eastAsia="宋体" w:cs="宋体"/>
          <w:color w:val="auto"/>
          <w:spacing w:val="-1"/>
          <w:sz w:val="24"/>
          <w:szCs w:val="24"/>
          <w:highlight w:val="none"/>
        </w:rPr>
        <w:t>在所报的单价或总额价内，委托人不单独支付。</w:t>
      </w:r>
    </w:p>
    <w:p w14:paraId="3EEE08F5">
      <w:pPr>
        <w:spacing w:before="95" w:line="268" w:lineRule="auto"/>
        <w:ind w:left="1" w:right="2" w:firstLine="483"/>
        <w:rPr>
          <w:rFonts w:ascii="宋体" w:hAnsi="宋体" w:eastAsia="宋体" w:cs="宋体"/>
          <w:color w:val="auto"/>
          <w:sz w:val="24"/>
          <w:szCs w:val="24"/>
          <w:highlight w:val="none"/>
        </w:rPr>
      </w:pPr>
      <w:r>
        <w:rPr>
          <w:rFonts w:ascii="宋体" w:hAnsi="宋体" w:eastAsia="宋体" w:cs="宋体"/>
          <w:color w:val="auto"/>
          <w:spacing w:val="5"/>
          <w:sz w:val="24"/>
          <w:szCs w:val="24"/>
          <w:highlight w:val="none"/>
        </w:rPr>
        <w:t>7.投标人应认真填写报价清单中所列的监理服务费用各细目的单价和总额价</w:t>
      </w:r>
      <w:r>
        <w:rPr>
          <w:rFonts w:ascii="宋体" w:hAnsi="宋体" w:eastAsia="宋体" w:cs="宋体"/>
          <w:color w:val="auto"/>
          <w:spacing w:val="4"/>
          <w:sz w:val="24"/>
          <w:szCs w:val="24"/>
          <w:highlight w:val="none"/>
        </w:rPr>
        <w:t>。投</w:t>
      </w:r>
      <w:r>
        <w:rPr>
          <w:rFonts w:ascii="宋体" w:hAnsi="宋体" w:eastAsia="宋体" w:cs="宋体"/>
          <w:color w:val="auto"/>
          <w:spacing w:val="5"/>
          <w:sz w:val="24"/>
          <w:szCs w:val="24"/>
          <w:highlight w:val="none"/>
        </w:rPr>
        <w:t>标人没有填入单价或总额价的工程细目委托人将不予支付，并认为该细目的</w:t>
      </w:r>
      <w:r>
        <w:rPr>
          <w:rFonts w:ascii="宋体" w:hAnsi="宋体" w:eastAsia="宋体" w:cs="宋体"/>
          <w:color w:val="auto"/>
          <w:spacing w:val="4"/>
          <w:sz w:val="24"/>
          <w:szCs w:val="24"/>
          <w:highlight w:val="none"/>
        </w:rPr>
        <w:t>价款已包</w:t>
      </w:r>
      <w:r>
        <w:rPr>
          <w:rFonts w:ascii="宋体" w:hAnsi="宋体" w:eastAsia="宋体" w:cs="宋体"/>
          <w:color w:val="auto"/>
          <w:spacing w:val="-1"/>
          <w:sz w:val="24"/>
          <w:szCs w:val="24"/>
          <w:highlight w:val="none"/>
        </w:rPr>
        <w:t>括在报价清单其他细目的单价或总额价中。</w:t>
      </w:r>
    </w:p>
    <w:p w14:paraId="03255FFA">
      <w:pPr>
        <w:spacing w:before="95" w:line="256" w:lineRule="auto"/>
        <w:ind w:left="5" w:right="2" w:firstLine="474"/>
        <w:rPr>
          <w:rFonts w:ascii="宋体" w:hAnsi="宋体" w:eastAsia="宋体" w:cs="宋体"/>
          <w:color w:val="auto"/>
          <w:sz w:val="24"/>
          <w:szCs w:val="24"/>
          <w:highlight w:val="none"/>
        </w:rPr>
      </w:pPr>
      <w:r>
        <w:rPr>
          <w:rFonts w:ascii="宋体" w:hAnsi="宋体" w:eastAsia="宋体" w:cs="宋体"/>
          <w:color w:val="auto"/>
          <w:spacing w:val="3"/>
          <w:sz w:val="24"/>
          <w:szCs w:val="24"/>
          <w:highlight w:val="none"/>
        </w:rPr>
        <w:t>8.在表</w:t>
      </w:r>
      <w:r>
        <w:rPr>
          <w:rFonts w:ascii="宋体" w:hAnsi="宋体" w:eastAsia="宋体" w:cs="宋体"/>
          <w:color w:val="auto"/>
          <w:spacing w:val="-31"/>
          <w:sz w:val="24"/>
          <w:szCs w:val="24"/>
          <w:highlight w:val="none"/>
        </w:rPr>
        <w:t xml:space="preserve"> </w:t>
      </w:r>
      <w:r>
        <w:rPr>
          <w:rFonts w:ascii="宋体" w:hAnsi="宋体" w:eastAsia="宋体" w:cs="宋体"/>
          <w:color w:val="auto"/>
          <w:spacing w:val="3"/>
          <w:sz w:val="24"/>
          <w:szCs w:val="24"/>
          <w:highlight w:val="none"/>
        </w:rPr>
        <w:t>2</w:t>
      </w:r>
      <w:r>
        <w:rPr>
          <w:rFonts w:ascii="宋体" w:hAnsi="宋体" w:eastAsia="宋体" w:cs="宋体"/>
          <w:color w:val="auto"/>
          <w:spacing w:val="-45"/>
          <w:sz w:val="24"/>
          <w:szCs w:val="24"/>
          <w:highlight w:val="none"/>
        </w:rPr>
        <w:t xml:space="preserve"> </w:t>
      </w:r>
      <w:r>
        <w:rPr>
          <w:rFonts w:ascii="宋体" w:hAnsi="宋体" w:eastAsia="宋体" w:cs="宋体"/>
          <w:color w:val="auto"/>
          <w:spacing w:val="3"/>
          <w:sz w:val="24"/>
          <w:szCs w:val="24"/>
          <w:highlight w:val="none"/>
        </w:rPr>
        <w:t>监理人员服务费报价表和表</w:t>
      </w:r>
      <w:r>
        <w:rPr>
          <w:rFonts w:ascii="宋体" w:hAnsi="宋体" w:eastAsia="宋体" w:cs="宋体"/>
          <w:color w:val="auto"/>
          <w:spacing w:val="-45"/>
          <w:sz w:val="24"/>
          <w:szCs w:val="24"/>
          <w:highlight w:val="none"/>
        </w:rPr>
        <w:t xml:space="preserve"> </w:t>
      </w:r>
      <w:r>
        <w:rPr>
          <w:rFonts w:ascii="宋体" w:hAnsi="宋体" w:eastAsia="宋体" w:cs="宋体"/>
          <w:color w:val="auto"/>
          <w:spacing w:val="3"/>
          <w:sz w:val="24"/>
          <w:szCs w:val="24"/>
          <w:highlight w:val="none"/>
        </w:rPr>
        <w:t>4</w:t>
      </w:r>
      <w:r>
        <w:rPr>
          <w:rFonts w:ascii="宋体" w:hAnsi="宋体" w:eastAsia="宋体" w:cs="宋体"/>
          <w:color w:val="auto"/>
          <w:spacing w:val="-45"/>
          <w:sz w:val="24"/>
          <w:szCs w:val="24"/>
          <w:highlight w:val="none"/>
        </w:rPr>
        <w:t xml:space="preserve"> </w:t>
      </w:r>
      <w:r>
        <w:rPr>
          <w:rFonts w:ascii="宋体" w:hAnsi="宋体" w:eastAsia="宋体" w:cs="宋体"/>
          <w:color w:val="auto"/>
          <w:spacing w:val="3"/>
          <w:sz w:val="24"/>
          <w:szCs w:val="24"/>
          <w:highlight w:val="none"/>
        </w:rPr>
        <w:t>监理工程师交通设施费报价表后应附相应</w:t>
      </w:r>
      <w:r>
        <w:rPr>
          <w:rFonts w:ascii="宋体" w:hAnsi="宋体" w:eastAsia="宋体" w:cs="宋体"/>
          <w:color w:val="auto"/>
          <w:spacing w:val="-2"/>
          <w:sz w:val="24"/>
          <w:szCs w:val="24"/>
          <w:highlight w:val="none"/>
        </w:rPr>
        <w:t>项目的单价分析表。</w:t>
      </w:r>
    </w:p>
    <w:p w14:paraId="6A665EA8">
      <w:pPr>
        <w:spacing w:before="95" w:line="268" w:lineRule="auto"/>
        <w:ind w:left="2" w:right="2" w:firstLine="477"/>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9.投标人在表</w:t>
      </w:r>
      <w:r>
        <w:rPr>
          <w:rFonts w:ascii="宋体" w:hAnsi="宋体" w:eastAsia="宋体" w:cs="宋体"/>
          <w:color w:val="auto"/>
          <w:spacing w:val="-43"/>
          <w:sz w:val="24"/>
          <w:szCs w:val="24"/>
          <w:highlight w:val="none"/>
        </w:rPr>
        <w:t xml:space="preserve"> </w:t>
      </w:r>
      <w:r>
        <w:rPr>
          <w:rFonts w:ascii="宋体" w:hAnsi="宋体" w:eastAsia="宋体" w:cs="宋体"/>
          <w:color w:val="auto"/>
          <w:spacing w:val="4"/>
          <w:sz w:val="24"/>
          <w:szCs w:val="24"/>
          <w:highlight w:val="none"/>
        </w:rPr>
        <w:t>2</w:t>
      </w:r>
      <w:r>
        <w:rPr>
          <w:rFonts w:ascii="宋体" w:hAnsi="宋体" w:eastAsia="宋体" w:cs="宋体"/>
          <w:color w:val="auto"/>
          <w:spacing w:val="-24"/>
          <w:sz w:val="24"/>
          <w:szCs w:val="24"/>
          <w:highlight w:val="none"/>
        </w:rPr>
        <w:t xml:space="preserve"> </w:t>
      </w:r>
      <w:r>
        <w:rPr>
          <w:rFonts w:ascii="宋体" w:hAnsi="宋体" w:eastAsia="宋体" w:cs="宋体"/>
          <w:color w:val="auto"/>
          <w:spacing w:val="4"/>
          <w:sz w:val="24"/>
          <w:szCs w:val="24"/>
          <w:highlight w:val="none"/>
        </w:rPr>
        <w:t>中填报的各类监理人员的人月</w:t>
      </w:r>
      <w:r>
        <w:rPr>
          <w:rFonts w:ascii="宋体" w:hAnsi="宋体" w:eastAsia="宋体" w:cs="宋体"/>
          <w:color w:val="auto"/>
          <w:spacing w:val="3"/>
          <w:sz w:val="24"/>
          <w:szCs w:val="24"/>
          <w:highlight w:val="none"/>
        </w:rPr>
        <w:t>单价应包括监理人员的工资、加班</w:t>
      </w:r>
      <w:r>
        <w:rPr>
          <w:rFonts w:ascii="宋体" w:hAnsi="宋体" w:eastAsia="宋体" w:cs="宋体"/>
          <w:color w:val="auto"/>
          <w:spacing w:val="5"/>
          <w:sz w:val="24"/>
          <w:szCs w:val="24"/>
          <w:highlight w:val="none"/>
        </w:rPr>
        <w:t>费、生活伙食费、奖金及各种补贴等一切费用在内。若监理人员因履行正</w:t>
      </w:r>
      <w:r>
        <w:rPr>
          <w:rFonts w:ascii="宋体" w:hAnsi="宋体" w:eastAsia="宋体" w:cs="宋体"/>
          <w:color w:val="auto"/>
          <w:spacing w:val="4"/>
          <w:sz w:val="24"/>
          <w:szCs w:val="24"/>
          <w:highlight w:val="none"/>
        </w:rPr>
        <w:t>常监理服务</w:t>
      </w:r>
      <w:r>
        <w:rPr>
          <w:rFonts w:ascii="宋体" w:hAnsi="宋体" w:eastAsia="宋体" w:cs="宋体"/>
          <w:color w:val="auto"/>
          <w:sz w:val="24"/>
          <w:szCs w:val="24"/>
          <w:highlight w:val="none"/>
        </w:rPr>
        <w:t>而加班，委托人将不考虑另行支付监理人员的加班费用。</w:t>
      </w:r>
      <w:r>
        <w:rPr>
          <w:rFonts w:ascii="宋体" w:hAnsi="宋体" w:eastAsia="宋体" w:cs="宋体"/>
          <w:color w:val="auto"/>
          <w:spacing w:val="-1"/>
          <w:sz w:val="24"/>
          <w:szCs w:val="24"/>
          <w:highlight w:val="none"/>
        </w:rPr>
        <w:t>投标报价中应考虑加班费。</w:t>
      </w:r>
    </w:p>
    <w:p w14:paraId="44311F7A">
      <w:pPr>
        <w:spacing w:before="96" w:line="268" w:lineRule="auto"/>
        <w:ind w:firstLine="497"/>
        <w:rPr>
          <w:rFonts w:ascii="宋体" w:hAnsi="宋体" w:eastAsia="宋体" w:cs="宋体"/>
          <w:color w:val="auto"/>
          <w:sz w:val="24"/>
          <w:szCs w:val="24"/>
          <w:highlight w:val="none"/>
        </w:rPr>
      </w:pPr>
      <w:r>
        <w:rPr>
          <w:rFonts w:ascii="宋体" w:hAnsi="宋体" w:eastAsia="宋体" w:cs="宋体"/>
          <w:color w:val="auto"/>
          <w:spacing w:val="1"/>
          <w:sz w:val="24"/>
          <w:szCs w:val="24"/>
          <w:highlight w:val="none"/>
        </w:rPr>
        <w:t>10.对于同一设施或物品，投标人不能重复填报监理服务费用，一经发现，委托人</w:t>
      </w:r>
      <w:r>
        <w:rPr>
          <w:rFonts w:ascii="宋体" w:hAnsi="宋体" w:eastAsia="宋体" w:cs="宋体"/>
          <w:color w:val="auto"/>
          <w:spacing w:val="5"/>
          <w:sz w:val="24"/>
          <w:szCs w:val="24"/>
          <w:highlight w:val="none"/>
        </w:rPr>
        <w:t>将有权从投标价中扣除多报的费用，投标人对此应予确认，否则，委托人有权取</w:t>
      </w:r>
      <w:r>
        <w:rPr>
          <w:rFonts w:ascii="宋体" w:hAnsi="宋体" w:eastAsia="宋体" w:cs="宋体"/>
          <w:color w:val="auto"/>
          <w:spacing w:val="4"/>
          <w:sz w:val="24"/>
          <w:szCs w:val="24"/>
          <w:highlight w:val="none"/>
        </w:rPr>
        <w:t>消其</w:t>
      </w:r>
      <w:r>
        <w:rPr>
          <w:rFonts w:ascii="宋体" w:hAnsi="宋体" w:eastAsia="宋体" w:cs="宋体"/>
          <w:color w:val="auto"/>
          <w:spacing w:val="-2"/>
          <w:sz w:val="24"/>
          <w:szCs w:val="24"/>
          <w:highlight w:val="none"/>
        </w:rPr>
        <w:t>中标资格。</w:t>
      </w:r>
    </w:p>
    <w:p w14:paraId="49D3EBD2">
      <w:pPr>
        <w:spacing w:line="268" w:lineRule="auto"/>
        <w:rPr>
          <w:rFonts w:ascii="宋体" w:hAnsi="宋体" w:eastAsia="宋体" w:cs="宋体"/>
          <w:color w:val="auto"/>
          <w:sz w:val="24"/>
          <w:szCs w:val="24"/>
          <w:highlight w:val="none"/>
        </w:rPr>
        <w:sectPr>
          <w:footerReference r:id="rId106" w:type="default"/>
          <w:pgSz w:w="11906" w:h="16839"/>
          <w:pgMar w:top="1431" w:right="1415" w:bottom="1297" w:left="1423" w:header="0" w:footer="1067" w:gutter="0"/>
          <w:pgNumType w:fmt="decimal"/>
          <w:cols w:space="720" w:num="1"/>
        </w:sectPr>
      </w:pPr>
    </w:p>
    <w:p w14:paraId="75DDCE4F">
      <w:pPr>
        <w:spacing w:before="64" w:line="223" w:lineRule="auto"/>
        <w:ind w:left="2425"/>
        <w:rPr>
          <w:rFonts w:ascii="宋体" w:hAnsi="宋体" w:eastAsia="宋体" w:cs="宋体"/>
          <w:color w:val="auto"/>
          <w:sz w:val="31"/>
          <w:szCs w:val="31"/>
          <w:highlight w:val="none"/>
        </w:rPr>
      </w:pPr>
      <w:r>
        <w:rPr>
          <w:rFonts w:ascii="宋体" w:hAnsi="宋体" w:eastAsia="宋体" w:cs="宋体"/>
          <w:b/>
          <w:bCs/>
          <w:color w:val="auto"/>
          <w:spacing w:val="5"/>
          <w:sz w:val="31"/>
          <w:szCs w:val="31"/>
          <w:highlight w:val="none"/>
        </w:rPr>
        <w:t>（二）监理服务费报价表</w:t>
      </w:r>
    </w:p>
    <w:p w14:paraId="67B5CBA8">
      <w:pPr>
        <w:spacing w:before="32"/>
        <w:rPr>
          <w:color w:val="auto"/>
          <w:highlight w:val="none"/>
        </w:rPr>
      </w:pPr>
    </w:p>
    <w:p w14:paraId="3F84D8E9">
      <w:pPr>
        <w:spacing w:before="32"/>
        <w:rPr>
          <w:color w:val="auto"/>
          <w:highlight w:val="none"/>
        </w:rPr>
      </w:pPr>
    </w:p>
    <w:p w14:paraId="6D51DD31">
      <w:pPr>
        <w:spacing w:before="32"/>
        <w:rPr>
          <w:color w:val="auto"/>
          <w:highlight w:val="none"/>
        </w:rPr>
      </w:pPr>
    </w:p>
    <w:tbl>
      <w:tblPr>
        <w:tblStyle w:val="17"/>
        <w:tblW w:w="7814" w:type="dxa"/>
        <w:tblInd w:w="46"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922"/>
        <w:gridCol w:w="6892"/>
      </w:tblGrid>
      <w:tr w14:paraId="3136C27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12" w:hRule="atLeast"/>
        </w:trPr>
        <w:tc>
          <w:tcPr>
            <w:tcW w:w="922" w:type="dxa"/>
            <w:vAlign w:val="top"/>
          </w:tcPr>
          <w:p w14:paraId="4C0BCA48">
            <w:pPr>
              <w:pStyle w:val="18"/>
              <w:spacing w:before="1" w:line="360" w:lineRule="auto"/>
              <w:rPr>
                <w:color w:val="auto"/>
                <w:sz w:val="24"/>
                <w:szCs w:val="24"/>
                <w:highlight w:val="none"/>
              </w:rPr>
            </w:pPr>
            <w:r>
              <w:rPr>
                <w:color w:val="auto"/>
                <w:spacing w:val="-5"/>
                <w:sz w:val="24"/>
                <w:szCs w:val="24"/>
                <w:highlight w:val="none"/>
              </w:rPr>
              <w:t>表</w:t>
            </w:r>
            <w:r>
              <w:rPr>
                <w:color w:val="auto"/>
                <w:spacing w:val="-33"/>
                <w:sz w:val="24"/>
                <w:szCs w:val="24"/>
                <w:highlight w:val="none"/>
              </w:rPr>
              <w:t xml:space="preserve"> </w:t>
            </w:r>
            <w:r>
              <w:rPr>
                <w:color w:val="auto"/>
                <w:spacing w:val="-5"/>
                <w:sz w:val="24"/>
                <w:szCs w:val="24"/>
                <w:highlight w:val="none"/>
              </w:rPr>
              <w:t>1</w:t>
            </w:r>
          </w:p>
        </w:tc>
        <w:tc>
          <w:tcPr>
            <w:tcW w:w="6892" w:type="dxa"/>
            <w:vAlign w:val="top"/>
          </w:tcPr>
          <w:p w14:paraId="16A7FFD6">
            <w:pPr>
              <w:pStyle w:val="18"/>
              <w:spacing w:before="1" w:line="360" w:lineRule="auto"/>
              <w:ind w:left="171"/>
              <w:rPr>
                <w:color w:val="auto"/>
                <w:sz w:val="24"/>
                <w:szCs w:val="24"/>
                <w:highlight w:val="none"/>
              </w:rPr>
            </w:pPr>
            <w:r>
              <w:rPr>
                <w:color w:val="auto"/>
                <w:spacing w:val="-1"/>
                <w:sz w:val="24"/>
                <w:szCs w:val="24"/>
                <w:highlight w:val="none"/>
              </w:rPr>
              <w:t>监理服务费用报价汇总表</w:t>
            </w:r>
          </w:p>
        </w:tc>
      </w:tr>
      <w:tr w14:paraId="3250C69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87" w:hRule="atLeast"/>
        </w:trPr>
        <w:tc>
          <w:tcPr>
            <w:tcW w:w="922" w:type="dxa"/>
            <w:vAlign w:val="top"/>
          </w:tcPr>
          <w:p w14:paraId="6AD151D4">
            <w:pPr>
              <w:pStyle w:val="18"/>
              <w:spacing w:before="173" w:line="360" w:lineRule="auto"/>
              <w:rPr>
                <w:color w:val="auto"/>
                <w:sz w:val="24"/>
                <w:szCs w:val="24"/>
                <w:highlight w:val="none"/>
              </w:rPr>
            </w:pPr>
            <w:r>
              <w:rPr>
                <w:color w:val="auto"/>
                <w:spacing w:val="-5"/>
                <w:sz w:val="24"/>
                <w:szCs w:val="24"/>
                <w:highlight w:val="none"/>
              </w:rPr>
              <w:t>表</w:t>
            </w:r>
            <w:r>
              <w:rPr>
                <w:color w:val="auto"/>
                <w:spacing w:val="-48"/>
                <w:sz w:val="24"/>
                <w:szCs w:val="24"/>
                <w:highlight w:val="none"/>
              </w:rPr>
              <w:t xml:space="preserve"> </w:t>
            </w:r>
            <w:r>
              <w:rPr>
                <w:color w:val="auto"/>
                <w:spacing w:val="-5"/>
                <w:sz w:val="24"/>
                <w:szCs w:val="24"/>
                <w:highlight w:val="none"/>
              </w:rPr>
              <w:t>2</w:t>
            </w:r>
          </w:p>
        </w:tc>
        <w:tc>
          <w:tcPr>
            <w:tcW w:w="6892" w:type="dxa"/>
            <w:vAlign w:val="top"/>
          </w:tcPr>
          <w:p w14:paraId="3E5340E7">
            <w:pPr>
              <w:pStyle w:val="18"/>
              <w:spacing w:before="173" w:line="360" w:lineRule="auto"/>
              <w:ind w:left="171"/>
              <w:rPr>
                <w:color w:val="auto"/>
                <w:sz w:val="24"/>
                <w:szCs w:val="24"/>
                <w:highlight w:val="none"/>
              </w:rPr>
            </w:pPr>
            <w:r>
              <w:rPr>
                <w:color w:val="auto"/>
                <w:spacing w:val="-2"/>
                <w:sz w:val="24"/>
                <w:szCs w:val="24"/>
                <w:highlight w:val="none"/>
              </w:rPr>
              <w:t>监理人员服务费报价表</w:t>
            </w:r>
          </w:p>
        </w:tc>
      </w:tr>
      <w:tr w14:paraId="357EBFB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87" w:hRule="atLeast"/>
        </w:trPr>
        <w:tc>
          <w:tcPr>
            <w:tcW w:w="922" w:type="dxa"/>
            <w:vAlign w:val="top"/>
          </w:tcPr>
          <w:p w14:paraId="0C2F579C">
            <w:pPr>
              <w:pStyle w:val="18"/>
              <w:spacing w:before="174" w:line="360" w:lineRule="auto"/>
              <w:rPr>
                <w:color w:val="auto"/>
                <w:sz w:val="24"/>
                <w:szCs w:val="24"/>
                <w:highlight w:val="none"/>
              </w:rPr>
            </w:pPr>
            <w:r>
              <w:rPr>
                <w:color w:val="auto"/>
                <w:spacing w:val="-5"/>
                <w:sz w:val="24"/>
                <w:szCs w:val="24"/>
                <w:highlight w:val="none"/>
              </w:rPr>
              <w:t>表</w:t>
            </w:r>
            <w:r>
              <w:rPr>
                <w:color w:val="auto"/>
                <w:spacing w:val="-46"/>
                <w:sz w:val="24"/>
                <w:szCs w:val="24"/>
                <w:highlight w:val="none"/>
              </w:rPr>
              <w:t xml:space="preserve"> </w:t>
            </w:r>
            <w:r>
              <w:rPr>
                <w:color w:val="auto"/>
                <w:spacing w:val="-5"/>
                <w:sz w:val="24"/>
                <w:szCs w:val="24"/>
                <w:highlight w:val="none"/>
              </w:rPr>
              <w:t>3</w:t>
            </w:r>
          </w:p>
        </w:tc>
        <w:tc>
          <w:tcPr>
            <w:tcW w:w="6892" w:type="dxa"/>
            <w:vAlign w:val="top"/>
          </w:tcPr>
          <w:p w14:paraId="31D18A44">
            <w:pPr>
              <w:pStyle w:val="18"/>
              <w:spacing w:before="174" w:line="360" w:lineRule="auto"/>
              <w:jc w:val="left"/>
              <w:rPr>
                <w:color w:val="auto"/>
                <w:sz w:val="24"/>
                <w:szCs w:val="24"/>
                <w:highlight w:val="none"/>
              </w:rPr>
            </w:pPr>
            <w:r>
              <w:rPr>
                <w:color w:val="auto"/>
                <w:spacing w:val="-1"/>
                <w:sz w:val="24"/>
                <w:szCs w:val="24"/>
                <w:highlight w:val="none"/>
              </w:rPr>
              <w:t>监理工程师办公设施费报价表</w:t>
            </w:r>
          </w:p>
        </w:tc>
      </w:tr>
      <w:tr w14:paraId="5708C21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85" w:hRule="atLeast"/>
        </w:trPr>
        <w:tc>
          <w:tcPr>
            <w:tcW w:w="922" w:type="dxa"/>
            <w:vAlign w:val="top"/>
          </w:tcPr>
          <w:p w14:paraId="3CA424DC">
            <w:pPr>
              <w:pStyle w:val="18"/>
              <w:spacing w:before="172" w:line="360" w:lineRule="auto"/>
              <w:rPr>
                <w:color w:val="auto"/>
                <w:sz w:val="24"/>
                <w:szCs w:val="24"/>
                <w:highlight w:val="none"/>
              </w:rPr>
            </w:pPr>
            <w:r>
              <w:rPr>
                <w:color w:val="auto"/>
                <w:spacing w:val="-5"/>
                <w:sz w:val="24"/>
                <w:szCs w:val="24"/>
                <w:highlight w:val="none"/>
              </w:rPr>
              <w:t>表</w:t>
            </w:r>
            <w:r>
              <w:rPr>
                <w:color w:val="auto"/>
                <w:spacing w:val="-51"/>
                <w:sz w:val="24"/>
                <w:szCs w:val="24"/>
                <w:highlight w:val="none"/>
              </w:rPr>
              <w:t xml:space="preserve"> </w:t>
            </w:r>
            <w:r>
              <w:rPr>
                <w:color w:val="auto"/>
                <w:spacing w:val="-5"/>
                <w:sz w:val="24"/>
                <w:szCs w:val="24"/>
                <w:highlight w:val="none"/>
              </w:rPr>
              <w:t>4</w:t>
            </w:r>
          </w:p>
        </w:tc>
        <w:tc>
          <w:tcPr>
            <w:tcW w:w="6892" w:type="dxa"/>
            <w:vAlign w:val="top"/>
          </w:tcPr>
          <w:p w14:paraId="2F905B99">
            <w:pPr>
              <w:pStyle w:val="18"/>
              <w:spacing w:before="173" w:line="360" w:lineRule="auto"/>
              <w:jc w:val="left"/>
              <w:rPr>
                <w:color w:val="auto"/>
                <w:sz w:val="24"/>
                <w:szCs w:val="24"/>
                <w:highlight w:val="none"/>
              </w:rPr>
            </w:pPr>
            <w:r>
              <w:rPr>
                <w:color w:val="auto"/>
                <w:spacing w:val="-1"/>
                <w:sz w:val="24"/>
                <w:szCs w:val="24"/>
                <w:highlight w:val="none"/>
              </w:rPr>
              <w:t>监理工程师交通设施费报价表</w:t>
            </w:r>
          </w:p>
        </w:tc>
      </w:tr>
      <w:tr w14:paraId="27717F7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86" w:hRule="atLeast"/>
        </w:trPr>
        <w:tc>
          <w:tcPr>
            <w:tcW w:w="922" w:type="dxa"/>
            <w:vAlign w:val="top"/>
          </w:tcPr>
          <w:p w14:paraId="0FA8D09A">
            <w:pPr>
              <w:pStyle w:val="18"/>
              <w:spacing w:before="173" w:line="360" w:lineRule="auto"/>
              <w:rPr>
                <w:color w:val="auto"/>
                <w:sz w:val="24"/>
                <w:szCs w:val="24"/>
                <w:highlight w:val="none"/>
              </w:rPr>
            </w:pPr>
            <w:r>
              <w:rPr>
                <w:color w:val="auto"/>
                <w:spacing w:val="-5"/>
                <w:sz w:val="24"/>
                <w:szCs w:val="24"/>
                <w:highlight w:val="none"/>
              </w:rPr>
              <w:t>表</w:t>
            </w:r>
            <w:r>
              <w:rPr>
                <w:color w:val="auto"/>
                <w:spacing w:val="-46"/>
                <w:sz w:val="24"/>
                <w:szCs w:val="24"/>
                <w:highlight w:val="none"/>
              </w:rPr>
              <w:t xml:space="preserve"> </w:t>
            </w:r>
            <w:r>
              <w:rPr>
                <w:color w:val="auto"/>
                <w:spacing w:val="-5"/>
                <w:sz w:val="24"/>
                <w:szCs w:val="24"/>
                <w:highlight w:val="none"/>
              </w:rPr>
              <w:t>5</w:t>
            </w:r>
          </w:p>
        </w:tc>
        <w:tc>
          <w:tcPr>
            <w:tcW w:w="6892" w:type="dxa"/>
            <w:vAlign w:val="top"/>
          </w:tcPr>
          <w:p w14:paraId="4C9C667E">
            <w:pPr>
              <w:pStyle w:val="18"/>
              <w:spacing w:before="173" w:line="360" w:lineRule="auto"/>
              <w:ind w:left="171"/>
              <w:jc w:val="left"/>
              <w:rPr>
                <w:color w:val="auto"/>
                <w:sz w:val="24"/>
                <w:szCs w:val="24"/>
                <w:highlight w:val="none"/>
              </w:rPr>
            </w:pPr>
            <w:r>
              <w:rPr>
                <w:color w:val="auto"/>
                <w:spacing w:val="-2"/>
                <w:sz w:val="24"/>
                <w:szCs w:val="24"/>
                <w:highlight w:val="none"/>
              </w:rPr>
              <w:t>监理试验设施费报价表</w:t>
            </w:r>
          </w:p>
        </w:tc>
      </w:tr>
      <w:tr w14:paraId="5E8C228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88" w:hRule="atLeast"/>
        </w:trPr>
        <w:tc>
          <w:tcPr>
            <w:tcW w:w="922" w:type="dxa"/>
            <w:vAlign w:val="top"/>
          </w:tcPr>
          <w:p w14:paraId="741B6460">
            <w:pPr>
              <w:pStyle w:val="18"/>
              <w:spacing w:before="175" w:line="360" w:lineRule="auto"/>
              <w:rPr>
                <w:color w:val="auto"/>
                <w:sz w:val="24"/>
                <w:szCs w:val="24"/>
                <w:highlight w:val="none"/>
              </w:rPr>
            </w:pPr>
            <w:r>
              <w:rPr>
                <w:color w:val="auto"/>
                <w:spacing w:val="-5"/>
                <w:sz w:val="24"/>
                <w:szCs w:val="24"/>
                <w:highlight w:val="none"/>
              </w:rPr>
              <w:t>表</w:t>
            </w:r>
            <w:r>
              <w:rPr>
                <w:color w:val="auto"/>
                <w:spacing w:val="-49"/>
                <w:sz w:val="24"/>
                <w:szCs w:val="24"/>
                <w:highlight w:val="none"/>
              </w:rPr>
              <w:t xml:space="preserve"> </w:t>
            </w:r>
            <w:r>
              <w:rPr>
                <w:color w:val="auto"/>
                <w:spacing w:val="-5"/>
                <w:sz w:val="24"/>
                <w:szCs w:val="24"/>
                <w:highlight w:val="none"/>
              </w:rPr>
              <w:t>6</w:t>
            </w:r>
          </w:p>
        </w:tc>
        <w:tc>
          <w:tcPr>
            <w:tcW w:w="6892" w:type="dxa"/>
            <w:vAlign w:val="top"/>
          </w:tcPr>
          <w:p w14:paraId="24779ECE">
            <w:pPr>
              <w:pStyle w:val="18"/>
              <w:spacing w:before="175" w:line="360" w:lineRule="auto"/>
              <w:jc w:val="left"/>
              <w:rPr>
                <w:color w:val="auto"/>
                <w:sz w:val="24"/>
                <w:szCs w:val="24"/>
                <w:highlight w:val="none"/>
              </w:rPr>
            </w:pPr>
            <w:r>
              <w:rPr>
                <w:color w:val="auto"/>
                <w:spacing w:val="-1"/>
                <w:sz w:val="24"/>
                <w:szCs w:val="24"/>
                <w:highlight w:val="none"/>
              </w:rPr>
              <w:t>监理工程师生活设施费报价表</w:t>
            </w:r>
          </w:p>
        </w:tc>
      </w:tr>
      <w:tr w14:paraId="6E29AEA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87" w:hRule="atLeast"/>
        </w:trPr>
        <w:tc>
          <w:tcPr>
            <w:tcW w:w="922" w:type="dxa"/>
            <w:vAlign w:val="top"/>
          </w:tcPr>
          <w:p w14:paraId="2FE4816E">
            <w:pPr>
              <w:pStyle w:val="18"/>
              <w:spacing w:before="175" w:line="360" w:lineRule="auto"/>
              <w:rPr>
                <w:color w:val="auto"/>
                <w:sz w:val="24"/>
                <w:szCs w:val="24"/>
                <w:highlight w:val="none"/>
              </w:rPr>
            </w:pPr>
            <w:r>
              <w:rPr>
                <w:color w:val="auto"/>
                <w:spacing w:val="-5"/>
                <w:sz w:val="24"/>
                <w:szCs w:val="24"/>
                <w:highlight w:val="none"/>
              </w:rPr>
              <w:t>表</w:t>
            </w:r>
            <w:r>
              <w:rPr>
                <w:color w:val="auto"/>
                <w:spacing w:val="-45"/>
                <w:sz w:val="24"/>
                <w:szCs w:val="24"/>
                <w:highlight w:val="none"/>
              </w:rPr>
              <w:t xml:space="preserve"> </w:t>
            </w:r>
            <w:r>
              <w:rPr>
                <w:color w:val="auto"/>
                <w:spacing w:val="-5"/>
                <w:sz w:val="24"/>
                <w:szCs w:val="24"/>
                <w:highlight w:val="none"/>
              </w:rPr>
              <w:t>7</w:t>
            </w:r>
          </w:p>
        </w:tc>
        <w:tc>
          <w:tcPr>
            <w:tcW w:w="6892" w:type="dxa"/>
            <w:vAlign w:val="top"/>
          </w:tcPr>
          <w:p w14:paraId="50695152">
            <w:pPr>
              <w:pStyle w:val="18"/>
              <w:spacing w:before="175" w:line="360" w:lineRule="auto"/>
              <w:ind w:left="171"/>
              <w:rPr>
                <w:color w:val="auto"/>
                <w:sz w:val="24"/>
                <w:szCs w:val="24"/>
                <w:highlight w:val="none"/>
              </w:rPr>
            </w:pPr>
            <w:r>
              <w:rPr>
                <w:color w:val="auto"/>
                <w:spacing w:val="-2"/>
                <w:sz w:val="24"/>
                <w:szCs w:val="24"/>
                <w:highlight w:val="none"/>
              </w:rPr>
              <w:t>其他费用报价表</w:t>
            </w:r>
          </w:p>
        </w:tc>
      </w:tr>
      <w:tr w14:paraId="08D329A1">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14" w:hRule="atLeast"/>
        </w:trPr>
        <w:tc>
          <w:tcPr>
            <w:tcW w:w="922" w:type="dxa"/>
            <w:vAlign w:val="top"/>
          </w:tcPr>
          <w:p w14:paraId="6B113E9D">
            <w:pPr>
              <w:pStyle w:val="18"/>
              <w:spacing w:before="173" w:line="360" w:lineRule="auto"/>
              <w:rPr>
                <w:color w:val="auto"/>
                <w:sz w:val="24"/>
                <w:szCs w:val="24"/>
                <w:highlight w:val="none"/>
              </w:rPr>
            </w:pPr>
            <w:r>
              <w:rPr>
                <w:color w:val="auto"/>
                <w:spacing w:val="-5"/>
                <w:sz w:val="24"/>
                <w:szCs w:val="24"/>
                <w:highlight w:val="none"/>
              </w:rPr>
              <w:t>表</w:t>
            </w:r>
            <w:r>
              <w:rPr>
                <w:color w:val="auto"/>
                <w:spacing w:val="-50"/>
                <w:sz w:val="24"/>
                <w:szCs w:val="24"/>
                <w:highlight w:val="none"/>
              </w:rPr>
              <w:t xml:space="preserve"> </w:t>
            </w:r>
            <w:r>
              <w:rPr>
                <w:color w:val="auto"/>
                <w:spacing w:val="-5"/>
                <w:sz w:val="24"/>
                <w:szCs w:val="24"/>
                <w:highlight w:val="none"/>
              </w:rPr>
              <w:t>8</w:t>
            </w:r>
          </w:p>
        </w:tc>
        <w:tc>
          <w:tcPr>
            <w:tcW w:w="6892" w:type="dxa"/>
            <w:vAlign w:val="top"/>
          </w:tcPr>
          <w:p w14:paraId="5DB12807">
            <w:pPr>
              <w:pStyle w:val="18"/>
              <w:spacing w:before="173" w:line="360" w:lineRule="auto"/>
              <w:ind w:left="171"/>
              <w:rPr>
                <w:color w:val="auto"/>
                <w:sz w:val="24"/>
                <w:szCs w:val="24"/>
                <w:highlight w:val="none"/>
              </w:rPr>
            </w:pPr>
            <w:r>
              <w:rPr>
                <w:color w:val="auto"/>
                <w:spacing w:val="-2"/>
                <w:sz w:val="24"/>
                <w:szCs w:val="24"/>
                <w:highlight w:val="none"/>
              </w:rPr>
              <w:t>监理费用支付估算表</w:t>
            </w:r>
          </w:p>
        </w:tc>
      </w:tr>
    </w:tbl>
    <w:p w14:paraId="03C7F493">
      <w:pPr>
        <w:spacing w:line="269" w:lineRule="auto"/>
        <w:rPr>
          <w:rFonts w:ascii="Arial"/>
          <w:color w:val="auto"/>
          <w:sz w:val="21"/>
          <w:highlight w:val="none"/>
        </w:rPr>
      </w:pPr>
    </w:p>
    <w:p w14:paraId="48C027E0">
      <w:pPr>
        <w:spacing w:before="78" w:line="452" w:lineRule="auto"/>
        <w:ind w:left="498" w:right="4444"/>
        <w:rPr>
          <w:rFonts w:ascii="宋体" w:hAnsi="宋体" w:eastAsia="宋体" w:cs="宋体"/>
          <w:color w:val="auto"/>
          <w:sz w:val="24"/>
          <w:szCs w:val="24"/>
          <w:highlight w:val="none"/>
        </w:rPr>
      </w:pPr>
      <w:r>
        <w:rPr>
          <w:rFonts w:ascii="宋体" w:hAnsi="宋体" w:eastAsia="宋体" w:cs="宋体"/>
          <w:color w:val="auto"/>
          <w:spacing w:val="-4"/>
          <w:sz w:val="24"/>
          <w:szCs w:val="24"/>
          <w:highlight w:val="none"/>
        </w:rPr>
        <w:t>附件</w:t>
      </w:r>
      <w:r>
        <w:rPr>
          <w:rFonts w:ascii="宋体" w:hAnsi="宋体" w:eastAsia="宋体" w:cs="宋体"/>
          <w:color w:val="auto"/>
          <w:spacing w:val="-30"/>
          <w:sz w:val="24"/>
          <w:szCs w:val="24"/>
          <w:highlight w:val="none"/>
        </w:rPr>
        <w:t xml:space="preserve"> </w:t>
      </w:r>
      <w:r>
        <w:rPr>
          <w:rFonts w:ascii="宋体" w:hAnsi="宋体" w:eastAsia="宋体" w:cs="宋体"/>
          <w:color w:val="auto"/>
          <w:spacing w:val="-4"/>
          <w:sz w:val="24"/>
          <w:szCs w:val="24"/>
          <w:highlight w:val="none"/>
        </w:rPr>
        <w:t>1 监理人员工作计划安排表</w:t>
      </w:r>
      <w:r>
        <w:rPr>
          <w:rFonts w:ascii="宋体" w:hAnsi="宋体" w:eastAsia="宋体" w:cs="宋体"/>
          <w:color w:val="auto"/>
          <w:spacing w:val="-3"/>
          <w:sz w:val="24"/>
          <w:szCs w:val="24"/>
          <w:highlight w:val="none"/>
        </w:rPr>
        <w:t>附件</w:t>
      </w:r>
      <w:r>
        <w:rPr>
          <w:rFonts w:ascii="宋体" w:hAnsi="宋体" w:eastAsia="宋体" w:cs="宋体"/>
          <w:color w:val="auto"/>
          <w:spacing w:val="-48"/>
          <w:sz w:val="24"/>
          <w:szCs w:val="24"/>
          <w:highlight w:val="none"/>
        </w:rPr>
        <w:t xml:space="preserve"> </w:t>
      </w:r>
      <w:r>
        <w:rPr>
          <w:rFonts w:ascii="宋体" w:hAnsi="宋体" w:eastAsia="宋体" w:cs="宋体"/>
          <w:color w:val="auto"/>
          <w:spacing w:val="-3"/>
          <w:sz w:val="24"/>
          <w:szCs w:val="24"/>
          <w:highlight w:val="none"/>
        </w:rPr>
        <w:t>2 监理设施进出场时间表</w:t>
      </w:r>
    </w:p>
    <w:p w14:paraId="25217C76">
      <w:pPr>
        <w:spacing w:line="452" w:lineRule="auto"/>
        <w:rPr>
          <w:rFonts w:ascii="宋体" w:hAnsi="宋体" w:eastAsia="宋体" w:cs="宋体"/>
          <w:color w:val="auto"/>
          <w:sz w:val="24"/>
          <w:szCs w:val="24"/>
          <w:highlight w:val="none"/>
        </w:rPr>
        <w:sectPr>
          <w:footerReference r:id="rId107" w:type="default"/>
          <w:pgSz w:w="11906" w:h="16839"/>
          <w:pgMar w:top="1403" w:right="1785" w:bottom="1297" w:left="1785" w:header="0" w:footer="1067" w:gutter="0"/>
          <w:pgNumType w:fmt="decimal"/>
          <w:cols w:space="720" w:num="1"/>
        </w:sectPr>
      </w:pPr>
    </w:p>
    <w:p w14:paraId="1593CAEB">
      <w:pPr>
        <w:spacing w:line="352" w:lineRule="auto"/>
        <w:rPr>
          <w:rFonts w:ascii="Arial"/>
          <w:color w:val="auto"/>
          <w:sz w:val="21"/>
          <w:highlight w:val="none"/>
        </w:rPr>
      </w:pPr>
    </w:p>
    <w:p w14:paraId="446F5FBF">
      <w:pPr>
        <w:spacing w:before="91" w:line="219" w:lineRule="auto"/>
        <w:ind w:left="5187"/>
        <w:rPr>
          <w:rFonts w:ascii="宋体" w:hAnsi="宋体" w:eastAsia="宋体" w:cs="宋体"/>
          <w:color w:val="auto"/>
          <w:sz w:val="28"/>
          <w:szCs w:val="28"/>
          <w:highlight w:val="none"/>
        </w:rPr>
      </w:pPr>
      <w:r>
        <w:rPr>
          <w:rFonts w:ascii="宋体" w:hAnsi="宋体" w:eastAsia="宋体" w:cs="宋体"/>
          <w:b/>
          <w:bCs/>
          <w:color w:val="auto"/>
          <w:spacing w:val="-5"/>
          <w:sz w:val="28"/>
          <w:szCs w:val="28"/>
          <w:highlight w:val="none"/>
        </w:rPr>
        <w:t>表</w:t>
      </w:r>
      <w:r>
        <w:rPr>
          <w:rFonts w:ascii="宋体" w:hAnsi="宋体" w:eastAsia="宋体" w:cs="宋体"/>
          <w:color w:val="auto"/>
          <w:spacing w:val="-28"/>
          <w:sz w:val="28"/>
          <w:szCs w:val="28"/>
          <w:highlight w:val="none"/>
        </w:rPr>
        <w:t xml:space="preserve"> </w:t>
      </w:r>
      <w:r>
        <w:rPr>
          <w:rFonts w:ascii="宋体" w:hAnsi="宋体" w:eastAsia="宋体" w:cs="宋体"/>
          <w:b/>
          <w:bCs/>
          <w:color w:val="auto"/>
          <w:spacing w:val="-5"/>
          <w:sz w:val="28"/>
          <w:szCs w:val="28"/>
          <w:highlight w:val="none"/>
        </w:rPr>
        <w:t>1</w:t>
      </w:r>
      <w:r>
        <w:rPr>
          <w:rFonts w:ascii="宋体" w:hAnsi="宋体" w:eastAsia="宋体" w:cs="宋体"/>
          <w:color w:val="auto"/>
          <w:spacing w:val="-5"/>
          <w:sz w:val="28"/>
          <w:szCs w:val="28"/>
          <w:highlight w:val="none"/>
        </w:rPr>
        <w:t xml:space="preserve">  </w:t>
      </w:r>
      <w:r>
        <w:rPr>
          <w:rFonts w:ascii="宋体" w:hAnsi="宋体" w:eastAsia="宋体" w:cs="宋体"/>
          <w:b/>
          <w:bCs/>
          <w:color w:val="auto"/>
          <w:spacing w:val="-5"/>
          <w:sz w:val="28"/>
          <w:szCs w:val="28"/>
          <w:highlight w:val="none"/>
        </w:rPr>
        <w:t>监理服务费用报价汇总表</w:t>
      </w:r>
    </w:p>
    <w:p w14:paraId="059F85AD">
      <w:pPr>
        <w:spacing w:before="114" w:line="212" w:lineRule="auto"/>
        <w:ind w:left="12444"/>
        <w:rPr>
          <w:rFonts w:ascii="宋体" w:hAnsi="宋体" w:eastAsia="宋体" w:cs="宋体"/>
          <w:color w:val="auto"/>
          <w:sz w:val="24"/>
          <w:szCs w:val="24"/>
          <w:highlight w:val="none"/>
        </w:rPr>
      </w:pPr>
      <w:r>
        <w:rPr>
          <w:rFonts w:ascii="宋体" w:hAnsi="宋体" w:eastAsia="宋体" w:cs="宋体"/>
          <w:color w:val="auto"/>
          <w:spacing w:val="-2"/>
          <w:sz w:val="24"/>
          <w:szCs w:val="24"/>
          <w:highlight w:val="none"/>
        </w:rPr>
        <w:t>单位: 人民币元</w:t>
      </w:r>
    </w:p>
    <w:tbl>
      <w:tblPr>
        <w:tblStyle w:val="17"/>
        <w:tblW w:w="1421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01"/>
        <w:gridCol w:w="3812"/>
        <w:gridCol w:w="2874"/>
        <w:gridCol w:w="2874"/>
        <w:gridCol w:w="3657"/>
      </w:tblGrid>
      <w:tr w14:paraId="03BDEC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1001" w:type="dxa"/>
            <w:vAlign w:val="top"/>
          </w:tcPr>
          <w:p w14:paraId="02BA404E">
            <w:pPr>
              <w:pStyle w:val="18"/>
              <w:spacing w:before="180" w:line="229" w:lineRule="auto"/>
              <w:ind w:left="295"/>
              <w:rPr>
                <w:color w:val="auto"/>
                <w:highlight w:val="none"/>
              </w:rPr>
            </w:pPr>
            <w:r>
              <w:rPr>
                <w:color w:val="auto"/>
                <w:spacing w:val="5"/>
                <w:highlight w:val="none"/>
              </w:rPr>
              <w:t>序号</w:t>
            </w:r>
          </w:p>
        </w:tc>
        <w:tc>
          <w:tcPr>
            <w:tcW w:w="3812" w:type="dxa"/>
            <w:vAlign w:val="top"/>
          </w:tcPr>
          <w:p w14:paraId="420BF9BF">
            <w:pPr>
              <w:pStyle w:val="18"/>
              <w:spacing w:before="180" w:line="228" w:lineRule="auto"/>
              <w:ind w:left="1598"/>
              <w:rPr>
                <w:color w:val="auto"/>
                <w:highlight w:val="none"/>
              </w:rPr>
            </w:pPr>
            <w:r>
              <w:rPr>
                <w:color w:val="auto"/>
                <w:spacing w:val="-2"/>
                <w:highlight w:val="none"/>
              </w:rPr>
              <w:t>项</w:t>
            </w:r>
            <w:r>
              <w:rPr>
                <w:color w:val="auto"/>
                <w:spacing w:val="29"/>
                <w:highlight w:val="none"/>
              </w:rPr>
              <w:t xml:space="preserve">  </w:t>
            </w:r>
            <w:r>
              <w:rPr>
                <w:color w:val="auto"/>
                <w:spacing w:val="-2"/>
                <w:highlight w:val="none"/>
              </w:rPr>
              <w:t>目</w:t>
            </w:r>
          </w:p>
        </w:tc>
        <w:tc>
          <w:tcPr>
            <w:tcW w:w="2874" w:type="dxa"/>
            <w:vAlign w:val="top"/>
          </w:tcPr>
          <w:p w14:paraId="698436B7">
            <w:pPr>
              <w:pStyle w:val="18"/>
              <w:spacing w:before="180" w:line="228" w:lineRule="auto"/>
              <w:ind w:left="1125"/>
              <w:rPr>
                <w:color w:val="auto"/>
                <w:highlight w:val="none"/>
              </w:rPr>
            </w:pPr>
            <w:r>
              <w:rPr>
                <w:color w:val="auto"/>
                <w:spacing w:val="7"/>
                <w:highlight w:val="none"/>
              </w:rPr>
              <w:t>施工期</w:t>
            </w:r>
          </w:p>
        </w:tc>
        <w:tc>
          <w:tcPr>
            <w:tcW w:w="2874" w:type="dxa"/>
            <w:vAlign w:val="top"/>
          </w:tcPr>
          <w:p w14:paraId="75757532">
            <w:pPr>
              <w:pStyle w:val="18"/>
              <w:spacing w:before="180" w:line="228" w:lineRule="auto"/>
              <w:ind w:left="918"/>
              <w:rPr>
                <w:color w:val="auto"/>
                <w:highlight w:val="none"/>
              </w:rPr>
            </w:pPr>
            <w:r>
              <w:rPr>
                <w:color w:val="auto"/>
                <w:spacing w:val="8"/>
                <w:highlight w:val="none"/>
              </w:rPr>
              <w:t>缺陷责任期</w:t>
            </w:r>
          </w:p>
        </w:tc>
        <w:tc>
          <w:tcPr>
            <w:tcW w:w="3657" w:type="dxa"/>
            <w:vAlign w:val="top"/>
          </w:tcPr>
          <w:p w14:paraId="30AEB5DA">
            <w:pPr>
              <w:pStyle w:val="18"/>
              <w:spacing w:before="180" w:line="228" w:lineRule="auto"/>
              <w:ind w:left="1419"/>
              <w:rPr>
                <w:color w:val="auto"/>
                <w:highlight w:val="none"/>
              </w:rPr>
            </w:pPr>
            <w:r>
              <w:rPr>
                <w:color w:val="auto"/>
                <w:spacing w:val="5"/>
                <w:highlight w:val="none"/>
              </w:rPr>
              <w:t>小计金额</w:t>
            </w:r>
          </w:p>
        </w:tc>
      </w:tr>
      <w:tr w14:paraId="4D3B74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1001" w:type="dxa"/>
            <w:vAlign w:val="top"/>
          </w:tcPr>
          <w:p w14:paraId="4230B19E">
            <w:pPr>
              <w:pStyle w:val="18"/>
              <w:spacing w:before="174" w:line="270" w:lineRule="exact"/>
              <w:ind w:left="468"/>
              <w:rPr>
                <w:color w:val="auto"/>
                <w:highlight w:val="none"/>
              </w:rPr>
            </w:pPr>
            <w:r>
              <w:rPr>
                <w:color w:val="auto"/>
                <w:position w:val="1"/>
                <w:highlight w:val="none"/>
              </w:rPr>
              <w:t>1</w:t>
            </w:r>
          </w:p>
        </w:tc>
        <w:tc>
          <w:tcPr>
            <w:tcW w:w="3812" w:type="dxa"/>
            <w:vAlign w:val="top"/>
          </w:tcPr>
          <w:p w14:paraId="55CCC239">
            <w:pPr>
              <w:pStyle w:val="18"/>
              <w:spacing w:before="174" w:line="228" w:lineRule="auto"/>
              <w:ind w:left="1175"/>
              <w:rPr>
                <w:color w:val="auto"/>
                <w:highlight w:val="none"/>
              </w:rPr>
            </w:pPr>
            <w:r>
              <w:rPr>
                <w:color w:val="auto"/>
                <w:spacing w:val="8"/>
                <w:highlight w:val="none"/>
              </w:rPr>
              <w:t>监理人员服务费</w:t>
            </w:r>
          </w:p>
        </w:tc>
        <w:tc>
          <w:tcPr>
            <w:tcW w:w="2874" w:type="dxa"/>
            <w:vAlign w:val="top"/>
          </w:tcPr>
          <w:p w14:paraId="109CE6DB">
            <w:pPr>
              <w:rPr>
                <w:rFonts w:ascii="Arial"/>
                <w:color w:val="auto"/>
                <w:sz w:val="21"/>
                <w:highlight w:val="none"/>
              </w:rPr>
            </w:pPr>
          </w:p>
        </w:tc>
        <w:tc>
          <w:tcPr>
            <w:tcW w:w="2874" w:type="dxa"/>
            <w:vAlign w:val="top"/>
          </w:tcPr>
          <w:p w14:paraId="6731933A">
            <w:pPr>
              <w:rPr>
                <w:rFonts w:ascii="Arial"/>
                <w:color w:val="auto"/>
                <w:sz w:val="21"/>
                <w:highlight w:val="none"/>
              </w:rPr>
            </w:pPr>
          </w:p>
        </w:tc>
        <w:tc>
          <w:tcPr>
            <w:tcW w:w="3657" w:type="dxa"/>
            <w:vAlign w:val="top"/>
          </w:tcPr>
          <w:p w14:paraId="0AF00B7A">
            <w:pPr>
              <w:rPr>
                <w:rFonts w:ascii="Arial"/>
                <w:color w:val="auto"/>
                <w:sz w:val="21"/>
                <w:highlight w:val="none"/>
              </w:rPr>
            </w:pPr>
          </w:p>
        </w:tc>
      </w:tr>
      <w:tr w14:paraId="4C65B1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1001" w:type="dxa"/>
            <w:vAlign w:val="top"/>
          </w:tcPr>
          <w:p w14:paraId="03EA805E">
            <w:pPr>
              <w:pStyle w:val="18"/>
              <w:spacing w:before="176" w:line="270" w:lineRule="exact"/>
              <w:ind w:left="455"/>
              <w:rPr>
                <w:color w:val="auto"/>
                <w:highlight w:val="none"/>
              </w:rPr>
            </w:pPr>
            <w:r>
              <w:rPr>
                <w:color w:val="auto"/>
                <w:position w:val="1"/>
                <w:highlight w:val="none"/>
              </w:rPr>
              <w:t>2</w:t>
            </w:r>
          </w:p>
        </w:tc>
        <w:tc>
          <w:tcPr>
            <w:tcW w:w="3812" w:type="dxa"/>
            <w:vAlign w:val="top"/>
          </w:tcPr>
          <w:p w14:paraId="527C7303">
            <w:pPr>
              <w:pStyle w:val="18"/>
              <w:spacing w:before="176" w:line="228" w:lineRule="auto"/>
              <w:ind w:left="1175"/>
              <w:rPr>
                <w:color w:val="auto"/>
                <w:highlight w:val="none"/>
              </w:rPr>
            </w:pPr>
            <w:r>
              <w:rPr>
                <w:color w:val="auto"/>
                <w:spacing w:val="8"/>
                <w:highlight w:val="none"/>
              </w:rPr>
              <w:t>监理办公设施费</w:t>
            </w:r>
          </w:p>
        </w:tc>
        <w:tc>
          <w:tcPr>
            <w:tcW w:w="2874" w:type="dxa"/>
            <w:vAlign w:val="top"/>
          </w:tcPr>
          <w:p w14:paraId="3BE34B49">
            <w:pPr>
              <w:rPr>
                <w:rFonts w:ascii="Arial"/>
                <w:color w:val="auto"/>
                <w:sz w:val="21"/>
                <w:highlight w:val="none"/>
              </w:rPr>
            </w:pPr>
          </w:p>
        </w:tc>
        <w:tc>
          <w:tcPr>
            <w:tcW w:w="2874" w:type="dxa"/>
            <w:vAlign w:val="top"/>
          </w:tcPr>
          <w:p w14:paraId="3BB89546">
            <w:pPr>
              <w:rPr>
                <w:rFonts w:ascii="Arial"/>
                <w:color w:val="auto"/>
                <w:sz w:val="21"/>
                <w:highlight w:val="none"/>
              </w:rPr>
            </w:pPr>
          </w:p>
        </w:tc>
        <w:tc>
          <w:tcPr>
            <w:tcW w:w="3657" w:type="dxa"/>
            <w:vAlign w:val="top"/>
          </w:tcPr>
          <w:p w14:paraId="04BF858D">
            <w:pPr>
              <w:rPr>
                <w:rFonts w:ascii="Arial"/>
                <w:color w:val="auto"/>
                <w:sz w:val="21"/>
                <w:highlight w:val="none"/>
              </w:rPr>
            </w:pPr>
          </w:p>
        </w:tc>
      </w:tr>
      <w:tr w14:paraId="24A390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1001" w:type="dxa"/>
            <w:vAlign w:val="top"/>
          </w:tcPr>
          <w:p w14:paraId="631E60A6">
            <w:pPr>
              <w:pStyle w:val="18"/>
              <w:spacing w:before="178" w:line="268" w:lineRule="exact"/>
              <w:ind w:left="456"/>
              <w:rPr>
                <w:color w:val="auto"/>
                <w:highlight w:val="none"/>
              </w:rPr>
            </w:pPr>
            <w:r>
              <w:rPr>
                <w:color w:val="auto"/>
                <w:position w:val="1"/>
                <w:highlight w:val="none"/>
              </w:rPr>
              <w:t>3</w:t>
            </w:r>
          </w:p>
        </w:tc>
        <w:tc>
          <w:tcPr>
            <w:tcW w:w="3812" w:type="dxa"/>
            <w:vAlign w:val="top"/>
          </w:tcPr>
          <w:p w14:paraId="566BE908">
            <w:pPr>
              <w:pStyle w:val="18"/>
              <w:spacing w:before="178" w:line="228" w:lineRule="auto"/>
              <w:ind w:left="1175"/>
              <w:rPr>
                <w:color w:val="auto"/>
                <w:highlight w:val="none"/>
              </w:rPr>
            </w:pPr>
            <w:r>
              <w:rPr>
                <w:color w:val="auto"/>
                <w:spacing w:val="8"/>
                <w:highlight w:val="none"/>
              </w:rPr>
              <w:t>监理交通设施费</w:t>
            </w:r>
          </w:p>
        </w:tc>
        <w:tc>
          <w:tcPr>
            <w:tcW w:w="2874" w:type="dxa"/>
            <w:vAlign w:val="top"/>
          </w:tcPr>
          <w:p w14:paraId="0876CFE5">
            <w:pPr>
              <w:rPr>
                <w:rFonts w:ascii="Arial"/>
                <w:color w:val="auto"/>
                <w:sz w:val="21"/>
                <w:highlight w:val="none"/>
              </w:rPr>
            </w:pPr>
          </w:p>
        </w:tc>
        <w:tc>
          <w:tcPr>
            <w:tcW w:w="2874" w:type="dxa"/>
            <w:vAlign w:val="top"/>
          </w:tcPr>
          <w:p w14:paraId="04A008AB">
            <w:pPr>
              <w:rPr>
                <w:rFonts w:ascii="Arial"/>
                <w:color w:val="auto"/>
                <w:sz w:val="21"/>
                <w:highlight w:val="none"/>
              </w:rPr>
            </w:pPr>
          </w:p>
        </w:tc>
        <w:tc>
          <w:tcPr>
            <w:tcW w:w="3657" w:type="dxa"/>
            <w:vAlign w:val="top"/>
          </w:tcPr>
          <w:p w14:paraId="569EBBCE">
            <w:pPr>
              <w:rPr>
                <w:rFonts w:ascii="Arial"/>
                <w:color w:val="auto"/>
                <w:sz w:val="21"/>
                <w:highlight w:val="none"/>
              </w:rPr>
            </w:pPr>
          </w:p>
        </w:tc>
      </w:tr>
      <w:tr w14:paraId="6697A2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1001" w:type="dxa"/>
            <w:vAlign w:val="top"/>
          </w:tcPr>
          <w:p w14:paraId="61C2883B">
            <w:pPr>
              <w:pStyle w:val="18"/>
              <w:spacing w:before="177" w:line="270" w:lineRule="exact"/>
              <w:ind w:left="451"/>
              <w:rPr>
                <w:color w:val="auto"/>
                <w:highlight w:val="none"/>
              </w:rPr>
            </w:pPr>
            <w:r>
              <w:rPr>
                <w:color w:val="auto"/>
                <w:position w:val="1"/>
                <w:highlight w:val="none"/>
              </w:rPr>
              <w:t>4</w:t>
            </w:r>
          </w:p>
        </w:tc>
        <w:tc>
          <w:tcPr>
            <w:tcW w:w="3812" w:type="dxa"/>
            <w:vAlign w:val="top"/>
          </w:tcPr>
          <w:p w14:paraId="56AA0532">
            <w:pPr>
              <w:pStyle w:val="18"/>
              <w:spacing w:before="177" w:line="228" w:lineRule="auto"/>
              <w:ind w:left="544"/>
              <w:rPr>
                <w:color w:val="auto"/>
                <w:highlight w:val="none"/>
              </w:rPr>
            </w:pPr>
            <w:r>
              <w:rPr>
                <w:color w:val="auto"/>
                <w:spacing w:val="8"/>
                <w:highlight w:val="none"/>
              </w:rPr>
              <w:t>监理试验设施费（常规检测）</w:t>
            </w:r>
          </w:p>
        </w:tc>
        <w:tc>
          <w:tcPr>
            <w:tcW w:w="2874" w:type="dxa"/>
            <w:vAlign w:val="top"/>
          </w:tcPr>
          <w:p w14:paraId="6E98A823">
            <w:pPr>
              <w:rPr>
                <w:rFonts w:ascii="Arial"/>
                <w:color w:val="auto"/>
                <w:sz w:val="21"/>
                <w:highlight w:val="none"/>
              </w:rPr>
            </w:pPr>
          </w:p>
        </w:tc>
        <w:tc>
          <w:tcPr>
            <w:tcW w:w="2874" w:type="dxa"/>
            <w:vAlign w:val="top"/>
          </w:tcPr>
          <w:p w14:paraId="58F85211">
            <w:pPr>
              <w:rPr>
                <w:rFonts w:ascii="Arial"/>
                <w:color w:val="auto"/>
                <w:sz w:val="21"/>
                <w:highlight w:val="none"/>
              </w:rPr>
            </w:pPr>
          </w:p>
        </w:tc>
        <w:tc>
          <w:tcPr>
            <w:tcW w:w="3657" w:type="dxa"/>
            <w:vAlign w:val="top"/>
          </w:tcPr>
          <w:p w14:paraId="7398355D">
            <w:pPr>
              <w:rPr>
                <w:rFonts w:ascii="Arial"/>
                <w:color w:val="auto"/>
                <w:sz w:val="21"/>
                <w:highlight w:val="none"/>
              </w:rPr>
            </w:pPr>
          </w:p>
        </w:tc>
      </w:tr>
      <w:tr w14:paraId="312898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1001" w:type="dxa"/>
            <w:vAlign w:val="top"/>
          </w:tcPr>
          <w:p w14:paraId="56111F1E">
            <w:pPr>
              <w:pStyle w:val="18"/>
              <w:spacing w:before="179" w:line="269" w:lineRule="exact"/>
              <w:ind w:left="456"/>
              <w:rPr>
                <w:color w:val="auto"/>
                <w:highlight w:val="none"/>
              </w:rPr>
            </w:pPr>
            <w:r>
              <w:rPr>
                <w:color w:val="auto"/>
                <w:position w:val="1"/>
                <w:highlight w:val="none"/>
              </w:rPr>
              <w:t>5</w:t>
            </w:r>
          </w:p>
        </w:tc>
        <w:tc>
          <w:tcPr>
            <w:tcW w:w="3812" w:type="dxa"/>
            <w:vAlign w:val="top"/>
          </w:tcPr>
          <w:p w14:paraId="363466E9">
            <w:pPr>
              <w:pStyle w:val="18"/>
              <w:spacing w:before="180" w:line="228" w:lineRule="auto"/>
              <w:ind w:left="1175"/>
              <w:rPr>
                <w:color w:val="auto"/>
                <w:highlight w:val="none"/>
              </w:rPr>
            </w:pPr>
            <w:r>
              <w:rPr>
                <w:color w:val="auto"/>
                <w:spacing w:val="8"/>
                <w:highlight w:val="none"/>
              </w:rPr>
              <w:t>监理生活设施费</w:t>
            </w:r>
          </w:p>
        </w:tc>
        <w:tc>
          <w:tcPr>
            <w:tcW w:w="2874" w:type="dxa"/>
            <w:vAlign w:val="top"/>
          </w:tcPr>
          <w:p w14:paraId="7EAC334C">
            <w:pPr>
              <w:rPr>
                <w:rFonts w:ascii="Arial"/>
                <w:color w:val="auto"/>
                <w:sz w:val="21"/>
                <w:highlight w:val="none"/>
              </w:rPr>
            </w:pPr>
          </w:p>
        </w:tc>
        <w:tc>
          <w:tcPr>
            <w:tcW w:w="2874" w:type="dxa"/>
            <w:vAlign w:val="top"/>
          </w:tcPr>
          <w:p w14:paraId="36902242">
            <w:pPr>
              <w:rPr>
                <w:rFonts w:ascii="Arial"/>
                <w:color w:val="auto"/>
                <w:sz w:val="21"/>
                <w:highlight w:val="none"/>
              </w:rPr>
            </w:pPr>
          </w:p>
        </w:tc>
        <w:tc>
          <w:tcPr>
            <w:tcW w:w="3657" w:type="dxa"/>
            <w:vAlign w:val="top"/>
          </w:tcPr>
          <w:p w14:paraId="1F2147D0">
            <w:pPr>
              <w:rPr>
                <w:rFonts w:ascii="Arial"/>
                <w:color w:val="auto"/>
                <w:sz w:val="21"/>
                <w:highlight w:val="none"/>
              </w:rPr>
            </w:pPr>
          </w:p>
        </w:tc>
      </w:tr>
      <w:tr w14:paraId="48812F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1001" w:type="dxa"/>
            <w:vAlign w:val="top"/>
          </w:tcPr>
          <w:p w14:paraId="333E940D">
            <w:pPr>
              <w:pStyle w:val="18"/>
              <w:spacing w:before="180" w:line="268" w:lineRule="exact"/>
              <w:ind w:left="454"/>
              <w:rPr>
                <w:color w:val="auto"/>
                <w:highlight w:val="none"/>
              </w:rPr>
            </w:pPr>
            <w:r>
              <w:rPr>
                <w:color w:val="auto"/>
                <w:position w:val="1"/>
                <w:highlight w:val="none"/>
              </w:rPr>
              <w:t>6</w:t>
            </w:r>
          </w:p>
        </w:tc>
        <w:tc>
          <w:tcPr>
            <w:tcW w:w="3812" w:type="dxa"/>
            <w:vAlign w:val="top"/>
          </w:tcPr>
          <w:p w14:paraId="5A3496F0">
            <w:pPr>
              <w:pStyle w:val="18"/>
              <w:spacing w:before="180" w:line="228" w:lineRule="auto"/>
              <w:ind w:left="1490"/>
              <w:rPr>
                <w:color w:val="auto"/>
                <w:highlight w:val="none"/>
              </w:rPr>
            </w:pPr>
            <w:r>
              <w:rPr>
                <w:color w:val="auto"/>
                <w:spacing w:val="7"/>
                <w:highlight w:val="none"/>
              </w:rPr>
              <w:t>其他费用</w:t>
            </w:r>
          </w:p>
        </w:tc>
        <w:tc>
          <w:tcPr>
            <w:tcW w:w="2874" w:type="dxa"/>
            <w:vAlign w:val="top"/>
          </w:tcPr>
          <w:p w14:paraId="73422A8E">
            <w:pPr>
              <w:rPr>
                <w:rFonts w:ascii="Arial"/>
                <w:color w:val="auto"/>
                <w:sz w:val="21"/>
                <w:highlight w:val="none"/>
              </w:rPr>
            </w:pPr>
          </w:p>
        </w:tc>
        <w:tc>
          <w:tcPr>
            <w:tcW w:w="2874" w:type="dxa"/>
            <w:vAlign w:val="top"/>
          </w:tcPr>
          <w:p w14:paraId="596D49D3">
            <w:pPr>
              <w:rPr>
                <w:rFonts w:ascii="Arial"/>
                <w:color w:val="auto"/>
                <w:sz w:val="21"/>
                <w:highlight w:val="none"/>
              </w:rPr>
            </w:pPr>
          </w:p>
        </w:tc>
        <w:tc>
          <w:tcPr>
            <w:tcW w:w="3657" w:type="dxa"/>
            <w:vAlign w:val="top"/>
          </w:tcPr>
          <w:p w14:paraId="48670FF9">
            <w:pPr>
              <w:rPr>
                <w:rFonts w:ascii="Arial"/>
                <w:color w:val="auto"/>
                <w:sz w:val="21"/>
                <w:highlight w:val="none"/>
              </w:rPr>
            </w:pPr>
          </w:p>
        </w:tc>
      </w:tr>
      <w:tr w14:paraId="2CA1F7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1001" w:type="dxa"/>
            <w:vAlign w:val="top"/>
          </w:tcPr>
          <w:p w14:paraId="54A4F37F">
            <w:pPr>
              <w:pStyle w:val="18"/>
              <w:spacing w:before="178" w:line="269" w:lineRule="exact"/>
              <w:ind w:left="457"/>
              <w:rPr>
                <w:color w:val="auto"/>
                <w:highlight w:val="none"/>
              </w:rPr>
            </w:pPr>
            <w:r>
              <w:rPr>
                <w:color w:val="auto"/>
                <w:position w:val="1"/>
                <w:highlight w:val="none"/>
              </w:rPr>
              <w:t>7</w:t>
            </w:r>
          </w:p>
        </w:tc>
        <w:tc>
          <w:tcPr>
            <w:tcW w:w="9560" w:type="dxa"/>
            <w:gridSpan w:val="3"/>
            <w:vAlign w:val="top"/>
          </w:tcPr>
          <w:p w14:paraId="64C2DBCD">
            <w:pPr>
              <w:pStyle w:val="18"/>
              <w:spacing w:before="178" w:line="229" w:lineRule="auto"/>
              <w:ind w:left="3683"/>
              <w:rPr>
                <w:color w:val="auto"/>
                <w:highlight w:val="none"/>
              </w:rPr>
            </w:pPr>
            <w:r>
              <w:rPr>
                <w:color w:val="auto"/>
                <w:spacing w:val="5"/>
                <w:highlight w:val="none"/>
              </w:rPr>
              <w:t>合  计（1+2+3+4+5+6）</w:t>
            </w:r>
          </w:p>
        </w:tc>
        <w:tc>
          <w:tcPr>
            <w:tcW w:w="3657" w:type="dxa"/>
            <w:vAlign w:val="top"/>
          </w:tcPr>
          <w:p w14:paraId="632DBECC">
            <w:pPr>
              <w:rPr>
                <w:rFonts w:ascii="Arial"/>
                <w:color w:val="auto"/>
                <w:sz w:val="21"/>
                <w:highlight w:val="none"/>
              </w:rPr>
            </w:pPr>
          </w:p>
        </w:tc>
      </w:tr>
      <w:tr w14:paraId="165C67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1001" w:type="dxa"/>
            <w:vAlign w:val="top"/>
          </w:tcPr>
          <w:p w14:paraId="3A0ABA5E">
            <w:pPr>
              <w:pStyle w:val="18"/>
              <w:spacing w:before="179" w:line="269" w:lineRule="exact"/>
              <w:ind w:left="453"/>
              <w:rPr>
                <w:color w:val="auto"/>
                <w:highlight w:val="none"/>
              </w:rPr>
            </w:pPr>
            <w:r>
              <w:rPr>
                <w:color w:val="auto"/>
                <w:position w:val="1"/>
                <w:highlight w:val="none"/>
              </w:rPr>
              <w:t>8</w:t>
            </w:r>
          </w:p>
        </w:tc>
        <w:tc>
          <w:tcPr>
            <w:tcW w:w="9560" w:type="dxa"/>
            <w:gridSpan w:val="3"/>
            <w:vAlign w:val="top"/>
          </w:tcPr>
          <w:p w14:paraId="510CE554">
            <w:pPr>
              <w:pStyle w:val="18"/>
              <w:spacing w:before="152" w:line="228" w:lineRule="auto"/>
              <w:ind w:left="3795"/>
              <w:rPr>
                <w:color w:val="auto"/>
                <w:highlight w:val="none"/>
              </w:rPr>
            </w:pPr>
            <w:r>
              <w:rPr>
                <w:color w:val="auto"/>
                <w:spacing w:val="5"/>
                <w:highlight w:val="none"/>
              </w:rPr>
              <w:t>暂列金额（7×</w:t>
            </w:r>
            <w:r>
              <w:rPr>
                <w:color w:val="auto"/>
                <w:spacing w:val="5"/>
                <w:highlight w:val="none"/>
                <w:u w:val="single" w:color="auto"/>
              </w:rPr>
              <w:t xml:space="preserve">   </w:t>
            </w:r>
            <w:r>
              <w:rPr>
                <w:color w:val="auto"/>
                <w:spacing w:val="-92"/>
                <w:highlight w:val="none"/>
              </w:rPr>
              <w:t xml:space="preserve"> </w:t>
            </w:r>
            <w:r>
              <w:rPr>
                <w:color w:val="auto"/>
                <w:spacing w:val="5"/>
                <w:highlight w:val="none"/>
              </w:rPr>
              <w:t>%）</w:t>
            </w:r>
          </w:p>
        </w:tc>
        <w:tc>
          <w:tcPr>
            <w:tcW w:w="3657" w:type="dxa"/>
            <w:vAlign w:val="top"/>
          </w:tcPr>
          <w:p w14:paraId="6465CDBC">
            <w:pPr>
              <w:rPr>
                <w:rFonts w:ascii="Arial"/>
                <w:color w:val="auto"/>
                <w:sz w:val="21"/>
                <w:highlight w:val="none"/>
              </w:rPr>
            </w:pPr>
          </w:p>
        </w:tc>
      </w:tr>
      <w:tr w14:paraId="262815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1001" w:type="dxa"/>
            <w:vAlign w:val="top"/>
          </w:tcPr>
          <w:p w14:paraId="5D50BC80">
            <w:pPr>
              <w:pStyle w:val="18"/>
              <w:spacing w:before="180" w:line="268" w:lineRule="exact"/>
              <w:ind w:left="453"/>
              <w:rPr>
                <w:color w:val="auto"/>
                <w:highlight w:val="none"/>
              </w:rPr>
            </w:pPr>
            <w:r>
              <w:rPr>
                <w:color w:val="auto"/>
                <w:position w:val="1"/>
                <w:highlight w:val="none"/>
              </w:rPr>
              <w:t>9</w:t>
            </w:r>
          </w:p>
        </w:tc>
        <w:tc>
          <w:tcPr>
            <w:tcW w:w="9560" w:type="dxa"/>
            <w:gridSpan w:val="3"/>
            <w:vAlign w:val="top"/>
          </w:tcPr>
          <w:p w14:paraId="4633D93C">
            <w:pPr>
              <w:pStyle w:val="18"/>
              <w:spacing w:before="154" w:line="228" w:lineRule="auto"/>
              <w:ind w:left="3789"/>
              <w:rPr>
                <w:color w:val="auto"/>
                <w:highlight w:val="none"/>
              </w:rPr>
            </w:pPr>
            <w:r>
              <w:rPr>
                <w:color w:val="auto"/>
                <w:spacing w:val="6"/>
                <w:highlight w:val="none"/>
              </w:rPr>
              <w:t>监理奖金（7×</w:t>
            </w:r>
            <w:r>
              <w:rPr>
                <w:color w:val="auto"/>
                <w:spacing w:val="6"/>
                <w:highlight w:val="none"/>
                <w:u w:val="single" w:color="auto"/>
              </w:rPr>
              <w:t xml:space="preserve">   </w:t>
            </w:r>
            <w:r>
              <w:rPr>
                <w:color w:val="auto"/>
                <w:spacing w:val="-97"/>
                <w:highlight w:val="none"/>
              </w:rPr>
              <w:t xml:space="preserve"> </w:t>
            </w:r>
            <w:r>
              <w:rPr>
                <w:color w:val="auto"/>
                <w:spacing w:val="6"/>
                <w:highlight w:val="none"/>
              </w:rPr>
              <w:t>%）</w:t>
            </w:r>
          </w:p>
        </w:tc>
        <w:tc>
          <w:tcPr>
            <w:tcW w:w="3657" w:type="dxa"/>
            <w:vAlign w:val="top"/>
          </w:tcPr>
          <w:p w14:paraId="705C4DCB">
            <w:pPr>
              <w:rPr>
                <w:rFonts w:ascii="Arial"/>
                <w:color w:val="auto"/>
                <w:sz w:val="21"/>
                <w:highlight w:val="none"/>
              </w:rPr>
            </w:pPr>
          </w:p>
        </w:tc>
      </w:tr>
      <w:tr w14:paraId="6AC950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1001" w:type="dxa"/>
            <w:vAlign w:val="top"/>
          </w:tcPr>
          <w:p w14:paraId="21296F6B">
            <w:pPr>
              <w:pStyle w:val="18"/>
              <w:spacing w:before="178" w:line="269" w:lineRule="exact"/>
              <w:ind w:left="415"/>
              <w:rPr>
                <w:color w:val="auto"/>
                <w:highlight w:val="none"/>
              </w:rPr>
            </w:pPr>
            <w:r>
              <w:rPr>
                <w:color w:val="auto"/>
                <w:spacing w:val="-7"/>
                <w:position w:val="1"/>
                <w:highlight w:val="none"/>
              </w:rPr>
              <w:t>10</w:t>
            </w:r>
          </w:p>
        </w:tc>
        <w:tc>
          <w:tcPr>
            <w:tcW w:w="9560" w:type="dxa"/>
            <w:gridSpan w:val="3"/>
            <w:vAlign w:val="top"/>
          </w:tcPr>
          <w:p w14:paraId="03D7F9A9">
            <w:pPr>
              <w:pStyle w:val="18"/>
              <w:spacing w:before="179" w:line="226" w:lineRule="auto"/>
              <w:ind w:left="3738"/>
              <w:rPr>
                <w:color w:val="auto"/>
                <w:highlight w:val="none"/>
              </w:rPr>
            </w:pPr>
            <w:r>
              <w:rPr>
                <w:color w:val="auto"/>
                <w:spacing w:val="2"/>
                <w:highlight w:val="none"/>
              </w:rPr>
              <w:t>投标报价总计</w:t>
            </w:r>
            <w:r>
              <w:rPr>
                <w:color w:val="auto"/>
                <w:spacing w:val="61"/>
                <w:highlight w:val="none"/>
              </w:rPr>
              <w:t xml:space="preserve"> </w:t>
            </w:r>
            <w:r>
              <w:rPr>
                <w:color w:val="auto"/>
                <w:spacing w:val="2"/>
                <w:highlight w:val="none"/>
              </w:rPr>
              <w:t>(7+8+9)</w:t>
            </w:r>
          </w:p>
        </w:tc>
        <w:tc>
          <w:tcPr>
            <w:tcW w:w="3657" w:type="dxa"/>
            <w:vAlign w:val="top"/>
          </w:tcPr>
          <w:p w14:paraId="33B61C6A">
            <w:pPr>
              <w:rPr>
                <w:rFonts w:ascii="Arial"/>
                <w:color w:val="auto"/>
                <w:sz w:val="21"/>
                <w:highlight w:val="none"/>
              </w:rPr>
            </w:pPr>
          </w:p>
        </w:tc>
      </w:tr>
    </w:tbl>
    <w:p w14:paraId="3A7199DD">
      <w:pPr>
        <w:rPr>
          <w:rFonts w:ascii="Arial"/>
          <w:color w:val="auto"/>
          <w:sz w:val="21"/>
          <w:highlight w:val="none"/>
        </w:rPr>
      </w:pPr>
    </w:p>
    <w:p w14:paraId="0D72FC40">
      <w:pPr>
        <w:rPr>
          <w:rFonts w:ascii="Arial" w:hAnsi="Arial" w:eastAsia="Arial" w:cs="Arial"/>
          <w:color w:val="auto"/>
          <w:sz w:val="21"/>
          <w:szCs w:val="21"/>
          <w:highlight w:val="none"/>
        </w:rPr>
        <w:sectPr>
          <w:footerReference r:id="rId108" w:type="default"/>
          <w:pgSz w:w="16839" w:h="11906"/>
          <w:pgMar w:top="1012" w:right="1307" w:bottom="1297" w:left="1307" w:header="0" w:footer="1067" w:gutter="0"/>
          <w:pgNumType w:fmt="decimal"/>
          <w:cols w:space="720" w:num="1"/>
        </w:sectPr>
      </w:pPr>
    </w:p>
    <w:p w14:paraId="43FC2793">
      <w:pPr>
        <w:spacing w:line="353" w:lineRule="auto"/>
        <w:rPr>
          <w:rFonts w:ascii="Arial"/>
          <w:color w:val="auto"/>
          <w:sz w:val="21"/>
          <w:highlight w:val="none"/>
        </w:rPr>
      </w:pPr>
    </w:p>
    <w:p w14:paraId="1821FF53">
      <w:pPr>
        <w:spacing w:before="91" w:line="212" w:lineRule="auto"/>
        <w:ind w:left="5332"/>
        <w:rPr>
          <w:rFonts w:ascii="宋体" w:hAnsi="宋体" w:eastAsia="宋体" w:cs="宋体"/>
          <w:color w:val="auto"/>
          <w:sz w:val="28"/>
          <w:szCs w:val="28"/>
          <w:highlight w:val="none"/>
        </w:rPr>
      </w:pPr>
      <w:r>
        <w:rPr>
          <w:rFonts w:ascii="宋体" w:hAnsi="宋体" w:eastAsia="宋体" w:cs="宋体"/>
          <w:b/>
          <w:bCs/>
          <w:color w:val="auto"/>
          <w:spacing w:val="-4"/>
          <w:sz w:val="28"/>
          <w:szCs w:val="28"/>
          <w:highlight w:val="none"/>
        </w:rPr>
        <w:t>表</w:t>
      </w:r>
      <w:r>
        <w:rPr>
          <w:rFonts w:ascii="宋体" w:hAnsi="宋体" w:eastAsia="宋体" w:cs="宋体"/>
          <w:color w:val="auto"/>
          <w:spacing w:val="-47"/>
          <w:sz w:val="28"/>
          <w:szCs w:val="28"/>
          <w:highlight w:val="none"/>
        </w:rPr>
        <w:t xml:space="preserve"> </w:t>
      </w:r>
      <w:r>
        <w:rPr>
          <w:rFonts w:ascii="宋体" w:hAnsi="宋体" w:eastAsia="宋体" w:cs="宋体"/>
          <w:b/>
          <w:bCs/>
          <w:color w:val="auto"/>
          <w:spacing w:val="-4"/>
          <w:sz w:val="28"/>
          <w:szCs w:val="28"/>
          <w:highlight w:val="none"/>
        </w:rPr>
        <w:t>2</w:t>
      </w:r>
      <w:r>
        <w:rPr>
          <w:rFonts w:ascii="宋体" w:hAnsi="宋体" w:eastAsia="宋体" w:cs="宋体"/>
          <w:color w:val="auto"/>
          <w:spacing w:val="-4"/>
          <w:sz w:val="28"/>
          <w:szCs w:val="28"/>
          <w:highlight w:val="none"/>
        </w:rPr>
        <w:t xml:space="preserve">  </w:t>
      </w:r>
      <w:r>
        <w:rPr>
          <w:rFonts w:ascii="宋体" w:hAnsi="宋体" w:eastAsia="宋体" w:cs="宋体"/>
          <w:b/>
          <w:bCs/>
          <w:color w:val="auto"/>
          <w:spacing w:val="-4"/>
          <w:sz w:val="28"/>
          <w:szCs w:val="28"/>
          <w:highlight w:val="none"/>
        </w:rPr>
        <w:t>监理人员服务费报价表</w:t>
      </w:r>
    </w:p>
    <w:tbl>
      <w:tblPr>
        <w:tblStyle w:val="17"/>
        <w:tblW w:w="1422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3"/>
        <w:gridCol w:w="3073"/>
        <w:gridCol w:w="1746"/>
        <w:gridCol w:w="1746"/>
        <w:gridCol w:w="1751"/>
        <w:gridCol w:w="1747"/>
        <w:gridCol w:w="1746"/>
        <w:gridCol w:w="1759"/>
      </w:tblGrid>
      <w:tr w14:paraId="328D2A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1" w:hRule="atLeast"/>
        </w:trPr>
        <w:tc>
          <w:tcPr>
            <w:tcW w:w="653" w:type="dxa"/>
            <w:vMerge w:val="restart"/>
            <w:tcBorders>
              <w:bottom w:val="nil"/>
            </w:tcBorders>
            <w:vAlign w:val="top"/>
          </w:tcPr>
          <w:p w14:paraId="2CFB8891">
            <w:pPr>
              <w:spacing w:line="350" w:lineRule="auto"/>
              <w:rPr>
                <w:rFonts w:ascii="Arial"/>
                <w:color w:val="auto"/>
                <w:sz w:val="21"/>
                <w:highlight w:val="none"/>
              </w:rPr>
            </w:pPr>
          </w:p>
          <w:p w14:paraId="4235EFAA">
            <w:pPr>
              <w:pStyle w:val="18"/>
              <w:spacing w:before="65" w:line="229" w:lineRule="auto"/>
              <w:ind w:left="121"/>
              <w:rPr>
                <w:color w:val="auto"/>
                <w:highlight w:val="none"/>
              </w:rPr>
            </w:pPr>
            <w:r>
              <w:rPr>
                <w:color w:val="auto"/>
                <w:spacing w:val="5"/>
                <w:highlight w:val="none"/>
              </w:rPr>
              <w:t>序号</w:t>
            </w:r>
          </w:p>
        </w:tc>
        <w:tc>
          <w:tcPr>
            <w:tcW w:w="3073" w:type="dxa"/>
            <w:vMerge w:val="restart"/>
            <w:tcBorders>
              <w:bottom w:val="nil"/>
            </w:tcBorders>
            <w:vAlign w:val="top"/>
          </w:tcPr>
          <w:p w14:paraId="695AF16D">
            <w:pPr>
              <w:pStyle w:val="18"/>
              <w:spacing w:before="297" w:line="229" w:lineRule="auto"/>
              <w:ind w:left="1330"/>
              <w:rPr>
                <w:color w:val="auto"/>
                <w:highlight w:val="none"/>
              </w:rPr>
            </w:pPr>
            <w:r>
              <w:rPr>
                <w:color w:val="auto"/>
                <w:spacing w:val="3"/>
                <w:highlight w:val="none"/>
              </w:rPr>
              <w:t>人员</w:t>
            </w:r>
          </w:p>
        </w:tc>
        <w:tc>
          <w:tcPr>
            <w:tcW w:w="5243" w:type="dxa"/>
            <w:gridSpan w:val="3"/>
            <w:vAlign w:val="top"/>
          </w:tcPr>
          <w:p w14:paraId="6A512494">
            <w:pPr>
              <w:pStyle w:val="18"/>
              <w:spacing w:before="141" w:line="228" w:lineRule="auto"/>
              <w:ind w:left="2311"/>
              <w:rPr>
                <w:color w:val="auto"/>
                <w:highlight w:val="none"/>
              </w:rPr>
            </w:pPr>
            <w:r>
              <w:rPr>
                <w:color w:val="auto"/>
                <w:spacing w:val="7"/>
                <w:highlight w:val="none"/>
              </w:rPr>
              <w:t>施工期</w:t>
            </w:r>
          </w:p>
        </w:tc>
        <w:tc>
          <w:tcPr>
            <w:tcW w:w="5252" w:type="dxa"/>
            <w:gridSpan w:val="3"/>
            <w:vAlign w:val="top"/>
          </w:tcPr>
          <w:p w14:paraId="42BE83F5">
            <w:pPr>
              <w:pStyle w:val="18"/>
              <w:spacing w:before="140" w:line="228" w:lineRule="auto"/>
              <w:ind w:left="2125"/>
              <w:rPr>
                <w:color w:val="auto"/>
                <w:highlight w:val="none"/>
              </w:rPr>
            </w:pPr>
            <w:r>
              <w:rPr>
                <w:color w:val="auto"/>
                <w:spacing w:val="8"/>
                <w:highlight w:val="none"/>
              </w:rPr>
              <w:t>缺陷责任期</w:t>
            </w:r>
          </w:p>
        </w:tc>
      </w:tr>
      <w:tr w14:paraId="1FD809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653" w:type="dxa"/>
            <w:vMerge w:val="continue"/>
            <w:tcBorders>
              <w:top w:val="nil"/>
            </w:tcBorders>
            <w:vAlign w:val="top"/>
          </w:tcPr>
          <w:p w14:paraId="1CECE55E">
            <w:pPr>
              <w:rPr>
                <w:rFonts w:ascii="Arial"/>
                <w:color w:val="auto"/>
                <w:sz w:val="21"/>
                <w:highlight w:val="none"/>
              </w:rPr>
            </w:pPr>
          </w:p>
        </w:tc>
        <w:tc>
          <w:tcPr>
            <w:tcW w:w="3073" w:type="dxa"/>
            <w:vMerge w:val="continue"/>
            <w:tcBorders>
              <w:top w:val="nil"/>
            </w:tcBorders>
            <w:vAlign w:val="top"/>
          </w:tcPr>
          <w:p w14:paraId="35C906D2">
            <w:pPr>
              <w:rPr>
                <w:rFonts w:ascii="Arial"/>
                <w:color w:val="auto"/>
                <w:sz w:val="21"/>
                <w:highlight w:val="none"/>
              </w:rPr>
            </w:pPr>
          </w:p>
        </w:tc>
        <w:tc>
          <w:tcPr>
            <w:tcW w:w="1746" w:type="dxa"/>
            <w:vAlign w:val="top"/>
          </w:tcPr>
          <w:p w14:paraId="4B66CA11">
            <w:pPr>
              <w:pStyle w:val="18"/>
              <w:spacing w:before="168" w:line="228" w:lineRule="auto"/>
              <w:ind w:left="667"/>
              <w:rPr>
                <w:color w:val="auto"/>
                <w:highlight w:val="none"/>
              </w:rPr>
            </w:pPr>
            <w:r>
              <w:rPr>
                <w:color w:val="auto"/>
                <w:spacing w:val="3"/>
                <w:highlight w:val="none"/>
              </w:rPr>
              <w:t>数量</w:t>
            </w:r>
          </w:p>
        </w:tc>
        <w:tc>
          <w:tcPr>
            <w:tcW w:w="1746" w:type="dxa"/>
            <w:vAlign w:val="top"/>
          </w:tcPr>
          <w:p w14:paraId="12D4AA2F">
            <w:pPr>
              <w:pStyle w:val="18"/>
              <w:spacing w:before="31" w:line="226" w:lineRule="auto"/>
              <w:ind w:left="668"/>
              <w:rPr>
                <w:color w:val="auto"/>
                <w:highlight w:val="none"/>
              </w:rPr>
            </w:pPr>
            <w:r>
              <w:rPr>
                <w:color w:val="auto"/>
                <w:spacing w:val="3"/>
                <w:highlight w:val="none"/>
              </w:rPr>
              <w:t>单价</w:t>
            </w:r>
          </w:p>
          <w:p w14:paraId="7EADCB29">
            <w:pPr>
              <w:pStyle w:val="18"/>
              <w:spacing w:before="28" w:line="216" w:lineRule="auto"/>
              <w:ind w:left="415"/>
              <w:rPr>
                <w:color w:val="auto"/>
                <w:highlight w:val="none"/>
              </w:rPr>
            </w:pPr>
            <w:r>
              <w:rPr>
                <w:color w:val="auto"/>
                <w:spacing w:val="-1"/>
                <w:highlight w:val="none"/>
              </w:rPr>
              <w:t>(元/人</w:t>
            </w:r>
            <w:r>
              <w:rPr>
                <w:rFonts w:ascii="Arial" w:hAnsi="Arial" w:eastAsia="Arial" w:cs="Arial"/>
                <w:color w:val="auto"/>
                <w:spacing w:val="-1"/>
                <w:highlight w:val="none"/>
              </w:rPr>
              <w:t>.</w:t>
            </w:r>
            <w:r>
              <w:rPr>
                <w:color w:val="auto"/>
                <w:spacing w:val="-1"/>
                <w:highlight w:val="none"/>
              </w:rPr>
              <w:t>月)</w:t>
            </w:r>
          </w:p>
        </w:tc>
        <w:tc>
          <w:tcPr>
            <w:tcW w:w="1751" w:type="dxa"/>
            <w:vAlign w:val="top"/>
          </w:tcPr>
          <w:p w14:paraId="156D6D88">
            <w:pPr>
              <w:pStyle w:val="18"/>
              <w:spacing w:before="168" w:line="228" w:lineRule="auto"/>
              <w:ind w:left="463"/>
              <w:rPr>
                <w:color w:val="auto"/>
                <w:highlight w:val="none"/>
              </w:rPr>
            </w:pPr>
            <w:r>
              <w:rPr>
                <w:color w:val="auto"/>
                <w:spacing w:val="5"/>
                <w:highlight w:val="none"/>
              </w:rPr>
              <w:t>金额(元)</w:t>
            </w:r>
          </w:p>
        </w:tc>
        <w:tc>
          <w:tcPr>
            <w:tcW w:w="1747" w:type="dxa"/>
            <w:vAlign w:val="top"/>
          </w:tcPr>
          <w:p w14:paraId="4C57E2FC">
            <w:pPr>
              <w:pStyle w:val="18"/>
              <w:spacing w:before="168" w:line="228" w:lineRule="auto"/>
              <w:ind w:left="670"/>
              <w:rPr>
                <w:color w:val="auto"/>
                <w:highlight w:val="none"/>
              </w:rPr>
            </w:pPr>
            <w:r>
              <w:rPr>
                <w:color w:val="auto"/>
                <w:spacing w:val="3"/>
                <w:highlight w:val="none"/>
              </w:rPr>
              <w:t>数量</w:t>
            </w:r>
          </w:p>
        </w:tc>
        <w:tc>
          <w:tcPr>
            <w:tcW w:w="1746" w:type="dxa"/>
            <w:vAlign w:val="top"/>
          </w:tcPr>
          <w:p w14:paraId="5B7FD2ED">
            <w:pPr>
              <w:pStyle w:val="18"/>
              <w:spacing w:before="31" w:line="226" w:lineRule="auto"/>
              <w:ind w:left="671"/>
              <w:rPr>
                <w:color w:val="auto"/>
                <w:highlight w:val="none"/>
              </w:rPr>
            </w:pPr>
            <w:r>
              <w:rPr>
                <w:color w:val="auto"/>
                <w:spacing w:val="3"/>
                <w:highlight w:val="none"/>
              </w:rPr>
              <w:t>单价</w:t>
            </w:r>
          </w:p>
          <w:p w14:paraId="1A7D45CF">
            <w:pPr>
              <w:pStyle w:val="18"/>
              <w:spacing w:before="28" w:line="216" w:lineRule="auto"/>
              <w:ind w:left="418"/>
              <w:rPr>
                <w:color w:val="auto"/>
                <w:highlight w:val="none"/>
              </w:rPr>
            </w:pPr>
            <w:r>
              <w:rPr>
                <w:color w:val="auto"/>
                <w:spacing w:val="-1"/>
                <w:highlight w:val="none"/>
              </w:rPr>
              <w:t>(元/人</w:t>
            </w:r>
            <w:r>
              <w:rPr>
                <w:rFonts w:ascii="Arial" w:hAnsi="Arial" w:eastAsia="Arial" w:cs="Arial"/>
                <w:color w:val="auto"/>
                <w:spacing w:val="-1"/>
                <w:highlight w:val="none"/>
              </w:rPr>
              <w:t>.</w:t>
            </w:r>
            <w:r>
              <w:rPr>
                <w:color w:val="auto"/>
                <w:spacing w:val="-1"/>
                <w:highlight w:val="none"/>
              </w:rPr>
              <w:t>月)</w:t>
            </w:r>
          </w:p>
        </w:tc>
        <w:tc>
          <w:tcPr>
            <w:tcW w:w="1759" w:type="dxa"/>
            <w:vAlign w:val="top"/>
          </w:tcPr>
          <w:p w14:paraId="504AF334">
            <w:pPr>
              <w:pStyle w:val="18"/>
              <w:spacing w:before="168" w:line="228" w:lineRule="auto"/>
              <w:ind w:left="487"/>
              <w:rPr>
                <w:color w:val="auto"/>
                <w:highlight w:val="none"/>
              </w:rPr>
            </w:pPr>
            <w:r>
              <w:rPr>
                <w:color w:val="auto"/>
                <w:spacing w:val="5"/>
                <w:highlight w:val="none"/>
              </w:rPr>
              <w:t>金额(元)</w:t>
            </w:r>
          </w:p>
        </w:tc>
      </w:tr>
      <w:tr w14:paraId="0216A1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trPr>
        <w:tc>
          <w:tcPr>
            <w:tcW w:w="653" w:type="dxa"/>
            <w:vAlign w:val="top"/>
          </w:tcPr>
          <w:p w14:paraId="7AF1D696">
            <w:pPr>
              <w:pStyle w:val="18"/>
              <w:spacing w:before="135" w:line="270" w:lineRule="exact"/>
              <w:ind w:left="293"/>
              <w:rPr>
                <w:color w:val="auto"/>
                <w:highlight w:val="none"/>
              </w:rPr>
            </w:pPr>
            <w:r>
              <w:rPr>
                <w:color w:val="auto"/>
                <w:position w:val="1"/>
                <w:highlight w:val="none"/>
              </w:rPr>
              <w:t>1</w:t>
            </w:r>
          </w:p>
        </w:tc>
        <w:tc>
          <w:tcPr>
            <w:tcW w:w="3073" w:type="dxa"/>
            <w:vAlign w:val="top"/>
          </w:tcPr>
          <w:p w14:paraId="44C89EB9">
            <w:pPr>
              <w:pStyle w:val="18"/>
              <w:spacing w:before="134" w:line="228" w:lineRule="auto"/>
              <w:ind w:left="914"/>
              <w:rPr>
                <w:color w:val="auto"/>
                <w:highlight w:val="none"/>
              </w:rPr>
            </w:pPr>
            <w:r>
              <w:rPr>
                <w:color w:val="auto"/>
                <w:spacing w:val="7"/>
                <w:highlight w:val="none"/>
              </w:rPr>
              <w:t>总监理工程师</w:t>
            </w:r>
          </w:p>
        </w:tc>
        <w:tc>
          <w:tcPr>
            <w:tcW w:w="1746" w:type="dxa"/>
            <w:vAlign w:val="top"/>
          </w:tcPr>
          <w:p w14:paraId="1B719A67">
            <w:pPr>
              <w:rPr>
                <w:rFonts w:ascii="Arial"/>
                <w:color w:val="auto"/>
                <w:sz w:val="21"/>
                <w:highlight w:val="none"/>
              </w:rPr>
            </w:pPr>
          </w:p>
        </w:tc>
        <w:tc>
          <w:tcPr>
            <w:tcW w:w="1746" w:type="dxa"/>
            <w:vAlign w:val="top"/>
          </w:tcPr>
          <w:p w14:paraId="59399BF4">
            <w:pPr>
              <w:rPr>
                <w:rFonts w:ascii="Arial"/>
                <w:color w:val="auto"/>
                <w:sz w:val="21"/>
                <w:highlight w:val="none"/>
              </w:rPr>
            </w:pPr>
          </w:p>
        </w:tc>
        <w:tc>
          <w:tcPr>
            <w:tcW w:w="1751" w:type="dxa"/>
            <w:vAlign w:val="top"/>
          </w:tcPr>
          <w:p w14:paraId="4710A9A6">
            <w:pPr>
              <w:rPr>
                <w:rFonts w:ascii="Arial"/>
                <w:color w:val="auto"/>
                <w:sz w:val="21"/>
                <w:highlight w:val="none"/>
              </w:rPr>
            </w:pPr>
          </w:p>
        </w:tc>
        <w:tc>
          <w:tcPr>
            <w:tcW w:w="1747" w:type="dxa"/>
            <w:vAlign w:val="top"/>
          </w:tcPr>
          <w:p w14:paraId="52E7B46C">
            <w:pPr>
              <w:rPr>
                <w:rFonts w:ascii="Arial"/>
                <w:color w:val="auto"/>
                <w:sz w:val="21"/>
                <w:highlight w:val="none"/>
              </w:rPr>
            </w:pPr>
          </w:p>
        </w:tc>
        <w:tc>
          <w:tcPr>
            <w:tcW w:w="1746" w:type="dxa"/>
            <w:vAlign w:val="top"/>
          </w:tcPr>
          <w:p w14:paraId="11F3476F">
            <w:pPr>
              <w:rPr>
                <w:rFonts w:ascii="Arial"/>
                <w:color w:val="auto"/>
                <w:sz w:val="21"/>
                <w:highlight w:val="none"/>
              </w:rPr>
            </w:pPr>
          </w:p>
        </w:tc>
        <w:tc>
          <w:tcPr>
            <w:tcW w:w="1759" w:type="dxa"/>
            <w:vAlign w:val="top"/>
          </w:tcPr>
          <w:p w14:paraId="00065F77">
            <w:pPr>
              <w:rPr>
                <w:rFonts w:ascii="Arial"/>
                <w:color w:val="auto"/>
                <w:sz w:val="21"/>
                <w:highlight w:val="none"/>
              </w:rPr>
            </w:pPr>
          </w:p>
        </w:tc>
      </w:tr>
      <w:tr w14:paraId="52E34E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653" w:type="dxa"/>
            <w:vAlign w:val="top"/>
          </w:tcPr>
          <w:p w14:paraId="1E2669B3">
            <w:pPr>
              <w:pStyle w:val="18"/>
              <w:spacing w:before="135" w:line="270" w:lineRule="exact"/>
              <w:ind w:left="280"/>
              <w:rPr>
                <w:color w:val="auto"/>
                <w:highlight w:val="none"/>
              </w:rPr>
            </w:pPr>
            <w:r>
              <w:rPr>
                <w:color w:val="auto"/>
                <w:position w:val="1"/>
                <w:highlight w:val="none"/>
              </w:rPr>
              <w:t>2</w:t>
            </w:r>
          </w:p>
        </w:tc>
        <w:tc>
          <w:tcPr>
            <w:tcW w:w="3073" w:type="dxa"/>
            <w:vAlign w:val="top"/>
          </w:tcPr>
          <w:p w14:paraId="41F58D76">
            <w:pPr>
              <w:pStyle w:val="18"/>
              <w:spacing w:before="101" w:line="228" w:lineRule="auto"/>
              <w:ind w:left="699"/>
              <w:rPr>
                <w:color w:val="auto"/>
                <w:highlight w:val="none"/>
              </w:rPr>
            </w:pPr>
            <w:r>
              <w:rPr>
                <w:color w:val="auto"/>
                <w:spacing w:val="7"/>
                <w:highlight w:val="none"/>
              </w:rPr>
              <w:t>**专业监理工程师</w:t>
            </w:r>
          </w:p>
        </w:tc>
        <w:tc>
          <w:tcPr>
            <w:tcW w:w="1746" w:type="dxa"/>
            <w:vAlign w:val="top"/>
          </w:tcPr>
          <w:p w14:paraId="4A6D0D9B">
            <w:pPr>
              <w:rPr>
                <w:rFonts w:ascii="Arial"/>
                <w:color w:val="auto"/>
                <w:sz w:val="21"/>
                <w:highlight w:val="none"/>
              </w:rPr>
            </w:pPr>
          </w:p>
        </w:tc>
        <w:tc>
          <w:tcPr>
            <w:tcW w:w="1746" w:type="dxa"/>
            <w:vAlign w:val="top"/>
          </w:tcPr>
          <w:p w14:paraId="29617D2D">
            <w:pPr>
              <w:rPr>
                <w:rFonts w:ascii="Arial"/>
                <w:color w:val="auto"/>
                <w:sz w:val="21"/>
                <w:highlight w:val="none"/>
              </w:rPr>
            </w:pPr>
          </w:p>
        </w:tc>
        <w:tc>
          <w:tcPr>
            <w:tcW w:w="1751" w:type="dxa"/>
            <w:vAlign w:val="top"/>
          </w:tcPr>
          <w:p w14:paraId="3D851F69">
            <w:pPr>
              <w:rPr>
                <w:rFonts w:ascii="Arial"/>
                <w:color w:val="auto"/>
                <w:sz w:val="21"/>
                <w:highlight w:val="none"/>
              </w:rPr>
            </w:pPr>
          </w:p>
        </w:tc>
        <w:tc>
          <w:tcPr>
            <w:tcW w:w="1747" w:type="dxa"/>
            <w:vAlign w:val="top"/>
          </w:tcPr>
          <w:p w14:paraId="2C53C4E7">
            <w:pPr>
              <w:rPr>
                <w:rFonts w:ascii="Arial"/>
                <w:color w:val="auto"/>
                <w:sz w:val="21"/>
                <w:highlight w:val="none"/>
              </w:rPr>
            </w:pPr>
          </w:p>
        </w:tc>
        <w:tc>
          <w:tcPr>
            <w:tcW w:w="1746" w:type="dxa"/>
            <w:vAlign w:val="top"/>
          </w:tcPr>
          <w:p w14:paraId="7AAD1F43">
            <w:pPr>
              <w:rPr>
                <w:rFonts w:ascii="Arial"/>
                <w:color w:val="auto"/>
                <w:sz w:val="21"/>
                <w:highlight w:val="none"/>
              </w:rPr>
            </w:pPr>
          </w:p>
        </w:tc>
        <w:tc>
          <w:tcPr>
            <w:tcW w:w="1759" w:type="dxa"/>
            <w:vAlign w:val="top"/>
          </w:tcPr>
          <w:p w14:paraId="2FA3B31E">
            <w:pPr>
              <w:rPr>
                <w:rFonts w:ascii="Arial"/>
                <w:color w:val="auto"/>
                <w:sz w:val="21"/>
                <w:highlight w:val="none"/>
              </w:rPr>
            </w:pPr>
          </w:p>
        </w:tc>
      </w:tr>
      <w:tr w14:paraId="403F4E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trPr>
        <w:tc>
          <w:tcPr>
            <w:tcW w:w="653" w:type="dxa"/>
            <w:vAlign w:val="top"/>
          </w:tcPr>
          <w:p w14:paraId="4D496EAC">
            <w:pPr>
              <w:pStyle w:val="18"/>
              <w:spacing w:before="136" w:line="268" w:lineRule="exact"/>
              <w:ind w:left="282"/>
              <w:rPr>
                <w:color w:val="auto"/>
                <w:highlight w:val="none"/>
              </w:rPr>
            </w:pPr>
            <w:r>
              <w:rPr>
                <w:color w:val="auto"/>
                <w:position w:val="1"/>
                <w:highlight w:val="none"/>
              </w:rPr>
              <w:t>3</w:t>
            </w:r>
          </w:p>
        </w:tc>
        <w:tc>
          <w:tcPr>
            <w:tcW w:w="3073" w:type="dxa"/>
            <w:vAlign w:val="top"/>
          </w:tcPr>
          <w:p w14:paraId="5E416EF2">
            <w:pPr>
              <w:pStyle w:val="18"/>
              <w:spacing w:before="135" w:line="228" w:lineRule="auto"/>
              <w:ind w:left="699"/>
              <w:rPr>
                <w:color w:val="auto"/>
                <w:highlight w:val="none"/>
              </w:rPr>
            </w:pPr>
            <w:r>
              <w:rPr>
                <w:color w:val="auto"/>
                <w:spacing w:val="7"/>
                <w:highlight w:val="none"/>
              </w:rPr>
              <w:t>**专业监理工程师</w:t>
            </w:r>
          </w:p>
        </w:tc>
        <w:tc>
          <w:tcPr>
            <w:tcW w:w="1746" w:type="dxa"/>
            <w:vAlign w:val="top"/>
          </w:tcPr>
          <w:p w14:paraId="7AF13A09">
            <w:pPr>
              <w:rPr>
                <w:rFonts w:ascii="Arial"/>
                <w:color w:val="auto"/>
                <w:sz w:val="21"/>
                <w:highlight w:val="none"/>
              </w:rPr>
            </w:pPr>
          </w:p>
        </w:tc>
        <w:tc>
          <w:tcPr>
            <w:tcW w:w="1746" w:type="dxa"/>
            <w:vAlign w:val="top"/>
          </w:tcPr>
          <w:p w14:paraId="67851581">
            <w:pPr>
              <w:rPr>
                <w:rFonts w:ascii="Arial"/>
                <w:color w:val="auto"/>
                <w:sz w:val="21"/>
                <w:highlight w:val="none"/>
              </w:rPr>
            </w:pPr>
          </w:p>
        </w:tc>
        <w:tc>
          <w:tcPr>
            <w:tcW w:w="1751" w:type="dxa"/>
            <w:vAlign w:val="top"/>
          </w:tcPr>
          <w:p w14:paraId="7A668BFB">
            <w:pPr>
              <w:rPr>
                <w:rFonts w:ascii="Arial"/>
                <w:color w:val="auto"/>
                <w:sz w:val="21"/>
                <w:highlight w:val="none"/>
              </w:rPr>
            </w:pPr>
          </w:p>
        </w:tc>
        <w:tc>
          <w:tcPr>
            <w:tcW w:w="1747" w:type="dxa"/>
            <w:vAlign w:val="top"/>
          </w:tcPr>
          <w:p w14:paraId="680C6C14">
            <w:pPr>
              <w:rPr>
                <w:rFonts w:ascii="Arial"/>
                <w:color w:val="auto"/>
                <w:sz w:val="21"/>
                <w:highlight w:val="none"/>
              </w:rPr>
            </w:pPr>
          </w:p>
        </w:tc>
        <w:tc>
          <w:tcPr>
            <w:tcW w:w="1746" w:type="dxa"/>
            <w:vAlign w:val="top"/>
          </w:tcPr>
          <w:p w14:paraId="600AE12E">
            <w:pPr>
              <w:rPr>
                <w:rFonts w:ascii="Arial"/>
                <w:color w:val="auto"/>
                <w:sz w:val="21"/>
                <w:highlight w:val="none"/>
              </w:rPr>
            </w:pPr>
          </w:p>
        </w:tc>
        <w:tc>
          <w:tcPr>
            <w:tcW w:w="1759" w:type="dxa"/>
            <w:vAlign w:val="top"/>
          </w:tcPr>
          <w:p w14:paraId="62BACC98">
            <w:pPr>
              <w:rPr>
                <w:rFonts w:ascii="Arial"/>
                <w:color w:val="auto"/>
                <w:sz w:val="21"/>
                <w:highlight w:val="none"/>
              </w:rPr>
            </w:pPr>
          </w:p>
        </w:tc>
      </w:tr>
      <w:tr w14:paraId="6D89F8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653" w:type="dxa"/>
            <w:vAlign w:val="top"/>
          </w:tcPr>
          <w:p w14:paraId="4EE6F239">
            <w:pPr>
              <w:pStyle w:val="18"/>
              <w:spacing w:before="136" w:line="270" w:lineRule="exact"/>
              <w:ind w:left="277"/>
              <w:rPr>
                <w:color w:val="auto"/>
                <w:highlight w:val="none"/>
              </w:rPr>
            </w:pPr>
            <w:r>
              <w:rPr>
                <w:color w:val="auto"/>
                <w:position w:val="1"/>
                <w:highlight w:val="none"/>
              </w:rPr>
              <w:t>4</w:t>
            </w:r>
          </w:p>
        </w:tc>
        <w:tc>
          <w:tcPr>
            <w:tcW w:w="3073" w:type="dxa"/>
            <w:vAlign w:val="top"/>
          </w:tcPr>
          <w:p w14:paraId="29EBEE9C">
            <w:pPr>
              <w:pStyle w:val="18"/>
              <w:spacing w:before="135" w:line="228" w:lineRule="auto"/>
              <w:ind w:left="699"/>
              <w:rPr>
                <w:color w:val="auto"/>
                <w:highlight w:val="none"/>
              </w:rPr>
            </w:pPr>
            <w:r>
              <w:rPr>
                <w:color w:val="auto"/>
                <w:spacing w:val="7"/>
                <w:highlight w:val="none"/>
              </w:rPr>
              <w:t>**专业监理工程师</w:t>
            </w:r>
          </w:p>
        </w:tc>
        <w:tc>
          <w:tcPr>
            <w:tcW w:w="1746" w:type="dxa"/>
            <w:vAlign w:val="top"/>
          </w:tcPr>
          <w:p w14:paraId="1462C9C8">
            <w:pPr>
              <w:rPr>
                <w:rFonts w:ascii="Arial"/>
                <w:color w:val="auto"/>
                <w:sz w:val="21"/>
                <w:highlight w:val="none"/>
              </w:rPr>
            </w:pPr>
          </w:p>
        </w:tc>
        <w:tc>
          <w:tcPr>
            <w:tcW w:w="1746" w:type="dxa"/>
            <w:vAlign w:val="top"/>
          </w:tcPr>
          <w:p w14:paraId="0DF6D549">
            <w:pPr>
              <w:rPr>
                <w:rFonts w:ascii="Arial"/>
                <w:color w:val="auto"/>
                <w:sz w:val="21"/>
                <w:highlight w:val="none"/>
              </w:rPr>
            </w:pPr>
          </w:p>
        </w:tc>
        <w:tc>
          <w:tcPr>
            <w:tcW w:w="1751" w:type="dxa"/>
            <w:vAlign w:val="top"/>
          </w:tcPr>
          <w:p w14:paraId="32E8D07D">
            <w:pPr>
              <w:rPr>
                <w:rFonts w:ascii="Arial"/>
                <w:color w:val="auto"/>
                <w:sz w:val="21"/>
                <w:highlight w:val="none"/>
              </w:rPr>
            </w:pPr>
          </w:p>
        </w:tc>
        <w:tc>
          <w:tcPr>
            <w:tcW w:w="1747" w:type="dxa"/>
            <w:vAlign w:val="top"/>
          </w:tcPr>
          <w:p w14:paraId="0F55EF23">
            <w:pPr>
              <w:rPr>
                <w:rFonts w:ascii="Arial"/>
                <w:color w:val="auto"/>
                <w:sz w:val="21"/>
                <w:highlight w:val="none"/>
              </w:rPr>
            </w:pPr>
          </w:p>
        </w:tc>
        <w:tc>
          <w:tcPr>
            <w:tcW w:w="1746" w:type="dxa"/>
            <w:vAlign w:val="top"/>
          </w:tcPr>
          <w:p w14:paraId="35AC3F51">
            <w:pPr>
              <w:rPr>
                <w:rFonts w:ascii="Arial"/>
                <w:color w:val="auto"/>
                <w:sz w:val="21"/>
                <w:highlight w:val="none"/>
              </w:rPr>
            </w:pPr>
          </w:p>
        </w:tc>
        <w:tc>
          <w:tcPr>
            <w:tcW w:w="1759" w:type="dxa"/>
            <w:vAlign w:val="top"/>
          </w:tcPr>
          <w:p w14:paraId="49380803">
            <w:pPr>
              <w:rPr>
                <w:rFonts w:ascii="Arial"/>
                <w:color w:val="auto"/>
                <w:sz w:val="21"/>
                <w:highlight w:val="none"/>
              </w:rPr>
            </w:pPr>
          </w:p>
        </w:tc>
      </w:tr>
      <w:tr w14:paraId="381E9D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trPr>
        <w:tc>
          <w:tcPr>
            <w:tcW w:w="653" w:type="dxa"/>
            <w:vAlign w:val="top"/>
          </w:tcPr>
          <w:p w14:paraId="1D5C72C3">
            <w:pPr>
              <w:pStyle w:val="18"/>
              <w:spacing w:before="137" w:line="268" w:lineRule="exact"/>
              <w:ind w:left="282"/>
              <w:rPr>
                <w:color w:val="auto"/>
                <w:highlight w:val="none"/>
              </w:rPr>
            </w:pPr>
            <w:r>
              <w:rPr>
                <w:color w:val="auto"/>
                <w:position w:val="1"/>
                <w:highlight w:val="none"/>
              </w:rPr>
              <w:t>5</w:t>
            </w:r>
          </w:p>
        </w:tc>
        <w:tc>
          <w:tcPr>
            <w:tcW w:w="3073" w:type="dxa"/>
            <w:vAlign w:val="top"/>
          </w:tcPr>
          <w:p w14:paraId="7F87BDA0">
            <w:pPr>
              <w:pStyle w:val="18"/>
              <w:spacing w:before="136" w:line="228" w:lineRule="auto"/>
              <w:ind w:left="699"/>
              <w:rPr>
                <w:color w:val="auto"/>
                <w:highlight w:val="none"/>
              </w:rPr>
            </w:pPr>
            <w:r>
              <w:rPr>
                <w:color w:val="auto"/>
                <w:spacing w:val="7"/>
                <w:highlight w:val="none"/>
              </w:rPr>
              <w:t>**专业监理工程师</w:t>
            </w:r>
          </w:p>
        </w:tc>
        <w:tc>
          <w:tcPr>
            <w:tcW w:w="1746" w:type="dxa"/>
            <w:vAlign w:val="top"/>
          </w:tcPr>
          <w:p w14:paraId="50351F4E">
            <w:pPr>
              <w:rPr>
                <w:rFonts w:ascii="Arial"/>
                <w:color w:val="auto"/>
                <w:sz w:val="21"/>
                <w:highlight w:val="none"/>
              </w:rPr>
            </w:pPr>
          </w:p>
        </w:tc>
        <w:tc>
          <w:tcPr>
            <w:tcW w:w="1746" w:type="dxa"/>
            <w:vAlign w:val="top"/>
          </w:tcPr>
          <w:p w14:paraId="2D324649">
            <w:pPr>
              <w:rPr>
                <w:rFonts w:ascii="Arial"/>
                <w:color w:val="auto"/>
                <w:sz w:val="21"/>
                <w:highlight w:val="none"/>
              </w:rPr>
            </w:pPr>
          </w:p>
        </w:tc>
        <w:tc>
          <w:tcPr>
            <w:tcW w:w="1751" w:type="dxa"/>
            <w:vAlign w:val="top"/>
          </w:tcPr>
          <w:p w14:paraId="07B980CA">
            <w:pPr>
              <w:rPr>
                <w:rFonts w:ascii="Arial"/>
                <w:color w:val="auto"/>
                <w:sz w:val="21"/>
                <w:highlight w:val="none"/>
              </w:rPr>
            </w:pPr>
          </w:p>
        </w:tc>
        <w:tc>
          <w:tcPr>
            <w:tcW w:w="1747" w:type="dxa"/>
            <w:vAlign w:val="top"/>
          </w:tcPr>
          <w:p w14:paraId="3FE2E1AE">
            <w:pPr>
              <w:rPr>
                <w:rFonts w:ascii="Arial"/>
                <w:color w:val="auto"/>
                <w:sz w:val="21"/>
                <w:highlight w:val="none"/>
              </w:rPr>
            </w:pPr>
          </w:p>
        </w:tc>
        <w:tc>
          <w:tcPr>
            <w:tcW w:w="1746" w:type="dxa"/>
            <w:vAlign w:val="top"/>
          </w:tcPr>
          <w:p w14:paraId="26B4326B">
            <w:pPr>
              <w:rPr>
                <w:rFonts w:ascii="Arial"/>
                <w:color w:val="auto"/>
                <w:sz w:val="21"/>
                <w:highlight w:val="none"/>
              </w:rPr>
            </w:pPr>
          </w:p>
        </w:tc>
        <w:tc>
          <w:tcPr>
            <w:tcW w:w="1759" w:type="dxa"/>
            <w:vAlign w:val="top"/>
          </w:tcPr>
          <w:p w14:paraId="00622D39">
            <w:pPr>
              <w:rPr>
                <w:rFonts w:ascii="Arial"/>
                <w:color w:val="auto"/>
                <w:sz w:val="21"/>
                <w:highlight w:val="none"/>
              </w:rPr>
            </w:pPr>
          </w:p>
        </w:tc>
      </w:tr>
      <w:tr w14:paraId="6102AB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trPr>
        <w:tc>
          <w:tcPr>
            <w:tcW w:w="653" w:type="dxa"/>
            <w:vAlign w:val="top"/>
          </w:tcPr>
          <w:p w14:paraId="438F86CC">
            <w:pPr>
              <w:pStyle w:val="18"/>
              <w:spacing w:before="137" w:line="268" w:lineRule="exact"/>
              <w:ind w:left="279"/>
              <w:rPr>
                <w:color w:val="auto"/>
                <w:highlight w:val="none"/>
              </w:rPr>
            </w:pPr>
            <w:r>
              <w:rPr>
                <w:color w:val="auto"/>
                <w:position w:val="1"/>
                <w:highlight w:val="none"/>
              </w:rPr>
              <w:t>6</w:t>
            </w:r>
          </w:p>
        </w:tc>
        <w:tc>
          <w:tcPr>
            <w:tcW w:w="3073" w:type="dxa"/>
            <w:vAlign w:val="top"/>
          </w:tcPr>
          <w:p w14:paraId="2ABC8E40">
            <w:pPr>
              <w:pStyle w:val="18"/>
              <w:spacing w:before="136" w:line="228" w:lineRule="auto"/>
              <w:ind w:left="699"/>
              <w:rPr>
                <w:color w:val="auto"/>
                <w:highlight w:val="none"/>
              </w:rPr>
            </w:pPr>
            <w:r>
              <w:rPr>
                <w:color w:val="auto"/>
                <w:spacing w:val="7"/>
                <w:highlight w:val="none"/>
              </w:rPr>
              <w:t>**专业监理工程师</w:t>
            </w:r>
          </w:p>
        </w:tc>
        <w:tc>
          <w:tcPr>
            <w:tcW w:w="1746" w:type="dxa"/>
            <w:vAlign w:val="top"/>
          </w:tcPr>
          <w:p w14:paraId="5F9AE715">
            <w:pPr>
              <w:rPr>
                <w:rFonts w:ascii="Arial"/>
                <w:color w:val="auto"/>
                <w:sz w:val="21"/>
                <w:highlight w:val="none"/>
              </w:rPr>
            </w:pPr>
          </w:p>
        </w:tc>
        <w:tc>
          <w:tcPr>
            <w:tcW w:w="1746" w:type="dxa"/>
            <w:vAlign w:val="top"/>
          </w:tcPr>
          <w:p w14:paraId="25629AC3">
            <w:pPr>
              <w:rPr>
                <w:rFonts w:ascii="Arial"/>
                <w:color w:val="auto"/>
                <w:sz w:val="21"/>
                <w:highlight w:val="none"/>
              </w:rPr>
            </w:pPr>
          </w:p>
        </w:tc>
        <w:tc>
          <w:tcPr>
            <w:tcW w:w="1751" w:type="dxa"/>
            <w:vAlign w:val="top"/>
          </w:tcPr>
          <w:p w14:paraId="13E0DBC0">
            <w:pPr>
              <w:rPr>
                <w:rFonts w:ascii="Arial"/>
                <w:color w:val="auto"/>
                <w:sz w:val="21"/>
                <w:highlight w:val="none"/>
              </w:rPr>
            </w:pPr>
          </w:p>
        </w:tc>
        <w:tc>
          <w:tcPr>
            <w:tcW w:w="1747" w:type="dxa"/>
            <w:vAlign w:val="top"/>
          </w:tcPr>
          <w:p w14:paraId="6F2747AB">
            <w:pPr>
              <w:rPr>
                <w:rFonts w:ascii="Arial"/>
                <w:color w:val="auto"/>
                <w:sz w:val="21"/>
                <w:highlight w:val="none"/>
              </w:rPr>
            </w:pPr>
          </w:p>
        </w:tc>
        <w:tc>
          <w:tcPr>
            <w:tcW w:w="1746" w:type="dxa"/>
            <w:vAlign w:val="top"/>
          </w:tcPr>
          <w:p w14:paraId="1A7032E0">
            <w:pPr>
              <w:rPr>
                <w:rFonts w:ascii="Arial"/>
                <w:color w:val="auto"/>
                <w:sz w:val="21"/>
                <w:highlight w:val="none"/>
              </w:rPr>
            </w:pPr>
          </w:p>
        </w:tc>
        <w:tc>
          <w:tcPr>
            <w:tcW w:w="1759" w:type="dxa"/>
            <w:vAlign w:val="top"/>
          </w:tcPr>
          <w:p w14:paraId="2A540014">
            <w:pPr>
              <w:rPr>
                <w:rFonts w:ascii="Arial"/>
                <w:color w:val="auto"/>
                <w:sz w:val="21"/>
                <w:highlight w:val="none"/>
              </w:rPr>
            </w:pPr>
          </w:p>
        </w:tc>
      </w:tr>
      <w:tr w14:paraId="66195D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trPr>
        <w:tc>
          <w:tcPr>
            <w:tcW w:w="653" w:type="dxa"/>
            <w:vAlign w:val="top"/>
          </w:tcPr>
          <w:p w14:paraId="4C04860B">
            <w:pPr>
              <w:pStyle w:val="18"/>
              <w:spacing w:before="137" w:line="268" w:lineRule="exact"/>
              <w:ind w:left="283"/>
              <w:rPr>
                <w:color w:val="auto"/>
                <w:highlight w:val="none"/>
              </w:rPr>
            </w:pPr>
            <w:r>
              <w:rPr>
                <w:color w:val="auto"/>
                <w:position w:val="1"/>
                <w:highlight w:val="none"/>
              </w:rPr>
              <w:t>7</w:t>
            </w:r>
          </w:p>
        </w:tc>
        <w:tc>
          <w:tcPr>
            <w:tcW w:w="3073" w:type="dxa"/>
            <w:vAlign w:val="top"/>
          </w:tcPr>
          <w:p w14:paraId="4C5B954D">
            <w:pPr>
              <w:pStyle w:val="18"/>
              <w:spacing w:before="136" w:line="228" w:lineRule="auto"/>
              <w:ind w:left="699"/>
              <w:rPr>
                <w:color w:val="auto"/>
                <w:highlight w:val="none"/>
              </w:rPr>
            </w:pPr>
            <w:r>
              <w:rPr>
                <w:color w:val="auto"/>
                <w:spacing w:val="7"/>
                <w:highlight w:val="none"/>
              </w:rPr>
              <w:t>**专业监理工程师</w:t>
            </w:r>
          </w:p>
        </w:tc>
        <w:tc>
          <w:tcPr>
            <w:tcW w:w="1746" w:type="dxa"/>
            <w:vAlign w:val="top"/>
          </w:tcPr>
          <w:p w14:paraId="51454961">
            <w:pPr>
              <w:rPr>
                <w:rFonts w:ascii="Arial"/>
                <w:color w:val="auto"/>
                <w:sz w:val="21"/>
                <w:highlight w:val="none"/>
              </w:rPr>
            </w:pPr>
          </w:p>
        </w:tc>
        <w:tc>
          <w:tcPr>
            <w:tcW w:w="1746" w:type="dxa"/>
            <w:vAlign w:val="top"/>
          </w:tcPr>
          <w:p w14:paraId="0ACB8CC3">
            <w:pPr>
              <w:rPr>
                <w:rFonts w:ascii="Arial"/>
                <w:color w:val="auto"/>
                <w:sz w:val="21"/>
                <w:highlight w:val="none"/>
              </w:rPr>
            </w:pPr>
          </w:p>
        </w:tc>
        <w:tc>
          <w:tcPr>
            <w:tcW w:w="1751" w:type="dxa"/>
            <w:vAlign w:val="top"/>
          </w:tcPr>
          <w:p w14:paraId="72CD1FD9">
            <w:pPr>
              <w:rPr>
                <w:rFonts w:ascii="Arial"/>
                <w:color w:val="auto"/>
                <w:sz w:val="21"/>
                <w:highlight w:val="none"/>
              </w:rPr>
            </w:pPr>
          </w:p>
        </w:tc>
        <w:tc>
          <w:tcPr>
            <w:tcW w:w="1747" w:type="dxa"/>
            <w:vAlign w:val="top"/>
          </w:tcPr>
          <w:p w14:paraId="692B1F78">
            <w:pPr>
              <w:rPr>
                <w:rFonts w:ascii="Arial"/>
                <w:color w:val="auto"/>
                <w:sz w:val="21"/>
                <w:highlight w:val="none"/>
              </w:rPr>
            </w:pPr>
          </w:p>
        </w:tc>
        <w:tc>
          <w:tcPr>
            <w:tcW w:w="1746" w:type="dxa"/>
            <w:vAlign w:val="top"/>
          </w:tcPr>
          <w:p w14:paraId="0D6E2E36">
            <w:pPr>
              <w:rPr>
                <w:rFonts w:ascii="Arial"/>
                <w:color w:val="auto"/>
                <w:sz w:val="21"/>
                <w:highlight w:val="none"/>
              </w:rPr>
            </w:pPr>
          </w:p>
        </w:tc>
        <w:tc>
          <w:tcPr>
            <w:tcW w:w="1759" w:type="dxa"/>
            <w:vAlign w:val="top"/>
          </w:tcPr>
          <w:p w14:paraId="3225764A">
            <w:pPr>
              <w:rPr>
                <w:rFonts w:ascii="Arial"/>
                <w:color w:val="auto"/>
                <w:sz w:val="21"/>
                <w:highlight w:val="none"/>
              </w:rPr>
            </w:pPr>
          </w:p>
        </w:tc>
      </w:tr>
      <w:tr w14:paraId="7E5E01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653" w:type="dxa"/>
            <w:vAlign w:val="top"/>
          </w:tcPr>
          <w:p w14:paraId="5EF65816">
            <w:pPr>
              <w:pStyle w:val="18"/>
              <w:spacing w:before="137" w:line="268" w:lineRule="exact"/>
              <w:ind w:left="278"/>
              <w:rPr>
                <w:color w:val="auto"/>
                <w:highlight w:val="none"/>
              </w:rPr>
            </w:pPr>
            <w:r>
              <w:rPr>
                <w:color w:val="auto"/>
                <w:position w:val="1"/>
                <w:highlight w:val="none"/>
              </w:rPr>
              <w:t>8</w:t>
            </w:r>
          </w:p>
        </w:tc>
        <w:tc>
          <w:tcPr>
            <w:tcW w:w="3073" w:type="dxa"/>
            <w:vAlign w:val="top"/>
          </w:tcPr>
          <w:p w14:paraId="701500CB">
            <w:pPr>
              <w:pStyle w:val="18"/>
              <w:spacing w:before="136" w:line="228" w:lineRule="auto"/>
              <w:ind w:left="699"/>
              <w:rPr>
                <w:color w:val="auto"/>
                <w:highlight w:val="none"/>
              </w:rPr>
            </w:pPr>
            <w:r>
              <w:rPr>
                <w:color w:val="auto"/>
                <w:spacing w:val="7"/>
                <w:highlight w:val="none"/>
              </w:rPr>
              <w:t>**专业监理工程师</w:t>
            </w:r>
          </w:p>
        </w:tc>
        <w:tc>
          <w:tcPr>
            <w:tcW w:w="1746" w:type="dxa"/>
            <w:vAlign w:val="top"/>
          </w:tcPr>
          <w:p w14:paraId="199C49F8">
            <w:pPr>
              <w:rPr>
                <w:rFonts w:ascii="Arial"/>
                <w:color w:val="auto"/>
                <w:sz w:val="21"/>
                <w:highlight w:val="none"/>
              </w:rPr>
            </w:pPr>
          </w:p>
        </w:tc>
        <w:tc>
          <w:tcPr>
            <w:tcW w:w="1746" w:type="dxa"/>
            <w:vAlign w:val="top"/>
          </w:tcPr>
          <w:p w14:paraId="082731B5">
            <w:pPr>
              <w:rPr>
                <w:rFonts w:ascii="Arial"/>
                <w:color w:val="auto"/>
                <w:sz w:val="21"/>
                <w:highlight w:val="none"/>
              </w:rPr>
            </w:pPr>
          </w:p>
        </w:tc>
        <w:tc>
          <w:tcPr>
            <w:tcW w:w="1751" w:type="dxa"/>
            <w:vAlign w:val="top"/>
          </w:tcPr>
          <w:p w14:paraId="3CDDB073">
            <w:pPr>
              <w:rPr>
                <w:rFonts w:ascii="Arial"/>
                <w:color w:val="auto"/>
                <w:sz w:val="21"/>
                <w:highlight w:val="none"/>
              </w:rPr>
            </w:pPr>
          </w:p>
        </w:tc>
        <w:tc>
          <w:tcPr>
            <w:tcW w:w="1747" w:type="dxa"/>
            <w:vAlign w:val="top"/>
          </w:tcPr>
          <w:p w14:paraId="1B70EAA1">
            <w:pPr>
              <w:rPr>
                <w:rFonts w:ascii="Arial"/>
                <w:color w:val="auto"/>
                <w:sz w:val="21"/>
                <w:highlight w:val="none"/>
              </w:rPr>
            </w:pPr>
          </w:p>
        </w:tc>
        <w:tc>
          <w:tcPr>
            <w:tcW w:w="1746" w:type="dxa"/>
            <w:vAlign w:val="top"/>
          </w:tcPr>
          <w:p w14:paraId="7B71C247">
            <w:pPr>
              <w:rPr>
                <w:rFonts w:ascii="Arial"/>
                <w:color w:val="auto"/>
                <w:sz w:val="21"/>
                <w:highlight w:val="none"/>
              </w:rPr>
            </w:pPr>
          </w:p>
        </w:tc>
        <w:tc>
          <w:tcPr>
            <w:tcW w:w="1759" w:type="dxa"/>
            <w:vAlign w:val="top"/>
          </w:tcPr>
          <w:p w14:paraId="3D5C619E">
            <w:pPr>
              <w:rPr>
                <w:rFonts w:ascii="Arial"/>
                <w:color w:val="auto"/>
                <w:sz w:val="21"/>
                <w:highlight w:val="none"/>
              </w:rPr>
            </w:pPr>
          </w:p>
        </w:tc>
      </w:tr>
      <w:tr w14:paraId="226385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trPr>
        <w:tc>
          <w:tcPr>
            <w:tcW w:w="653" w:type="dxa"/>
            <w:vAlign w:val="top"/>
          </w:tcPr>
          <w:p w14:paraId="073DCF6C">
            <w:pPr>
              <w:pStyle w:val="18"/>
              <w:spacing w:before="138" w:line="268" w:lineRule="exact"/>
              <w:ind w:left="278"/>
              <w:rPr>
                <w:color w:val="auto"/>
                <w:highlight w:val="none"/>
              </w:rPr>
            </w:pPr>
            <w:r>
              <w:rPr>
                <w:color w:val="auto"/>
                <w:position w:val="1"/>
                <w:highlight w:val="none"/>
              </w:rPr>
              <w:t>9</w:t>
            </w:r>
          </w:p>
        </w:tc>
        <w:tc>
          <w:tcPr>
            <w:tcW w:w="3073" w:type="dxa"/>
            <w:vAlign w:val="top"/>
          </w:tcPr>
          <w:p w14:paraId="7F276DDF">
            <w:pPr>
              <w:pStyle w:val="18"/>
              <w:spacing w:before="137" w:line="228" w:lineRule="auto"/>
              <w:ind w:left="699"/>
              <w:rPr>
                <w:color w:val="auto"/>
                <w:highlight w:val="none"/>
              </w:rPr>
            </w:pPr>
            <w:r>
              <w:rPr>
                <w:color w:val="auto"/>
                <w:spacing w:val="7"/>
                <w:highlight w:val="none"/>
              </w:rPr>
              <w:t>**专业监理工程师</w:t>
            </w:r>
          </w:p>
        </w:tc>
        <w:tc>
          <w:tcPr>
            <w:tcW w:w="1746" w:type="dxa"/>
            <w:vAlign w:val="top"/>
          </w:tcPr>
          <w:p w14:paraId="0CBEE50B">
            <w:pPr>
              <w:rPr>
                <w:rFonts w:ascii="Arial"/>
                <w:color w:val="auto"/>
                <w:sz w:val="21"/>
                <w:highlight w:val="none"/>
              </w:rPr>
            </w:pPr>
          </w:p>
        </w:tc>
        <w:tc>
          <w:tcPr>
            <w:tcW w:w="1746" w:type="dxa"/>
            <w:vAlign w:val="top"/>
          </w:tcPr>
          <w:p w14:paraId="393E8B92">
            <w:pPr>
              <w:rPr>
                <w:rFonts w:ascii="Arial"/>
                <w:color w:val="auto"/>
                <w:sz w:val="21"/>
                <w:highlight w:val="none"/>
              </w:rPr>
            </w:pPr>
          </w:p>
        </w:tc>
        <w:tc>
          <w:tcPr>
            <w:tcW w:w="1751" w:type="dxa"/>
            <w:vAlign w:val="top"/>
          </w:tcPr>
          <w:p w14:paraId="0F363F6B">
            <w:pPr>
              <w:rPr>
                <w:rFonts w:ascii="Arial"/>
                <w:color w:val="auto"/>
                <w:sz w:val="21"/>
                <w:highlight w:val="none"/>
              </w:rPr>
            </w:pPr>
          </w:p>
        </w:tc>
        <w:tc>
          <w:tcPr>
            <w:tcW w:w="1747" w:type="dxa"/>
            <w:vAlign w:val="top"/>
          </w:tcPr>
          <w:p w14:paraId="11F1D14F">
            <w:pPr>
              <w:rPr>
                <w:rFonts w:ascii="Arial"/>
                <w:color w:val="auto"/>
                <w:sz w:val="21"/>
                <w:highlight w:val="none"/>
              </w:rPr>
            </w:pPr>
          </w:p>
        </w:tc>
        <w:tc>
          <w:tcPr>
            <w:tcW w:w="1746" w:type="dxa"/>
            <w:vAlign w:val="top"/>
          </w:tcPr>
          <w:p w14:paraId="3DD3C560">
            <w:pPr>
              <w:rPr>
                <w:rFonts w:ascii="Arial"/>
                <w:color w:val="auto"/>
                <w:sz w:val="21"/>
                <w:highlight w:val="none"/>
              </w:rPr>
            </w:pPr>
          </w:p>
        </w:tc>
        <w:tc>
          <w:tcPr>
            <w:tcW w:w="1759" w:type="dxa"/>
            <w:vAlign w:val="top"/>
          </w:tcPr>
          <w:p w14:paraId="6FA5344B">
            <w:pPr>
              <w:rPr>
                <w:rFonts w:ascii="Arial"/>
                <w:color w:val="auto"/>
                <w:sz w:val="21"/>
                <w:highlight w:val="none"/>
              </w:rPr>
            </w:pPr>
          </w:p>
        </w:tc>
      </w:tr>
      <w:tr w14:paraId="5F77CC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trPr>
        <w:tc>
          <w:tcPr>
            <w:tcW w:w="653" w:type="dxa"/>
            <w:vAlign w:val="top"/>
          </w:tcPr>
          <w:p w14:paraId="1EA0CA1F">
            <w:pPr>
              <w:pStyle w:val="18"/>
              <w:spacing w:before="138" w:line="268" w:lineRule="exact"/>
              <w:ind w:left="243"/>
              <w:rPr>
                <w:color w:val="auto"/>
                <w:highlight w:val="none"/>
              </w:rPr>
            </w:pPr>
            <w:r>
              <w:rPr>
                <w:color w:val="auto"/>
                <w:spacing w:val="-7"/>
                <w:position w:val="1"/>
                <w:highlight w:val="none"/>
              </w:rPr>
              <w:t>10</w:t>
            </w:r>
          </w:p>
        </w:tc>
        <w:tc>
          <w:tcPr>
            <w:tcW w:w="3073" w:type="dxa"/>
            <w:vAlign w:val="top"/>
          </w:tcPr>
          <w:p w14:paraId="32D64AF9">
            <w:pPr>
              <w:pStyle w:val="18"/>
              <w:spacing w:before="138" w:line="324" w:lineRule="exact"/>
              <w:ind w:left="1342"/>
              <w:rPr>
                <w:color w:val="auto"/>
                <w:highlight w:val="none"/>
              </w:rPr>
            </w:pPr>
            <w:r>
              <w:rPr>
                <w:color w:val="auto"/>
                <w:spacing w:val="-2"/>
                <w:position w:val="2"/>
                <w:highlight w:val="none"/>
              </w:rPr>
              <w:t>……</w:t>
            </w:r>
          </w:p>
        </w:tc>
        <w:tc>
          <w:tcPr>
            <w:tcW w:w="1746" w:type="dxa"/>
            <w:vAlign w:val="top"/>
          </w:tcPr>
          <w:p w14:paraId="630EAE9D">
            <w:pPr>
              <w:rPr>
                <w:rFonts w:ascii="Arial"/>
                <w:color w:val="auto"/>
                <w:sz w:val="21"/>
                <w:highlight w:val="none"/>
              </w:rPr>
            </w:pPr>
          </w:p>
        </w:tc>
        <w:tc>
          <w:tcPr>
            <w:tcW w:w="1746" w:type="dxa"/>
            <w:vAlign w:val="top"/>
          </w:tcPr>
          <w:p w14:paraId="4174991A">
            <w:pPr>
              <w:rPr>
                <w:rFonts w:ascii="Arial"/>
                <w:color w:val="auto"/>
                <w:sz w:val="21"/>
                <w:highlight w:val="none"/>
              </w:rPr>
            </w:pPr>
          </w:p>
        </w:tc>
        <w:tc>
          <w:tcPr>
            <w:tcW w:w="1751" w:type="dxa"/>
            <w:vAlign w:val="top"/>
          </w:tcPr>
          <w:p w14:paraId="5155AA1E">
            <w:pPr>
              <w:rPr>
                <w:rFonts w:ascii="Arial"/>
                <w:color w:val="auto"/>
                <w:sz w:val="21"/>
                <w:highlight w:val="none"/>
              </w:rPr>
            </w:pPr>
          </w:p>
        </w:tc>
        <w:tc>
          <w:tcPr>
            <w:tcW w:w="1747" w:type="dxa"/>
            <w:vAlign w:val="top"/>
          </w:tcPr>
          <w:p w14:paraId="5E232F67">
            <w:pPr>
              <w:rPr>
                <w:rFonts w:ascii="Arial"/>
                <w:color w:val="auto"/>
                <w:sz w:val="21"/>
                <w:highlight w:val="none"/>
              </w:rPr>
            </w:pPr>
          </w:p>
        </w:tc>
        <w:tc>
          <w:tcPr>
            <w:tcW w:w="1746" w:type="dxa"/>
            <w:vAlign w:val="top"/>
          </w:tcPr>
          <w:p w14:paraId="4FFDDC93">
            <w:pPr>
              <w:rPr>
                <w:rFonts w:ascii="Arial"/>
                <w:color w:val="auto"/>
                <w:sz w:val="21"/>
                <w:highlight w:val="none"/>
              </w:rPr>
            </w:pPr>
          </w:p>
        </w:tc>
        <w:tc>
          <w:tcPr>
            <w:tcW w:w="1759" w:type="dxa"/>
            <w:vAlign w:val="top"/>
          </w:tcPr>
          <w:p w14:paraId="31DA2138">
            <w:pPr>
              <w:rPr>
                <w:rFonts w:ascii="Arial"/>
                <w:color w:val="auto"/>
                <w:sz w:val="21"/>
                <w:highlight w:val="none"/>
              </w:rPr>
            </w:pPr>
          </w:p>
        </w:tc>
      </w:tr>
      <w:tr w14:paraId="290EF7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trPr>
        <w:tc>
          <w:tcPr>
            <w:tcW w:w="653" w:type="dxa"/>
            <w:vAlign w:val="top"/>
          </w:tcPr>
          <w:p w14:paraId="291734A4">
            <w:pPr>
              <w:pStyle w:val="18"/>
              <w:spacing w:before="138" w:line="270" w:lineRule="exact"/>
              <w:ind w:left="243"/>
              <w:rPr>
                <w:color w:val="auto"/>
                <w:highlight w:val="none"/>
              </w:rPr>
            </w:pPr>
            <w:r>
              <w:rPr>
                <w:color w:val="auto"/>
                <w:spacing w:val="-7"/>
                <w:position w:val="1"/>
                <w:highlight w:val="none"/>
              </w:rPr>
              <w:t>11</w:t>
            </w:r>
          </w:p>
        </w:tc>
        <w:tc>
          <w:tcPr>
            <w:tcW w:w="3073" w:type="dxa"/>
            <w:vAlign w:val="top"/>
          </w:tcPr>
          <w:p w14:paraId="74518E69">
            <w:pPr>
              <w:pStyle w:val="18"/>
              <w:spacing w:before="138" w:line="324" w:lineRule="exact"/>
              <w:ind w:left="1342"/>
              <w:rPr>
                <w:color w:val="auto"/>
                <w:highlight w:val="none"/>
              </w:rPr>
            </w:pPr>
            <w:r>
              <w:rPr>
                <w:color w:val="auto"/>
                <w:spacing w:val="-2"/>
                <w:position w:val="2"/>
                <w:highlight w:val="none"/>
              </w:rPr>
              <w:t>……</w:t>
            </w:r>
          </w:p>
        </w:tc>
        <w:tc>
          <w:tcPr>
            <w:tcW w:w="1746" w:type="dxa"/>
            <w:vAlign w:val="top"/>
          </w:tcPr>
          <w:p w14:paraId="2587494F">
            <w:pPr>
              <w:rPr>
                <w:rFonts w:ascii="Arial"/>
                <w:color w:val="auto"/>
                <w:sz w:val="21"/>
                <w:highlight w:val="none"/>
              </w:rPr>
            </w:pPr>
          </w:p>
        </w:tc>
        <w:tc>
          <w:tcPr>
            <w:tcW w:w="1746" w:type="dxa"/>
            <w:vAlign w:val="top"/>
          </w:tcPr>
          <w:p w14:paraId="01391D82">
            <w:pPr>
              <w:rPr>
                <w:rFonts w:ascii="Arial"/>
                <w:color w:val="auto"/>
                <w:sz w:val="21"/>
                <w:highlight w:val="none"/>
              </w:rPr>
            </w:pPr>
          </w:p>
        </w:tc>
        <w:tc>
          <w:tcPr>
            <w:tcW w:w="1751" w:type="dxa"/>
            <w:vAlign w:val="top"/>
          </w:tcPr>
          <w:p w14:paraId="410FAEB2">
            <w:pPr>
              <w:rPr>
                <w:rFonts w:ascii="Arial"/>
                <w:color w:val="auto"/>
                <w:sz w:val="21"/>
                <w:highlight w:val="none"/>
              </w:rPr>
            </w:pPr>
          </w:p>
        </w:tc>
        <w:tc>
          <w:tcPr>
            <w:tcW w:w="1747" w:type="dxa"/>
            <w:vAlign w:val="top"/>
          </w:tcPr>
          <w:p w14:paraId="5C238340">
            <w:pPr>
              <w:rPr>
                <w:rFonts w:ascii="Arial"/>
                <w:color w:val="auto"/>
                <w:sz w:val="21"/>
                <w:highlight w:val="none"/>
              </w:rPr>
            </w:pPr>
          </w:p>
        </w:tc>
        <w:tc>
          <w:tcPr>
            <w:tcW w:w="1746" w:type="dxa"/>
            <w:vAlign w:val="top"/>
          </w:tcPr>
          <w:p w14:paraId="79ABEF77">
            <w:pPr>
              <w:rPr>
                <w:rFonts w:ascii="Arial"/>
                <w:color w:val="auto"/>
                <w:sz w:val="21"/>
                <w:highlight w:val="none"/>
              </w:rPr>
            </w:pPr>
          </w:p>
        </w:tc>
        <w:tc>
          <w:tcPr>
            <w:tcW w:w="1759" w:type="dxa"/>
            <w:vAlign w:val="top"/>
          </w:tcPr>
          <w:p w14:paraId="60F19235">
            <w:pPr>
              <w:rPr>
                <w:rFonts w:ascii="Arial"/>
                <w:color w:val="auto"/>
                <w:sz w:val="21"/>
                <w:highlight w:val="none"/>
              </w:rPr>
            </w:pPr>
          </w:p>
        </w:tc>
      </w:tr>
      <w:tr w14:paraId="1B174E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trPr>
        <w:tc>
          <w:tcPr>
            <w:tcW w:w="653" w:type="dxa"/>
            <w:vAlign w:val="top"/>
          </w:tcPr>
          <w:p w14:paraId="212599D8">
            <w:pPr>
              <w:pStyle w:val="18"/>
              <w:spacing w:before="138" w:line="270" w:lineRule="exact"/>
              <w:ind w:left="243"/>
              <w:rPr>
                <w:color w:val="auto"/>
                <w:highlight w:val="none"/>
              </w:rPr>
            </w:pPr>
            <w:r>
              <w:rPr>
                <w:color w:val="auto"/>
                <w:spacing w:val="-7"/>
                <w:position w:val="1"/>
                <w:highlight w:val="none"/>
              </w:rPr>
              <w:t>12</w:t>
            </w:r>
          </w:p>
        </w:tc>
        <w:tc>
          <w:tcPr>
            <w:tcW w:w="3073" w:type="dxa"/>
            <w:vAlign w:val="top"/>
          </w:tcPr>
          <w:p w14:paraId="2BD6CAF9">
            <w:pPr>
              <w:pStyle w:val="18"/>
              <w:spacing w:before="138" w:line="324" w:lineRule="exact"/>
              <w:ind w:left="1342"/>
              <w:rPr>
                <w:color w:val="auto"/>
                <w:highlight w:val="none"/>
              </w:rPr>
            </w:pPr>
            <w:r>
              <w:rPr>
                <w:color w:val="auto"/>
                <w:spacing w:val="-2"/>
                <w:position w:val="2"/>
                <w:highlight w:val="none"/>
              </w:rPr>
              <w:t>……</w:t>
            </w:r>
          </w:p>
        </w:tc>
        <w:tc>
          <w:tcPr>
            <w:tcW w:w="1746" w:type="dxa"/>
            <w:vAlign w:val="top"/>
          </w:tcPr>
          <w:p w14:paraId="7C1C7E0D">
            <w:pPr>
              <w:rPr>
                <w:rFonts w:ascii="Arial"/>
                <w:color w:val="auto"/>
                <w:sz w:val="21"/>
                <w:highlight w:val="none"/>
              </w:rPr>
            </w:pPr>
          </w:p>
        </w:tc>
        <w:tc>
          <w:tcPr>
            <w:tcW w:w="1746" w:type="dxa"/>
            <w:vAlign w:val="top"/>
          </w:tcPr>
          <w:p w14:paraId="6CE3E584">
            <w:pPr>
              <w:rPr>
                <w:rFonts w:ascii="Arial"/>
                <w:color w:val="auto"/>
                <w:sz w:val="21"/>
                <w:highlight w:val="none"/>
              </w:rPr>
            </w:pPr>
          </w:p>
        </w:tc>
        <w:tc>
          <w:tcPr>
            <w:tcW w:w="1751" w:type="dxa"/>
            <w:vAlign w:val="top"/>
          </w:tcPr>
          <w:p w14:paraId="1B7D863B">
            <w:pPr>
              <w:rPr>
                <w:rFonts w:ascii="Arial"/>
                <w:color w:val="auto"/>
                <w:sz w:val="21"/>
                <w:highlight w:val="none"/>
              </w:rPr>
            </w:pPr>
          </w:p>
        </w:tc>
        <w:tc>
          <w:tcPr>
            <w:tcW w:w="1747" w:type="dxa"/>
            <w:vAlign w:val="top"/>
          </w:tcPr>
          <w:p w14:paraId="05B18F9F">
            <w:pPr>
              <w:rPr>
                <w:rFonts w:ascii="Arial"/>
                <w:color w:val="auto"/>
                <w:sz w:val="21"/>
                <w:highlight w:val="none"/>
              </w:rPr>
            </w:pPr>
          </w:p>
        </w:tc>
        <w:tc>
          <w:tcPr>
            <w:tcW w:w="1746" w:type="dxa"/>
            <w:vAlign w:val="top"/>
          </w:tcPr>
          <w:p w14:paraId="7845FB33">
            <w:pPr>
              <w:rPr>
                <w:rFonts w:ascii="Arial"/>
                <w:color w:val="auto"/>
                <w:sz w:val="21"/>
                <w:highlight w:val="none"/>
              </w:rPr>
            </w:pPr>
          </w:p>
        </w:tc>
        <w:tc>
          <w:tcPr>
            <w:tcW w:w="1759" w:type="dxa"/>
            <w:vAlign w:val="top"/>
          </w:tcPr>
          <w:p w14:paraId="6D22C312">
            <w:pPr>
              <w:rPr>
                <w:rFonts w:ascii="Arial"/>
                <w:color w:val="auto"/>
                <w:sz w:val="21"/>
                <w:highlight w:val="none"/>
              </w:rPr>
            </w:pPr>
          </w:p>
        </w:tc>
      </w:tr>
      <w:tr w14:paraId="457C35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1" w:hRule="atLeast"/>
        </w:trPr>
        <w:tc>
          <w:tcPr>
            <w:tcW w:w="653" w:type="dxa"/>
            <w:tcBorders>
              <w:right w:val="nil"/>
            </w:tcBorders>
            <w:vAlign w:val="top"/>
          </w:tcPr>
          <w:p w14:paraId="76164C97">
            <w:pPr>
              <w:rPr>
                <w:rFonts w:ascii="Arial"/>
                <w:color w:val="auto"/>
                <w:sz w:val="21"/>
                <w:highlight w:val="none"/>
              </w:rPr>
            </w:pPr>
          </w:p>
        </w:tc>
        <w:tc>
          <w:tcPr>
            <w:tcW w:w="3073" w:type="dxa"/>
            <w:tcBorders>
              <w:left w:val="nil"/>
            </w:tcBorders>
            <w:vAlign w:val="top"/>
          </w:tcPr>
          <w:p w14:paraId="4CA60ED9">
            <w:pPr>
              <w:pStyle w:val="18"/>
              <w:spacing w:before="138" w:line="228" w:lineRule="auto"/>
              <w:ind w:left="694"/>
              <w:rPr>
                <w:color w:val="auto"/>
                <w:highlight w:val="none"/>
              </w:rPr>
            </w:pPr>
            <w:r>
              <w:rPr>
                <w:color w:val="auto"/>
                <w:spacing w:val="5"/>
                <w:highlight w:val="none"/>
              </w:rPr>
              <w:t>合计（元）</w:t>
            </w:r>
          </w:p>
        </w:tc>
        <w:tc>
          <w:tcPr>
            <w:tcW w:w="1746" w:type="dxa"/>
            <w:vAlign w:val="top"/>
          </w:tcPr>
          <w:p w14:paraId="5761C0FB">
            <w:pPr>
              <w:rPr>
                <w:rFonts w:ascii="Arial"/>
                <w:color w:val="auto"/>
                <w:sz w:val="21"/>
                <w:highlight w:val="none"/>
              </w:rPr>
            </w:pPr>
          </w:p>
        </w:tc>
        <w:tc>
          <w:tcPr>
            <w:tcW w:w="1746" w:type="dxa"/>
            <w:vAlign w:val="top"/>
          </w:tcPr>
          <w:p w14:paraId="189CF228">
            <w:pPr>
              <w:rPr>
                <w:rFonts w:ascii="Arial"/>
                <w:color w:val="auto"/>
                <w:sz w:val="21"/>
                <w:highlight w:val="none"/>
              </w:rPr>
            </w:pPr>
          </w:p>
        </w:tc>
        <w:tc>
          <w:tcPr>
            <w:tcW w:w="1751" w:type="dxa"/>
            <w:vAlign w:val="top"/>
          </w:tcPr>
          <w:p w14:paraId="5DC87D11">
            <w:pPr>
              <w:rPr>
                <w:rFonts w:ascii="Arial"/>
                <w:color w:val="auto"/>
                <w:sz w:val="21"/>
                <w:highlight w:val="none"/>
              </w:rPr>
            </w:pPr>
          </w:p>
        </w:tc>
        <w:tc>
          <w:tcPr>
            <w:tcW w:w="1747" w:type="dxa"/>
            <w:vAlign w:val="top"/>
          </w:tcPr>
          <w:p w14:paraId="72E9325D">
            <w:pPr>
              <w:rPr>
                <w:rFonts w:ascii="Arial"/>
                <w:color w:val="auto"/>
                <w:sz w:val="21"/>
                <w:highlight w:val="none"/>
              </w:rPr>
            </w:pPr>
          </w:p>
        </w:tc>
        <w:tc>
          <w:tcPr>
            <w:tcW w:w="1746" w:type="dxa"/>
            <w:vAlign w:val="top"/>
          </w:tcPr>
          <w:p w14:paraId="48AF8F1B">
            <w:pPr>
              <w:rPr>
                <w:rFonts w:ascii="Arial"/>
                <w:color w:val="auto"/>
                <w:sz w:val="21"/>
                <w:highlight w:val="none"/>
              </w:rPr>
            </w:pPr>
          </w:p>
        </w:tc>
        <w:tc>
          <w:tcPr>
            <w:tcW w:w="1759" w:type="dxa"/>
            <w:vAlign w:val="top"/>
          </w:tcPr>
          <w:p w14:paraId="39C23F7C">
            <w:pPr>
              <w:rPr>
                <w:rFonts w:ascii="Arial"/>
                <w:color w:val="auto"/>
                <w:sz w:val="21"/>
                <w:highlight w:val="none"/>
              </w:rPr>
            </w:pPr>
          </w:p>
        </w:tc>
      </w:tr>
    </w:tbl>
    <w:p w14:paraId="5443CFD4">
      <w:pPr>
        <w:rPr>
          <w:rFonts w:ascii="Arial"/>
          <w:color w:val="auto"/>
          <w:sz w:val="21"/>
          <w:highlight w:val="none"/>
        </w:rPr>
      </w:pPr>
    </w:p>
    <w:p w14:paraId="6394AB7B">
      <w:pPr>
        <w:rPr>
          <w:rFonts w:ascii="Arial" w:hAnsi="Arial" w:eastAsia="Arial" w:cs="Arial"/>
          <w:color w:val="auto"/>
          <w:sz w:val="21"/>
          <w:szCs w:val="21"/>
          <w:highlight w:val="none"/>
        </w:rPr>
        <w:sectPr>
          <w:footerReference r:id="rId109" w:type="default"/>
          <w:pgSz w:w="16839" w:h="11906"/>
          <w:pgMar w:top="1012" w:right="1307" w:bottom="1297" w:left="1304" w:header="0" w:footer="1067" w:gutter="0"/>
          <w:pgNumType w:fmt="decimal"/>
          <w:cols w:space="720" w:num="1"/>
        </w:sectPr>
      </w:pPr>
    </w:p>
    <w:p w14:paraId="7EF30A9A">
      <w:pPr>
        <w:spacing w:line="353" w:lineRule="auto"/>
        <w:rPr>
          <w:rFonts w:ascii="Arial"/>
          <w:color w:val="auto"/>
          <w:sz w:val="21"/>
          <w:highlight w:val="none"/>
        </w:rPr>
      </w:pPr>
    </w:p>
    <w:p w14:paraId="49879761">
      <w:pPr>
        <w:spacing w:before="91" w:line="212" w:lineRule="auto"/>
        <w:ind w:left="4913"/>
        <w:rPr>
          <w:rFonts w:ascii="宋体" w:hAnsi="宋体" w:eastAsia="宋体" w:cs="宋体"/>
          <w:color w:val="auto"/>
          <w:sz w:val="28"/>
          <w:szCs w:val="28"/>
          <w:highlight w:val="none"/>
        </w:rPr>
      </w:pPr>
      <w:r>
        <w:rPr>
          <w:rFonts w:ascii="宋体" w:hAnsi="宋体" w:eastAsia="宋体" w:cs="宋体"/>
          <w:b/>
          <w:bCs/>
          <w:color w:val="auto"/>
          <w:spacing w:val="-4"/>
          <w:sz w:val="28"/>
          <w:szCs w:val="28"/>
          <w:highlight w:val="none"/>
        </w:rPr>
        <w:t>表</w:t>
      </w:r>
      <w:r>
        <w:rPr>
          <w:rFonts w:ascii="宋体" w:hAnsi="宋体" w:eastAsia="宋体" w:cs="宋体"/>
          <w:color w:val="auto"/>
          <w:spacing w:val="-42"/>
          <w:sz w:val="28"/>
          <w:szCs w:val="28"/>
          <w:highlight w:val="none"/>
        </w:rPr>
        <w:t xml:space="preserve"> </w:t>
      </w:r>
      <w:r>
        <w:rPr>
          <w:rFonts w:ascii="宋体" w:hAnsi="宋体" w:eastAsia="宋体" w:cs="宋体"/>
          <w:b/>
          <w:bCs/>
          <w:color w:val="auto"/>
          <w:spacing w:val="-4"/>
          <w:sz w:val="28"/>
          <w:szCs w:val="28"/>
          <w:highlight w:val="none"/>
        </w:rPr>
        <w:t>3</w:t>
      </w:r>
      <w:r>
        <w:rPr>
          <w:rFonts w:ascii="宋体" w:hAnsi="宋体" w:eastAsia="宋体" w:cs="宋体"/>
          <w:color w:val="auto"/>
          <w:spacing w:val="-4"/>
          <w:sz w:val="28"/>
          <w:szCs w:val="28"/>
          <w:highlight w:val="none"/>
        </w:rPr>
        <w:t xml:space="preserve">  </w:t>
      </w:r>
      <w:r>
        <w:rPr>
          <w:rFonts w:ascii="宋体" w:hAnsi="宋体" w:eastAsia="宋体" w:cs="宋体"/>
          <w:b/>
          <w:bCs/>
          <w:color w:val="auto"/>
          <w:spacing w:val="-4"/>
          <w:sz w:val="28"/>
          <w:szCs w:val="28"/>
          <w:highlight w:val="none"/>
        </w:rPr>
        <w:t>监理工程师办公设施费报价表</w:t>
      </w:r>
    </w:p>
    <w:tbl>
      <w:tblPr>
        <w:tblStyle w:val="17"/>
        <w:tblW w:w="14221"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5"/>
        <w:gridCol w:w="1063"/>
        <w:gridCol w:w="753"/>
        <w:gridCol w:w="1148"/>
        <w:gridCol w:w="966"/>
        <w:gridCol w:w="1012"/>
        <w:gridCol w:w="1784"/>
        <w:gridCol w:w="1241"/>
        <w:gridCol w:w="949"/>
        <w:gridCol w:w="1108"/>
        <w:gridCol w:w="1040"/>
        <w:gridCol w:w="1040"/>
        <w:gridCol w:w="1482"/>
      </w:tblGrid>
      <w:tr w14:paraId="1BAB36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635" w:type="dxa"/>
            <w:vMerge w:val="restart"/>
            <w:tcBorders>
              <w:top w:val="single" w:color="000000" w:sz="6" w:space="0"/>
              <w:left w:val="single" w:color="000000" w:sz="6" w:space="0"/>
              <w:bottom w:val="nil"/>
            </w:tcBorders>
            <w:textDirection w:val="tbRlV"/>
            <w:vAlign w:val="top"/>
          </w:tcPr>
          <w:p w14:paraId="2B0E842B">
            <w:pPr>
              <w:pStyle w:val="18"/>
              <w:spacing w:before="214" w:line="218" w:lineRule="auto"/>
              <w:ind w:left="467"/>
              <w:rPr>
                <w:color w:val="auto"/>
                <w:highlight w:val="none"/>
              </w:rPr>
            </w:pPr>
            <w:r>
              <w:rPr>
                <w:color w:val="auto"/>
                <w:spacing w:val="8"/>
                <w:highlight w:val="none"/>
              </w:rPr>
              <w:t>序</w:t>
            </w:r>
            <w:r>
              <w:rPr>
                <w:color w:val="auto"/>
                <w:spacing w:val="92"/>
                <w:highlight w:val="none"/>
              </w:rPr>
              <w:t xml:space="preserve"> </w:t>
            </w:r>
            <w:r>
              <w:rPr>
                <w:color w:val="auto"/>
                <w:spacing w:val="8"/>
                <w:highlight w:val="none"/>
              </w:rPr>
              <w:t>号</w:t>
            </w:r>
          </w:p>
        </w:tc>
        <w:tc>
          <w:tcPr>
            <w:tcW w:w="6726" w:type="dxa"/>
            <w:gridSpan w:val="6"/>
            <w:tcBorders>
              <w:top w:val="single" w:color="000000" w:sz="6" w:space="0"/>
            </w:tcBorders>
            <w:vAlign w:val="top"/>
          </w:tcPr>
          <w:p w14:paraId="7A2EA99E">
            <w:pPr>
              <w:pStyle w:val="18"/>
              <w:spacing w:before="184" w:line="228" w:lineRule="auto"/>
              <w:ind w:left="3049"/>
              <w:rPr>
                <w:color w:val="auto"/>
                <w:highlight w:val="none"/>
              </w:rPr>
            </w:pPr>
            <w:r>
              <w:rPr>
                <w:color w:val="auto"/>
                <w:spacing w:val="7"/>
                <w:highlight w:val="none"/>
              </w:rPr>
              <w:t>施工期</w:t>
            </w:r>
          </w:p>
        </w:tc>
        <w:tc>
          <w:tcPr>
            <w:tcW w:w="6860" w:type="dxa"/>
            <w:gridSpan w:val="6"/>
            <w:tcBorders>
              <w:top w:val="single" w:color="000000" w:sz="6" w:space="0"/>
              <w:right w:val="single" w:color="000000" w:sz="6" w:space="0"/>
            </w:tcBorders>
            <w:vAlign w:val="top"/>
          </w:tcPr>
          <w:p w14:paraId="35B93A15">
            <w:pPr>
              <w:pStyle w:val="18"/>
              <w:spacing w:before="183" w:line="228" w:lineRule="auto"/>
              <w:ind w:left="2909"/>
              <w:rPr>
                <w:color w:val="auto"/>
                <w:highlight w:val="none"/>
              </w:rPr>
            </w:pPr>
            <w:r>
              <w:rPr>
                <w:color w:val="auto"/>
                <w:spacing w:val="8"/>
                <w:highlight w:val="none"/>
              </w:rPr>
              <w:t>缺陷责任期</w:t>
            </w:r>
          </w:p>
        </w:tc>
      </w:tr>
      <w:tr w14:paraId="11996F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0" w:hRule="atLeast"/>
        </w:trPr>
        <w:tc>
          <w:tcPr>
            <w:tcW w:w="635" w:type="dxa"/>
            <w:vMerge w:val="continue"/>
            <w:tcBorders>
              <w:top w:val="nil"/>
              <w:left w:val="single" w:color="000000" w:sz="6" w:space="0"/>
            </w:tcBorders>
            <w:textDirection w:val="tbRlV"/>
            <w:vAlign w:val="top"/>
          </w:tcPr>
          <w:p w14:paraId="1809D586">
            <w:pPr>
              <w:rPr>
                <w:rFonts w:ascii="Arial"/>
                <w:color w:val="auto"/>
                <w:sz w:val="21"/>
                <w:highlight w:val="none"/>
              </w:rPr>
            </w:pPr>
          </w:p>
        </w:tc>
        <w:tc>
          <w:tcPr>
            <w:tcW w:w="1063" w:type="dxa"/>
            <w:vAlign w:val="top"/>
          </w:tcPr>
          <w:p w14:paraId="595E324C">
            <w:pPr>
              <w:pStyle w:val="18"/>
              <w:spacing w:before="180" w:line="295" w:lineRule="auto"/>
              <w:ind w:left="431" w:right="118" w:hanging="319"/>
              <w:rPr>
                <w:color w:val="auto"/>
                <w:highlight w:val="none"/>
              </w:rPr>
            </w:pPr>
            <w:r>
              <w:rPr>
                <w:color w:val="auto"/>
                <w:spacing w:val="6"/>
                <w:highlight w:val="none"/>
              </w:rPr>
              <w:t>名称及型</w:t>
            </w:r>
            <w:r>
              <w:rPr>
                <w:color w:val="auto"/>
                <w:highlight w:val="none"/>
              </w:rPr>
              <w:t>号</w:t>
            </w:r>
          </w:p>
        </w:tc>
        <w:tc>
          <w:tcPr>
            <w:tcW w:w="753" w:type="dxa"/>
            <w:vAlign w:val="top"/>
          </w:tcPr>
          <w:p w14:paraId="68DE5053">
            <w:pPr>
              <w:spacing w:line="312" w:lineRule="auto"/>
              <w:rPr>
                <w:rFonts w:ascii="Arial"/>
                <w:color w:val="auto"/>
                <w:sz w:val="21"/>
                <w:highlight w:val="none"/>
              </w:rPr>
            </w:pPr>
          </w:p>
          <w:p w14:paraId="04FED38C">
            <w:pPr>
              <w:pStyle w:val="18"/>
              <w:spacing w:before="65" w:line="228" w:lineRule="auto"/>
              <w:ind w:left="169"/>
              <w:rPr>
                <w:color w:val="auto"/>
                <w:highlight w:val="none"/>
              </w:rPr>
            </w:pPr>
            <w:r>
              <w:rPr>
                <w:color w:val="auto"/>
                <w:spacing w:val="3"/>
                <w:highlight w:val="none"/>
              </w:rPr>
              <w:t>数量</w:t>
            </w:r>
          </w:p>
        </w:tc>
        <w:tc>
          <w:tcPr>
            <w:tcW w:w="1148" w:type="dxa"/>
            <w:vAlign w:val="top"/>
          </w:tcPr>
          <w:p w14:paraId="591A0CB1">
            <w:pPr>
              <w:pStyle w:val="18"/>
              <w:spacing w:before="180" w:line="252" w:lineRule="auto"/>
              <w:ind w:left="401" w:right="159" w:hanging="249"/>
              <w:rPr>
                <w:color w:val="auto"/>
                <w:highlight w:val="none"/>
              </w:rPr>
            </w:pPr>
            <w:r>
              <w:rPr>
                <w:color w:val="auto"/>
                <w:spacing w:val="7"/>
                <w:highlight w:val="none"/>
              </w:rPr>
              <w:t>购置合价</w:t>
            </w:r>
            <w:r>
              <w:rPr>
                <w:color w:val="auto"/>
                <w:spacing w:val="-9"/>
                <w:highlight w:val="none"/>
              </w:rPr>
              <w:t>(元)</w:t>
            </w:r>
          </w:p>
        </w:tc>
        <w:tc>
          <w:tcPr>
            <w:tcW w:w="966" w:type="dxa"/>
            <w:vAlign w:val="top"/>
          </w:tcPr>
          <w:p w14:paraId="3492F8AD">
            <w:pPr>
              <w:pStyle w:val="18"/>
              <w:spacing w:before="180" w:line="252" w:lineRule="auto"/>
              <w:ind w:left="311" w:right="170" w:hanging="140"/>
              <w:rPr>
                <w:color w:val="auto"/>
                <w:highlight w:val="none"/>
              </w:rPr>
            </w:pPr>
            <w:r>
              <w:rPr>
                <w:color w:val="auto"/>
                <w:spacing w:val="6"/>
                <w:highlight w:val="none"/>
              </w:rPr>
              <w:t>折旧费</w:t>
            </w:r>
            <w:r>
              <w:rPr>
                <w:color w:val="auto"/>
                <w:spacing w:val="-9"/>
                <w:highlight w:val="none"/>
              </w:rPr>
              <w:t>(元)</w:t>
            </w:r>
          </w:p>
        </w:tc>
        <w:tc>
          <w:tcPr>
            <w:tcW w:w="1012" w:type="dxa"/>
            <w:vAlign w:val="top"/>
          </w:tcPr>
          <w:p w14:paraId="68026A13">
            <w:pPr>
              <w:pStyle w:val="18"/>
              <w:spacing w:before="180" w:line="252" w:lineRule="auto"/>
              <w:ind w:left="334" w:right="193" w:hanging="141"/>
              <w:rPr>
                <w:color w:val="auto"/>
                <w:highlight w:val="none"/>
              </w:rPr>
            </w:pPr>
            <w:r>
              <w:rPr>
                <w:color w:val="auto"/>
                <w:spacing w:val="6"/>
                <w:highlight w:val="none"/>
              </w:rPr>
              <w:t>使用费</w:t>
            </w:r>
            <w:r>
              <w:rPr>
                <w:color w:val="auto"/>
                <w:spacing w:val="-9"/>
                <w:highlight w:val="none"/>
              </w:rPr>
              <w:t>(元)</w:t>
            </w:r>
          </w:p>
        </w:tc>
        <w:tc>
          <w:tcPr>
            <w:tcW w:w="1784" w:type="dxa"/>
            <w:vAlign w:val="top"/>
          </w:tcPr>
          <w:p w14:paraId="04E33C36">
            <w:pPr>
              <w:pStyle w:val="18"/>
              <w:spacing w:before="43" w:line="229" w:lineRule="auto"/>
              <w:ind w:left="587"/>
              <w:rPr>
                <w:color w:val="auto"/>
                <w:highlight w:val="none"/>
              </w:rPr>
            </w:pPr>
            <w:r>
              <w:rPr>
                <w:color w:val="auto"/>
                <w:spacing w:val="-2"/>
                <w:highlight w:val="none"/>
              </w:rPr>
              <w:t>小</w:t>
            </w:r>
            <w:r>
              <w:rPr>
                <w:color w:val="auto"/>
                <w:spacing w:val="9"/>
                <w:highlight w:val="none"/>
              </w:rPr>
              <w:t xml:space="preserve">  </w:t>
            </w:r>
            <w:r>
              <w:rPr>
                <w:color w:val="auto"/>
                <w:spacing w:val="-2"/>
                <w:highlight w:val="none"/>
              </w:rPr>
              <w:t>计</w:t>
            </w:r>
          </w:p>
          <w:p w14:paraId="29F4C23E">
            <w:pPr>
              <w:pStyle w:val="18"/>
              <w:spacing w:before="22" w:line="228" w:lineRule="auto"/>
              <w:ind w:left="267"/>
              <w:rPr>
                <w:color w:val="auto"/>
                <w:highlight w:val="none"/>
              </w:rPr>
            </w:pPr>
            <w:r>
              <w:rPr>
                <w:color w:val="auto"/>
                <w:spacing w:val="7"/>
                <w:highlight w:val="none"/>
              </w:rPr>
              <w:t>折旧及使用费</w:t>
            </w:r>
          </w:p>
          <w:p w14:paraId="4500B9AF">
            <w:pPr>
              <w:pStyle w:val="18"/>
              <w:spacing w:before="26" w:line="214" w:lineRule="auto"/>
              <w:ind w:left="722"/>
              <w:rPr>
                <w:color w:val="auto"/>
                <w:highlight w:val="none"/>
              </w:rPr>
            </w:pPr>
            <w:r>
              <w:rPr>
                <w:color w:val="auto"/>
                <w:spacing w:val="-8"/>
                <w:highlight w:val="none"/>
              </w:rPr>
              <w:t>(元)</w:t>
            </w:r>
          </w:p>
        </w:tc>
        <w:tc>
          <w:tcPr>
            <w:tcW w:w="1241" w:type="dxa"/>
            <w:vAlign w:val="top"/>
          </w:tcPr>
          <w:p w14:paraId="45C2B6F4">
            <w:pPr>
              <w:pStyle w:val="18"/>
              <w:spacing w:before="180" w:line="295" w:lineRule="auto"/>
              <w:ind w:left="525" w:right="199" w:hanging="316"/>
              <w:rPr>
                <w:color w:val="auto"/>
                <w:highlight w:val="none"/>
              </w:rPr>
            </w:pPr>
            <w:r>
              <w:rPr>
                <w:color w:val="auto"/>
                <w:spacing w:val="6"/>
                <w:highlight w:val="none"/>
              </w:rPr>
              <w:t>名称及型</w:t>
            </w:r>
            <w:r>
              <w:rPr>
                <w:color w:val="auto"/>
                <w:highlight w:val="none"/>
              </w:rPr>
              <w:t>号</w:t>
            </w:r>
          </w:p>
        </w:tc>
        <w:tc>
          <w:tcPr>
            <w:tcW w:w="949" w:type="dxa"/>
            <w:vAlign w:val="top"/>
          </w:tcPr>
          <w:p w14:paraId="6BA2760F">
            <w:pPr>
              <w:spacing w:line="312" w:lineRule="auto"/>
              <w:rPr>
                <w:rFonts w:ascii="Arial"/>
                <w:color w:val="auto"/>
                <w:sz w:val="21"/>
                <w:highlight w:val="none"/>
              </w:rPr>
            </w:pPr>
          </w:p>
          <w:p w14:paraId="085F9E02">
            <w:pPr>
              <w:pStyle w:val="18"/>
              <w:spacing w:before="65" w:line="228" w:lineRule="auto"/>
              <w:ind w:left="273"/>
              <w:rPr>
                <w:color w:val="auto"/>
                <w:highlight w:val="none"/>
              </w:rPr>
            </w:pPr>
            <w:r>
              <w:rPr>
                <w:color w:val="auto"/>
                <w:spacing w:val="3"/>
                <w:highlight w:val="none"/>
              </w:rPr>
              <w:t>数量</w:t>
            </w:r>
          </w:p>
        </w:tc>
        <w:tc>
          <w:tcPr>
            <w:tcW w:w="1108" w:type="dxa"/>
            <w:vAlign w:val="top"/>
          </w:tcPr>
          <w:p w14:paraId="5FDFD4BA">
            <w:pPr>
              <w:pStyle w:val="18"/>
              <w:spacing w:before="180" w:line="252" w:lineRule="auto"/>
              <w:ind w:left="388" w:right="129" w:hanging="247"/>
              <w:rPr>
                <w:color w:val="auto"/>
                <w:highlight w:val="none"/>
              </w:rPr>
            </w:pPr>
            <w:r>
              <w:rPr>
                <w:color w:val="auto"/>
                <w:spacing w:val="7"/>
                <w:highlight w:val="none"/>
              </w:rPr>
              <w:t>购置合价</w:t>
            </w:r>
            <w:r>
              <w:rPr>
                <w:color w:val="auto"/>
                <w:spacing w:val="-9"/>
                <w:highlight w:val="none"/>
              </w:rPr>
              <w:t>(元)</w:t>
            </w:r>
          </w:p>
        </w:tc>
        <w:tc>
          <w:tcPr>
            <w:tcW w:w="1040" w:type="dxa"/>
            <w:vAlign w:val="top"/>
          </w:tcPr>
          <w:p w14:paraId="109C2591">
            <w:pPr>
              <w:pStyle w:val="18"/>
              <w:spacing w:before="180" w:line="252" w:lineRule="auto"/>
              <w:ind w:left="355" w:right="200" w:hanging="140"/>
              <w:rPr>
                <w:color w:val="auto"/>
                <w:highlight w:val="none"/>
              </w:rPr>
            </w:pPr>
            <w:r>
              <w:rPr>
                <w:color w:val="auto"/>
                <w:spacing w:val="6"/>
                <w:highlight w:val="none"/>
              </w:rPr>
              <w:t>折旧费</w:t>
            </w:r>
            <w:r>
              <w:rPr>
                <w:color w:val="auto"/>
                <w:spacing w:val="-9"/>
                <w:highlight w:val="none"/>
              </w:rPr>
              <w:t>(元)</w:t>
            </w:r>
          </w:p>
        </w:tc>
        <w:tc>
          <w:tcPr>
            <w:tcW w:w="1040" w:type="dxa"/>
            <w:vAlign w:val="top"/>
          </w:tcPr>
          <w:p w14:paraId="04090A8C">
            <w:pPr>
              <w:pStyle w:val="18"/>
              <w:spacing w:before="180" w:line="252" w:lineRule="auto"/>
              <w:ind w:left="357" w:right="198" w:hanging="141"/>
              <w:rPr>
                <w:color w:val="auto"/>
                <w:highlight w:val="none"/>
              </w:rPr>
            </w:pPr>
            <w:r>
              <w:rPr>
                <w:color w:val="auto"/>
                <w:spacing w:val="6"/>
                <w:highlight w:val="none"/>
              </w:rPr>
              <w:t>使用费</w:t>
            </w:r>
            <w:r>
              <w:rPr>
                <w:color w:val="auto"/>
                <w:spacing w:val="-9"/>
                <w:highlight w:val="none"/>
              </w:rPr>
              <w:t>(元)</w:t>
            </w:r>
          </w:p>
        </w:tc>
        <w:tc>
          <w:tcPr>
            <w:tcW w:w="1482" w:type="dxa"/>
            <w:tcBorders>
              <w:right w:val="single" w:color="000000" w:sz="6" w:space="0"/>
            </w:tcBorders>
            <w:vAlign w:val="top"/>
          </w:tcPr>
          <w:p w14:paraId="1C32DD2D">
            <w:pPr>
              <w:pStyle w:val="18"/>
              <w:spacing w:before="43" w:line="229" w:lineRule="auto"/>
              <w:ind w:left="438"/>
              <w:rPr>
                <w:color w:val="auto"/>
                <w:highlight w:val="none"/>
              </w:rPr>
            </w:pPr>
            <w:r>
              <w:rPr>
                <w:color w:val="auto"/>
                <w:spacing w:val="-2"/>
                <w:highlight w:val="none"/>
              </w:rPr>
              <w:t>小</w:t>
            </w:r>
            <w:r>
              <w:rPr>
                <w:color w:val="auto"/>
                <w:spacing w:val="9"/>
                <w:highlight w:val="none"/>
              </w:rPr>
              <w:t xml:space="preserve">  </w:t>
            </w:r>
            <w:r>
              <w:rPr>
                <w:color w:val="auto"/>
                <w:spacing w:val="-2"/>
                <w:highlight w:val="none"/>
              </w:rPr>
              <w:t>计</w:t>
            </w:r>
          </w:p>
          <w:p w14:paraId="47723797">
            <w:pPr>
              <w:pStyle w:val="18"/>
              <w:spacing w:before="23" w:line="233" w:lineRule="auto"/>
              <w:ind w:left="444" w:right="206" w:hanging="218"/>
              <w:rPr>
                <w:color w:val="auto"/>
                <w:highlight w:val="none"/>
              </w:rPr>
            </w:pPr>
            <w:r>
              <w:rPr>
                <w:color w:val="auto"/>
                <w:spacing w:val="7"/>
                <w:highlight w:val="none"/>
              </w:rPr>
              <w:t>折旧及使用</w:t>
            </w:r>
            <w:r>
              <w:rPr>
                <w:color w:val="auto"/>
                <w:spacing w:val="2"/>
                <w:highlight w:val="none"/>
              </w:rPr>
              <w:t>费(元)</w:t>
            </w:r>
          </w:p>
        </w:tc>
      </w:tr>
      <w:tr w14:paraId="5F1127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6" w:hRule="atLeast"/>
        </w:trPr>
        <w:tc>
          <w:tcPr>
            <w:tcW w:w="635" w:type="dxa"/>
            <w:tcBorders>
              <w:left w:val="single" w:color="000000" w:sz="6" w:space="0"/>
            </w:tcBorders>
            <w:vAlign w:val="top"/>
          </w:tcPr>
          <w:p w14:paraId="0B37D969">
            <w:pPr>
              <w:pStyle w:val="18"/>
              <w:spacing w:before="194" w:line="241" w:lineRule="auto"/>
              <w:ind w:left="277"/>
              <w:rPr>
                <w:color w:val="auto"/>
                <w:highlight w:val="none"/>
              </w:rPr>
            </w:pPr>
            <w:r>
              <w:rPr>
                <w:color w:val="auto"/>
                <w:highlight w:val="none"/>
              </w:rPr>
              <w:t>1</w:t>
            </w:r>
          </w:p>
        </w:tc>
        <w:tc>
          <w:tcPr>
            <w:tcW w:w="1063" w:type="dxa"/>
            <w:vAlign w:val="top"/>
          </w:tcPr>
          <w:p w14:paraId="6E9AC9DC">
            <w:pPr>
              <w:rPr>
                <w:rFonts w:ascii="Arial"/>
                <w:color w:val="auto"/>
                <w:sz w:val="21"/>
                <w:highlight w:val="none"/>
              </w:rPr>
            </w:pPr>
          </w:p>
        </w:tc>
        <w:tc>
          <w:tcPr>
            <w:tcW w:w="753" w:type="dxa"/>
            <w:vAlign w:val="top"/>
          </w:tcPr>
          <w:p w14:paraId="5880CC92">
            <w:pPr>
              <w:rPr>
                <w:rFonts w:ascii="Arial"/>
                <w:color w:val="auto"/>
                <w:sz w:val="21"/>
                <w:highlight w:val="none"/>
              </w:rPr>
            </w:pPr>
          </w:p>
        </w:tc>
        <w:tc>
          <w:tcPr>
            <w:tcW w:w="1148" w:type="dxa"/>
            <w:vAlign w:val="top"/>
          </w:tcPr>
          <w:p w14:paraId="5957D7EB">
            <w:pPr>
              <w:rPr>
                <w:rFonts w:ascii="Arial"/>
                <w:color w:val="auto"/>
                <w:sz w:val="21"/>
                <w:highlight w:val="none"/>
              </w:rPr>
            </w:pPr>
          </w:p>
        </w:tc>
        <w:tc>
          <w:tcPr>
            <w:tcW w:w="966" w:type="dxa"/>
            <w:vAlign w:val="top"/>
          </w:tcPr>
          <w:p w14:paraId="077E9C72">
            <w:pPr>
              <w:rPr>
                <w:rFonts w:ascii="Arial"/>
                <w:color w:val="auto"/>
                <w:sz w:val="21"/>
                <w:highlight w:val="none"/>
              </w:rPr>
            </w:pPr>
          </w:p>
        </w:tc>
        <w:tc>
          <w:tcPr>
            <w:tcW w:w="1012" w:type="dxa"/>
            <w:vAlign w:val="top"/>
          </w:tcPr>
          <w:p w14:paraId="5F20CBEE">
            <w:pPr>
              <w:rPr>
                <w:rFonts w:ascii="Arial"/>
                <w:color w:val="auto"/>
                <w:sz w:val="21"/>
                <w:highlight w:val="none"/>
              </w:rPr>
            </w:pPr>
          </w:p>
        </w:tc>
        <w:tc>
          <w:tcPr>
            <w:tcW w:w="1784" w:type="dxa"/>
            <w:vAlign w:val="top"/>
          </w:tcPr>
          <w:p w14:paraId="1507AB9A">
            <w:pPr>
              <w:rPr>
                <w:rFonts w:ascii="Arial"/>
                <w:color w:val="auto"/>
                <w:sz w:val="21"/>
                <w:highlight w:val="none"/>
              </w:rPr>
            </w:pPr>
          </w:p>
        </w:tc>
        <w:tc>
          <w:tcPr>
            <w:tcW w:w="1241" w:type="dxa"/>
            <w:vAlign w:val="top"/>
          </w:tcPr>
          <w:p w14:paraId="68E3C781">
            <w:pPr>
              <w:rPr>
                <w:rFonts w:ascii="Arial"/>
                <w:color w:val="auto"/>
                <w:sz w:val="21"/>
                <w:highlight w:val="none"/>
              </w:rPr>
            </w:pPr>
          </w:p>
        </w:tc>
        <w:tc>
          <w:tcPr>
            <w:tcW w:w="949" w:type="dxa"/>
            <w:vAlign w:val="top"/>
          </w:tcPr>
          <w:p w14:paraId="6CCD67F4">
            <w:pPr>
              <w:rPr>
                <w:rFonts w:ascii="Arial"/>
                <w:color w:val="auto"/>
                <w:sz w:val="21"/>
                <w:highlight w:val="none"/>
              </w:rPr>
            </w:pPr>
          </w:p>
        </w:tc>
        <w:tc>
          <w:tcPr>
            <w:tcW w:w="1108" w:type="dxa"/>
            <w:vAlign w:val="top"/>
          </w:tcPr>
          <w:p w14:paraId="20580A40">
            <w:pPr>
              <w:rPr>
                <w:rFonts w:ascii="Arial"/>
                <w:color w:val="auto"/>
                <w:sz w:val="21"/>
                <w:highlight w:val="none"/>
              </w:rPr>
            </w:pPr>
          </w:p>
        </w:tc>
        <w:tc>
          <w:tcPr>
            <w:tcW w:w="1040" w:type="dxa"/>
            <w:vAlign w:val="top"/>
          </w:tcPr>
          <w:p w14:paraId="0B11D4FB">
            <w:pPr>
              <w:rPr>
                <w:rFonts w:ascii="Arial"/>
                <w:color w:val="auto"/>
                <w:sz w:val="21"/>
                <w:highlight w:val="none"/>
              </w:rPr>
            </w:pPr>
          </w:p>
        </w:tc>
        <w:tc>
          <w:tcPr>
            <w:tcW w:w="1040" w:type="dxa"/>
            <w:vAlign w:val="top"/>
          </w:tcPr>
          <w:p w14:paraId="1043BB5B">
            <w:pPr>
              <w:rPr>
                <w:rFonts w:ascii="Arial"/>
                <w:color w:val="auto"/>
                <w:sz w:val="21"/>
                <w:highlight w:val="none"/>
              </w:rPr>
            </w:pPr>
          </w:p>
        </w:tc>
        <w:tc>
          <w:tcPr>
            <w:tcW w:w="1482" w:type="dxa"/>
            <w:tcBorders>
              <w:right w:val="single" w:color="000000" w:sz="6" w:space="0"/>
            </w:tcBorders>
            <w:vAlign w:val="top"/>
          </w:tcPr>
          <w:p w14:paraId="260275AC">
            <w:pPr>
              <w:rPr>
                <w:rFonts w:ascii="Arial"/>
                <w:color w:val="auto"/>
                <w:sz w:val="21"/>
                <w:highlight w:val="none"/>
              </w:rPr>
            </w:pPr>
          </w:p>
        </w:tc>
      </w:tr>
      <w:tr w14:paraId="0B6C2E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6" w:hRule="atLeast"/>
        </w:trPr>
        <w:tc>
          <w:tcPr>
            <w:tcW w:w="635" w:type="dxa"/>
            <w:tcBorders>
              <w:left w:val="single" w:color="000000" w:sz="6" w:space="0"/>
            </w:tcBorders>
            <w:vAlign w:val="top"/>
          </w:tcPr>
          <w:p w14:paraId="04A3F6B4">
            <w:pPr>
              <w:pStyle w:val="18"/>
              <w:spacing w:before="194" w:line="241" w:lineRule="auto"/>
              <w:ind w:left="264"/>
              <w:rPr>
                <w:color w:val="auto"/>
                <w:highlight w:val="none"/>
              </w:rPr>
            </w:pPr>
            <w:r>
              <w:rPr>
                <w:color w:val="auto"/>
                <w:highlight w:val="none"/>
              </w:rPr>
              <w:t>2</w:t>
            </w:r>
          </w:p>
        </w:tc>
        <w:tc>
          <w:tcPr>
            <w:tcW w:w="1063" w:type="dxa"/>
            <w:vAlign w:val="top"/>
          </w:tcPr>
          <w:p w14:paraId="27C19D8F">
            <w:pPr>
              <w:rPr>
                <w:rFonts w:ascii="Arial"/>
                <w:color w:val="auto"/>
                <w:sz w:val="21"/>
                <w:highlight w:val="none"/>
              </w:rPr>
            </w:pPr>
          </w:p>
        </w:tc>
        <w:tc>
          <w:tcPr>
            <w:tcW w:w="753" w:type="dxa"/>
            <w:vAlign w:val="top"/>
          </w:tcPr>
          <w:p w14:paraId="7E17A6FB">
            <w:pPr>
              <w:rPr>
                <w:rFonts w:ascii="Arial"/>
                <w:color w:val="auto"/>
                <w:sz w:val="21"/>
                <w:highlight w:val="none"/>
              </w:rPr>
            </w:pPr>
          </w:p>
        </w:tc>
        <w:tc>
          <w:tcPr>
            <w:tcW w:w="1148" w:type="dxa"/>
            <w:vAlign w:val="top"/>
          </w:tcPr>
          <w:p w14:paraId="37FE603B">
            <w:pPr>
              <w:rPr>
                <w:rFonts w:ascii="Arial"/>
                <w:color w:val="auto"/>
                <w:sz w:val="21"/>
                <w:highlight w:val="none"/>
              </w:rPr>
            </w:pPr>
          </w:p>
        </w:tc>
        <w:tc>
          <w:tcPr>
            <w:tcW w:w="966" w:type="dxa"/>
            <w:vAlign w:val="top"/>
          </w:tcPr>
          <w:p w14:paraId="5907F790">
            <w:pPr>
              <w:rPr>
                <w:rFonts w:ascii="Arial"/>
                <w:color w:val="auto"/>
                <w:sz w:val="21"/>
                <w:highlight w:val="none"/>
              </w:rPr>
            </w:pPr>
          </w:p>
        </w:tc>
        <w:tc>
          <w:tcPr>
            <w:tcW w:w="1012" w:type="dxa"/>
            <w:vAlign w:val="top"/>
          </w:tcPr>
          <w:p w14:paraId="71708D6C">
            <w:pPr>
              <w:rPr>
                <w:rFonts w:ascii="Arial"/>
                <w:color w:val="auto"/>
                <w:sz w:val="21"/>
                <w:highlight w:val="none"/>
              </w:rPr>
            </w:pPr>
          </w:p>
        </w:tc>
        <w:tc>
          <w:tcPr>
            <w:tcW w:w="1784" w:type="dxa"/>
            <w:vAlign w:val="top"/>
          </w:tcPr>
          <w:p w14:paraId="3C1FC3FC">
            <w:pPr>
              <w:rPr>
                <w:rFonts w:ascii="Arial"/>
                <w:color w:val="auto"/>
                <w:sz w:val="21"/>
                <w:highlight w:val="none"/>
              </w:rPr>
            </w:pPr>
          </w:p>
        </w:tc>
        <w:tc>
          <w:tcPr>
            <w:tcW w:w="1241" w:type="dxa"/>
            <w:vAlign w:val="top"/>
          </w:tcPr>
          <w:p w14:paraId="2937F236">
            <w:pPr>
              <w:rPr>
                <w:rFonts w:ascii="Arial"/>
                <w:color w:val="auto"/>
                <w:sz w:val="21"/>
                <w:highlight w:val="none"/>
              </w:rPr>
            </w:pPr>
          </w:p>
        </w:tc>
        <w:tc>
          <w:tcPr>
            <w:tcW w:w="949" w:type="dxa"/>
            <w:vAlign w:val="top"/>
          </w:tcPr>
          <w:p w14:paraId="0751B253">
            <w:pPr>
              <w:rPr>
                <w:rFonts w:ascii="Arial"/>
                <w:color w:val="auto"/>
                <w:sz w:val="21"/>
                <w:highlight w:val="none"/>
              </w:rPr>
            </w:pPr>
          </w:p>
        </w:tc>
        <w:tc>
          <w:tcPr>
            <w:tcW w:w="1108" w:type="dxa"/>
            <w:vAlign w:val="top"/>
          </w:tcPr>
          <w:p w14:paraId="7BA18E13">
            <w:pPr>
              <w:rPr>
                <w:rFonts w:ascii="Arial"/>
                <w:color w:val="auto"/>
                <w:sz w:val="21"/>
                <w:highlight w:val="none"/>
              </w:rPr>
            </w:pPr>
          </w:p>
        </w:tc>
        <w:tc>
          <w:tcPr>
            <w:tcW w:w="1040" w:type="dxa"/>
            <w:vAlign w:val="top"/>
          </w:tcPr>
          <w:p w14:paraId="2DC777D4">
            <w:pPr>
              <w:rPr>
                <w:rFonts w:ascii="Arial"/>
                <w:color w:val="auto"/>
                <w:sz w:val="21"/>
                <w:highlight w:val="none"/>
              </w:rPr>
            </w:pPr>
          </w:p>
        </w:tc>
        <w:tc>
          <w:tcPr>
            <w:tcW w:w="1040" w:type="dxa"/>
            <w:vAlign w:val="top"/>
          </w:tcPr>
          <w:p w14:paraId="51EB22AD">
            <w:pPr>
              <w:rPr>
                <w:rFonts w:ascii="Arial"/>
                <w:color w:val="auto"/>
                <w:sz w:val="21"/>
                <w:highlight w:val="none"/>
              </w:rPr>
            </w:pPr>
          </w:p>
        </w:tc>
        <w:tc>
          <w:tcPr>
            <w:tcW w:w="1482" w:type="dxa"/>
            <w:tcBorders>
              <w:right w:val="single" w:color="000000" w:sz="6" w:space="0"/>
            </w:tcBorders>
            <w:vAlign w:val="top"/>
          </w:tcPr>
          <w:p w14:paraId="15629C8D">
            <w:pPr>
              <w:rPr>
                <w:rFonts w:ascii="Arial"/>
                <w:color w:val="auto"/>
                <w:sz w:val="21"/>
                <w:highlight w:val="none"/>
              </w:rPr>
            </w:pPr>
          </w:p>
        </w:tc>
      </w:tr>
      <w:tr w14:paraId="29525F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6" w:hRule="atLeast"/>
        </w:trPr>
        <w:tc>
          <w:tcPr>
            <w:tcW w:w="635" w:type="dxa"/>
            <w:tcBorders>
              <w:left w:val="single" w:color="000000" w:sz="6" w:space="0"/>
            </w:tcBorders>
            <w:vAlign w:val="top"/>
          </w:tcPr>
          <w:p w14:paraId="7F618F7E">
            <w:pPr>
              <w:pStyle w:val="18"/>
              <w:spacing w:before="195"/>
              <w:ind w:left="266"/>
              <w:rPr>
                <w:color w:val="auto"/>
                <w:highlight w:val="none"/>
              </w:rPr>
            </w:pPr>
            <w:r>
              <w:rPr>
                <w:color w:val="auto"/>
                <w:highlight w:val="none"/>
              </w:rPr>
              <w:t>3</w:t>
            </w:r>
          </w:p>
        </w:tc>
        <w:tc>
          <w:tcPr>
            <w:tcW w:w="1063" w:type="dxa"/>
            <w:vAlign w:val="top"/>
          </w:tcPr>
          <w:p w14:paraId="77EFB859">
            <w:pPr>
              <w:rPr>
                <w:rFonts w:ascii="Arial"/>
                <w:color w:val="auto"/>
                <w:sz w:val="21"/>
                <w:highlight w:val="none"/>
              </w:rPr>
            </w:pPr>
          </w:p>
        </w:tc>
        <w:tc>
          <w:tcPr>
            <w:tcW w:w="753" w:type="dxa"/>
            <w:vAlign w:val="top"/>
          </w:tcPr>
          <w:p w14:paraId="45CAF894">
            <w:pPr>
              <w:rPr>
                <w:rFonts w:ascii="Arial"/>
                <w:color w:val="auto"/>
                <w:sz w:val="21"/>
                <w:highlight w:val="none"/>
              </w:rPr>
            </w:pPr>
          </w:p>
        </w:tc>
        <w:tc>
          <w:tcPr>
            <w:tcW w:w="1148" w:type="dxa"/>
            <w:vAlign w:val="top"/>
          </w:tcPr>
          <w:p w14:paraId="0A051D08">
            <w:pPr>
              <w:rPr>
                <w:rFonts w:ascii="Arial"/>
                <w:color w:val="auto"/>
                <w:sz w:val="21"/>
                <w:highlight w:val="none"/>
              </w:rPr>
            </w:pPr>
          </w:p>
        </w:tc>
        <w:tc>
          <w:tcPr>
            <w:tcW w:w="966" w:type="dxa"/>
            <w:vAlign w:val="top"/>
          </w:tcPr>
          <w:p w14:paraId="48B4937F">
            <w:pPr>
              <w:rPr>
                <w:rFonts w:ascii="Arial"/>
                <w:color w:val="auto"/>
                <w:sz w:val="21"/>
                <w:highlight w:val="none"/>
              </w:rPr>
            </w:pPr>
          </w:p>
        </w:tc>
        <w:tc>
          <w:tcPr>
            <w:tcW w:w="1012" w:type="dxa"/>
            <w:vAlign w:val="top"/>
          </w:tcPr>
          <w:p w14:paraId="0D7AE52F">
            <w:pPr>
              <w:rPr>
                <w:rFonts w:ascii="Arial"/>
                <w:color w:val="auto"/>
                <w:sz w:val="21"/>
                <w:highlight w:val="none"/>
              </w:rPr>
            </w:pPr>
          </w:p>
        </w:tc>
        <w:tc>
          <w:tcPr>
            <w:tcW w:w="1784" w:type="dxa"/>
            <w:vAlign w:val="top"/>
          </w:tcPr>
          <w:p w14:paraId="28404937">
            <w:pPr>
              <w:rPr>
                <w:rFonts w:ascii="Arial"/>
                <w:color w:val="auto"/>
                <w:sz w:val="21"/>
                <w:highlight w:val="none"/>
              </w:rPr>
            </w:pPr>
          </w:p>
        </w:tc>
        <w:tc>
          <w:tcPr>
            <w:tcW w:w="1241" w:type="dxa"/>
            <w:vAlign w:val="top"/>
          </w:tcPr>
          <w:p w14:paraId="0690AC56">
            <w:pPr>
              <w:rPr>
                <w:rFonts w:ascii="Arial"/>
                <w:color w:val="auto"/>
                <w:sz w:val="21"/>
                <w:highlight w:val="none"/>
              </w:rPr>
            </w:pPr>
          </w:p>
        </w:tc>
        <w:tc>
          <w:tcPr>
            <w:tcW w:w="949" w:type="dxa"/>
            <w:vAlign w:val="top"/>
          </w:tcPr>
          <w:p w14:paraId="3052205D">
            <w:pPr>
              <w:rPr>
                <w:rFonts w:ascii="Arial"/>
                <w:color w:val="auto"/>
                <w:sz w:val="21"/>
                <w:highlight w:val="none"/>
              </w:rPr>
            </w:pPr>
          </w:p>
        </w:tc>
        <w:tc>
          <w:tcPr>
            <w:tcW w:w="1108" w:type="dxa"/>
            <w:vAlign w:val="top"/>
          </w:tcPr>
          <w:p w14:paraId="1EF1AF75">
            <w:pPr>
              <w:rPr>
                <w:rFonts w:ascii="Arial"/>
                <w:color w:val="auto"/>
                <w:sz w:val="21"/>
                <w:highlight w:val="none"/>
              </w:rPr>
            </w:pPr>
          </w:p>
        </w:tc>
        <w:tc>
          <w:tcPr>
            <w:tcW w:w="1040" w:type="dxa"/>
            <w:vAlign w:val="top"/>
          </w:tcPr>
          <w:p w14:paraId="43071E94">
            <w:pPr>
              <w:rPr>
                <w:rFonts w:ascii="Arial"/>
                <w:color w:val="auto"/>
                <w:sz w:val="21"/>
                <w:highlight w:val="none"/>
              </w:rPr>
            </w:pPr>
          </w:p>
        </w:tc>
        <w:tc>
          <w:tcPr>
            <w:tcW w:w="1040" w:type="dxa"/>
            <w:vAlign w:val="top"/>
          </w:tcPr>
          <w:p w14:paraId="4B5E095A">
            <w:pPr>
              <w:rPr>
                <w:rFonts w:ascii="Arial"/>
                <w:color w:val="auto"/>
                <w:sz w:val="21"/>
                <w:highlight w:val="none"/>
              </w:rPr>
            </w:pPr>
          </w:p>
        </w:tc>
        <w:tc>
          <w:tcPr>
            <w:tcW w:w="1482" w:type="dxa"/>
            <w:tcBorders>
              <w:right w:val="single" w:color="000000" w:sz="6" w:space="0"/>
            </w:tcBorders>
            <w:vAlign w:val="top"/>
          </w:tcPr>
          <w:p w14:paraId="15C0385E">
            <w:pPr>
              <w:rPr>
                <w:rFonts w:ascii="Arial"/>
                <w:color w:val="auto"/>
                <w:sz w:val="21"/>
                <w:highlight w:val="none"/>
              </w:rPr>
            </w:pPr>
          </w:p>
        </w:tc>
      </w:tr>
      <w:tr w14:paraId="369628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6" w:hRule="atLeast"/>
        </w:trPr>
        <w:tc>
          <w:tcPr>
            <w:tcW w:w="635" w:type="dxa"/>
            <w:tcBorders>
              <w:left w:val="single" w:color="000000" w:sz="6" w:space="0"/>
            </w:tcBorders>
            <w:vAlign w:val="top"/>
          </w:tcPr>
          <w:p w14:paraId="77360DE6">
            <w:pPr>
              <w:pStyle w:val="18"/>
              <w:spacing w:before="198" w:line="238" w:lineRule="auto"/>
              <w:ind w:left="261"/>
              <w:rPr>
                <w:color w:val="auto"/>
                <w:highlight w:val="none"/>
              </w:rPr>
            </w:pPr>
            <w:r>
              <w:rPr>
                <w:color w:val="auto"/>
                <w:highlight w:val="none"/>
              </w:rPr>
              <w:t>4</w:t>
            </w:r>
          </w:p>
        </w:tc>
        <w:tc>
          <w:tcPr>
            <w:tcW w:w="1063" w:type="dxa"/>
            <w:vAlign w:val="top"/>
          </w:tcPr>
          <w:p w14:paraId="72F379B3">
            <w:pPr>
              <w:rPr>
                <w:rFonts w:ascii="Arial"/>
                <w:color w:val="auto"/>
                <w:sz w:val="21"/>
                <w:highlight w:val="none"/>
              </w:rPr>
            </w:pPr>
          </w:p>
        </w:tc>
        <w:tc>
          <w:tcPr>
            <w:tcW w:w="753" w:type="dxa"/>
            <w:vAlign w:val="top"/>
          </w:tcPr>
          <w:p w14:paraId="00110C17">
            <w:pPr>
              <w:rPr>
                <w:rFonts w:ascii="Arial"/>
                <w:color w:val="auto"/>
                <w:sz w:val="21"/>
                <w:highlight w:val="none"/>
              </w:rPr>
            </w:pPr>
          </w:p>
        </w:tc>
        <w:tc>
          <w:tcPr>
            <w:tcW w:w="1148" w:type="dxa"/>
            <w:vAlign w:val="top"/>
          </w:tcPr>
          <w:p w14:paraId="6DFE9C98">
            <w:pPr>
              <w:rPr>
                <w:rFonts w:ascii="Arial"/>
                <w:color w:val="auto"/>
                <w:sz w:val="21"/>
                <w:highlight w:val="none"/>
              </w:rPr>
            </w:pPr>
          </w:p>
        </w:tc>
        <w:tc>
          <w:tcPr>
            <w:tcW w:w="966" w:type="dxa"/>
            <w:vAlign w:val="top"/>
          </w:tcPr>
          <w:p w14:paraId="2AC7656A">
            <w:pPr>
              <w:rPr>
                <w:rFonts w:ascii="Arial"/>
                <w:color w:val="auto"/>
                <w:sz w:val="21"/>
                <w:highlight w:val="none"/>
              </w:rPr>
            </w:pPr>
          </w:p>
        </w:tc>
        <w:tc>
          <w:tcPr>
            <w:tcW w:w="1012" w:type="dxa"/>
            <w:vAlign w:val="top"/>
          </w:tcPr>
          <w:p w14:paraId="7F2FA02C">
            <w:pPr>
              <w:rPr>
                <w:rFonts w:ascii="Arial"/>
                <w:color w:val="auto"/>
                <w:sz w:val="21"/>
                <w:highlight w:val="none"/>
              </w:rPr>
            </w:pPr>
          </w:p>
        </w:tc>
        <w:tc>
          <w:tcPr>
            <w:tcW w:w="1784" w:type="dxa"/>
            <w:vAlign w:val="top"/>
          </w:tcPr>
          <w:p w14:paraId="5849F82E">
            <w:pPr>
              <w:rPr>
                <w:rFonts w:ascii="Arial"/>
                <w:color w:val="auto"/>
                <w:sz w:val="21"/>
                <w:highlight w:val="none"/>
              </w:rPr>
            </w:pPr>
          </w:p>
        </w:tc>
        <w:tc>
          <w:tcPr>
            <w:tcW w:w="1241" w:type="dxa"/>
            <w:vAlign w:val="top"/>
          </w:tcPr>
          <w:p w14:paraId="42470D2B">
            <w:pPr>
              <w:rPr>
                <w:rFonts w:ascii="Arial"/>
                <w:color w:val="auto"/>
                <w:sz w:val="21"/>
                <w:highlight w:val="none"/>
              </w:rPr>
            </w:pPr>
          </w:p>
        </w:tc>
        <w:tc>
          <w:tcPr>
            <w:tcW w:w="949" w:type="dxa"/>
            <w:vAlign w:val="top"/>
          </w:tcPr>
          <w:p w14:paraId="53E260AD">
            <w:pPr>
              <w:rPr>
                <w:rFonts w:ascii="Arial"/>
                <w:color w:val="auto"/>
                <w:sz w:val="21"/>
                <w:highlight w:val="none"/>
              </w:rPr>
            </w:pPr>
          </w:p>
        </w:tc>
        <w:tc>
          <w:tcPr>
            <w:tcW w:w="1108" w:type="dxa"/>
            <w:vAlign w:val="top"/>
          </w:tcPr>
          <w:p w14:paraId="6DCDCDAE">
            <w:pPr>
              <w:rPr>
                <w:rFonts w:ascii="Arial"/>
                <w:color w:val="auto"/>
                <w:sz w:val="21"/>
                <w:highlight w:val="none"/>
              </w:rPr>
            </w:pPr>
          </w:p>
        </w:tc>
        <w:tc>
          <w:tcPr>
            <w:tcW w:w="1040" w:type="dxa"/>
            <w:vAlign w:val="top"/>
          </w:tcPr>
          <w:p w14:paraId="708B5D38">
            <w:pPr>
              <w:rPr>
                <w:rFonts w:ascii="Arial"/>
                <w:color w:val="auto"/>
                <w:sz w:val="21"/>
                <w:highlight w:val="none"/>
              </w:rPr>
            </w:pPr>
          </w:p>
        </w:tc>
        <w:tc>
          <w:tcPr>
            <w:tcW w:w="1040" w:type="dxa"/>
            <w:vAlign w:val="top"/>
          </w:tcPr>
          <w:p w14:paraId="2F96250A">
            <w:pPr>
              <w:rPr>
                <w:rFonts w:ascii="Arial"/>
                <w:color w:val="auto"/>
                <w:sz w:val="21"/>
                <w:highlight w:val="none"/>
              </w:rPr>
            </w:pPr>
          </w:p>
        </w:tc>
        <w:tc>
          <w:tcPr>
            <w:tcW w:w="1482" w:type="dxa"/>
            <w:tcBorders>
              <w:right w:val="single" w:color="000000" w:sz="6" w:space="0"/>
            </w:tcBorders>
            <w:vAlign w:val="top"/>
          </w:tcPr>
          <w:p w14:paraId="6BEE096B">
            <w:pPr>
              <w:rPr>
                <w:rFonts w:ascii="Arial"/>
                <w:color w:val="auto"/>
                <w:sz w:val="21"/>
                <w:highlight w:val="none"/>
              </w:rPr>
            </w:pPr>
          </w:p>
        </w:tc>
      </w:tr>
      <w:tr w14:paraId="3AFCBD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6" w:hRule="atLeast"/>
        </w:trPr>
        <w:tc>
          <w:tcPr>
            <w:tcW w:w="635" w:type="dxa"/>
            <w:tcBorders>
              <w:left w:val="single" w:color="000000" w:sz="6" w:space="0"/>
            </w:tcBorders>
            <w:vAlign w:val="top"/>
          </w:tcPr>
          <w:p w14:paraId="174012CE">
            <w:pPr>
              <w:pStyle w:val="18"/>
              <w:spacing w:before="197" w:line="239" w:lineRule="auto"/>
              <w:ind w:left="266"/>
              <w:rPr>
                <w:color w:val="auto"/>
                <w:highlight w:val="none"/>
              </w:rPr>
            </w:pPr>
            <w:r>
              <w:rPr>
                <w:color w:val="auto"/>
                <w:highlight w:val="none"/>
              </w:rPr>
              <w:t>5</w:t>
            </w:r>
          </w:p>
        </w:tc>
        <w:tc>
          <w:tcPr>
            <w:tcW w:w="1063" w:type="dxa"/>
            <w:vAlign w:val="top"/>
          </w:tcPr>
          <w:p w14:paraId="49F16E4F">
            <w:pPr>
              <w:rPr>
                <w:rFonts w:ascii="Arial"/>
                <w:color w:val="auto"/>
                <w:sz w:val="21"/>
                <w:highlight w:val="none"/>
              </w:rPr>
            </w:pPr>
          </w:p>
        </w:tc>
        <w:tc>
          <w:tcPr>
            <w:tcW w:w="753" w:type="dxa"/>
            <w:vAlign w:val="top"/>
          </w:tcPr>
          <w:p w14:paraId="2A09B49D">
            <w:pPr>
              <w:rPr>
                <w:rFonts w:ascii="Arial"/>
                <w:color w:val="auto"/>
                <w:sz w:val="21"/>
                <w:highlight w:val="none"/>
              </w:rPr>
            </w:pPr>
          </w:p>
        </w:tc>
        <w:tc>
          <w:tcPr>
            <w:tcW w:w="1148" w:type="dxa"/>
            <w:vAlign w:val="top"/>
          </w:tcPr>
          <w:p w14:paraId="7BFE1FB5">
            <w:pPr>
              <w:rPr>
                <w:rFonts w:ascii="Arial"/>
                <w:color w:val="auto"/>
                <w:sz w:val="21"/>
                <w:highlight w:val="none"/>
              </w:rPr>
            </w:pPr>
          </w:p>
        </w:tc>
        <w:tc>
          <w:tcPr>
            <w:tcW w:w="966" w:type="dxa"/>
            <w:vAlign w:val="top"/>
          </w:tcPr>
          <w:p w14:paraId="6DC89A45">
            <w:pPr>
              <w:rPr>
                <w:rFonts w:ascii="Arial"/>
                <w:color w:val="auto"/>
                <w:sz w:val="21"/>
                <w:highlight w:val="none"/>
              </w:rPr>
            </w:pPr>
          </w:p>
        </w:tc>
        <w:tc>
          <w:tcPr>
            <w:tcW w:w="1012" w:type="dxa"/>
            <w:vAlign w:val="top"/>
          </w:tcPr>
          <w:p w14:paraId="1A4A0B3A">
            <w:pPr>
              <w:rPr>
                <w:rFonts w:ascii="Arial"/>
                <w:color w:val="auto"/>
                <w:sz w:val="21"/>
                <w:highlight w:val="none"/>
              </w:rPr>
            </w:pPr>
          </w:p>
        </w:tc>
        <w:tc>
          <w:tcPr>
            <w:tcW w:w="1784" w:type="dxa"/>
            <w:vAlign w:val="top"/>
          </w:tcPr>
          <w:p w14:paraId="64451913">
            <w:pPr>
              <w:rPr>
                <w:rFonts w:ascii="Arial"/>
                <w:color w:val="auto"/>
                <w:sz w:val="21"/>
                <w:highlight w:val="none"/>
              </w:rPr>
            </w:pPr>
          </w:p>
        </w:tc>
        <w:tc>
          <w:tcPr>
            <w:tcW w:w="1241" w:type="dxa"/>
            <w:vAlign w:val="top"/>
          </w:tcPr>
          <w:p w14:paraId="58E004D4">
            <w:pPr>
              <w:rPr>
                <w:rFonts w:ascii="Arial"/>
                <w:color w:val="auto"/>
                <w:sz w:val="21"/>
                <w:highlight w:val="none"/>
              </w:rPr>
            </w:pPr>
          </w:p>
        </w:tc>
        <w:tc>
          <w:tcPr>
            <w:tcW w:w="949" w:type="dxa"/>
            <w:vAlign w:val="top"/>
          </w:tcPr>
          <w:p w14:paraId="7549E162">
            <w:pPr>
              <w:rPr>
                <w:rFonts w:ascii="Arial"/>
                <w:color w:val="auto"/>
                <w:sz w:val="21"/>
                <w:highlight w:val="none"/>
              </w:rPr>
            </w:pPr>
          </w:p>
        </w:tc>
        <w:tc>
          <w:tcPr>
            <w:tcW w:w="1108" w:type="dxa"/>
            <w:vAlign w:val="top"/>
          </w:tcPr>
          <w:p w14:paraId="2006AAE8">
            <w:pPr>
              <w:rPr>
                <w:rFonts w:ascii="Arial"/>
                <w:color w:val="auto"/>
                <w:sz w:val="21"/>
                <w:highlight w:val="none"/>
              </w:rPr>
            </w:pPr>
          </w:p>
        </w:tc>
        <w:tc>
          <w:tcPr>
            <w:tcW w:w="1040" w:type="dxa"/>
            <w:vAlign w:val="top"/>
          </w:tcPr>
          <w:p w14:paraId="542D79C9">
            <w:pPr>
              <w:rPr>
                <w:rFonts w:ascii="Arial"/>
                <w:color w:val="auto"/>
                <w:sz w:val="21"/>
                <w:highlight w:val="none"/>
              </w:rPr>
            </w:pPr>
          </w:p>
        </w:tc>
        <w:tc>
          <w:tcPr>
            <w:tcW w:w="1040" w:type="dxa"/>
            <w:vAlign w:val="top"/>
          </w:tcPr>
          <w:p w14:paraId="4ADAA8D3">
            <w:pPr>
              <w:rPr>
                <w:rFonts w:ascii="Arial"/>
                <w:color w:val="auto"/>
                <w:sz w:val="21"/>
                <w:highlight w:val="none"/>
              </w:rPr>
            </w:pPr>
          </w:p>
        </w:tc>
        <w:tc>
          <w:tcPr>
            <w:tcW w:w="1482" w:type="dxa"/>
            <w:tcBorders>
              <w:right w:val="single" w:color="000000" w:sz="6" w:space="0"/>
            </w:tcBorders>
            <w:vAlign w:val="top"/>
          </w:tcPr>
          <w:p w14:paraId="774DAA07">
            <w:pPr>
              <w:rPr>
                <w:rFonts w:ascii="Arial"/>
                <w:color w:val="auto"/>
                <w:sz w:val="21"/>
                <w:highlight w:val="none"/>
              </w:rPr>
            </w:pPr>
          </w:p>
        </w:tc>
      </w:tr>
      <w:tr w14:paraId="0F57E3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trPr>
        <w:tc>
          <w:tcPr>
            <w:tcW w:w="635" w:type="dxa"/>
            <w:tcBorders>
              <w:left w:val="single" w:color="000000" w:sz="6" w:space="0"/>
            </w:tcBorders>
            <w:vAlign w:val="top"/>
          </w:tcPr>
          <w:p w14:paraId="44348603">
            <w:pPr>
              <w:pStyle w:val="18"/>
              <w:spacing w:before="199" w:line="238" w:lineRule="auto"/>
              <w:ind w:left="264"/>
              <w:rPr>
                <w:color w:val="auto"/>
                <w:highlight w:val="none"/>
              </w:rPr>
            </w:pPr>
            <w:r>
              <w:rPr>
                <w:color w:val="auto"/>
                <w:highlight w:val="none"/>
              </w:rPr>
              <w:t>6</w:t>
            </w:r>
          </w:p>
        </w:tc>
        <w:tc>
          <w:tcPr>
            <w:tcW w:w="1063" w:type="dxa"/>
            <w:vAlign w:val="top"/>
          </w:tcPr>
          <w:p w14:paraId="181BCCB1">
            <w:pPr>
              <w:rPr>
                <w:rFonts w:ascii="Arial"/>
                <w:color w:val="auto"/>
                <w:sz w:val="21"/>
                <w:highlight w:val="none"/>
              </w:rPr>
            </w:pPr>
          </w:p>
        </w:tc>
        <w:tc>
          <w:tcPr>
            <w:tcW w:w="753" w:type="dxa"/>
            <w:vAlign w:val="top"/>
          </w:tcPr>
          <w:p w14:paraId="7FC9871B">
            <w:pPr>
              <w:rPr>
                <w:rFonts w:ascii="Arial"/>
                <w:color w:val="auto"/>
                <w:sz w:val="21"/>
                <w:highlight w:val="none"/>
              </w:rPr>
            </w:pPr>
          </w:p>
        </w:tc>
        <w:tc>
          <w:tcPr>
            <w:tcW w:w="1148" w:type="dxa"/>
            <w:vAlign w:val="top"/>
          </w:tcPr>
          <w:p w14:paraId="5945C903">
            <w:pPr>
              <w:rPr>
                <w:rFonts w:ascii="Arial"/>
                <w:color w:val="auto"/>
                <w:sz w:val="21"/>
                <w:highlight w:val="none"/>
              </w:rPr>
            </w:pPr>
          </w:p>
        </w:tc>
        <w:tc>
          <w:tcPr>
            <w:tcW w:w="966" w:type="dxa"/>
            <w:vAlign w:val="top"/>
          </w:tcPr>
          <w:p w14:paraId="3FE29063">
            <w:pPr>
              <w:rPr>
                <w:rFonts w:ascii="Arial"/>
                <w:color w:val="auto"/>
                <w:sz w:val="21"/>
                <w:highlight w:val="none"/>
              </w:rPr>
            </w:pPr>
          </w:p>
        </w:tc>
        <w:tc>
          <w:tcPr>
            <w:tcW w:w="1012" w:type="dxa"/>
            <w:vAlign w:val="top"/>
          </w:tcPr>
          <w:p w14:paraId="178F5389">
            <w:pPr>
              <w:rPr>
                <w:rFonts w:ascii="Arial"/>
                <w:color w:val="auto"/>
                <w:sz w:val="21"/>
                <w:highlight w:val="none"/>
              </w:rPr>
            </w:pPr>
          </w:p>
        </w:tc>
        <w:tc>
          <w:tcPr>
            <w:tcW w:w="1784" w:type="dxa"/>
            <w:vAlign w:val="top"/>
          </w:tcPr>
          <w:p w14:paraId="457C3AC3">
            <w:pPr>
              <w:rPr>
                <w:rFonts w:ascii="Arial"/>
                <w:color w:val="auto"/>
                <w:sz w:val="21"/>
                <w:highlight w:val="none"/>
              </w:rPr>
            </w:pPr>
          </w:p>
        </w:tc>
        <w:tc>
          <w:tcPr>
            <w:tcW w:w="1241" w:type="dxa"/>
            <w:vAlign w:val="top"/>
          </w:tcPr>
          <w:p w14:paraId="3B116AA1">
            <w:pPr>
              <w:rPr>
                <w:rFonts w:ascii="Arial"/>
                <w:color w:val="auto"/>
                <w:sz w:val="21"/>
                <w:highlight w:val="none"/>
              </w:rPr>
            </w:pPr>
          </w:p>
        </w:tc>
        <w:tc>
          <w:tcPr>
            <w:tcW w:w="949" w:type="dxa"/>
            <w:vAlign w:val="top"/>
          </w:tcPr>
          <w:p w14:paraId="669CDCCD">
            <w:pPr>
              <w:rPr>
                <w:rFonts w:ascii="Arial"/>
                <w:color w:val="auto"/>
                <w:sz w:val="21"/>
                <w:highlight w:val="none"/>
              </w:rPr>
            </w:pPr>
          </w:p>
        </w:tc>
        <w:tc>
          <w:tcPr>
            <w:tcW w:w="1108" w:type="dxa"/>
            <w:vAlign w:val="top"/>
          </w:tcPr>
          <w:p w14:paraId="423785E6">
            <w:pPr>
              <w:rPr>
                <w:rFonts w:ascii="Arial"/>
                <w:color w:val="auto"/>
                <w:sz w:val="21"/>
                <w:highlight w:val="none"/>
              </w:rPr>
            </w:pPr>
          </w:p>
        </w:tc>
        <w:tc>
          <w:tcPr>
            <w:tcW w:w="1040" w:type="dxa"/>
            <w:vAlign w:val="top"/>
          </w:tcPr>
          <w:p w14:paraId="5B144E79">
            <w:pPr>
              <w:rPr>
                <w:rFonts w:ascii="Arial"/>
                <w:color w:val="auto"/>
                <w:sz w:val="21"/>
                <w:highlight w:val="none"/>
              </w:rPr>
            </w:pPr>
          </w:p>
        </w:tc>
        <w:tc>
          <w:tcPr>
            <w:tcW w:w="1040" w:type="dxa"/>
            <w:vAlign w:val="top"/>
          </w:tcPr>
          <w:p w14:paraId="63A1F062">
            <w:pPr>
              <w:rPr>
                <w:rFonts w:ascii="Arial"/>
                <w:color w:val="auto"/>
                <w:sz w:val="21"/>
                <w:highlight w:val="none"/>
              </w:rPr>
            </w:pPr>
          </w:p>
        </w:tc>
        <w:tc>
          <w:tcPr>
            <w:tcW w:w="1482" w:type="dxa"/>
            <w:tcBorders>
              <w:right w:val="single" w:color="000000" w:sz="6" w:space="0"/>
            </w:tcBorders>
            <w:vAlign w:val="top"/>
          </w:tcPr>
          <w:p w14:paraId="3093E554">
            <w:pPr>
              <w:rPr>
                <w:rFonts w:ascii="Arial"/>
                <w:color w:val="auto"/>
                <w:sz w:val="21"/>
                <w:highlight w:val="none"/>
              </w:rPr>
            </w:pPr>
          </w:p>
        </w:tc>
      </w:tr>
      <w:tr w14:paraId="5A8091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6" w:hRule="atLeast"/>
        </w:trPr>
        <w:tc>
          <w:tcPr>
            <w:tcW w:w="635" w:type="dxa"/>
            <w:tcBorders>
              <w:left w:val="single" w:color="000000" w:sz="6" w:space="0"/>
            </w:tcBorders>
            <w:vAlign w:val="top"/>
          </w:tcPr>
          <w:p w14:paraId="53EA9CB8">
            <w:pPr>
              <w:pStyle w:val="18"/>
              <w:spacing w:before="200" w:line="236" w:lineRule="auto"/>
              <w:ind w:left="267"/>
              <w:rPr>
                <w:color w:val="auto"/>
                <w:highlight w:val="none"/>
              </w:rPr>
            </w:pPr>
            <w:r>
              <w:rPr>
                <w:color w:val="auto"/>
                <w:highlight w:val="none"/>
              </w:rPr>
              <w:t>7</w:t>
            </w:r>
          </w:p>
        </w:tc>
        <w:tc>
          <w:tcPr>
            <w:tcW w:w="1063" w:type="dxa"/>
            <w:vAlign w:val="top"/>
          </w:tcPr>
          <w:p w14:paraId="6FFED0FB">
            <w:pPr>
              <w:rPr>
                <w:rFonts w:ascii="Arial"/>
                <w:color w:val="auto"/>
                <w:sz w:val="21"/>
                <w:highlight w:val="none"/>
              </w:rPr>
            </w:pPr>
          </w:p>
        </w:tc>
        <w:tc>
          <w:tcPr>
            <w:tcW w:w="753" w:type="dxa"/>
            <w:vAlign w:val="top"/>
          </w:tcPr>
          <w:p w14:paraId="34CA0128">
            <w:pPr>
              <w:rPr>
                <w:rFonts w:ascii="Arial"/>
                <w:color w:val="auto"/>
                <w:sz w:val="21"/>
                <w:highlight w:val="none"/>
              </w:rPr>
            </w:pPr>
          </w:p>
        </w:tc>
        <w:tc>
          <w:tcPr>
            <w:tcW w:w="1148" w:type="dxa"/>
            <w:vAlign w:val="top"/>
          </w:tcPr>
          <w:p w14:paraId="3CBC0BBC">
            <w:pPr>
              <w:rPr>
                <w:rFonts w:ascii="Arial"/>
                <w:color w:val="auto"/>
                <w:sz w:val="21"/>
                <w:highlight w:val="none"/>
              </w:rPr>
            </w:pPr>
          </w:p>
        </w:tc>
        <w:tc>
          <w:tcPr>
            <w:tcW w:w="966" w:type="dxa"/>
            <w:vAlign w:val="top"/>
          </w:tcPr>
          <w:p w14:paraId="0D2F06ED">
            <w:pPr>
              <w:rPr>
                <w:rFonts w:ascii="Arial"/>
                <w:color w:val="auto"/>
                <w:sz w:val="21"/>
                <w:highlight w:val="none"/>
              </w:rPr>
            </w:pPr>
          </w:p>
        </w:tc>
        <w:tc>
          <w:tcPr>
            <w:tcW w:w="1012" w:type="dxa"/>
            <w:vAlign w:val="top"/>
          </w:tcPr>
          <w:p w14:paraId="69CEF17B">
            <w:pPr>
              <w:rPr>
                <w:rFonts w:ascii="Arial"/>
                <w:color w:val="auto"/>
                <w:sz w:val="21"/>
                <w:highlight w:val="none"/>
              </w:rPr>
            </w:pPr>
          </w:p>
        </w:tc>
        <w:tc>
          <w:tcPr>
            <w:tcW w:w="1784" w:type="dxa"/>
            <w:vAlign w:val="top"/>
          </w:tcPr>
          <w:p w14:paraId="515D6F8B">
            <w:pPr>
              <w:rPr>
                <w:rFonts w:ascii="Arial"/>
                <w:color w:val="auto"/>
                <w:sz w:val="21"/>
                <w:highlight w:val="none"/>
              </w:rPr>
            </w:pPr>
          </w:p>
        </w:tc>
        <w:tc>
          <w:tcPr>
            <w:tcW w:w="1241" w:type="dxa"/>
            <w:vAlign w:val="top"/>
          </w:tcPr>
          <w:p w14:paraId="1DE07914">
            <w:pPr>
              <w:rPr>
                <w:rFonts w:ascii="Arial"/>
                <w:color w:val="auto"/>
                <w:sz w:val="21"/>
                <w:highlight w:val="none"/>
              </w:rPr>
            </w:pPr>
          </w:p>
        </w:tc>
        <w:tc>
          <w:tcPr>
            <w:tcW w:w="949" w:type="dxa"/>
            <w:vAlign w:val="top"/>
          </w:tcPr>
          <w:p w14:paraId="59BEE45A">
            <w:pPr>
              <w:rPr>
                <w:rFonts w:ascii="Arial"/>
                <w:color w:val="auto"/>
                <w:sz w:val="21"/>
                <w:highlight w:val="none"/>
              </w:rPr>
            </w:pPr>
          </w:p>
        </w:tc>
        <w:tc>
          <w:tcPr>
            <w:tcW w:w="1108" w:type="dxa"/>
            <w:vAlign w:val="top"/>
          </w:tcPr>
          <w:p w14:paraId="3C8A2BF1">
            <w:pPr>
              <w:rPr>
                <w:rFonts w:ascii="Arial"/>
                <w:color w:val="auto"/>
                <w:sz w:val="21"/>
                <w:highlight w:val="none"/>
              </w:rPr>
            </w:pPr>
          </w:p>
        </w:tc>
        <w:tc>
          <w:tcPr>
            <w:tcW w:w="1040" w:type="dxa"/>
            <w:vAlign w:val="top"/>
          </w:tcPr>
          <w:p w14:paraId="061C304A">
            <w:pPr>
              <w:rPr>
                <w:rFonts w:ascii="Arial"/>
                <w:color w:val="auto"/>
                <w:sz w:val="21"/>
                <w:highlight w:val="none"/>
              </w:rPr>
            </w:pPr>
          </w:p>
        </w:tc>
        <w:tc>
          <w:tcPr>
            <w:tcW w:w="1040" w:type="dxa"/>
            <w:vAlign w:val="top"/>
          </w:tcPr>
          <w:p w14:paraId="3592A0CD">
            <w:pPr>
              <w:rPr>
                <w:rFonts w:ascii="Arial"/>
                <w:color w:val="auto"/>
                <w:sz w:val="21"/>
                <w:highlight w:val="none"/>
              </w:rPr>
            </w:pPr>
          </w:p>
        </w:tc>
        <w:tc>
          <w:tcPr>
            <w:tcW w:w="1482" w:type="dxa"/>
            <w:tcBorders>
              <w:right w:val="single" w:color="000000" w:sz="6" w:space="0"/>
            </w:tcBorders>
            <w:vAlign w:val="top"/>
          </w:tcPr>
          <w:p w14:paraId="09262715">
            <w:pPr>
              <w:rPr>
                <w:rFonts w:ascii="Arial"/>
                <w:color w:val="auto"/>
                <w:sz w:val="21"/>
                <w:highlight w:val="none"/>
              </w:rPr>
            </w:pPr>
          </w:p>
        </w:tc>
      </w:tr>
      <w:tr w14:paraId="36EEC6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6" w:hRule="atLeast"/>
        </w:trPr>
        <w:tc>
          <w:tcPr>
            <w:tcW w:w="635" w:type="dxa"/>
            <w:tcBorders>
              <w:left w:val="single" w:color="000000" w:sz="6" w:space="0"/>
            </w:tcBorders>
            <w:vAlign w:val="top"/>
          </w:tcPr>
          <w:p w14:paraId="49465743">
            <w:pPr>
              <w:pStyle w:val="18"/>
              <w:spacing w:before="201" w:line="235" w:lineRule="auto"/>
              <w:ind w:left="263"/>
              <w:rPr>
                <w:color w:val="auto"/>
                <w:highlight w:val="none"/>
              </w:rPr>
            </w:pPr>
            <w:r>
              <w:rPr>
                <w:color w:val="auto"/>
                <w:highlight w:val="none"/>
              </w:rPr>
              <w:t>8</w:t>
            </w:r>
          </w:p>
        </w:tc>
        <w:tc>
          <w:tcPr>
            <w:tcW w:w="1063" w:type="dxa"/>
            <w:vAlign w:val="top"/>
          </w:tcPr>
          <w:p w14:paraId="0A8B6AA0">
            <w:pPr>
              <w:rPr>
                <w:rFonts w:ascii="Arial"/>
                <w:color w:val="auto"/>
                <w:sz w:val="21"/>
                <w:highlight w:val="none"/>
              </w:rPr>
            </w:pPr>
          </w:p>
        </w:tc>
        <w:tc>
          <w:tcPr>
            <w:tcW w:w="753" w:type="dxa"/>
            <w:vAlign w:val="top"/>
          </w:tcPr>
          <w:p w14:paraId="05B20095">
            <w:pPr>
              <w:rPr>
                <w:rFonts w:ascii="Arial"/>
                <w:color w:val="auto"/>
                <w:sz w:val="21"/>
                <w:highlight w:val="none"/>
              </w:rPr>
            </w:pPr>
          </w:p>
        </w:tc>
        <w:tc>
          <w:tcPr>
            <w:tcW w:w="1148" w:type="dxa"/>
            <w:vAlign w:val="top"/>
          </w:tcPr>
          <w:p w14:paraId="43F72FDF">
            <w:pPr>
              <w:rPr>
                <w:rFonts w:ascii="Arial"/>
                <w:color w:val="auto"/>
                <w:sz w:val="21"/>
                <w:highlight w:val="none"/>
              </w:rPr>
            </w:pPr>
          </w:p>
        </w:tc>
        <w:tc>
          <w:tcPr>
            <w:tcW w:w="966" w:type="dxa"/>
            <w:vAlign w:val="top"/>
          </w:tcPr>
          <w:p w14:paraId="0B61D1BC">
            <w:pPr>
              <w:rPr>
                <w:rFonts w:ascii="Arial"/>
                <w:color w:val="auto"/>
                <w:sz w:val="21"/>
                <w:highlight w:val="none"/>
              </w:rPr>
            </w:pPr>
          </w:p>
        </w:tc>
        <w:tc>
          <w:tcPr>
            <w:tcW w:w="1012" w:type="dxa"/>
            <w:vAlign w:val="top"/>
          </w:tcPr>
          <w:p w14:paraId="2533F37D">
            <w:pPr>
              <w:rPr>
                <w:rFonts w:ascii="Arial"/>
                <w:color w:val="auto"/>
                <w:sz w:val="21"/>
                <w:highlight w:val="none"/>
              </w:rPr>
            </w:pPr>
          </w:p>
        </w:tc>
        <w:tc>
          <w:tcPr>
            <w:tcW w:w="1784" w:type="dxa"/>
            <w:vAlign w:val="top"/>
          </w:tcPr>
          <w:p w14:paraId="7402C461">
            <w:pPr>
              <w:rPr>
                <w:rFonts w:ascii="Arial"/>
                <w:color w:val="auto"/>
                <w:sz w:val="21"/>
                <w:highlight w:val="none"/>
              </w:rPr>
            </w:pPr>
          </w:p>
        </w:tc>
        <w:tc>
          <w:tcPr>
            <w:tcW w:w="1241" w:type="dxa"/>
            <w:vAlign w:val="top"/>
          </w:tcPr>
          <w:p w14:paraId="210FF930">
            <w:pPr>
              <w:rPr>
                <w:rFonts w:ascii="Arial"/>
                <w:color w:val="auto"/>
                <w:sz w:val="21"/>
                <w:highlight w:val="none"/>
              </w:rPr>
            </w:pPr>
          </w:p>
        </w:tc>
        <w:tc>
          <w:tcPr>
            <w:tcW w:w="949" w:type="dxa"/>
            <w:vAlign w:val="top"/>
          </w:tcPr>
          <w:p w14:paraId="36C2227D">
            <w:pPr>
              <w:rPr>
                <w:rFonts w:ascii="Arial"/>
                <w:color w:val="auto"/>
                <w:sz w:val="21"/>
                <w:highlight w:val="none"/>
              </w:rPr>
            </w:pPr>
          </w:p>
        </w:tc>
        <w:tc>
          <w:tcPr>
            <w:tcW w:w="1108" w:type="dxa"/>
            <w:vAlign w:val="top"/>
          </w:tcPr>
          <w:p w14:paraId="6B990CDD">
            <w:pPr>
              <w:rPr>
                <w:rFonts w:ascii="Arial"/>
                <w:color w:val="auto"/>
                <w:sz w:val="21"/>
                <w:highlight w:val="none"/>
              </w:rPr>
            </w:pPr>
          </w:p>
        </w:tc>
        <w:tc>
          <w:tcPr>
            <w:tcW w:w="1040" w:type="dxa"/>
            <w:vAlign w:val="top"/>
          </w:tcPr>
          <w:p w14:paraId="2A6F9B06">
            <w:pPr>
              <w:rPr>
                <w:rFonts w:ascii="Arial"/>
                <w:color w:val="auto"/>
                <w:sz w:val="21"/>
                <w:highlight w:val="none"/>
              </w:rPr>
            </w:pPr>
          </w:p>
        </w:tc>
        <w:tc>
          <w:tcPr>
            <w:tcW w:w="1040" w:type="dxa"/>
            <w:vAlign w:val="top"/>
          </w:tcPr>
          <w:p w14:paraId="4DFD8277">
            <w:pPr>
              <w:rPr>
                <w:rFonts w:ascii="Arial"/>
                <w:color w:val="auto"/>
                <w:sz w:val="21"/>
                <w:highlight w:val="none"/>
              </w:rPr>
            </w:pPr>
          </w:p>
        </w:tc>
        <w:tc>
          <w:tcPr>
            <w:tcW w:w="1482" w:type="dxa"/>
            <w:tcBorders>
              <w:right w:val="single" w:color="000000" w:sz="6" w:space="0"/>
            </w:tcBorders>
            <w:vAlign w:val="top"/>
          </w:tcPr>
          <w:p w14:paraId="462CE4AB">
            <w:pPr>
              <w:rPr>
                <w:rFonts w:ascii="Arial"/>
                <w:color w:val="auto"/>
                <w:sz w:val="21"/>
                <w:highlight w:val="none"/>
              </w:rPr>
            </w:pPr>
          </w:p>
        </w:tc>
      </w:tr>
      <w:tr w14:paraId="2D41BA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6" w:hRule="atLeast"/>
        </w:trPr>
        <w:tc>
          <w:tcPr>
            <w:tcW w:w="635" w:type="dxa"/>
            <w:tcBorders>
              <w:left w:val="single" w:color="000000" w:sz="6" w:space="0"/>
            </w:tcBorders>
            <w:vAlign w:val="top"/>
          </w:tcPr>
          <w:p w14:paraId="756CAFA0">
            <w:pPr>
              <w:pStyle w:val="18"/>
              <w:spacing w:before="201" w:line="235" w:lineRule="auto"/>
              <w:ind w:left="263"/>
              <w:rPr>
                <w:color w:val="auto"/>
                <w:highlight w:val="none"/>
              </w:rPr>
            </w:pPr>
            <w:r>
              <w:rPr>
                <w:color w:val="auto"/>
                <w:highlight w:val="none"/>
              </w:rPr>
              <w:t>9</w:t>
            </w:r>
          </w:p>
        </w:tc>
        <w:tc>
          <w:tcPr>
            <w:tcW w:w="1063" w:type="dxa"/>
            <w:vAlign w:val="top"/>
          </w:tcPr>
          <w:p w14:paraId="62527E2F">
            <w:pPr>
              <w:rPr>
                <w:rFonts w:ascii="Arial"/>
                <w:color w:val="auto"/>
                <w:sz w:val="21"/>
                <w:highlight w:val="none"/>
              </w:rPr>
            </w:pPr>
          </w:p>
        </w:tc>
        <w:tc>
          <w:tcPr>
            <w:tcW w:w="753" w:type="dxa"/>
            <w:vAlign w:val="top"/>
          </w:tcPr>
          <w:p w14:paraId="57F0170C">
            <w:pPr>
              <w:rPr>
                <w:rFonts w:ascii="Arial"/>
                <w:color w:val="auto"/>
                <w:sz w:val="21"/>
                <w:highlight w:val="none"/>
              </w:rPr>
            </w:pPr>
          </w:p>
        </w:tc>
        <w:tc>
          <w:tcPr>
            <w:tcW w:w="1148" w:type="dxa"/>
            <w:vAlign w:val="top"/>
          </w:tcPr>
          <w:p w14:paraId="18410A89">
            <w:pPr>
              <w:rPr>
                <w:rFonts w:ascii="Arial"/>
                <w:color w:val="auto"/>
                <w:sz w:val="21"/>
                <w:highlight w:val="none"/>
              </w:rPr>
            </w:pPr>
          </w:p>
        </w:tc>
        <w:tc>
          <w:tcPr>
            <w:tcW w:w="966" w:type="dxa"/>
            <w:vAlign w:val="top"/>
          </w:tcPr>
          <w:p w14:paraId="1F1D59BF">
            <w:pPr>
              <w:rPr>
                <w:rFonts w:ascii="Arial"/>
                <w:color w:val="auto"/>
                <w:sz w:val="21"/>
                <w:highlight w:val="none"/>
              </w:rPr>
            </w:pPr>
          </w:p>
        </w:tc>
        <w:tc>
          <w:tcPr>
            <w:tcW w:w="1012" w:type="dxa"/>
            <w:vAlign w:val="top"/>
          </w:tcPr>
          <w:p w14:paraId="2C888A26">
            <w:pPr>
              <w:rPr>
                <w:rFonts w:ascii="Arial"/>
                <w:color w:val="auto"/>
                <w:sz w:val="21"/>
                <w:highlight w:val="none"/>
              </w:rPr>
            </w:pPr>
          </w:p>
        </w:tc>
        <w:tc>
          <w:tcPr>
            <w:tcW w:w="1784" w:type="dxa"/>
            <w:vAlign w:val="top"/>
          </w:tcPr>
          <w:p w14:paraId="77921C78">
            <w:pPr>
              <w:rPr>
                <w:rFonts w:ascii="Arial"/>
                <w:color w:val="auto"/>
                <w:sz w:val="21"/>
                <w:highlight w:val="none"/>
              </w:rPr>
            </w:pPr>
          </w:p>
        </w:tc>
        <w:tc>
          <w:tcPr>
            <w:tcW w:w="1241" w:type="dxa"/>
            <w:vAlign w:val="top"/>
          </w:tcPr>
          <w:p w14:paraId="5F928249">
            <w:pPr>
              <w:rPr>
                <w:rFonts w:ascii="Arial"/>
                <w:color w:val="auto"/>
                <w:sz w:val="21"/>
                <w:highlight w:val="none"/>
              </w:rPr>
            </w:pPr>
          </w:p>
        </w:tc>
        <w:tc>
          <w:tcPr>
            <w:tcW w:w="949" w:type="dxa"/>
            <w:vAlign w:val="top"/>
          </w:tcPr>
          <w:p w14:paraId="60008F0E">
            <w:pPr>
              <w:rPr>
                <w:rFonts w:ascii="Arial"/>
                <w:color w:val="auto"/>
                <w:sz w:val="21"/>
                <w:highlight w:val="none"/>
              </w:rPr>
            </w:pPr>
          </w:p>
        </w:tc>
        <w:tc>
          <w:tcPr>
            <w:tcW w:w="1108" w:type="dxa"/>
            <w:vAlign w:val="top"/>
          </w:tcPr>
          <w:p w14:paraId="6779AD5C">
            <w:pPr>
              <w:rPr>
                <w:rFonts w:ascii="Arial"/>
                <w:color w:val="auto"/>
                <w:sz w:val="21"/>
                <w:highlight w:val="none"/>
              </w:rPr>
            </w:pPr>
          </w:p>
        </w:tc>
        <w:tc>
          <w:tcPr>
            <w:tcW w:w="1040" w:type="dxa"/>
            <w:vAlign w:val="top"/>
          </w:tcPr>
          <w:p w14:paraId="66D3455C">
            <w:pPr>
              <w:rPr>
                <w:rFonts w:ascii="Arial"/>
                <w:color w:val="auto"/>
                <w:sz w:val="21"/>
                <w:highlight w:val="none"/>
              </w:rPr>
            </w:pPr>
          </w:p>
        </w:tc>
        <w:tc>
          <w:tcPr>
            <w:tcW w:w="1040" w:type="dxa"/>
            <w:vAlign w:val="top"/>
          </w:tcPr>
          <w:p w14:paraId="7F2AE490">
            <w:pPr>
              <w:rPr>
                <w:rFonts w:ascii="Arial"/>
                <w:color w:val="auto"/>
                <w:sz w:val="21"/>
                <w:highlight w:val="none"/>
              </w:rPr>
            </w:pPr>
          </w:p>
        </w:tc>
        <w:tc>
          <w:tcPr>
            <w:tcW w:w="1482" w:type="dxa"/>
            <w:tcBorders>
              <w:right w:val="single" w:color="000000" w:sz="6" w:space="0"/>
            </w:tcBorders>
            <w:vAlign w:val="top"/>
          </w:tcPr>
          <w:p w14:paraId="59A4A0F0">
            <w:pPr>
              <w:rPr>
                <w:rFonts w:ascii="Arial"/>
                <w:color w:val="auto"/>
                <w:sz w:val="21"/>
                <w:highlight w:val="none"/>
              </w:rPr>
            </w:pPr>
          </w:p>
        </w:tc>
      </w:tr>
      <w:tr w14:paraId="4568B0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6" w:hRule="atLeast"/>
        </w:trPr>
        <w:tc>
          <w:tcPr>
            <w:tcW w:w="635" w:type="dxa"/>
            <w:tcBorders>
              <w:left w:val="single" w:color="000000" w:sz="6" w:space="0"/>
            </w:tcBorders>
            <w:vAlign w:val="top"/>
          </w:tcPr>
          <w:p w14:paraId="00CDD885">
            <w:pPr>
              <w:pStyle w:val="18"/>
              <w:spacing w:before="203" w:line="233" w:lineRule="auto"/>
              <w:ind w:left="222"/>
              <w:rPr>
                <w:color w:val="auto"/>
                <w:highlight w:val="none"/>
              </w:rPr>
            </w:pPr>
            <w:r>
              <w:rPr>
                <w:color w:val="auto"/>
                <w:highlight w:val="none"/>
              </w:rPr>
              <w:t>…</w:t>
            </w:r>
          </w:p>
        </w:tc>
        <w:tc>
          <w:tcPr>
            <w:tcW w:w="1063" w:type="dxa"/>
            <w:vAlign w:val="top"/>
          </w:tcPr>
          <w:p w14:paraId="5213E3E5">
            <w:pPr>
              <w:rPr>
                <w:rFonts w:ascii="Arial"/>
                <w:color w:val="auto"/>
                <w:sz w:val="21"/>
                <w:highlight w:val="none"/>
              </w:rPr>
            </w:pPr>
          </w:p>
        </w:tc>
        <w:tc>
          <w:tcPr>
            <w:tcW w:w="753" w:type="dxa"/>
            <w:vAlign w:val="top"/>
          </w:tcPr>
          <w:p w14:paraId="7DD7FA52">
            <w:pPr>
              <w:rPr>
                <w:rFonts w:ascii="Arial"/>
                <w:color w:val="auto"/>
                <w:sz w:val="21"/>
                <w:highlight w:val="none"/>
              </w:rPr>
            </w:pPr>
          </w:p>
        </w:tc>
        <w:tc>
          <w:tcPr>
            <w:tcW w:w="1148" w:type="dxa"/>
            <w:vAlign w:val="top"/>
          </w:tcPr>
          <w:p w14:paraId="1BECD2DC">
            <w:pPr>
              <w:rPr>
                <w:rFonts w:ascii="Arial"/>
                <w:color w:val="auto"/>
                <w:sz w:val="21"/>
                <w:highlight w:val="none"/>
              </w:rPr>
            </w:pPr>
          </w:p>
        </w:tc>
        <w:tc>
          <w:tcPr>
            <w:tcW w:w="966" w:type="dxa"/>
            <w:vAlign w:val="top"/>
          </w:tcPr>
          <w:p w14:paraId="4C4AE8D5">
            <w:pPr>
              <w:rPr>
                <w:rFonts w:ascii="Arial"/>
                <w:color w:val="auto"/>
                <w:sz w:val="21"/>
                <w:highlight w:val="none"/>
              </w:rPr>
            </w:pPr>
          </w:p>
        </w:tc>
        <w:tc>
          <w:tcPr>
            <w:tcW w:w="1012" w:type="dxa"/>
            <w:vAlign w:val="top"/>
          </w:tcPr>
          <w:p w14:paraId="752E59E1">
            <w:pPr>
              <w:rPr>
                <w:rFonts w:ascii="Arial"/>
                <w:color w:val="auto"/>
                <w:sz w:val="21"/>
                <w:highlight w:val="none"/>
              </w:rPr>
            </w:pPr>
          </w:p>
        </w:tc>
        <w:tc>
          <w:tcPr>
            <w:tcW w:w="1784" w:type="dxa"/>
            <w:vAlign w:val="top"/>
          </w:tcPr>
          <w:p w14:paraId="6E4EAA6F">
            <w:pPr>
              <w:rPr>
                <w:rFonts w:ascii="Arial"/>
                <w:color w:val="auto"/>
                <w:sz w:val="21"/>
                <w:highlight w:val="none"/>
              </w:rPr>
            </w:pPr>
          </w:p>
        </w:tc>
        <w:tc>
          <w:tcPr>
            <w:tcW w:w="1241" w:type="dxa"/>
            <w:vAlign w:val="top"/>
          </w:tcPr>
          <w:p w14:paraId="20803004">
            <w:pPr>
              <w:rPr>
                <w:rFonts w:ascii="Arial"/>
                <w:color w:val="auto"/>
                <w:sz w:val="21"/>
                <w:highlight w:val="none"/>
              </w:rPr>
            </w:pPr>
          </w:p>
        </w:tc>
        <w:tc>
          <w:tcPr>
            <w:tcW w:w="949" w:type="dxa"/>
            <w:vAlign w:val="top"/>
          </w:tcPr>
          <w:p w14:paraId="5BBB9AD1">
            <w:pPr>
              <w:rPr>
                <w:rFonts w:ascii="Arial"/>
                <w:color w:val="auto"/>
                <w:sz w:val="21"/>
                <w:highlight w:val="none"/>
              </w:rPr>
            </w:pPr>
          </w:p>
        </w:tc>
        <w:tc>
          <w:tcPr>
            <w:tcW w:w="1108" w:type="dxa"/>
            <w:vAlign w:val="top"/>
          </w:tcPr>
          <w:p w14:paraId="35BA9230">
            <w:pPr>
              <w:rPr>
                <w:rFonts w:ascii="Arial"/>
                <w:color w:val="auto"/>
                <w:sz w:val="21"/>
                <w:highlight w:val="none"/>
              </w:rPr>
            </w:pPr>
          </w:p>
        </w:tc>
        <w:tc>
          <w:tcPr>
            <w:tcW w:w="1040" w:type="dxa"/>
            <w:vAlign w:val="top"/>
          </w:tcPr>
          <w:p w14:paraId="2821FAFF">
            <w:pPr>
              <w:rPr>
                <w:rFonts w:ascii="Arial"/>
                <w:color w:val="auto"/>
                <w:sz w:val="21"/>
                <w:highlight w:val="none"/>
              </w:rPr>
            </w:pPr>
          </w:p>
        </w:tc>
        <w:tc>
          <w:tcPr>
            <w:tcW w:w="1040" w:type="dxa"/>
            <w:vAlign w:val="top"/>
          </w:tcPr>
          <w:p w14:paraId="308378AF">
            <w:pPr>
              <w:rPr>
                <w:rFonts w:ascii="Arial"/>
                <w:color w:val="auto"/>
                <w:sz w:val="21"/>
                <w:highlight w:val="none"/>
              </w:rPr>
            </w:pPr>
          </w:p>
        </w:tc>
        <w:tc>
          <w:tcPr>
            <w:tcW w:w="1482" w:type="dxa"/>
            <w:tcBorders>
              <w:right w:val="single" w:color="000000" w:sz="6" w:space="0"/>
            </w:tcBorders>
            <w:vAlign w:val="top"/>
          </w:tcPr>
          <w:p w14:paraId="773A0F9E">
            <w:pPr>
              <w:rPr>
                <w:rFonts w:ascii="Arial"/>
                <w:color w:val="auto"/>
                <w:sz w:val="21"/>
                <w:highlight w:val="none"/>
              </w:rPr>
            </w:pPr>
          </w:p>
        </w:tc>
      </w:tr>
      <w:tr w14:paraId="1A7735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1" w:hRule="atLeast"/>
        </w:trPr>
        <w:tc>
          <w:tcPr>
            <w:tcW w:w="635" w:type="dxa"/>
            <w:tcBorders>
              <w:left w:val="single" w:color="000000" w:sz="6" w:space="0"/>
              <w:bottom w:val="single" w:color="000000" w:sz="6" w:space="0"/>
              <w:right w:val="nil"/>
            </w:tcBorders>
            <w:vAlign w:val="top"/>
          </w:tcPr>
          <w:p w14:paraId="5620DAB2">
            <w:pPr>
              <w:rPr>
                <w:rFonts w:ascii="Arial"/>
                <w:color w:val="auto"/>
                <w:sz w:val="21"/>
                <w:highlight w:val="none"/>
              </w:rPr>
            </w:pPr>
          </w:p>
        </w:tc>
        <w:tc>
          <w:tcPr>
            <w:tcW w:w="2964" w:type="dxa"/>
            <w:gridSpan w:val="3"/>
            <w:tcBorders>
              <w:left w:val="nil"/>
              <w:bottom w:val="single" w:color="000000" w:sz="6" w:space="0"/>
            </w:tcBorders>
            <w:vAlign w:val="top"/>
          </w:tcPr>
          <w:p w14:paraId="3B54C4BA">
            <w:pPr>
              <w:pStyle w:val="18"/>
              <w:spacing w:before="205" w:line="228" w:lineRule="auto"/>
              <w:ind w:left="646"/>
              <w:rPr>
                <w:color w:val="auto"/>
                <w:highlight w:val="none"/>
              </w:rPr>
            </w:pPr>
            <w:r>
              <w:rPr>
                <w:color w:val="auto"/>
                <w:spacing w:val="4"/>
                <w:highlight w:val="none"/>
              </w:rPr>
              <w:t>合</w:t>
            </w:r>
            <w:r>
              <w:rPr>
                <w:color w:val="auto"/>
                <w:spacing w:val="10"/>
                <w:highlight w:val="none"/>
              </w:rPr>
              <w:t xml:space="preserve">  </w:t>
            </w:r>
            <w:r>
              <w:rPr>
                <w:color w:val="auto"/>
                <w:spacing w:val="4"/>
                <w:highlight w:val="none"/>
              </w:rPr>
              <w:t>计(元)</w:t>
            </w:r>
          </w:p>
        </w:tc>
        <w:tc>
          <w:tcPr>
            <w:tcW w:w="966" w:type="dxa"/>
            <w:tcBorders>
              <w:bottom w:val="single" w:color="000000" w:sz="6" w:space="0"/>
            </w:tcBorders>
            <w:vAlign w:val="top"/>
          </w:tcPr>
          <w:p w14:paraId="0FBE46DC">
            <w:pPr>
              <w:rPr>
                <w:rFonts w:ascii="Arial"/>
                <w:color w:val="auto"/>
                <w:sz w:val="21"/>
                <w:highlight w:val="none"/>
              </w:rPr>
            </w:pPr>
          </w:p>
        </w:tc>
        <w:tc>
          <w:tcPr>
            <w:tcW w:w="1012" w:type="dxa"/>
            <w:tcBorders>
              <w:bottom w:val="single" w:color="000000" w:sz="6" w:space="0"/>
            </w:tcBorders>
            <w:vAlign w:val="top"/>
          </w:tcPr>
          <w:p w14:paraId="0EF4F7FB">
            <w:pPr>
              <w:rPr>
                <w:rFonts w:ascii="Arial"/>
                <w:color w:val="auto"/>
                <w:sz w:val="21"/>
                <w:highlight w:val="none"/>
              </w:rPr>
            </w:pPr>
          </w:p>
        </w:tc>
        <w:tc>
          <w:tcPr>
            <w:tcW w:w="1784" w:type="dxa"/>
            <w:tcBorders>
              <w:bottom w:val="single" w:color="000000" w:sz="6" w:space="0"/>
            </w:tcBorders>
            <w:vAlign w:val="top"/>
          </w:tcPr>
          <w:p w14:paraId="4BE57343">
            <w:pPr>
              <w:rPr>
                <w:rFonts w:ascii="Arial"/>
                <w:color w:val="auto"/>
                <w:sz w:val="21"/>
                <w:highlight w:val="none"/>
              </w:rPr>
            </w:pPr>
          </w:p>
        </w:tc>
        <w:tc>
          <w:tcPr>
            <w:tcW w:w="3298" w:type="dxa"/>
            <w:gridSpan w:val="3"/>
            <w:tcBorders>
              <w:bottom w:val="single" w:color="000000" w:sz="6" w:space="0"/>
            </w:tcBorders>
            <w:vAlign w:val="top"/>
          </w:tcPr>
          <w:p w14:paraId="6AA740C3">
            <w:pPr>
              <w:pStyle w:val="18"/>
              <w:spacing w:before="205" w:line="228" w:lineRule="auto"/>
              <w:ind w:left="1237"/>
              <w:rPr>
                <w:color w:val="auto"/>
                <w:highlight w:val="none"/>
              </w:rPr>
            </w:pPr>
            <w:r>
              <w:rPr>
                <w:color w:val="auto"/>
                <w:spacing w:val="5"/>
                <w:highlight w:val="none"/>
              </w:rPr>
              <w:t>合计(元)</w:t>
            </w:r>
          </w:p>
        </w:tc>
        <w:tc>
          <w:tcPr>
            <w:tcW w:w="1040" w:type="dxa"/>
            <w:tcBorders>
              <w:bottom w:val="single" w:color="000000" w:sz="6" w:space="0"/>
            </w:tcBorders>
            <w:vAlign w:val="top"/>
          </w:tcPr>
          <w:p w14:paraId="7CBFC9B3">
            <w:pPr>
              <w:rPr>
                <w:rFonts w:ascii="Arial"/>
                <w:color w:val="auto"/>
                <w:sz w:val="21"/>
                <w:highlight w:val="none"/>
              </w:rPr>
            </w:pPr>
          </w:p>
        </w:tc>
        <w:tc>
          <w:tcPr>
            <w:tcW w:w="1040" w:type="dxa"/>
            <w:tcBorders>
              <w:bottom w:val="single" w:color="000000" w:sz="6" w:space="0"/>
            </w:tcBorders>
            <w:vAlign w:val="top"/>
          </w:tcPr>
          <w:p w14:paraId="41EB848B">
            <w:pPr>
              <w:rPr>
                <w:rFonts w:ascii="Arial"/>
                <w:color w:val="auto"/>
                <w:sz w:val="21"/>
                <w:highlight w:val="none"/>
              </w:rPr>
            </w:pPr>
          </w:p>
        </w:tc>
        <w:tc>
          <w:tcPr>
            <w:tcW w:w="1482" w:type="dxa"/>
            <w:tcBorders>
              <w:bottom w:val="single" w:color="000000" w:sz="6" w:space="0"/>
              <w:right w:val="single" w:color="000000" w:sz="6" w:space="0"/>
            </w:tcBorders>
            <w:vAlign w:val="top"/>
          </w:tcPr>
          <w:p w14:paraId="5D0A2665">
            <w:pPr>
              <w:rPr>
                <w:rFonts w:ascii="Arial"/>
                <w:color w:val="auto"/>
                <w:sz w:val="21"/>
                <w:highlight w:val="none"/>
              </w:rPr>
            </w:pPr>
          </w:p>
        </w:tc>
      </w:tr>
    </w:tbl>
    <w:p w14:paraId="32C8C5EC">
      <w:pPr>
        <w:rPr>
          <w:rFonts w:ascii="Arial"/>
          <w:color w:val="auto"/>
          <w:sz w:val="21"/>
          <w:highlight w:val="none"/>
        </w:rPr>
      </w:pPr>
    </w:p>
    <w:p w14:paraId="05335314">
      <w:pPr>
        <w:rPr>
          <w:rFonts w:ascii="Arial" w:hAnsi="Arial" w:eastAsia="Arial" w:cs="Arial"/>
          <w:color w:val="auto"/>
          <w:sz w:val="21"/>
          <w:szCs w:val="21"/>
          <w:highlight w:val="none"/>
        </w:rPr>
        <w:sectPr>
          <w:footerReference r:id="rId110" w:type="default"/>
          <w:pgSz w:w="16839" w:h="11906"/>
          <w:pgMar w:top="1012" w:right="1301" w:bottom="1297" w:left="1300" w:header="0" w:footer="1067" w:gutter="0"/>
          <w:pgNumType w:fmt="decimal"/>
          <w:cols w:space="720" w:num="1"/>
        </w:sectPr>
      </w:pPr>
    </w:p>
    <w:p w14:paraId="4FB93F99">
      <w:pPr>
        <w:spacing w:line="247" w:lineRule="auto"/>
        <w:rPr>
          <w:rFonts w:ascii="Arial"/>
          <w:color w:val="auto"/>
          <w:sz w:val="21"/>
          <w:highlight w:val="none"/>
        </w:rPr>
      </w:pPr>
    </w:p>
    <w:p w14:paraId="429FB96C">
      <w:pPr>
        <w:spacing w:line="247" w:lineRule="auto"/>
        <w:rPr>
          <w:rFonts w:ascii="Arial"/>
          <w:color w:val="auto"/>
          <w:sz w:val="21"/>
          <w:highlight w:val="none"/>
        </w:rPr>
      </w:pPr>
    </w:p>
    <w:p w14:paraId="096954D5">
      <w:pPr>
        <w:spacing w:line="248" w:lineRule="auto"/>
        <w:rPr>
          <w:rFonts w:ascii="Arial"/>
          <w:color w:val="auto"/>
          <w:sz w:val="21"/>
          <w:highlight w:val="none"/>
        </w:rPr>
      </w:pPr>
    </w:p>
    <w:p w14:paraId="7AFC3B59">
      <w:pPr>
        <w:spacing w:line="248" w:lineRule="auto"/>
        <w:rPr>
          <w:rFonts w:ascii="Arial"/>
          <w:color w:val="auto"/>
          <w:sz w:val="21"/>
          <w:highlight w:val="none"/>
        </w:rPr>
      </w:pPr>
    </w:p>
    <w:p w14:paraId="21BCF7F3">
      <w:pPr>
        <w:spacing w:before="91" w:line="211" w:lineRule="auto"/>
        <w:ind w:left="4913"/>
        <w:rPr>
          <w:rFonts w:ascii="宋体" w:hAnsi="宋体" w:eastAsia="宋体" w:cs="宋体"/>
          <w:color w:val="auto"/>
          <w:sz w:val="28"/>
          <w:szCs w:val="28"/>
          <w:highlight w:val="none"/>
        </w:rPr>
      </w:pPr>
      <w:r>
        <w:rPr>
          <w:rFonts w:ascii="宋体" w:hAnsi="宋体" w:eastAsia="宋体" w:cs="宋体"/>
          <w:b/>
          <w:bCs/>
          <w:color w:val="auto"/>
          <w:spacing w:val="-3"/>
          <w:sz w:val="28"/>
          <w:szCs w:val="28"/>
          <w:highlight w:val="none"/>
        </w:rPr>
        <w:t>表</w:t>
      </w:r>
      <w:r>
        <w:rPr>
          <w:rFonts w:ascii="宋体" w:hAnsi="宋体" w:eastAsia="宋体" w:cs="宋体"/>
          <w:color w:val="auto"/>
          <w:spacing w:val="-59"/>
          <w:sz w:val="28"/>
          <w:szCs w:val="28"/>
          <w:highlight w:val="none"/>
        </w:rPr>
        <w:t xml:space="preserve"> </w:t>
      </w:r>
      <w:r>
        <w:rPr>
          <w:rFonts w:ascii="宋体" w:hAnsi="宋体" w:eastAsia="宋体" w:cs="宋体"/>
          <w:b/>
          <w:bCs/>
          <w:color w:val="auto"/>
          <w:spacing w:val="-3"/>
          <w:sz w:val="28"/>
          <w:szCs w:val="28"/>
          <w:highlight w:val="none"/>
        </w:rPr>
        <w:t>4</w:t>
      </w:r>
      <w:r>
        <w:rPr>
          <w:rFonts w:ascii="宋体" w:hAnsi="宋体" w:eastAsia="宋体" w:cs="宋体"/>
          <w:color w:val="auto"/>
          <w:spacing w:val="-3"/>
          <w:sz w:val="28"/>
          <w:szCs w:val="28"/>
          <w:highlight w:val="none"/>
        </w:rPr>
        <w:t xml:space="preserve">  </w:t>
      </w:r>
      <w:r>
        <w:rPr>
          <w:rFonts w:ascii="宋体" w:hAnsi="宋体" w:eastAsia="宋体" w:cs="宋体"/>
          <w:b/>
          <w:bCs/>
          <w:color w:val="auto"/>
          <w:spacing w:val="-3"/>
          <w:sz w:val="28"/>
          <w:szCs w:val="28"/>
          <w:highlight w:val="none"/>
        </w:rPr>
        <w:t>监理工程师交通设施费报价表</w:t>
      </w:r>
    </w:p>
    <w:tbl>
      <w:tblPr>
        <w:tblStyle w:val="17"/>
        <w:tblW w:w="14221"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71"/>
        <w:gridCol w:w="883"/>
        <w:gridCol w:w="886"/>
        <w:gridCol w:w="884"/>
        <w:gridCol w:w="895"/>
        <w:gridCol w:w="884"/>
        <w:gridCol w:w="887"/>
        <w:gridCol w:w="1600"/>
        <w:gridCol w:w="915"/>
        <w:gridCol w:w="878"/>
        <w:gridCol w:w="821"/>
        <w:gridCol w:w="887"/>
        <w:gridCol w:w="1057"/>
        <w:gridCol w:w="958"/>
        <w:gridCol w:w="1215"/>
      </w:tblGrid>
      <w:tr w14:paraId="54DDA4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trPr>
        <w:tc>
          <w:tcPr>
            <w:tcW w:w="571" w:type="dxa"/>
            <w:vMerge w:val="restart"/>
            <w:tcBorders>
              <w:top w:val="single" w:color="000000" w:sz="6" w:space="0"/>
              <w:left w:val="single" w:color="000000" w:sz="6" w:space="0"/>
              <w:bottom w:val="nil"/>
            </w:tcBorders>
            <w:vAlign w:val="top"/>
          </w:tcPr>
          <w:p w14:paraId="668F7171">
            <w:pPr>
              <w:spacing w:line="266" w:lineRule="auto"/>
              <w:rPr>
                <w:rFonts w:ascii="Arial"/>
                <w:color w:val="auto"/>
                <w:sz w:val="21"/>
                <w:highlight w:val="none"/>
              </w:rPr>
            </w:pPr>
          </w:p>
          <w:p w14:paraId="1C005ABC">
            <w:pPr>
              <w:spacing w:line="266" w:lineRule="auto"/>
              <w:rPr>
                <w:rFonts w:ascii="Arial"/>
                <w:color w:val="auto"/>
                <w:sz w:val="21"/>
                <w:highlight w:val="none"/>
              </w:rPr>
            </w:pPr>
          </w:p>
          <w:p w14:paraId="1E1D2F37">
            <w:pPr>
              <w:spacing w:line="267" w:lineRule="auto"/>
              <w:rPr>
                <w:rFonts w:ascii="Arial"/>
                <w:color w:val="auto"/>
                <w:sz w:val="21"/>
                <w:highlight w:val="none"/>
              </w:rPr>
            </w:pPr>
          </w:p>
          <w:p w14:paraId="7010F4B0">
            <w:pPr>
              <w:pStyle w:val="18"/>
              <w:spacing w:before="65" w:line="229" w:lineRule="auto"/>
              <w:ind w:left="71"/>
              <w:rPr>
                <w:color w:val="auto"/>
                <w:highlight w:val="none"/>
              </w:rPr>
            </w:pPr>
            <w:r>
              <w:rPr>
                <w:color w:val="auto"/>
                <w:spacing w:val="5"/>
                <w:highlight w:val="none"/>
              </w:rPr>
              <w:t>序号</w:t>
            </w:r>
          </w:p>
        </w:tc>
        <w:tc>
          <w:tcPr>
            <w:tcW w:w="6919" w:type="dxa"/>
            <w:gridSpan w:val="7"/>
            <w:tcBorders>
              <w:top w:val="single" w:color="000000" w:sz="6" w:space="0"/>
            </w:tcBorders>
            <w:vAlign w:val="top"/>
          </w:tcPr>
          <w:p w14:paraId="76DB5297">
            <w:pPr>
              <w:pStyle w:val="18"/>
              <w:spacing w:before="194" w:line="228" w:lineRule="auto"/>
              <w:ind w:left="3146"/>
              <w:rPr>
                <w:color w:val="auto"/>
                <w:highlight w:val="none"/>
              </w:rPr>
            </w:pPr>
            <w:r>
              <w:rPr>
                <w:color w:val="auto"/>
                <w:spacing w:val="7"/>
                <w:highlight w:val="none"/>
              </w:rPr>
              <w:t>施工期</w:t>
            </w:r>
          </w:p>
        </w:tc>
        <w:tc>
          <w:tcPr>
            <w:tcW w:w="6731" w:type="dxa"/>
            <w:gridSpan w:val="7"/>
            <w:tcBorders>
              <w:top w:val="single" w:color="000000" w:sz="6" w:space="0"/>
              <w:right w:val="single" w:color="000000" w:sz="6" w:space="0"/>
            </w:tcBorders>
            <w:vAlign w:val="top"/>
          </w:tcPr>
          <w:p w14:paraId="38FB7708">
            <w:pPr>
              <w:pStyle w:val="18"/>
              <w:spacing w:before="194" w:line="228" w:lineRule="auto"/>
              <w:ind w:left="2845"/>
              <w:rPr>
                <w:color w:val="auto"/>
                <w:highlight w:val="none"/>
              </w:rPr>
            </w:pPr>
            <w:r>
              <w:rPr>
                <w:color w:val="auto"/>
                <w:spacing w:val="8"/>
                <w:highlight w:val="none"/>
              </w:rPr>
              <w:t>缺陷责任期</w:t>
            </w:r>
          </w:p>
        </w:tc>
      </w:tr>
      <w:tr w14:paraId="23E2E5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1" w:hRule="atLeast"/>
        </w:trPr>
        <w:tc>
          <w:tcPr>
            <w:tcW w:w="571" w:type="dxa"/>
            <w:vMerge w:val="continue"/>
            <w:tcBorders>
              <w:top w:val="nil"/>
              <w:left w:val="single" w:color="000000" w:sz="6" w:space="0"/>
            </w:tcBorders>
            <w:vAlign w:val="top"/>
          </w:tcPr>
          <w:p w14:paraId="53BA7A8E">
            <w:pPr>
              <w:rPr>
                <w:rFonts w:ascii="Arial"/>
                <w:color w:val="auto"/>
                <w:sz w:val="21"/>
                <w:highlight w:val="none"/>
              </w:rPr>
            </w:pPr>
          </w:p>
        </w:tc>
        <w:tc>
          <w:tcPr>
            <w:tcW w:w="883" w:type="dxa"/>
            <w:vAlign w:val="top"/>
          </w:tcPr>
          <w:p w14:paraId="57161878">
            <w:pPr>
              <w:spacing w:line="305" w:lineRule="auto"/>
              <w:rPr>
                <w:rFonts w:ascii="Arial"/>
                <w:color w:val="auto"/>
                <w:sz w:val="21"/>
                <w:highlight w:val="none"/>
              </w:rPr>
            </w:pPr>
          </w:p>
          <w:p w14:paraId="7FC7463B">
            <w:pPr>
              <w:pStyle w:val="18"/>
              <w:spacing w:before="65" w:line="370" w:lineRule="auto"/>
              <w:ind w:left="237" w:right="131" w:hanging="109"/>
              <w:rPr>
                <w:color w:val="auto"/>
                <w:highlight w:val="none"/>
              </w:rPr>
            </w:pPr>
            <w:r>
              <w:rPr>
                <w:color w:val="auto"/>
                <w:spacing w:val="6"/>
                <w:highlight w:val="none"/>
              </w:rPr>
              <w:t>名称及</w:t>
            </w:r>
            <w:r>
              <w:rPr>
                <w:color w:val="auto"/>
                <w:spacing w:val="1"/>
                <w:highlight w:val="none"/>
              </w:rPr>
              <w:t>型号</w:t>
            </w:r>
          </w:p>
        </w:tc>
        <w:tc>
          <w:tcPr>
            <w:tcW w:w="886" w:type="dxa"/>
            <w:vAlign w:val="top"/>
          </w:tcPr>
          <w:p w14:paraId="42EF8327">
            <w:pPr>
              <w:spacing w:line="305" w:lineRule="auto"/>
              <w:rPr>
                <w:rFonts w:ascii="Arial"/>
                <w:color w:val="auto"/>
                <w:sz w:val="21"/>
                <w:highlight w:val="none"/>
              </w:rPr>
            </w:pPr>
          </w:p>
          <w:p w14:paraId="3CB4E9B7">
            <w:pPr>
              <w:pStyle w:val="18"/>
              <w:spacing w:before="65" w:line="369" w:lineRule="auto"/>
              <w:ind w:left="268" w:right="236" w:hanging="35"/>
              <w:rPr>
                <w:color w:val="auto"/>
                <w:highlight w:val="none"/>
              </w:rPr>
            </w:pPr>
            <w:r>
              <w:rPr>
                <w:color w:val="auto"/>
                <w:spacing w:val="3"/>
                <w:highlight w:val="none"/>
              </w:rPr>
              <w:t>数量</w:t>
            </w:r>
            <w:r>
              <w:rPr>
                <w:color w:val="auto"/>
                <w:spacing w:val="-8"/>
                <w:highlight w:val="none"/>
              </w:rPr>
              <w:t>(辆)</w:t>
            </w:r>
          </w:p>
        </w:tc>
        <w:tc>
          <w:tcPr>
            <w:tcW w:w="884" w:type="dxa"/>
            <w:vAlign w:val="top"/>
          </w:tcPr>
          <w:p w14:paraId="5DEC1DA7">
            <w:pPr>
              <w:spacing w:line="304" w:lineRule="auto"/>
              <w:rPr>
                <w:rFonts w:ascii="Arial"/>
                <w:color w:val="auto"/>
                <w:sz w:val="21"/>
                <w:highlight w:val="none"/>
              </w:rPr>
            </w:pPr>
          </w:p>
          <w:p w14:paraId="4EE1D27A">
            <w:pPr>
              <w:pStyle w:val="18"/>
              <w:spacing w:before="65" w:line="370" w:lineRule="auto"/>
              <w:ind w:left="270" w:right="232" w:hanging="35"/>
              <w:rPr>
                <w:color w:val="auto"/>
                <w:highlight w:val="none"/>
              </w:rPr>
            </w:pPr>
            <w:r>
              <w:rPr>
                <w:color w:val="auto"/>
                <w:spacing w:val="3"/>
                <w:highlight w:val="none"/>
              </w:rPr>
              <w:t>单价</w:t>
            </w:r>
            <w:r>
              <w:rPr>
                <w:color w:val="auto"/>
                <w:spacing w:val="-8"/>
                <w:highlight w:val="none"/>
              </w:rPr>
              <w:t>(元)</w:t>
            </w:r>
          </w:p>
        </w:tc>
        <w:tc>
          <w:tcPr>
            <w:tcW w:w="895" w:type="dxa"/>
            <w:vAlign w:val="top"/>
          </w:tcPr>
          <w:p w14:paraId="6D8E33FB">
            <w:pPr>
              <w:spacing w:line="251" w:lineRule="auto"/>
              <w:rPr>
                <w:rFonts w:ascii="Arial"/>
                <w:color w:val="auto"/>
                <w:sz w:val="21"/>
                <w:highlight w:val="none"/>
              </w:rPr>
            </w:pPr>
          </w:p>
          <w:p w14:paraId="4C823817">
            <w:pPr>
              <w:spacing w:line="252" w:lineRule="auto"/>
              <w:rPr>
                <w:rFonts w:ascii="Arial"/>
                <w:color w:val="auto"/>
                <w:sz w:val="21"/>
                <w:highlight w:val="none"/>
              </w:rPr>
            </w:pPr>
          </w:p>
          <w:p w14:paraId="1B5BCCB5">
            <w:pPr>
              <w:pStyle w:val="18"/>
              <w:spacing w:before="65" w:line="226" w:lineRule="auto"/>
              <w:ind w:left="44"/>
              <w:rPr>
                <w:color w:val="auto"/>
                <w:highlight w:val="none"/>
              </w:rPr>
            </w:pPr>
            <w:r>
              <w:rPr>
                <w:color w:val="auto"/>
                <w:spacing w:val="5"/>
                <w:highlight w:val="none"/>
              </w:rPr>
              <w:t>合价(元)</w:t>
            </w:r>
          </w:p>
        </w:tc>
        <w:tc>
          <w:tcPr>
            <w:tcW w:w="884" w:type="dxa"/>
            <w:vAlign w:val="top"/>
          </w:tcPr>
          <w:p w14:paraId="7E7C9292">
            <w:pPr>
              <w:spacing w:line="304" w:lineRule="auto"/>
              <w:rPr>
                <w:rFonts w:ascii="Arial"/>
                <w:color w:val="auto"/>
                <w:sz w:val="21"/>
                <w:highlight w:val="none"/>
              </w:rPr>
            </w:pPr>
          </w:p>
          <w:p w14:paraId="5B0899E5">
            <w:pPr>
              <w:pStyle w:val="18"/>
              <w:spacing w:before="65" w:line="370" w:lineRule="auto"/>
              <w:ind w:left="271" w:right="128" w:hanging="140"/>
              <w:rPr>
                <w:color w:val="auto"/>
                <w:highlight w:val="none"/>
              </w:rPr>
            </w:pPr>
            <w:r>
              <w:rPr>
                <w:color w:val="auto"/>
                <w:spacing w:val="6"/>
                <w:highlight w:val="none"/>
              </w:rPr>
              <w:t>折旧费</w:t>
            </w:r>
            <w:r>
              <w:rPr>
                <w:color w:val="auto"/>
                <w:spacing w:val="-9"/>
                <w:highlight w:val="none"/>
              </w:rPr>
              <w:t>(元)</w:t>
            </w:r>
          </w:p>
        </w:tc>
        <w:tc>
          <w:tcPr>
            <w:tcW w:w="887" w:type="dxa"/>
            <w:vAlign w:val="top"/>
          </w:tcPr>
          <w:p w14:paraId="02624DB5">
            <w:pPr>
              <w:spacing w:line="304" w:lineRule="auto"/>
              <w:rPr>
                <w:rFonts w:ascii="Arial"/>
                <w:color w:val="auto"/>
                <w:sz w:val="21"/>
                <w:highlight w:val="none"/>
              </w:rPr>
            </w:pPr>
          </w:p>
          <w:p w14:paraId="6B3C62E9">
            <w:pPr>
              <w:pStyle w:val="18"/>
              <w:spacing w:before="65" w:line="370" w:lineRule="auto"/>
              <w:ind w:left="273" w:right="129" w:hanging="141"/>
              <w:rPr>
                <w:color w:val="auto"/>
                <w:highlight w:val="none"/>
              </w:rPr>
            </w:pPr>
            <w:r>
              <w:rPr>
                <w:color w:val="auto"/>
                <w:spacing w:val="6"/>
                <w:highlight w:val="none"/>
              </w:rPr>
              <w:t>使用费</w:t>
            </w:r>
            <w:r>
              <w:rPr>
                <w:color w:val="auto"/>
                <w:spacing w:val="-9"/>
                <w:highlight w:val="none"/>
              </w:rPr>
              <w:t>(元)</w:t>
            </w:r>
          </w:p>
        </w:tc>
        <w:tc>
          <w:tcPr>
            <w:tcW w:w="1600" w:type="dxa"/>
            <w:vAlign w:val="top"/>
          </w:tcPr>
          <w:p w14:paraId="76368947">
            <w:pPr>
              <w:pStyle w:val="18"/>
              <w:spacing w:before="170" w:line="229" w:lineRule="auto"/>
              <w:ind w:left="591"/>
              <w:rPr>
                <w:color w:val="auto"/>
                <w:highlight w:val="none"/>
              </w:rPr>
            </w:pPr>
            <w:r>
              <w:rPr>
                <w:color w:val="auto"/>
                <w:spacing w:val="2"/>
                <w:highlight w:val="none"/>
              </w:rPr>
              <w:t>小计</w:t>
            </w:r>
          </w:p>
          <w:p w14:paraId="0A215D89">
            <w:pPr>
              <w:pStyle w:val="18"/>
              <w:spacing w:before="152" w:line="228" w:lineRule="auto"/>
              <w:ind w:left="167"/>
              <w:rPr>
                <w:color w:val="auto"/>
                <w:highlight w:val="none"/>
              </w:rPr>
            </w:pPr>
            <w:r>
              <w:rPr>
                <w:color w:val="auto"/>
                <w:spacing w:val="7"/>
                <w:highlight w:val="none"/>
              </w:rPr>
              <w:t>折旧及使用费</w:t>
            </w:r>
          </w:p>
          <w:p w14:paraId="3FF5A796">
            <w:pPr>
              <w:pStyle w:val="18"/>
              <w:spacing w:before="154" w:line="211" w:lineRule="auto"/>
              <w:ind w:left="622"/>
              <w:rPr>
                <w:color w:val="auto"/>
                <w:highlight w:val="none"/>
              </w:rPr>
            </w:pPr>
            <w:r>
              <w:rPr>
                <w:color w:val="auto"/>
                <w:spacing w:val="-9"/>
                <w:highlight w:val="none"/>
              </w:rPr>
              <w:t>(元)</w:t>
            </w:r>
          </w:p>
        </w:tc>
        <w:tc>
          <w:tcPr>
            <w:tcW w:w="915" w:type="dxa"/>
            <w:vAlign w:val="top"/>
          </w:tcPr>
          <w:p w14:paraId="732EBD3C">
            <w:pPr>
              <w:spacing w:line="305" w:lineRule="auto"/>
              <w:rPr>
                <w:rFonts w:ascii="Arial"/>
                <w:color w:val="auto"/>
                <w:sz w:val="21"/>
                <w:highlight w:val="none"/>
              </w:rPr>
            </w:pPr>
          </w:p>
          <w:p w14:paraId="63B22A36">
            <w:pPr>
              <w:pStyle w:val="18"/>
              <w:spacing w:before="65" w:line="370" w:lineRule="auto"/>
              <w:ind w:left="261" w:right="139" w:hanging="109"/>
              <w:rPr>
                <w:color w:val="auto"/>
                <w:highlight w:val="none"/>
              </w:rPr>
            </w:pPr>
            <w:r>
              <w:rPr>
                <w:color w:val="auto"/>
                <w:spacing w:val="6"/>
                <w:highlight w:val="none"/>
              </w:rPr>
              <w:t>名称及</w:t>
            </w:r>
            <w:r>
              <w:rPr>
                <w:color w:val="auto"/>
                <w:spacing w:val="1"/>
                <w:highlight w:val="none"/>
              </w:rPr>
              <w:t>型号</w:t>
            </w:r>
          </w:p>
        </w:tc>
        <w:tc>
          <w:tcPr>
            <w:tcW w:w="878" w:type="dxa"/>
            <w:vAlign w:val="top"/>
          </w:tcPr>
          <w:p w14:paraId="76AE03A2">
            <w:pPr>
              <w:spacing w:line="305" w:lineRule="auto"/>
              <w:rPr>
                <w:rFonts w:ascii="Arial"/>
                <w:color w:val="auto"/>
                <w:sz w:val="21"/>
                <w:highlight w:val="none"/>
              </w:rPr>
            </w:pPr>
          </w:p>
          <w:p w14:paraId="039CD5AF">
            <w:pPr>
              <w:pStyle w:val="18"/>
              <w:spacing w:before="65" w:line="369" w:lineRule="auto"/>
              <w:ind w:left="272" w:right="223" w:hanging="35"/>
              <w:rPr>
                <w:color w:val="auto"/>
                <w:highlight w:val="none"/>
              </w:rPr>
            </w:pPr>
            <w:r>
              <w:rPr>
                <w:color w:val="auto"/>
                <w:spacing w:val="3"/>
                <w:highlight w:val="none"/>
              </w:rPr>
              <w:t>数量</w:t>
            </w:r>
            <w:r>
              <w:rPr>
                <w:color w:val="auto"/>
                <w:spacing w:val="-8"/>
                <w:highlight w:val="none"/>
              </w:rPr>
              <w:t>(辆)</w:t>
            </w:r>
          </w:p>
        </w:tc>
        <w:tc>
          <w:tcPr>
            <w:tcW w:w="821" w:type="dxa"/>
            <w:vAlign w:val="top"/>
          </w:tcPr>
          <w:p w14:paraId="58C84C8A">
            <w:pPr>
              <w:spacing w:line="304" w:lineRule="auto"/>
              <w:rPr>
                <w:rFonts w:ascii="Arial"/>
                <w:color w:val="auto"/>
                <w:sz w:val="21"/>
                <w:highlight w:val="none"/>
              </w:rPr>
            </w:pPr>
          </w:p>
          <w:p w14:paraId="3E39212F">
            <w:pPr>
              <w:pStyle w:val="18"/>
              <w:spacing w:before="65" w:line="370" w:lineRule="auto"/>
              <w:ind w:left="249" w:right="192" w:hanging="35"/>
              <w:rPr>
                <w:color w:val="auto"/>
                <w:highlight w:val="none"/>
              </w:rPr>
            </w:pPr>
            <w:r>
              <w:rPr>
                <w:color w:val="auto"/>
                <w:spacing w:val="3"/>
                <w:highlight w:val="none"/>
              </w:rPr>
              <w:t>单价</w:t>
            </w:r>
            <w:r>
              <w:rPr>
                <w:color w:val="auto"/>
                <w:spacing w:val="-9"/>
                <w:highlight w:val="none"/>
              </w:rPr>
              <w:t>(元)</w:t>
            </w:r>
          </w:p>
        </w:tc>
        <w:tc>
          <w:tcPr>
            <w:tcW w:w="887" w:type="dxa"/>
            <w:vAlign w:val="top"/>
          </w:tcPr>
          <w:p w14:paraId="74FB86B5">
            <w:pPr>
              <w:spacing w:line="304" w:lineRule="auto"/>
              <w:rPr>
                <w:rFonts w:ascii="Arial"/>
                <w:color w:val="auto"/>
                <w:sz w:val="21"/>
                <w:highlight w:val="none"/>
              </w:rPr>
            </w:pPr>
          </w:p>
          <w:p w14:paraId="399513EF">
            <w:pPr>
              <w:pStyle w:val="18"/>
              <w:spacing w:before="65" w:line="370" w:lineRule="auto"/>
              <w:ind w:left="293" w:right="213" w:hanging="35"/>
              <w:rPr>
                <w:color w:val="auto"/>
                <w:highlight w:val="none"/>
              </w:rPr>
            </w:pPr>
            <w:r>
              <w:rPr>
                <w:color w:val="auto"/>
                <w:spacing w:val="4"/>
                <w:highlight w:val="none"/>
              </w:rPr>
              <w:t>合价</w:t>
            </w:r>
            <w:r>
              <w:rPr>
                <w:color w:val="auto"/>
                <w:spacing w:val="-9"/>
                <w:highlight w:val="none"/>
              </w:rPr>
              <w:t>(元)</w:t>
            </w:r>
          </w:p>
        </w:tc>
        <w:tc>
          <w:tcPr>
            <w:tcW w:w="1057" w:type="dxa"/>
            <w:vAlign w:val="top"/>
          </w:tcPr>
          <w:p w14:paraId="0DC44118">
            <w:pPr>
              <w:spacing w:line="304" w:lineRule="auto"/>
              <w:rPr>
                <w:rFonts w:ascii="Arial"/>
                <w:color w:val="auto"/>
                <w:sz w:val="21"/>
                <w:highlight w:val="none"/>
              </w:rPr>
            </w:pPr>
          </w:p>
          <w:p w14:paraId="516AF077">
            <w:pPr>
              <w:pStyle w:val="18"/>
              <w:spacing w:before="65" w:line="370" w:lineRule="auto"/>
              <w:ind w:left="366" w:right="206" w:hanging="140"/>
              <w:rPr>
                <w:color w:val="auto"/>
                <w:highlight w:val="none"/>
              </w:rPr>
            </w:pPr>
            <w:r>
              <w:rPr>
                <w:color w:val="auto"/>
                <w:spacing w:val="6"/>
                <w:highlight w:val="none"/>
              </w:rPr>
              <w:t>折旧费</w:t>
            </w:r>
            <w:r>
              <w:rPr>
                <w:color w:val="auto"/>
                <w:spacing w:val="-9"/>
                <w:highlight w:val="none"/>
              </w:rPr>
              <w:t>(元)</w:t>
            </w:r>
          </w:p>
        </w:tc>
        <w:tc>
          <w:tcPr>
            <w:tcW w:w="958" w:type="dxa"/>
            <w:vAlign w:val="top"/>
          </w:tcPr>
          <w:p w14:paraId="4385B9CB">
            <w:pPr>
              <w:spacing w:line="304" w:lineRule="auto"/>
              <w:rPr>
                <w:rFonts w:ascii="Arial"/>
                <w:color w:val="auto"/>
                <w:sz w:val="21"/>
                <w:highlight w:val="none"/>
              </w:rPr>
            </w:pPr>
          </w:p>
          <w:p w14:paraId="4596E7FC">
            <w:pPr>
              <w:pStyle w:val="18"/>
              <w:spacing w:before="65" w:line="370" w:lineRule="auto"/>
              <w:ind w:left="317" w:right="156" w:hanging="141"/>
              <w:rPr>
                <w:color w:val="auto"/>
                <w:highlight w:val="none"/>
              </w:rPr>
            </w:pPr>
            <w:r>
              <w:rPr>
                <w:color w:val="auto"/>
                <w:spacing w:val="6"/>
                <w:highlight w:val="none"/>
              </w:rPr>
              <w:t>使用费</w:t>
            </w:r>
            <w:r>
              <w:rPr>
                <w:color w:val="auto"/>
                <w:spacing w:val="-9"/>
                <w:highlight w:val="none"/>
              </w:rPr>
              <w:t>(元)</w:t>
            </w:r>
          </w:p>
        </w:tc>
        <w:tc>
          <w:tcPr>
            <w:tcW w:w="1215" w:type="dxa"/>
            <w:tcBorders>
              <w:right w:val="single" w:color="000000" w:sz="6" w:space="0"/>
            </w:tcBorders>
            <w:vAlign w:val="top"/>
          </w:tcPr>
          <w:p w14:paraId="096869DB">
            <w:pPr>
              <w:pStyle w:val="18"/>
              <w:spacing w:before="170" w:line="229" w:lineRule="auto"/>
              <w:ind w:left="402"/>
              <w:rPr>
                <w:color w:val="auto"/>
                <w:highlight w:val="none"/>
              </w:rPr>
            </w:pPr>
            <w:r>
              <w:rPr>
                <w:color w:val="auto"/>
                <w:spacing w:val="2"/>
                <w:highlight w:val="none"/>
              </w:rPr>
              <w:t>小计</w:t>
            </w:r>
          </w:p>
          <w:p w14:paraId="72895FE6">
            <w:pPr>
              <w:pStyle w:val="18"/>
              <w:spacing w:before="153" w:line="290" w:lineRule="auto"/>
              <w:ind w:left="301" w:right="82" w:hanging="218"/>
              <w:rPr>
                <w:color w:val="auto"/>
                <w:highlight w:val="none"/>
              </w:rPr>
            </w:pPr>
            <w:r>
              <w:rPr>
                <w:color w:val="auto"/>
                <w:spacing w:val="7"/>
                <w:highlight w:val="none"/>
              </w:rPr>
              <w:t>折旧及使用</w:t>
            </w:r>
            <w:r>
              <w:rPr>
                <w:color w:val="auto"/>
                <w:spacing w:val="2"/>
                <w:highlight w:val="none"/>
              </w:rPr>
              <w:t>费(元)</w:t>
            </w:r>
          </w:p>
        </w:tc>
      </w:tr>
      <w:tr w14:paraId="5B109E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571" w:type="dxa"/>
            <w:tcBorders>
              <w:left w:val="single" w:color="000000" w:sz="6" w:space="0"/>
            </w:tcBorders>
            <w:vAlign w:val="top"/>
          </w:tcPr>
          <w:p w14:paraId="0208502E">
            <w:pPr>
              <w:pStyle w:val="18"/>
              <w:spacing w:before="284" w:line="270" w:lineRule="exact"/>
              <w:ind w:left="244"/>
              <w:rPr>
                <w:color w:val="auto"/>
                <w:highlight w:val="none"/>
              </w:rPr>
            </w:pPr>
            <w:r>
              <w:rPr>
                <w:color w:val="auto"/>
                <w:position w:val="1"/>
                <w:highlight w:val="none"/>
              </w:rPr>
              <w:t>1</w:t>
            </w:r>
          </w:p>
        </w:tc>
        <w:tc>
          <w:tcPr>
            <w:tcW w:w="883" w:type="dxa"/>
            <w:vAlign w:val="top"/>
          </w:tcPr>
          <w:p w14:paraId="62FD9F3E">
            <w:pPr>
              <w:rPr>
                <w:rFonts w:ascii="Arial"/>
                <w:color w:val="auto"/>
                <w:sz w:val="21"/>
                <w:highlight w:val="none"/>
              </w:rPr>
            </w:pPr>
          </w:p>
        </w:tc>
        <w:tc>
          <w:tcPr>
            <w:tcW w:w="886" w:type="dxa"/>
            <w:vAlign w:val="top"/>
          </w:tcPr>
          <w:p w14:paraId="76A36412">
            <w:pPr>
              <w:rPr>
                <w:rFonts w:ascii="Arial"/>
                <w:color w:val="auto"/>
                <w:sz w:val="21"/>
                <w:highlight w:val="none"/>
              </w:rPr>
            </w:pPr>
          </w:p>
        </w:tc>
        <w:tc>
          <w:tcPr>
            <w:tcW w:w="884" w:type="dxa"/>
            <w:vAlign w:val="top"/>
          </w:tcPr>
          <w:p w14:paraId="5BD9D8BE">
            <w:pPr>
              <w:rPr>
                <w:rFonts w:ascii="Arial"/>
                <w:color w:val="auto"/>
                <w:sz w:val="21"/>
                <w:highlight w:val="none"/>
              </w:rPr>
            </w:pPr>
          </w:p>
        </w:tc>
        <w:tc>
          <w:tcPr>
            <w:tcW w:w="895" w:type="dxa"/>
            <w:vAlign w:val="top"/>
          </w:tcPr>
          <w:p w14:paraId="1BE2372E">
            <w:pPr>
              <w:rPr>
                <w:rFonts w:ascii="Arial"/>
                <w:color w:val="auto"/>
                <w:sz w:val="21"/>
                <w:highlight w:val="none"/>
              </w:rPr>
            </w:pPr>
          </w:p>
        </w:tc>
        <w:tc>
          <w:tcPr>
            <w:tcW w:w="884" w:type="dxa"/>
            <w:vAlign w:val="top"/>
          </w:tcPr>
          <w:p w14:paraId="3EC760D3">
            <w:pPr>
              <w:rPr>
                <w:rFonts w:ascii="Arial"/>
                <w:color w:val="auto"/>
                <w:sz w:val="21"/>
                <w:highlight w:val="none"/>
              </w:rPr>
            </w:pPr>
          </w:p>
        </w:tc>
        <w:tc>
          <w:tcPr>
            <w:tcW w:w="887" w:type="dxa"/>
            <w:vAlign w:val="top"/>
          </w:tcPr>
          <w:p w14:paraId="0DF13C6B">
            <w:pPr>
              <w:rPr>
                <w:rFonts w:ascii="Arial"/>
                <w:color w:val="auto"/>
                <w:sz w:val="21"/>
                <w:highlight w:val="none"/>
              </w:rPr>
            </w:pPr>
          </w:p>
        </w:tc>
        <w:tc>
          <w:tcPr>
            <w:tcW w:w="1600" w:type="dxa"/>
            <w:vAlign w:val="top"/>
          </w:tcPr>
          <w:p w14:paraId="39F2784B">
            <w:pPr>
              <w:rPr>
                <w:rFonts w:ascii="Arial"/>
                <w:color w:val="auto"/>
                <w:sz w:val="21"/>
                <w:highlight w:val="none"/>
              </w:rPr>
            </w:pPr>
          </w:p>
        </w:tc>
        <w:tc>
          <w:tcPr>
            <w:tcW w:w="915" w:type="dxa"/>
            <w:vAlign w:val="top"/>
          </w:tcPr>
          <w:p w14:paraId="7ECB700C">
            <w:pPr>
              <w:rPr>
                <w:rFonts w:ascii="Arial"/>
                <w:color w:val="auto"/>
                <w:sz w:val="21"/>
                <w:highlight w:val="none"/>
              </w:rPr>
            </w:pPr>
          </w:p>
        </w:tc>
        <w:tc>
          <w:tcPr>
            <w:tcW w:w="878" w:type="dxa"/>
            <w:vAlign w:val="top"/>
          </w:tcPr>
          <w:p w14:paraId="5BC1E0FA">
            <w:pPr>
              <w:rPr>
                <w:rFonts w:ascii="Arial"/>
                <w:color w:val="auto"/>
                <w:sz w:val="21"/>
                <w:highlight w:val="none"/>
              </w:rPr>
            </w:pPr>
          </w:p>
        </w:tc>
        <w:tc>
          <w:tcPr>
            <w:tcW w:w="821" w:type="dxa"/>
            <w:vAlign w:val="top"/>
          </w:tcPr>
          <w:p w14:paraId="446EF7D6">
            <w:pPr>
              <w:rPr>
                <w:rFonts w:ascii="Arial"/>
                <w:color w:val="auto"/>
                <w:sz w:val="21"/>
                <w:highlight w:val="none"/>
              </w:rPr>
            </w:pPr>
          </w:p>
        </w:tc>
        <w:tc>
          <w:tcPr>
            <w:tcW w:w="887" w:type="dxa"/>
            <w:vAlign w:val="top"/>
          </w:tcPr>
          <w:p w14:paraId="71268378">
            <w:pPr>
              <w:rPr>
                <w:rFonts w:ascii="Arial"/>
                <w:color w:val="auto"/>
                <w:sz w:val="21"/>
                <w:highlight w:val="none"/>
              </w:rPr>
            </w:pPr>
          </w:p>
        </w:tc>
        <w:tc>
          <w:tcPr>
            <w:tcW w:w="1057" w:type="dxa"/>
            <w:vAlign w:val="top"/>
          </w:tcPr>
          <w:p w14:paraId="43C9BF5D">
            <w:pPr>
              <w:rPr>
                <w:rFonts w:ascii="Arial"/>
                <w:color w:val="auto"/>
                <w:sz w:val="21"/>
                <w:highlight w:val="none"/>
              </w:rPr>
            </w:pPr>
          </w:p>
        </w:tc>
        <w:tc>
          <w:tcPr>
            <w:tcW w:w="958" w:type="dxa"/>
            <w:vAlign w:val="top"/>
          </w:tcPr>
          <w:p w14:paraId="11DFF822">
            <w:pPr>
              <w:rPr>
                <w:rFonts w:ascii="Arial"/>
                <w:color w:val="auto"/>
                <w:sz w:val="21"/>
                <w:highlight w:val="none"/>
              </w:rPr>
            </w:pPr>
          </w:p>
        </w:tc>
        <w:tc>
          <w:tcPr>
            <w:tcW w:w="1215" w:type="dxa"/>
            <w:tcBorders>
              <w:right w:val="single" w:color="000000" w:sz="6" w:space="0"/>
            </w:tcBorders>
            <w:vAlign w:val="top"/>
          </w:tcPr>
          <w:p w14:paraId="783AD13D">
            <w:pPr>
              <w:rPr>
                <w:rFonts w:ascii="Arial"/>
                <w:color w:val="auto"/>
                <w:sz w:val="21"/>
                <w:highlight w:val="none"/>
              </w:rPr>
            </w:pPr>
          </w:p>
        </w:tc>
      </w:tr>
      <w:tr w14:paraId="37F738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571" w:type="dxa"/>
            <w:tcBorders>
              <w:left w:val="single" w:color="000000" w:sz="6" w:space="0"/>
            </w:tcBorders>
            <w:vAlign w:val="top"/>
          </w:tcPr>
          <w:p w14:paraId="0F444D80">
            <w:pPr>
              <w:pStyle w:val="18"/>
              <w:spacing w:before="286" w:line="270" w:lineRule="exact"/>
              <w:ind w:left="231"/>
              <w:rPr>
                <w:color w:val="auto"/>
                <w:highlight w:val="none"/>
              </w:rPr>
            </w:pPr>
            <w:r>
              <w:rPr>
                <w:color w:val="auto"/>
                <w:position w:val="1"/>
                <w:highlight w:val="none"/>
              </w:rPr>
              <w:t>2</w:t>
            </w:r>
          </w:p>
        </w:tc>
        <w:tc>
          <w:tcPr>
            <w:tcW w:w="883" w:type="dxa"/>
            <w:vAlign w:val="top"/>
          </w:tcPr>
          <w:p w14:paraId="55DED5F6">
            <w:pPr>
              <w:rPr>
                <w:rFonts w:ascii="Arial"/>
                <w:color w:val="auto"/>
                <w:sz w:val="21"/>
                <w:highlight w:val="none"/>
              </w:rPr>
            </w:pPr>
          </w:p>
        </w:tc>
        <w:tc>
          <w:tcPr>
            <w:tcW w:w="886" w:type="dxa"/>
            <w:vAlign w:val="top"/>
          </w:tcPr>
          <w:p w14:paraId="498D6466">
            <w:pPr>
              <w:rPr>
                <w:rFonts w:ascii="Arial"/>
                <w:color w:val="auto"/>
                <w:sz w:val="21"/>
                <w:highlight w:val="none"/>
              </w:rPr>
            </w:pPr>
          </w:p>
        </w:tc>
        <w:tc>
          <w:tcPr>
            <w:tcW w:w="884" w:type="dxa"/>
            <w:vAlign w:val="top"/>
          </w:tcPr>
          <w:p w14:paraId="2EEB7753">
            <w:pPr>
              <w:rPr>
                <w:rFonts w:ascii="Arial"/>
                <w:color w:val="auto"/>
                <w:sz w:val="21"/>
                <w:highlight w:val="none"/>
              </w:rPr>
            </w:pPr>
          </w:p>
        </w:tc>
        <w:tc>
          <w:tcPr>
            <w:tcW w:w="895" w:type="dxa"/>
            <w:vAlign w:val="top"/>
          </w:tcPr>
          <w:p w14:paraId="52ED4E52">
            <w:pPr>
              <w:rPr>
                <w:rFonts w:ascii="Arial"/>
                <w:color w:val="auto"/>
                <w:sz w:val="21"/>
                <w:highlight w:val="none"/>
              </w:rPr>
            </w:pPr>
          </w:p>
        </w:tc>
        <w:tc>
          <w:tcPr>
            <w:tcW w:w="884" w:type="dxa"/>
            <w:vAlign w:val="top"/>
          </w:tcPr>
          <w:p w14:paraId="61B5A318">
            <w:pPr>
              <w:rPr>
                <w:rFonts w:ascii="Arial"/>
                <w:color w:val="auto"/>
                <w:sz w:val="21"/>
                <w:highlight w:val="none"/>
              </w:rPr>
            </w:pPr>
          </w:p>
        </w:tc>
        <w:tc>
          <w:tcPr>
            <w:tcW w:w="887" w:type="dxa"/>
            <w:vAlign w:val="top"/>
          </w:tcPr>
          <w:p w14:paraId="7F16E4D7">
            <w:pPr>
              <w:rPr>
                <w:rFonts w:ascii="Arial"/>
                <w:color w:val="auto"/>
                <w:sz w:val="21"/>
                <w:highlight w:val="none"/>
              </w:rPr>
            </w:pPr>
          </w:p>
        </w:tc>
        <w:tc>
          <w:tcPr>
            <w:tcW w:w="1600" w:type="dxa"/>
            <w:vAlign w:val="top"/>
          </w:tcPr>
          <w:p w14:paraId="78105F5B">
            <w:pPr>
              <w:rPr>
                <w:rFonts w:ascii="Arial"/>
                <w:color w:val="auto"/>
                <w:sz w:val="21"/>
                <w:highlight w:val="none"/>
              </w:rPr>
            </w:pPr>
          </w:p>
        </w:tc>
        <w:tc>
          <w:tcPr>
            <w:tcW w:w="915" w:type="dxa"/>
            <w:vAlign w:val="top"/>
          </w:tcPr>
          <w:p w14:paraId="038369C2">
            <w:pPr>
              <w:rPr>
                <w:rFonts w:ascii="Arial"/>
                <w:color w:val="auto"/>
                <w:sz w:val="21"/>
                <w:highlight w:val="none"/>
              </w:rPr>
            </w:pPr>
          </w:p>
        </w:tc>
        <w:tc>
          <w:tcPr>
            <w:tcW w:w="878" w:type="dxa"/>
            <w:vAlign w:val="top"/>
          </w:tcPr>
          <w:p w14:paraId="7A02EC17">
            <w:pPr>
              <w:rPr>
                <w:rFonts w:ascii="Arial"/>
                <w:color w:val="auto"/>
                <w:sz w:val="21"/>
                <w:highlight w:val="none"/>
              </w:rPr>
            </w:pPr>
          </w:p>
        </w:tc>
        <w:tc>
          <w:tcPr>
            <w:tcW w:w="821" w:type="dxa"/>
            <w:vAlign w:val="top"/>
          </w:tcPr>
          <w:p w14:paraId="3C5B46F3">
            <w:pPr>
              <w:rPr>
                <w:rFonts w:ascii="Arial"/>
                <w:color w:val="auto"/>
                <w:sz w:val="21"/>
                <w:highlight w:val="none"/>
              </w:rPr>
            </w:pPr>
          </w:p>
        </w:tc>
        <w:tc>
          <w:tcPr>
            <w:tcW w:w="887" w:type="dxa"/>
            <w:vAlign w:val="top"/>
          </w:tcPr>
          <w:p w14:paraId="51CFD93B">
            <w:pPr>
              <w:rPr>
                <w:rFonts w:ascii="Arial"/>
                <w:color w:val="auto"/>
                <w:sz w:val="21"/>
                <w:highlight w:val="none"/>
              </w:rPr>
            </w:pPr>
          </w:p>
        </w:tc>
        <w:tc>
          <w:tcPr>
            <w:tcW w:w="1057" w:type="dxa"/>
            <w:vAlign w:val="top"/>
          </w:tcPr>
          <w:p w14:paraId="141577F2">
            <w:pPr>
              <w:rPr>
                <w:rFonts w:ascii="Arial"/>
                <w:color w:val="auto"/>
                <w:sz w:val="21"/>
                <w:highlight w:val="none"/>
              </w:rPr>
            </w:pPr>
          </w:p>
        </w:tc>
        <w:tc>
          <w:tcPr>
            <w:tcW w:w="958" w:type="dxa"/>
            <w:vAlign w:val="top"/>
          </w:tcPr>
          <w:p w14:paraId="242721FD">
            <w:pPr>
              <w:rPr>
                <w:rFonts w:ascii="Arial"/>
                <w:color w:val="auto"/>
                <w:sz w:val="21"/>
                <w:highlight w:val="none"/>
              </w:rPr>
            </w:pPr>
          </w:p>
        </w:tc>
        <w:tc>
          <w:tcPr>
            <w:tcW w:w="1215" w:type="dxa"/>
            <w:tcBorders>
              <w:right w:val="single" w:color="000000" w:sz="6" w:space="0"/>
            </w:tcBorders>
            <w:vAlign w:val="top"/>
          </w:tcPr>
          <w:p w14:paraId="0F2DAD37">
            <w:pPr>
              <w:rPr>
                <w:rFonts w:ascii="Arial"/>
                <w:color w:val="auto"/>
                <w:sz w:val="21"/>
                <w:highlight w:val="none"/>
              </w:rPr>
            </w:pPr>
          </w:p>
        </w:tc>
      </w:tr>
      <w:tr w14:paraId="7ACB1F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571" w:type="dxa"/>
            <w:tcBorders>
              <w:left w:val="single" w:color="000000" w:sz="6" w:space="0"/>
            </w:tcBorders>
            <w:vAlign w:val="top"/>
          </w:tcPr>
          <w:p w14:paraId="4761B4AB">
            <w:pPr>
              <w:pStyle w:val="18"/>
              <w:spacing w:before="289" w:line="268" w:lineRule="exact"/>
              <w:ind w:left="232"/>
              <w:rPr>
                <w:color w:val="auto"/>
                <w:highlight w:val="none"/>
              </w:rPr>
            </w:pPr>
            <w:r>
              <w:rPr>
                <w:color w:val="auto"/>
                <w:position w:val="1"/>
                <w:highlight w:val="none"/>
              </w:rPr>
              <w:t>3</w:t>
            </w:r>
          </w:p>
        </w:tc>
        <w:tc>
          <w:tcPr>
            <w:tcW w:w="883" w:type="dxa"/>
            <w:vAlign w:val="top"/>
          </w:tcPr>
          <w:p w14:paraId="0C617C48">
            <w:pPr>
              <w:rPr>
                <w:rFonts w:ascii="Arial"/>
                <w:color w:val="auto"/>
                <w:sz w:val="21"/>
                <w:highlight w:val="none"/>
              </w:rPr>
            </w:pPr>
          </w:p>
        </w:tc>
        <w:tc>
          <w:tcPr>
            <w:tcW w:w="886" w:type="dxa"/>
            <w:vAlign w:val="top"/>
          </w:tcPr>
          <w:p w14:paraId="2754D821">
            <w:pPr>
              <w:rPr>
                <w:rFonts w:ascii="Arial"/>
                <w:color w:val="auto"/>
                <w:sz w:val="21"/>
                <w:highlight w:val="none"/>
              </w:rPr>
            </w:pPr>
          </w:p>
        </w:tc>
        <w:tc>
          <w:tcPr>
            <w:tcW w:w="884" w:type="dxa"/>
            <w:vAlign w:val="top"/>
          </w:tcPr>
          <w:p w14:paraId="5A4B928D">
            <w:pPr>
              <w:rPr>
                <w:rFonts w:ascii="Arial"/>
                <w:color w:val="auto"/>
                <w:sz w:val="21"/>
                <w:highlight w:val="none"/>
              </w:rPr>
            </w:pPr>
          </w:p>
        </w:tc>
        <w:tc>
          <w:tcPr>
            <w:tcW w:w="895" w:type="dxa"/>
            <w:vAlign w:val="top"/>
          </w:tcPr>
          <w:p w14:paraId="7FB82F02">
            <w:pPr>
              <w:rPr>
                <w:rFonts w:ascii="Arial"/>
                <w:color w:val="auto"/>
                <w:sz w:val="21"/>
                <w:highlight w:val="none"/>
              </w:rPr>
            </w:pPr>
          </w:p>
        </w:tc>
        <w:tc>
          <w:tcPr>
            <w:tcW w:w="884" w:type="dxa"/>
            <w:vAlign w:val="top"/>
          </w:tcPr>
          <w:p w14:paraId="11589A7E">
            <w:pPr>
              <w:rPr>
                <w:rFonts w:ascii="Arial"/>
                <w:color w:val="auto"/>
                <w:sz w:val="21"/>
                <w:highlight w:val="none"/>
              </w:rPr>
            </w:pPr>
          </w:p>
        </w:tc>
        <w:tc>
          <w:tcPr>
            <w:tcW w:w="887" w:type="dxa"/>
            <w:vAlign w:val="top"/>
          </w:tcPr>
          <w:p w14:paraId="6DD10ADF">
            <w:pPr>
              <w:rPr>
                <w:rFonts w:ascii="Arial"/>
                <w:color w:val="auto"/>
                <w:sz w:val="21"/>
                <w:highlight w:val="none"/>
              </w:rPr>
            </w:pPr>
          </w:p>
        </w:tc>
        <w:tc>
          <w:tcPr>
            <w:tcW w:w="1600" w:type="dxa"/>
            <w:vAlign w:val="top"/>
          </w:tcPr>
          <w:p w14:paraId="1117290B">
            <w:pPr>
              <w:rPr>
                <w:rFonts w:ascii="Arial"/>
                <w:color w:val="auto"/>
                <w:sz w:val="21"/>
                <w:highlight w:val="none"/>
              </w:rPr>
            </w:pPr>
          </w:p>
        </w:tc>
        <w:tc>
          <w:tcPr>
            <w:tcW w:w="915" w:type="dxa"/>
            <w:vAlign w:val="top"/>
          </w:tcPr>
          <w:p w14:paraId="16F24179">
            <w:pPr>
              <w:rPr>
                <w:rFonts w:ascii="Arial"/>
                <w:color w:val="auto"/>
                <w:sz w:val="21"/>
                <w:highlight w:val="none"/>
              </w:rPr>
            </w:pPr>
          </w:p>
        </w:tc>
        <w:tc>
          <w:tcPr>
            <w:tcW w:w="878" w:type="dxa"/>
            <w:vAlign w:val="top"/>
          </w:tcPr>
          <w:p w14:paraId="1809E6EC">
            <w:pPr>
              <w:rPr>
                <w:rFonts w:ascii="Arial"/>
                <w:color w:val="auto"/>
                <w:sz w:val="21"/>
                <w:highlight w:val="none"/>
              </w:rPr>
            </w:pPr>
          </w:p>
        </w:tc>
        <w:tc>
          <w:tcPr>
            <w:tcW w:w="821" w:type="dxa"/>
            <w:vAlign w:val="top"/>
          </w:tcPr>
          <w:p w14:paraId="5717EAB7">
            <w:pPr>
              <w:rPr>
                <w:rFonts w:ascii="Arial"/>
                <w:color w:val="auto"/>
                <w:sz w:val="21"/>
                <w:highlight w:val="none"/>
              </w:rPr>
            </w:pPr>
          </w:p>
        </w:tc>
        <w:tc>
          <w:tcPr>
            <w:tcW w:w="887" w:type="dxa"/>
            <w:vAlign w:val="top"/>
          </w:tcPr>
          <w:p w14:paraId="61F7E60F">
            <w:pPr>
              <w:rPr>
                <w:rFonts w:ascii="Arial"/>
                <w:color w:val="auto"/>
                <w:sz w:val="21"/>
                <w:highlight w:val="none"/>
              </w:rPr>
            </w:pPr>
          </w:p>
        </w:tc>
        <w:tc>
          <w:tcPr>
            <w:tcW w:w="1057" w:type="dxa"/>
            <w:vAlign w:val="top"/>
          </w:tcPr>
          <w:p w14:paraId="138F2544">
            <w:pPr>
              <w:rPr>
                <w:rFonts w:ascii="Arial"/>
                <w:color w:val="auto"/>
                <w:sz w:val="21"/>
                <w:highlight w:val="none"/>
              </w:rPr>
            </w:pPr>
          </w:p>
        </w:tc>
        <w:tc>
          <w:tcPr>
            <w:tcW w:w="958" w:type="dxa"/>
            <w:vAlign w:val="top"/>
          </w:tcPr>
          <w:p w14:paraId="318EA718">
            <w:pPr>
              <w:rPr>
                <w:rFonts w:ascii="Arial"/>
                <w:color w:val="auto"/>
                <w:sz w:val="21"/>
                <w:highlight w:val="none"/>
              </w:rPr>
            </w:pPr>
          </w:p>
        </w:tc>
        <w:tc>
          <w:tcPr>
            <w:tcW w:w="1215" w:type="dxa"/>
            <w:tcBorders>
              <w:right w:val="single" w:color="000000" w:sz="6" w:space="0"/>
            </w:tcBorders>
            <w:vAlign w:val="top"/>
          </w:tcPr>
          <w:p w14:paraId="74CCD2E1">
            <w:pPr>
              <w:rPr>
                <w:rFonts w:ascii="Arial"/>
                <w:color w:val="auto"/>
                <w:sz w:val="21"/>
                <w:highlight w:val="none"/>
              </w:rPr>
            </w:pPr>
          </w:p>
        </w:tc>
      </w:tr>
      <w:tr w14:paraId="69E4B4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571" w:type="dxa"/>
            <w:tcBorders>
              <w:left w:val="single" w:color="000000" w:sz="6" w:space="0"/>
            </w:tcBorders>
            <w:vAlign w:val="top"/>
          </w:tcPr>
          <w:p w14:paraId="118BC040">
            <w:pPr>
              <w:pStyle w:val="18"/>
              <w:spacing w:before="291" w:line="324" w:lineRule="exact"/>
              <w:ind w:left="189"/>
              <w:rPr>
                <w:color w:val="auto"/>
                <w:highlight w:val="none"/>
              </w:rPr>
            </w:pPr>
            <w:r>
              <w:rPr>
                <w:color w:val="auto"/>
                <w:position w:val="2"/>
                <w:highlight w:val="none"/>
              </w:rPr>
              <w:t>…</w:t>
            </w:r>
          </w:p>
        </w:tc>
        <w:tc>
          <w:tcPr>
            <w:tcW w:w="883" w:type="dxa"/>
            <w:vAlign w:val="top"/>
          </w:tcPr>
          <w:p w14:paraId="11705F1D">
            <w:pPr>
              <w:rPr>
                <w:rFonts w:ascii="Arial"/>
                <w:color w:val="auto"/>
                <w:sz w:val="21"/>
                <w:highlight w:val="none"/>
              </w:rPr>
            </w:pPr>
          </w:p>
        </w:tc>
        <w:tc>
          <w:tcPr>
            <w:tcW w:w="886" w:type="dxa"/>
            <w:vAlign w:val="top"/>
          </w:tcPr>
          <w:p w14:paraId="7E3B7AF8">
            <w:pPr>
              <w:rPr>
                <w:rFonts w:ascii="Arial"/>
                <w:color w:val="auto"/>
                <w:sz w:val="21"/>
                <w:highlight w:val="none"/>
              </w:rPr>
            </w:pPr>
          </w:p>
        </w:tc>
        <w:tc>
          <w:tcPr>
            <w:tcW w:w="884" w:type="dxa"/>
            <w:vAlign w:val="top"/>
          </w:tcPr>
          <w:p w14:paraId="32331D19">
            <w:pPr>
              <w:rPr>
                <w:rFonts w:ascii="Arial"/>
                <w:color w:val="auto"/>
                <w:sz w:val="21"/>
                <w:highlight w:val="none"/>
              </w:rPr>
            </w:pPr>
          </w:p>
        </w:tc>
        <w:tc>
          <w:tcPr>
            <w:tcW w:w="895" w:type="dxa"/>
            <w:vAlign w:val="top"/>
          </w:tcPr>
          <w:p w14:paraId="11046234">
            <w:pPr>
              <w:rPr>
                <w:rFonts w:ascii="Arial"/>
                <w:color w:val="auto"/>
                <w:sz w:val="21"/>
                <w:highlight w:val="none"/>
              </w:rPr>
            </w:pPr>
          </w:p>
        </w:tc>
        <w:tc>
          <w:tcPr>
            <w:tcW w:w="884" w:type="dxa"/>
            <w:vAlign w:val="top"/>
          </w:tcPr>
          <w:p w14:paraId="6D59A350">
            <w:pPr>
              <w:rPr>
                <w:rFonts w:ascii="Arial"/>
                <w:color w:val="auto"/>
                <w:sz w:val="21"/>
                <w:highlight w:val="none"/>
              </w:rPr>
            </w:pPr>
          </w:p>
        </w:tc>
        <w:tc>
          <w:tcPr>
            <w:tcW w:w="887" w:type="dxa"/>
            <w:vAlign w:val="top"/>
          </w:tcPr>
          <w:p w14:paraId="5B2ADEB6">
            <w:pPr>
              <w:rPr>
                <w:rFonts w:ascii="Arial"/>
                <w:color w:val="auto"/>
                <w:sz w:val="21"/>
                <w:highlight w:val="none"/>
              </w:rPr>
            </w:pPr>
          </w:p>
        </w:tc>
        <w:tc>
          <w:tcPr>
            <w:tcW w:w="1600" w:type="dxa"/>
            <w:vAlign w:val="top"/>
          </w:tcPr>
          <w:p w14:paraId="6FE635A6">
            <w:pPr>
              <w:rPr>
                <w:rFonts w:ascii="Arial"/>
                <w:color w:val="auto"/>
                <w:sz w:val="21"/>
                <w:highlight w:val="none"/>
              </w:rPr>
            </w:pPr>
          </w:p>
        </w:tc>
        <w:tc>
          <w:tcPr>
            <w:tcW w:w="915" w:type="dxa"/>
            <w:vAlign w:val="top"/>
          </w:tcPr>
          <w:p w14:paraId="550B7FBA">
            <w:pPr>
              <w:rPr>
                <w:rFonts w:ascii="Arial"/>
                <w:color w:val="auto"/>
                <w:sz w:val="21"/>
                <w:highlight w:val="none"/>
              </w:rPr>
            </w:pPr>
          </w:p>
        </w:tc>
        <w:tc>
          <w:tcPr>
            <w:tcW w:w="878" w:type="dxa"/>
            <w:vAlign w:val="top"/>
          </w:tcPr>
          <w:p w14:paraId="64005A08">
            <w:pPr>
              <w:rPr>
                <w:rFonts w:ascii="Arial"/>
                <w:color w:val="auto"/>
                <w:sz w:val="21"/>
                <w:highlight w:val="none"/>
              </w:rPr>
            </w:pPr>
          </w:p>
        </w:tc>
        <w:tc>
          <w:tcPr>
            <w:tcW w:w="821" w:type="dxa"/>
            <w:vAlign w:val="top"/>
          </w:tcPr>
          <w:p w14:paraId="05710BDE">
            <w:pPr>
              <w:rPr>
                <w:rFonts w:ascii="Arial"/>
                <w:color w:val="auto"/>
                <w:sz w:val="21"/>
                <w:highlight w:val="none"/>
              </w:rPr>
            </w:pPr>
          </w:p>
        </w:tc>
        <w:tc>
          <w:tcPr>
            <w:tcW w:w="887" w:type="dxa"/>
            <w:vAlign w:val="top"/>
          </w:tcPr>
          <w:p w14:paraId="7660D6BA">
            <w:pPr>
              <w:rPr>
                <w:rFonts w:ascii="Arial"/>
                <w:color w:val="auto"/>
                <w:sz w:val="21"/>
                <w:highlight w:val="none"/>
              </w:rPr>
            </w:pPr>
          </w:p>
        </w:tc>
        <w:tc>
          <w:tcPr>
            <w:tcW w:w="1057" w:type="dxa"/>
            <w:vAlign w:val="top"/>
          </w:tcPr>
          <w:p w14:paraId="7FB7A2FB">
            <w:pPr>
              <w:rPr>
                <w:rFonts w:ascii="Arial"/>
                <w:color w:val="auto"/>
                <w:sz w:val="21"/>
                <w:highlight w:val="none"/>
              </w:rPr>
            </w:pPr>
          </w:p>
        </w:tc>
        <w:tc>
          <w:tcPr>
            <w:tcW w:w="958" w:type="dxa"/>
            <w:vAlign w:val="top"/>
          </w:tcPr>
          <w:p w14:paraId="68D84E53">
            <w:pPr>
              <w:rPr>
                <w:rFonts w:ascii="Arial"/>
                <w:color w:val="auto"/>
                <w:sz w:val="21"/>
                <w:highlight w:val="none"/>
              </w:rPr>
            </w:pPr>
          </w:p>
        </w:tc>
        <w:tc>
          <w:tcPr>
            <w:tcW w:w="1215" w:type="dxa"/>
            <w:tcBorders>
              <w:right w:val="single" w:color="000000" w:sz="6" w:space="0"/>
            </w:tcBorders>
            <w:vAlign w:val="top"/>
          </w:tcPr>
          <w:p w14:paraId="53551A9B">
            <w:pPr>
              <w:rPr>
                <w:rFonts w:ascii="Arial"/>
                <w:color w:val="auto"/>
                <w:sz w:val="21"/>
                <w:highlight w:val="none"/>
              </w:rPr>
            </w:pPr>
          </w:p>
        </w:tc>
      </w:tr>
      <w:tr w14:paraId="0FFF60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8" w:hRule="atLeast"/>
        </w:trPr>
        <w:tc>
          <w:tcPr>
            <w:tcW w:w="571" w:type="dxa"/>
            <w:tcBorders>
              <w:left w:val="single" w:color="000000" w:sz="6" w:space="0"/>
              <w:bottom w:val="single" w:color="000000" w:sz="6" w:space="0"/>
              <w:right w:val="nil"/>
            </w:tcBorders>
            <w:vAlign w:val="top"/>
          </w:tcPr>
          <w:p w14:paraId="7D89C971">
            <w:pPr>
              <w:rPr>
                <w:rFonts w:ascii="Arial"/>
                <w:color w:val="auto"/>
                <w:sz w:val="21"/>
                <w:highlight w:val="none"/>
              </w:rPr>
            </w:pPr>
          </w:p>
        </w:tc>
        <w:tc>
          <w:tcPr>
            <w:tcW w:w="3548" w:type="dxa"/>
            <w:gridSpan w:val="4"/>
            <w:tcBorders>
              <w:left w:val="nil"/>
              <w:bottom w:val="single" w:color="000000" w:sz="6" w:space="0"/>
            </w:tcBorders>
            <w:vAlign w:val="top"/>
          </w:tcPr>
          <w:p w14:paraId="06EFA884">
            <w:pPr>
              <w:pStyle w:val="18"/>
              <w:spacing w:before="294" w:line="228" w:lineRule="auto"/>
              <w:ind w:left="918"/>
              <w:rPr>
                <w:color w:val="auto"/>
                <w:highlight w:val="none"/>
              </w:rPr>
            </w:pPr>
            <w:r>
              <w:rPr>
                <w:color w:val="auto"/>
                <w:spacing w:val="-5"/>
                <w:highlight w:val="none"/>
              </w:rPr>
              <w:t>合</w:t>
            </w:r>
            <w:r>
              <w:rPr>
                <w:color w:val="auto"/>
                <w:spacing w:val="10"/>
                <w:highlight w:val="none"/>
              </w:rPr>
              <w:t xml:space="preserve">  </w:t>
            </w:r>
            <w:r>
              <w:rPr>
                <w:color w:val="auto"/>
                <w:spacing w:val="-5"/>
                <w:highlight w:val="none"/>
              </w:rPr>
              <w:t>计</w:t>
            </w:r>
            <w:r>
              <w:rPr>
                <w:color w:val="auto"/>
                <w:spacing w:val="50"/>
                <w:highlight w:val="none"/>
              </w:rPr>
              <w:t xml:space="preserve"> </w:t>
            </w:r>
            <w:r>
              <w:rPr>
                <w:color w:val="auto"/>
                <w:spacing w:val="-5"/>
                <w:highlight w:val="none"/>
              </w:rPr>
              <w:t>(元)</w:t>
            </w:r>
          </w:p>
        </w:tc>
        <w:tc>
          <w:tcPr>
            <w:tcW w:w="884" w:type="dxa"/>
            <w:tcBorders>
              <w:bottom w:val="single" w:color="000000" w:sz="6" w:space="0"/>
            </w:tcBorders>
            <w:vAlign w:val="top"/>
          </w:tcPr>
          <w:p w14:paraId="06540FFA">
            <w:pPr>
              <w:rPr>
                <w:rFonts w:ascii="Arial"/>
                <w:color w:val="auto"/>
                <w:sz w:val="21"/>
                <w:highlight w:val="none"/>
              </w:rPr>
            </w:pPr>
          </w:p>
        </w:tc>
        <w:tc>
          <w:tcPr>
            <w:tcW w:w="887" w:type="dxa"/>
            <w:tcBorders>
              <w:bottom w:val="single" w:color="000000" w:sz="6" w:space="0"/>
            </w:tcBorders>
            <w:vAlign w:val="top"/>
          </w:tcPr>
          <w:p w14:paraId="4CD88FE3">
            <w:pPr>
              <w:rPr>
                <w:rFonts w:ascii="Arial"/>
                <w:color w:val="auto"/>
                <w:sz w:val="21"/>
                <w:highlight w:val="none"/>
              </w:rPr>
            </w:pPr>
          </w:p>
        </w:tc>
        <w:tc>
          <w:tcPr>
            <w:tcW w:w="1600" w:type="dxa"/>
            <w:tcBorders>
              <w:bottom w:val="single" w:color="000000" w:sz="6" w:space="0"/>
            </w:tcBorders>
            <w:vAlign w:val="top"/>
          </w:tcPr>
          <w:p w14:paraId="787A9D86">
            <w:pPr>
              <w:rPr>
                <w:rFonts w:ascii="Arial"/>
                <w:color w:val="auto"/>
                <w:sz w:val="21"/>
                <w:highlight w:val="none"/>
              </w:rPr>
            </w:pPr>
          </w:p>
        </w:tc>
        <w:tc>
          <w:tcPr>
            <w:tcW w:w="3501" w:type="dxa"/>
            <w:gridSpan w:val="4"/>
            <w:tcBorders>
              <w:bottom w:val="single" w:color="000000" w:sz="6" w:space="0"/>
            </w:tcBorders>
            <w:vAlign w:val="top"/>
          </w:tcPr>
          <w:p w14:paraId="05F94644">
            <w:pPr>
              <w:pStyle w:val="18"/>
              <w:spacing w:before="229" w:line="228" w:lineRule="auto"/>
              <w:ind w:left="1182"/>
              <w:rPr>
                <w:color w:val="auto"/>
                <w:highlight w:val="none"/>
              </w:rPr>
            </w:pPr>
            <w:r>
              <w:rPr>
                <w:color w:val="auto"/>
                <w:spacing w:val="-6"/>
                <w:highlight w:val="none"/>
              </w:rPr>
              <w:t>合</w:t>
            </w:r>
            <w:r>
              <w:rPr>
                <w:color w:val="auto"/>
                <w:spacing w:val="11"/>
                <w:highlight w:val="none"/>
              </w:rPr>
              <w:t xml:space="preserve">  </w:t>
            </w:r>
            <w:r>
              <w:rPr>
                <w:color w:val="auto"/>
                <w:spacing w:val="-6"/>
                <w:highlight w:val="none"/>
              </w:rPr>
              <w:t>计</w:t>
            </w:r>
            <w:r>
              <w:rPr>
                <w:color w:val="auto"/>
                <w:spacing w:val="51"/>
                <w:highlight w:val="none"/>
              </w:rPr>
              <w:t xml:space="preserve"> </w:t>
            </w:r>
            <w:r>
              <w:rPr>
                <w:color w:val="auto"/>
                <w:spacing w:val="-6"/>
                <w:highlight w:val="none"/>
              </w:rPr>
              <w:t>(元)</w:t>
            </w:r>
          </w:p>
        </w:tc>
        <w:tc>
          <w:tcPr>
            <w:tcW w:w="1057" w:type="dxa"/>
            <w:tcBorders>
              <w:bottom w:val="single" w:color="000000" w:sz="6" w:space="0"/>
            </w:tcBorders>
            <w:vAlign w:val="top"/>
          </w:tcPr>
          <w:p w14:paraId="04C4349E">
            <w:pPr>
              <w:rPr>
                <w:rFonts w:ascii="Arial"/>
                <w:color w:val="auto"/>
                <w:sz w:val="21"/>
                <w:highlight w:val="none"/>
              </w:rPr>
            </w:pPr>
          </w:p>
        </w:tc>
        <w:tc>
          <w:tcPr>
            <w:tcW w:w="958" w:type="dxa"/>
            <w:tcBorders>
              <w:bottom w:val="single" w:color="000000" w:sz="6" w:space="0"/>
            </w:tcBorders>
            <w:vAlign w:val="top"/>
          </w:tcPr>
          <w:p w14:paraId="002E11DA">
            <w:pPr>
              <w:rPr>
                <w:rFonts w:ascii="Arial"/>
                <w:color w:val="auto"/>
                <w:sz w:val="21"/>
                <w:highlight w:val="none"/>
              </w:rPr>
            </w:pPr>
          </w:p>
        </w:tc>
        <w:tc>
          <w:tcPr>
            <w:tcW w:w="1215" w:type="dxa"/>
            <w:tcBorders>
              <w:bottom w:val="single" w:color="000000" w:sz="6" w:space="0"/>
              <w:right w:val="single" w:color="000000" w:sz="6" w:space="0"/>
            </w:tcBorders>
            <w:vAlign w:val="top"/>
          </w:tcPr>
          <w:p w14:paraId="254087FB">
            <w:pPr>
              <w:rPr>
                <w:rFonts w:ascii="Arial"/>
                <w:color w:val="auto"/>
                <w:sz w:val="21"/>
                <w:highlight w:val="none"/>
              </w:rPr>
            </w:pPr>
          </w:p>
        </w:tc>
      </w:tr>
    </w:tbl>
    <w:p w14:paraId="145A1559">
      <w:pPr>
        <w:rPr>
          <w:rFonts w:ascii="Arial"/>
          <w:color w:val="auto"/>
          <w:sz w:val="21"/>
          <w:highlight w:val="none"/>
        </w:rPr>
      </w:pPr>
    </w:p>
    <w:p w14:paraId="06123214">
      <w:pPr>
        <w:rPr>
          <w:rFonts w:ascii="Arial" w:hAnsi="Arial" w:eastAsia="Arial" w:cs="Arial"/>
          <w:color w:val="auto"/>
          <w:sz w:val="21"/>
          <w:szCs w:val="21"/>
          <w:highlight w:val="none"/>
        </w:rPr>
        <w:sectPr>
          <w:footerReference r:id="rId111" w:type="default"/>
          <w:pgSz w:w="16839" w:h="11906"/>
          <w:pgMar w:top="1012" w:right="1301" w:bottom="1297" w:left="1300" w:header="0" w:footer="1067" w:gutter="0"/>
          <w:pgNumType w:fmt="decimal"/>
          <w:cols w:space="720" w:num="1"/>
        </w:sectPr>
      </w:pPr>
    </w:p>
    <w:p w14:paraId="7A84BE2D">
      <w:pPr>
        <w:spacing w:line="353" w:lineRule="auto"/>
        <w:rPr>
          <w:rFonts w:ascii="Arial"/>
          <w:color w:val="auto"/>
          <w:sz w:val="21"/>
          <w:highlight w:val="none"/>
        </w:rPr>
      </w:pPr>
    </w:p>
    <w:p w14:paraId="69325977">
      <w:pPr>
        <w:spacing w:before="91" w:line="212" w:lineRule="auto"/>
        <w:ind w:left="4493"/>
        <w:rPr>
          <w:rFonts w:ascii="宋体" w:hAnsi="宋体" w:eastAsia="宋体" w:cs="宋体"/>
          <w:color w:val="auto"/>
          <w:sz w:val="28"/>
          <w:szCs w:val="28"/>
          <w:highlight w:val="none"/>
        </w:rPr>
      </w:pPr>
      <w:r>
        <w:rPr>
          <w:rFonts w:ascii="宋体" w:hAnsi="宋体" w:eastAsia="宋体" w:cs="宋体"/>
          <w:b/>
          <w:bCs/>
          <w:color w:val="auto"/>
          <w:spacing w:val="-3"/>
          <w:sz w:val="28"/>
          <w:szCs w:val="28"/>
          <w:highlight w:val="none"/>
        </w:rPr>
        <w:t>表</w:t>
      </w:r>
      <w:r>
        <w:rPr>
          <w:rFonts w:ascii="宋体" w:hAnsi="宋体" w:eastAsia="宋体" w:cs="宋体"/>
          <w:color w:val="auto"/>
          <w:spacing w:val="-55"/>
          <w:sz w:val="28"/>
          <w:szCs w:val="28"/>
          <w:highlight w:val="none"/>
        </w:rPr>
        <w:t xml:space="preserve"> </w:t>
      </w:r>
      <w:r>
        <w:rPr>
          <w:rFonts w:ascii="宋体" w:hAnsi="宋体" w:eastAsia="宋体" w:cs="宋体"/>
          <w:b/>
          <w:bCs/>
          <w:color w:val="auto"/>
          <w:spacing w:val="-3"/>
          <w:sz w:val="28"/>
          <w:szCs w:val="28"/>
          <w:highlight w:val="none"/>
        </w:rPr>
        <w:t>5</w:t>
      </w:r>
      <w:r>
        <w:rPr>
          <w:rFonts w:ascii="宋体" w:hAnsi="宋体" w:eastAsia="宋体" w:cs="宋体"/>
          <w:color w:val="auto"/>
          <w:spacing w:val="-3"/>
          <w:sz w:val="28"/>
          <w:szCs w:val="28"/>
          <w:highlight w:val="none"/>
        </w:rPr>
        <w:t xml:space="preserve">  </w:t>
      </w:r>
      <w:r>
        <w:rPr>
          <w:rFonts w:ascii="宋体" w:hAnsi="宋体" w:eastAsia="宋体" w:cs="宋体"/>
          <w:b/>
          <w:bCs/>
          <w:color w:val="auto"/>
          <w:spacing w:val="-3"/>
          <w:sz w:val="28"/>
          <w:szCs w:val="28"/>
          <w:highlight w:val="none"/>
        </w:rPr>
        <w:t>监理试验设施费报价表（常规检测）</w:t>
      </w:r>
    </w:p>
    <w:tbl>
      <w:tblPr>
        <w:tblStyle w:val="17"/>
        <w:tblW w:w="14221"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74"/>
        <w:gridCol w:w="1029"/>
        <w:gridCol w:w="792"/>
        <w:gridCol w:w="696"/>
        <w:gridCol w:w="1068"/>
        <w:gridCol w:w="20"/>
        <w:gridCol w:w="923"/>
        <w:gridCol w:w="935"/>
        <w:gridCol w:w="1230"/>
        <w:gridCol w:w="1222"/>
        <w:gridCol w:w="827"/>
        <w:gridCol w:w="682"/>
        <w:gridCol w:w="1034"/>
        <w:gridCol w:w="1026"/>
        <w:gridCol w:w="1026"/>
        <w:gridCol w:w="1237"/>
      </w:tblGrid>
      <w:tr w14:paraId="05512E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trPr>
        <w:tc>
          <w:tcPr>
            <w:tcW w:w="474" w:type="dxa"/>
            <w:vMerge w:val="restart"/>
            <w:tcBorders>
              <w:top w:val="single" w:color="000000" w:sz="6" w:space="0"/>
              <w:left w:val="single" w:color="000000" w:sz="6" w:space="0"/>
              <w:bottom w:val="nil"/>
            </w:tcBorders>
            <w:textDirection w:val="tbRlV"/>
            <w:vAlign w:val="top"/>
          </w:tcPr>
          <w:p w14:paraId="58DF2011">
            <w:pPr>
              <w:pStyle w:val="18"/>
              <w:spacing w:before="134" w:line="218" w:lineRule="auto"/>
              <w:ind w:left="668"/>
              <w:rPr>
                <w:color w:val="auto"/>
                <w:highlight w:val="none"/>
              </w:rPr>
            </w:pPr>
            <w:r>
              <w:rPr>
                <w:color w:val="auto"/>
                <w:spacing w:val="8"/>
                <w:highlight w:val="none"/>
              </w:rPr>
              <w:t>序</w:t>
            </w:r>
            <w:r>
              <w:rPr>
                <w:color w:val="auto"/>
                <w:spacing w:val="90"/>
                <w:highlight w:val="none"/>
              </w:rPr>
              <w:t xml:space="preserve"> </w:t>
            </w:r>
            <w:r>
              <w:rPr>
                <w:color w:val="auto"/>
                <w:spacing w:val="8"/>
                <w:highlight w:val="none"/>
              </w:rPr>
              <w:t>号</w:t>
            </w:r>
          </w:p>
        </w:tc>
        <w:tc>
          <w:tcPr>
            <w:tcW w:w="6693" w:type="dxa"/>
            <w:gridSpan w:val="8"/>
            <w:tcBorders>
              <w:top w:val="single" w:color="000000" w:sz="6" w:space="0"/>
            </w:tcBorders>
            <w:vAlign w:val="top"/>
          </w:tcPr>
          <w:p w14:paraId="6C9750E4">
            <w:pPr>
              <w:pStyle w:val="18"/>
              <w:spacing w:before="194" w:line="228" w:lineRule="auto"/>
              <w:ind w:left="3032"/>
              <w:rPr>
                <w:color w:val="auto"/>
                <w:highlight w:val="none"/>
              </w:rPr>
            </w:pPr>
            <w:r>
              <w:rPr>
                <w:color w:val="auto"/>
                <w:spacing w:val="7"/>
                <w:highlight w:val="none"/>
              </w:rPr>
              <w:t>施工期</w:t>
            </w:r>
          </w:p>
        </w:tc>
        <w:tc>
          <w:tcPr>
            <w:tcW w:w="7054" w:type="dxa"/>
            <w:gridSpan w:val="7"/>
            <w:tcBorders>
              <w:top w:val="single" w:color="000000" w:sz="6" w:space="0"/>
              <w:right w:val="single" w:color="000000" w:sz="6" w:space="0"/>
            </w:tcBorders>
            <w:vAlign w:val="top"/>
          </w:tcPr>
          <w:p w14:paraId="045D518F">
            <w:pPr>
              <w:pStyle w:val="18"/>
              <w:spacing w:before="193" w:line="228" w:lineRule="auto"/>
              <w:ind w:left="3007"/>
              <w:rPr>
                <w:color w:val="auto"/>
                <w:highlight w:val="none"/>
              </w:rPr>
            </w:pPr>
            <w:r>
              <w:rPr>
                <w:color w:val="auto"/>
                <w:spacing w:val="8"/>
                <w:highlight w:val="none"/>
              </w:rPr>
              <w:t>缺陷责任期</w:t>
            </w:r>
          </w:p>
        </w:tc>
      </w:tr>
      <w:tr w14:paraId="1A4964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2" w:hRule="atLeast"/>
        </w:trPr>
        <w:tc>
          <w:tcPr>
            <w:tcW w:w="474" w:type="dxa"/>
            <w:vMerge w:val="continue"/>
            <w:tcBorders>
              <w:top w:val="nil"/>
              <w:left w:val="single" w:color="000000" w:sz="6" w:space="0"/>
            </w:tcBorders>
            <w:textDirection w:val="tbRlV"/>
            <w:vAlign w:val="top"/>
          </w:tcPr>
          <w:p w14:paraId="74451761">
            <w:pPr>
              <w:rPr>
                <w:rFonts w:ascii="Arial"/>
                <w:color w:val="auto"/>
                <w:sz w:val="21"/>
                <w:highlight w:val="none"/>
              </w:rPr>
            </w:pPr>
          </w:p>
        </w:tc>
        <w:tc>
          <w:tcPr>
            <w:tcW w:w="1029" w:type="dxa"/>
            <w:vAlign w:val="top"/>
          </w:tcPr>
          <w:p w14:paraId="558315A3">
            <w:pPr>
              <w:spacing w:line="251" w:lineRule="auto"/>
              <w:rPr>
                <w:rFonts w:ascii="Arial"/>
                <w:color w:val="auto"/>
                <w:sz w:val="21"/>
                <w:highlight w:val="none"/>
              </w:rPr>
            </w:pPr>
          </w:p>
          <w:p w14:paraId="1BDE3353">
            <w:pPr>
              <w:spacing w:line="251" w:lineRule="auto"/>
              <w:rPr>
                <w:rFonts w:ascii="Arial"/>
                <w:color w:val="auto"/>
                <w:sz w:val="21"/>
                <w:highlight w:val="none"/>
              </w:rPr>
            </w:pPr>
          </w:p>
          <w:p w14:paraId="616E1E08">
            <w:pPr>
              <w:pStyle w:val="18"/>
              <w:spacing w:before="65" w:line="229" w:lineRule="auto"/>
              <w:ind w:left="96"/>
              <w:rPr>
                <w:color w:val="auto"/>
                <w:highlight w:val="none"/>
              </w:rPr>
            </w:pPr>
            <w:r>
              <w:rPr>
                <w:color w:val="auto"/>
                <w:spacing w:val="6"/>
                <w:highlight w:val="none"/>
              </w:rPr>
              <w:t>设备名称</w:t>
            </w:r>
          </w:p>
        </w:tc>
        <w:tc>
          <w:tcPr>
            <w:tcW w:w="792" w:type="dxa"/>
            <w:vAlign w:val="top"/>
          </w:tcPr>
          <w:p w14:paraId="18F9C51C">
            <w:pPr>
              <w:spacing w:line="251" w:lineRule="auto"/>
              <w:rPr>
                <w:rFonts w:ascii="Arial"/>
                <w:color w:val="auto"/>
                <w:sz w:val="21"/>
                <w:highlight w:val="none"/>
              </w:rPr>
            </w:pPr>
          </w:p>
          <w:p w14:paraId="74B258EC">
            <w:pPr>
              <w:spacing w:line="251" w:lineRule="auto"/>
              <w:rPr>
                <w:rFonts w:ascii="Arial"/>
                <w:color w:val="auto"/>
                <w:sz w:val="21"/>
                <w:highlight w:val="none"/>
              </w:rPr>
            </w:pPr>
          </w:p>
          <w:p w14:paraId="0B699F88">
            <w:pPr>
              <w:pStyle w:val="18"/>
              <w:spacing w:before="65" w:line="229" w:lineRule="auto"/>
              <w:ind w:left="191"/>
              <w:rPr>
                <w:color w:val="auto"/>
                <w:highlight w:val="none"/>
              </w:rPr>
            </w:pPr>
            <w:r>
              <w:rPr>
                <w:color w:val="auto"/>
                <w:spacing w:val="1"/>
                <w:highlight w:val="none"/>
              </w:rPr>
              <w:t>型号</w:t>
            </w:r>
          </w:p>
        </w:tc>
        <w:tc>
          <w:tcPr>
            <w:tcW w:w="696" w:type="dxa"/>
            <w:vAlign w:val="top"/>
          </w:tcPr>
          <w:p w14:paraId="71988B50">
            <w:pPr>
              <w:spacing w:line="251" w:lineRule="auto"/>
              <w:rPr>
                <w:rFonts w:ascii="Arial"/>
                <w:color w:val="auto"/>
                <w:sz w:val="21"/>
                <w:highlight w:val="none"/>
              </w:rPr>
            </w:pPr>
          </w:p>
          <w:p w14:paraId="1AB0C392">
            <w:pPr>
              <w:spacing w:line="251" w:lineRule="auto"/>
              <w:rPr>
                <w:rFonts w:ascii="Arial"/>
                <w:color w:val="auto"/>
                <w:sz w:val="21"/>
                <w:highlight w:val="none"/>
              </w:rPr>
            </w:pPr>
          </w:p>
          <w:p w14:paraId="29DE5D16">
            <w:pPr>
              <w:pStyle w:val="18"/>
              <w:spacing w:before="65" w:line="228" w:lineRule="auto"/>
              <w:ind w:left="141"/>
              <w:rPr>
                <w:color w:val="auto"/>
                <w:highlight w:val="none"/>
              </w:rPr>
            </w:pPr>
            <w:r>
              <w:rPr>
                <w:color w:val="auto"/>
                <w:spacing w:val="3"/>
                <w:highlight w:val="none"/>
              </w:rPr>
              <w:t>数量</w:t>
            </w:r>
          </w:p>
        </w:tc>
        <w:tc>
          <w:tcPr>
            <w:tcW w:w="1068" w:type="dxa"/>
            <w:vAlign w:val="top"/>
          </w:tcPr>
          <w:p w14:paraId="6E57B8D7">
            <w:pPr>
              <w:spacing w:line="304" w:lineRule="auto"/>
              <w:rPr>
                <w:rFonts w:ascii="Arial"/>
                <w:color w:val="auto"/>
                <w:sz w:val="21"/>
                <w:highlight w:val="none"/>
              </w:rPr>
            </w:pPr>
          </w:p>
          <w:p w14:paraId="2A5761AC">
            <w:pPr>
              <w:pStyle w:val="18"/>
              <w:spacing w:before="65" w:line="372" w:lineRule="auto"/>
              <w:ind w:left="375" w:right="103" w:hanging="247"/>
              <w:rPr>
                <w:color w:val="auto"/>
                <w:highlight w:val="none"/>
              </w:rPr>
            </w:pPr>
            <w:r>
              <w:rPr>
                <w:color w:val="auto"/>
                <w:spacing w:val="7"/>
                <w:highlight w:val="none"/>
              </w:rPr>
              <w:t>购置合价</w:t>
            </w:r>
            <w:r>
              <w:rPr>
                <w:color w:val="auto"/>
                <w:spacing w:val="-8"/>
                <w:highlight w:val="none"/>
              </w:rPr>
              <w:t>(元)</w:t>
            </w:r>
          </w:p>
        </w:tc>
        <w:tc>
          <w:tcPr>
            <w:tcW w:w="943" w:type="dxa"/>
            <w:gridSpan w:val="2"/>
            <w:vAlign w:val="top"/>
          </w:tcPr>
          <w:p w14:paraId="4CC66EA2">
            <w:pPr>
              <w:spacing w:line="304" w:lineRule="auto"/>
              <w:rPr>
                <w:rFonts w:ascii="Arial"/>
                <w:color w:val="auto"/>
                <w:sz w:val="21"/>
                <w:highlight w:val="none"/>
              </w:rPr>
            </w:pPr>
          </w:p>
          <w:p w14:paraId="619BDF19">
            <w:pPr>
              <w:pStyle w:val="18"/>
              <w:spacing w:before="65" w:line="372" w:lineRule="auto"/>
              <w:ind w:left="300" w:right="158" w:hanging="140"/>
              <w:rPr>
                <w:color w:val="auto"/>
                <w:highlight w:val="none"/>
              </w:rPr>
            </w:pPr>
            <w:r>
              <w:rPr>
                <w:color w:val="auto"/>
                <w:spacing w:val="6"/>
                <w:highlight w:val="none"/>
              </w:rPr>
              <w:t>折旧费</w:t>
            </w:r>
            <w:r>
              <w:rPr>
                <w:color w:val="auto"/>
                <w:spacing w:val="-9"/>
                <w:highlight w:val="none"/>
              </w:rPr>
              <w:t>(元)</w:t>
            </w:r>
          </w:p>
        </w:tc>
        <w:tc>
          <w:tcPr>
            <w:tcW w:w="935" w:type="dxa"/>
            <w:vAlign w:val="top"/>
          </w:tcPr>
          <w:p w14:paraId="39928A14">
            <w:pPr>
              <w:spacing w:line="304" w:lineRule="auto"/>
              <w:rPr>
                <w:rFonts w:ascii="Arial"/>
                <w:color w:val="auto"/>
                <w:sz w:val="21"/>
                <w:highlight w:val="none"/>
              </w:rPr>
            </w:pPr>
          </w:p>
          <w:p w14:paraId="32353ECE">
            <w:pPr>
              <w:pStyle w:val="18"/>
              <w:spacing w:before="65" w:line="372" w:lineRule="auto"/>
              <w:ind w:left="298" w:right="152" w:hanging="141"/>
              <w:rPr>
                <w:color w:val="auto"/>
                <w:highlight w:val="none"/>
              </w:rPr>
            </w:pPr>
            <w:r>
              <w:rPr>
                <w:color w:val="auto"/>
                <w:spacing w:val="6"/>
                <w:highlight w:val="none"/>
              </w:rPr>
              <w:t>使用费</w:t>
            </w:r>
            <w:r>
              <w:rPr>
                <w:color w:val="auto"/>
                <w:spacing w:val="-9"/>
                <w:highlight w:val="none"/>
              </w:rPr>
              <w:t>(元)</w:t>
            </w:r>
          </w:p>
        </w:tc>
        <w:tc>
          <w:tcPr>
            <w:tcW w:w="1230" w:type="dxa"/>
            <w:vAlign w:val="top"/>
          </w:tcPr>
          <w:p w14:paraId="71D70F31">
            <w:pPr>
              <w:pStyle w:val="18"/>
              <w:spacing w:before="172" w:line="229" w:lineRule="auto"/>
              <w:ind w:left="407"/>
              <w:rPr>
                <w:color w:val="auto"/>
                <w:highlight w:val="none"/>
              </w:rPr>
            </w:pPr>
            <w:r>
              <w:rPr>
                <w:color w:val="auto"/>
                <w:spacing w:val="2"/>
                <w:highlight w:val="none"/>
              </w:rPr>
              <w:t>小计</w:t>
            </w:r>
          </w:p>
          <w:p w14:paraId="72077E1F">
            <w:pPr>
              <w:pStyle w:val="18"/>
              <w:spacing w:before="150" w:line="291" w:lineRule="auto"/>
              <w:ind w:left="308" w:right="98" w:hanging="221"/>
              <w:rPr>
                <w:color w:val="auto"/>
                <w:highlight w:val="none"/>
              </w:rPr>
            </w:pPr>
            <w:r>
              <w:rPr>
                <w:color w:val="auto"/>
                <w:spacing w:val="7"/>
                <w:highlight w:val="none"/>
              </w:rPr>
              <w:t>折旧及使用</w:t>
            </w:r>
            <w:r>
              <w:rPr>
                <w:color w:val="auto"/>
                <w:spacing w:val="2"/>
                <w:highlight w:val="none"/>
              </w:rPr>
              <w:t>费(元)</w:t>
            </w:r>
          </w:p>
        </w:tc>
        <w:tc>
          <w:tcPr>
            <w:tcW w:w="1222" w:type="dxa"/>
            <w:vAlign w:val="top"/>
          </w:tcPr>
          <w:p w14:paraId="7A4254D3">
            <w:pPr>
              <w:spacing w:line="251" w:lineRule="auto"/>
              <w:rPr>
                <w:rFonts w:ascii="Arial"/>
                <w:color w:val="auto"/>
                <w:sz w:val="21"/>
                <w:highlight w:val="none"/>
              </w:rPr>
            </w:pPr>
          </w:p>
          <w:p w14:paraId="5891EF96">
            <w:pPr>
              <w:spacing w:line="251" w:lineRule="auto"/>
              <w:rPr>
                <w:rFonts w:ascii="Arial"/>
                <w:color w:val="auto"/>
                <w:sz w:val="21"/>
                <w:highlight w:val="none"/>
              </w:rPr>
            </w:pPr>
          </w:p>
          <w:p w14:paraId="408C445E">
            <w:pPr>
              <w:pStyle w:val="18"/>
              <w:spacing w:before="65" w:line="229" w:lineRule="auto"/>
              <w:ind w:left="200"/>
              <w:rPr>
                <w:color w:val="auto"/>
                <w:highlight w:val="none"/>
              </w:rPr>
            </w:pPr>
            <w:r>
              <w:rPr>
                <w:color w:val="auto"/>
                <w:spacing w:val="6"/>
                <w:highlight w:val="none"/>
              </w:rPr>
              <w:t>设备名称</w:t>
            </w:r>
          </w:p>
        </w:tc>
        <w:tc>
          <w:tcPr>
            <w:tcW w:w="827" w:type="dxa"/>
            <w:vAlign w:val="top"/>
          </w:tcPr>
          <w:p w14:paraId="78E53234">
            <w:pPr>
              <w:spacing w:line="251" w:lineRule="auto"/>
              <w:rPr>
                <w:rFonts w:ascii="Arial"/>
                <w:color w:val="auto"/>
                <w:sz w:val="21"/>
                <w:highlight w:val="none"/>
              </w:rPr>
            </w:pPr>
          </w:p>
          <w:p w14:paraId="265B6CE4">
            <w:pPr>
              <w:spacing w:line="251" w:lineRule="auto"/>
              <w:rPr>
                <w:rFonts w:ascii="Arial"/>
                <w:color w:val="auto"/>
                <w:sz w:val="21"/>
                <w:highlight w:val="none"/>
              </w:rPr>
            </w:pPr>
          </w:p>
          <w:p w14:paraId="5C402810">
            <w:pPr>
              <w:pStyle w:val="18"/>
              <w:spacing w:before="65" w:line="229" w:lineRule="auto"/>
              <w:ind w:left="217"/>
              <w:rPr>
                <w:color w:val="auto"/>
                <w:highlight w:val="none"/>
              </w:rPr>
            </w:pPr>
            <w:r>
              <w:rPr>
                <w:color w:val="auto"/>
                <w:spacing w:val="1"/>
                <w:highlight w:val="none"/>
              </w:rPr>
              <w:t>型号</w:t>
            </w:r>
          </w:p>
        </w:tc>
        <w:tc>
          <w:tcPr>
            <w:tcW w:w="682" w:type="dxa"/>
            <w:vAlign w:val="top"/>
          </w:tcPr>
          <w:p w14:paraId="1BB58969">
            <w:pPr>
              <w:spacing w:line="251" w:lineRule="auto"/>
              <w:rPr>
                <w:rFonts w:ascii="Arial"/>
                <w:color w:val="auto"/>
                <w:sz w:val="21"/>
                <w:highlight w:val="none"/>
              </w:rPr>
            </w:pPr>
          </w:p>
          <w:p w14:paraId="4A31C71D">
            <w:pPr>
              <w:spacing w:line="251" w:lineRule="auto"/>
              <w:rPr>
                <w:rFonts w:ascii="Arial"/>
                <w:color w:val="auto"/>
                <w:sz w:val="21"/>
                <w:highlight w:val="none"/>
              </w:rPr>
            </w:pPr>
          </w:p>
          <w:p w14:paraId="7CB3A2D5">
            <w:pPr>
              <w:pStyle w:val="18"/>
              <w:spacing w:before="65" w:line="228" w:lineRule="auto"/>
              <w:ind w:left="141"/>
              <w:rPr>
                <w:color w:val="auto"/>
                <w:highlight w:val="none"/>
              </w:rPr>
            </w:pPr>
            <w:r>
              <w:rPr>
                <w:color w:val="auto"/>
                <w:spacing w:val="3"/>
                <w:highlight w:val="none"/>
              </w:rPr>
              <w:t>数量</w:t>
            </w:r>
          </w:p>
        </w:tc>
        <w:tc>
          <w:tcPr>
            <w:tcW w:w="1034" w:type="dxa"/>
            <w:vAlign w:val="top"/>
          </w:tcPr>
          <w:p w14:paraId="714778E0">
            <w:pPr>
              <w:spacing w:line="304" w:lineRule="auto"/>
              <w:rPr>
                <w:rFonts w:ascii="Arial"/>
                <w:color w:val="auto"/>
                <w:sz w:val="21"/>
                <w:highlight w:val="none"/>
              </w:rPr>
            </w:pPr>
          </w:p>
          <w:p w14:paraId="558F09CB">
            <w:pPr>
              <w:pStyle w:val="18"/>
              <w:spacing w:before="65" w:line="372" w:lineRule="auto"/>
              <w:ind w:left="365" w:right="78" w:hanging="247"/>
              <w:rPr>
                <w:color w:val="auto"/>
                <w:highlight w:val="none"/>
              </w:rPr>
            </w:pPr>
            <w:r>
              <w:rPr>
                <w:color w:val="auto"/>
                <w:spacing w:val="7"/>
                <w:highlight w:val="none"/>
              </w:rPr>
              <w:t>购置合价</w:t>
            </w:r>
            <w:r>
              <w:rPr>
                <w:color w:val="auto"/>
                <w:spacing w:val="-9"/>
                <w:highlight w:val="none"/>
              </w:rPr>
              <w:t>(元)</w:t>
            </w:r>
          </w:p>
        </w:tc>
        <w:tc>
          <w:tcPr>
            <w:tcW w:w="1026" w:type="dxa"/>
            <w:vAlign w:val="top"/>
          </w:tcPr>
          <w:p w14:paraId="7D9A0F5A">
            <w:pPr>
              <w:spacing w:line="304" w:lineRule="auto"/>
              <w:rPr>
                <w:rFonts w:ascii="Arial"/>
                <w:color w:val="auto"/>
                <w:sz w:val="21"/>
                <w:highlight w:val="none"/>
              </w:rPr>
            </w:pPr>
          </w:p>
          <w:p w14:paraId="2CF8B844">
            <w:pPr>
              <w:pStyle w:val="18"/>
              <w:spacing w:before="65" w:line="372" w:lineRule="auto"/>
              <w:ind w:left="349" w:right="192" w:hanging="140"/>
              <w:rPr>
                <w:color w:val="auto"/>
                <w:highlight w:val="none"/>
              </w:rPr>
            </w:pPr>
            <w:r>
              <w:rPr>
                <w:color w:val="auto"/>
                <w:spacing w:val="6"/>
                <w:highlight w:val="none"/>
              </w:rPr>
              <w:t>折旧费</w:t>
            </w:r>
            <w:r>
              <w:rPr>
                <w:color w:val="auto"/>
                <w:spacing w:val="-9"/>
                <w:highlight w:val="none"/>
              </w:rPr>
              <w:t>(元)</w:t>
            </w:r>
          </w:p>
        </w:tc>
        <w:tc>
          <w:tcPr>
            <w:tcW w:w="1026" w:type="dxa"/>
            <w:vAlign w:val="top"/>
          </w:tcPr>
          <w:p w14:paraId="54088C87">
            <w:pPr>
              <w:spacing w:line="304" w:lineRule="auto"/>
              <w:rPr>
                <w:rFonts w:ascii="Arial"/>
                <w:color w:val="auto"/>
                <w:sz w:val="21"/>
                <w:highlight w:val="none"/>
              </w:rPr>
            </w:pPr>
          </w:p>
          <w:p w14:paraId="7CFFC0D0">
            <w:pPr>
              <w:pStyle w:val="18"/>
              <w:spacing w:before="65" w:line="372" w:lineRule="auto"/>
              <w:ind w:left="350" w:right="191" w:hanging="141"/>
              <w:rPr>
                <w:color w:val="auto"/>
                <w:highlight w:val="none"/>
              </w:rPr>
            </w:pPr>
            <w:r>
              <w:rPr>
                <w:color w:val="auto"/>
                <w:spacing w:val="6"/>
                <w:highlight w:val="none"/>
              </w:rPr>
              <w:t>使用费</w:t>
            </w:r>
            <w:r>
              <w:rPr>
                <w:color w:val="auto"/>
                <w:spacing w:val="-9"/>
                <w:highlight w:val="none"/>
              </w:rPr>
              <w:t>(元)</w:t>
            </w:r>
          </w:p>
        </w:tc>
        <w:tc>
          <w:tcPr>
            <w:tcW w:w="1237" w:type="dxa"/>
            <w:tcBorders>
              <w:right w:val="single" w:color="000000" w:sz="6" w:space="0"/>
            </w:tcBorders>
            <w:vAlign w:val="top"/>
          </w:tcPr>
          <w:p w14:paraId="0AA223C0">
            <w:pPr>
              <w:pStyle w:val="18"/>
              <w:spacing w:before="172" w:line="229" w:lineRule="auto"/>
              <w:ind w:left="412"/>
              <w:rPr>
                <w:color w:val="auto"/>
                <w:highlight w:val="none"/>
              </w:rPr>
            </w:pPr>
            <w:r>
              <w:rPr>
                <w:color w:val="auto"/>
                <w:spacing w:val="2"/>
                <w:highlight w:val="none"/>
              </w:rPr>
              <w:t>小计</w:t>
            </w:r>
          </w:p>
          <w:p w14:paraId="4DD5FA67">
            <w:pPr>
              <w:pStyle w:val="18"/>
              <w:spacing w:before="150" w:line="291" w:lineRule="auto"/>
              <w:ind w:left="314" w:right="94" w:hanging="221"/>
              <w:rPr>
                <w:color w:val="auto"/>
                <w:highlight w:val="none"/>
              </w:rPr>
            </w:pPr>
            <w:r>
              <w:rPr>
                <w:color w:val="auto"/>
                <w:spacing w:val="7"/>
                <w:highlight w:val="none"/>
              </w:rPr>
              <w:t>折旧及使用</w:t>
            </w:r>
            <w:r>
              <w:rPr>
                <w:color w:val="auto"/>
                <w:spacing w:val="2"/>
                <w:highlight w:val="none"/>
              </w:rPr>
              <w:t>费(元)</w:t>
            </w:r>
          </w:p>
        </w:tc>
      </w:tr>
      <w:tr w14:paraId="46288F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474" w:type="dxa"/>
            <w:tcBorders>
              <w:left w:val="single" w:color="000000" w:sz="6" w:space="0"/>
            </w:tcBorders>
            <w:vAlign w:val="top"/>
          </w:tcPr>
          <w:p w14:paraId="14397CB9">
            <w:pPr>
              <w:pStyle w:val="18"/>
              <w:spacing w:before="203" w:line="269" w:lineRule="exact"/>
              <w:ind w:left="196"/>
              <w:rPr>
                <w:color w:val="auto"/>
                <w:highlight w:val="none"/>
              </w:rPr>
            </w:pPr>
            <w:r>
              <w:rPr>
                <w:color w:val="auto"/>
                <w:position w:val="1"/>
                <w:highlight w:val="none"/>
              </w:rPr>
              <w:t>1</w:t>
            </w:r>
          </w:p>
        </w:tc>
        <w:tc>
          <w:tcPr>
            <w:tcW w:w="1029" w:type="dxa"/>
            <w:vAlign w:val="top"/>
          </w:tcPr>
          <w:p w14:paraId="0E08A415">
            <w:pPr>
              <w:rPr>
                <w:rFonts w:ascii="Arial"/>
                <w:color w:val="auto"/>
                <w:sz w:val="21"/>
                <w:highlight w:val="none"/>
              </w:rPr>
            </w:pPr>
          </w:p>
        </w:tc>
        <w:tc>
          <w:tcPr>
            <w:tcW w:w="792" w:type="dxa"/>
            <w:vAlign w:val="top"/>
          </w:tcPr>
          <w:p w14:paraId="00755433">
            <w:pPr>
              <w:rPr>
                <w:rFonts w:ascii="Arial"/>
                <w:color w:val="auto"/>
                <w:sz w:val="21"/>
                <w:highlight w:val="none"/>
              </w:rPr>
            </w:pPr>
          </w:p>
        </w:tc>
        <w:tc>
          <w:tcPr>
            <w:tcW w:w="696" w:type="dxa"/>
            <w:vAlign w:val="top"/>
          </w:tcPr>
          <w:p w14:paraId="4E787665">
            <w:pPr>
              <w:rPr>
                <w:rFonts w:ascii="Arial"/>
                <w:color w:val="auto"/>
                <w:sz w:val="21"/>
                <w:highlight w:val="none"/>
              </w:rPr>
            </w:pPr>
          </w:p>
        </w:tc>
        <w:tc>
          <w:tcPr>
            <w:tcW w:w="1068" w:type="dxa"/>
            <w:vAlign w:val="top"/>
          </w:tcPr>
          <w:p w14:paraId="01CEB517">
            <w:pPr>
              <w:rPr>
                <w:rFonts w:ascii="Arial"/>
                <w:color w:val="auto"/>
                <w:sz w:val="21"/>
                <w:highlight w:val="none"/>
              </w:rPr>
            </w:pPr>
          </w:p>
        </w:tc>
        <w:tc>
          <w:tcPr>
            <w:tcW w:w="943" w:type="dxa"/>
            <w:gridSpan w:val="2"/>
            <w:vAlign w:val="top"/>
          </w:tcPr>
          <w:p w14:paraId="18F46E91">
            <w:pPr>
              <w:rPr>
                <w:rFonts w:ascii="Arial"/>
                <w:color w:val="auto"/>
                <w:sz w:val="21"/>
                <w:highlight w:val="none"/>
              </w:rPr>
            </w:pPr>
          </w:p>
        </w:tc>
        <w:tc>
          <w:tcPr>
            <w:tcW w:w="935" w:type="dxa"/>
            <w:vAlign w:val="top"/>
          </w:tcPr>
          <w:p w14:paraId="22BECCB4">
            <w:pPr>
              <w:rPr>
                <w:rFonts w:ascii="Arial"/>
                <w:color w:val="auto"/>
                <w:sz w:val="21"/>
                <w:highlight w:val="none"/>
              </w:rPr>
            </w:pPr>
          </w:p>
        </w:tc>
        <w:tc>
          <w:tcPr>
            <w:tcW w:w="1230" w:type="dxa"/>
            <w:vAlign w:val="top"/>
          </w:tcPr>
          <w:p w14:paraId="3F9B6DF7">
            <w:pPr>
              <w:rPr>
                <w:rFonts w:ascii="Arial"/>
                <w:color w:val="auto"/>
                <w:sz w:val="21"/>
                <w:highlight w:val="none"/>
              </w:rPr>
            </w:pPr>
          </w:p>
        </w:tc>
        <w:tc>
          <w:tcPr>
            <w:tcW w:w="1222" w:type="dxa"/>
            <w:vAlign w:val="top"/>
          </w:tcPr>
          <w:p w14:paraId="324655E6">
            <w:pPr>
              <w:rPr>
                <w:rFonts w:ascii="Arial"/>
                <w:color w:val="auto"/>
                <w:sz w:val="21"/>
                <w:highlight w:val="none"/>
              </w:rPr>
            </w:pPr>
          </w:p>
        </w:tc>
        <w:tc>
          <w:tcPr>
            <w:tcW w:w="827" w:type="dxa"/>
            <w:vAlign w:val="top"/>
          </w:tcPr>
          <w:p w14:paraId="44EF9EBD">
            <w:pPr>
              <w:rPr>
                <w:rFonts w:ascii="Arial"/>
                <w:color w:val="auto"/>
                <w:sz w:val="21"/>
                <w:highlight w:val="none"/>
              </w:rPr>
            </w:pPr>
          </w:p>
        </w:tc>
        <w:tc>
          <w:tcPr>
            <w:tcW w:w="682" w:type="dxa"/>
            <w:vAlign w:val="top"/>
          </w:tcPr>
          <w:p w14:paraId="45115DCC">
            <w:pPr>
              <w:rPr>
                <w:rFonts w:ascii="Arial"/>
                <w:color w:val="auto"/>
                <w:sz w:val="21"/>
                <w:highlight w:val="none"/>
              </w:rPr>
            </w:pPr>
          </w:p>
        </w:tc>
        <w:tc>
          <w:tcPr>
            <w:tcW w:w="1034" w:type="dxa"/>
            <w:vAlign w:val="top"/>
          </w:tcPr>
          <w:p w14:paraId="0CB4BF29">
            <w:pPr>
              <w:rPr>
                <w:rFonts w:ascii="Arial"/>
                <w:color w:val="auto"/>
                <w:sz w:val="21"/>
                <w:highlight w:val="none"/>
              </w:rPr>
            </w:pPr>
          </w:p>
        </w:tc>
        <w:tc>
          <w:tcPr>
            <w:tcW w:w="1026" w:type="dxa"/>
            <w:vAlign w:val="top"/>
          </w:tcPr>
          <w:p w14:paraId="7BD7EF07">
            <w:pPr>
              <w:rPr>
                <w:rFonts w:ascii="Arial"/>
                <w:color w:val="auto"/>
                <w:sz w:val="21"/>
                <w:highlight w:val="none"/>
              </w:rPr>
            </w:pPr>
          </w:p>
        </w:tc>
        <w:tc>
          <w:tcPr>
            <w:tcW w:w="1026" w:type="dxa"/>
            <w:vAlign w:val="top"/>
          </w:tcPr>
          <w:p w14:paraId="65989FB5">
            <w:pPr>
              <w:rPr>
                <w:rFonts w:ascii="Arial"/>
                <w:color w:val="auto"/>
                <w:sz w:val="21"/>
                <w:highlight w:val="none"/>
              </w:rPr>
            </w:pPr>
          </w:p>
        </w:tc>
        <w:tc>
          <w:tcPr>
            <w:tcW w:w="1237" w:type="dxa"/>
            <w:tcBorders>
              <w:right w:val="single" w:color="000000" w:sz="6" w:space="0"/>
            </w:tcBorders>
            <w:vAlign w:val="top"/>
          </w:tcPr>
          <w:p w14:paraId="2F60A14D">
            <w:pPr>
              <w:rPr>
                <w:rFonts w:ascii="Arial"/>
                <w:color w:val="auto"/>
                <w:sz w:val="21"/>
                <w:highlight w:val="none"/>
              </w:rPr>
            </w:pPr>
          </w:p>
        </w:tc>
      </w:tr>
      <w:tr w14:paraId="501D11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474" w:type="dxa"/>
            <w:tcBorders>
              <w:left w:val="single" w:color="000000" w:sz="6" w:space="0"/>
            </w:tcBorders>
            <w:vAlign w:val="top"/>
          </w:tcPr>
          <w:p w14:paraId="791C9F34">
            <w:pPr>
              <w:pStyle w:val="18"/>
              <w:spacing w:before="207" w:line="265" w:lineRule="exact"/>
              <w:ind w:left="183"/>
              <w:rPr>
                <w:color w:val="auto"/>
                <w:highlight w:val="none"/>
              </w:rPr>
            </w:pPr>
            <w:r>
              <w:rPr>
                <w:color w:val="auto"/>
                <w:position w:val="1"/>
                <w:highlight w:val="none"/>
              </w:rPr>
              <w:t>2</w:t>
            </w:r>
          </w:p>
        </w:tc>
        <w:tc>
          <w:tcPr>
            <w:tcW w:w="1029" w:type="dxa"/>
            <w:vAlign w:val="top"/>
          </w:tcPr>
          <w:p w14:paraId="5BF14A0C">
            <w:pPr>
              <w:rPr>
                <w:rFonts w:ascii="Arial"/>
                <w:color w:val="auto"/>
                <w:sz w:val="21"/>
                <w:highlight w:val="none"/>
              </w:rPr>
            </w:pPr>
          </w:p>
        </w:tc>
        <w:tc>
          <w:tcPr>
            <w:tcW w:w="792" w:type="dxa"/>
            <w:vAlign w:val="top"/>
          </w:tcPr>
          <w:p w14:paraId="29AA667B">
            <w:pPr>
              <w:rPr>
                <w:rFonts w:ascii="Arial"/>
                <w:color w:val="auto"/>
                <w:sz w:val="21"/>
                <w:highlight w:val="none"/>
              </w:rPr>
            </w:pPr>
          </w:p>
        </w:tc>
        <w:tc>
          <w:tcPr>
            <w:tcW w:w="696" w:type="dxa"/>
            <w:vAlign w:val="top"/>
          </w:tcPr>
          <w:p w14:paraId="0D4B4B49">
            <w:pPr>
              <w:rPr>
                <w:rFonts w:ascii="Arial"/>
                <w:color w:val="auto"/>
                <w:sz w:val="21"/>
                <w:highlight w:val="none"/>
              </w:rPr>
            </w:pPr>
          </w:p>
        </w:tc>
        <w:tc>
          <w:tcPr>
            <w:tcW w:w="1068" w:type="dxa"/>
            <w:vAlign w:val="top"/>
          </w:tcPr>
          <w:p w14:paraId="482DBF03">
            <w:pPr>
              <w:rPr>
                <w:rFonts w:ascii="Arial"/>
                <w:color w:val="auto"/>
                <w:sz w:val="21"/>
                <w:highlight w:val="none"/>
              </w:rPr>
            </w:pPr>
          </w:p>
        </w:tc>
        <w:tc>
          <w:tcPr>
            <w:tcW w:w="943" w:type="dxa"/>
            <w:gridSpan w:val="2"/>
            <w:vAlign w:val="top"/>
          </w:tcPr>
          <w:p w14:paraId="4845D850">
            <w:pPr>
              <w:rPr>
                <w:rFonts w:ascii="Arial"/>
                <w:color w:val="auto"/>
                <w:sz w:val="21"/>
                <w:highlight w:val="none"/>
              </w:rPr>
            </w:pPr>
          </w:p>
        </w:tc>
        <w:tc>
          <w:tcPr>
            <w:tcW w:w="935" w:type="dxa"/>
            <w:vAlign w:val="top"/>
          </w:tcPr>
          <w:p w14:paraId="51CE1495">
            <w:pPr>
              <w:rPr>
                <w:rFonts w:ascii="Arial"/>
                <w:color w:val="auto"/>
                <w:sz w:val="21"/>
                <w:highlight w:val="none"/>
              </w:rPr>
            </w:pPr>
          </w:p>
        </w:tc>
        <w:tc>
          <w:tcPr>
            <w:tcW w:w="1230" w:type="dxa"/>
            <w:vAlign w:val="top"/>
          </w:tcPr>
          <w:p w14:paraId="0D77D592">
            <w:pPr>
              <w:rPr>
                <w:rFonts w:ascii="Arial"/>
                <w:color w:val="auto"/>
                <w:sz w:val="21"/>
                <w:highlight w:val="none"/>
              </w:rPr>
            </w:pPr>
          </w:p>
        </w:tc>
        <w:tc>
          <w:tcPr>
            <w:tcW w:w="1222" w:type="dxa"/>
            <w:vAlign w:val="top"/>
          </w:tcPr>
          <w:p w14:paraId="647A3454">
            <w:pPr>
              <w:rPr>
                <w:rFonts w:ascii="Arial"/>
                <w:color w:val="auto"/>
                <w:sz w:val="21"/>
                <w:highlight w:val="none"/>
              </w:rPr>
            </w:pPr>
          </w:p>
        </w:tc>
        <w:tc>
          <w:tcPr>
            <w:tcW w:w="827" w:type="dxa"/>
            <w:vAlign w:val="top"/>
          </w:tcPr>
          <w:p w14:paraId="0C49A1FF">
            <w:pPr>
              <w:rPr>
                <w:rFonts w:ascii="Arial"/>
                <w:color w:val="auto"/>
                <w:sz w:val="21"/>
                <w:highlight w:val="none"/>
              </w:rPr>
            </w:pPr>
          </w:p>
        </w:tc>
        <w:tc>
          <w:tcPr>
            <w:tcW w:w="682" w:type="dxa"/>
            <w:vAlign w:val="top"/>
          </w:tcPr>
          <w:p w14:paraId="733EF6E2">
            <w:pPr>
              <w:rPr>
                <w:rFonts w:ascii="Arial"/>
                <w:color w:val="auto"/>
                <w:sz w:val="21"/>
                <w:highlight w:val="none"/>
              </w:rPr>
            </w:pPr>
          </w:p>
        </w:tc>
        <w:tc>
          <w:tcPr>
            <w:tcW w:w="1034" w:type="dxa"/>
            <w:vAlign w:val="top"/>
          </w:tcPr>
          <w:p w14:paraId="3D1103E1">
            <w:pPr>
              <w:rPr>
                <w:rFonts w:ascii="Arial"/>
                <w:color w:val="auto"/>
                <w:sz w:val="21"/>
                <w:highlight w:val="none"/>
              </w:rPr>
            </w:pPr>
          </w:p>
        </w:tc>
        <w:tc>
          <w:tcPr>
            <w:tcW w:w="1026" w:type="dxa"/>
            <w:vAlign w:val="top"/>
          </w:tcPr>
          <w:p w14:paraId="6A3E6E07">
            <w:pPr>
              <w:rPr>
                <w:rFonts w:ascii="Arial"/>
                <w:color w:val="auto"/>
                <w:sz w:val="21"/>
                <w:highlight w:val="none"/>
              </w:rPr>
            </w:pPr>
          </w:p>
        </w:tc>
        <w:tc>
          <w:tcPr>
            <w:tcW w:w="1026" w:type="dxa"/>
            <w:vAlign w:val="top"/>
          </w:tcPr>
          <w:p w14:paraId="62F1BAC1">
            <w:pPr>
              <w:rPr>
                <w:rFonts w:ascii="Arial"/>
                <w:color w:val="auto"/>
                <w:sz w:val="21"/>
                <w:highlight w:val="none"/>
              </w:rPr>
            </w:pPr>
          </w:p>
        </w:tc>
        <w:tc>
          <w:tcPr>
            <w:tcW w:w="1237" w:type="dxa"/>
            <w:tcBorders>
              <w:right w:val="single" w:color="000000" w:sz="6" w:space="0"/>
            </w:tcBorders>
            <w:vAlign w:val="top"/>
          </w:tcPr>
          <w:p w14:paraId="7C622D71">
            <w:pPr>
              <w:rPr>
                <w:rFonts w:ascii="Arial"/>
                <w:color w:val="auto"/>
                <w:sz w:val="21"/>
                <w:highlight w:val="none"/>
              </w:rPr>
            </w:pPr>
          </w:p>
        </w:tc>
      </w:tr>
      <w:tr w14:paraId="39ED02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474" w:type="dxa"/>
            <w:tcBorders>
              <w:left w:val="single" w:color="000000" w:sz="6" w:space="0"/>
            </w:tcBorders>
            <w:vAlign w:val="top"/>
          </w:tcPr>
          <w:p w14:paraId="21B719EE">
            <w:pPr>
              <w:pStyle w:val="18"/>
              <w:spacing w:before="209" w:line="265" w:lineRule="exact"/>
              <w:ind w:left="184"/>
              <w:rPr>
                <w:color w:val="auto"/>
                <w:highlight w:val="none"/>
              </w:rPr>
            </w:pPr>
            <w:r>
              <w:rPr>
                <w:color w:val="auto"/>
                <w:position w:val="1"/>
                <w:highlight w:val="none"/>
              </w:rPr>
              <w:t>3</w:t>
            </w:r>
          </w:p>
        </w:tc>
        <w:tc>
          <w:tcPr>
            <w:tcW w:w="1029" w:type="dxa"/>
            <w:vAlign w:val="top"/>
          </w:tcPr>
          <w:p w14:paraId="24C434F7">
            <w:pPr>
              <w:rPr>
                <w:rFonts w:ascii="Arial"/>
                <w:color w:val="auto"/>
                <w:sz w:val="21"/>
                <w:highlight w:val="none"/>
              </w:rPr>
            </w:pPr>
          </w:p>
        </w:tc>
        <w:tc>
          <w:tcPr>
            <w:tcW w:w="792" w:type="dxa"/>
            <w:vAlign w:val="top"/>
          </w:tcPr>
          <w:p w14:paraId="225A8CF1">
            <w:pPr>
              <w:rPr>
                <w:rFonts w:ascii="Arial"/>
                <w:color w:val="auto"/>
                <w:sz w:val="21"/>
                <w:highlight w:val="none"/>
              </w:rPr>
            </w:pPr>
          </w:p>
        </w:tc>
        <w:tc>
          <w:tcPr>
            <w:tcW w:w="696" w:type="dxa"/>
            <w:vAlign w:val="top"/>
          </w:tcPr>
          <w:p w14:paraId="13B6714E">
            <w:pPr>
              <w:rPr>
                <w:rFonts w:ascii="Arial"/>
                <w:color w:val="auto"/>
                <w:sz w:val="21"/>
                <w:highlight w:val="none"/>
              </w:rPr>
            </w:pPr>
          </w:p>
        </w:tc>
        <w:tc>
          <w:tcPr>
            <w:tcW w:w="1068" w:type="dxa"/>
            <w:vAlign w:val="top"/>
          </w:tcPr>
          <w:p w14:paraId="5C478C56">
            <w:pPr>
              <w:rPr>
                <w:rFonts w:ascii="Arial"/>
                <w:color w:val="auto"/>
                <w:sz w:val="21"/>
                <w:highlight w:val="none"/>
              </w:rPr>
            </w:pPr>
          </w:p>
        </w:tc>
        <w:tc>
          <w:tcPr>
            <w:tcW w:w="943" w:type="dxa"/>
            <w:gridSpan w:val="2"/>
            <w:vAlign w:val="top"/>
          </w:tcPr>
          <w:p w14:paraId="7BB409AE">
            <w:pPr>
              <w:rPr>
                <w:rFonts w:ascii="Arial"/>
                <w:color w:val="auto"/>
                <w:sz w:val="21"/>
                <w:highlight w:val="none"/>
              </w:rPr>
            </w:pPr>
          </w:p>
        </w:tc>
        <w:tc>
          <w:tcPr>
            <w:tcW w:w="935" w:type="dxa"/>
            <w:vAlign w:val="top"/>
          </w:tcPr>
          <w:p w14:paraId="7B3BAA5B">
            <w:pPr>
              <w:rPr>
                <w:rFonts w:ascii="Arial"/>
                <w:color w:val="auto"/>
                <w:sz w:val="21"/>
                <w:highlight w:val="none"/>
              </w:rPr>
            </w:pPr>
          </w:p>
        </w:tc>
        <w:tc>
          <w:tcPr>
            <w:tcW w:w="1230" w:type="dxa"/>
            <w:vAlign w:val="top"/>
          </w:tcPr>
          <w:p w14:paraId="42270748">
            <w:pPr>
              <w:rPr>
                <w:rFonts w:ascii="Arial"/>
                <w:color w:val="auto"/>
                <w:sz w:val="21"/>
                <w:highlight w:val="none"/>
              </w:rPr>
            </w:pPr>
          </w:p>
        </w:tc>
        <w:tc>
          <w:tcPr>
            <w:tcW w:w="1222" w:type="dxa"/>
            <w:vAlign w:val="top"/>
          </w:tcPr>
          <w:p w14:paraId="1B99BFC2">
            <w:pPr>
              <w:rPr>
                <w:rFonts w:ascii="Arial"/>
                <w:color w:val="auto"/>
                <w:sz w:val="21"/>
                <w:highlight w:val="none"/>
              </w:rPr>
            </w:pPr>
          </w:p>
        </w:tc>
        <w:tc>
          <w:tcPr>
            <w:tcW w:w="827" w:type="dxa"/>
            <w:vAlign w:val="top"/>
          </w:tcPr>
          <w:p w14:paraId="7520FD3D">
            <w:pPr>
              <w:rPr>
                <w:rFonts w:ascii="Arial"/>
                <w:color w:val="auto"/>
                <w:sz w:val="21"/>
                <w:highlight w:val="none"/>
              </w:rPr>
            </w:pPr>
          </w:p>
        </w:tc>
        <w:tc>
          <w:tcPr>
            <w:tcW w:w="682" w:type="dxa"/>
            <w:vAlign w:val="top"/>
          </w:tcPr>
          <w:p w14:paraId="57A1E639">
            <w:pPr>
              <w:rPr>
                <w:rFonts w:ascii="Arial"/>
                <w:color w:val="auto"/>
                <w:sz w:val="21"/>
                <w:highlight w:val="none"/>
              </w:rPr>
            </w:pPr>
          </w:p>
        </w:tc>
        <w:tc>
          <w:tcPr>
            <w:tcW w:w="1034" w:type="dxa"/>
            <w:vAlign w:val="top"/>
          </w:tcPr>
          <w:p w14:paraId="50C4CF52">
            <w:pPr>
              <w:rPr>
                <w:rFonts w:ascii="Arial"/>
                <w:color w:val="auto"/>
                <w:sz w:val="21"/>
                <w:highlight w:val="none"/>
              </w:rPr>
            </w:pPr>
          </w:p>
        </w:tc>
        <w:tc>
          <w:tcPr>
            <w:tcW w:w="1026" w:type="dxa"/>
            <w:vAlign w:val="top"/>
          </w:tcPr>
          <w:p w14:paraId="3D8D251E">
            <w:pPr>
              <w:rPr>
                <w:rFonts w:ascii="Arial"/>
                <w:color w:val="auto"/>
                <w:sz w:val="21"/>
                <w:highlight w:val="none"/>
              </w:rPr>
            </w:pPr>
          </w:p>
        </w:tc>
        <w:tc>
          <w:tcPr>
            <w:tcW w:w="1026" w:type="dxa"/>
            <w:vAlign w:val="top"/>
          </w:tcPr>
          <w:p w14:paraId="31BF16F8">
            <w:pPr>
              <w:rPr>
                <w:rFonts w:ascii="Arial"/>
                <w:color w:val="auto"/>
                <w:sz w:val="21"/>
                <w:highlight w:val="none"/>
              </w:rPr>
            </w:pPr>
          </w:p>
        </w:tc>
        <w:tc>
          <w:tcPr>
            <w:tcW w:w="1237" w:type="dxa"/>
            <w:tcBorders>
              <w:right w:val="single" w:color="000000" w:sz="6" w:space="0"/>
            </w:tcBorders>
            <w:vAlign w:val="top"/>
          </w:tcPr>
          <w:p w14:paraId="5087CD72">
            <w:pPr>
              <w:rPr>
                <w:rFonts w:ascii="Arial"/>
                <w:color w:val="auto"/>
                <w:sz w:val="21"/>
                <w:highlight w:val="none"/>
              </w:rPr>
            </w:pPr>
          </w:p>
        </w:tc>
      </w:tr>
      <w:tr w14:paraId="4F12D4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474" w:type="dxa"/>
            <w:tcBorders>
              <w:left w:val="single" w:color="000000" w:sz="6" w:space="0"/>
            </w:tcBorders>
            <w:vAlign w:val="top"/>
          </w:tcPr>
          <w:p w14:paraId="0DD1EBBD">
            <w:pPr>
              <w:pStyle w:val="18"/>
              <w:spacing w:before="209" w:line="265" w:lineRule="exact"/>
              <w:ind w:left="179"/>
              <w:rPr>
                <w:color w:val="auto"/>
                <w:highlight w:val="none"/>
              </w:rPr>
            </w:pPr>
            <w:r>
              <w:rPr>
                <w:color w:val="auto"/>
                <w:position w:val="1"/>
                <w:highlight w:val="none"/>
              </w:rPr>
              <w:t>4</w:t>
            </w:r>
          </w:p>
        </w:tc>
        <w:tc>
          <w:tcPr>
            <w:tcW w:w="1029" w:type="dxa"/>
            <w:vAlign w:val="top"/>
          </w:tcPr>
          <w:p w14:paraId="01B9FD1D">
            <w:pPr>
              <w:rPr>
                <w:rFonts w:ascii="Arial"/>
                <w:color w:val="auto"/>
                <w:sz w:val="21"/>
                <w:highlight w:val="none"/>
              </w:rPr>
            </w:pPr>
          </w:p>
        </w:tc>
        <w:tc>
          <w:tcPr>
            <w:tcW w:w="792" w:type="dxa"/>
            <w:vAlign w:val="top"/>
          </w:tcPr>
          <w:p w14:paraId="663A332A">
            <w:pPr>
              <w:rPr>
                <w:rFonts w:ascii="Arial"/>
                <w:color w:val="auto"/>
                <w:sz w:val="21"/>
                <w:highlight w:val="none"/>
              </w:rPr>
            </w:pPr>
          </w:p>
        </w:tc>
        <w:tc>
          <w:tcPr>
            <w:tcW w:w="696" w:type="dxa"/>
            <w:vAlign w:val="top"/>
          </w:tcPr>
          <w:p w14:paraId="21BFA1FE">
            <w:pPr>
              <w:rPr>
                <w:rFonts w:ascii="Arial"/>
                <w:color w:val="auto"/>
                <w:sz w:val="21"/>
                <w:highlight w:val="none"/>
              </w:rPr>
            </w:pPr>
          </w:p>
        </w:tc>
        <w:tc>
          <w:tcPr>
            <w:tcW w:w="1068" w:type="dxa"/>
            <w:vAlign w:val="top"/>
          </w:tcPr>
          <w:p w14:paraId="0D0A16C3">
            <w:pPr>
              <w:rPr>
                <w:rFonts w:ascii="Arial"/>
                <w:color w:val="auto"/>
                <w:sz w:val="21"/>
                <w:highlight w:val="none"/>
              </w:rPr>
            </w:pPr>
          </w:p>
        </w:tc>
        <w:tc>
          <w:tcPr>
            <w:tcW w:w="943" w:type="dxa"/>
            <w:gridSpan w:val="2"/>
            <w:vAlign w:val="top"/>
          </w:tcPr>
          <w:p w14:paraId="069C502B">
            <w:pPr>
              <w:rPr>
                <w:rFonts w:ascii="Arial"/>
                <w:color w:val="auto"/>
                <w:sz w:val="21"/>
                <w:highlight w:val="none"/>
              </w:rPr>
            </w:pPr>
          </w:p>
        </w:tc>
        <w:tc>
          <w:tcPr>
            <w:tcW w:w="935" w:type="dxa"/>
            <w:vAlign w:val="top"/>
          </w:tcPr>
          <w:p w14:paraId="05AACCA3">
            <w:pPr>
              <w:rPr>
                <w:rFonts w:ascii="Arial"/>
                <w:color w:val="auto"/>
                <w:sz w:val="21"/>
                <w:highlight w:val="none"/>
              </w:rPr>
            </w:pPr>
          </w:p>
        </w:tc>
        <w:tc>
          <w:tcPr>
            <w:tcW w:w="1230" w:type="dxa"/>
            <w:vAlign w:val="top"/>
          </w:tcPr>
          <w:p w14:paraId="3053DCB0">
            <w:pPr>
              <w:rPr>
                <w:rFonts w:ascii="Arial"/>
                <w:color w:val="auto"/>
                <w:sz w:val="21"/>
                <w:highlight w:val="none"/>
              </w:rPr>
            </w:pPr>
          </w:p>
        </w:tc>
        <w:tc>
          <w:tcPr>
            <w:tcW w:w="1222" w:type="dxa"/>
            <w:vAlign w:val="top"/>
          </w:tcPr>
          <w:p w14:paraId="56D5AE53">
            <w:pPr>
              <w:rPr>
                <w:rFonts w:ascii="Arial"/>
                <w:color w:val="auto"/>
                <w:sz w:val="21"/>
                <w:highlight w:val="none"/>
              </w:rPr>
            </w:pPr>
          </w:p>
        </w:tc>
        <w:tc>
          <w:tcPr>
            <w:tcW w:w="827" w:type="dxa"/>
            <w:vAlign w:val="top"/>
          </w:tcPr>
          <w:p w14:paraId="7DC399E5">
            <w:pPr>
              <w:rPr>
                <w:rFonts w:ascii="Arial"/>
                <w:color w:val="auto"/>
                <w:sz w:val="21"/>
                <w:highlight w:val="none"/>
              </w:rPr>
            </w:pPr>
          </w:p>
        </w:tc>
        <w:tc>
          <w:tcPr>
            <w:tcW w:w="682" w:type="dxa"/>
            <w:vAlign w:val="top"/>
          </w:tcPr>
          <w:p w14:paraId="18D4AB19">
            <w:pPr>
              <w:rPr>
                <w:rFonts w:ascii="Arial"/>
                <w:color w:val="auto"/>
                <w:sz w:val="21"/>
                <w:highlight w:val="none"/>
              </w:rPr>
            </w:pPr>
          </w:p>
        </w:tc>
        <w:tc>
          <w:tcPr>
            <w:tcW w:w="1034" w:type="dxa"/>
            <w:vAlign w:val="top"/>
          </w:tcPr>
          <w:p w14:paraId="531DD014">
            <w:pPr>
              <w:rPr>
                <w:rFonts w:ascii="Arial"/>
                <w:color w:val="auto"/>
                <w:sz w:val="21"/>
                <w:highlight w:val="none"/>
              </w:rPr>
            </w:pPr>
          </w:p>
        </w:tc>
        <w:tc>
          <w:tcPr>
            <w:tcW w:w="1026" w:type="dxa"/>
            <w:vAlign w:val="top"/>
          </w:tcPr>
          <w:p w14:paraId="77EDEDE9">
            <w:pPr>
              <w:rPr>
                <w:rFonts w:ascii="Arial"/>
                <w:color w:val="auto"/>
                <w:sz w:val="21"/>
                <w:highlight w:val="none"/>
              </w:rPr>
            </w:pPr>
          </w:p>
        </w:tc>
        <w:tc>
          <w:tcPr>
            <w:tcW w:w="1026" w:type="dxa"/>
            <w:vAlign w:val="top"/>
          </w:tcPr>
          <w:p w14:paraId="60A8A986">
            <w:pPr>
              <w:rPr>
                <w:rFonts w:ascii="Arial"/>
                <w:color w:val="auto"/>
                <w:sz w:val="21"/>
                <w:highlight w:val="none"/>
              </w:rPr>
            </w:pPr>
          </w:p>
        </w:tc>
        <w:tc>
          <w:tcPr>
            <w:tcW w:w="1237" w:type="dxa"/>
            <w:tcBorders>
              <w:right w:val="single" w:color="000000" w:sz="6" w:space="0"/>
            </w:tcBorders>
            <w:vAlign w:val="top"/>
          </w:tcPr>
          <w:p w14:paraId="793921F1">
            <w:pPr>
              <w:rPr>
                <w:rFonts w:ascii="Arial"/>
                <w:color w:val="auto"/>
                <w:sz w:val="21"/>
                <w:highlight w:val="none"/>
              </w:rPr>
            </w:pPr>
          </w:p>
        </w:tc>
      </w:tr>
      <w:tr w14:paraId="674661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474" w:type="dxa"/>
            <w:tcBorders>
              <w:left w:val="single" w:color="000000" w:sz="6" w:space="0"/>
            </w:tcBorders>
            <w:vAlign w:val="top"/>
          </w:tcPr>
          <w:p w14:paraId="49C6E0FE">
            <w:pPr>
              <w:pStyle w:val="18"/>
              <w:spacing w:before="210" w:line="264" w:lineRule="exact"/>
              <w:ind w:left="184"/>
              <w:rPr>
                <w:color w:val="auto"/>
                <w:highlight w:val="none"/>
              </w:rPr>
            </w:pPr>
            <w:r>
              <w:rPr>
                <w:color w:val="auto"/>
                <w:position w:val="1"/>
                <w:highlight w:val="none"/>
              </w:rPr>
              <w:t>5</w:t>
            </w:r>
          </w:p>
        </w:tc>
        <w:tc>
          <w:tcPr>
            <w:tcW w:w="1029" w:type="dxa"/>
            <w:vAlign w:val="top"/>
          </w:tcPr>
          <w:p w14:paraId="6EFC89C5">
            <w:pPr>
              <w:rPr>
                <w:rFonts w:ascii="Arial"/>
                <w:color w:val="auto"/>
                <w:sz w:val="21"/>
                <w:highlight w:val="none"/>
              </w:rPr>
            </w:pPr>
          </w:p>
        </w:tc>
        <w:tc>
          <w:tcPr>
            <w:tcW w:w="792" w:type="dxa"/>
            <w:vAlign w:val="top"/>
          </w:tcPr>
          <w:p w14:paraId="034B1074">
            <w:pPr>
              <w:rPr>
                <w:rFonts w:ascii="Arial"/>
                <w:color w:val="auto"/>
                <w:sz w:val="21"/>
                <w:highlight w:val="none"/>
              </w:rPr>
            </w:pPr>
          </w:p>
        </w:tc>
        <w:tc>
          <w:tcPr>
            <w:tcW w:w="696" w:type="dxa"/>
            <w:vAlign w:val="top"/>
          </w:tcPr>
          <w:p w14:paraId="29D09B37">
            <w:pPr>
              <w:rPr>
                <w:rFonts w:ascii="Arial"/>
                <w:color w:val="auto"/>
                <w:sz w:val="21"/>
                <w:highlight w:val="none"/>
              </w:rPr>
            </w:pPr>
          </w:p>
        </w:tc>
        <w:tc>
          <w:tcPr>
            <w:tcW w:w="1068" w:type="dxa"/>
            <w:vAlign w:val="top"/>
          </w:tcPr>
          <w:p w14:paraId="3895AF72">
            <w:pPr>
              <w:rPr>
                <w:rFonts w:ascii="Arial"/>
                <w:color w:val="auto"/>
                <w:sz w:val="21"/>
                <w:highlight w:val="none"/>
              </w:rPr>
            </w:pPr>
          </w:p>
        </w:tc>
        <w:tc>
          <w:tcPr>
            <w:tcW w:w="943" w:type="dxa"/>
            <w:gridSpan w:val="2"/>
            <w:vAlign w:val="top"/>
          </w:tcPr>
          <w:p w14:paraId="74A01AC2">
            <w:pPr>
              <w:rPr>
                <w:rFonts w:ascii="Arial"/>
                <w:color w:val="auto"/>
                <w:sz w:val="21"/>
                <w:highlight w:val="none"/>
              </w:rPr>
            </w:pPr>
          </w:p>
        </w:tc>
        <w:tc>
          <w:tcPr>
            <w:tcW w:w="935" w:type="dxa"/>
            <w:vAlign w:val="top"/>
          </w:tcPr>
          <w:p w14:paraId="0E533029">
            <w:pPr>
              <w:rPr>
                <w:rFonts w:ascii="Arial"/>
                <w:color w:val="auto"/>
                <w:sz w:val="21"/>
                <w:highlight w:val="none"/>
              </w:rPr>
            </w:pPr>
          </w:p>
        </w:tc>
        <w:tc>
          <w:tcPr>
            <w:tcW w:w="1230" w:type="dxa"/>
            <w:vAlign w:val="top"/>
          </w:tcPr>
          <w:p w14:paraId="64C131D4">
            <w:pPr>
              <w:rPr>
                <w:rFonts w:ascii="Arial"/>
                <w:color w:val="auto"/>
                <w:sz w:val="21"/>
                <w:highlight w:val="none"/>
              </w:rPr>
            </w:pPr>
          </w:p>
        </w:tc>
        <w:tc>
          <w:tcPr>
            <w:tcW w:w="1222" w:type="dxa"/>
            <w:vAlign w:val="top"/>
          </w:tcPr>
          <w:p w14:paraId="5937B798">
            <w:pPr>
              <w:rPr>
                <w:rFonts w:ascii="Arial"/>
                <w:color w:val="auto"/>
                <w:sz w:val="21"/>
                <w:highlight w:val="none"/>
              </w:rPr>
            </w:pPr>
          </w:p>
        </w:tc>
        <w:tc>
          <w:tcPr>
            <w:tcW w:w="827" w:type="dxa"/>
            <w:vAlign w:val="top"/>
          </w:tcPr>
          <w:p w14:paraId="12AFEF3F">
            <w:pPr>
              <w:rPr>
                <w:rFonts w:ascii="Arial"/>
                <w:color w:val="auto"/>
                <w:sz w:val="21"/>
                <w:highlight w:val="none"/>
              </w:rPr>
            </w:pPr>
          </w:p>
        </w:tc>
        <w:tc>
          <w:tcPr>
            <w:tcW w:w="682" w:type="dxa"/>
            <w:vAlign w:val="top"/>
          </w:tcPr>
          <w:p w14:paraId="6B77A448">
            <w:pPr>
              <w:rPr>
                <w:rFonts w:ascii="Arial"/>
                <w:color w:val="auto"/>
                <w:sz w:val="21"/>
                <w:highlight w:val="none"/>
              </w:rPr>
            </w:pPr>
          </w:p>
        </w:tc>
        <w:tc>
          <w:tcPr>
            <w:tcW w:w="1034" w:type="dxa"/>
            <w:vAlign w:val="top"/>
          </w:tcPr>
          <w:p w14:paraId="37634550">
            <w:pPr>
              <w:rPr>
                <w:rFonts w:ascii="Arial"/>
                <w:color w:val="auto"/>
                <w:sz w:val="21"/>
                <w:highlight w:val="none"/>
              </w:rPr>
            </w:pPr>
          </w:p>
        </w:tc>
        <w:tc>
          <w:tcPr>
            <w:tcW w:w="1026" w:type="dxa"/>
            <w:vAlign w:val="top"/>
          </w:tcPr>
          <w:p w14:paraId="2A16E41D">
            <w:pPr>
              <w:rPr>
                <w:rFonts w:ascii="Arial"/>
                <w:color w:val="auto"/>
                <w:sz w:val="21"/>
                <w:highlight w:val="none"/>
              </w:rPr>
            </w:pPr>
          </w:p>
        </w:tc>
        <w:tc>
          <w:tcPr>
            <w:tcW w:w="1026" w:type="dxa"/>
            <w:vAlign w:val="top"/>
          </w:tcPr>
          <w:p w14:paraId="406A79E6">
            <w:pPr>
              <w:rPr>
                <w:rFonts w:ascii="Arial"/>
                <w:color w:val="auto"/>
                <w:sz w:val="21"/>
                <w:highlight w:val="none"/>
              </w:rPr>
            </w:pPr>
          </w:p>
        </w:tc>
        <w:tc>
          <w:tcPr>
            <w:tcW w:w="1237" w:type="dxa"/>
            <w:tcBorders>
              <w:right w:val="single" w:color="000000" w:sz="6" w:space="0"/>
            </w:tcBorders>
            <w:vAlign w:val="top"/>
          </w:tcPr>
          <w:p w14:paraId="735342FD">
            <w:pPr>
              <w:rPr>
                <w:rFonts w:ascii="Arial"/>
                <w:color w:val="auto"/>
                <w:sz w:val="21"/>
                <w:highlight w:val="none"/>
              </w:rPr>
            </w:pPr>
          </w:p>
        </w:tc>
      </w:tr>
      <w:tr w14:paraId="1FAE39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474" w:type="dxa"/>
            <w:tcBorders>
              <w:left w:val="single" w:color="000000" w:sz="6" w:space="0"/>
            </w:tcBorders>
            <w:vAlign w:val="top"/>
          </w:tcPr>
          <w:p w14:paraId="3A6C507C">
            <w:pPr>
              <w:pStyle w:val="18"/>
              <w:spacing w:before="210" w:line="264" w:lineRule="exact"/>
              <w:ind w:left="182"/>
              <w:rPr>
                <w:color w:val="auto"/>
                <w:highlight w:val="none"/>
              </w:rPr>
            </w:pPr>
            <w:r>
              <w:rPr>
                <w:color w:val="auto"/>
                <w:position w:val="1"/>
                <w:highlight w:val="none"/>
              </w:rPr>
              <w:t>6</w:t>
            </w:r>
          </w:p>
        </w:tc>
        <w:tc>
          <w:tcPr>
            <w:tcW w:w="1029" w:type="dxa"/>
            <w:vAlign w:val="top"/>
          </w:tcPr>
          <w:p w14:paraId="0AADCB24">
            <w:pPr>
              <w:rPr>
                <w:rFonts w:ascii="Arial"/>
                <w:color w:val="auto"/>
                <w:sz w:val="21"/>
                <w:highlight w:val="none"/>
              </w:rPr>
            </w:pPr>
          </w:p>
        </w:tc>
        <w:tc>
          <w:tcPr>
            <w:tcW w:w="792" w:type="dxa"/>
            <w:vAlign w:val="top"/>
          </w:tcPr>
          <w:p w14:paraId="34EB7C87">
            <w:pPr>
              <w:rPr>
                <w:rFonts w:ascii="Arial"/>
                <w:color w:val="auto"/>
                <w:sz w:val="21"/>
                <w:highlight w:val="none"/>
              </w:rPr>
            </w:pPr>
          </w:p>
        </w:tc>
        <w:tc>
          <w:tcPr>
            <w:tcW w:w="696" w:type="dxa"/>
            <w:vAlign w:val="top"/>
          </w:tcPr>
          <w:p w14:paraId="3D277A00">
            <w:pPr>
              <w:rPr>
                <w:rFonts w:ascii="Arial"/>
                <w:color w:val="auto"/>
                <w:sz w:val="21"/>
                <w:highlight w:val="none"/>
              </w:rPr>
            </w:pPr>
          </w:p>
        </w:tc>
        <w:tc>
          <w:tcPr>
            <w:tcW w:w="1068" w:type="dxa"/>
            <w:vAlign w:val="top"/>
          </w:tcPr>
          <w:p w14:paraId="40F95D0D">
            <w:pPr>
              <w:rPr>
                <w:rFonts w:ascii="Arial"/>
                <w:color w:val="auto"/>
                <w:sz w:val="21"/>
                <w:highlight w:val="none"/>
              </w:rPr>
            </w:pPr>
          </w:p>
        </w:tc>
        <w:tc>
          <w:tcPr>
            <w:tcW w:w="943" w:type="dxa"/>
            <w:gridSpan w:val="2"/>
            <w:vAlign w:val="top"/>
          </w:tcPr>
          <w:p w14:paraId="0FC111E1">
            <w:pPr>
              <w:rPr>
                <w:rFonts w:ascii="Arial"/>
                <w:color w:val="auto"/>
                <w:sz w:val="21"/>
                <w:highlight w:val="none"/>
              </w:rPr>
            </w:pPr>
          </w:p>
        </w:tc>
        <w:tc>
          <w:tcPr>
            <w:tcW w:w="935" w:type="dxa"/>
            <w:vAlign w:val="top"/>
          </w:tcPr>
          <w:p w14:paraId="0AB2A91C">
            <w:pPr>
              <w:rPr>
                <w:rFonts w:ascii="Arial"/>
                <w:color w:val="auto"/>
                <w:sz w:val="21"/>
                <w:highlight w:val="none"/>
              </w:rPr>
            </w:pPr>
          </w:p>
        </w:tc>
        <w:tc>
          <w:tcPr>
            <w:tcW w:w="1230" w:type="dxa"/>
            <w:vAlign w:val="top"/>
          </w:tcPr>
          <w:p w14:paraId="586EF8A5">
            <w:pPr>
              <w:rPr>
                <w:rFonts w:ascii="Arial"/>
                <w:color w:val="auto"/>
                <w:sz w:val="21"/>
                <w:highlight w:val="none"/>
              </w:rPr>
            </w:pPr>
          </w:p>
        </w:tc>
        <w:tc>
          <w:tcPr>
            <w:tcW w:w="1222" w:type="dxa"/>
            <w:vAlign w:val="top"/>
          </w:tcPr>
          <w:p w14:paraId="3D244CD2">
            <w:pPr>
              <w:rPr>
                <w:rFonts w:ascii="Arial"/>
                <w:color w:val="auto"/>
                <w:sz w:val="21"/>
                <w:highlight w:val="none"/>
              </w:rPr>
            </w:pPr>
          </w:p>
        </w:tc>
        <w:tc>
          <w:tcPr>
            <w:tcW w:w="827" w:type="dxa"/>
            <w:vAlign w:val="top"/>
          </w:tcPr>
          <w:p w14:paraId="3B574BA0">
            <w:pPr>
              <w:rPr>
                <w:rFonts w:ascii="Arial"/>
                <w:color w:val="auto"/>
                <w:sz w:val="21"/>
                <w:highlight w:val="none"/>
              </w:rPr>
            </w:pPr>
          </w:p>
        </w:tc>
        <w:tc>
          <w:tcPr>
            <w:tcW w:w="682" w:type="dxa"/>
            <w:vAlign w:val="top"/>
          </w:tcPr>
          <w:p w14:paraId="321BB8F1">
            <w:pPr>
              <w:rPr>
                <w:rFonts w:ascii="Arial"/>
                <w:color w:val="auto"/>
                <w:sz w:val="21"/>
                <w:highlight w:val="none"/>
              </w:rPr>
            </w:pPr>
          </w:p>
        </w:tc>
        <w:tc>
          <w:tcPr>
            <w:tcW w:w="1034" w:type="dxa"/>
            <w:vAlign w:val="top"/>
          </w:tcPr>
          <w:p w14:paraId="5BE5B154">
            <w:pPr>
              <w:rPr>
                <w:rFonts w:ascii="Arial"/>
                <w:color w:val="auto"/>
                <w:sz w:val="21"/>
                <w:highlight w:val="none"/>
              </w:rPr>
            </w:pPr>
          </w:p>
        </w:tc>
        <w:tc>
          <w:tcPr>
            <w:tcW w:w="1026" w:type="dxa"/>
            <w:vAlign w:val="top"/>
          </w:tcPr>
          <w:p w14:paraId="1ED0E28D">
            <w:pPr>
              <w:rPr>
                <w:rFonts w:ascii="Arial"/>
                <w:color w:val="auto"/>
                <w:sz w:val="21"/>
                <w:highlight w:val="none"/>
              </w:rPr>
            </w:pPr>
          </w:p>
        </w:tc>
        <w:tc>
          <w:tcPr>
            <w:tcW w:w="1026" w:type="dxa"/>
            <w:vAlign w:val="top"/>
          </w:tcPr>
          <w:p w14:paraId="7F0741E7">
            <w:pPr>
              <w:rPr>
                <w:rFonts w:ascii="Arial"/>
                <w:color w:val="auto"/>
                <w:sz w:val="21"/>
                <w:highlight w:val="none"/>
              </w:rPr>
            </w:pPr>
          </w:p>
        </w:tc>
        <w:tc>
          <w:tcPr>
            <w:tcW w:w="1237" w:type="dxa"/>
            <w:tcBorders>
              <w:right w:val="single" w:color="000000" w:sz="6" w:space="0"/>
            </w:tcBorders>
            <w:vAlign w:val="top"/>
          </w:tcPr>
          <w:p w14:paraId="3BC8F491">
            <w:pPr>
              <w:rPr>
                <w:rFonts w:ascii="Arial"/>
                <w:color w:val="auto"/>
                <w:sz w:val="21"/>
                <w:highlight w:val="none"/>
              </w:rPr>
            </w:pPr>
          </w:p>
        </w:tc>
      </w:tr>
      <w:tr w14:paraId="0F5F80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474" w:type="dxa"/>
            <w:tcBorders>
              <w:left w:val="single" w:color="000000" w:sz="6" w:space="0"/>
            </w:tcBorders>
            <w:vAlign w:val="top"/>
          </w:tcPr>
          <w:p w14:paraId="19C52691">
            <w:pPr>
              <w:pStyle w:val="18"/>
              <w:spacing w:before="211" w:line="242" w:lineRule="auto"/>
              <w:ind w:left="141"/>
              <w:rPr>
                <w:color w:val="auto"/>
                <w:highlight w:val="none"/>
              </w:rPr>
            </w:pPr>
            <w:r>
              <w:rPr>
                <w:color w:val="auto"/>
                <w:highlight w:val="none"/>
              </w:rPr>
              <w:t>…</w:t>
            </w:r>
          </w:p>
        </w:tc>
        <w:tc>
          <w:tcPr>
            <w:tcW w:w="1029" w:type="dxa"/>
            <w:vAlign w:val="top"/>
          </w:tcPr>
          <w:p w14:paraId="4435ED64">
            <w:pPr>
              <w:rPr>
                <w:rFonts w:ascii="Arial"/>
                <w:color w:val="auto"/>
                <w:sz w:val="21"/>
                <w:highlight w:val="none"/>
              </w:rPr>
            </w:pPr>
          </w:p>
        </w:tc>
        <w:tc>
          <w:tcPr>
            <w:tcW w:w="792" w:type="dxa"/>
            <w:vAlign w:val="top"/>
          </w:tcPr>
          <w:p w14:paraId="443F0F54">
            <w:pPr>
              <w:rPr>
                <w:rFonts w:ascii="Arial"/>
                <w:color w:val="auto"/>
                <w:sz w:val="21"/>
                <w:highlight w:val="none"/>
              </w:rPr>
            </w:pPr>
          </w:p>
        </w:tc>
        <w:tc>
          <w:tcPr>
            <w:tcW w:w="696" w:type="dxa"/>
            <w:vAlign w:val="top"/>
          </w:tcPr>
          <w:p w14:paraId="3D1DCC8C">
            <w:pPr>
              <w:rPr>
                <w:rFonts w:ascii="Arial"/>
                <w:color w:val="auto"/>
                <w:sz w:val="21"/>
                <w:highlight w:val="none"/>
              </w:rPr>
            </w:pPr>
          </w:p>
        </w:tc>
        <w:tc>
          <w:tcPr>
            <w:tcW w:w="1068" w:type="dxa"/>
            <w:vAlign w:val="top"/>
          </w:tcPr>
          <w:p w14:paraId="206C9B1B">
            <w:pPr>
              <w:rPr>
                <w:rFonts w:ascii="Arial"/>
                <w:color w:val="auto"/>
                <w:sz w:val="21"/>
                <w:highlight w:val="none"/>
              </w:rPr>
            </w:pPr>
          </w:p>
        </w:tc>
        <w:tc>
          <w:tcPr>
            <w:tcW w:w="943" w:type="dxa"/>
            <w:gridSpan w:val="2"/>
            <w:vAlign w:val="top"/>
          </w:tcPr>
          <w:p w14:paraId="3B8C01FF">
            <w:pPr>
              <w:rPr>
                <w:rFonts w:ascii="Arial"/>
                <w:color w:val="auto"/>
                <w:sz w:val="21"/>
                <w:highlight w:val="none"/>
              </w:rPr>
            </w:pPr>
          </w:p>
        </w:tc>
        <w:tc>
          <w:tcPr>
            <w:tcW w:w="935" w:type="dxa"/>
            <w:vAlign w:val="top"/>
          </w:tcPr>
          <w:p w14:paraId="1A62659D">
            <w:pPr>
              <w:rPr>
                <w:rFonts w:ascii="Arial"/>
                <w:color w:val="auto"/>
                <w:sz w:val="21"/>
                <w:highlight w:val="none"/>
              </w:rPr>
            </w:pPr>
          </w:p>
        </w:tc>
        <w:tc>
          <w:tcPr>
            <w:tcW w:w="1230" w:type="dxa"/>
            <w:vAlign w:val="top"/>
          </w:tcPr>
          <w:p w14:paraId="15D3E1BB">
            <w:pPr>
              <w:rPr>
                <w:rFonts w:ascii="Arial"/>
                <w:color w:val="auto"/>
                <w:sz w:val="21"/>
                <w:highlight w:val="none"/>
              </w:rPr>
            </w:pPr>
          </w:p>
        </w:tc>
        <w:tc>
          <w:tcPr>
            <w:tcW w:w="1222" w:type="dxa"/>
            <w:vAlign w:val="top"/>
          </w:tcPr>
          <w:p w14:paraId="24133D9A">
            <w:pPr>
              <w:rPr>
                <w:rFonts w:ascii="Arial"/>
                <w:color w:val="auto"/>
                <w:sz w:val="21"/>
                <w:highlight w:val="none"/>
              </w:rPr>
            </w:pPr>
          </w:p>
        </w:tc>
        <w:tc>
          <w:tcPr>
            <w:tcW w:w="827" w:type="dxa"/>
            <w:vAlign w:val="top"/>
          </w:tcPr>
          <w:p w14:paraId="3E5FBCD3">
            <w:pPr>
              <w:rPr>
                <w:rFonts w:ascii="Arial"/>
                <w:color w:val="auto"/>
                <w:sz w:val="21"/>
                <w:highlight w:val="none"/>
              </w:rPr>
            </w:pPr>
          </w:p>
        </w:tc>
        <w:tc>
          <w:tcPr>
            <w:tcW w:w="682" w:type="dxa"/>
            <w:vAlign w:val="top"/>
          </w:tcPr>
          <w:p w14:paraId="477AF9D8">
            <w:pPr>
              <w:rPr>
                <w:rFonts w:ascii="Arial"/>
                <w:color w:val="auto"/>
                <w:sz w:val="21"/>
                <w:highlight w:val="none"/>
              </w:rPr>
            </w:pPr>
          </w:p>
        </w:tc>
        <w:tc>
          <w:tcPr>
            <w:tcW w:w="1034" w:type="dxa"/>
            <w:vAlign w:val="top"/>
          </w:tcPr>
          <w:p w14:paraId="777BD7FC">
            <w:pPr>
              <w:rPr>
                <w:rFonts w:ascii="Arial"/>
                <w:color w:val="auto"/>
                <w:sz w:val="21"/>
                <w:highlight w:val="none"/>
              </w:rPr>
            </w:pPr>
          </w:p>
        </w:tc>
        <w:tc>
          <w:tcPr>
            <w:tcW w:w="1026" w:type="dxa"/>
            <w:vAlign w:val="top"/>
          </w:tcPr>
          <w:p w14:paraId="318EF27C">
            <w:pPr>
              <w:rPr>
                <w:rFonts w:ascii="Arial"/>
                <w:color w:val="auto"/>
                <w:sz w:val="21"/>
                <w:highlight w:val="none"/>
              </w:rPr>
            </w:pPr>
          </w:p>
        </w:tc>
        <w:tc>
          <w:tcPr>
            <w:tcW w:w="1026" w:type="dxa"/>
            <w:vAlign w:val="top"/>
          </w:tcPr>
          <w:p w14:paraId="435B8F84">
            <w:pPr>
              <w:rPr>
                <w:rFonts w:ascii="Arial"/>
                <w:color w:val="auto"/>
                <w:sz w:val="21"/>
                <w:highlight w:val="none"/>
              </w:rPr>
            </w:pPr>
          </w:p>
        </w:tc>
        <w:tc>
          <w:tcPr>
            <w:tcW w:w="1237" w:type="dxa"/>
            <w:tcBorders>
              <w:right w:val="single" w:color="000000" w:sz="6" w:space="0"/>
            </w:tcBorders>
            <w:vAlign w:val="top"/>
          </w:tcPr>
          <w:p w14:paraId="1D47ED66">
            <w:pPr>
              <w:rPr>
                <w:rFonts w:ascii="Arial"/>
                <w:color w:val="auto"/>
                <w:sz w:val="21"/>
                <w:highlight w:val="none"/>
              </w:rPr>
            </w:pPr>
          </w:p>
        </w:tc>
      </w:tr>
      <w:tr w14:paraId="5E9FA8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474" w:type="dxa"/>
            <w:tcBorders>
              <w:left w:val="single" w:color="000000" w:sz="6" w:space="0"/>
              <w:bottom w:val="single" w:color="000000" w:sz="6" w:space="0"/>
              <w:right w:val="nil"/>
            </w:tcBorders>
            <w:vAlign w:val="top"/>
          </w:tcPr>
          <w:p w14:paraId="32B7A04B">
            <w:pPr>
              <w:rPr>
                <w:rFonts w:ascii="Arial"/>
                <w:color w:val="auto"/>
                <w:sz w:val="21"/>
                <w:highlight w:val="none"/>
              </w:rPr>
            </w:pPr>
          </w:p>
        </w:tc>
        <w:tc>
          <w:tcPr>
            <w:tcW w:w="3605" w:type="dxa"/>
            <w:gridSpan w:val="5"/>
            <w:tcBorders>
              <w:left w:val="nil"/>
              <w:bottom w:val="single" w:color="000000" w:sz="6" w:space="0"/>
            </w:tcBorders>
            <w:vAlign w:val="top"/>
          </w:tcPr>
          <w:p w14:paraId="203C76A6">
            <w:pPr>
              <w:pStyle w:val="18"/>
              <w:spacing w:before="214" w:line="228" w:lineRule="auto"/>
              <w:ind w:left="996"/>
              <w:rPr>
                <w:color w:val="auto"/>
                <w:highlight w:val="none"/>
              </w:rPr>
            </w:pPr>
            <w:r>
              <w:rPr>
                <w:color w:val="auto"/>
                <w:spacing w:val="-6"/>
                <w:highlight w:val="none"/>
              </w:rPr>
              <w:t>合</w:t>
            </w:r>
            <w:r>
              <w:rPr>
                <w:color w:val="auto"/>
                <w:spacing w:val="11"/>
                <w:highlight w:val="none"/>
              </w:rPr>
              <w:t xml:space="preserve">  </w:t>
            </w:r>
            <w:r>
              <w:rPr>
                <w:color w:val="auto"/>
                <w:spacing w:val="-6"/>
                <w:highlight w:val="none"/>
              </w:rPr>
              <w:t>计</w:t>
            </w:r>
            <w:r>
              <w:rPr>
                <w:color w:val="auto"/>
                <w:spacing w:val="51"/>
                <w:highlight w:val="none"/>
              </w:rPr>
              <w:t xml:space="preserve"> </w:t>
            </w:r>
            <w:r>
              <w:rPr>
                <w:color w:val="auto"/>
                <w:spacing w:val="-6"/>
                <w:highlight w:val="none"/>
              </w:rPr>
              <w:t>(元)</w:t>
            </w:r>
          </w:p>
        </w:tc>
        <w:tc>
          <w:tcPr>
            <w:tcW w:w="923" w:type="dxa"/>
            <w:tcBorders>
              <w:bottom w:val="single" w:color="000000" w:sz="6" w:space="0"/>
            </w:tcBorders>
            <w:vAlign w:val="top"/>
          </w:tcPr>
          <w:p w14:paraId="560B874E">
            <w:pPr>
              <w:rPr>
                <w:rFonts w:ascii="Arial"/>
                <w:color w:val="auto"/>
                <w:sz w:val="21"/>
                <w:highlight w:val="none"/>
              </w:rPr>
            </w:pPr>
          </w:p>
        </w:tc>
        <w:tc>
          <w:tcPr>
            <w:tcW w:w="935" w:type="dxa"/>
            <w:tcBorders>
              <w:bottom w:val="single" w:color="000000" w:sz="6" w:space="0"/>
            </w:tcBorders>
            <w:vAlign w:val="top"/>
          </w:tcPr>
          <w:p w14:paraId="0F65D2B2">
            <w:pPr>
              <w:rPr>
                <w:rFonts w:ascii="Arial"/>
                <w:color w:val="auto"/>
                <w:sz w:val="21"/>
                <w:highlight w:val="none"/>
              </w:rPr>
            </w:pPr>
          </w:p>
        </w:tc>
        <w:tc>
          <w:tcPr>
            <w:tcW w:w="1230" w:type="dxa"/>
            <w:tcBorders>
              <w:bottom w:val="single" w:color="000000" w:sz="6" w:space="0"/>
            </w:tcBorders>
            <w:vAlign w:val="top"/>
          </w:tcPr>
          <w:p w14:paraId="6DF9481D">
            <w:pPr>
              <w:rPr>
                <w:rFonts w:ascii="Arial"/>
                <w:color w:val="auto"/>
                <w:sz w:val="21"/>
                <w:highlight w:val="none"/>
              </w:rPr>
            </w:pPr>
          </w:p>
        </w:tc>
        <w:tc>
          <w:tcPr>
            <w:tcW w:w="3765" w:type="dxa"/>
            <w:gridSpan w:val="4"/>
            <w:tcBorders>
              <w:bottom w:val="single" w:color="000000" w:sz="6" w:space="0"/>
            </w:tcBorders>
            <w:vAlign w:val="top"/>
          </w:tcPr>
          <w:p w14:paraId="6968F968">
            <w:pPr>
              <w:pStyle w:val="18"/>
              <w:spacing w:before="214" w:line="228" w:lineRule="auto"/>
              <w:ind w:left="1313"/>
              <w:rPr>
                <w:color w:val="auto"/>
                <w:highlight w:val="none"/>
              </w:rPr>
            </w:pPr>
            <w:r>
              <w:rPr>
                <w:color w:val="auto"/>
                <w:spacing w:val="-6"/>
                <w:highlight w:val="none"/>
              </w:rPr>
              <w:t>合</w:t>
            </w:r>
            <w:r>
              <w:rPr>
                <w:color w:val="auto"/>
                <w:spacing w:val="11"/>
                <w:highlight w:val="none"/>
              </w:rPr>
              <w:t xml:space="preserve">  </w:t>
            </w:r>
            <w:r>
              <w:rPr>
                <w:color w:val="auto"/>
                <w:spacing w:val="-6"/>
                <w:highlight w:val="none"/>
              </w:rPr>
              <w:t>计</w:t>
            </w:r>
            <w:r>
              <w:rPr>
                <w:color w:val="auto"/>
                <w:spacing w:val="51"/>
                <w:highlight w:val="none"/>
              </w:rPr>
              <w:t xml:space="preserve"> </w:t>
            </w:r>
            <w:r>
              <w:rPr>
                <w:color w:val="auto"/>
                <w:spacing w:val="-6"/>
                <w:highlight w:val="none"/>
              </w:rPr>
              <w:t>(元)</w:t>
            </w:r>
          </w:p>
        </w:tc>
        <w:tc>
          <w:tcPr>
            <w:tcW w:w="1026" w:type="dxa"/>
            <w:tcBorders>
              <w:bottom w:val="single" w:color="000000" w:sz="6" w:space="0"/>
            </w:tcBorders>
            <w:vAlign w:val="top"/>
          </w:tcPr>
          <w:p w14:paraId="53E4FE6C">
            <w:pPr>
              <w:rPr>
                <w:rFonts w:ascii="Arial"/>
                <w:color w:val="auto"/>
                <w:sz w:val="21"/>
                <w:highlight w:val="none"/>
              </w:rPr>
            </w:pPr>
          </w:p>
        </w:tc>
        <w:tc>
          <w:tcPr>
            <w:tcW w:w="1026" w:type="dxa"/>
            <w:tcBorders>
              <w:bottom w:val="single" w:color="000000" w:sz="6" w:space="0"/>
            </w:tcBorders>
            <w:vAlign w:val="top"/>
          </w:tcPr>
          <w:p w14:paraId="5EE9EE88">
            <w:pPr>
              <w:rPr>
                <w:rFonts w:ascii="Arial"/>
                <w:color w:val="auto"/>
                <w:sz w:val="21"/>
                <w:highlight w:val="none"/>
              </w:rPr>
            </w:pPr>
          </w:p>
        </w:tc>
        <w:tc>
          <w:tcPr>
            <w:tcW w:w="1237" w:type="dxa"/>
            <w:tcBorders>
              <w:bottom w:val="single" w:color="000000" w:sz="6" w:space="0"/>
              <w:right w:val="single" w:color="000000" w:sz="6" w:space="0"/>
            </w:tcBorders>
            <w:vAlign w:val="top"/>
          </w:tcPr>
          <w:p w14:paraId="5942A704">
            <w:pPr>
              <w:rPr>
                <w:rFonts w:ascii="Arial"/>
                <w:color w:val="auto"/>
                <w:sz w:val="21"/>
                <w:highlight w:val="none"/>
              </w:rPr>
            </w:pPr>
          </w:p>
        </w:tc>
      </w:tr>
    </w:tbl>
    <w:p w14:paraId="72260E8D">
      <w:pPr>
        <w:rPr>
          <w:rFonts w:ascii="Arial"/>
          <w:color w:val="auto"/>
          <w:sz w:val="21"/>
          <w:highlight w:val="none"/>
        </w:rPr>
      </w:pPr>
    </w:p>
    <w:p w14:paraId="08A6ECBB">
      <w:pPr>
        <w:rPr>
          <w:rFonts w:ascii="Arial" w:hAnsi="Arial" w:eastAsia="Arial" w:cs="Arial"/>
          <w:color w:val="auto"/>
          <w:sz w:val="21"/>
          <w:szCs w:val="21"/>
          <w:highlight w:val="none"/>
        </w:rPr>
        <w:sectPr>
          <w:footerReference r:id="rId112" w:type="default"/>
          <w:pgSz w:w="16839" w:h="11906"/>
          <w:pgMar w:top="1012" w:right="1301" w:bottom="1297" w:left="1300" w:header="0" w:footer="1067" w:gutter="0"/>
          <w:pgNumType w:fmt="decimal"/>
          <w:cols w:space="720" w:num="1"/>
        </w:sectPr>
      </w:pPr>
    </w:p>
    <w:p w14:paraId="4BFEF402">
      <w:pPr>
        <w:spacing w:line="353" w:lineRule="auto"/>
        <w:rPr>
          <w:rFonts w:ascii="Arial"/>
          <w:color w:val="auto"/>
          <w:sz w:val="21"/>
          <w:highlight w:val="none"/>
        </w:rPr>
      </w:pPr>
    </w:p>
    <w:p w14:paraId="38A5658B">
      <w:pPr>
        <w:spacing w:before="91" w:line="212" w:lineRule="auto"/>
        <w:ind w:left="4913"/>
        <w:rPr>
          <w:rFonts w:ascii="宋体" w:hAnsi="宋体" w:eastAsia="宋体" w:cs="宋体"/>
          <w:color w:val="auto"/>
          <w:sz w:val="28"/>
          <w:szCs w:val="28"/>
          <w:highlight w:val="none"/>
        </w:rPr>
      </w:pPr>
      <w:r>
        <w:rPr>
          <w:rFonts w:ascii="宋体" w:hAnsi="宋体" w:eastAsia="宋体" w:cs="宋体"/>
          <w:b/>
          <w:bCs/>
          <w:color w:val="auto"/>
          <w:spacing w:val="-4"/>
          <w:sz w:val="28"/>
          <w:szCs w:val="28"/>
          <w:highlight w:val="none"/>
        </w:rPr>
        <w:t>表</w:t>
      </w:r>
      <w:r>
        <w:rPr>
          <w:rFonts w:ascii="宋体" w:hAnsi="宋体" w:eastAsia="宋体" w:cs="宋体"/>
          <w:color w:val="auto"/>
          <w:spacing w:val="-42"/>
          <w:sz w:val="28"/>
          <w:szCs w:val="28"/>
          <w:highlight w:val="none"/>
        </w:rPr>
        <w:t xml:space="preserve"> </w:t>
      </w:r>
      <w:r>
        <w:rPr>
          <w:rFonts w:ascii="宋体" w:hAnsi="宋体" w:eastAsia="宋体" w:cs="宋体"/>
          <w:b/>
          <w:bCs/>
          <w:color w:val="auto"/>
          <w:spacing w:val="-4"/>
          <w:sz w:val="28"/>
          <w:szCs w:val="28"/>
          <w:highlight w:val="none"/>
        </w:rPr>
        <w:t>6</w:t>
      </w:r>
      <w:r>
        <w:rPr>
          <w:rFonts w:ascii="宋体" w:hAnsi="宋体" w:eastAsia="宋体" w:cs="宋体"/>
          <w:color w:val="auto"/>
          <w:spacing w:val="-4"/>
          <w:sz w:val="28"/>
          <w:szCs w:val="28"/>
          <w:highlight w:val="none"/>
        </w:rPr>
        <w:t xml:space="preserve">  </w:t>
      </w:r>
      <w:r>
        <w:rPr>
          <w:rFonts w:ascii="宋体" w:hAnsi="宋体" w:eastAsia="宋体" w:cs="宋体"/>
          <w:b/>
          <w:bCs/>
          <w:color w:val="auto"/>
          <w:spacing w:val="-4"/>
          <w:sz w:val="28"/>
          <w:szCs w:val="28"/>
          <w:highlight w:val="none"/>
        </w:rPr>
        <w:t>监理工程师生活设施费报价表</w:t>
      </w:r>
    </w:p>
    <w:tbl>
      <w:tblPr>
        <w:tblStyle w:val="17"/>
        <w:tblW w:w="14221"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5"/>
        <w:gridCol w:w="1396"/>
        <w:gridCol w:w="753"/>
        <w:gridCol w:w="989"/>
        <w:gridCol w:w="966"/>
        <w:gridCol w:w="1009"/>
        <w:gridCol w:w="1497"/>
        <w:gridCol w:w="1491"/>
        <w:gridCol w:w="827"/>
        <w:gridCol w:w="1071"/>
        <w:gridCol w:w="1040"/>
        <w:gridCol w:w="1040"/>
        <w:gridCol w:w="1507"/>
      </w:tblGrid>
      <w:tr w14:paraId="17A714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trPr>
        <w:tc>
          <w:tcPr>
            <w:tcW w:w="635" w:type="dxa"/>
            <w:vMerge w:val="restart"/>
            <w:tcBorders>
              <w:top w:val="single" w:color="000000" w:sz="6" w:space="0"/>
              <w:left w:val="single" w:color="000000" w:sz="6" w:space="0"/>
              <w:bottom w:val="nil"/>
            </w:tcBorders>
            <w:textDirection w:val="tbRlV"/>
            <w:vAlign w:val="top"/>
          </w:tcPr>
          <w:p w14:paraId="55194AC4">
            <w:pPr>
              <w:pStyle w:val="18"/>
              <w:spacing w:before="214" w:line="218" w:lineRule="auto"/>
              <w:ind w:left="668"/>
              <w:rPr>
                <w:color w:val="auto"/>
                <w:highlight w:val="none"/>
              </w:rPr>
            </w:pPr>
            <w:r>
              <w:rPr>
                <w:color w:val="auto"/>
                <w:spacing w:val="8"/>
                <w:highlight w:val="none"/>
              </w:rPr>
              <w:t>序</w:t>
            </w:r>
            <w:r>
              <w:rPr>
                <w:color w:val="auto"/>
                <w:spacing w:val="90"/>
                <w:highlight w:val="none"/>
              </w:rPr>
              <w:t xml:space="preserve"> </w:t>
            </w:r>
            <w:r>
              <w:rPr>
                <w:color w:val="auto"/>
                <w:spacing w:val="8"/>
                <w:highlight w:val="none"/>
              </w:rPr>
              <w:t>号</w:t>
            </w:r>
          </w:p>
        </w:tc>
        <w:tc>
          <w:tcPr>
            <w:tcW w:w="6610" w:type="dxa"/>
            <w:gridSpan w:val="6"/>
            <w:tcBorders>
              <w:top w:val="single" w:color="000000" w:sz="6" w:space="0"/>
            </w:tcBorders>
            <w:vAlign w:val="top"/>
          </w:tcPr>
          <w:p w14:paraId="7ECC8095">
            <w:pPr>
              <w:pStyle w:val="18"/>
              <w:spacing w:before="194" w:line="228" w:lineRule="auto"/>
              <w:ind w:left="2991"/>
              <w:rPr>
                <w:color w:val="auto"/>
                <w:highlight w:val="none"/>
              </w:rPr>
            </w:pPr>
            <w:r>
              <w:rPr>
                <w:color w:val="auto"/>
                <w:spacing w:val="7"/>
                <w:highlight w:val="none"/>
              </w:rPr>
              <w:t>施工期</w:t>
            </w:r>
          </w:p>
        </w:tc>
        <w:tc>
          <w:tcPr>
            <w:tcW w:w="6976" w:type="dxa"/>
            <w:gridSpan w:val="6"/>
            <w:tcBorders>
              <w:top w:val="single" w:color="000000" w:sz="6" w:space="0"/>
              <w:right w:val="single" w:color="000000" w:sz="6" w:space="0"/>
            </w:tcBorders>
            <w:vAlign w:val="top"/>
          </w:tcPr>
          <w:p w14:paraId="37729B14">
            <w:pPr>
              <w:pStyle w:val="18"/>
              <w:spacing w:before="193" w:line="228" w:lineRule="auto"/>
              <w:ind w:left="2967"/>
              <w:rPr>
                <w:color w:val="auto"/>
                <w:highlight w:val="none"/>
              </w:rPr>
            </w:pPr>
            <w:r>
              <w:rPr>
                <w:color w:val="auto"/>
                <w:spacing w:val="8"/>
                <w:highlight w:val="none"/>
              </w:rPr>
              <w:t>缺陷责任期</w:t>
            </w:r>
          </w:p>
        </w:tc>
      </w:tr>
      <w:tr w14:paraId="7E9ED5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2" w:hRule="atLeast"/>
        </w:trPr>
        <w:tc>
          <w:tcPr>
            <w:tcW w:w="635" w:type="dxa"/>
            <w:vMerge w:val="continue"/>
            <w:tcBorders>
              <w:top w:val="nil"/>
              <w:left w:val="single" w:color="000000" w:sz="6" w:space="0"/>
            </w:tcBorders>
            <w:textDirection w:val="tbRlV"/>
            <w:vAlign w:val="top"/>
          </w:tcPr>
          <w:p w14:paraId="0FB40635">
            <w:pPr>
              <w:rPr>
                <w:rFonts w:ascii="Arial"/>
                <w:color w:val="auto"/>
                <w:sz w:val="21"/>
                <w:highlight w:val="none"/>
              </w:rPr>
            </w:pPr>
          </w:p>
        </w:tc>
        <w:tc>
          <w:tcPr>
            <w:tcW w:w="1396" w:type="dxa"/>
            <w:vAlign w:val="top"/>
          </w:tcPr>
          <w:p w14:paraId="2C15F592">
            <w:pPr>
              <w:spacing w:line="251" w:lineRule="auto"/>
              <w:rPr>
                <w:rFonts w:ascii="Arial"/>
                <w:color w:val="auto"/>
                <w:sz w:val="21"/>
                <w:highlight w:val="none"/>
              </w:rPr>
            </w:pPr>
          </w:p>
          <w:p w14:paraId="21A70E92">
            <w:pPr>
              <w:spacing w:line="251" w:lineRule="auto"/>
              <w:rPr>
                <w:rFonts w:ascii="Arial"/>
                <w:color w:val="auto"/>
                <w:sz w:val="21"/>
                <w:highlight w:val="none"/>
              </w:rPr>
            </w:pPr>
          </w:p>
          <w:p w14:paraId="5993CE2E">
            <w:pPr>
              <w:pStyle w:val="18"/>
              <w:spacing w:before="65" w:line="229" w:lineRule="auto"/>
              <w:ind w:left="174"/>
              <w:rPr>
                <w:color w:val="auto"/>
                <w:highlight w:val="none"/>
              </w:rPr>
            </w:pPr>
            <w:r>
              <w:rPr>
                <w:color w:val="auto"/>
                <w:spacing w:val="7"/>
                <w:highlight w:val="none"/>
              </w:rPr>
              <w:t>名称及型号</w:t>
            </w:r>
          </w:p>
        </w:tc>
        <w:tc>
          <w:tcPr>
            <w:tcW w:w="753" w:type="dxa"/>
            <w:vAlign w:val="top"/>
          </w:tcPr>
          <w:p w14:paraId="0985B980">
            <w:pPr>
              <w:spacing w:line="251" w:lineRule="auto"/>
              <w:rPr>
                <w:rFonts w:ascii="Arial"/>
                <w:color w:val="auto"/>
                <w:sz w:val="21"/>
                <w:highlight w:val="none"/>
              </w:rPr>
            </w:pPr>
          </w:p>
          <w:p w14:paraId="5FBDC945">
            <w:pPr>
              <w:spacing w:line="251" w:lineRule="auto"/>
              <w:rPr>
                <w:rFonts w:ascii="Arial"/>
                <w:color w:val="auto"/>
                <w:sz w:val="21"/>
                <w:highlight w:val="none"/>
              </w:rPr>
            </w:pPr>
          </w:p>
          <w:p w14:paraId="3BD7EA57">
            <w:pPr>
              <w:pStyle w:val="18"/>
              <w:spacing w:before="65" w:line="228" w:lineRule="auto"/>
              <w:ind w:left="167"/>
              <w:rPr>
                <w:color w:val="auto"/>
                <w:highlight w:val="none"/>
              </w:rPr>
            </w:pPr>
            <w:r>
              <w:rPr>
                <w:color w:val="auto"/>
                <w:spacing w:val="3"/>
                <w:highlight w:val="none"/>
              </w:rPr>
              <w:t>数量</w:t>
            </w:r>
          </w:p>
        </w:tc>
        <w:tc>
          <w:tcPr>
            <w:tcW w:w="989" w:type="dxa"/>
            <w:vAlign w:val="top"/>
          </w:tcPr>
          <w:p w14:paraId="78888C55">
            <w:pPr>
              <w:spacing w:line="304" w:lineRule="auto"/>
              <w:rPr>
                <w:rFonts w:ascii="Arial"/>
                <w:color w:val="auto"/>
                <w:sz w:val="21"/>
                <w:highlight w:val="none"/>
              </w:rPr>
            </w:pPr>
          </w:p>
          <w:p w14:paraId="50F92C13">
            <w:pPr>
              <w:pStyle w:val="18"/>
              <w:spacing w:before="65" w:line="371" w:lineRule="auto"/>
              <w:ind w:left="181" w:right="181" w:hanging="2"/>
              <w:rPr>
                <w:color w:val="auto"/>
                <w:highlight w:val="none"/>
              </w:rPr>
            </w:pPr>
            <w:r>
              <w:rPr>
                <w:color w:val="auto"/>
                <w:spacing w:val="7"/>
                <w:highlight w:val="none"/>
              </w:rPr>
              <w:t>购置合</w:t>
            </w:r>
            <w:r>
              <w:rPr>
                <w:color w:val="auto"/>
                <w:spacing w:val="5"/>
                <w:highlight w:val="none"/>
              </w:rPr>
              <w:t>价(元)</w:t>
            </w:r>
          </w:p>
        </w:tc>
        <w:tc>
          <w:tcPr>
            <w:tcW w:w="966" w:type="dxa"/>
            <w:vAlign w:val="top"/>
          </w:tcPr>
          <w:p w14:paraId="7A968CD6">
            <w:pPr>
              <w:spacing w:line="304" w:lineRule="auto"/>
              <w:rPr>
                <w:rFonts w:ascii="Arial"/>
                <w:color w:val="auto"/>
                <w:sz w:val="21"/>
                <w:highlight w:val="none"/>
              </w:rPr>
            </w:pPr>
          </w:p>
          <w:p w14:paraId="1BBDEFBD">
            <w:pPr>
              <w:pStyle w:val="18"/>
              <w:spacing w:before="65" w:line="372" w:lineRule="auto"/>
              <w:ind w:left="310" w:right="171" w:hanging="140"/>
              <w:rPr>
                <w:color w:val="auto"/>
                <w:highlight w:val="none"/>
              </w:rPr>
            </w:pPr>
            <w:r>
              <w:rPr>
                <w:color w:val="auto"/>
                <w:spacing w:val="6"/>
                <w:highlight w:val="none"/>
              </w:rPr>
              <w:t>折旧费</w:t>
            </w:r>
            <w:r>
              <w:rPr>
                <w:color w:val="auto"/>
                <w:spacing w:val="-9"/>
                <w:highlight w:val="none"/>
              </w:rPr>
              <w:t>(元)</w:t>
            </w:r>
          </w:p>
        </w:tc>
        <w:tc>
          <w:tcPr>
            <w:tcW w:w="1009" w:type="dxa"/>
            <w:vAlign w:val="top"/>
          </w:tcPr>
          <w:p w14:paraId="5F1BACDE">
            <w:pPr>
              <w:spacing w:line="304" w:lineRule="auto"/>
              <w:rPr>
                <w:rFonts w:ascii="Arial"/>
                <w:color w:val="auto"/>
                <w:sz w:val="21"/>
                <w:highlight w:val="none"/>
              </w:rPr>
            </w:pPr>
          </w:p>
          <w:p w14:paraId="0337491F">
            <w:pPr>
              <w:pStyle w:val="18"/>
              <w:spacing w:before="65" w:line="372" w:lineRule="auto"/>
              <w:ind w:left="333" w:right="191" w:hanging="141"/>
              <w:rPr>
                <w:color w:val="auto"/>
                <w:highlight w:val="none"/>
              </w:rPr>
            </w:pPr>
            <w:r>
              <w:rPr>
                <w:color w:val="auto"/>
                <w:spacing w:val="6"/>
                <w:highlight w:val="none"/>
              </w:rPr>
              <w:t>使用费</w:t>
            </w:r>
            <w:r>
              <w:rPr>
                <w:color w:val="auto"/>
                <w:spacing w:val="-9"/>
                <w:highlight w:val="none"/>
              </w:rPr>
              <w:t>(元)</w:t>
            </w:r>
          </w:p>
        </w:tc>
        <w:tc>
          <w:tcPr>
            <w:tcW w:w="1497" w:type="dxa"/>
            <w:vAlign w:val="top"/>
          </w:tcPr>
          <w:p w14:paraId="3EF0D87A">
            <w:pPr>
              <w:pStyle w:val="18"/>
              <w:spacing w:before="172" w:line="229" w:lineRule="auto"/>
              <w:ind w:left="443"/>
              <w:rPr>
                <w:color w:val="auto"/>
                <w:highlight w:val="none"/>
              </w:rPr>
            </w:pPr>
            <w:r>
              <w:rPr>
                <w:color w:val="auto"/>
                <w:spacing w:val="-2"/>
                <w:highlight w:val="none"/>
              </w:rPr>
              <w:t>小</w:t>
            </w:r>
            <w:r>
              <w:rPr>
                <w:color w:val="auto"/>
                <w:spacing w:val="9"/>
                <w:highlight w:val="none"/>
              </w:rPr>
              <w:t xml:space="preserve">  </w:t>
            </w:r>
            <w:r>
              <w:rPr>
                <w:color w:val="auto"/>
                <w:spacing w:val="-2"/>
                <w:highlight w:val="none"/>
              </w:rPr>
              <w:t>计</w:t>
            </w:r>
          </w:p>
          <w:p w14:paraId="5BA042B2">
            <w:pPr>
              <w:pStyle w:val="18"/>
              <w:spacing w:before="149" w:line="228" w:lineRule="auto"/>
              <w:ind w:left="125"/>
              <w:rPr>
                <w:color w:val="auto"/>
                <w:highlight w:val="none"/>
              </w:rPr>
            </w:pPr>
            <w:r>
              <w:rPr>
                <w:color w:val="auto"/>
                <w:spacing w:val="7"/>
                <w:highlight w:val="none"/>
              </w:rPr>
              <w:t>折旧及使用费</w:t>
            </w:r>
          </w:p>
          <w:p w14:paraId="0C72DC1C">
            <w:pPr>
              <w:pStyle w:val="18"/>
              <w:spacing w:before="153" w:line="213" w:lineRule="auto"/>
              <w:ind w:left="580"/>
              <w:rPr>
                <w:color w:val="auto"/>
                <w:highlight w:val="none"/>
              </w:rPr>
            </w:pPr>
            <w:r>
              <w:rPr>
                <w:color w:val="auto"/>
                <w:spacing w:val="-9"/>
                <w:highlight w:val="none"/>
              </w:rPr>
              <w:t>(元)</w:t>
            </w:r>
          </w:p>
        </w:tc>
        <w:tc>
          <w:tcPr>
            <w:tcW w:w="1491" w:type="dxa"/>
            <w:vAlign w:val="top"/>
          </w:tcPr>
          <w:p w14:paraId="3F81D9E5">
            <w:pPr>
              <w:spacing w:line="251" w:lineRule="auto"/>
              <w:rPr>
                <w:rFonts w:ascii="Arial"/>
                <w:color w:val="auto"/>
                <w:sz w:val="21"/>
                <w:highlight w:val="none"/>
              </w:rPr>
            </w:pPr>
          </w:p>
          <w:p w14:paraId="2A276A49">
            <w:pPr>
              <w:spacing w:line="251" w:lineRule="auto"/>
              <w:rPr>
                <w:rFonts w:ascii="Arial"/>
                <w:color w:val="auto"/>
                <w:sz w:val="21"/>
                <w:highlight w:val="none"/>
              </w:rPr>
            </w:pPr>
          </w:p>
          <w:p w14:paraId="0EACEF27">
            <w:pPr>
              <w:pStyle w:val="18"/>
              <w:spacing w:before="65" w:line="229" w:lineRule="auto"/>
              <w:ind w:left="229"/>
              <w:rPr>
                <w:color w:val="auto"/>
                <w:highlight w:val="none"/>
              </w:rPr>
            </w:pPr>
            <w:r>
              <w:rPr>
                <w:color w:val="auto"/>
                <w:spacing w:val="7"/>
                <w:highlight w:val="none"/>
              </w:rPr>
              <w:t>名称及型号</w:t>
            </w:r>
          </w:p>
        </w:tc>
        <w:tc>
          <w:tcPr>
            <w:tcW w:w="827" w:type="dxa"/>
            <w:vAlign w:val="top"/>
          </w:tcPr>
          <w:p w14:paraId="10C401FA">
            <w:pPr>
              <w:spacing w:line="251" w:lineRule="auto"/>
              <w:rPr>
                <w:rFonts w:ascii="Arial"/>
                <w:color w:val="auto"/>
                <w:sz w:val="21"/>
                <w:highlight w:val="none"/>
              </w:rPr>
            </w:pPr>
          </w:p>
          <w:p w14:paraId="08F1E07F">
            <w:pPr>
              <w:spacing w:line="251" w:lineRule="auto"/>
              <w:rPr>
                <w:rFonts w:ascii="Arial"/>
                <w:color w:val="auto"/>
                <w:sz w:val="21"/>
                <w:highlight w:val="none"/>
              </w:rPr>
            </w:pPr>
          </w:p>
          <w:p w14:paraId="5C72DF6A">
            <w:pPr>
              <w:pStyle w:val="18"/>
              <w:spacing w:before="65" w:line="228" w:lineRule="auto"/>
              <w:ind w:left="213"/>
              <w:rPr>
                <w:color w:val="auto"/>
                <w:highlight w:val="none"/>
              </w:rPr>
            </w:pPr>
            <w:r>
              <w:rPr>
                <w:color w:val="auto"/>
                <w:spacing w:val="3"/>
                <w:highlight w:val="none"/>
              </w:rPr>
              <w:t>数量</w:t>
            </w:r>
          </w:p>
        </w:tc>
        <w:tc>
          <w:tcPr>
            <w:tcW w:w="1071" w:type="dxa"/>
            <w:vAlign w:val="top"/>
          </w:tcPr>
          <w:p w14:paraId="277FB0D4">
            <w:pPr>
              <w:spacing w:line="304" w:lineRule="auto"/>
              <w:rPr>
                <w:rFonts w:ascii="Arial"/>
                <w:color w:val="auto"/>
                <w:sz w:val="21"/>
                <w:highlight w:val="none"/>
              </w:rPr>
            </w:pPr>
          </w:p>
          <w:p w14:paraId="4E15877C">
            <w:pPr>
              <w:pStyle w:val="18"/>
              <w:spacing w:before="65" w:line="372" w:lineRule="auto"/>
              <w:ind w:left="371" w:right="112" w:hanging="249"/>
              <w:rPr>
                <w:color w:val="auto"/>
                <w:highlight w:val="none"/>
              </w:rPr>
            </w:pPr>
            <w:r>
              <w:rPr>
                <w:color w:val="auto"/>
                <w:spacing w:val="7"/>
                <w:highlight w:val="none"/>
              </w:rPr>
              <w:t>购置合价</w:t>
            </w:r>
            <w:r>
              <w:rPr>
                <w:color w:val="auto"/>
                <w:spacing w:val="-9"/>
                <w:highlight w:val="none"/>
              </w:rPr>
              <w:t>(元)</w:t>
            </w:r>
          </w:p>
        </w:tc>
        <w:tc>
          <w:tcPr>
            <w:tcW w:w="1040" w:type="dxa"/>
            <w:vAlign w:val="top"/>
          </w:tcPr>
          <w:p w14:paraId="574A7DEB">
            <w:pPr>
              <w:spacing w:line="304" w:lineRule="auto"/>
              <w:rPr>
                <w:rFonts w:ascii="Arial"/>
                <w:color w:val="auto"/>
                <w:sz w:val="21"/>
                <w:highlight w:val="none"/>
              </w:rPr>
            </w:pPr>
          </w:p>
          <w:p w14:paraId="786DA710">
            <w:pPr>
              <w:pStyle w:val="18"/>
              <w:spacing w:before="65" w:line="372" w:lineRule="auto"/>
              <w:ind w:left="356" w:right="199" w:hanging="140"/>
              <w:rPr>
                <w:color w:val="auto"/>
                <w:highlight w:val="none"/>
              </w:rPr>
            </w:pPr>
            <w:r>
              <w:rPr>
                <w:color w:val="auto"/>
                <w:spacing w:val="6"/>
                <w:highlight w:val="none"/>
              </w:rPr>
              <w:t>折旧费</w:t>
            </w:r>
            <w:r>
              <w:rPr>
                <w:color w:val="auto"/>
                <w:spacing w:val="-9"/>
                <w:highlight w:val="none"/>
              </w:rPr>
              <w:t>(元)</w:t>
            </w:r>
          </w:p>
        </w:tc>
        <w:tc>
          <w:tcPr>
            <w:tcW w:w="1040" w:type="dxa"/>
            <w:vAlign w:val="top"/>
          </w:tcPr>
          <w:p w14:paraId="71008685">
            <w:pPr>
              <w:spacing w:line="304" w:lineRule="auto"/>
              <w:rPr>
                <w:rFonts w:ascii="Arial"/>
                <w:color w:val="auto"/>
                <w:sz w:val="21"/>
                <w:highlight w:val="none"/>
              </w:rPr>
            </w:pPr>
          </w:p>
          <w:p w14:paraId="396F07C7">
            <w:pPr>
              <w:pStyle w:val="18"/>
              <w:spacing w:before="65" w:line="372" w:lineRule="auto"/>
              <w:ind w:left="356" w:right="197" w:hanging="139"/>
              <w:rPr>
                <w:color w:val="auto"/>
                <w:highlight w:val="none"/>
              </w:rPr>
            </w:pPr>
            <w:r>
              <w:rPr>
                <w:color w:val="auto"/>
                <w:spacing w:val="6"/>
                <w:highlight w:val="none"/>
              </w:rPr>
              <w:t>使用费</w:t>
            </w:r>
            <w:r>
              <w:rPr>
                <w:color w:val="auto"/>
                <w:spacing w:val="-8"/>
                <w:highlight w:val="none"/>
              </w:rPr>
              <w:t>(元)</w:t>
            </w:r>
          </w:p>
        </w:tc>
        <w:tc>
          <w:tcPr>
            <w:tcW w:w="1507" w:type="dxa"/>
            <w:tcBorders>
              <w:right w:val="single" w:color="000000" w:sz="6" w:space="0"/>
            </w:tcBorders>
            <w:vAlign w:val="top"/>
          </w:tcPr>
          <w:p w14:paraId="5FC2C905">
            <w:pPr>
              <w:pStyle w:val="18"/>
              <w:spacing w:before="172" w:line="229" w:lineRule="auto"/>
              <w:ind w:left="451"/>
              <w:rPr>
                <w:color w:val="auto"/>
                <w:highlight w:val="none"/>
              </w:rPr>
            </w:pPr>
            <w:r>
              <w:rPr>
                <w:color w:val="auto"/>
                <w:spacing w:val="-2"/>
                <w:highlight w:val="none"/>
              </w:rPr>
              <w:t>小</w:t>
            </w:r>
            <w:r>
              <w:rPr>
                <w:color w:val="auto"/>
                <w:spacing w:val="9"/>
                <w:highlight w:val="none"/>
              </w:rPr>
              <w:t xml:space="preserve">  </w:t>
            </w:r>
            <w:r>
              <w:rPr>
                <w:color w:val="auto"/>
                <w:spacing w:val="-2"/>
                <w:highlight w:val="none"/>
              </w:rPr>
              <w:t>计</w:t>
            </w:r>
          </w:p>
          <w:p w14:paraId="5F52228A">
            <w:pPr>
              <w:pStyle w:val="18"/>
              <w:spacing w:before="149" w:line="228" w:lineRule="auto"/>
              <w:ind w:left="133"/>
              <w:rPr>
                <w:color w:val="auto"/>
                <w:highlight w:val="none"/>
              </w:rPr>
            </w:pPr>
            <w:r>
              <w:rPr>
                <w:color w:val="auto"/>
                <w:spacing w:val="7"/>
                <w:highlight w:val="none"/>
              </w:rPr>
              <w:t>折旧及使用费</w:t>
            </w:r>
          </w:p>
          <w:p w14:paraId="355EBA93">
            <w:pPr>
              <w:pStyle w:val="18"/>
              <w:spacing w:before="153" w:line="213" w:lineRule="auto"/>
              <w:ind w:left="588"/>
              <w:rPr>
                <w:color w:val="auto"/>
                <w:highlight w:val="none"/>
              </w:rPr>
            </w:pPr>
            <w:r>
              <w:rPr>
                <w:color w:val="auto"/>
                <w:spacing w:val="-9"/>
                <w:highlight w:val="none"/>
              </w:rPr>
              <w:t>(元)</w:t>
            </w:r>
          </w:p>
        </w:tc>
      </w:tr>
      <w:tr w14:paraId="558FDB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6" w:hRule="atLeast"/>
        </w:trPr>
        <w:tc>
          <w:tcPr>
            <w:tcW w:w="635" w:type="dxa"/>
            <w:tcBorders>
              <w:left w:val="single" w:color="000000" w:sz="6" w:space="0"/>
            </w:tcBorders>
            <w:vAlign w:val="top"/>
          </w:tcPr>
          <w:p w14:paraId="47373EDC">
            <w:pPr>
              <w:pStyle w:val="18"/>
              <w:spacing w:before="195"/>
              <w:ind w:left="277"/>
              <w:rPr>
                <w:color w:val="auto"/>
                <w:highlight w:val="none"/>
              </w:rPr>
            </w:pPr>
            <w:r>
              <w:rPr>
                <w:color w:val="auto"/>
                <w:highlight w:val="none"/>
              </w:rPr>
              <w:t>1</w:t>
            </w:r>
          </w:p>
        </w:tc>
        <w:tc>
          <w:tcPr>
            <w:tcW w:w="1396" w:type="dxa"/>
            <w:vAlign w:val="top"/>
          </w:tcPr>
          <w:p w14:paraId="7353DB65">
            <w:pPr>
              <w:rPr>
                <w:rFonts w:ascii="Arial"/>
                <w:color w:val="auto"/>
                <w:sz w:val="21"/>
                <w:highlight w:val="none"/>
              </w:rPr>
            </w:pPr>
          </w:p>
        </w:tc>
        <w:tc>
          <w:tcPr>
            <w:tcW w:w="753" w:type="dxa"/>
            <w:vAlign w:val="top"/>
          </w:tcPr>
          <w:p w14:paraId="579DA2E8">
            <w:pPr>
              <w:rPr>
                <w:rFonts w:ascii="Arial"/>
                <w:color w:val="auto"/>
                <w:sz w:val="21"/>
                <w:highlight w:val="none"/>
              </w:rPr>
            </w:pPr>
          </w:p>
        </w:tc>
        <w:tc>
          <w:tcPr>
            <w:tcW w:w="989" w:type="dxa"/>
            <w:vAlign w:val="top"/>
          </w:tcPr>
          <w:p w14:paraId="7455596F">
            <w:pPr>
              <w:rPr>
                <w:rFonts w:ascii="Arial"/>
                <w:color w:val="auto"/>
                <w:sz w:val="21"/>
                <w:highlight w:val="none"/>
              </w:rPr>
            </w:pPr>
          </w:p>
        </w:tc>
        <w:tc>
          <w:tcPr>
            <w:tcW w:w="966" w:type="dxa"/>
            <w:vAlign w:val="top"/>
          </w:tcPr>
          <w:p w14:paraId="5B6541BF">
            <w:pPr>
              <w:rPr>
                <w:rFonts w:ascii="Arial"/>
                <w:color w:val="auto"/>
                <w:sz w:val="21"/>
                <w:highlight w:val="none"/>
              </w:rPr>
            </w:pPr>
          </w:p>
        </w:tc>
        <w:tc>
          <w:tcPr>
            <w:tcW w:w="1009" w:type="dxa"/>
            <w:vAlign w:val="top"/>
          </w:tcPr>
          <w:p w14:paraId="557D797B">
            <w:pPr>
              <w:rPr>
                <w:rFonts w:ascii="Arial"/>
                <w:color w:val="auto"/>
                <w:sz w:val="21"/>
                <w:highlight w:val="none"/>
              </w:rPr>
            </w:pPr>
          </w:p>
        </w:tc>
        <w:tc>
          <w:tcPr>
            <w:tcW w:w="1497" w:type="dxa"/>
            <w:vAlign w:val="top"/>
          </w:tcPr>
          <w:p w14:paraId="6DA6287C">
            <w:pPr>
              <w:rPr>
                <w:rFonts w:ascii="Arial"/>
                <w:color w:val="auto"/>
                <w:sz w:val="21"/>
                <w:highlight w:val="none"/>
              </w:rPr>
            </w:pPr>
          </w:p>
        </w:tc>
        <w:tc>
          <w:tcPr>
            <w:tcW w:w="1491" w:type="dxa"/>
            <w:vAlign w:val="top"/>
          </w:tcPr>
          <w:p w14:paraId="45CAD0DE">
            <w:pPr>
              <w:rPr>
                <w:rFonts w:ascii="Arial"/>
                <w:color w:val="auto"/>
                <w:sz w:val="21"/>
                <w:highlight w:val="none"/>
              </w:rPr>
            </w:pPr>
          </w:p>
        </w:tc>
        <w:tc>
          <w:tcPr>
            <w:tcW w:w="827" w:type="dxa"/>
            <w:vAlign w:val="top"/>
          </w:tcPr>
          <w:p w14:paraId="7AEA4531">
            <w:pPr>
              <w:rPr>
                <w:rFonts w:ascii="Arial"/>
                <w:color w:val="auto"/>
                <w:sz w:val="21"/>
                <w:highlight w:val="none"/>
              </w:rPr>
            </w:pPr>
          </w:p>
        </w:tc>
        <w:tc>
          <w:tcPr>
            <w:tcW w:w="1071" w:type="dxa"/>
            <w:vAlign w:val="top"/>
          </w:tcPr>
          <w:p w14:paraId="28867FAD">
            <w:pPr>
              <w:rPr>
                <w:rFonts w:ascii="Arial"/>
                <w:color w:val="auto"/>
                <w:sz w:val="21"/>
                <w:highlight w:val="none"/>
              </w:rPr>
            </w:pPr>
          </w:p>
        </w:tc>
        <w:tc>
          <w:tcPr>
            <w:tcW w:w="1040" w:type="dxa"/>
            <w:vAlign w:val="top"/>
          </w:tcPr>
          <w:p w14:paraId="0780C600">
            <w:pPr>
              <w:rPr>
                <w:rFonts w:ascii="Arial"/>
                <w:color w:val="auto"/>
                <w:sz w:val="21"/>
                <w:highlight w:val="none"/>
              </w:rPr>
            </w:pPr>
          </w:p>
        </w:tc>
        <w:tc>
          <w:tcPr>
            <w:tcW w:w="1040" w:type="dxa"/>
            <w:vAlign w:val="top"/>
          </w:tcPr>
          <w:p w14:paraId="474D6BE1">
            <w:pPr>
              <w:rPr>
                <w:rFonts w:ascii="Arial"/>
                <w:color w:val="auto"/>
                <w:sz w:val="21"/>
                <w:highlight w:val="none"/>
              </w:rPr>
            </w:pPr>
          </w:p>
        </w:tc>
        <w:tc>
          <w:tcPr>
            <w:tcW w:w="1507" w:type="dxa"/>
            <w:tcBorders>
              <w:right w:val="single" w:color="000000" w:sz="6" w:space="0"/>
            </w:tcBorders>
            <w:vAlign w:val="top"/>
          </w:tcPr>
          <w:p w14:paraId="4EE7A71F">
            <w:pPr>
              <w:rPr>
                <w:rFonts w:ascii="Arial"/>
                <w:color w:val="auto"/>
                <w:sz w:val="21"/>
                <w:highlight w:val="none"/>
              </w:rPr>
            </w:pPr>
          </w:p>
        </w:tc>
      </w:tr>
      <w:tr w14:paraId="6A6003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6" w:hRule="atLeast"/>
        </w:trPr>
        <w:tc>
          <w:tcPr>
            <w:tcW w:w="635" w:type="dxa"/>
            <w:tcBorders>
              <w:left w:val="single" w:color="000000" w:sz="6" w:space="0"/>
            </w:tcBorders>
            <w:vAlign w:val="top"/>
          </w:tcPr>
          <w:p w14:paraId="53D45BBB">
            <w:pPr>
              <w:pStyle w:val="18"/>
              <w:spacing w:before="195"/>
              <w:ind w:left="264"/>
              <w:rPr>
                <w:color w:val="auto"/>
                <w:highlight w:val="none"/>
              </w:rPr>
            </w:pPr>
            <w:r>
              <w:rPr>
                <w:color w:val="auto"/>
                <w:highlight w:val="none"/>
              </w:rPr>
              <w:t>2</w:t>
            </w:r>
          </w:p>
        </w:tc>
        <w:tc>
          <w:tcPr>
            <w:tcW w:w="1396" w:type="dxa"/>
            <w:vAlign w:val="top"/>
          </w:tcPr>
          <w:p w14:paraId="7388B357">
            <w:pPr>
              <w:rPr>
                <w:rFonts w:ascii="Arial"/>
                <w:color w:val="auto"/>
                <w:sz w:val="21"/>
                <w:highlight w:val="none"/>
              </w:rPr>
            </w:pPr>
          </w:p>
        </w:tc>
        <w:tc>
          <w:tcPr>
            <w:tcW w:w="753" w:type="dxa"/>
            <w:vAlign w:val="top"/>
          </w:tcPr>
          <w:p w14:paraId="49CCA11B">
            <w:pPr>
              <w:rPr>
                <w:rFonts w:ascii="Arial"/>
                <w:color w:val="auto"/>
                <w:sz w:val="21"/>
                <w:highlight w:val="none"/>
              </w:rPr>
            </w:pPr>
          </w:p>
        </w:tc>
        <w:tc>
          <w:tcPr>
            <w:tcW w:w="989" w:type="dxa"/>
            <w:vAlign w:val="top"/>
          </w:tcPr>
          <w:p w14:paraId="55591063">
            <w:pPr>
              <w:rPr>
                <w:rFonts w:ascii="Arial"/>
                <w:color w:val="auto"/>
                <w:sz w:val="21"/>
                <w:highlight w:val="none"/>
              </w:rPr>
            </w:pPr>
          </w:p>
        </w:tc>
        <w:tc>
          <w:tcPr>
            <w:tcW w:w="966" w:type="dxa"/>
            <w:vAlign w:val="top"/>
          </w:tcPr>
          <w:p w14:paraId="264D0C76">
            <w:pPr>
              <w:rPr>
                <w:rFonts w:ascii="Arial"/>
                <w:color w:val="auto"/>
                <w:sz w:val="21"/>
                <w:highlight w:val="none"/>
              </w:rPr>
            </w:pPr>
          </w:p>
        </w:tc>
        <w:tc>
          <w:tcPr>
            <w:tcW w:w="1009" w:type="dxa"/>
            <w:vAlign w:val="top"/>
          </w:tcPr>
          <w:p w14:paraId="2FDA8288">
            <w:pPr>
              <w:rPr>
                <w:rFonts w:ascii="Arial"/>
                <w:color w:val="auto"/>
                <w:sz w:val="21"/>
                <w:highlight w:val="none"/>
              </w:rPr>
            </w:pPr>
          </w:p>
        </w:tc>
        <w:tc>
          <w:tcPr>
            <w:tcW w:w="1497" w:type="dxa"/>
            <w:vAlign w:val="top"/>
          </w:tcPr>
          <w:p w14:paraId="1A892443">
            <w:pPr>
              <w:rPr>
                <w:rFonts w:ascii="Arial"/>
                <w:color w:val="auto"/>
                <w:sz w:val="21"/>
                <w:highlight w:val="none"/>
              </w:rPr>
            </w:pPr>
          </w:p>
        </w:tc>
        <w:tc>
          <w:tcPr>
            <w:tcW w:w="1491" w:type="dxa"/>
            <w:vAlign w:val="top"/>
          </w:tcPr>
          <w:p w14:paraId="50DA80E2">
            <w:pPr>
              <w:rPr>
                <w:rFonts w:ascii="Arial"/>
                <w:color w:val="auto"/>
                <w:sz w:val="21"/>
                <w:highlight w:val="none"/>
              </w:rPr>
            </w:pPr>
          </w:p>
        </w:tc>
        <w:tc>
          <w:tcPr>
            <w:tcW w:w="827" w:type="dxa"/>
            <w:vAlign w:val="top"/>
          </w:tcPr>
          <w:p w14:paraId="7441E3F6">
            <w:pPr>
              <w:rPr>
                <w:rFonts w:ascii="Arial"/>
                <w:color w:val="auto"/>
                <w:sz w:val="21"/>
                <w:highlight w:val="none"/>
              </w:rPr>
            </w:pPr>
          </w:p>
        </w:tc>
        <w:tc>
          <w:tcPr>
            <w:tcW w:w="1071" w:type="dxa"/>
            <w:vAlign w:val="top"/>
          </w:tcPr>
          <w:p w14:paraId="250246C7">
            <w:pPr>
              <w:rPr>
                <w:rFonts w:ascii="Arial"/>
                <w:color w:val="auto"/>
                <w:sz w:val="21"/>
                <w:highlight w:val="none"/>
              </w:rPr>
            </w:pPr>
          </w:p>
        </w:tc>
        <w:tc>
          <w:tcPr>
            <w:tcW w:w="1040" w:type="dxa"/>
            <w:vAlign w:val="top"/>
          </w:tcPr>
          <w:p w14:paraId="34FE3151">
            <w:pPr>
              <w:rPr>
                <w:rFonts w:ascii="Arial"/>
                <w:color w:val="auto"/>
                <w:sz w:val="21"/>
                <w:highlight w:val="none"/>
              </w:rPr>
            </w:pPr>
          </w:p>
        </w:tc>
        <w:tc>
          <w:tcPr>
            <w:tcW w:w="1040" w:type="dxa"/>
            <w:vAlign w:val="top"/>
          </w:tcPr>
          <w:p w14:paraId="0EF38A87">
            <w:pPr>
              <w:rPr>
                <w:rFonts w:ascii="Arial"/>
                <w:color w:val="auto"/>
                <w:sz w:val="21"/>
                <w:highlight w:val="none"/>
              </w:rPr>
            </w:pPr>
          </w:p>
        </w:tc>
        <w:tc>
          <w:tcPr>
            <w:tcW w:w="1507" w:type="dxa"/>
            <w:tcBorders>
              <w:right w:val="single" w:color="000000" w:sz="6" w:space="0"/>
            </w:tcBorders>
            <w:vAlign w:val="top"/>
          </w:tcPr>
          <w:p w14:paraId="5BCE020D">
            <w:pPr>
              <w:rPr>
                <w:rFonts w:ascii="Arial"/>
                <w:color w:val="auto"/>
                <w:sz w:val="21"/>
                <w:highlight w:val="none"/>
              </w:rPr>
            </w:pPr>
          </w:p>
        </w:tc>
      </w:tr>
      <w:tr w14:paraId="3FA5C2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6" w:hRule="atLeast"/>
        </w:trPr>
        <w:tc>
          <w:tcPr>
            <w:tcW w:w="635" w:type="dxa"/>
            <w:tcBorders>
              <w:left w:val="single" w:color="000000" w:sz="6" w:space="0"/>
            </w:tcBorders>
            <w:vAlign w:val="top"/>
          </w:tcPr>
          <w:p w14:paraId="2EBC5F05">
            <w:pPr>
              <w:pStyle w:val="18"/>
              <w:spacing w:before="197" w:line="239" w:lineRule="auto"/>
              <w:ind w:left="266"/>
              <w:rPr>
                <w:color w:val="auto"/>
                <w:highlight w:val="none"/>
              </w:rPr>
            </w:pPr>
            <w:r>
              <w:rPr>
                <w:color w:val="auto"/>
                <w:highlight w:val="none"/>
              </w:rPr>
              <w:t>3</w:t>
            </w:r>
          </w:p>
        </w:tc>
        <w:tc>
          <w:tcPr>
            <w:tcW w:w="1396" w:type="dxa"/>
            <w:vAlign w:val="top"/>
          </w:tcPr>
          <w:p w14:paraId="1E206A97">
            <w:pPr>
              <w:rPr>
                <w:rFonts w:ascii="Arial"/>
                <w:color w:val="auto"/>
                <w:sz w:val="21"/>
                <w:highlight w:val="none"/>
              </w:rPr>
            </w:pPr>
          </w:p>
        </w:tc>
        <w:tc>
          <w:tcPr>
            <w:tcW w:w="753" w:type="dxa"/>
            <w:vAlign w:val="top"/>
          </w:tcPr>
          <w:p w14:paraId="741A9FEF">
            <w:pPr>
              <w:rPr>
                <w:rFonts w:ascii="Arial"/>
                <w:color w:val="auto"/>
                <w:sz w:val="21"/>
                <w:highlight w:val="none"/>
              </w:rPr>
            </w:pPr>
          </w:p>
        </w:tc>
        <w:tc>
          <w:tcPr>
            <w:tcW w:w="989" w:type="dxa"/>
            <w:vAlign w:val="top"/>
          </w:tcPr>
          <w:p w14:paraId="4D009809">
            <w:pPr>
              <w:rPr>
                <w:rFonts w:ascii="Arial"/>
                <w:color w:val="auto"/>
                <w:sz w:val="21"/>
                <w:highlight w:val="none"/>
              </w:rPr>
            </w:pPr>
          </w:p>
        </w:tc>
        <w:tc>
          <w:tcPr>
            <w:tcW w:w="966" w:type="dxa"/>
            <w:vAlign w:val="top"/>
          </w:tcPr>
          <w:p w14:paraId="707AC6EB">
            <w:pPr>
              <w:rPr>
                <w:rFonts w:ascii="Arial"/>
                <w:color w:val="auto"/>
                <w:sz w:val="21"/>
                <w:highlight w:val="none"/>
              </w:rPr>
            </w:pPr>
          </w:p>
        </w:tc>
        <w:tc>
          <w:tcPr>
            <w:tcW w:w="1009" w:type="dxa"/>
            <w:vAlign w:val="top"/>
          </w:tcPr>
          <w:p w14:paraId="6224EE63">
            <w:pPr>
              <w:rPr>
                <w:rFonts w:ascii="Arial"/>
                <w:color w:val="auto"/>
                <w:sz w:val="21"/>
                <w:highlight w:val="none"/>
              </w:rPr>
            </w:pPr>
          </w:p>
        </w:tc>
        <w:tc>
          <w:tcPr>
            <w:tcW w:w="1497" w:type="dxa"/>
            <w:vAlign w:val="top"/>
          </w:tcPr>
          <w:p w14:paraId="7DF6B999">
            <w:pPr>
              <w:rPr>
                <w:rFonts w:ascii="Arial"/>
                <w:color w:val="auto"/>
                <w:sz w:val="21"/>
                <w:highlight w:val="none"/>
              </w:rPr>
            </w:pPr>
          </w:p>
        </w:tc>
        <w:tc>
          <w:tcPr>
            <w:tcW w:w="1491" w:type="dxa"/>
            <w:vAlign w:val="top"/>
          </w:tcPr>
          <w:p w14:paraId="7AC21494">
            <w:pPr>
              <w:rPr>
                <w:rFonts w:ascii="Arial"/>
                <w:color w:val="auto"/>
                <w:sz w:val="21"/>
                <w:highlight w:val="none"/>
              </w:rPr>
            </w:pPr>
          </w:p>
        </w:tc>
        <w:tc>
          <w:tcPr>
            <w:tcW w:w="827" w:type="dxa"/>
            <w:vAlign w:val="top"/>
          </w:tcPr>
          <w:p w14:paraId="7F7AC73E">
            <w:pPr>
              <w:rPr>
                <w:rFonts w:ascii="Arial"/>
                <w:color w:val="auto"/>
                <w:sz w:val="21"/>
                <w:highlight w:val="none"/>
              </w:rPr>
            </w:pPr>
          </w:p>
        </w:tc>
        <w:tc>
          <w:tcPr>
            <w:tcW w:w="1071" w:type="dxa"/>
            <w:vAlign w:val="top"/>
          </w:tcPr>
          <w:p w14:paraId="060E1E56">
            <w:pPr>
              <w:rPr>
                <w:rFonts w:ascii="Arial"/>
                <w:color w:val="auto"/>
                <w:sz w:val="21"/>
                <w:highlight w:val="none"/>
              </w:rPr>
            </w:pPr>
          </w:p>
        </w:tc>
        <w:tc>
          <w:tcPr>
            <w:tcW w:w="1040" w:type="dxa"/>
            <w:vAlign w:val="top"/>
          </w:tcPr>
          <w:p w14:paraId="01C6315B">
            <w:pPr>
              <w:rPr>
                <w:rFonts w:ascii="Arial"/>
                <w:color w:val="auto"/>
                <w:sz w:val="21"/>
                <w:highlight w:val="none"/>
              </w:rPr>
            </w:pPr>
          </w:p>
        </w:tc>
        <w:tc>
          <w:tcPr>
            <w:tcW w:w="1040" w:type="dxa"/>
            <w:vAlign w:val="top"/>
          </w:tcPr>
          <w:p w14:paraId="509D492F">
            <w:pPr>
              <w:rPr>
                <w:rFonts w:ascii="Arial"/>
                <w:color w:val="auto"/>
                <w:sz w:val="21"/>
                <w:highlight w:val="none"/>
              </w:rPr>
            </w:pPr>
          </w:p>
        </w:tc>
        <w:tc>
          <w:tcPr>
            <w:tcW w:w="1507" w:type="dxa"/>
            <w:tcBorders>
              <w:right w:val="single" w:color="000000" w:sz="6" w:space="0"/>
            </w:tcBorders>
            <w:vAlign w:val="top"/>
          </w:tcPr>
          <w:p w14:paraId="2389EA70">
            <w:pPr>
              <w:rPr>
                <w:rFonts w:ascii="Arial"/>
                <w:color w:val="auto"/>
                <w:sz w:val="21"/>
                <w:highlight w:val="none"/>
              </w:rPr>
            </w:pPr>
          </w:p>
        </w:tc>
      </w:tr>
      <w:tr w14:paraId="766B29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6" w:hRule="atLeast"/>
        </w:trPr>
        <w:tc>
          <w:tcPr>
            <w:tcW w:w="635" w:type="dxa"/>
            <w:tcBorders>
              <w:left w:val="single" w:color="000000" w:sz="6" w:space="0"/>
            </w:tcBorders>
            <w:vAlign w:val="top"/>
          </w:tcPr>
          <w:p w14:paraId="212E83D8">
            <w:pPr>
              <w:pStyle w:val="18"/>
              <w:spacing w:before="199" w:line="237" w:lineRule="auto"/>
              <w:ind w:left="261"/>
              <w:rPr>
                <w:color w:val="auto"/>
                <w:highlight w:val="none"/>
              </w:rPr>
            </w:pPr>
            <w:r>
              <w:rPr>
                <w:color w:val="auto"/>
                <w:highlight w:val="none"/>
              </w:rPr>
              <w:t>4</w:t>
            </w:r>
          </w:p>
        </w:tc>
        <w:tc>
          <w:tcPr>
            <w:tcW w:w="1396" w:type="dxa"/>
            <w:vAlign w:val="top"/>
          </w:tcPr>
          <w:p w14:paraId="24D9AECA">
            <w:pPr>
              <w:rPr>
                <w:rFonts w:ascii="Arial"/>
                <w:color w:val="auto"/>
                <w:sz w:val="21"/>
                <w:highlight w:val="none"/>
              </w:rPr>
            </w:pPr>
          </w:p>
        </w:tc>
        <w:tc>
          <w:tcPr>
            <w:tcW w:w="753" w:type="dxa"/>
            <w:vAlign w:val="top"/>
          </w:tcPr>
          <w:p w14:paraId="578CA8BD">
            <w:pPr>
              <w:rPr>
                <w:rFonts w:ascii="Arial"/>
                <w:color w:val="auto"/>
                <w:sz w:val="21"/>
                <w:highlight w:val="none"/>
              </w:rPr>
            </w:pPr>
          </w:p>
        </w:tc>
        <w:tc>
          <w:tcPr>
            <w:tcW w:w="989" w:type="dxa"/>
            <w:vAlign w:val="top"/>
          </w:tcPr>
          <w:p w14:paraId="211077CE">
            <w:pPr>
              <w:rPr>
                <w:rFonts w:ascii="Arial"/>
                <w:color w:val="auto"/>
                <w:sz w:val="21"/>
                <w:highlight w:val="none"/>
              </w:rPr>
            </w:pPr>
          </w:p>
        </w:tc>
        <w:tc>
          <w:tcPr>
            <w:tcW w:w="966" w:type="dxa"/>
            <w:vAlign w:val="top"/>
          </w:tcPr>
          <w:p w14:paraId="4121B483">
            <w:pPr>
              <w:rPr>
                <w:rFonts w:ascii="Arial"/>
                <w:color w:val="auto"/>
                <w:sz w:val="21"/>
                <w:highlight w:val="none"/>
              </w:rPr>
            </w:pPr>
          </w:p>
        </w:tc>
        <w:tc>
          <w:tcPr>
            <w:tcW w:w="1009" w:type="dxa"/>
            <w:vAlign w:val="top"/>
          </w:tcPr>
          <w:p w14:paraId="36DA7955">
            <w:pPr>
              <w:rPr>
                <w:rFonts w:ascii="Arial"/>
                <w:color w:val="auto"/>
                <w:sz w:val="21"/>
                <w:highlight w:val="none"/>
              </w:rPr>
            </w:pPr>
          </w:p>
        </w:tc>
        <w:tc>
          <w:tcPr>
            <w:tcW w:w="1497" w:type="dxa"/>
            <w:vAlign w:val="top"/>
          </w:tcPr>
          <w:p w14:paraId="2C793F9D">
            <w:pPr>
              <w:rPr>
                <w:rFonts w:ascii="Arial"/>
                <w:color w:val="auto"/>
                <w:sz w:val="21"/>
                <w:highlight w:val="none"/>
              </w:rPr>
            </w:pPr>
          </w:p>
        </w:tc>
        <w:tc>
          <w:tcPr>
            <w:tcW w:w="1491" w:type="dxa"/>
            <w:vAlign w:val="top"/>
          </w:tcPr>
          <w:p w14:paraId="3712E91D">
            <w:pPr>
              <w:rPr>
                <w:rFonts w:ascii="Arial"/>
                <w:color w:val="auto"/>
                <w:sz w:val="21"/>
                <w:highlight w:val="none"/>
              </w:rPr>
            </w:pPr>
          </w:p>
        </w:tc>
        <w:tc>
          <w:tcPr>
            <w:tcW w:w="827" w:type="dxa"/>
            <w:vAlign w:val="top"/>
          </w:tcPr>
          <w:p w14:paraId="38396D4B">
            <w:pPr>
              <w:rPr>
                <w:rFonts w:ascii="Arial"/>
                <w:color w:val="auto"/>
                <w:sz w:val="21"/>
                <w:highlight w:val="none"/>
              </w:rPr>
            </w:pPr>
          </w:p>
        </w:tc>
        <w:tc>
          <w:tcPr>
            <w:tcW w:w="1071" w:type="dxa"/>
            <w:vAlign w:val="top"/>
          </w:tcPr>
          <w:p w14:paraId="178DC5C7">
            <w:pPr>
              <w:rPr>
                <w:rFonts w:ascii="Arial"/>
                <w:color w:val="auto"/>
                <w:sz w:val="21"/>
                <w:highlight w:val="none"/>
              </w:rPr>
            </w:pPr>
          </w:p>
        </w:tc>
        <w:tc>
          <w:tcPr>
            <w:tcW w:w="1040" w:type="dxa"/>
            <w:vAlign w:val="top"/>
          </w:tcPr>
          <w:p w14:paraId="36CE5981">
            <w:pPr>
              <w:rPr>
                <w:rFonts w:ascii="Arial"/>
                <w:color w:val="auto"/>
                <w:sz w:val="21"/>
                <w:highlight w:val="none"/>
              </w:rPr>
            </w:pPr>
          </w:p>
        </w:tc>
        <w:tc>
          <w:tcPr>
            <w:tcW w:w="1040" w:type="dxa"/>
            <w:vAlign w:val="top"/>
          </w:tcPr>
          <w:p w14:paraId="6F8A9BF5">
            <w:pPr>
              <w:rPr>
                <w:rFonts w:ascii="Arial"/>
                <w:color w:val="auto"/>
                <w:sz w:val="21"/>
                <w:highlight w:val="none"/>
              </w:rPr>
            </w:pPr>
          </w:p>
        </w:tc>
        <w:tc>
          <w:tcPr>
            <w:tcW w:w="1507" w:type="dxa"/>
            <w:tcBorders>
              <w:right w:val="single" w:color="000000" w:sz="6" w:space="0"/>
            </w:tcBorders>
            <w:vAlign w:val="top"/>
          </w:tcPr>
          <w:p w14:paraId="7AD6D069">
            <w:pPr>
              <w:rPr>
                <w:rFonts w:ascii="Arial"/>
                <w:color w:val="auto"/>
                <w:sz w:val="21"/>
                <w:highlight w:val="none"/>
              </w:rPr>
            </w:pPr>
          </w:p>
        </w:tc>
      </w:tr>
      <w:tr w14:paraId="62B6D4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trPr>
        <w:tc>
          <w:tcPr>
            <w:tcW w:w="635" w:type="dxa"/>
            <w:tcBorders>
              <w:left w:val="single" w:color="000000" w:sz="6" w:space="0"/>
            </w:tcBorders>
            <w:vAlign w:val="top"/>
          </w:tcPr>
          <w:p w14:paraId="7B0E034B">
            <w:pPr>
              <w:pStyle w:val="18"/>
              <w:spacing w:before="199" w:line="238" w:lineRule="auto"/>
              <w:ind w:left="266"/>
              <w:rPr>
                <w:color w:val="auto"/>
                <w:highlight w:val="none"/>
              </w:rPr>
            </w:pPr>
            <w:r>
              <w:rPr>
                <w:color w:val="auto"/>
                <w:highlight w:val="none"/>
              </w:rPr>
              <w:t>5</w:t>
            </w:r>
          </w:p>
        </w:tc>
        <w:tc>
          <w:tcPr>
            <w:tcW w:w="1396" w:type="dxa"/>
            <w:vAlign w:val="top"/>
          </w:tcPr>
          <w:p w14:paraId="4BD1188A">
            <w:pPr>
              <w:rPr>
                <w:rFonts w:ascii="Arial"/>
                <w:color w:val="auto"/>
                <w:sz w:val="21"/>
                <w:highlight w:val="none"/>
              </w:rPr>
            </w:pPr>
          </w:p>
        </w:tc>
        <w:tc>
          <w:tcPr>
            <w:tcW w:w="753" w:type="dxa"/>
            <w:vAlign w:val="top"/>
          </w:tcPr>
          <w:p w14:paraId="6736E195">
            <w:pPr>
              <w:rPr>
                <w:rFonts w:ascii="Arial"/>
                <w:color w:val="auto"/>
                <w:sz w:val="21"/>
                <w:highlight w:val="none"/>
              </w:rPr>
            </w:pPr>
          </w:p>
        </w:tc>
        <w:tc>
          <w:tcPr>
            <w:tcW w:w="989" w:type="dxa"/>
            <w:vAlign w:val="top"/>
          </w:tcPr>
          <w:p w14:paraId="740DB125">
            <w:pPr>
              <w:rPr>
                <w:rFonts w:ascii="Arial"/>
                <w:color w:val="auto"/>
                <w:sz w:val="21"/>
                <w:highlight w:val="none"/>
              </w:rPr>
            </w:pPr>
          </w:p>
        </w:tc>
        <w:tc>
          <w:tcPr>
            <w:tcW w:w="966" w:type="dxa"/>
            <w:vAlign w:val="top"/>
          </w:tcPr>
          <w:p w14:paraId="54BF9D26">
            <w:pPr>
              <w:rPr>
                <w:rFonts w:ascii="Arial"/>
                <w:color w:val="auto"/>
                <w:sz w:val="21"/>
                <w:highlight w:val="none"/>
              </w:rPr>
            </w:pPr>
          </w:p>
        </w:tc>
        <w:tc>
          <w:tcPr>
            <w:tcW w:w="1009" w:type="dxa"/>
            <w:vAlign w:val="top"/>
          </w:tcPr>
          <w:p w14:paraId="24D0AFEE">
            <w:pPr>
              <w:rPr>
                <w:rFonts w:ascii="Arial"/>
                <w:color w:val="auto"/>
                <w:sz w:val="21"/>
                <w:highlight w:val="none"/>
              </w:rPr>
            </w:pPr>
          </w:p>
        </w:tc>
        <w:tc>
          <w:tcPr>
            <w:tcW w:w="1497" w:type="dxa"/>
            <w:vAlign w:val="top"/>
          </w:tcPr>
          <w:p w14:paraId="16FC4C18">
            <w:pPr>
              <w:rPr>
                <w:rFonts w:ascii="Arial"/>
                <w:color w:val="auto"/>
                <w:sz w:val="21"/>
                <w:highlight w:val="none"/>
              </w:rPr>
            </w:pPr>
          </w:p>
        </w:tc>
        <w:tc>
          <w:tcPr>
            <w:tcW w:w="1491" w:type="dxa"/>
            <w:vAlign w:val="top"/>
          </w:tcPr>
          <w:p w14:paraId="2098EF0A">
            <w:pPr>
              <w:rPr>
                <w:rFonts w:ascii="Arial"/>
                <w:color w:val="auto"/>
                <w:sz w:val="21"/>
                <w:highlight w:val="none"/>
              </w:rPr>
            </w:pPr>
          </w:p>
        </w:tc>
        <w:tc>
          <w:tcPr>
            <w:tcW w:w="827" w:type="dxa"/>
            <w:vAlign w:val="top"/>
          </w:tcPr>
          <w:p w14:paraId="03142B35">
            <w:pPr>
              <w:rPr>
                <w:rFonts w:ascii="Arial"/>
                <w:color w:val="auto"/>
                <w:sz w:val="21"/>
                <w:highlight w:val="none"/>
              </w:rPr>
            </w:pPr>
          </w:p>
        </w:tc>
        <w:tc>
          <w:tcPr>
            <w:tcW w:w="1071" w:type="dxa"/>
            <w:vAlign w:val="top"/>
          </w:tcPr>
          <w:p w14:paraId="62FF2045">
            <w:pPr>
              <w:rPr>
                <w:rFonts w:ascii="Arial"/>
                <w:color w:val="auto"/>
                <w:sz w:val="21"/>
                <w:highlight w:val="none"/>
              </w:rPr>
            </w:pPr>
          </w:p>
        </w:tc>
        <w:tc>
          <w:tcPr>
            <w:tcW w:w="1040" w:type="dxa"/>
            <w:vAlign w:val="top"/>
          </w:tcPr>
          <w:p w14:paraId="78858563">
            <w:pPr>
              <w:rPr>
                <w:rFonts w:ascii="Arial"/>
                <w:color w:val="auto"/>
                <w:sz w:val="21"/>
                <w:highlight w:val="none"/>
              </w:rPr>
            </w:pPr>
          </w:p>
        </w:tc>
        <w:tc>
          <w:tcPr>
            <w:tcW w:w="1040" w:type="dxa"/>
            <w:vAlign w:val="top"/>
          </w:tcPr>
          <w:p w14:paraId="5CB6D6C2">
            <w:pPr>
              <w:rPr>
                <w:rFonts w:ascii="Arial"/>
                <w:color w:val="auto"/>
                <w:sz w:val="21"/>
                <w:highlight w:val="none"/>
              </w:rPr>
            </w:pPr>
          </w:p>
        </w:tc>
        <w:tc>
          <w:tcPr>
            <w:tcW w:w="1507" w:type="dxa"/>
            <w:tcBorders>
              <w:right w:val="single" w:color="000000" w:sz="6" w:space="0"/>
            </w:tcBorders>
            <w:vAlign w:val="top"/>
          </w:tcPr>
          <w:p w14:paraId="3B9711B7">
            <w:pPr>
              <w:rPr>
                <w:rFonts w:ascii="Arial"/>
                <w:color w:val="auto"/>
                <w:sz w:val="21"/>
                <w:highlight w:val="none"/>
              </w:rPr>
            </w:pPr>
          </w:p>
        </w:tc>
      </w:tr>
      <w:tr w14:paraId="07635F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6" w:hRule="atLeast"/>
        </w:trPr>
        <w:tc>
          <w:tcPr>
            <w:tcW w:w="635" w:type="dxa"/>
            <w:tcBorders>
              <w:left w:val="single" w:color="000000" w:sz="6" w:space="0"/>
            </w:tcBorders>
            <w:vAlign w:val="top"/>
          </w:tcPr>
          <w:p w14:paraId="1D49488B">
            <w:pPr>
              <w:pStyle w:val="18"/>
              <w:spacing w:before="199" w:line="237" w:lineRule="auto"/>
              <w:ind w:left="264"/>
              <w:rPr>
                <w:color w:val="auto"/>
                <w:highlight w:val="none"/>
              </w:rPr>
            </w:pPr>
            <w:r>
              <w:rPr>
                <w:color w:val="auto"/>
                <w:highlight w:val="none"/>
              </w:rPr>
              <w:t>6</w:t>
            </w:r>
          </w:p>
        </w:tc>
        <w:tc>
          <w:tcPr>
            <w:tcW w:w="1396" w:type="dxa"/>
            <w:vAlign w:val="top"/>
          </w:tcPr>
          <w:p w14:paraId="6C0D9349">
            <w:pPr>
              <w:rPr>
                <w:rFonts w:ascii="Arial"/>
                <w:color w:val="auto"/>
                <w:sz w:val="21"/>
                <w:highlight w:val="none"/>
              </w:rPr>
            </w:pPr>
          </w:p>
        </w:tc>
        <w:tc>
          <w:tcPr>
            <w:tcW w:w="753" w:type="dxa"/>
            <w:vAlign w:val="top"/>
          </w:tcPr>
          <w:p w14:paraId="0F90E53F">
            <w:pPr>
              <w:rPr>
                <w:rFonts w:ascii="Arial"/>
                <w:color w:val="auto"/>
                <w:sz w:val="21"/>
                <w:highlight w:val="none"/>
              </w:rPr>
            </w:pPr>
          </w:p>
        </w:tc>
        <w:tc>
          <w:tcPr>
            <w:tcW w:w="989" w:type="dxa"/>
            <w:vAlign w:val="top"/>
          </w:tcPr>
          <w:p w14:paraId="31D9D825">
            <w:pPr>
              <w:rPr>
                <w:rFonts w:ascii="Arial"/>
                <w:color w:val="auto"/>
                <w:sz w:val="21"/>
                <w:highlight w:val="none"/>
              </w:rPr>
            </w:pPr>
          </w:p>
        </w:tc>
        <w:tc>
          <w:tcPr>
            <w:tcW w:w="966" w:type="dxa"/>
            <w:vAlign w:val="top"/>
          </w:tcPr>
          <w:p w14:paraId="7DADB8F0">
            <w:pPr>
              <w:rPr>
                <w:rFonts w:ascii="Arial"/>
                <w:color w:val="auto"/>
                <w:sz w:val="21"/>
                <w:highlight w:val="none"/>
              </w:rPr>
            </w:pPr>
          </w:p>
        </w:tc>
        <w:tc>
          <w:tcPr>
            <w:tcW w:w="1009" w:type="dxa"/>
            <w:vAlign w:val="top"/>
          </w:tcPr>
          <w:p w14:paraId="158E7CE7">
            <w:pPr>
              <w:rPr>
                <w:rFonts w:ascii="Arial"/>
                <w:color w:val="auto"/>
                <w:sz w:val="21"/>
                <w:highlight w:val="none"/>
              </w:rPr>
            </w:pPr>
          </w:p>
        </w:tc>
        <w:tc>
          <w:tcPr>
            <w:tcW w:w="1497" w:type="dxa"/>
            <w:vAlign w:val="top"/>
          </w:tcPr>
          <w:p w14:paraId="24BE0B64">
            <w:pPr>
              <w:rPr>
                <w:rFonts w:ascii="Arial"/>
                <w:color w:val="auto"/>
                <w:sz w:val="21"/>
                <w:highlight w:val="none"/>
              </w:rPr>
            </w:pPr>
          </w:p>
        </w:tc>
        <w:tc>
          <w:tcPr>
            <w:tcW w:w="1491" w:type="dxa"/>
            <w:vAlign w:val="top"/>
          </w:tcPr>
          <w:p w14:paraId="5610429A">
            <w:pPr>
              <w:rPr>
                <w:rFonts w:ascii="Arial"/>
                <w:color w:val="auto"/>
                <w:sz w:val="21"/>
                <w:highlight w:val="none"/>
              </w:rPr>
            </w:pPr>
          </w:p>
        </w:tc>
        <w:tc>
          <w:tcPr>
            <w:tcW w:w="827" w:type="dxa"/>
            <w:vAlign w:val="top"/>
          </w:tcPr>
          <w:p w14:paraId="79D99599">
            <w:pPr>
              <w:rPr>
                <w:rFonts w:ascii="Arial"/>
                <w:color w:val="auto"/>
                <w:sz w:val="21"/>
                <w:highlight w:val="none"/>
              </w:rPr>
            </w:pPr>
          </w:p>
        </w:tc>
        <w:tc>
          <w:tcPr>
            <w:tcW w:w="1071" w:type="dxa"/>
            <w:vAlign w:val="top"/>
          </w:tcPr>
          <w:p w14:paraId="6047D92C">
            <w:pPr>
              <w:rPr>
                <w:rFonts w:ascii="Arial"/>
                <w:color w:val="auto"/>
                <w:sz w:val="21"/>
                <w:highlight w:val="none"/>
              </w:rPr>
            </w:pPr>
          </w:p>
        </w:tc>
        <w:tc>
          <w:tcPr>
            <w:tcW w:w="1040" w:type="dxa"/>
            <w:vAlign w:val="top"/>
          </w:tcPr>
          <w:p w14:paraId="3E43ECDA">
            <w:pPr>
              <w:rPr>
                <w:rFonts w:ascii="Arial"/>
                <w:color w:val="auto"/>
                <w:sz w:val="21"/>
                <w:highlight w:val="none"/>
              </w:rPr>
            </w:pPr>
          </w:p>
        </w:tc>
        <w:tc>
          <w:tcPr>
            <w:tcW w:w="1040" w:type="dxa"/>
            <w:vAlign w:val="top"/>
          </w:tcPr>
          <w:p w14:paraId="5A76C5AD">
            <w:pPr>
              <w:rPr>
                <w:rFonts w:ascii="Arial"/>
                <w:color w:val="auto"/>
                <w:sz w:val="21"/>
                <w:highlight w:val="none"/>
              </w:rPr>
            </w:pPr>
          </w:p>
        </w:tc>
        <w:tc>
          <w:tcPr>
            <w:tcW w:w="1507" w:type="dxa"/>
            <w:tcBorders>
              <w:right w:val="single" w:color="000000" w:sz="6" w:space="0"/>
            </w:tcBorders>
            <w:vAlign w:val="top"/>
          </w:tcPr>
          <w:p w14:paraId="20FCCD64">
            <w:pPr>
              <w:rPr>
                <w:rFonts w:ascii="Arial"/>
                <w:color w:val="auto"/>
                <w:sz w:val="21"/>
                <w:highlight w:val="none"/>
              </w:rPr>
            </w:pPr>
          </w:p>
        </w:tc>
      </w:tr>
      <w:tr w14:paraId="115113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6" w:hRule="atLeast"/>
        </w:trPr>
        <w:tc>
          <w:tcPr>
            <w:tcW w:w="635" w:type="dxa"/>
            <w:tcBorders>
              <w:left w:val="single" w:color="000000" w:sz="6" w:space="0"/>
            </w:tcBorders>
            <w:vAlign w:val="top"/>
          </w:tcPr>
          <w:p w14:paraId="5FDE605C">
            <w:pPr>
              <w:pStyle w:val="18"/>
              <w:spacing w:before="201" w:line="235" w:lineRule="auto"/>
              <w:ind w:left="267"/>
              <w:rPr>
                <w:color w:val="auto"/>
                <w:highlight w:val="none"/>
              </w:rPr>
            </w:pPr>
            <w:r>
              <w:rPr>
                <w:color w:val="auto"/>
                <w:highlight w:val="none"/>
              </w:rPr>
              <w:t>7</w:t>
            </w:r>
          </w:p>
        </w:tc>
        <w:tc>
          <w:tcPr>
            <w:tcW w:w="1396" w:type="dxa"/>
            <w:vAlign w:val="top"/>
          </w:tcPr>
          <w:p w14:paraId="0C18C082">
            <w:pPr>
              <w:rPr>
                <w:rFonts w:ascii="Arial"/>
                <w:color w:val="auto"/>
                <w:sz w:val="21"/>
                <w:highlight w:val="none"/>
              </w:rPr>
            </w:pPr>
          </w:p>
        </w:tc>
        <w:tc>
          <w:tcPr>
            <w:tcW w:w="753" w:type="dxa"/>
            <w:vAlign w:val="top"/>
          </w:tcPr>
          <w:p w14:paraId="5D23B1FD">
            <w:pPr>
              <w:rPr>
                <w:rFonts w:ascii="Arial"/>
                <w:color w:val="auto"/>
                <w:sz w:val="21"/>
                <w:highlight w:val="none"/>
              </w:rPr>
            </w:pPr>
          </w:p>
        </w:tc>
        <w:tc>
          <w:tcPr>
            <w:tcW w:w="989" w:type="dxa"/>
            <w:vAlign w:val="top"/>
          </w:tcPr>
          <w:p w14:paraId="1D0C1669">
            <w:pPr>
              <w:rPr>
                <w:rFonts w:ascii="Arial"/>
                <w:color w:val="auto"/>
                <w:sz w:val="21"/>
                <w:highlight w:val="none"/>
              </w:rPr>
            </w:pPr>
          </w:p>
        </w:tc>
        <w:tc>
          <w:tcPr>
            <w:tcW w:w="966" w:type="dxa"/>
            <w:vAlign w:val="top"/>
          </w:tcPr>
          <w:p w14:paraId="78E3F240">
            <w:pPr>
              <w:rPr>
                <w:rFonts w:ascii="Arial"/>
                <w:color w:val="auto"/>
                <w:sz w:val="21"/>
                <w:highlight w:val="none"/>
              </w:rPr>
            </w:pPr>
          </w:p>
        </w:tc>
        <w:tc>
          <w:tcPr>
            <w:tcW w:w="1009" w:type="dxa"/>
            <w:vAlign w:val="top"/>
          </w:tcPr>
          <w:p w14:paraId="5F3FCAE2">
            <w:pPr>
              <w:rPr>
                <w:rFonts w:ascii="Arial"/>
                <w:color w:val="auto"/>
                <w:sz w:val="21"/>
                <w:highlight w:val="none"/>
              </w:rPr>
            </w:pPr>
          </w:p>
        </w:tc>
        <w:tc>
          <w:tcPr>
            <w:tcW w:w="1497" w:type="dxa"/>
            <w:vAlign w:val="top"/>
          </w:tcPr>
          <w:p w14:paraId="72B713FA">
            <w:pPr>
              <w:rPr>
                <w:rFonts w:ascii="Arial"/>
                <w:color w:val="auto"/>
                <w:sz w:val="21"/>
                <w:highlight w:val="none"/>
              </w:rPr>
            </w:pPr>
          </w:p>
        </w:tc>
        <w:tc>
          <w:tcPr>
            <w:tcW w:w="1491" w:type="dxa"/>
            <w:vAlign w:val="top"/>
          </w:tcPr>
          <w:p w14:paraId="65593379">
            <w:pPr>
              <w:rPr>
                <w:rFonts w:ascii="Arial"/>
                <w:color w:val="auto"/>
                <w:sz w:val="21"/>
                <w:highlight w:val="none"/>
              </w:rPr>
            </w:pPr>
          </w:p>
        </w:tc>
        <w:tc>
          <w:tcPr>
            <w:tcW w:w="827" w:type="dxa"/>
            <w:vAlign w:val="top"/>
          </w:tcPr>
          <w:p w14:paraId="7F7D17C5">
            <w:pPr>
              <w:rPr>
                <w:rFonts w:ascii="Arial"/>
                <w:color w:val="auto"/>
                <w:sz w:val="21"/>
                <w:highlight w:val="none"/>
              </w:rPr>
            </w:pPr>
          </w:p>
        </w:tc>
        <w:tc>
          <w:tcPr>
            <w:tcW w:w="1071" w:type="dxa"/>
            <w:vAlign w:val="top"/>
          </w:tcPr>
          <w:p w14:paraId="5331BD38">
            <w:pPr>
              <w:rPr>
                <w:rFonts w:ascii="Arial"/>
                <w:color w:val="auto"/>
                <w:sz w:val="21"/>
                <w:highlight w:val="none"/>
              </w:rPr>
            </w:pPr>
          </w:p>
        </w:tc>
        <w:tc>
          <w:tcPr>
            <w:tcW w:w="1040" w:type="dxa"/>
            <w:vAlign w:val="top"/>
          </w:tcPr>
          <w:p w14:paraId="3CB37BE5">
            <w:pPr>
              <w:rPr>
                <w:rFonts w:ascii="Arial"/>
                <w:color w:val="auto"/>
                <w:sz w:val="21"/>
                <w:highlight w:val="none"/>
              </w:rPr>
            </w:pPr>
          </w:p>
        </w:tc>
        <w:tc>
          <w:tcPr>
            <w:tcW w:w="1040" w:type="dxa"/>
            <w:vAlign w:val="top"/>
          </w:tcPr>
          <w:p w14:paraId="20630AD9">
            <w:pPr>
              <w:rPr>
                <w:rFonts w:ascii="Arial"/>
                <w:color w:val="auto"/>
                <w:sz w:val="21"/>
                <w:highlight w:val="none"/>
              </w:rPr>
            </w:pPr>
          </w:p>
        </w:tc>
        <w:tc>
          <w:tcPr>
            <w:tcW w:w="1507" w:type="dxa"/>
            <w:tcBorders>
              <w:right w:val="single" w:color="000000" w:sz="6" w:space="0"/>
            </w:tcBorders>
            <w:vAlign w:val="top"/>
          </w:tcPr>
          <w:p w14:paraId="62060977">
            <w:pPr>
              <w:rPr>
                <w:rFonts w:ascii="Arial"/>
                <w:color w:val="auto"/>
                <w:sz w:val="21"/>
                <w:highlight w:val="none"/>
              </w:rPr>
            </w:pPr>
          </w:p>
        </w:tc>
      </w:tr>
      <w:tr w14:paraId="37CB3B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6" w:hRule="atLeast"/>
        </w:trPr>
        <w:tc>
          <w:tcPr>
            <w:tcW w:w="635" w:type="dxa"/>
            <w:tcBorders>
              <w:left w:val="single" w:color="000000" w:sz="6" w:space="0"/>
            </w:tcBorders>
            <w:vAlign w:val="top"/>
          </w:tcPr>
          <w:p w14:paraId="77B69D6F">
            <w:pPr>
              <w:pStyle w:val="18"/>
              <w:spacing w:before="203" w:line="233" w:lineRule="auto"/>
              <w:ind w:left="263"/>
              <w:rPr>
                <w:color w:val="auto"/>
                <w:highlight w:val="none"/>
              </w:rPr>
            </w:pPr>
            <w:r>
              <w:rPr>
                <w:color w:val="auto"/>
                <w:highlight w:val="none"/>
              </w:rPr>
              <w:t>8</w:t>
            </w:r>
          </w:p>
        </w:tc>
        <w:tc>
          <w:tcPr>
            <w:tcW w:w="1396" w:type="dxa"/>
            <w:vAlign w:val="top"/>
          </w:tcPr>
          <w:p w14:paraId="3AA651D9">
            <w:pPr>
              <w:rPr>
                <w:rFonts w:ascii="Arial"/>
                <w:color w:val="auto"/>
                <w:sz w:val="21"/>
                <w:highlight w:val="none"/>
              </w:rPr>
            </w:pPr>
          </w:p>
        </w:tc>
        <w:tc>
          <w:tcPr>
            <w:tcW w:w="753" w:type="dxa"/>
            <w:vAlign w:val="top"/>
          </w:tcPr>
          <w:p w14:paraId="2BBAD854">
            <w:pPr>
              <w:rPr>
                <w:rFonts w:ascii="Arial"/>
                <w:color w:val="auto"/>
                <w:sz w:val="21"/>
                <w:highlight w:val="none"/>
              </w:rPr>
            </w:pPr>
          </w:p>
        </w:tc>
        <w:tc>
          <w:tcPr>
            <w:tcW w:w="989" w:type="dxa"/>
            <w:vAlign w:val="top"/>
          </w:tcPr>
          <w:p w14:paraId="75EF2449">
            <w:pPr>
              <w:rPr>
                <w:rFonts w:ascii="Arial"/>
                <w:color w:val="auto"/>
                <w:sz w:val="21"/>
                <w:highlight w:val="none"/>
              </w:rPr>
            </w:pPr>
          </w:p>
        </w:tc>
        <w:tc>
          <w:tcPr>
            <w:tcW w:w="966" w:type="dxa"/>
            <w:vAlign w:val="top"/>
          </w:tcPr>
          <w:p w14:paraId="043F50AD">
            <w:pPr>
              <w:rPr>
                <w:rFonts w:ascii="Arial"/>
                <w:color w:val="auto"/>
                <w:sz w:val="21"/>
                <w:highlight w:val="none"/>
              </w:rPr>
            </w:pPr>
          </w:p>
        </w:tc>
        <w:tc>
          <w:tcPr>
            <w:tcW w:w="1009" w:type="dxa"/>
            <w:vAlign w:val="top"/>
          </w:tcPr>
          <w:p w14:paraId="23A003ED">
            <w:pPr>
              <w:rPr>
                <w:rFonts w:ascii="Arial"/>
                <w:color w:val="auto"/>
                <w:sz w:val="21"/>
                <w:highlight w:val="none"/>
              </w:rPr>
            </w:pPr>
          </w:p>
        </w:tc>
        <w:tc>
          <w:tcPr>
            <w:tcW w:w="1497" w:type="dxa"/>
            <w:vAlign w:val="top"/>
          </w:tcPr>
          <w:p w14:paraId="16081681">
            <w:pPr>
              <w:rPr>
                <w:rFonts w:ascii="Arial"/>
                <w:color w:val="auto"/>
                <w:sz w:val="21"/>
                <w:highlight w:val="none"/>
              </w:rPr>
            </w:pPr>
          </w:p>
        </w:tc>
        <w:tc>
          <w:tcPr>
            <w:tcW w:w="1491" w:type="dxa"/>
            <w:vAlign w:val="top"/>
          </w:tcPr>
          <w:p w14:paraId="66D69215">
            <w:pPr>
              <w:rPr>
                <w:rFonts w:ascii="Arial"/>
                <w:color w:val="auto"/>
                <w:sz w:val="21"/>
                <w:highlight w:val="none"/>
              </w:rPr>
            </w:pPr>
          </w:p>
        </w:tc>
        <w:tc>
          <w:tcPr>
            <w:tcW w:w="827" w:type="dxa"/>
            <w:vAlign w:val="top"/>
          </w:tcPr>
          <w:p w14:paraId="6F2B2CBD">
            <w:pPr>
              <w:rPr>
                <w:rFonts w:ascii="Arial"/>
                <w:color w:val="auto"/>
                <w:sz w:val="21"/>
                <w:highlight w:val="none"/>
              </w:rPr>
            </w:pPr>
          </w:p>
        </w:tc>
        <w:tc>
          <w:tcPr>
            <w:tcW w:w="1071" w:type="dxa"/>
            <w:vAlign w:val="top"/>
          </w:tcPr>
          <w:p w14:paraId="2ACAB077">
            <w:pPr>
              <w:rPr>
                <w:rFonts w:ascii="Arial"/>
                <w:color w:val="auto"/>
                <w:sz w:val="21"/>
                <w:highlight w:val="none"/>
              </w:rPr>
            </w:pPr>
          </w:p>
        </w:tc>
        <w:tc>
          <w:tcPr>
            <w:tcW w:w="1040" w:type="dxa"/>
            <w:vAlign w:val="top"/>
          </w:tcPr>
          <w:p w14:paraId="263CF7C7">
            <w:pPr>
              <w:rPr>
                <w:rFonts w:ascii="Arial"/>
                <w:color w:val="auto"/>
                <w:sz w:val="21"/>
                <w:highlight w:val="none"/>
              </w:rPr>
            </w:pPr>
          </w:p>
        </w:tc>
        <w:tc>
          <w:tcPr>
            <w:tcW w:w="1040" w:type="dxa"/>
            <w:vAlign w:val="top"/>
          </w:tcPr>
          <w:p w14:paraId="404D040C">
            <w:pPr>
              <w:rPr>
                <w:rFonts w:ascii="Arial"/>
                <w:color w:val="auto"/>
                <w:sz w:val="21"/>
                <w:highlight w:val="none"/>
              </w:rPr>
            </w:pPr>
          </w:p>
        </w:tc>
        <w:tc>
          <w:tcPr>
            <w:tcW w:w="1507" w:type="dxa"/>
            <w:tcBorders>
              <w:right w:val="single" w:color="000000" w:sz="6" w:space="0"/>
            </w:tcBorders>
            <w:vAlign w:val="top"/>
          </w:tcPr>
          <w:p w14:paraId="508A4BDA">
            <w:pPr>
              <w:rPr>
                <w:rFonts w:ascii="Arial"/>
                <w:color w:val="auto"/>
                <w:sz w:val="21"/>
                <w:highlight w:val="none"/>
              </w:rPr>
            </w:pPr>
          </w:p>
        </w:tc>
      </w:tr>
      <w:tr w14:paraId="200B5A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6" w:hRule="atLeast"/>
        </w:trPr>
        <w:tc>
          <w:tcPr>
            <w:tcW w:w="635" w:type="dxa"/>
            <w:tcBorders>
              <w:left w:val="single" w:color="000000" w:sz="6" w:space="0"/>
            </w:tcBorders>
            <w:vAlign w:val="top"/>
          </w:tcPr>
          <w:p w14:paraId="2639CFA6">
            <w:pPr>
              <w:pStyle w:val="18"/>
              <w:spacing w:before="202" w:line="234" w:lineRule="auto"/>
              <w:ind w:left="222"/>
              <w:rPr>
                <w:color w:val="auto"/>
                <w:highlight w:val="none"/>
              </w:rPr>
            </w:pPr>
            <w:r>
              <w:rPr>
                <w:color w:val="auto"/>
                <w:highlight w:val="none"/>
              </w:rPr>
              <w:t>…</w:t>
            </w:r>
          </w:p>
        </w:tc>
        <w:tc>
          <w:tcPr>
            <w:tcW w:w="1396" w:type="dxa"/>
            <w:vAlign w:val="top"/>
          </w:tcPr>
          <w:p w14:paraId="1ECB3432">
            <w:pPr>
              <w:rPr>
                <w:rFonts w:ascii="Arial"/>
                <w:color w:val="auto"/>
                <w:sz w:val="21"/>
                <w:highlight w:val="none"/>
              </w:rPr>
            </w:pPr>
          </w:p>
        </w:tc>
        <w:tc>
          <w:tcPr>
            <w:tcW w:w="753" w:type="dxa"/>
            <w:vAlign w:val="top"/>
          </w:tcPr>
          <w:p w14:paraId="40D2CC13">
            <w:pPr>
              <w:rPr>
                <w:rFonts w:ascii="Arial"/>
                <w:color w:val="auto"/>
                <w:sz w:val="21"/>
                <w:highlight w:val="none"/>
              </w:rPr>
            </w:pPr>
          </w:p>
        </w:tc>
        <w:tc>
          <w:tcPr>
            <w:tcW w:w="989" w:type="dxa"/>
            <w:vAlign w:val="top"/>
          </w:tcPr>
          <w:p w14:paraId="2F0997C7">
            <w:pPr>
              <w:rPr>
                <w:rFonts w:ascii="Arial"/>
                <w:color w:val="auto"/>
                <w:sz w:val="21"/>
                <w:highlight w:val="none"/>
              </w:rPr>
            </w:pPr>
          </w:p>
        </w:tc>
        <w:tc>
          <w:tcPr>
            <w:tcW w:w="966" w:type="dxa"/>
            <w:vAlign w:val="top"/>
          </w:tcPr>
          <w:p w14:paraId="029BDAEE">
            <w:pPr>
              <w:rPr>
                <w:rFonts w:ascii="Arial"/>
                <w:color w:val="auto"/>
                <w:sz w:val="21"/>
                <w:highlight w:val="none"/>
              </w:rPr>
            </w:pPr>
          </w:p>
        </w:tc>
        <w:tc>
          <w:tcPr>
            <w:tcW w:w="1009" w:type="dxa"/>
            <w:vAlign w:val="top"/>
          </w:tcPr>
          <w:p w14:paraId="4EB74C96">
            <w:pPr>
              <w:rPr>
                <w:rFonts w:ascii="Arial"/>
                <w:color w:val="auto"/>
                <w:sz w:val="21"/>
                <w:highlight w:val="none"/>
              </w:rPr>
            </w:pPr>
          </w:p>
        </w:tc>
        <w:tc>
          <w:tcPr>
            <w:tcW w:w="1497" w:type="dxa"/>
            <w:vAlign w:val="top"/>
          </w:tcPr>
          <w:p w14:paraId="3298AAD2">
            <w:pPr>
              <w:rPr>
                <w:rFonts w:ascii="Arial"/>
                <w:color w:val="auto"/>
                <w:sz w:val="21"/>
                <w:highlight w:val="none"/>
              </w:rPr>
            </w:pPr>
          </w:p>
        </w:tc>
        <w:tc>
          <w:tcPr>
            <w:tcW w:w="1491" w:type="dxa"/>
            <w:vAlign w:val="top"/>
          </w:tcPr>
          <w:p w14:paraId="4536E8A2">
            <w:pPr>
              <w:rPr>
                <w:rFonts w:ascii="Arial"/>
                <w:color w:val="auto"/>
                <w:sz w:val="21"/>
                <w:highlight w:val="none"/>
              </w:rPr>
            </w:pPr>
          </w:p>
        </w:tc>
        <w:tc>
          <w:tcPr>
            <w:tcW w:w="827" w:type="dxa"/>
            <w:vAlign w:val="top"/>
          </w:tcPr>
          <w:p w14:paraId="521E197D">
            <w:pPr>
              <w:rPr>
                <w:rFonts w:ascii="Arial"/>
                <w:color w:val="auto"/>
                <w:sz w:val="21"/>
                <w:highlight w:val="none"/>
              </w:rPr>
            </w:pPr>
          </w:p>
        </w:tc>
        <w:tc>
          <w:tcPr>
            <w:tcW w:w="1071" w:type="dxa"/>
            <w:vAlign w:val="top"/>
          </w:tcPr>
          <w:p w14:paraId="687B9750">
            <w:pPr>
              <w:rPr>
                <w:rFonts w:ascii="Arial"/>
                <w:color w:val="auto"/>
                <w:sz w:val="21"/>
                <w:highlight w:val="none"/>
              </w:rPr>
            </w:pPr>
          </w:p>
        </w:tc>
        <w:tc>
          <w:tcPr>
            <w:tcW w:w="1040" w:type="dxa"/>
            <w:vAlign w:val="top"/>
          </w:tcPr>
          <w:p w14:paraId="2E228016">
            <w:pPr>
              <w:rPr>
                <w:rFonts w:ascii="Arial"/>
                <w:color w:val="auto"/>
                <w:sz w:val="21"/>
                <w:highlight w:val="none"/>
              </w:rPr>
            </w:pPr>
          </w:p>
        </w:tc>
        <w:tc>
          <w:tcPr>
            <w:tcW w:w="1040" w:type="dxa"/>
            <w:vAlign w:val="top"/>
          </w:tcPr>
          <w:p w14:paraId="69EDE7EA">
            <w:pPr>
              <w:rPr>
                <w:rFonts w:ascii="Arial"/>
                <w:color w:val="auto"/>
                <w:sz w:val="21"/>
                <w:highlight w:val="none"/>
              </w:rPr>
            </w:pPr>
          </w:p>
        </w:tc>
        <w:tc>
          <w:tcPr>
            <w:tcW w:w="1507" w:type="dxa"/>
            <w:tcBorders>
              <w:right w:val="single" w:color="000000" w:sz="6" w:space="0"/>
            </w:tcBorders>
            <w:vAlign w:val="top"/>
          </w:tcPr>
          <w:p w14:paraId="640D6E7D">
            <w:pPr>
              <w:rPr>
                <w:rFonts w:ascii="Arial"/>
                <w:color w:val="auto"/>
                <w:sz w:val="21"/>
                <w:highlight w:val="none"/>
              </w:rPr>
            </w:pPr>
          </w:p>
        </w:tc>
      </w:tr>
      <w:tr w14:paraId="01D6AE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1" w:hRule="atLeast"/>
        </w:trPr>
        <w:tc>
          <w:tcPr>
            <w:tcW w:w="635" w:type="dxa"/>
            <w:tcBorders>
              <w:left w:val="single" w:color="000000" w:sz="6" w:space="0"/>
              <w:bottom w:val="single" w:color="000000" w:sz="6" w:space="0"/>
              <w:right w:val="nil"/>
            </w:tcBorders>
            <w:vAlign w:val="top"/>
          </w:tcPr>
          <w:p w14:paraId="09BD7044">
            <w:pPr>
              <w:rPr>
                <w:rFonts w:ascii="Arial"/>
                <w:color w:val="auto"/>
                <w:sz w:val="21"/>
                <w:highlight w:val="none"/>
              </w:rPr>
            </w:pPr>
          </w:p>
        </w:tc>
        <w:tc>
          <w:tcPr>
            <w:tcW w:w="3138" w:type="dxa"/>
            <w:gridSpan w:val="3"/>
            <w:tcBorders>
              <w:left w:val="nil"/>
              <w:bottom w:val="single" w:color="000000" w:sz="6" w:space="0"/>
            </w:tcBorders>
            <w:vAlign w:val="top"/>
          </w:tcPr>
          <w:p w14:paraId="4B3482C0">
            <w:pPr>
              <w:pStyle w:val="18"/>
              <w:spacing w:before="204" w:line="228" w:lineRule="auto"/>
              <w:ind w:left="734"/>
              <w:rPr>
                <w:color w:val="auto"/>
                <w:highlight w:val="none"/>
              </w:rPr>
            </w:pPr>
            <w:r>
              <w:rPr>
                <w:color w:val="auto"/>
                <w:spacing w:val="3"/>
                <w:highlight w:val="none"/>
              </w:rPr>
              <w:t>合</w:t>
            </w:r>
            <w:r>
              <w:rPr>
                <w:color w:val="auto"/>
                <w:spacing w:val="11"/>
                <w:highlight w:val="none"/>
              </w:rPr>
              <w:t xml:space="preserve">  </w:t>
            </w:r>
            <w:r>
              <w:rPr>
                <w:color w:val="auto"/>
                <w:spacing w:val="3"/>
                <w:highlight w:val="none"/>
              </w:rPr>
              <w:t>计(元)</w:t>
            </w:r>
          </w:p>
        </w:tc>
        <w:tc>
          <w:tcPr>
            <w:tcW w:w="966" w:type="dxa"/>
            <w:tcBorders>
              <w:bottom w:val="single" w:color="000000" w:sz="6" w:space="0"/>
            </w:tcBorders>
            <w:vAlign w:val="top"/>
          </w:tcPr>
          <w:p w14:paraId="3B0B25BB">
            <w:pPr>
              <w:rPr>
                <w:rFonts w:ascii="Arial"/>
                <w:color w:val="auto"/>
                <w:sz w:val="21"/>
                <w:highlight w:val="none"/>
              </w:rPr>
            </w:pPr>
          </w:p>
        </w:tc>
        <w:tc>
          <w:tcPr>
            <w:tcW w:w="1009" w:type="dxa"/>
            <w:tcBorders>
              <w:bottom w:val="single" w:color="000000" w:sz="6" w:space="0"/>
            </w:tcBorders>
            <w:vAlign w:val="top"/>
          </w:tcPr>
          <w:p w14:paraId="74797813">
            <w:pPr>
              <w:rPr>
                <w:rFonts w:ascii="Arial"/>
                <w:color w:val="auto"/>
                <w:sz w:val="21"/>
                <w:highlight w:val="none"/>
              </w:rPr>
            </w:pPr>
          </w:p>
        </w:tc>
        <w:tc>
          <w:tcPr>
            <w:tcW w:w="1497" w:type="dxa"/>
            <w:tcBorders>
              <w:bottom w:val="single" w:color="000000" w:sz="6" w:space="0"/>
            </w:tcBorders>
            <w:vAlign w:val="top"/>
          </w:tcPr>
          <w:p w14:paraId="4B10B56E">
            <w:pPr>
              <w:rPr>
                <w:rFonts w:ascii="Arial"/>
                <w:color w:val="auto"/>
                <w:sz w:val="21"/>
                <w:highlight w:val="none"/>
              </w:rPr>
            </w:pPr>
          </w:p>
        </w:tc>
        <w:tc>
          <w:tcPr>
            <w:tcW w:w="3389" w:type="dxa"/>
            <w:gridSpan w:val="3"/>
            <w:tcBorders>
              <w:bottom w:val="single" w:color="000000" w:sz="6" w:space="0"/>
            </w:tcBorders>
            <w:vAlign w:val="top"/>
          </w:tcPr>
          <w:p w14:paraId="08E579FC">
            <w:pPr>
              <w:pStyle w:val="18"/>
              <w:spacing w:before="204" w:line="228" w:lineRule="auto"/>
              <w:ind w:left="1178"/>
              <w:rPr>
                <w:color w:val="auto"/>
                <w:highlight w:val="none"/>
              </w:rPr>
            </w:pPr>
            <w:r>
              <w:rPr>
                <w:color w:val="auto"/>
                <w:spacing w:val="3"/>
                <w:highlight w:val="none"/>
              </w:rPr>
              <w:t>合</w:t>
            </w:r>
            <w:r>
              <w:rPr>
                <w:color w:val="auto"/>
                <w:spacing w:val="11"/>
                <w:highlight w:val="none"/>
              </w:rPr>
              <w:t xml:space="preserve">  </w:t>
            </w:r>
            <w:r>
              <w:rPr>
                <w:color w:val="auto"/>
                <w:spacing w:val="3"/>
                <w:highlight w:val="none"/>
              </w:rPr>
              <w:t>计(元)</w:t>
            </w:r>
          </w:p>
        </w:tc>
        <w:tc>
          <w:tcPr>
            <w:tcW w:w="1040" w:type="dxa"/>
            <w:tcBorders>
              <w:bottom w:val="single" w:color="000000" w:sz="6" w:space="0"/>
            </w:tcBorders>
            <w:vAlign w:val="top"/>
          </w:tcPr>
          <w:p w14:paraId="3370256B">
            <w:pPr>
              <w:rPr>
                <w:rFonts w:ascii="Arial"/>
                <w:color w:val="auto"/>
                <w:sz w:val="21"/>
                <w:highlight w:val="none"/>
              </w:rPr>
            </w:pPr>
          </w:p>
        </w:tc>
        <w:tc>
          <w:tcPr>
            <w:tcW w:w="1040" w:type="dxa"/>
            <w:tcBorders>
              <w:bottom w:val="single" w:color="000000" w:sz="6" w:space="0"/>
            </w:tcBorders>
            <w:vAlign w:val="top"/>
          </w:tcPr>
          <w:p w14:paraId="06F9A577">
            <w:pPr>
              <w:rPr>
                <w:rFonts w:ascii="Arial"/>
                <w:color w:val="auto"/>
                <w:sz w:val="21"/>
                <w:highlight w:val="none"/>
              </w:rPr>
            </w:pPr>
          </w:p>
        </w:tc>
        <w:tc>
          <w:tcPr>
            <w:tcW w:w="1507" w:type="dxa"/>
            <w:tcBorders>
              <w:bottom w:val="single" w:color="000000" w:sz="6" w:space="0"/>
              <w:right w:val="single" w:color="000000" w:sz="6" w:space="0"/>
            </w:tcBorders>
            <w:vAlign w:val="top"/>
          </w:tcPr>
          <w:p w14:paraId="20837A3B">
            <w:pPr>
              <w:rPr>
                <w:rFonts w:ascii="Arial"/>
                <w:color w:val="auto"/>
                <w:sz w:val="21"/>
                <w:highlight w:val="none"/>
              </w:rPr>
            </w:pPr>
          </w:p>
        </w:tc>
      </w:tr>
    </w:tbl>
    <w:p w14:paraId="30512659">
      <w:pPr>
        <w:rPr>
          <w:rFonts w:ascii="Arial"/>
          <w:color w:val="auto"/>
          <w:sz w:val="21"/>
          <w:highlight w:val="none"/>
        </w:rPr>
      </w:pPr>
    </w:p>
    <w:p w14:paraId="46735590">
      <w:pPr>
        <w:rPr>
          <w:rFonts w:ascii="Arial" w:hAnsi="Arial" w:eastAsia="Arial" w:cs="Arial"/>
          <w:color w:val="auto"/>
          <w:sz w:val="21"/>
          <w:szCs w:val="21"/>
          <w:highlight w:val="none"/>
        </w:rPr>
        <w:sectPr>
          <w:footerReference r:id="rId113" w:type="default"/>
          <w:pgSz w:w="16839" w:h="11906"/>
          <w:pgMar w:top="1012" w:right="1301" w:bottom="1297" w:left="1300" w:header="0" w:footer="1067" w:gutter="0"/>
          <w:pgNumType w:fmt="decimal"/>
          <w:cols w:space="720" w:num="1"/>
        </w:sectPr>
      </w:pPr>
    </w:p>
    <w:p w14:paraId="116F8071">
      <w:pPr>
        <w:spacing w:line="302" w:lineRule="auto"/>
        <w:rPr>
          <w:rFonts w:ascii="Arial"/>
          <w:color w:val="auto"/>
          <w:sz w:val="21"/>
          <w:highlight w:val="none"/>
        </w:rPr>
      </w:pPr>
    </w:p>
    <w:p w14:paraId="5471AD8E">
      <w:pPr>
        <w:spacing w:line="302" w:lineRule="auto"/>
        <w:rPr>
          <w:rFonts w:ascii="Arial"/>
          <w:color w:val="auto"/>
          <w:sz w:val="21"/>
          <w:highlight w:val="none"/>
        </w:rPr>
      </w:pPr>
    </w:p>
    <w:p w14:paraId="6219923C">
      <w:pPr>
        <w:spacing w:before="91" w:line="225" w:lineRule="auto"/>
        <w:ind w:left="5751"/>
        <w:rPr>
          <w:rFonts w:ascii="宋体" w:hAnsi="宋体" w:eastAsia="宋体" w:cs="宋体"/>
          <w:color w:val="auto"/>
          <w:sz w:val="13"/>
          <w:szCs w:val="13"/>
          <w:highlight w:val="none"/>
        </w:rPr>
      </w:pPr>
      <w:r>
        <w:rPr>
          <w:rFonts w:ascii="宋体" w:hAnsi="宋体" w:eastAsia="宋体" w:cs="宋体"/>
          <w:b/>
          <w:bCs/>
          <w:color w:val="auto"/>
          <w:spacing w:val="-4"/>
          <w:sz w:val="28"/>
          <w:szCs w:val="28"/>
          <w:highlight w:val="none"/>
        </w:rPr>
        <w:t>表</w:t>
      </w:r>
      <w:r>
        <w:rPr>
          <w:rFonts w:ascii="宋体" w:hAnsi="宋体" w:eastAsia="宋体" w:cs="宋体"/>
          <w:color w:val="auto"/>
          <w:spacing w:val="-47"/>
          <w:sz w:val="28"/>
          <w:szCs w:val="28"/>
          <w:highlight w:val="none"/>
        </w:rPr>
        <w:t xml:space="preserve"> </w:t>
      </w:r>
      <w:r>
        <w:rPr>
          <w:rFonts w:ascii="宋体" w:hAnsi="宋体" w:eastAsia="宋体" w:cs="宋体"/>
          <w:b/>
          <w:bCs/>
          <w:color w:val="auto"/>
          <w:spacing w:val="-4"/>
          <w:sz w:val="28"/>
          <w:szCs w:val="28"/>
          <w:highlight w:val="none"/>
        </w:rPr>
        <w:t>7</w:t>
      </w:r>
      <w:r>
        <w:rPr>
          <w:rFonts w:ascii="宋体" w:hAnsi="宋体" w:eastAsia="宋体" w:cs="宋体"/>
          <w:color w:val="auto"/>
          <w:spacing w:val="-4"/>
          <w:sz w:val="28"/>
          <w:szCs w:val="28"/>
          <w:highlight w:val="none"/>
        </w:rPr>
        <w:t xml:space="preserve"> </w:t>
      </w:r>
      <w:r>
        <w:rPr>
          <w:rFonts w:ascii="宋体" w:hAnsi="宋体" w:eastAsia="宋体" w:cs="宋体"/>
          <w:b/>
          <w:bCs/>
          <w:color w:val="auto"/>
          <w:spacing w:val="-4"/>
          <w:sz w:val="28"/>
          <w:szCs w:val="28"/>
          <w:highlight w:val="none"/>
        </w:rPr>
        <w:t>其他费用报价表</w:t>
      </w:r>
      <w:r>
        <w:rPr>
          <w:color w:val="auto"/>
          <w:highlight w:val="none"/>
        </w:rPr>
        <w:fldChar w:fldCharType="begin"/>
      </w:r>
      <w:r>
        <w:rPr>
          <w:color w:val="auto"/>
          <w:highlight w:val="none"/>
        </w:rPr>
        <w:instrText xml:space="preserve"> HYPERLINK \l "bookmark163" </w:instrText>
      </w:r>
      <w:r>
        <w:rPr>
          <w:color w:val="auto"/>
          <w:highlight w:val="none"/>
        </w:rPr>
        <w:fldChar w:fldCharType="separate"/>
      </w:r>
      <w:r>
        <w:rPr>
          <w:rFonts w:ascii="宋体" w:hAnsi="宋体" w:eastAsia="宋体" w:cs="宋体"/>
          <w:b/>
          <w:bCs/>
          <w:color w:val="auto"/>
          <w:spacing w:val="-4"/>
          <w:position w:val="13"/>
          <w:sz w:val="13"/>
          <w:szCs w:val="13"/>
          <w:highlight w:val="none"/>
        </w:rPr>
        <w:t>①</w:t>
      </w:r>
      <w:r>
        <w:rPr>
          <w:rFonts w:ascii="宋体" w:hAnsi="宋体" w:eastAsia="宋体" w:cs="宋体"/>
          <w:b/>
          <w:bCs/>
          <w:color w:val="auto"/>
          <w:spacing w:val="-4"/>
          <w:position w:val="13"/>
          <w:sz w:val="13"/>
          <w:szCs w:val="13"/>
          <w:highlight w:val="none"/>
        </w:rPr>
        <w:fldChar w:fldCharType="end"/>
      </w:r>
    </w:p>
    <w:tbl>
      <w:tblPr>
        <w:tblStyle w:val="17"/>
        <w:tblW w:w="1421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53"/>
        <w:gridCol w:w="3452"/>
        <w:gridCol w:w="1351"/>
        <w:gridCol w:w="1198"/>
        <w:gridCol w:w="1649"/>
        <w:gridCol w:w="1649"/>
        <w:gridCol w:w="3766"/>
      </w:tblGrid>
      <w:tr w14:paraId="526354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1153" w:type="dxa"/>
            <w:vAlign w:val="top"/>
          </w:tcPr>
          <w:p w14:paraId="25DA2343">
            <w:pPr>
              <w:pStyle w:val="18"/>
              <w:spacing w:before="73" w:line="229" w:lineRule="auto"/>
              <w:ind w:left="370"/>
              <w:rPr>
                <w:color w:val="auto"/>
                <w:highlight w:val="none"/>
              </w:rPr>
            </w:pPr>
            <w:r>
              <w:rPr>
                <w:color w:val="auto"/>
                <w:spacing w:val="5"/>
                <w:highlight w:val="none"/>
              </w:rPr>
              <w:t>序号</w:t>
            </w:r>
          </w:p>
        </w:tc>
        <w:tc>
          <w:tcPr>
            <w:tcW w:w="3452" w:type="dxa"/>
            <w:vAlign w:val="top"/>
          </w:tcPr>
          <w:p w14:paraId="200B8EB0">
            <w:pPr>
              <w:pStyle w:val="18"/>
              <w:spacing w:before="73" w:line="228" w:lineRule="auto"/>
              <w:ind w:left="1311"/>
              <w:rPr>
                <w:color w:val="auto"/>
                <w:highlight w:val="none"/>
              </w:rPr>
            </w:pPr>
            <w:r>
              <w:rPr>
                <w:color w:val="auto"/>
                <w:spacing w:val="7"/>
                <w:highlight w:val="none"/>
              </w:rPr>
              <w:t>子目名称</w:t>
            </w:r>
          </w:p>
        </w:tc>
        <w:tc>
          <w:tcPr>
            <w:tcW w:w="1351" w:type="dxa"/>
            <w:vAlign w:val="top"/>
          </w:tcPr>
          <w:p w14:paraId="18C39272">
            <w:pPr>
              <w:pStyle w:val="18"/>
              <w:spacing w:before="73" w:line="228" w:lineRule="auto"/>
              <w:ind w:left="471"/>
              <w:rPr>
                <w:color w:val="auto"/>
                <w:highlight w:val="none"/>
              </w:rPr>
            </w:pPr>
            <w:r>
              <w:rPr>
                <w:color w:val="auto"/>
                <w:spacing w:val="3"/>
                <w:highlight w:val="none"/>
              </w:rPr>
              <w:t>单位</w:t>
            </w:r>
          </w:p>
        </w:tc>
        <w:tc>
          <w:tcPr>
            <w:tcW w:w="1198" w:type="dxa"/>
            <w:vAlign w:val="top"/>
          </w:tcPr>
          <w:p w14:paraId="0E2DC3C2">
            <w:pPr>
              <w:pStyle w:val="18"/>
              <w:spacing w:before="72" w:line="228" w:lineRule="auto"/>
              <w:ind w:left="395"/>
              <w:rPr>
                <w:color w:val="auto"/>
                <w:highlight w:val="none"/>
              </w:rPr>
            </w:pPr>
            <w:r>
              <w:rPr>
                <w:color w:val="auto"/>
                <w:spacing w:val="3"/>
                <w:highlight w:val="none"/>
              </w:rPr>
              <w:t>数量</w:t>
            </w:r>
          </w:p>
        </w:tc>
        <w:tc>
          <w:tcPr>
            <w:tcW w:w="1649" w:type="dxa"/>
            <w:vAlign w:val="top"/>
          </w:tcPr>
          <w:p w14:paraId="736C67C7">
            <w:pPr>
              <w:pStyle w:val="18"/>
              <w:spacing w:before="73" w:line="226" w:lineRule="auto"/>
              <w:ind w:left="306"/>
              <w:rPr>
                <w:color w:val="auto"/>
                <w:highlight w:val="none"/>
              </w:rPr>
            </w:pPr>
            <w:r>
              <w:rPr>
                <w:color w:val="auto"/>
                <w:spacing w:val="5"/>
                <w:highlight w:val="none"/>
              </w:rPr>
              <w:t>单价（元）</w:t>
            </w:r>
          </w:p>
        </w:tc>
        <w:tc>
          <w:tcPr>
            <w:tcW w:w="1649" w:type="dxa"/>
            <w:vAlign w:val="top"/>
          </w:tcPr>
          <w:p w14:paraId="157A1113">
            <w:pPr>
              <w:pStyle w:val="18"/>
              <w:spacing w:before="73" w:line="226" w:lineRule="auto"/>
              <w:ind w:left="307"/>
              <w:rPr>
                <w:color w:val="auto"/>
                <w:highlight w:val="none"/>
              </w:rPr>
            </w:pPr>
            <w:r>
              <w:rPr>
                <w:color w:val="auto"/>
                <w:spacing w:val="5"/>
                <w:highlight w:val="none"/>
              </w:rPr>
              <w:t>合价（元）</w:t>
            </w:r>
          </w:p>
        </w:tc>
        <w:tc>
          <w:tcPr>
            <w:tcW w:w="3766" w:type="dxa"/>
            <w:vAlign w:val="top"/>
          </w:tcPr>
          <w:p w14:paraId="6DC937FA">
            <w:pPr>
              <w:pStyle w:val="18"/>
              <w:spacing w:before="73" w:line="229" w:lineRule="auto"/>
              <w:ind w:left="1679"/>
              <w:rPr>
                <w:color w:val="auto"/>
                <w:highlight w:val="none"/>
              </w:rPr>
            </w:pPr>
            <w:r>
              <w:rPr>
                <w:color w:val="auto"/>
                <w:spacing w:val="3"/>
                <w:highlight w:val="none"/>
              </w:rPr>
              <w:t>备注</w:t>
            </w:r>
          </w:p>
        </w:tc>
      </w:tr>
      <w:tr w14:paraId="3957DE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1153" w:type="dxa"/>
            <w:vAlign w:val="top"/>
          </w:tcPr>
          <w:p w14:paraId="1D54E6EB">
            <w:pPr>
              <w:pStyle w:val="18"/>
              <w:spacing w:before="71" w:line="270" w:lineRule="exact"/>
              <w:ind w:left="545"/>
              <w:rPr>
                <w:color w:val="auto"/>
                <w:highlight w:val="none"/>
              </w:rPr>
            </w:pPr>
            <w:r>
              <w:rPr>
                <w:color w:val="auto"/>
                <w:position w:val="1"/>
                <w:highlight w:val="none"/>
              </w:rPr>
              <w:t>1</w:t>
            </w:r>
          </w:p>
        </w:tc>
        <w:tc>
          <w:tcPr>
            <w:tcW w:w="3452" w:type="dxa"/>
            <w:vAlign w:val="top"/>
          </w:tcPr>
          <w:p w14:paraId="1FE832D6">
            <w:pPr>
              <w:pStyle w:val="18"/>
              <w:spacing w:before="70" w:line="228" w:lineRule="auto"/>
              <w:ind w:left="894"/>
              <w:rPr>
                <w:color w:val="auto"/>
                <w:highlight w:val="none"/>
              </w:rPr>
            </w:pPr>
            <w:r>
              <w:rPr>
                <w:color w:val="auto"/>
                <w:spacing w:val="8"/>
                <w:highlight w:val="none"/>
              </w:rPr>
              <w:t>项目管理系统软件</w:t>
            </w:r>
          </w:p>
        </w:tc>
        <w:tc>
          <w:tcPr>
            <w:tcW w:w="1351" w:type="dxa"/>
            <w:vAlign w:val="top"/>
          </w:tcPr>
          <w:p w14:paraId="25BD91F2">
            <w:pPr>
              <w:pStyle w:val="18"/>
              <w:spacing w:before="70" w:line="228" w:lineRule="auto"/>
              <w:ind w:left="475"/>
              <w:rPr>
                <w:color w:val="auto"/>
                <w:highlight w:val="none"/>
              </w:rPr>
            </w:pPr>
            <w:r>
              <w:rPr>
                <w:color w:val="auto"/>
                <w:spacing w:val="2"/>
                <w:highlight w:val="none"/>
              </w:rPr>
              <w:t>总额</w:t>
            </w:r>
          </w:p>
        </w:tc>
        <w:tc>
          <w:tcPr>
            <w:tcW w:w="1198" w:type="dxa"/>
            <w:vAlign w:val="top"/>
          </w:tcPr>
          <w:p w14:paraId="24DACD9E">
            <w:pPr>
              <w:pStyle w:val="18"/>
              <w:spacing w:before="71" w:line="270" w:lineRule="exact"/>
              <w:ind w:left="567"/>
              <w:rPr>
                <w:color w:val="auto"/>
                <w:highlight w:val="none"/>
              </w:rPr>
            </w:pPr>
            <w:r>
              <w:rPr>
                <w:color w:val="auto"/>
                <w:position w:val="1"/>
                <w:highlight w:val="none"/>
              </w:rPr>
              <w:t>1</w:t>
            </w:r>
          </w:p>
        </w:tc>
        <w:tc>
          <w:tcPr>
            <w:tcW w:w="1649" w:type="dxa"/>
            <w:vAlign w:val="top"/>
          </w:tcPr>
          <w:p w14:paraId="19264724">
            <w:pPr>
              <w:rPr>
                <w:rFonts w:ascii="Arial"/>
                <w:color w:val="auto"/>
                <w:sz w:val="21"/>
                <w:highlight w:val="none"/>
              </w:rPr>
            </w:pPr>
          </w:p>
        </w:tc>
        <w:tc>
          <w:tcPr>
            <w:tcW w:w="1649" w:type="dxa"/>
            <w:vAlign w:val="top"/>
          </w:tcPr>
          <w:p w14:paraId="35312372">
            <w:pPr>
              <w:rPr>
                <w:rFonts w:ascii="Arial"/>
                <w:color w:val="auto"/>
                <w:sz w:val="21"/>
                <w:highlight w:val="none"/>
              </w:rPr>
            </w:pPr>
          </w:p>
        </w:tc>
        <w:tc>
          <w:tcPr>
            <w:tcW w:w="3766" w:type="dxa"/>
            <w:vAlign w:val="top"/>
          </w:tcPr>
          <w:p w14:paraId="26CE6EAB">
            <w:pPr>
              <w:pStyle w:val="18"/>
              <w:spacing w:before="70" w:line="228" w:lineRule="auto"/>
              <w:ind w:left="418"/>
              <w:rPr>
                <w:color w:val="auto"/>
                <w:highlight w:val="none"/>
              </w:rPr>
            </w:pPr>
            <w:r>
              <w:rPr>
                <w:color w:val="auto"/>
                <w:spacing w:val="9"/>
                <w:highlight w:val="none"/>
              </w:rPr>
              <w:t>按招标文件规定的固定金额填报</w:t>
            </w:r>
          </w:p>
        </w:tc>
      </w:tr>
      <w:tr w14:paraId="68C8B5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1153" w:type="dxa"/>
            <w:vAlign w:val="top"/>
          </w:tcPr>
          <w:p w14:paraId="5E3D42D2">
            <w:pPr>
              <w:pStyle w:val="18"/>
              <w:spacing w:before="71" w:line="270" w:lineRule="exact"/>
              <w:ind w:left="532"/>
              <w:rPr>
                <w:color w:val="auto"/>
                <w:highlight w:val="none"/>
              </w:rPr>
            </w:pPr>
            <w:r>
              <w:rPr>
                <w:color w:val="auto"/>
                <w:position w:val="1"/>
                <w:highlight w:val="none"/>
              </w:rPr>
              <w:t>2</w:t>
            </w:r>
          </w:p>
        </w:tc>
        <w:tc>
          <w:tcPr>
            <w:tcW w:w="3452" w:type="dxa"/>
            <w:vAlign w:val="top"/>
          </w:tcPr>
          <w:p w14:paraId="36BA40E3">
            <w:pPr>
              <w:pStyle w:val="18"/>
              <w:spacing w:before="71" w:line="228" w:lineRule="auto"/>
              <w:ind w:left="891"/>
              <w:rPr>
                <w:color w:val="auto"/>
                <w:highlight w:val="none"/>
              </w:rPr>
            </w:pPr>
            <w:r>
              <w:rPr>
                <w:color w:val="auto"/>
                <w:spacing w:val="8"/>
                <w:highlight w:val="none"/>
              </w:rPr>
              <w:t>监理适岗培训费用</w:t>
            </w:r>
          </w:p>
        </w:tc>
        <w:tc>
          <w:tcPr>
            <w:tcW w:w="1351" w:type="dxa"/>
            <w:vAlign w:val="top"/>
          </w:tcPr>
          <w:p w14:paraId="7D9B9DF2">
            <w:pPr>
              <w:pStyle w:val="18"/>
              <w:spacing w:before="71" w:line="228" w:lineRule="auto"/>
              <w:ind w:left="475"/>
              <w:rPr>
                <w:color w:val="auto"/>
                <w:highlight w:val="none"/>
              </w:rPr>
            </w:pPr>
            <w:r>
              <w:rPr>
                <w:color w:val="auto"/>
                <w:spacing w:val="2"/>
                <w:highlight w:val="none"/>
              </w:rPr>
              <w:t>总额</w:t>
            </w:r>
          </w:p>
        </w:tc>
        <w:tc>
          <w:tcPr>
            <w:tcW w:w="1198" w:type="dxa"/>
            <w:vAlign w:val="top"/>
          </w:tcPr>
          <w:p w14:paraId="59038679">
            <w:pPr>
              <w:pStyle w:val="18"/>
              <w:spacing w:before="71" w:line="270" w:lineRule="exact"/>
              <w:ind w:left="567"/>
              <w:rPr>
                <w:color w:val="auto"/>
                <w:highlight w:val="none"/>
              </w:rPr>
            </w:pPr>
            <w:r>
              <w:rPr>
                <w:color w:val="auto"/>
                <w:position w:val="1"/>
                <w:highlight w:val="none"/>
              </w:rPr>
              <w:t>1</w:t>
            </w:r>
          </w:p>
        </w:tc>
        <w:tc>
          <w:tcPr>
            <w:tcW w:w="1649" w:type="dxa"/>
            <w:vAlign w:val="top"/>
          </w:tcPr>
          <w:p w14:paraId="2992152A">
            <w:pPr>
              <w:rPr>
                <w:rFonts w:ascii="Arial"/>
                <w:color w:val="auto"/>
                <w:sz w:val="21"/>
                <w:highlight w:val="none"/>
              </w:rPr>
            </w:pPr>
          </w:p>
        </w:tc>
        <w:tc>
          <w:tcPr>
            <w:tcW w:w="1649" w:type="dxa"/>
            <w:vAlign w:val="top"/>
          </w:tcPr>
          <w:p w14:paraId="4F2E7F54">
            <w:pPr>
              <w:rPr>
                <w:rFonts w:ascii="Arial"/>
                <w:color w:val="auto"/>
                <w:sz w:val="21"/>
                <w:highlight w:val="none"/>
              </w:rPr>
            </w:pPr>
          </w:p>
        </w:tc>
        <w:tc>
          <w:tcPr>
            <w:tcW w:w="3766" w:type="dxa"/>
            <w:vAlign w:val="top"/>
          </w:tcPr>
          <w:p w14:paraId="26F53325">
            <w:pPr>
              <w:pStyle w:val="18"/>
              <w:spacing w:before="71" w:line="228" w:lineRule="auto"/>
              <w:ind w:left="418"/>
              <w:rPr>
                <w:color w:val="auto"/>
                <w:highlight w:val="none"/>
              </w:rPr>
            </w:pPr>
            <w:r>
              <w:rPr>
                <w:color w:val="auto"/>
                <w:spacing w:val="9"/>
                <w:highlight w:val="none"/>
              </w:rPr>
              <w:t>按招标文件规定的固定金额填报</w:t>
            </w:r>
          </w:p>
        </w:tc>
      </w:tr>
      <w:tr w14:paraId="2B61E8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1153" w:type="dxa"/>
            <w:vAlign w:val="top"/>
          </w:tcPr>
          <w:p w14:paraId="6A258ED8">
            <w:pPr>
              <w:pStyle w:val="18"/>
              <w:spacing w:before="237" w:line="268" w:lineRule="exact"/>
              <w:ind w:left="533"/>
              <w:rPr>
                <w:color w:val="auto"/>
                <w:highlight w:val="none"/>
              </w:rPr>
            </w:pPr>
            <w:r>
              <w:rPr>
                <w:color w:val="auto"/>
                <w:position w:val="1"/>
                <w:highlight w:val="none"/>
              </w:rPr>
              <w:t>3</w:t>
            </w:r>
          </w:p>
        </w:tc>
        <w:tc>
          <w:tcPr>
            <w:tcW w:w="3452" w:type="dxa"/>
            <w:vAlign w:val="top"/>
          </w:tcPr>
          <w:p w14:paraId="66F960B1">
            <w:pPr>
              <w:pStyle w:val="18"/>
              <w:spacing w:before="33" w:line="227" w:lineRule="auto"/>
              <w:ind w:left="154"/>
              <w:rPr>
                <w:color w:val="auto"/>
                <w:highlight w:val="none"/>
              </w:rPr>
            </w:pPr>
            <w:r>
              <w:rPr>
                <w:color w:val="auto"/>
                <w:spacing w:val="13"/>
                <w:highlight w:val="none"/>
              </w:rPr>
              <w:t>法人单位对“项目现场管理机构</w:t>
            </w:r>
            <w:r>
              <w:rPr>
                <w:color w:val="auto"/>
                <w:spacing w:val="-56"/>
                <w:highlight w:val="none"/>
              </w:rPr>
              <w:t xml:space="preserve"> </w:t>
            </w:r>
            <w:r>
              <w:rPr>
                <w:color w:val="auto"/>
                <w:spacing w:val="13"/>
                <w:highlight w:val="none"/>
              </w:rPr>
              <w:t>”</w:t>
            </w:r>
          </w:p>
          <w:p w14:paraId="4640E8E4">
            <w:pPr>
              <w:pStyle w:val="18"/>
              <w:spacing w:before="161" w:line="228" w:lineRule="auto"/>
              <w:ind w:left="1011"/>
              <w:rPr>
                <w:color w:val="auto"/>
                <w:highlight w:val="none"/>
              </w:rPr>
            </w:pPr>
            <w:r>
              <w:rPr>
                <w:color w:val="auto"/>
                <w:spacing w:val="6"/>
                <w:highlight w:val="none"/>
              </w:rPr>
              <w:t>的监管和支持费</w:t>
            </w:r>
          </w:p>
        </w:tc>
        <w:tc>
          <w:tcPr>
            <w:tcW w:w="1351" w:type="dxa"/>
            <w:vAlign w:val="top"/>
          </w:tcPr>
          <w:p w14:paraId="39943CF7">
            <w:pPr>
              <w:pStyle w:val="18"/>
              <w:spacing w:before="237" w:line="228" w:lineRule="auto"/>
              <w:ind w:left="475"/>
              <w:rPr>
                <w:color w:val="auto"/>
                <w:highlight w:val="none"/>
              </w:rPr>
            </w:pPr>
            <w:r>
              <w:rPr>
                <w:color w:val="auto"/>
                <w:spacing w:val="2"/>
                <w:highlight w:val="none"/>
              </w:rPr>
              <w:t>总额</w:t>
            </w:r>
          </w:p>
        </w:tc>
        <w:tc>
          <w:tcPr>
            <w:tcW w:w="1198" w:type="dxa"/>
            <w:vAlign w:val="top"/>
          </w:tcPr>
          <w:p w14:paraId="3CA79F4E">
            <w:pPr>
              <w:pStyle w:val="18"/>
              <w:spacing w:before="237" w:line="270" w:lineRule="exact"/>
              <w:ind w:left="567"/>
              <w:rPr>
                <w:color w:val="auto"/>
                <w:highlight w:val="none"/>
              </w:rPr>
            </w:pPr>
            <w:r>
              <w:rPr>
                <w:color w:val="auto"/>
                <w:position w:val="1"/>
                <w:highlight w:val="none"/>
              </w:rPr>
              <w:t>1</w:t>
            </w:r>
          </w:p>
        </w:tc>
        <w:tc>
          <w:tcPr>
            <w:tcW w:w="1649" w:type="dxa"/>
            <w:vAlign w:val="top"/>
          </w:tcPr>
          <w:p w14:paraId="319C955D">
            <w:pPr>
              <w:rPr>
                <w:rFonts w:ascii="Arial"/>
                <w:color w:val="auto"/>
                <w:sz w:val="21"/>
                <w:highlight w:val="none"/>
              </w:rPr>
            </w:pPr>
          </w:p>
        </w:tc>
        <w:tc>
          <w:tcPr>
            <w:tcW w:w="1649" w:type="dxa"/>
            <w:vAlign w:val="top"/>
          </w:tcPr>
          <w:p w14:paraId="0693572C">
            <w:pPr>
              <w:rPr>
                <w:rFonts w:ascii="Arial"/>
                <w:color w:val="auto"/>
                <w:sz w:val="21"/>
                <w:highlight w:val="none"/>
              </w:rPr>
            </w:pPr>
          </w:p>
        </w:tc>
        <w:tc>
          <w:tcPr>
            <w:tcW w:w="3766" w:type="dxa"/>
            <w:vAlign w:val="top"/>
          </w:tcPr>
          <w:p w14:paraId="7108A5DF">
            <w:pPr>
              <w:pStyle w:val="18"/>
              <w:spacing w:before="237" w:line="228" w:lineRule="auto"/>
              <w:ind w:left="418"/>
              <w:rPr>
                <w:color w:val="auto"/>
                <w:highlight w:val="none"/>
              </w:rPr>
            </w:pPr>
            <w:r>
              <w:rPr>
                <w:color w:val="auto"/>
                <w:spacing w:val="9"/>
                <w:highlight w:val="none"/>
              </w:rPr>
              <w:t>按招标文件规定的固定金额填报</w:t>
            </w:r>
          </w:p>
        </w:tc>
      </w:tr>
      <w:tr w14:paraId="639087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1153" w:type="dxa"/>
            <w:vAlign w:val="top"/>
          </w:tcPr>
          <w:p w14:paraId="61261154">
            <w:pPr>
              <w:pStyle w:val="18"/>
              <w:spacing w:before="72" w:line="270" w:lineRule="exact"/>
              <w:ind w:left="528"/>
              <w:rPr>
                <w:color w:val="auto"/>
                <w:highlight w:val="none"/>
              </w:rPr>
            </w:pPr>
            <w:r>
              <w:rPr>
                <w:color w:val="auto"/>
                <w:position w:val="1"/>
                <w:highlight w:val="none"/>
              </w:rPr>
              <w:t>4</w:t>
            </w:r>
          </w:p>
        </w:tc>
        <w:tc>
          <w:tcPr>
            <w:tcW w:w="3452" w:type="dxa"/>
            <w:vAlign w:val="top"/>
          </w:tcPr>
          <w:p w14:paraId="5F91E7E8">
            <w:pPr>
              <w:pStyle w:val="18"/>
              <w:spacing w:before="226" w:line="84" w:lineRule="exact"/>
              <w:ind w:left="1263"/>
              <w:rPr>
                <w:color w:val="auto"/>
                <w:highlight w:val="none"/>
              </w:rPr>
            </w:pPr>
            <w:r>
              <w:rPr>
                <w:color w:val="auto"/>
                <w:spacing w:val="4"/>
                <w:position w:val="1"/>
                <w:highlight w:val="none"/>
              </w:rPr>
              <w:t>.........</w:t>
            </w:r>
          </w:p>
        </w:tc>
        <w:tc>
          <w:tcPr>
            <w:tcW w:w="1351" w:type="dxa"/>
            <w:vAlign w:val="top"/>
          </w:tcPr>
          <w:p w14:paraId="5E3505BF">
            <w:pPr>
              <w:rPr>
                <w:rFonts w:ascii="Arial"/>
                <w:color w:val="auto"/>
                <w:sz w:val="21"/>
                <w:highlight w:val="none"/>
              </w:rPr>
            </w:pPr>
          </w:p>
        </w:tc>
        <w:tc>
          <w:tcPr>
            <w:tcW w:w="1198" w:type="dxa"/>
            <w:vAlign w:val="top"/>
          </w:tcPr>
          <w:p w14:paraId="222D2EF0">
            <w:pPr>
              <w:rPr>
                <w:rFonts w:ascii="Arial"/>
                <w:color w:val="auto"/>
                <w:sz w:val="21"/>
                <w:highlight w:val="none"/>
              </w:rPr>
            </w:pPr>
          </w:p>
        </w:tc>
        <w:tc>
          <w:tcPr>
            <w:tcW w:w="1649" w:type="dxa"/>
            <w:vAlign w:val="top"/>
          </w:tcPr>
          <w:p w14:paraId="2D84C5F6">
            <w:pPr>
              <w:rPr>
                <w:rFonts w:ascii="Arial"/>
                <w:color w:val="auto"/>
                <w:sz w:val="21"/>
                <w:highlight w:val="none"/>
              </w:rPr>
            </w:pPr>
          </w:p>
        </w:tc>
        <w:tc>
          <w:tcPr>
            <w:tcW w:w="1649" w:type="dxa"/>
            <w:vAlign w:val="top"/>
          </w:tcPr>
          <w:p w14:paraId="1D398A07">
            <w:pPr>
              <w:rPr>
                <w:rFonts w:ascii="Arial"/>
                <w:color w:val="auto"/>
                <w:sz w:val="21"/>
                <w:highlight w:val="none"/>
              </w:rPr>
            </w:pPr>
          </w:p>
        </w:tc>
        <w:tc>
          <w:tcPr>
            <w:tcW w:w="3766" w:type="dxa"/>
            <w:vAlign w:val="top"/>
          </w:tcPr>
          <w:p w14:paraId="3099FD8F">
            <w:pPr>
              <w:rPr>
                <w:rFonts w:ascii="Arial"/>
                <w:color w:val="auto"/>
                <w:sz w:val="21"/>
                <w:highlight w:val="none"/>
              </w:rPr>
            </w:pPr>
          </w:p>
        </w:tc>
      </w:tr>
      <w:tr w14:paraId="1D29D7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6" w:hRule="atLeast"/>
        </w:trPr>
        <w:tc>
          <w:tcPr>
            <w:tcW w:w="1153" w:type="dxa"/>
            <w:vAlign w:val="top"/>
          </w:tcPr>
          <w:p w14:paraId="625591E2">
            <w:pPr>
              <w:pStyle w:val="18"/>
              <w:spacing w:before="33" w:line="361" w:lineRule="auto"/>
              <w:ind w:left="278" w:right="277" w:firstLine="93"/>
              <w:rPr>
                <w:color w:val="auto"/>
                <w:highlight w:val="none"/>
              </w:rPr>
            </w:pPr>
            <w:r>
              <w:rPr>
                <w:color w:val="auto"/>
                <w:spacing w:val="4"/>
                <w:highlight w:val="none"/>
              </w:rPr>
              <w:t>合计</w:t>
            </w:r>
            <w:r>
              <w:rPr>
                <w:color w:val="auto"/>
                <w:spacing w:val="-3"/>
                <w:highlight w:val="none"/>
              </w:rPr>
              <w:t>（元）</w:t>
            </w:r>
          </w:p>
        </w:tc>
        <w:tc>
          <w:tcPr>
            <w:tcW w:w="3452" w:type="dxa"/>
            <w:vAlign w:val="top"/>
          </w:tcPr>
          <w:p w14:paraId="502CB034">
            <w:pPr>
              <w:rPr>
                <w:rFonts w:ascii="Arial"/>
                <w:color w:val="auto"/>
                <w:sz w:val="21"/>
                <w:highlight w:val="none"/>
              </w:rPr>
            </w:pPr>
          </w:p>
        </w:tc>
        <w:tc>
          <w:tcPr>
            <w:tcW w:w="1351" w:type="dxa"/>
            <w:vAlign w:val="top"/>
          </w:tcPr>
          <w:p w14:paraId="6870BD57">
            <w:pPr>
              <w:rPr>
                <w:rFonts w:ascii="Arial"/>
                <w:color w:val="auto"/>
                <w:sz w:val="21"/>
                <w:highlight w:val="none"/>
              </w:rPr>
            </w:pPr>
          </w:p>
        </w:tc>
        <w:tc>
          <w:tcPr>
            <w:tcW w:w="1198" w:type="dxa"/>
            <w:vAlign w:val="top"/>
          </w:tcPr>
          <w:p w14:paraId="0DB2DD6A">
            <w:pPr>
              <w:rPr>
                <w:rFonts w:ascii="Arial"/>
                <w:color w:val="auto"/>
                <w:sz w:val="21"/>
                <w:highlight w:val="none"/>
              </w:rPr>
            </w:pPr>
          </w:p>
        </w:tc>
        <w:tc>
          <w:tcPr>
            <w:tcW w:w="1649" w:type="dxa"/>
            <w:vAlign w:val="top"/>
          </w:tcPr>
          <w:p w14:paraId="4D3BB6E8">
            <w:pPr>
              <w:rPr>
                <w:rFonts w:ascii="Arial"/>
                <w:color w:val="auto"/>
                <w:sz w:val="21"/>
                <w:highlight w:val="none"/>
              </w:rPr>
            </w:pPr>
          </w:p>
        </w:tc>
        <w:tc>
          <w:tcPr>
            <w:tcW w:w="1649" w:type="dxa"/>
            <w:vAlign w:val="top"/>
          </w:tcPr>
          <w:p w14:paraId="1682509F">
            <w:pPr>
              <w:rPr>
                <w:rFonts w:ascii="Arial"/>
                <w:color w:val="auto"/>
                <w:sz w:val="21"/>
                <w:highlight w:val="none"/>
              </w:rPr>
            </w:pPr>
          </w:p>
        </w:tc>
        <w:tc>
          <w:tcPr>
            <w:tcW w:w="3766" w:type="dxa"/>
            <w:vAlign w:val="top"/>
          </w:tcPr>
          <w:p w14:paraId="02AF30F7">
            <w:pPr>
              <w:rPr>
                <w:rFonts w:ascii="Arial"/>
                <w:color w:val="auto"/>
                <w:sz w:val="21"/>
                <w:highlight w:val="none"/>
              </w:rPr>
            </w:pPr>
          </w:p>
        </w:tc>
      </w:tr>
    </w:tbl>
    <w:p w14:paraId="1550250B">
      <w:pPr>
        <w:rPr>
          <w:rFonts w:ascii="Arial"/>
          <w:color w:val="auto"/>
          <w:sz w:val="21"/>
          <w:highlight w:val="none"/>
        </w:rPr>
      </w:pPr>
    </w:p>
    <w:p w14:paraId="0FB293EE">
      <w:pPr>
        <w:rPr>
          <w:rFonts w:ascii="Arial"/>
          <w:color w:val="auto"/>
          <w:sz w:val="21"/>
          <w:highlight w:val="none"/>
        </w:rPr>
      </w:pPr>
    </w:p>
    <w:p w14:paraId="22B2786B">
      <w:pPr>
        <w:rPr>
          <w:rFonts w:ascii="Arial"/>
          <w:color w:val="auto"/>
          <w:sz w:val="21"/>
          <w:highlight w:val="none"/>
        </w:rPr>
      </w:pPr>
    </w:p>
    <w:p w14:paraId="717A796A">
      <w:pPr>
        <w:rPr>
          <w:rFonts w:ascii="Arial"/>
          <w:color w:val="auto"/>
          <w:sz w:val="21"/>
          <w:highlight w:val="none"/>
        </w:rPr>
      </w:pPr>
    </w:p>
    <w:p w14:paraId="7F1036D9">
      <w:pPr>
        <w:rPr>
          <w:rFonts w:ascii="Arial"/>
          <w:color w:val="auto"/>
          <w:sz w:val="21"/>
          <w:highlight w:val="none"/>
        </w:rPr>
      </w:pPr>
    </w:p>
    <w:p w14:paraId="619FCE02">
      <w:pPr>
        <w:rPr>
          <w:rFonts w:ascii="Arial"/>
          <w:color w:val="auto"/>
          <w:sz w:val="21"/>
          <w:highlight w:val="none"/>
        </w:rPr>
      </w:pPr>
    </w:p>
    <w:p w14:paraId="20627256">
      <w:pPr>
        <w:rPr>
          <w:rFonts w:ascii="Arial"/>
          <w:color w:val="auto"/>
          <w:sz w:val="21"/>
          <w:highlight w:val="none"/>
        </w:rPr>
      </w:pPr>
    </w:p>
    <w:p w14:paraId="2B88F70A">
      <w:pPr>
        <w:rPr>
          <w:rFonts w:ascii="Arial"/>
          <w:color w:val="auto"/>
          <w:sz w:val="21"/>
          <w:highlight w:val="none"/>
        </w:rPr>
      </w:pPr>
    </w:p>
    <w:p w14:paraId="3962D15F">
      <w:pPr>
        <w:rPr>
          <w:rFonts w:ascii="Arial"/>
          <w:color w:val="auto"/>
          <w:sz w:val="21"/>
          <w:highlight w:val="none"/>
        </w:rPr>
      </w:pPr>
    </w:p>
    <w:p w14:paraId="6D69BAAA">
      <w:pPr>
        <w:rPr>
          <w:rFonts w:ascii="Arial"/>
          <w:color w:val="auto"/>
          <w:sz w:val="21"/>
          <w:highlight w:val="none"/>
        </w:rPr>
      </w:pPr>
    </w:p>
    <w:p w14:paraId="50AA3646">
      <w:pPr>
        <w:rPr>
          <w:rFonts w:ascii="Arial"/>
          <w:color w:val="auto"/>
          <w:sz w:val="21"/>
          <w:highlight w:val="none"/>
        </w:rPr>
      </w:pPr>
    </w:p>
    <w:p w14:paraId="68967B4E">
      <w:pPr>
        <w:rPr>
          <w:rFonts w:ascii="Arial"/>
          <w:color w:val="auto"/>
          <w:sz w:val="21"/>
          <w:highlight w:val="none"/>
        </w:rPr>
      </w:pPr>
    </w:p>
    <w:p w14:paraId="09DDA17F">
      <w:pPr>
        <w:rPr>
          <w:rFonts w:ascii="Arial"/>
          <w:color w:val="auto"/>
          <w:sz w:val="21"/>
          <w:highlight w:val="none"/>
        </w:rPr>
      </w:pPr>
    </w:p>
    <w:p w14:paraId="6425E977">
      <w:pPr>
        <w:rPr>
          <w:rFonts w:ascii="Arial"/>
          <w:color w:val="auto"/>
          <w:sz w:val="21"/>
          <w:highlight w:val="none"/>
        </w:rPr>
      </w:pPr>
    </w:p>
    <w:p w14:paraId="7177DCD3">
      <w:pPr>
        <w:rPr>
          <w:rFonts w:ascii="Arial"/>
          <w:color w:val="auto"/>
          <w:sz w:val="21"/>
          <w:highlight w:val="none"/>
        </w:rPr>
      </w:pPr>
    </w:p>
    <w:p w14:paraId="30C57861">
      <w:pPr>
        <w:rPr>
          <w:rFonts w:ascii="Arial"/>
          <w:color w:val="auto"/>
          <w:sz w:val="21"/>
          <w:highlight w:val="none"/>
        </w:rPr>
      </w:pPr>
      <w:r>
        <w:rPr>
          <w:color w:val="auto"/>
          <w:highlight w:val="none"/>
        </w:rPr>
        <w:pict>
          <v:shape id="_x0000_s1100" o:spid="_x0000_s1100" style="position:absolute;left:0pt;margin-left:5.45pt;margin-top:10.35pt;height:0pt;width:144pt;z-index:251706368;mso-width-relative:page;mso-height-relative:page;" filled="f" stroked="t" coordsize="2880,0" path="m0,0l2880,0e">
            <v:fill on="f" focussize="0,0"/>
            <v:stroke weight="0pt" color="#000000" miterlimit="0" joinstyle="bevel" endcap="square"/>
            <v:imagedata o:title=""/>
            <o:lock v:ext="edit"/>
          </v:shape>
        </w:pict>
      </w:r>
    </w:p>
    <w:p w14:paraId="6F7EAD22">
      <w:pPr>
        <w:rPr>
          <w:rFonts w:ascii="Arial"/>
          <w:color w:val="auto"/>
          <w:sz w:val="21"/>
          <w:highlight w:val="none"/>
        </w:rPr>
      </w:pPr>
    </w:p>
    <w:p w14:paraId="7C48AE0B">
      <w:pPr>
        <w:spacing w:before="59" w:line="373" w:lineRule="auto"/>
        <w:ind w:left="114" w:right="163"/>
        <w:rPr>
          <w:rFonts w:ascii="宋体" w:hAnsi="宋体" w:eastAsia="宋体" w:cs="宋体"/>
          <w:color w:val="auto"/>
          <w:sz w:val="18"/>
          <w:szCs w:val="18"/>
          <w:highlight w:val="none"/>
        </w:rPr>
      </w:pPr>
      <w:r>
        <w:rPr>
          <w:rFonts w:ascii="宋体" w:hAnsi="宋体" w:eastAsia="宋体" w:cs="宋体"/>
          <w:color w:val="auto"/>
          <w:sz w:val="18"/>
          <w:szCs w:val="18"/>
          <w:highlight w:val="none"/>
        </w:rPr>
        <w:t>① 根据《广东省公路工程施工监理指南（试行）》和《广东省交通运输厅关于推进公路建设项目管理改革的指导意见（试行）》相关要求，招标人结合项目特点</w:t>
      </w:r>
      <w:r>
        <w:rPr>
          <w:rFonts w:ascii="宋体" w:hAnsi="宋体" w:eastAsia="宋体" w:cs="宋体"/>
          <w:color w:val="auto"/>
          <w:spacing w:val="-1"/>
          <w:sz w:val="18"/>
          <w:szCs w:val="18"/>
          <w:highlight w:val="none"/>
        </w:rPr>
        <w:t>合理设置他费用</w:t>
      </w:r>
      <w:bookmarkStart w:id="495" w:name="bookmark163"/>
      <w:bookmarkEnd w:id="495"/>
      <w:r>
        <w:rPr>
          <w:rFonts w:ascii="宋体" w:hAnsi="宋体" w:eastAsia="宋体" w:cs="宋体"/>
          <w:color w:val="auto"/>
          <w:sz w:val="18"/>
          <w:szCs w:val="18"/>
          <w:highlight w:val="none"/>
        </w:rPr>
        <w:t>报价表中的费用子目，并在合同</w:t>
      </w:r>
      <w:r>
        <w:rPr>
          <w:rFonts w:ascii="MingLiU-ExtB" w:hAnsi="MingLiU-ExtB" w:eastAsia="MingLiU-ExtB" w:cs="MingLiU-ExtB"/>
          <w:color w:val="auto"/>
          <w:sz w:val="18"/>
          <w:szCs w:val="18"/>
          <w:highlight w:val="none"/>
        </w:rPr>
        <w:t>9</w:t>
      </w:r>
      <w:r>
        <w:rPr>
          <w:rFonts w:ascii="MingLiU-ExtB" w:hAnsi="MingLiU-ExtB" w:eastAsia="MingLiU-ExtB" w:cs="MingLiU-ExtB"/>
          <w:color w:val="auto"/>
          <w:spacing w:val="-53"/>
          <w:sz w:val="18"/>
          <w:szCs w:val="18"/>
          <w:highlight w:val="none"/>
        </w:rPr>
        <w:t xml:space="preserve"> </w:t>
      </w:r>
      <w:r>
        <w:rPr>
          <w:rFonts w:ascii="MingLiU-ExtB" w:hAnsi="MingLiU-ExtB" w:eastAsia="MingLiU-ExtB" w:cs="MingLiU-ExtB"/>
          <w:color w:val="auto"/>
          <w:sz w:val="18"/>
          <w:szCs w:val="18"/>
          <w:highlight w:val="none"/>
        </w:rPr>
        <w:t>.3</w:t>
      </w:r>
      <w:r>
        <w:rPr>
          <w:rFonts w:ascii="MingLiU-ExtB" w:hAnsi="MingLiU-ExtB" w:eastAsia="MingLiU-ExtB" w:cs="MingLiU-ExtB"/>
          <w:color w:val="auto"/>
          <w:spacing w:val="-38"/>
          <w:sz w:val="18"/>
          <w:szCs w:val="18"/>
          <w:highlight w:val="none"/>
        </w:rPr>
        <w:t xml:space="preserve"> </w:t>
      </w:r>
      <w:r>
        <w:rPr>
          <w:rFonts w:ascii="宋体" w:hAnsi="宋体" w:eastAsia="宋体" w:cs="宋体"/>
          <w:color w:val="auto"/>
          <w:sz w:val="18"/>
          <w:szCs w:val="18"/>
          <w:highlight w:val="none"/>
        </w:rPr>
        <w:t>款中约</w:t>
      </w:r>
      <w:r>
        <w:rPr>
          <w:rFonts w:ascii="宋体" w:hAnsi="宋体" w:eastAsia="宋体" w:cs="宋体"/>
          <w:color w:val="auto"/>
          <w:spacing w:val="-1"/>
          <w:sz w:val="18"/>
          <w:szCs w:val="18"/>
          <w:highlight w:val="none"/>
        </w:rPr>
        <w:t>定支付细则。</w:t>
      </w:r>
    </w:p>
    <w:p w14:paraId="1F591AB1">
      <w:pPr>
        <w:spacing w:line="373" w:lineRule="auto"/>
        <w:rPr>
          <w:rFonts w:ascii="宋体" w:hAnsi="宋体" w:eastAsia="宋体" w:cs="宋体"/>
          <w:color w:val="auto"/>
          <w:sz w:val="18"/>
          <w:szCs w:val="18"/>
          <w:highlight w:val="none"/>
        </w:rPr>
        <w:sectPr>
          <w:footerReference r:id="rId114" w:type="default"/>
          <w:pgSz w:w="16839" w:h="11906"/>
          <w:pgMar w:top="1012" w:right="1307" w:bottom="1297" w:left="1307" w:header="0" w:footer="1069" w:gutter="0"/>
          <w:pgNumType w:fmt="decimal"/>
          <w:cols w:space="720" w:num="1"/>
        </w:sectPr>
      </w:pPr>
    </w:p>
    <w:p w14:paraId="419A8487">
      <w:pPr>
        <w:spacing w:before="55" w:line="212" w:lineRule="auto"/>
        <w:ind w:left="3076"/>
        <w:rPr>
          <w:rFonts w:ascii="宋体" w:hAnsi="宋体" w:eastAsia="宋体" w:cs="宋体"/>
          <w:color w:val="auto"/>
          <w:sz w:val="28"/>
          <w:szCs w:val="28"/>
          <w:highlight w:val="none"/>
        </w:rPr>
      </w:pPr>
      <w:r>
        <w:rPr>
          <w:rFonts w:ascii="宋体" w:hAnsi="宋体" w:eastAsia="宋体" w:cs="宋体"/>
          <w:b/>
          <w:bCs/>
          <w:color w:val="auto"/>
          <w:spacing w:val="-4"/>
          <w:sz w:val="28"/>
          <w:szCs w:val="28"/>
          <w:highlight w:val="none"/>
        </w:rPr>
        <w:t>表</w:t>
      </w:r>
      <w:r>
        <w:rPr>
          <w:rFonts w:ascii="宋体" w:hAnsi="宋体" w:eastAsia="宋体" w:cs="宋体"/>
          <w:color w:val="auto"/>
          <w:spacing w:val="-52"/>
          <w:sz w:val="28"/>
          <w:szCs w:val="28"/>
          <w:highlight w:val="none"/>
        </w:rPr>
        <w:t xml:space="preserve"> </w:t>
      </w:r>
      <w:r>
        <w:rPr>
          <w:rFonts w:ascii="宋体" w:hAnsi="宋体" w:eastAsia="宋体" w:cs="宋体"/>
          <w:b/>
          <w:bCs/>
          <w:color w:val="auto"/>
          <w:spacing w:val="-4"/>
          <w:sz w:val="28"/>
          <w:szCs w:val="28"/>
          <w:highlight w:val="none"/>
        </w:rPr>
        <w:t>8</w:t>
      </w:r>
      <w:r>
        <w:rPr>
          <w:rFonts w:ascii="宋体" w:hAnsi="宋体" w:eastAsia="宋体" w:cs="宋体"/>
          <w:color w:val="auto"/>
          <w:spacing w:val="-4"/>
          <w:sz w:val="28"/>
          <w:szCs w:val="28"/>
          <w:highlight w:val="none"/>
        </w:rPr>
        <w:t xml:space="preserve"> </w:t>
      </w:r>
      <w:r>
        <w:rPr>
          <w:rFonts w:ascii="宋体" w:hAnsi="宋体" w:eastAsia="宋体" w:cs="宋体"/>
          <w:b/>
          <w:bCs/>
          <w:color w:val="auto"/>
          <w:spacing w:val="-4"/>
          <w:sz w:val="28"/>
          <w:szCs w:val="28"/>
          <w:highlight w:val="none"/>
        </w:rPr>
        <w:t>监理费用支付估算表</w:t>
      </w:r>
    </w:p>
    <w:tbl>
      <w:tblPr>
        <w:tblStyle w:val="17"/>
        <w:tblW w:w="928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03"/>
        <w:gridCol w:w="661"/>
        <w:gridCol w:w="661"/>
        <w:gridCol w:w="661"/>
        <w:gridCol w:w="664"/>
        <w:gridCol w:w="660"/>
        <w:gridCol w:w="661"/>
        <w:gridCol w:w="661"/>
        <w:gridCol w:w="666"/>
        <w:gridCol w:w="1467"/>
        <w:gridCol w:w="923"/>
      </w:tblGrid>
      <w:tr w14:paraId="625FA1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1603" w:type="dxa"/>
            <w:vMerge w:val="restart"/>
            <w:tcBorders>
              <w:bottom w:val="nil"/>
              <w:tl2br w:val="single" w:color="000000" w:sz="8" w:space="0"/>
            </w:tcBorders>
            <w:vAlign w:val="top"/>
          </w:tcPr>
          <w:p w14:paraId="5FC8C470">
            <w:pPr>
              <w:pStyle w:val="18"/>
              <w:spacing w:before="208" w:line="277" w:lineRule="auto"/>
              <w:ind w:left="51" w:right="55" w:firstLine="1091"/>
              <w:rPr>
                <w:color w:val="auto"/>
                <w:highlight w:val="none"/>
              </w:rPr>
            </w:pPr>
            <w:r>
              <w:rPr>
                <w:color w:val="auto"/>
                <w:spacing w:val="-1"/>
                <w:highlight w:val="none"/>
              </w:rPr>
              <w:t>时间</w:t>
            </w:r>
            <w:r>
              <w:rPr>
                <w:color w:val="auto"/>
                <w:spacing w:val="3"/>
                <w:highlight w:val="none"/>
              </w:rPr>
              <w:t>项目</w:t>
            </w:r>
          </w:p>
        </w:tc>
        <w:tc>
          <w:tcPr>
            <w:tcW w:w="2647" w:type="dxa"/>
            <w:gridSpan w:val="4"/>
            <w:vAlign w:val="top"/>
          </w:tcPr>
          <w:p w14:paraId="6365DE93">
            <w:pPr>
              <w:pStyle w:val="18"/>
              <w:tabs>
                <w:tab w:val="left" w:pos="1020"/>
              </w:tabs>
              <w:spacing w:before="165" w:line="216" w:lineRule="auto"/>
              <w:ind w:left="706"/>
              <w:rPr>
                <w:color w:val="auto"/>
                <w:highlight w:val="none"/>
              </w:rPr>
            </w:pPr>
            <w:r>
              <w:rPr>
                <w:color w:val="auto"/>
                <w:highlight w:val="none"/>
                <w:u w:val="single" w:color="auto"/>
              </w:rPr>
              <w:tab/>
            </w:r>
            <w:r>
              <w:rPr>
                <w:color w:val="auto"/>
                <w:spacing w:val="-88"/>
                <w:highlight w:val="none"/>
              </w:rPr>
              <w:t xml:space="preserve"> </w:t>
            </w:r>
            <w:r>
              <w:rPr>
                <w:color w:val="auto"/>
                <w:spacing w:val="2"/>
                <w:highlight w:val="none"/>
              </w:rPr>
              <w:t>年</w:t>
            </w:r>
            <w:r>
              <w:rPr>
                <w:color w:val="auto"/>
                <w:spacing w:val="-99"/>
                <w:highlight w:val="none"/>
              </w:rPr>
              <w:t xml:space="preserve"> </w:t>
            </w:r>
            <w:r>
              <w:rPr>
                <w:color w:val="auto"/>
                <w:spacing w:val="5"/>
                <w:highlight w:val="none"/>
                <w:u w:val="single" w:color="auto"/>
              </w:rPr>
              <w:t xml:space="preserve">   </w:t>
            </w:r>
            <w:r>
              <w:rPr>
                <w:color w:val="auto"/>
                <w:spacing w:val="-91"/>
                <w:highlight w:val="none"/>
              </w:rPr>
              <w:t xml:space="preserve"> </w:t>
            </w:r>
            <w:r>
              <w:rPr>
                <w:color w:val="auto"/>
                <w:spacing w:val="2"/>
                <w:highlight w:val="none"/>
              </w:rPr>
              <w:t>季度</w:t>
            </w:r>
          </w:p>
        </w:tc>
        <w:tc>
          <w:tcPr>
            <w:tcW w:w="2648" w:type="dxa"/>
            <w:gridSpan w:val="4"/>
            <w:vAlign w:val="top"/>
          </w:tcPr>
          <w:p w14:paraId="6D3632BF">
            <w:pPr>
              <w:pStyle w:val="18"/>
              <w:tabs>
                <w:tab w:val="left" w:pos="1005"/>
              </w:tabs>
              <w:spacing w:before="165" w:line="216" w:lineRule="auto"/>
              <w:ind w:left="692"/>
              <w:rPr>
                <w:color w:val="auto"/>
                <w:highlight w:val="none"/>
              </w:rPr>
            </w:pPr>
            <w:r>
              <w:rPr>
                <w:color w:val="auto"/>
                <w:highlight w:val="none"/>
                <w:u w:val="single" w:color="auto"/>
              </w:rPr>
              <w:tab/>
            </w:r>
            <w:r>
              <w:rPr>
                <w:color w:val="auto"/>
                <w:spacing w:val="-88"/>
                <w:highlight w:val="none"/>
              </w:rPr>
              <w:t xml:space="preserve"> </w:t>
            </w:r>
            <w:r>
              <w:rPr>
                <w:color w:val="auto"/>
                <w:spacing w:val="2"/>
                <w:highlight w:val="none"/>
              </w:rPr>
              <w:t>年</w:t>
            </w:r>
            <w:r>
              <w:rPr>
                <w:color w:val="auto"/>
                <w:spacing w:val="5"/>
                <w:highlight w:val="none"/>
                <w:u w:val="single" w:color="auto"/>
              </w:rPr>
              <w:t xml:space="preserve">   </w:t>
            </w:r>
            <w:r>
              <w:rPr>
                <w:color w:val="auto"/>
                <w:spacing w:val="-90"/>
                <w:highlight w:val="none"/>
              </w:rPr>
              <w:t xml:space="preserve"> </w:t>
            </w:r>
            <w:r>
              <w:rPr>
                <w:color w:val="auto"/>
                <w:spacing w:val="2"/>
                <w:highlight w:val="none"/>
              </w:rPr>
              <w:t>季度</w:t>
            </w:r>
          </w:p>
        </w:tc>
        <w:tc>
          <w:tcPr>
            <w:tcW w:w="1467" w:type="dxa"/>
            <w:vMerge w:val="restart"/>
            <w:tcBorders>
              <w:bottom w:val="nil"/>
            </w:tcBorders>
            <w:vAlign w:val="top"/>
          </w:tcPr>
          <w:p w14:paraId="4E3770E9">
            <w:pPr>
              <w:spacing w:line="302" w:lineRule="auto"/>
              <w:rPr>
                <w:rFonts w:ascii="Arial"/>
                <w:color w:val="auto"/>
                <w:sz w:val="21"/>
                <w:highlight w:val="none"/>
              </w:rPr>
            </w:pPr>
          </w:p>
          <w:p w14:paraId="18C2D4B0">
            <w:pPr>
              <w:pStyle w:val="18"/>
              <w:spacing w:before="65" w:line="228" w:lineRule="auto"/>
              <w:ind w:left="215"/>
              <w:rPr>
                <w:color w:val="auto"/>
                <w:highlight w:val="none"/>
              </w:rPr>
            </w:pPr>
            <w:r>
              <w:rPr>
                <w:color w:val="auto"/>
                <w:spacing w:val="8"/>
                <w:highlight w:val="none"/>
              </w:rPr>
              <w:t>缺陷责任期</w:t>
            </w:r>
          </w:p>
        </w:tc>
        <w:tc>
          <w:tcPr>
            <w:tcW w:w="923" w:type="dxa"/>
            <w:vMerge w:val="restart"/>
            <w:tcBorders>
              <w:bottom w:val="nil"/>
            </w:tcBorders>
            <w:vAlign w:val="top"/>
          </w:tcPr>
          <w:p w14:paraId="73B9E93F">
            <w:pPr>
              <w:spacing w:line="302" w:lineRule="auto"/>
              <w:rPr>
                <w:rFonts w:ascii="Arial"/>
                <w:color w:val="auto"/>
                <w:sz w:val="21"/>
                <w:highlight w:val="none"/>
              </w:rPr>
            </w:pPr>
          </w:p>
          <w:p w14:paraId="4A409AD4">
            <w:pPr>
              <w:pStyle w:val="18"/>
              <w:spacing w:before="65" w:line="229" w:lineRule="auto"/>
              <w:ind w:left="258"/>
              <w:rPr>
                <w:color w:val="auto"/>
                <w:highlight w:val="none"/>
              </w:rPr>
            </w:pPr>
            <w:r>
              <w:rPr>
                <w:color w:val="auto"/>
                <w:spacing w:val="4"/>
                <w:highlight w:val="none"/>
              </w:rPr>
              <w:t>合计</w:t>
            </w:r>
          </w:p>
        </w:tc>
      </w:tr>
      <w:tr w14:paraId="697AC5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603" w:type="dxa"/>
            <w:vMerge w:val="continue"/>
            <w:tcBorders>
              <w:top w:val="nil"/>
              <w:tl2br w:val="single" w:color="000000" w:sz="8" w:space="0"/>
            </w:tcBorders>
            <w:vAlign w:val="top"/>
          </w:tcPr>
          <w:p w14:paraId="063D4B42">
            <w:pPr>
              <w:rPr>
                <w:rFonts w:ascii="Arial"/>
                <w:color w:val="auto"/>
                <w:sz w:val="21"/>
                <w:highlight w:val="none"/>
              </w:rPr>
            </w:pPr>
          </w:p>
        </w:tc>
        <w:tc>
          <w:tcPr>
            <w:tcW w:w="661" w:type="dxa"/>
            <w:vAlign w:val="top"/>
          </w:tcPr>
          <w:p w14:paraId="204B4562">
            <w:pPr>
              <w:pStyle w:val="18"/>
              <w:spacing w:before="158" w:line="218" w:lineRule="auto"/>
              <w:ind w:left="296"/>
              <w:rPr>
                <w:color w:val="auto"/>
                <w:highlight w:val="none"/>
              </w:rPr>
            </w:pPr>
            <w:r>
              <w:rPr>
                <w:color w:val="auto"/>
                <w:highlight w:val="none"/>
              </w:rPr>
              <w:t>1</w:t>
            </w:r>
          </w:p>
        </w:tc>
        <w:tc>
          <w:tcPr>
            <w:tcW w:w="661" w:type="dxa"/>
            <w:vAlign w:val="top"/>
          </w:tcPr>
          <w:p w14:paraId="059FD4C0">
            <w:pPr>
              <w:pStyle w:val="18"/>
              <w:spacing w:before="158" w:line="218" w:lineRule="auto"/>
              <w:ind w:left="284"/>
              <w:rPr>
                <w:color w:val="auto"/>
                <w:highlight w:val="none"/>
              </w:rPr>
            </w:pPr>
            <w:r>
              <w:rPr>
                <w:color w:val="auto"/>
                <w:highlight w:val="none"/>
              </w:rPr>
              <w:t>2</w:t>
            </w:r>
          </w:p>
        </w:tc>
        <w:tc>
          <w:tcPr>
            <w:tcW w:w="661" w:type="dxa"/>
            <w:vAlign w:val="top"/>
          </w:tcPr>
          <w:p w14:paraId="228B4B2B">
            <w:pPr>
              <w:pStyle w:val="18"/>
              <w:spacing w:before="158" w:line="218" w:lineRule="auto"/>
              <w:ind w:left="285"/>
              <w:rPr>
                <w:color w:val="auto"/>
                <w:highlight w:val="none"/>
              </w:rPr>
            </w:pPr>
            <w:r>
              <w:rPr>
                <w:color w:val="auto"/>
                <w:highlight w:val="none"/>
              </w:rPr>
              <w:t>3</w:t>
            </w:r>
          </w:p>
        </w:tc>
        <w:tc>
          <w:tcPr>
            <w:tcW w:w="664" w:type="dxa"/>
            <w:vAlign w:val="top"/>
          </w:tcPr>
          <w:p w14:paraId="4BE96C3A">
            <w:pPr>
              <w:pStyle w:val="18"/>
              <w:spacing w:before="158" w:line="218" w:lineRule="auto"/>
              <w:ind w:left="284"/>
              <w:rPr>
                <w:color w:val="auto"/>
                <w:highlight w:val="none"/>
              </w:rPr>
            </w:pPr>
            <w:r>
              <w:rPr>
                <w:color w:val="auto"/>
                <w:highlight w:val="none"/>
              </w:rPr>
              <w:t>4</w:t>
            </w:r>
          </w:p>
        </w:tc>
        <w:tc>
          <w:tcPr>
            <w:tcW w:w="660" w:type="dxa"/>
            <w:vAlign w:val="top"/>
          </w:tcPr>
          <w:p w14:paraId="1FF6C728">
            <w:pPr>
              <w:pStyle w:val="18"/>
              <w:spacing w:before="158" w:line="218" w:lineRule="auto"/>
              <w:ind w:left="298"/>
              <w:rPr>
                <w:color w:val="auto"/>
                <w:highlight w:val="none"/>
              </w:rPr>
            </w:pPr>
            <w:r>
              <w:rPr>
                <w:color w:val="auto"/>
                <w:highlight w:val="none"/>
              </w:rPr>
              <w:t>1</w:t>
            </w:r>
          </w:p>
        </w:tc>
        <w:tc>
          <w:tcPr>
            <w:tcW w:w="661" w:type="dxa"/>
            <w:vAlign w:val="top"/>
          </w:tcPr>
          <w:p w14:paraId="2CCE0276">
            <w:pPr>
              <w:pStyle w:val="18"/>
              <w:spacing w:before="158" w:line="218" w:lineRule="auto"/>
              <w:ind w:left="285"/>
              <w:rPr>
                <w:color w:val="auto"/>
                <w:highlight w:val="none"/>
              </w:rPr>
            </w:pPr>
            <w:r>
              <w:rPr>
                <w:color w:val="auto"/>
                <w:highlight w:val="none"/>
              </w:rPr>
              <w:t>2</w:t>
            </w:r>
          </w:p>
        </w:tc>
        <w:tc>
          <w:tcPr>
            <w:tcW w:w="661" w:type="dxa"/>
            <w:vAlign w:val="top"/>
          </w:tcPr>
          <w:p w14:paraId="642A5247">
            <w:pPr>
              <w:pStyle w:val="18"/>
              <w:spacing w:before="158" w:line="218" w:lineRule="auto"/>
              <w:ind w:left="288"/>
              <w:rPr>
                <w:color w:val="auto"/>
                <w:highlight w:val="none"/>
              </w:rPr>
            </w:pPr>
            <w:r>
              <w:rPr>
                <w:color w:val="auto"/>
                <w:highlight w:val="none"/>
              </w:rPr>
              <w:t>3</w:t>
            </w:r>
          </w:p>
        </w:tc>
        <w:tc>
          <w:tcPr>
            <w:tcW w:w="666" w:type="dxa"/>
            <w:vAlign w:val="top"/>
          </w:tcPr>
          <w:p w14:paraId="21150E6A">
            <w:pPr>
              <w:pStyle w:val="18"/>
              <w:spacing w:before="158" w:line="218" w:lineRule="auto"/>
              <w:ind w:left="285"/>
              <w:rPr>
                <w:color w:val="auto"/>
                <w:highlight w:val="none"/>
              </w:rPr>
            </w:pPr>
            <w:r>
              <w:rPr>
                <w:color w:val="auto"/>
                <w:highlight w:val="none"/>
              </w:rPr>
              <w:t>4</w:t>
            </w:r>
          </w:p>
        </w:tc>
        <w:tc>
          <w:tcPr>
            <w:tcW w:w="1467" w:type="dxa"/>
            <w:vMerge w:val="continue"/>
            <w:tcBorders>
              <w:top w:val="nil"/>
            </w:tcBorders>
            <w:vAlign w:val="top"/>
          </w:tcPr>
          <w:p w14:paraId="11093D15">
            <w:pPr>
              <w:rPr>
                <w:rFonts w:ascii="Arial"/>
                <w:color w:val="auto"/>
                <w:sz w:val="21"/>
                <w:highlight w:val="none"/>
              </w:rPr>
            </w:pPr>
          </w:p>
        </w:tc>
        <w:tc>
          <w:tcPr>
            <w:tcW w:w="923" w:type="dxa"/>
            <w:vMerge w:val="continue"/>
            <w:tcBorders>
              <w:top w:val="nil"/>
            </w:tcBorders>
            <w:vAlign w:val="top"/>
          </w:tcPr>
          <w:p w14:paraId="4414CB33">
            <w:pPr>
              <w:rPr>
                <w:rFonts w:ascii="Arial"/>
                <w:color w:val="auto"/>
                <w:sz w:val="21"/>
                <w:highlight w:val="none"/>
              </w:rPr>
            </w:pPr>
          </w:p>
        </w:tc>
      </w:tr>
      <w:tr w14:paraId="6ACBF6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1603" w:type="dxa"/>
            <w:vAlign w:val="top"/>
          </w:tcPr>
          <w:p w14:paraId="4F63D43E">
            <w:pPr>
              <w:pStyle w:val="18"/>
              <w:spacing w:before="260" w:line="216" w:lineRule="auto"/>
              <w:ind w:left="46"/>
              <w:rPr>
                <w:color w:val="auto"/>
                <w:highlight w:val="none"/>
              </w:rPr>
            </w:pPr>
            <w:r>
              <w:rPr>
                <w:color w:val="auto"/>
                <w:spacing w:val="8"/>
                <w:highlight w:val="none"/>
              </w:rPr>
              <w:t>监理人员服务费</w:t>
            </w:r>
          </w:p>
        </w:tc>
        <w:tc>
          <w:tcPr>
            <w:tcW w:w="661" w:type="dxa"/>
            <w:vAlign w:val="top"/>
          </w:tcPr>
          <w:p w14:paraId="7ACB0C9F">
            <w:pPr>
              <w:rPr>
                <w:rFonts w:ascii="Arial"/>
                <w:color w:val="auto"/>
                <w:sz w:val="21"/>
                <w:highlight w:val="none"/>
              </w:rPr>
            </w:pPr>
          </w:p>
        </w:tc>
        <w:tc>
          <w:tcPr>
            <w:tcW w:w="661" w:type="dxa"/>
            <w:vAlign w:val="top"/>
          </w:tcPr>
          <w:p w14:paraId="09A9B89D">
            <w:pPr>
              <w:rPr>
                <w:rFonts w:ascii="Arial"/>
                <w:color w:val="auto"/>
                <w:sz w:val="21"/>
                <w:highlight w:val="none"/>
              </w:rPr>
            </w:pPr>
          </w:p>
        </w:tc>
        <w:tc>
          <w:tcPr>
            <w:tcW w:w="661" w:type="dxa"/>
            <w:vAlign w:val="top"/>
          </w:tcPr>
          <w:p w14:paraId="1B7B16AA">
            <w:pPr>
              <w:rPr>
                <w:rFonts w:ascii="Arial"/>
                <w:color w:val="auto"/>
                <w:sz w:val="21"/>
                <w:highlight w:val="none"/>
              </w:rPr>
            </w:pPr>
          </w:p>
        </w:tc>
        <w:tc>
          <w:tcPr>
            <w:tcW w:w="664" w:type="dxa"/>
            <w:vAlign w:val="top"/>
          </w:tcPr>
          <w:p w14:paraId="4FF49652">
            <w:pPr>
              <w:rPr>
                <w:rFonts w:ascii="Arial"/>
                <w:color w:val="auto"/>
                <w:sz w:val="21"/>
                <w:highlight w:val="none"/>
              </w:rPr>
            </w:pPr>
          </w:p>
        </w:tc>
        <w:tc>
          <w:tcPr>
            <w:tcW w:w="660" w:type="dxa"/>
            <w:vAlign w:val="top"/>
          </w:tcPr>
          <w:p w14:paraId="0A77353A">
            <w:pPr>
              <w:rPr>
                <w:rFonts w:ascii="Arial"/>
                <w:color w:val="auto"/>
                <w:sz w:val="21"/>
                <w:highlight w:val="none"/>
              </w:rPr>
            </w:pPr>
          </w:p>
        </w:tc>
        <w:tc>
          <w:tcPr>
            <w:tcW w:w="661" w:type="dxa"/>
            <w:vAlign w:val="top"/>
          </w:tcPr>
          <w:p w14:paraId="6C880789">
            <w:pPr>
              <w:rPr>
                <w:rFonts w:ascii="Arial"/>
                <w:color w:val="auto"/>
                <w:sz w:val="21"/>
                <w:highlight w:val="none"/>
              </w:rPr>
            </w:pPr>
          </w:p>
        </w:tc>
        <w:tc>
          <w:tcPr>
            <w:tcW w:w="661" w:type="dxa"/>
            <w:vAlign w:val="top"/>
          </w:tcPr>
          <w:p w14:paraId="28561FED">
            <w:pPr>
              <w:rPr>
                <w:rFonts w:ascii="Arial"/>
                <w:color w:val="auto"/>
                <w:sz w:val="21"/>
                <w:highlight w:val="none"/>
              </w:rPr>
            </w:pPr>
          </w:p>
        </w:tc>
        <w:tc>
          <w:tcPr>
            <w:tcW w:w="666" w:type="dxa"/>
            <w:vAlign w:val="top"/>
          </w:tcPr>
          <w:p w14:paraId="11D1E6CE">
            <w:pPr>
              <w:rPr>
                <w:rFonts w:ascii="Arial"/>
                <w:color w:val="auto"/>
                <w:sz w:val="21"/>
                <w:highlight w:val="none"/>
              </w:rPr>
            </w:pPr>
          </w:p>
        </w:tc>
        <w:tc>
          <w:tcPr>
            <w:tcW w:w="1467" w:type="dxa"/>
            <w:vAlign w:val="top"/>
          </w:tcPr>
          <w:p w14:paraId="32AA3DBB">
            <w:pPr>
              <w:rPr>
                <w:rFonts w:ascii="Arial"/>
                <w:color w:val="auto"/>
                <w:sz w:val="21"/>
                <w:highlight w:val="none"/>
              </w:rPr>
            </w:pPr>
          </w:p>
        </w:tc>
        <w:tc>
          <w:tcPr>
            <w:tcW w:w="923" w:type="dxa"/>
            <w:vAlign w:val="top"/>
          </w:tcPr>
          <w:p w14:paraId="091896EE">
            <w:pPr>
              <w:rPr>
                <w:rFonts w:ascii="Arial"/>
                <w:color w:val="auto"/>
                <w:sz w:val="21"/>
                <w:highlight w:val="none"/>
              </w:rPr>
            </w:pPr>
          </w:p>
        </w:tc>
      </w:tr>
      <w:tr w14:paraId="66E82C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1603" w:type="dxa"/>
            <w:vAlign w:val="top"/>
          </w:tcPr>
          <w:p w14:paraId="5D8BCA2F">
            <w:pPr>
              <w:pStyle w:val="18"/>
              <w:spacing w:before="260" w:line="216" w:lineRule="auto"/>
              <w:ind w:left="46"/>
              <w:rPr>
                <w:color w:val="auto"/>
                <w:highlight w:val="none"/>
              </w:rPr>
            </w:pPr>
            <w:r>
              <w:rPr>
                <w:color w:val="auto"/>
                <w:spacing w:val="8"/>
                <w:highlight w:val="none"/>
              </w:rPr>
              <w:t>监理办公设施费</w:t>
            </w:r>
          </w:p>
        </w:tc>
        <w:tc>
          <w:tcPr>
            <w:tcW w:w="661" w:type="dxa"/>
            <w:vAlign w:val="top"/>
          </w:tcPr>
          <w:p w14:paraId="27C21E6B">
            <w:pPr>
              <w:rPr>
                <w:rFonts w:ascii="Arial"/>
                <w:color w:val="auto"/>
                <w:sz w:val="21"/>
                <w:highlight w:val="none"/>
              </w:rPr>
            </w:pPr>
          </w:p>
        </w:tc>
        <w:tc>
          <w:tcPr>
            <w:tcW w:w="661" w:type="dxa"/>
            <w:vAlign w:val="top"/>
          </w:tcPr>
          <w:p w14:paraId="2A367082">
            <w:pPr>
              <w:rPr>
                <w:rFonts w:ascii="Arial"/>
                <w:color w:val="auto"/>
                <w:sz w:val="21"/>
                <w:highlight w:val="none"/>
              </w:rPr>
            </w:pPr>
          </w:p>
        </w:tc>
        <w:tc>
          <w:tcPr>
            <w:tcW w:w="661" w:type="dxa"/>
            <w:vAlign w:val="top"/>
          </w:tcPr>
          <w:p w14:paraId="159E60EB">
            <w:pPr>
              <w:rPr>
                <w:rFonts w:ascii="Arial"/>
                <w:color w:val="auto"/>
                <w:sz w:val="21"/>
                <w:highlight w:val="none"/>
              </w:rPr>
            </w:pPr>
          </w:p>
        </w:tc>
        <w:tc>
          <w:tcPr>
            <w:tcW w:w="664" w:type="dxa"/>
            <w:vAlign w:val="top"/>
          </w:tcPr>
          <w:p w14:paraId="46E2E7F0">
            <w:pPr>
              <w:rPr>
                <w:rFonts w:ascii="Arial"/>
                <w:color w:val="auto"/>
                <w:sz w:val="21"/>
                <w:highlight w:val="none"/>
              </w:rPr>
            </w:pPr>
          </w:p>
        </w:tc>
        <w:tc>
          <w:tcPr>
            <w:tcW w:w="660" w:type="dxa"/>
            <w:vAlign w:val="top"/>
          </w:tcPr>
          <w:p w14:paraId="7877A667">
            <w:pPr>
              <w:rPr>
                <w:rFonts w:ascii="Arial"/>
                <w:color w:val="auto"/>
                <w:sz w:val="21"/>
                <w:highlight w:val="none"/>
              </w:rPr>
            </w:pPr>
          </w:p>
        </w:tc>
        <w:tc>
          <w:tcPr>
            <w:tcW w:w="661" w:type="dxa"/>
            <w:vAlign w:val="top"/>
          </w:tcPr>
          <w:p w14:paraId="0CECAA74">
            <w:pPr>
              <w:rPr>
                <w:rFonts w:ascii="Arial"/>
                <w:color w:val="auto"/>
                <w:sz w:val="21"/>
                <w:highlight w:val="none"/>
              </w:rPr>
            </w:pPr>
          </w:p>
        </w:tc>
        <w:tc>
          <w:tcPr>
            <w:tcW w:w="661" w:type="dxa"/>
            <w:vAlign w:val="top"/>
          </w:tcPr>
          <w:p w14:paraId="117F5E69">
            <w:pPr>
              <w:rPr>
                <w:rFonts w:ascii="Arial"/>
                <w:color w:val="auto"/>
                <w:sz w:val="21"/>
                <w:highlight w:val="none"/>
              </w:rPr>
            </w:pPr>
          </w:p>
        </w:tc>
        <w:tc>
          <w:tcPr>
            <w:tcW w:w="666" w:type="dxa"/>
            <w:vAlign w:val="top"/>
          </w:tcPr>
          <w:p w14:paraId="0743B953">
            <w:pPr>
              <w:rPr>
                <w:rFonts w:ascii="Arial"/>
                <w:color w:val="auto"/>
                <w:sz w:val="21"/>
                <w:highlight w:val="none"/>
              </w:rPr>
            </w:pPr>
          </w:p>
        </w:tc>
        <w:tc>
          <w:tcPr>
            <w:tcW w:w="1467" w:type="dxa"/>
            <w:vAlign w:val="top"/>
          </w:tcPr>
          <w:p w14:paraId="2417ED7C">
            <w:pPr>
              <w:rPr>
                <w:rFonts w:ascii="Arial"/>
                <w:color w:val="auto"/>
                <w:sz w:val="21"/>
                <w:highlight w:val="none"/>
              </w:rPr>
            </w:pPr>
          </w:p>
        </w:tc>
        <w:tc>
          <w:tcPr>
            <w:tcW w:w="923" w:type="dxa"/>
            <w:vAlign w:val="top"/>
          </w:tcPr>
          <w:p w14:paraId="39819E05">
            <w:pPr>
              <w:rPr>
                <w:rFonts w:ascii="Arial"/>
                <w:color w:val="auto"/>
                <w:sz w:val="21"/>
                <w:highlight w:val="none"/>
              </w:rPr>
            </w:pPr>
          </w:p>
        </w:tc>
      </w:tr>
      <w:tr w14:paraId="5EB27D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1603" w:type="dxa"/>
            <w:vAlign w:val="top"/>
          </w:tcPr>
          <w:p w14:paraId="05365BC3">
            <w:pPr>
              <w:pStyle w:val="18"/>
              <w:spacing w:before="262" w:line="214" w:lineRule="auto"/>
              <w:ind w:left="46"/>
              <w:rPr>
                <w:color w:val="auto"/>
                <w:highlight w:val="none"/>
              </w:rPr>
            </w:pPr>
            <w:r>
              <w:rPr>
                <w:color w:val="auto"/>
                <w:spacing w:val="8"/>
                <w:highlight w:val="none"/>
              </w:rPr>
              <w:t>监理交通设施费</w:t>
            </w:r>
          </w:p>
        </w:tc>
        <w:tc>
          <w:tcPr>
            <w:tcW w:w="661" w:type="dxa"/>
            <w:vAlign w:val="top"/>
          </w:tcPr>
          <w:p w14:paraId="0ACBE042">
            <w:pPr>
              <w:rPr>
                <w:rFonts w:ascii="Arial"/>
                <w:color w:val="auto"/>
                <w:sz w:val="21"/>
                <w:highlight w:val="none"/>
              </w:rPr>
            </w:pPr>
          </w:p>
        </w:tc>
        <w:tc>
          <w:tcPr>
            <w:tcW w:w="661" w:type="dxa"/>
            <w:vAlign w:val="top"/>
          </w:tcPr>
          <w:p w14:paraId="01B702C1">
            <w:pPr>
              <w:rPr>
                <w:rFonts w:ascii="Arial"/>
                <w:color w:val="auto"/>
                <w:sz w:val="21"/>
                <w:highlight w:val="none"/>
              </w:rPr>
            </w:pPr>
          </w:p>
        </w:tc>
        <w:tc>
          <w:tcPr>
            <w:tcW w:w="661" w:type="dxa"/>
            <w:vAlign w:val="top"/>
          </w:tcPr>
          <w:p w14:paraId="31D8836B">
            <w:pPr>
              <w:rPr>
                <w:rFonts w:ascii="Arial"/>
                <w:color w:val="auto"/>
                <w:sz w:val="21"/>
                <w:highlight w:val="none"/>
              </w:rPr>
            </w:pPr>
          </w:p>
        </w:tc>
        <w:tc>
          <w:tcPr>
            <w:tcW w:w="664" w:type="dxa"/>
            <w:vAlign w:val="top"/>
          </w:tcPr>
          <w:p w14:paraId="410BCACA">
            <w:pPr>
              <w:rPr>
                <w:rFonts w:ascii="Arial"/>
                <w:color w:val="auto"/>
                <w:sz w:val="21"/>
                <w:highlight w:val="none"/>
              </w:rPr>
            </w:pPr>
          </w:p>
        </w:tc>
        <w:tc>
          <w:tcPr>
            <w:tcW w:w="660" w:type="dxa"/>
            <w:vAlign w:val="top"/>
          </w:tcPr>
          <w:p w14:paraId="1E700E9F">
            <w:pPr>
              <w:rPr>
                <w:rFonts w:ascii="Arial"/>
                <w:color w:val="auto"/>
                <w:sz w:val="21"/>
                <w:highlight w:val="none"/>
              </w:rPr>
            </w:pPr>
          </w:p>
        </w:tc>
        <w:tc>
          <w:tcPr>
            <w:tcW w:w="661" w:type="dxa"/>
            <w:vAlign w:val="top"/>
          </w:tcPr>
          <w:p w14:paraId="40767321">
            <w:pPr>
              <w:rPr>
                <w:rFonts w:ascii="Arial"/>
                <w:color w:val="auto"/>
                <w:sz w:val="21"/>
                <w:highlight w:val="none"/>
              </w:rPr>
            </w:pPr>
          </w:p>
        </w:tc>
        <w:tc>
          <w:tcPr>
            <w:tcW w:w="661" w:type="dxa"/>
            <w:vAlign w:val="top"/>
          </w:tcPr>
          <w:p w14:paraId="109CACCD">
            <w:pPr>
              <w:rPr>
                <w:rFonts w:ascii="Arial"/>
                <w:color w:val="auto"/>
                <w:sz w:val="21"/>
                <w:highlight w:val="none"/>
              </w:rPr>
            </w:pPr>
          </w:p>
        </w:tc>
        <w:tc>
          <w:tcPr>
            <w:tcW w:w="666" w:type="dxa"/>
            <w:vAlign w:val="top"/>
          </w:tcPr>
          <w:p w14:paraId="600FA537">
            <w:pPr>
              <w:rPr>
                <w:rFonts w:ascii="Arial"/>
                <w:color w:val="auto"/>
                <w:sz w:val="21"/>
                <w:highlight w:val="none"/>
              </w:rPr>
            </w:pPr>
          </w:p>
        </w:tc>
        <w:tc>
          <w:tcPr>
            <w:tcW w:w="1467" w:type="dxa"/>
            <w:vAlign w:val="top"/>
          </w:tcPr>
          <w:p w14:paraId="0EC5F992">
            <w:pPr>
              <w:rPr>
                <w:rFonts w:ascii="Arial"/>
                <w:color w:val="auto"/>
                <w:sz w:val="21"/>
                <w:highlight w:val="none"/>
              </w:rPr>
            </w:pPr>
          </w:p>
        </w:tc>
        <w:tc>
          <w:tcPr>
            <w:tcW w:w="923" w:type="dxa"/>
            <w:vAlign w:val="top"/>
          </w:tcPr>
          <w:p w14:paraId="660C2B30">
            <w:pPr>
              <w:rPr>
                <w:rFonts w:ascii="Arial"/>
                <w:color w:val="auto"/>
                <w:sz w:val="21"/>
                <w:highlight w:val="none"/>
              </w:rPr>
            </w:pPr>
          </w:p>
        </w:tc>
      </w:tr>
      <w:tr w14:paraId="3A84D7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1603" w:type="dxa"/>
            <w:vAlign w:val="top"/>
          </w:tcPr>
          <w:p w14:paraId="6E6B14AE">
            <w:pPr>
              <w:pStyle w:val="18"/>
              <w:spacing w:before="262" w:line="214" w:lineRule="auto"/>
              <w:ind w:left="46"/>
              <w:rPr>
                <w:color w:val="auto"/>
                <w:highlight w:val="none"/>
              </w:rPr>
            </w:pPr>
            <w:r>
              <w:rPr>
                <w:color w:val="auto"/>
                <w:spacing w:val="8"/>
                <w:highlight w:val="none"/>
              </w:rPr>
              <w:t>监理试验设施费</w:t>
            </w:r>
          </w:p>
        </w:tc>
        <w:tc>
          <w:tcPr>
            <w:tcW w:w="661" w:type="dxa"/>
            <w:vAlign w:val="top"/>
          </w:tcPr>
          <w:p w14:paraId="100359F7">
            <w:pPr>
              <w:rPr>
                <w:rFonts w:ascii="Arial"/>
                <w:color w:val="auto"/>
                <w:sz w:val="21"/>
                <w:highlight w:val="none"/>
              </w:rPr>
            </w:pPr>
          </w:p>
        </w:tc>
        <w:tc>
          <w:tcPr>
            <w:tcW w:w="661" w:type="dxa"/>
            <w:vAlign w:val="top"/>
          </w:tcPr>
          <w:p w14:paraId="6B686A64">
            <w:pPr>
              <w:rPr>
                <w:rFonts w:ascii="Arial"/>
                <w:color w:val="auto"/>
                <w:sz w:val="21"/>
                <w:highlight w:val="none"/>
              </w:rPr>
            </w:pPr>
          </w:p>
        </w:tc>
        <w:tc>
          <w:tcPr>
            <w:tcW w:w="661" w:type="dxa"/>
            <w:vAlign w:val="top"/>
          </w:tcPr>
          <w:p w14:paraId="3C75926D">
            <w:pPr>
              <w:rPr>
                <w:rFonts w:ascii="Arial"/>
                <w:color w:val="auto"/>
                <w:sz w:val="21"/>
                <w:highlight w:val="none"/>
              </w:rPr>
            </w:pPr>
          </w:p>
        </w:tc>
        <w:tc>
          <w:tcPr>
            <w:tcW w:w="664" w:type="dxa"/>
            <w:vAlign w:val="top"/>
          </w:tcPr>
          <w:p w14:paraId="29D47732">
            <w:pPr>
              <w:rPr>
                <w:rFonts w:ascii="Arial"/>
                <w:color w:val="auto"/>
                <w:sz w:val="21"/>
                <w:highlight w:val="none"/>
              </w:rPr>
            </w:pPr>
          </w:p>
        </w:tc>
        <w:tc>
          <w:tcPr>
            <w:tcW w:w="660" w:type="dxa"/>
            <w:vAlign w:val="top"/>
          </w:tcPr>
          <w:p w14:paraId="30476D6D">
            <w:pPr>
              <w:rPr>
                <w:rFonts w:ascii="Arial"/>
                <w:color w:val="auto"/>
                <w:sz w:val="21"/>
                <w:highlight w:val="none"/>
              </w:rPr>
            </w:pPr>
          </w:p>
        </w:tc>
        <w:tc>
          <w:tcPr>
            <w:tcW w:w="661" w:type="dxa"/>
            <w:vAlign w:val="top"/>
          </w:tcPr>
          <w:p w14:paraId="35AEE597">
            <w:pPr>
              <w:rPr>
                <w:rFonts w:ascii="Arial"/>
                <w:color w:val="auto"/>
                <w:sz w:val="21"/>
                <w:highlight w:val="none"/>
              </w:rPr>
            </w:pPr>
          </w:p>
        </w:tc>
        <w:tc>
          <w:tcPr>
            <w:tcW w:w="661" w:type="dxa"/>
            <w:vAlign w:val="top"/>
          </w:tcPr>
          <w:p w14:paraId="11101DB5">
            <w:pPr>
              <w:rPr>
                <w:rFonts w:ascii="Arial"/>
                <w:color w:val="auto"/>
                <w:sz w:val="21"/>
                <w:highlight w:val="none"/>
              </w:rPr>
            </w:pPr>
          </w:p>
        </w:tc>
        <w:tc>
          <w:tcPr>
            <w:tcW w:w="666" w:type="dxa"/>
            <w:vAlign w:val="top"/>
          </w:tcPr>
          <w:p w14:paraId="417891A2">
            <w:pPr>
              <w:rPr>
                <w:rFonts w:ascii="Arial"/>
                <w:color w:val="auto"/>
                <w:sz w:val="21"/>
                <w:highlight w:val="none"/>
              </w:rPr>
            </w:pPr>
          </w:p>
        </w:tc>
        <w:tc>
          <w:tcPr>
            <w:tcW w:w="1467" w:type="dxa"/>
            <w:vAlign w:val="top"/>
          </w:tcPr>
          <w:p w14:paraId="169871A2">
            <w:pPr>
              <w:rPr>
                <w:rFonts w:ascii="Arial"/>
                <w:color w:val="auto"/>
                <w:sz w:val="21"/>
                <w:highlight w:val="none"/>
              </w:rPr>
            </w:pPr>
          </w:p>
        </w:tc>
        <w:tc>
          <w:tcPr>
            <w:tcW w:w="923" w:type="dxa"/>
            <w:vAlign w:val="top"/>
          </w:tcPr>
          <w:p w14:paraId="097B0670">
            <w:pPr>
              <w:rPr>
                <w:rFonts w:ascii="Arial"/>
                <w:color w:val="auto"/>
                <w:sz w:val="21"/>
                <w:highlight w:val="none"/>
              </w:rPr>
            </w:pPr>
          </w:p>
        </w:tc>
      </w:tr>
      <w:tr w14:paraId="1C1B5F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1603" w:type="dxa"/>
            <w:vAlign w:val="top"/>
          </w:tcPr>
          <w:p w14:paraId="2A465513">
            <w:pPr>
              <w:pStyle w:val="18"/>
              <w:spacing w:before="264" w:line="213" w:lineRule="auto"/>
              <w:ind w:left="46"/>
              <w:rPr>
                <w:color w:val="auto"/>
                <w:highlight w:val="none"/>
              </w:rPr>
            </w:pPr>
            <w:r>
              <w:rPr>
                <w:color w:val="auto"/>
                <w:spacing w:val="8"/>
                <w:highlight w:val="none"/>
              </w:rPr>
              <w:t>监理生活设施费</w:t>
            </w:r>
          </w:p>
        </w:tc>
        <w:tc>
          <w:tcPr>
            <w:tcW w:w="661" w:type="dxa"/>
            <w:vAlign w:val="top"/>
          </w:tcPr>
          <w:p w14:paraId="6F9231DE">
            <w:pPr>
              <w:rPr>
                <w:rFonts w:ascii="Arial"/>
                <w:color w:val="auto"/>
                <w:sz w:val="21"/>
                <w:highlight w:val="none"/>
              </w:rPr>
            </w:pPr>
          </w:p>
        </w:tc>
        <w:tc>
          <w:tcPr>
            <w:tcW w:w="661" w:type="dxa"/>
            <w:vAlign w:val="top"/>
          </w:tcPr>
          <w:p w14:paraId="07D54CD7">
            <w:pPr>
              <w:rPr>
                <w:rFonts w:ascii="Arial"/>
                <w:color w:val="auto"/>
                <w:sz w:val="21"/>
                <w:highlight w:val="none"/>
              </w:rPr>
            </w:pPr>
          </w:p>
        </w:tc>
        <w:tc>
          <w:tcPr>
            <w:tcW w:w="661" w:type="dxa"/>
            <w:vAlign w:val="top"/>
          </w:tcPr>
          <w:p w14:paraId="573FB024">
            <w:pPr>
              <w:rPr>
                <w:rFonts w:ascii="Arial"/>
                <w:color w:val="auto"/>
                <w:sz w:val="21"/>
                <w:highlight w:val="none"/>
              </w:rPr>
            </w:pPr>
          </w:p>
        </w:tc>
        <w:tc>
          <w:tcPr>
            <w:tcW w:w="664" w:type="dxa"/>
            <w:vAlign w:val="top"/>
          </w:tcPr>
          <w:p w14:paraId="101722CA">
            <w:pPr>
              <w:rPr>
                <w:rFonts w:ascii="Arial"/>
                <w:color w:val="auto"/>
                <w:sz w:val="21"/>
                <w:highlight w:val="none"/>
              </w:rPr>
            </w:pPr>
          </w:p>
        </w:tc>
        <w:tc>
          <w:tcPr>
            <w:tcW w:w="660" w:type="dxa"/>
            <w:vAlign w:val="top"/>
          </w:tcPr>
          <w:p w14:paraId="3D776740">
            <w:pPr>
              <w:rPr>
                <w:rFonts w:ascii="Arial"/>
                <w:color w:val="auto"/>
                <w:sz w:val="21"/>
                <w:highlight w:val="none"/>
              </w:rPr>
            </w:pPr>
          </w:p>
        </w:tc>
        <w:tc>
          <w:tcPr>
            <w:tcW w:w="661" w:type="dxa"/>
            <w:vAlign w:val="top"/>
          </w:tcPr>
          <w:p w14:paraId="5B05B7D0">
            <w:pPr>
              <w:rPr>
                <w:rFonts w:ascii="Arial"/>
                <w:color w:val="auto"/>
                <w:sz w:val="21"/>
                <w:highlight w:val="none"/>
              </w:rPr>
            </w:pPr>
          </w:p>
        </w:tc>
        <w:tc>
          <w:tcPr>
            <w:tcW w:w="661" w:type="dxa"/>
            <w:vAlign w:val="top"/>
          </w:tcPr>
          <w:p w14:paraId="012C29DA">
            <w:pPr>
              <w:rPr>
                <w:rFonts w:ascii="Arial"/>
                <w:color w:val="auto"/>
                <w:sz w:val="21"/>
                <w:highlight w:val="none"/>
              </w:rPr>
            </w:pPr>
          </w:p>
        </w:tc>
        <w:tc>
          <w:tcPr>
            <w:tcW w:w="666" w:type="dxa"/>
            <w:vAlign w:val="top"/>
          </w:tcPr>
          <w:p w14:paraId="4695727E">
            <w:pPr>
              <w:rPr>
                <w:rFonts w:ascii="Arial"/>
                <w:color w:val="auto"/>
                <w:sz w:val="21"/>
                <w:highlight w:val="none"/>
              </w:rPr>
            </w:pPr>
          </w:p>
        </w:tc>
        <w:tc>
          <w:tcPr>
            <w:tcW w:w="1467" w:type="dxa"/>
            <w:vAlign w:val="top"/>
          </w:tcPr>
          <w:p w14:paraId="1995CFED">
            <w:pPr>
              <w:rPr>
                <w:rFonts w:ascii="Arial"/>
                <w:color w:val="auto"/>
                <w:sz w:val="21"/>
                <w:highlight w:val="none"/>
              </w:rPr>
            </w:pPr>
          </w:p>
        </w:tc>
        <w:tc>
          <w:tcPr>
            <w:tcW w:w="923" w:type="dxa"/>
            <w:vAlign w:val="top"/>
          </w:tcPr>
          <w:p w14:paraId="474D3D30">
            <w:pPr>
              <w:rPr>
                <w:rFonts w:ascii="Arial"/>
                <w:color w:val="auto"/>
                <w:sz w:val="21"/>
                <w:highlight w:val="none"/>
              </w:rPr>
            </w:pPr>
          </w:p>
        </w:tc>
      </w:tr>
      <w:tr w14:paraId="1D0C98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1603" w:type="dxa"/>
            <w:vAlign w:val="top"/>
          </w:tcPr>
          <w:p w14:paraId="041BFC2C">
            <w:pPr>
              <w:pStyle w:val="18"/>
              <w:spacing w:before="263" w:line="214" w:lineRule="auto"/>
              <w:ind w:left="46"/>
              <w:rPr>
                <w:color w:val="auto"/>
                <w:highlight w:val="none"/>
              </w:rPr>
            </w:pPr>
            <w:r>
              <w:rPr>
                <w:color w:val="auto"/>
                <w:spacing w:val="7"/>
                <w:highlight w:val="none"/>
              </w:rPr>
              <w:t>其他费用</w:t>
            </w:r>
          </w:p>
        </w:tc>
        <w:tc>
          <w:tcPr>
            <w:tcW w:w="661" w:type="dxa"/>
            <w:vAlign w:val="top"/>
          </w:tcPr>
          <w:p w14:paraId="21A471E3">
            <w:pPr>
              <w:rPr>
                <w:rFonts w:ascii="Arial"/>
                <w:color w:val="auto"/>
                <w:sz w:val="21"/>
                <w:highlight w:val="none"/>
              </w:rPr>
            </w:pPr>
          </w:p>
        </w:tc>
        <w:tc>
          <w:tcPr>
            <w:tcW w:w="661" w:type="dxa"/>
            <w:vAlign w:val="top"/>
          </w:tcPr>
          <w:p w14:paraId="2BAD6FF0">
            <w:pPr>
              <w:rPr>
                <w:rFonts w:ascii="Arial"/>
                <w:color w:val="auto"/>
                <w:sz w:val="21"/>
                <w:highlight w:val="none"/>
              </w:rPr>
            </w:pPr>
          </w:p>
        </w:tc>
        <w:tc>
          <w:tcPr>
            <w:tcW w:w="661" w:type="dxa"/>
            <w:vAlign w:val="top"/>
          </w:tcPr>
          <w:p w14:paraId="04747682">
            <w:pPr>
              <w:rPr>
                <w:rFonts w:ascii="Arial"/>
                <w:color w:val="auto"/>
                <w:sz w:val="21"/>
                <w:highlight w:val="none"/>
              </w:rPr>
            </w:pPr>
          </w:p>
        </w:tc>
        <w:tc>
          <w:tcPr>
            <w:tcW w:w="664" w:type="dxa"/>
            <w:vAlign w:val="top"/>
          </w:tcPr>
          <w:p w14:paraId="1C288864">
            <w:pPr>
              <w:rPr>
                <w:rFonts w:ascii="Arial"/>
                <w:color w:val="auto"/>
                <w:sz w:val="21"/>
                <w:highlight w:val="none"/>
              </w:rPr>
            </w:pPr>
          </w:p>
        </w:tc>
        <w:tc>
          <w:tcPr>
            <w:tcW w:w="660" w:type="dxa"/>
            <w:vAlign w:val="top"/>
          </w:tcPr>
          <w:p w14:paraId="105C48E3">
            <w:pPr>
              <w:rPr>
                <w:rFonts w:ascii="Arial"/>
                <w:color w:val="auto"/>
                <w:sz w:val="21"/>
                <w:highlight w:val="none"/>
              </w:rPr>
            </w:pPr>
          </w:p>
        </w:tc>
        <w:tc>
          <w:tcPr>
            <w:tcW w:w="661" w:type="dxa"/>
            <w:vAlign w:val="top"/>
          </w:tcPr>
          <w:p w14:paraId="41317460">
            <w:pPr>
              <w:rPr>
                <w:rFonts w:ascii="Arial"/>
                <w:color w:val="auto"/>
                <w:sz w:val="21"/>
                <w:highlight w:val="none"/>
              </w:rPr>
            </w:pPr>
          </w:p>
        </w:tc>
        <w:tc>
          <w:tcPr>
            <w:tcW w:w="661" w:type="dxa"/>
            <w:vAlign w:val="top"/>
          </w:tcPr>
          <w:p w14:paraId="79AFE6A6">
            <w:pPr>
              <w:rPr>
                <w:rFonts w:ascii="Arial"/>
                <w:color w:val="auto"/>
                <w:sz w:val="21"/>
                <w:highlight w:val="none"/>
              </w:rPr>
            </w:pPr>
          </w:p>
        </w:tc>
        <w:tc>
          <w:tcPr>
            <w:tcW w:w="666" w:type="dxa"/>
            <w:vAlign w:val="top"/>
          </w:tcPr>
          <w:p w14:paraId="5B9E8F52">
            <w:pPr>
              <w:rPr>
                <w:rFonts w:ascii="Arial"/>
                <w:color w:val="auto"/>
                <w:sz w:val="21"/>
                <w:highlight w:val="none"/>
              </w:rPr>
            </w:pPr>
          </w:p>
        </w:tc>
        <w:tc>
          <w:tcPr>
            <w:tcW w:w="1467" w:type="dxa"/>
            <w:vAlign w:val="top"/>
          </w:tcPr>
          <w:p w14:paraId="48BAE78B">
            <w:pPr>
              <w:rPr>
                <w:rFonts w:ascii="Arial"/>
                <w:color w:val="auto"/>
                <w:sz w:val="21"/>
                <w:highlight w:val="none"/>
              </w:rPr>
            </w:pPr>
          </w:p>
        </w:tc>
        <w:tc>
          <w:tcPr>
            <w:tcW w:w="923" w:type="dxa"/>
            <w:vAlign w:val="top"/>
          </w:tcPr>
          <w:p w14:paraId="390CEBB7">
            <w:pPr>
              <w:rPr>
                <w:rFonts w:ascii="Arial"/>
                <w:color w:val="auto"/>
                <w:sz w:val="21"/>
                <w:highlight w:val="none"/>
              </w:rPr>
            </w:pPr>
          </w:p>
        </w:tc>
      </w:tr>
      <w:tr w14:paraId="137E46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1603" w:type="dxa"/>
            <w:vAlign w:val="top"/>
          </w:tcPr>
          <w:p w14:paraId="39E76530">
            <w:pPr>
              <w:pStyle w:val="18"/>
              <w:spacing w:before="265" w:line="216" w:lineRule="auto"/>
              <w:ind w:left="46"/>
              <w:rPr>
                <w:color w:val="auto"/>
                <w:highlight w:val="none"/>
              </w:rPr>
            </w:pPr>
            <w:r>
              <w:rPr>
                <w:color w:val="auto"/>
                <w:spacing w:val="4"/>
                <w:highlight w:val="none"/>
              </w:rPr>
              <w:t>合计</w:t>
            </w:r>
          </w:p>
        </w:tc>
        <w:tc>
          <w:tcPr>
            <w:tcW w:w="661" w:type="dxa"/>
            <w:vAlign w:val="top"/>
          </w:tcPr>
          <w:p w14:paraId="6B4EBD0A">
            <w:pPr>
              <w:rPr>
                <w:rFonts w:ascii="Arial"/>
                <w:color w:val="auto"/>
                <w:sz w:val="21"/>
                <w:highlight w:val="none"/>
              </w:rPr>
            </w:pPr>
          </w:p>
        </w:tc>
        <w:tc>
          <w:tcPr>
            <w:tcW w:w="661" w:type="dxa"/>
            <w:vAlign w:val="top"/>
          </w:tcPr>
          <w:p w14:paraId="62392639">
            <w:pPr>
              <w:rPr>
                <w:rFonts w:ascii="Arial"/>
                <w:color w:val="auto"/>
                <w:sz w:val="21"/>
                <w:highlight w:val="none"/>
              </w:rPr>
            </w:pPr>
          </w:p>
        </w:tc>
        <w:tc>
          <w:tcPr>
            <w:tcW w:w="661" w:type="dxa"/>
            <w:vAlign w:val="top"/>
          </w:tcPr>
          <w:p w14:paraId="6082EB75">
            <w:pPr>
              <w:rPr>
                <w:rFonts w:ascii="Arial"/>
                <w:color w:val="auto"/>
                <w:sz w:val="21"/>
                <w:highlight w:val="none"/>
              </w:rPr>
            </w:pPr>
          </w:p>
        </w:tc>
        <w:tc>
          <w:tcPr>
            <w:tcW w:w="664" w:type="dxa"/>
            <w:vAlign w:val="top"/>
          </w:tcPr>
          <w:p w14:paraId="748587BB">
            <w:pPr>
              <w:rPr>
                <w:rFonts w:ascii="Arial"/>
                <w:color w:val="auto"/>
                <w:sz w:val="21"/>
                <w:highlight w:val="none"/>
              </w:rPr>
            </w:pPr>
          </w:p>
        </w:tc>
        <w:tc>
          <w:tcPr>
            <w:tcW w:w="660" w:type="dxa"/>
            <w:vAlign w:val="top"/>
          </w:tcPr>
          <w:p w14:paraId="30E7AF10">
            <w:pPr>
              <w:rPr>
                <w:rFonts w:ascii="Arial"/>
                <w:color w:val="auto"/>
                <w:sz w:val="21"/>
                <w:highlight w:val="none"/>
              </w:rPr>
            </w:pPr>
          </w:p>
        </w:tc>
        <w:tc>
          <w:tcPr>
            <w:tcW w:w="661" w:type="dxa"/>
            <w:vAlign w:val="top"/>
          </w:tcPr>
          <w:p w14:paraId="6D790363">
            <w:pPr>
              <w:rPr>
                <w:rFonts w:ascii="Arial"/>
                <w:color w:val="auto"/>
                <w:sz w:val="21"/>
                <w:highlight w:val="none"/>
              </w:rPr>
            </w:pPr>
          </w:p>
        </w:tc>
        <w:tc>
          <w:tcPr>
            <w:tcW w:w="661" w:type="dxa"/>
            <w:vAlign w:val="top"/>
          </w:tcPr>
          <w:p w14:paraId="62A8D777">
            <w:pPr>
              <w:rPr>
                <w:rFonts w:ascii="Arial"/>
                <w:color w:val="auto"/>
                <w:sz w:val="21"/>
                <w:highlight w:val="none"/>
              </w:rPr>
            </w:pPr>
          </w:p>
        </w:tc>
        <w:tc>
          <w:tcPr>
            <w:tcW w:w="666" w:type="dxa"/>
            <w:vAlign w:val="top"/>
          </w:tcPr>
          <w:p w14:paraId="4A74F3FB">
            <w:pPr>
              <w:rPr>
                <w:rFonts w:ascii="Arial"/>
                <w:color w:val="auto"/>
                <w:sz w:val="21"/>
                <w:highlight w:val="none"/>
              </w:rPr>
            </w:pPr>
          </w:p>
        </w:tc>
        <w:tc>
          <w:tcPr>
            <w:tcW w:w="1467" w:type="dxa"/>
            <w:vAlign w:val="top"/>
          </w:tcPr>
          <w:p w14:paraId="0C162157">
            <w:pPr>
              <w:rPr>
                <w:rFonts w:ascii="Arial"/>
                <w:color w:val="auto"/>
                <w:sz w:val="21"/>
                <w:highlight w:val="none"/>
              </w:rPr>
            </w:pPr>
          </w:p>
        </w:tc>
        <w:tc>
          <w:tcPr>
            <w:tcW w:w="923" w:type="dxa"/>
            <w:vAlign w:val="top"/>
          </w:tcPr>
          <w:p w14:paraId="5BA9B48C">
            <w:pPr>
              <w:rPr>
                <w:rFonts w:ascii="Arial"/>
                <w:color w:val="auto"/>
                <w:sz w:val="21"/>
                <w:highlight w:val="none"/>
              </w:rPr>
            </w:pPr>
          </w:p>
        </w:tc>
      </w:tr>
    </w:tbl>
    <w:p w14:paraId="1458B5EA">
      <w:pPr>
        <w:spacing w:line="254" w:lineRule="auto"/>
        <w:rPr>
          <w:rFonts w:ascii="Arial"/>
          <w:color w:val="auto"/>
          <w:sz w:val="21"/>
          <w:highlight w:val="none"/>
        </w:rPr>
      </w:pPr>
    </w:p>
    <w:p w14:paraId="0BC61BB9">
      <w:pPr>
        <w:spacing w:line="254" w:lineRule="auto"/>
        <w:rPr>
          <w:rFonts w:ascii="Arial"/>
          <w:color w:val="auto"/>
          <w:sz w:val="21"/>
          <w:highlight w:val="none"/>
        </w:rPr>
      </w:pPr>
    </w:p>
    <w:p w14:paraId="356E4AA2">
      <w:pPr>
        <w:spacing w:line="254" w:lineRule="auto"/>
        <w:rPr>
          <w:rFonts w:ascii="Arial"/>
          <w:color w:val="auto"/>
          <w:sz w:val="21"/>
          <w:highlight w:val="none"/>
        </w:rPr>
      </w:pPr>
    </w:p>
    <w:p w14:paraId="45462298">
      <w:pPr>
        <w:spacing w:line="254" w:lineRule="auto"/>
        <w:rPr>
          <w:rFonts w:ascii="Arial"/>
          <w:color w:val="auto"/>
          <w:sz w:val="21"/>
          <w:highlight w:val="none"/>
        </w:rPr>
      </w:pPr>
    </w:p>
    <w:p w14:paraId="6AC2D34B">
      <w:pPr>
        <w:spacing w:line="254" w:lineRule="auto"/>
        <w:rPr>
          <w:rFonts w:ascii="Arial"/>
          <w:color w:val="auto"/>
          <w:sz w:val="21"/>
          <w:highlight w:val="none"/>
        </w:rPr>
      </w:pPr>
    </w:p>
    <w:p w14:paraId="791BFE43">
      <w:pPr>
        <w:spacing w:before="65" w:line="227" w:lineRule="auto"/>
        <w:ind w:left="119"/>
        <w:rPr>
          <w:rFonts w:ascii="宋体" w:hAnsi="宋体" w:eastAsia="宋体" w:cs="宋体"/>
          <w:color w:val="auto"/>
          <w:sz w:val="20"/>
          <w:szCs w:val="20"/>
          <w:highlight w:val="none"/>
        </w:rPr>
      </w:pPr>
      <w:r>
        <w:rPr>
          <w:rFonts w:ascii="宋体" w:hAnsi="宋体" w:eastAsia="宋体" w:cs="宋体"/>
          <w:color w:val="auto"/>
          <w:spacing w:val="8"/>
          <w:sz w:val="20"/>
          <w:szCs w:val="20"/>
          <w:highlight w:val="none"/>
        </w:rPr>
        <w:t>注：1. 本表应按附件</w:t>
      </w:r>
      <w:r>
        <w:rPr>
          <w:rFonts w:ascii="宋体" w:hAnsi="宋体" w:eastAsia="宋体" w:cs="宋体"/>
          <w:color w:val="auto"/>
          <w:spacing w:val="-23"/>
          <w:sz w:val="20"/>
          <w:szCs w:val="20"/>
          <w:highlight w:val="none"/>
        </w:rPr>
        <w:t xml:space="preserve"> </w:t>
      </w:r>
      <w:r>
        <w:rPr>
          <w:rFonts w:ascii="宋体" w:hAnsi="宋体" w:eastAsia="宋体" w:cs="宋体"/>
          <w:color w:val="auto"/>
          <w:spacing w:val="8"/>
          <w:sz w:val="20"/>
          <w:szCs w:val="20"/>
          <w:highlight w:val="none"/>
        </w:rPr>
        <w:t>1</w:t>
      </w:r>
      <w:r>
        <w:rPr>
          <w:rFonts w:ascii="宋体" w:hAnsi="宋体" w:eastAsia="宋体" w:cs="宋体"/>
          <w:color w:val="auto"/>
          <w:spacing w:val="-37"/>
          <w:sz w:val="20"/>
          <w:szCs w:val="20"/>
          <w:highlight w:val="none"/>
        </w:rPr>
        <w:t xml:space="preserve"> </w:t>
      </w:r>
      <w:r>
        <w:rPr>
          <w:rFonts w:ascii="宋体" w:hAnsi="宋体" w:eastAsia="宋体" w:cs="宋体"/>
          <w:color w:val="auto"/>
          <w:spacing w:val="8"/>
          <w:sz w:val="20"/>
          <w:szCs w:val="20"/>
          <w:highlight w:val="none"/>
        </w:rPr>
        <w:t>和附件</w:t>
      </w:r>
      <w:r>
        <w:rPr>
          <w:rFonts w:ascii="宋体" w:hAnsi="宋体" w:eastAsia="宋体" w:cs="宋体"/>
          <w:color w:val="auto"/>
          <w:spacing w:val="-37"/>
          <w:sz w:val="20"/>
          <w:szCs w:val="20"/>
          <w:highlight w:val="none"/>
        </w:rPr>
        <w:t xml:space="preserve"> </w:t>
      </w:r>
      <w:r>
        <w:rPr>
          <w:rFonts w:ascii="宋体" w:hAnsi="宋体" w:eastAsia="宋体" w:cs="宋体"/>
          <w:color w:val="auto"/>
          <w:spacing w:val="8"/>
          <w:sz w:val="20"/>
          <w:szCs w:val="20"/>
          <w:highlight w:val="none"/>
        </w:rPr>
        <w:t>2</w:t>
      </w:r>
      <w:r>
        <w:rPr>
          <w:rFonts w:ascii="宋体" w:hAnsi="宋体" w:eastAsia="宋体" w:cs="宋体"/>
          <w:color w:val="auto"/>
          <w:spacing w:val="-37"/>
          <w:sz w:val="20"/>
          <w:szCs w:val="20"/>
          <w:highlight w:val="none"/>
        </w:rPr>
        <w:t xml:space="preserve"> </w:t>
      </w:r>
      <w:r>
        <w:rPr>
          <w:rFonts w:ascii="宋体" w:hAnsi="宋体" w:eastAsia="宋体" w:cs="宋体"/>
          <w:color w:val="auto"/>
          <w:spacing w:val="8"/>
          <w:sz w:val="20"/>
          <w:szCs w:val="20"/>
          <w:highlight w:val="none"/>
        </w:rPr>
        <w:t>监理人员和监理设施</w:t>
      </w:r>
      <w:r>
        <w:rPr>
          <w:rFonts w:ascii="宋体" w:hAnsi="宋体" w:eastAsia="宋体" w:cs="宋体"/>
          <w:color w:val="auto"/>
          <w:spacing w:val="7"/>
          <w:sz w:val="20"/>
          <w:szCs w:val="20"/>
          <w:highlight w:val="none"/>
        </w:rPr>
        <w:t>进场时间及数量安排计算相应的费用。</w:t>
      </w:r>
    </w:p>
    <w:p w14:paraId="62E8168E">
      <w:pPr>
        <w:spacing w:before="155" w:line="226" w:lineRule="auto"/>
        <w:ind w:left="542"/>
        <w:rPr>
          <w:rFonts w:ascii="宋体" w:hAnsi="宋体" w:eastAsia="宋体" w:cs="宋体"/>
          <w:color w:val="auto"/>
          <w:sz w:val="20"/>
          <w:szCs w:val="20"/>
          <w:highlight w:val="none"/>
        </w:rPr>
      </w:pPr>
      <w:r>
        <w:rPr>
          <w:rFonts w:ascii="宋体" w:hAnsi="宋体" w:eastAsia="宋体" w:cs="宋体"/>
          <w:color w:val="auto"/>
          <w:spacing w:val="8"/>
          <w:sz w:val="20"/>
          <w:szCs w:val="20"/>
          <w:highlight w:val="none"/>
        </w:rPr>
        <w:t>2. 本表各项合计费用应与监理服务费用报价汇总表相一致。</w:t>
      </w:r>
    </w:p>
    <w:p w14:paraId="7D679AB3">
      <w:pPr>
        <w:spacing w:before="153" w:line="227" w:lineRule="auto"/>
        <w:ind w:left="544"/>
        <w:rPr>
          <w:rFonts w:ascii="宋体" w:hAnsi="宋体" w:eastAsia="宋体" w:cs="宋体"/>
          <w:color w:val="auto"/>
          <w:sz w:val="20"/>
          <w:szCs w:val="20"/>
          <w:highlight w:val="none"/>
        </w:rPr>
      </w:pPr>
      <w:r>
        <w:rPr>
          <w:rFonts w:ascii="宋体" w:hAnsi="宋体" w:eastAsia="宋体" w:cs="宋体"/>
          <w:color w:val="auto"/>
          <w:spacing w:val="9"/>
          <w:sz w:val="20"/>
          <w:szCs w:val="20"/>
          <w:highlight w:val="none"/>
        </w:rPr>
        <w:t>3. 本表将作为监理合同履行过程中委托人支付监理费</w:t>
      </w:r>
      <w:r>
        <w:rPr>
          <w:rFonts w:ascii="宋体" w:hAnsi="宋体" w:eastAsia="宋体" w:cs="宋体"/>
          <w:color w:val="auto"/>
          <w:spacing w:val="8"/>
          <w:sz w:val="20"/>
          <w:szCs w:val="20"/>
          <w:highlight w:val="none"/>
        </w:rPr>
        <w:t>用的参考依据。</w:t>
      </w:r>
    </w:p>
    <w:p w14:paraId="13B3A548">
      <w:pPr>
        <w:spacing w:line="227" w:lineRule="auto"/>
        <w:rPr>
          <w:rFonts w:ascii="宋体" w:hAnsi="宋体" w:eastAsia="宋体" w:cs="宋体"/>
          <w:color w:val="auto"/>
          <w:sz w:val="20"/>
          <w:szCs w:val="20"/>
          <w:highlight w:val="none"/>
        </w:rPr>
        <w:sectPr>
          <w:footerReference r:id="rId115" w:type="default"/>
          <w:pgSz w:w="11906" w:h="16839"/>
          <w:pgMar w:top="1402" w:right="1308" w:bottom="1297" w:left="1304" w:header="0" w:footer="1067" w:gutter="0"/>
          <w:pgNumType w:fmt="decimal"/>
          <w:cols w:space="720" w:num="1"/>
        </w:sectPr>
      </w:pPr>
    </w:p>
    <w:p w14:paraId="27E2F6CE">
      <w:pPr>
        <w:spacing w:before="56" w:line="219" w:lineRule="auto"/>
        <w:ind w:left="2534"/>
        <w:rPr>
          <w:rFonts w:ascii="宋体" w:hAnsi="宋体" w:eastAsia="宋体" w:cs="宋体"/>
          <w:color w:val="auto"/>
          <w:sz w:val="28"/>
          <w:szCs w:val="28"/>
          <w:highlight w:val="none"/>
        </w:rPr>
      </w:pPr>
      <w:r>
        <w:rPr>
          <w:rFonts w:ascii="宋体" w:hAnsi="宋体" w:eastAsia="宋体" w:cs="宋体"/>
          <w:b/>
          <w:bCs/>
          <w:color w:val="auto"/>
          <w:spacing w:val="-6"/>
          <w:sz w:val="28"/>
          <w:szCs w:val="28"/>
          <w:highlight w:val="none"/>
        </w:rPr>
        <w:t>附件</w:t>
      </w:r>
      <w:r>
        <w:rPr>
          <w:rFonts w:ascii="宋体" w:hAnsi="宋体" w:eastAsia="宋体" w:cs="宋体"/>
          <w:color w:val="auto"/>
          <w:spacing w:val="-27"/>
          <w:sz w:val="28"/>
          <w:szCs w:val="28"/>
          <w:highlight w:val="none"/>
        </w:rPr>
        <w:t xml:space="preserve"> </w:t>
      </w:r>
      <w:r>
        <w:rPr>
          <w:rFonts w:ascii="宋体" w:hAnsi="宋体" w:eastAsia="宋体" w:cs="宋体"/>
          <w:b/>
          <w:bCs/>
          <w:color w:val="auto"/>
          <w:spacing w:val="-6"/>
          <w:sz w:val="28"/>
          <w:szCs w:val="28"/>
          <w:highlight w:val="none"/>
        </w:rPr>
        <w:t>1</w:t>
      </w:r>
      <w:r>
        <w:rPr>
          <w:rFonts w:ascii="宋体" w:hAnsi="宋体" w:eastAsia="宋体" w:cs="宋体"/>
          <w:color w:val="auto"/>
          <w:spacing w:val="-6"/>
          <w:sz w:val="28"/>
          <w:szCs w:val="28"/>
          <w:highlight w:val="none"/>
        </w:rPr>
        <w:t xml:space="preserve">   </w:t>
      </w:r>
      <w:r>
        <w:rPr>
          <w:rFonts w:ascii="宋体" w:hAnsi="宋体" w:eastAsia="宋体" w:cs="宋体"/>
          <w:b/>
          <w:bCs/>
          <w:color w:val="auto"/>
          <w:spacing w:val="-6"/>
          <w:sz w:val="28"/>
          <w:szCs w:val="28"/>
          <w:highlight w:val="none"/>
        </w:rPr>
        <w:t>监理人员工作计划安排表</w:t>
      </w:r>
    </w:p>
    <w:p w14:paraId="339D356B">
      <w:pPr>
        <w:spacing w:before="20" w:line="228" w:lineRule="auto"/>
        <w:ind w:left="117"/>
        <w:rPr>
          <w:rFonts w:ascii="宋体" w:hAnsi="宋体" w:eastAsia="宋体" w:cs="宋体"/>
          <w:color w:val="auto"/>
          <w:sz w:val="20"/>
          <w:szCs w:val="20"/>
          <w:highlight w:val="none"/>
        </w:rPr>
      </w:pPr>
      <w:r>
        <w:rPr>
          <w:rFonts w:ascii="宋体" w:hAnsi="宋体" w:eastAsia="宋体" w:cs="宋体"/>
          <w:color w:val="auto"/>
          <w:spacing w:val="7"/>
          <w:sz w:val="20"/>
          <w:szCs w:val="20"/>
          <w:highlight w:val="none"/>
        </w:rPr>
        <w:t>标段：</w:t>
      </w:r>
      <w:r>
        <w:rPr>
          <w:rFonts w:ascii="宋体" w:hAnsi="宋体" w:eastAsia="宋体" w:cs="宋体"/>
          <w:color w:val="auto"/>
          <w:sz w:val="20"/>
          <w:szCs w:val="20"/>
          <w:highlight w:val="none"/>
          <w:u w:val="single" w:color="auto"/>
        </w:rPr>
        <w:t xml:space="preserve">         </w:t>
      </w:r>
    </w:p>
    <w:p w14:paraId="5480B341">
      <w:pPr>
        <w:spacing w:line="113" w:lineRule="exact"/>
        <w:rPr>
          <w:color w:val="auto"/>
          <w:highlight w:val="none"/>
        </w:rPr>
      </w:pPr>
    </w:p>
    <w:tbl>
      <w:tblPr>
        <w:tblStyle w:val="17"/>
        <w:tblW w:w="928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8"/>
        <w:gridCol w:w="1628"/>
        <w:gridCol w:w="805"/>
        <w:gridCol w:w="635"/>
        <w:gridCol w:w="348"/>
        <w:gridCol w:w="348"/>
        <w:gridCol w:w="350"/>
        <w:gridCol w:w="348"/>
        <w:gridCol w:w="349"/>
        <w:gridCol w:w="351"/>
        <w:gridCol w:w="349"/>
        <w:gridCol w:w="349"/>
        <w:gridCol w:w="426"/>
        <w:gridCol w:w="426"/>
        <w:gridCol w:w="426"/>
        <w:gridCol w:w="429"/>
        <w:gridCol w:w="526"/>
        <w:gridCol w:w="735"/>
      </w:tblGrid>
      <w:tr w14:paraId="6DB75E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58" w:type="dxa"/>
            <w:vMerge w:val="restart"/>
            <w:tcBorders>
              <w:bottom w:val="nil"/>
            </w:tcBorders>
            <w:textDirection w:val="tbRlV"/>
            <w:vAlign w:val="top"/>
          </w:tcPr>
          <w:p w14:paraId="26E741A1">
            <w:pPr>
              <w:pStyle w:val="18"/>
              <w:spacing w:before="123" w:line="218" w:lineRule="auto"/>
              <w:ind w:left="308"/>
              <w:rPr>
                <w:color w:val="auto"/>
                <w:highlight w:val="none"/>
              </w:rPr>
            </w:pPr>
            <w:r>
              <w:rPr>
                <w:color w:val="auto"/>
                <w:spacing w:val="8"/>
                <w:highlight w:val="none"/>
              </w:rPr>
              <w:t>序</w:t>
            </w:r>
            <w:r>
              <w:rPr>
                <w:color w:val="auto"/>
                <w:spacing w:val="-38"/>
                <w:highlight w:val="none"/>
              </w:rPr>
              <w:t xml:space="preserve"> </w:t>
            </w:r>
            <w:r>
              <w:rPr>
                <w:color w:val="auto"/>
                <w:spacing w:val="8"/>
                <w:highlight w:val="none"/>
              </w:rPr>
              <w:t>号</w:t>
            </w:r>
          </w:p>
        </w:tc>
        <w:tc>
          <w:tcPr>
            <w:tcW w:w="1628" w:type="dxa"/>
            <w:vMerge w:val="restart"/>
            <w:tcBorders>
              <w:bottom w:val="nil"/>
            </w:tcBorders>
            <w:vAlign w:val="top"/>
          </w:tcPr>
          <w:p w14:paraId="4522CA58">
            <w:pPr>
              <w:spacing w:line="378" w:lineRule="auto"/>
              <w:rPr>
                <w:rFonts w:ascii="Arial"/>
                <w:color w:val="auto"/>
                <w:sz w:val="21"/>
                <w:highlight w:val="none"/>
              </w:rPr>
            </w:pPr>
          </w:p>
          <w:p w14:paraId="55AE24C9">
            <w:pPr>
              <w:pStyle w:val="18"/>
              <w:spacing w:before="65" w:line="229" w:lineRule="auto"/>
              <w:ind w:left="608"/>
              <w:rPr>
                <w:color w:val="auto"/>
                <w:highlight w:val="none"/>
              </w:rPr>
            </w:pPr>
            <w:r>
              <w:rPr>
                <w:color w:val="auto"/>
                <w:spacing w:val="3"/>
                <w:highlight w:val="none"/>
              </w:rPr>
              <w:t>人员</w:t>
            </w:r>
          </w:p>
        </w:tc>
        <w:tc>
          <w:tcPr>
            <w:tcW w:w="805" w:type="dxa"/>
            <w:vMerge w:val="restart"/>
            <w:tcBorders>
              <w:bottom w:val="nil"/>
            </w:tcBorders>
            <w:vAlign w:val="top"/>
          </w:tcPr>
          <w:p w14:paraId="781E9D8D">
            <w:pPr>
              <w:pStyle w:val="18"/>
              <w:spacing w:before="172" w:line="228" w:lineRule="auto"/>
              <w:ind w:left="198"/>
              <w:rPr>
                <w:color w:val="auto"/>
                <w:highlight w:val="none"/>
              </w:rPr>
            </w:pPr>
            <w:r>
              <w:rPr>
                <w:color w:val="auto"/>
                <w:spacing w:val="4"/>
                <w:highlight w:val="none"/>
              </w:rPr>
              <w:t>驻场</w:t>
            </w:r>
          </w:p>
          <w:p w14:paraId="18A9E25C">
            <w:pPr>
              <w:pStyle w:val="18"/>
              <w:spacing w:before="23" w:line="254" w:lineRule="auto"/>
              <w:ind w:left="104" w:right="102" w:firstLine="102"/>
              <w:rPr>
                <w:color w:val="auto"/>
                <w:highlight w:val="none"/>
              </w:rPr>
            </w:pPr>
            <w:r>
              <w:rPr>
                <w:color w:val="auto"/>
                <w:spacing w:val="-1"/>
                <w:highlight w:val="none"/>
              </w:rPr>
              <w:t>时间</w:t>
            </w:r>
            <w:r>
              <w:rPr>
                <w:color w:val="auto"/>
                <w:spacing w:val="-3"/>
                <w:highlight w:val="none"/>
              </w:rPr>
              <w:t>（月）</w:t>
            </w:r>
          </w:p>
        </w:tc>
        <w:tc>
          <w:tcPr>
            <w:tcW w:w="5134" w:type="dxa"/>
            <w:gridSpan w:val="13"/>
            <w:vAlign w:val="top"/>
          </w:tcPr>
          <w:p w14:paraId="0D02F688">
            <w:pPr>
              <w:pStyle w:val="18"/>
              <w:spacing w:before="168" w:line="228" w:lineRule="auto"/>
              <w:ind w:left="1052"/>
              <w:rPr>
                <w:color w:val="auto"/>
                <w:highlight w:val="none"/>
              </w:rPr>
            </w:pPr>
            <w:r>
              <w:rPr>
                <w:color w:val="auto"/>
                <w:spacing w:val="7"/>
                <w:highlight w:val="none"/>
              </w:rPr>
              <w:t>监理人员投入安排（共   个月）</w:t>
            </w:r>
          </w:p>
        </w:tc>
        <w:tc>
          <w:tcPr>
            <w:tcW w:w="526" w:type="dxa"/>
            <w:vMerge w:val="restart"/>
            <w:tcBorders>
              <w:bottom w:val="nil"/>
            </w:tcBorders>
            <w:textDirection w:val="tbRlV"/>
            <w:vAlign w:val="top"/>
          </w:tcPr>
          <w:p w14:paraId="1BF29738">
            <w:pPr>
              <w:pStyle w:val="18"/>
              <w:spacing w:before="154" w:line="217" w:lineRule="auto"/>
              <w:ind w:left="308"/>
              <w:rPr>
                <w:color w:val="auto"/>
                <w:highlight w:val="none"/>
              </w:rPr>
            </w:pPr>
            <w:r>
              <w:rPr>
                <w:color w:val="auto"/>
                <w:spacing w:val="8"/>
                <w:highlight w:val="none"/>
              </w:rPr>
              <w:t>合</w:t>
            </w:r>
            <w:r>
              <w:rPr>
                <w:color w:val="auto"/>
                <w:spacing w:val="-38"/>
                <w:highlight w:val="none"/>
              </w:rPr>
              <w:t xml:space="preserve"> </w:t>
            </w:r>
            <w:r>
              <w:rPr>
                <w:color w:val="auto"/>
                <w:spacing w:val="8"/>
                <w:highlight w:val="none"/>
              </w:rPr>
              <w:t>计</w:t>
            </w:r>
          </w:p>
        </w:tc>
        <w:tc>
          <w:tcPr>
            <w:tcW w:w="735" w:type="dxa"/>
            <w:vMerge w:val="restart"/>
            <w:tcBorders>
              <w:bottom w:val="nil"/>
            </w:tcBorders>
            <w:vAlign w:val="top"/>
          </w:tcPr>
          <w:p w14:paraId="019E5517">
            <w:pPr>
              <w:spacing w:line="378" w:lineRule="auto"/>
              <w:rPr>
                <w:rFonts w:ascii="Arial"/>
                <w:color w:val="auto"/>
                <w:sz w:val="21"/>
                <w:highlight w:val="none"/>
              </w:rPr>
            </w:pPr>
          </w:p>
          <w:p w14:paraId="3B67ADFA">
            <w:pPr>
              <w:pStyle w:val="18"/>
              <w:spacing w:before="65" w:line="229" w:lineRule="auto"/>
              <w:ind w:left="165"/>
              <w:rPr>
                <w:color w:val="auto"/>
                <w:highlight w:val="none"/>
              </w:rPr>
            </w:pPr>
            <w:r>
              <w:rPr>
                <w:color w:val="auto"/>
                <w:spacing w:val="3"/>
                <w:highlight w:val="none"/>
              </w:rPr>
              <w:t>备注</w:t>
            </w:r>
          </w:p>
        </w:tc>
      </w:tr>
      <w:tr w14:paraId="2E94FC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3" w:hRule="atLeast"/>
        </w:trPr>
        <w:tc>
          <w:tcPr>
            <w:tcW w:w="458" w:type="dxa"/>
            <w:vMerge w:val="continue"/>
            <w:tcBorders>
              <w:top w:val="nil"/>
            </w:tcBorders>
            <w:textDirection w:val="tbRlV"/>
            <w:vAlign w:val="top"/>
          </w:tcPr>
          <w:p w14:paraId="322A1229">
            <w:pPr>
              <w:rPr>
                <w:rFonts w:ascii="Arial"/>
                <w:color w:val="auto"/>
                <w:sz w:val="21"/>
                <w:highlight w:val="none"/>
              </w:rPr>
            </w:pPr>
          </w:p>
        </w:tc>
        <w:tc>
          <w:tcPr>
            <w:tcW w:w="1628" w:type="dxa"/>
            <w:vMerge w:val="continue"/>
            <w:tcBorders>
              <w:top w:val="nil"/>
            </w:tcBorders>
            <w:vAlign w:val="top"/>
          </w:tcPr>
          <w:p w14:paraId="1E247E0C">
            <w:pPr>
              <w:rPr>
                <w:rFonts w:ascii="Arial"/>
                <w:color w:val="auto"/>
                <w:sz w:val="21"/>
                <w:highlight w:val="none"/>
              </w:rPr>
            </w:pPr>
          </w:p>
        </w:tc>
        <w:tc>
          <w:tcPr>
            <w:tcW w:w="805" w:type="dxa"/>
            <w:vMerge w:val="continue"/>
            <w:tcBorders>
              <w:top w:val="nil"/>
            </w:tcBorders>
            <w:vAlign w:val="top"/>
          </w:tcPr>
          <w:p w14:paraId="05F322F2">
            <w:pPr>
              <w:rPr>
                <w:rFonts w:ascii="Arial"/>
                <w:color w:val="auto"/>
                <w:sz w:val="21"/>
                <w:highlight w:val="none"/>
              </w:rPr>
            </w:pPr>
          </w:p>
        </w:tc>
        <w:tc>
          <w:tcPr>
            <w:tcW w:w="635" w:type="dxa"/>
            <w:vAlign w:val="top"/>
          </w:tcPr>
          <w:p w14:paraId="7614B103">
            <w:pPr>
              <w:pStyle w:val="18"/>
              <w:spacing w:before="163" w:line="270" w:lineRule="exact"/>
              <w:ind w:left="286"/>
              <w:rPr>
                <w:color w:val="auto"/>
                <w:highlight w:val="none"/>
              </w:rPr>
            </w:pPr>
            <w:r>
              <w:rPr>
                <w:color w:val="auto"/>
                <w:position w:val="1"/>
                <w:highlight w:val="none"/>
              </w:rPr>
              <w:t>1</w:t>
            </w:r>
          </w:p>
        </w:tc>
        <w:tc>
          <w:tcPr>
            <w:tcW w:w="348" w:type="dxa"/>
            <w:vAlign w:val="top"/>
          </w:tcPr>
          <w:p w14:paraId="6B576819">
            <w:pPr>
              <w:pStyle w:val="18"/>
              <w:spacing w:before="163" w:line="270" w:lineRule="exact"/>
              <w:ind w:left="130"/>
              <w:rPr>
                <w:color w:val="auto"/>
                <w:highlight w:val="none"/>
              </w:rPr>
            </w:pPr>
            <w:r>
              <w:rPr>
                <w:color w:val="auto"/>
                <w:position w:val="1"/>
                <w:highlight w:val="none"/>
              </w:rPr>
              <w:t>2</w:t>
            </w:r>
          </w:p>
        </w:tc>
        <w:tc>
          <w:tcPr>
            <w:tcW w:w="348" w:type="dxa"/>
            <w:vAlign w:val="top"/>
          </w:tcPr>
          <w:p w14:paraId="14E39116">
            <w:pPr>
              <w:pStyle w:val="18"/>
              <w:spacing w:before="163" w:line="269" w:lineRule="exact"/>
              <w:ind w:left="132"/>
              <w:rPr>
                <w:color w:val="auto"/>
                <w:highlight w:val="none"/>
              </w:rPr>
            </w:pPr>
            <w:r>
              <w:rPr>
                <w:color w:val="auto"/>
                <w:position w:val="1"/>
                <w:highlight w:val="none"/>
              </w:rPr>
              <w:t>3</w:t>
            </w:r>
          </w:p>
        </w:tc>
        <w:tc>
          <w:tcPr>
            <w:tcW w:w="350" w:type="dxa"/>
            <w:vAlign w:val="top"/>
          </w:tcPr>
          <w:p w14:paraId="3C8ECCF6">
            <w:pPr>
              <w:pStyle w:val="18"/>
              <w:spacing w:before="163" w:line="270" w:lineRule="exact"/>
              <w:ind w:left="127"/>
              <w:rPr>
                <w:color w:val="auto"/>
                <w:highlight w:val="none"/>
              </w:rPr>
            </w:pPr>
            <w:r>
              <w:rPr>
                <w:color w:val="auto"/>
                <w:position w:val="1"/>
                <w:highlight w:val="none"/>
              </w:rPr>
              <w:t>4</w:t>
            </w:r>
          </w:p>
        </w:tc>
        <w:tc>
          <w:tcPr>
            <w:tcW w:w="348" w:type="dxa"/>
            <w:vAlign w:val="top"/>
          </w:tcPr>
          <w:p w14:paraId="6F32116C">
            <w:pPr>
              <w:pStyle w:val="18"/>
              <w:spacing w:before="163" w:line="269" w:lineRule="exact"/>
              <w:ind w:left="132"/>
              <w:rPr>
                <w:color w:val="auto"/>
                <w:highlight w:val="none"/>
              </w:rPr>
            </w:pPr>
            <w:r>
              <w:rPr>
                <w:color w:val="auto"/>
                <w:position w:val="1"/>
                <w:highlight w:val="none"/>
              </w:rPr>
              <w:t>5</w:t>
            </w:r>
          </w:p>
        </w:tc>
        <w:tc>
          <w:tcPr>
            <w:tcW w:w="349" w:type="dxa"/>
            <w:vAlign w:val="top"/>
          </w:tcPr>
          <w:p w14:paraId="30E2A605">
            <w:pPr>
              <w:pStyle w:val="18"/>
              <w:spacing w:before="163" w:line="269" w:lineRule="exact"/>
              <w:ind w:left="130"/>
              <w:rPr>
                <w:color w:val="auto"/>
                <w:highlight w:val="none"/>
              </w:rPr>
            </w:pPr>
            <w:r>
              <w:rPr>
                <w:color w:val="auto"/>
                <w:position w:val="1"/>
                <w:highlight w:val="none"/>
              </w:rPr>
              <w:t>6</w:t>
            </w:r>
          </w:p>
        </w:tc>
        <w:tc>
          <w:tcPr>
            <w:tcW w:w="351" w:type="dxa"/>
            <w:vAlign w:val="top"/>
          </w:tcPr>
          <w:p w14:paraId="412A2D13">
            <w:pPr>
              <w:pStyle w:val="18"/>
              <w:spacing w:before="163" w:line="269" w:lineRule="exact"/>
              <w:ind w:left="135"/>
              <w:rPr>
                <w:color w:val="auto"/>
                <w:highlight w:val="none"/>
              </w:rPr>
            </w:pPr>
            <w:r>
              <w:rPr>
                <w:color w:val="auto"/>
                <w:position w:val="1"/>
                <w:highlight w:val="none"/>
              </w:rPr>
              <w:t>7</w:t>
            </w:r>
          </w:p>
        </w:tc>
        <w:tc>
          <w:tcPr>
            <w:tcW w:w="349" w:type="dxa"/>
            <w:vAlign w:val="top"/>
          </w:tcPr>
          <w:p w14:paraId="24F54B11">
            <w:pPr>
              <w:pStyle w:val="18"/>
              <w:spacing w:before="163" w:line="269" w:lineRule="exact"/>
              <w:ind w:left="130"/>
              <w:rPr>
                <w:color w:val="auto"/>
                <w:highlight w:val="none"/>
              </w:rPr>
            </w:pPr>
            <w:r>
              <w:rPr>
                <w:color w:val="auto"/>
                <w:position w:val="1"/>
                <w:highlight w:val="none"/>
              </w:rPr>
              <w:t>8</w:t>
            </w:r>
          </w:p>
        </w:tc>
        <w:tc>
          <w:tcPr>
            <w:tcW w:w="349" w:type="dxa"/>
            <w:vAlign w:val="top"/>
          </w:tcPr>
          <w:p w14:paraId="38F61BDD">
            <w:pPr>
              <w:pStyle w:val="18"/>
              <w:spacing w:before="163" w:line="269" w:lineRule="exact"/>
              <w:ind w:left="129"/>
              <w:rPr>
                <w:color w:val="auto"/>
                <w:highlight w:val="none"/>
              </w:rPr>
            </w:pPr>
            <w:r>
              <w:rPr>
                <w:color w:val="auto"/>
                <w:position w:val="1"/>
                <w:highlight w:val="none"/>
              </w:rPr>
              <w:t>9</w:t>
            </w:r>
          </w:p>
        </w:tc>
        <w:tc>
          <w:tcPr>
            <w:tcW w:w="426" w:type="dxa"/>
            <w:vAlign w:val="top"/>
          </w:tcPr>
          <w:p w14:paraId="25EEE4E4">
            <w:pPr>
              <w:pStyle w:val="18"/>
              <w:spacing w:before="163" w:line="269" w:lineRule="exact"/>
              <w:ind w:left="131"/>
              <w:rPr>
                <w:color w:val="auto"/>
                <w:highlight w:val="none"/>
              </w:rPr>
            </w:pPr>
            <w:r>
              <w:rPr>
                <w:color w:val="auto"/>
                <w:spacing w:val="-7"/>
                <w:position w:val="1"/>
                <w:highlight w:val="none"/>
              </w:rPr>
              <w:t>10</w:t>
            </w:r>
          </w:p>
        </w:tc>
        <w:tc>
          <w:tcPr>
            <w:tcW w:w="426" w:type="dxa"/>
            <w:vAlign w:val="top"/>
          </w:tcPr>
          <w:p w14:paraId="145F7CB3">
            <w:pPr>
              <w:pStyle w:val="18"/>
              <w:spacing w:before="163" w:line="270" w:lineRule="exact"/>
              <w:ind w:left="129"/>
              <w:rPr>
                <w:color w:val="auto"/>
                <w:highlight w:val="none"/>
              </w:rPr>
            </w:pPr>
            <w:r>
              <w:rPr>
                <w:color w:val="auto"/>
                <w:spacing w:val="-7"/>
                <w:position w:val="1"/>
                <w:highlight w:val="none"/>
              </w:rPr>
              <w:t>11</w:t>
            </w:r>
          </w:p>
        </w:tc>
        <w:tc>
          <w:tcPr>
            <w:tcW w:w="426" w:type="dxa"/>
            <w:vAlign w:val="top"/>
          </w:tcPr>
          <w:p w14:paraId="079EB64F">
            <w:pPr>
              <w:pStyle w:val="18"/>
              <w:spacing w:before="163" w:line="270" w:lineRule="exact"/>
              <w:ind w:left="131"/>
              <w:rPr>
                <w:color w:val="auto"/>
                <w:highlight w:val="none"/>
              </w:rPr>
            </w:pPr>
            <w:r>
              <w:rPr>
                <w:color w:val="auto"/>
                <w:spacing w:val="-7"/>
                <w:position w:val="1"/>
                <w:highlight w:val="none"/>
              </w:rPr>
              <w:t>12</w:t>
            </w:r>
          </w:p>
        </w:tc>
        <w:tc>
          <w:tcPr>
            <w:tcW w:w="429" w:type="dxa"/>
            <w:vAlign w:val="top"/>
          </w:tcPr>
          <w:p w14:paraId="2EE4EC7E">
            <w:pPr>
              <w:pStyle w:val="18"/>
              <w:spacing w:before="163" w:line="324" w:lineRule="exact"/>
              <w:ind w:left="129"/>
              <w:rPr>
                <w:color w:val="auto"/>
                <w:highlight w:val="none"/>
              </w:rPr>
            </w:pPr>
            <w:r>
              <w:rPr>
                <w:color w:val="auto"/>
                <w:position w:val="2"/>
                <w:highlight w:val="none"/>
              </w:rPr>
              <w:t>…</w:t>
            </w:r>
          </w:p>
        </w:tc>
        <w:tc>
          <w:tcPr>
            <w:tcW w:w="526" w:type="dxa"/>
            <w:vMerge w:val="continue"/>
            <w:tcBorders>
              <w:top w:val="nil"/>
            </w:tcBorders>
            <w:textDirection w:val="tbRlV"/>
            <w:vAlign w:val="top"/>
          </w:tcPr>
          <w:p w14:paraId="7C946742">
            <w:pPr>
              <w:rPr>
                <w:rFonts w:ascii="Arial"/>
                <w:color w:val="auto"/>
                <w:sz w:val="21"/>
                <w:highlight w:val="none"/>
              </w:rPr>
            </w:pPr>
          </w:p>
        </w:tc>
        <w:tc>
          <w:tcPr>
            <w:tcW w:w="735" w:type="dxa"/>
            <w:vMerge w:val="continue"/>
            <w:tcBorders>
              <w:top w:val="nil"/>
            </w:tcBorders>
            <w:vAlign w:val="top"/>
          </w:tcPr>
          <w:p w14:paraId="5A6A97AF">
            <w:pPr>
              <w:rPr>
                <w:rFonts w:ascii="Arial"/>
                <w:color w:val="auto"/>
                <w:sz w:val="21"/>
                <w:highlight w:val="none"/>
              </w:rPr>
            </w:pPr>
          </w:p>
        </w:tc>
      </w:tr>
      <w:tr w14:paraId="7BD951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trPr>
        <w:tc>
          <w:tcPr>
            <w:tcW w:w="458" w:type="dxa"/>
            <w:vAlign w:val="top"/>
          </w:tcPr>
          <w:p w14:paraId="717FB30F">
            <w:pPr>
              <w:pStyle w:val="18"/>
              <w:spacing w:before="165" w:line="270" w:lineRule="exact"/>
              <w:ind w:left="197"/>
              <w:rPr>
                <w:color w:val="auto"/>
                <w:highlight w:val="none"/>
              </w:rPr>
            </w:pPr>
            <w:r>
              <w:rPr>
                <w:color w:val="auto"/>
                <w:position w:val="1"/>
                <w:highlight w:val="none"/>
              </w:rPr>
              <w:t>1</w:t>
            </w:r>
          </w:p>
        </w:tc>
        <w:tc>
          <w:tcPr>
            <w:tcW w:w="1628" w:type="dxa"/>
            <w:vAlign w:val="top"/>
          </w:tcPr>
          <w:p w14:paraId="0015C18A">
            <w:pPr>
              <w:pStyle w:val="18"/>
              <w:spacing w:before="165" w:line="228" w:lineRule="auto"/>
              <w:ind w:left="192"/>
              <w:rPr>
                <w:color w:val="auto"/>
                <w:highlight w:val="none"/>
              </w:rPr>
            </w:pPr>
            <w:r>
              <w:rPr>
                <w:color w:val="auto"/>
                <w:spacing w:val="7"/>
                <w:highlight w:val="none"/>
              </w:rPr>
              <w:t>总监理工程师</w:t>
            </w:r>
          </w:p>
        </w:tc>
        <w:tc>
          <w:tcPr>
            <w:tcW w:w="805" w:type="dxa"/>
            <w:vAlign w:val="top"/>
          </w:tcPr>
          <w:p w14:paraId="167FF1FC">
            <w:pPr>
              <w:rPr>
                <w:rFonts w:ascii="Arial"/>
                <w:color w:val="auto"/>
                <w:sz w:val="21"/>
                <w:highlight w:val="none"/>
              </w:rPr>
            </w:pPr>
          </w:p>
        </w:tc>
        <w:tc>
          <w:tcPr>
            <w:tcW w:w="635" w:type="dxa"/>
            <w:vAlign w:val="top"/>
          </w:tcPr>
          <w:p w14:paraId="71CDEA9B">
            <w:pPr>
              <w:rPr>
                <w:rFonts w:ascii="Arial"/>
                <w:color w:val="auto"/>
                <w:sz w:val="21"/>
                <w:highlight w:val="none"/>
              </w:rPr>
            </w:pPr>
          </w:p>
        </w:tc>
        <w:tc>
          <w:tcPr>
            <w:tcW w:w="348" w:type="dxa"/>
            <w:vAlign w:val="top"/>
          </w:tcPr>
          <w:p w14:paraId="524572C1">
            <w:pPr>
              <w:rPr>
                <w:rFonts w:ascii="Arial"/>
                <w:color w:val="auto"/>
                <w:sz w:val="21"/>
                <w:highlight w:val="none"/>
              </w:rPr>
            </w:pPr>
          </w:p>
        </w:tc>
        <w:tc>
          <w:tcPr>
            <w:tcW w:w="348" w:type="dxa"/>
            <w:vAlign w:val="top"/>
          </w:tcPr>
          <w:p w14:paraId="71B8B3DB">
            <w:pPr>
              <w:rPr>
                <w:rFonts w:ascii="Arial"/>
                <w:color w:val="auto"/>
                <w:sz w:val="21"/>
                <w:highlight w:val="none"/>
              </w:rPr>
            </w:pPr>
          </w:p>
        </w:tc>
        <w:tc>
          <w:tcPr>
            <w:tcW w:w="350" w:type="dxa"/>
            <w:vAlign w:val="top"/>
          </w:tcPr>
          <w:p w14:paraId="08E6FFA9">
            <w:pPr>
              <w:rPr>
                <w:rFonts w:ascii="Arial"/>
                <w:color w:val="auto"/>
                <w:sz w:val="21"/>
                <w:highlight w:val="none"/>
              </w:rPr>
            </w:pPr>
          </w:p>
        </w:tc>
        <w:tc>
          <w:tcPr>
            <w:tcW w:w="348" w:type="dxa"/>
            <w:vAlign w:val="top"/>
          </w:tcPr>
          <w:p w14:paraId="56ED5E5B">
            <w:pPr>
              <w:rPr>
                <w:rFonts w:ascii="Arial"/>
                <w:color w:val="auto"/>
                <w:sz w:val="21"/>
                <w:highlight w:val="none"/>
              </w:rPr>
            </w:pPr>
          </w:p>
        </w:tc>
        <w:tc>
          <w:tcPr>
            <w:tcW w:w="349" w:type="dxa"/>
            <w:vAlign w:val="top"/>
          </w:tcPr>
          <w:p w14:paraId="5DA58E06">
            <w:pPr>
              <w:rPr>
                <w:rFonts w:ascii="Arial"/>
                <w:color w:val="auto"/>
                <w:sz w:val="21"/>
                <w:highlight w:val="none"/>
              </w:rPr>
            </w:pPr>
          </w:p>
        </w:tc>
        <w:tc>
          <w:tcPr>
            <w:tcW w:w="351" w:type="dxa"/>
            <w:vAlign w:val="top"/>
          </w:tcPr>
          <w:p w14:paraId="7C34C498">
            <w:pPr>
              <w:rPr>
                <w:rFonts w:ascii="Arial"/>
                <w:color w:val="auto"/>
                <w:sz w:val="21"/>
                <w:highlight w:val="none"/>
              </w:rPr>
            </w:pPr>
          </w:p>
        </w:tc>
        <w:tc>
          <w:tcPr>
            <w:tcW w:w="349" w:type="dxa"/>
            <w:vAlign w:val="top"/>
          </w:tcPr>
          <w:p w14:paraId="3CB95C9F">
            <w:pPr>
              <w:rPr>
                <w:rFonts w:ascii="Arial"/>
                <w:color w:val="auto"/>
                <w:sz w:val="21"/>
                <w:highlight w:val="none"/>
              </w:rPr>
            </w:pPr>
          </w:p>
        </w:tc>
        <w:tc>
          <w:tcPr>
            <w:tcW w:w="349" w:type="dxa"/>
            <w:vAlign w:val="top"/>
          </w:tcPr>
          <w:p w14:paraId="7A567977">
            <w:pPr>
              <w:rPr>
                <w:rFonts w:ascii="Arial"/>
                <w:color w:val="auto"/>
                <w:sz w:val="21"/>
                <w:highlight w:val="none"/>
              </w:rPr>
            </w:pPr>
          </w:p>
        </w:tc>
        <w:tc>
          <w:tcPr>
            <w:tcW w:w="426" w:type="dxa"/>
            <w:vAlign w:val="top"/>
          </w:tcPr>
          <w:p w14:paraId="3DFE89EB">
            <w:pPr>
              <w:rPr>
                <w:rFonts w:ascii="Arial"/>
                <w:color w:val="auto"/>
                <w:sz w:val="21"/>
                <w:highlight w:val="none"/>
              </w:rPr>
            </w:pPr>
          </w:p>
        </w:tc>
        <w:tc>
          <w:tcPr>
            <w:tcW w:w="426" w:type="dxa"/>
            <w:vAlign w:val="top"/>
          </w:tcPr>
          <w:p w14:paraId="1B6EBF95">
            <w:pPr>
              <w:rPr>
                <w:rFonts w:ascii="Arial"/>
                <w:color w:val="auto"/>
                <w:sz w:val="21"/>
                <w:highlight w:val="none"/>
              </w:rPr>
            </w:pPr>
          </w:p>
        </w:tc>
        <w:tc>
          <w:tcPr>
            <w:tcW w:w="426" w:type="dxa"/>
            <w:vAlign w:val="top"/>
          </w:tcPr>
          <w:p w14:paraId="268F6BD4">
            <w:pPr>
              <w:rPr>
                <w:rFonts w:ascii="Arial"/>
                <w:color w:val="auto"/>
                <w:sz w:val="21"/>
                <w:highlight w:val="none"/>
              </w:rPr>
            </w:pPr>
          </w:p>
        </w:tc>
        <w:tc>
          <w:tcPr>
            <w:tcW w:w="429" w:type="dxa"/>
            <w:vAlign w:val="top"/>
          </w:tcPr>
          <w:p w14:paraId="1CBB52CD">
            <w:pPr>
              <w:rPr>
                <w:rFonts w:ascii="Arial"/>
                <w:color w:val="auto"/>
                <w:sz w:val="21"/>
                <w:highlight w:val="none"/>
              </w:rPr>
            </w:pPr>
          </w:p>
        </w:tc>
        <w:tc>
          <w:tcPr>
            <w:tcW w:w="526" w:type="dxa"/>
            <w:vAlign w:val="top"/>
          </w:tcPr>
          <w:p w14:paraId="49E861F8">
            <w:pPr>
              <w:rPr>
                <w:rFonts w:ascii="Arial"/>
                <w:color w:val="auto"/>
                <w:sz w:val="21"/>
                <w:highlight w:val="none"/>
              </w:rPr>
            </w:pPr>
          </w:p>
        </w:tc>
        <w:tc>
          <w:tcPr>
            <w:tcW w:w="735" w:type="dxa"/>
            <w:vAlign w:val="top"/>
          </w:tcPr>
          <w:p w14:paraId="45F9D063">
            <w:pPr>
              <w:rPr>
                <w:rFonts w:ascii="Arial"/>
                <w:color w:val="auto"/>
                <w:sz w:val="21"/>
                <w:highlight w:val="none"/>
              </w:rPr>
            </w:pPr>
          </w:p>
        </w:tc>
      </w:tr>
      <w:tr w14:paraId="47D15B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58" w:type="dxa"/>
            <w:vAlign w:val="top"/>
          </w:tcPr>
          <w:p w14:paraId="1B5C6622">
            <w:pPr>
              <w:pStyle w:val="18"/>
              <w:spacing w:before="167" w:line="270" w:lineRule="exact"/>
              <w:ind w:left="184"/>
              <w:rPr>
                <w:color w:val="auto"/>
                <w:highlight w:val="none"/>
              </w:rPr>
            </w:pPr>
            <w:r>
              <w:rPr>
                <w:color w:val="auto"/>
                <w:position w:val="1"/>
                <w:highlight w:val="none"/>
              </w:rPr>
              <w:t>2</w:t>
            </w:r>
          </w:p>
        </w:tc>
        <w:tc>
          <w:tcPr>
            <w:tcW w:w="1628" w:type="dxa"/>
            <w:vAlign w:val="top"/>
          </w:tcPr>
          <w:p w14:paraId="5913D415">
            <w:pPr>
              <w:pStyle w:val="18"/>
              <w:spacing w:before="32" w:line="234" w:lineRule="auto"/>
              <w:ind w:left="605" w:right="184" w:hanging="420"/>
              <w:rPr>
                <w:color w:val="auto"/>
                <w:highlight w:val="none"/>
              </w:rPr>
            </w:pPr>
            <w:r>
              <w:rPr>
                <w:color w:val="auto"/>
                <w:spacing w:val="7"/>
                <w:highlight w:val="none"/>
              </w:rPr>
              <w:t>**专业监理工</w:t>
            </w:r>
            <w:r>
              <w:rPr>
                <w:color w:val="auto"/>
                <w:spacing w:val="5"/>
                <w:highlight w:val="none"/>
              </w:rPr>
              <w:t>程师</w:t>
            </w:r>
          </w:p>
        </w:tc>
        <w:tc>
          <w:tcPr>
            <w:tcW w:w="805" w:type="dxa"/>
            <w:vAlign w:val="top"/>
          </w:tcPr>
          <w:p w14:paraId="14796B18">
            <w:pPr>
              <w:rPr>
                <w:rFonts w:ascii="Arial"/>
                <w:color w:val="auto"/>
                <w:sz w:val="21"/>
                <w:highlight w:val="none"/>
              </w:rPr>
            </w:pPr>
          </w:p>
        </w:tc>
        <w:tc>
          <w:tcPr>
            <w:tcW w:w="635" w:type="dxa"/>
            <w:vAlign w:val="top"/>
          </w:tcPr>
          <w:p w14:paraId="38B586BF">
            <w:pPr>
              <w:rPr>
                <w:rFonts w:ascii="Arial"/>
                <w:color w:val="auto"/>
                <w:sz w:val="21"/>
                <w:highlight w:val="none"/>
              </w:rPr>
            </w:pPr>
          </w:p>
        </w:tc>
        <w:tc>
          <w:tcPr>
            <w:tcW w:w="348" w:type="dxa"/>
            <w:vAlign w:val="top"/>
          </w:tcPr>
          <w:p w14:paraId="63D0014D">
            <w:pPr>
              <w:rPr>
                <w:rFonts w:ascii="Arial"/>
                <w:color w:val="auto"/>
                <w:sz w:val="21"/>
                <w:highlight w:val="none"/>
              </w:rPr>
            </w:pPr>
          </w:p>
        </w:tc>
        <w:tc>
          <w:tcPr>
            <w:tcW w:w="348" w:type="dxa"/>
            <w:vAlign w:val="top"/>
          </w:tcPr>
          <w:p w14:paraId="6774F8BA">
            <w:pPr>
              <w:rPr>
                <w:rFonts w:ascii="Arial"/>
                <w:color w:val="auto"/>
                <w:sz w:val="21"/>
                <w:highlight w:val="none"/>
              </w:rPr>
            </w:pPr>
          </w:p>
        </w:tc>
        <w:tc>
          <w:tcPr>
            <w:tcW w:w="350" w:type="dxa"/>
            <w:vAlign w:val="top"/>
          </w:tcPr>
          <w:p w14:paraId="7B12786A">
            <w:pPr>
              <w:rPr>
                <w:rFonts w:ascii="Arial"/>
                <w:color w:val="auto"/>
                <w:sz w:val="21"/>
                <w:highlight w:val="none"/>
              </w:rPr>
            </w:pPr>
          </w:p>
        </w:tc>
        <w:tc>
          <w:tcPr>
            <w:tcW w:w="348" w:type="dxa"/>
            <w:vAlign w:val="top"/>
          </w:tcPr>
          <w:p w14:paraId="75A4D270">
            <w:pPr>
              <w:rPr>
                <w:rFonts w:ascii="Arial"/>
                <w:color w:val="auto"/>
                <w:sz w:val="21"/>
                <w:highlight w:val="none"/>
              </w:rPr>
            </w:pPr>
          </w:p>
        </w:tc>
        <w:tc>
          <w:tcPr>
            <w:tcW w:w="349" w:type="dxa"/>
            <w:vAlign w:val="top"/>
          </w:tcPr>
          <w:p w14:paraId="35E48778">
            <w:pPr>
              <w:rPr>
                <w:rFonts w:ascii="Arial"/>
                <w:color w:val="auto"/>
                <w:sz w:val="21"/>
                <w:highlight w:val="none"/>
              </w:rPr>
            </w:pPr>
          </w:p>
        </w:tc>
        <w:tc>
          <w:tcPr>
            <w:tcW w:w="351" w:type="dxa"/>
            <w:vAlign w:val="top"/>
          </w:tcPr>
          <w:p w14:paraId="7D4233AB">
            <w:pPr>
              <w:rPr>
                <w:rFonts w:ascii="Arial"/>
                <w:color w:val="auto"/>
                <w:sz w:val="21"/>
                <w:highlight w:val="none"/>
              </w:rPr>
            </w:pPr>
          </w:p>
        </w:tc>
        <w:tc>
          <w:tcPr>
            <w:tcW w:w="349" w:type="dxa"/>
            <w:vAlign w:val="top"/>
          </w:tcPr>
          <w:p w14:paraId="223AA7FB">
            <w:pPr>
              <w:rPr>
                <w:rFonts w:ascii="Arial"/>
                <w:color w:val="auto"/>
                <w:sz w:val="21"/>
                <w:highlight w:val="none"/>
              </w:rPr>
            </w:pPr>
          </w:p>
        </w:tc>
        <w:tc>
          <w:tcPr>
            <w:tcW w:w="349" w:type="dxa"/>
            <w:vAlign w:val="top"/>
          </w:tcPr>
          <w:p w14:paraId="778F0122">
            <w:pPr>
              <w:rPr>
                <w:rFonts w:ascii="Arial"/>
                <w:color w:val="auto"/>
                <w:sz w:val="21"/>
                <w:highlight w:val="none"/>
              </w:rPr>
            </w:pPr>
          </w:p>
        </w:tc>
        <w:tc>
          <w:tcPr>
            <w:tcW w:w="426" w:type="dxa"/>
            <w:vAlign w:val="top"/>
          </w:tcPr>
          <w:p w14:paraId="1113B7EC">
            <w:pPr>
              <w:rPr>
                <w:rFonts w:ascii="Arial"/>
                <w:color w:val="auto"/>
                <w:sz w:val="21"/>
                <w:highlight w:val="none"/>
              </w:rPr>
            </w:pPr>
          </w:p>
        </w:tc>
        <w:tc>
          <w:tcPr>
            <w:tcW w:w="426" w:type="dxa"/>
            <w:vAlign w:val="top"/>
          </w:tcPr>
          <w:p w14:paraId="28606667">
            <w:pPr>
              <w:rPr>
                <w:rFonts w:ascii="Arial"/>
                <w:color w:val="auto"/>
                <w:sz w:val="21"/>
                <w:highlight w:val="none"/>
              </w:rPr>
            </w:pPr>
          </w:p>
        </w:tc>
        <w:tc>
          <w:tcPr>
            <w:tcW w:w="426" w:type="dxa"/>
            <w:vAlign w:val="top"/>
          </w:tcPr>
          <w:p w14:paraId="70539B8A">
            <w:pPr>
              <w:rPr>
                <w:rFonts w:ascii="Arial"/>
                <w:color w:val="auto"/>
                <w:sz w:val="21"/>
                <w:highlight w:val="none"/>
              </w:rPr>
            </w:pPr>
          </w:p>
        </w:tc>
        <w:tc>
          <w:tcPr>
            <w:tcW w:w="429" w:type="dxa"/>
            <w:vAlign w:val="top"/>
          </w:tcPr>
          <w:p w14:paraId="630873E5">
            <w:pPr>
              <w:rPr>
                <w:rFonts w:ascii="Arial"/>
                <w:color w:val="auto"/>
                <w:sz w:val="21"/>
                <w:highlight w:val="none"/>
              </w:rPr>
            </w:pPr>
          </w:p>
        </w:tc>
        <w:tc>
          <w:tcPr>
            <w:tcW w:w="526" w:type="dxa"/>
            <w:vAlign w:val="top"/>
          </w:tcPr>
          <w:p w14:paraId="76D2FBEC">
            <w:pPr>
              <w:rPr>
                <w:rFonts w:ascii="Arial"/>
                <w:color w:val="auto"/>
                <w:sz w:val="21"/>
                <w:highlight w:val="none"/>
              </w:rPr>
            </w:pPr>
          </w:p>
        </w:tc>
        <w:tc>
          <w:tcPr>
            <w:tcW w:w="735" w:type="dxa"/>
            <w:vAlign w:val="top"/>
          </w:tcPr>
          <w:p w14:paraId="6ACEBE44">
            <w:pPr>
              <w:rPr>
                <w:rFonts w:ascii="Arial"/>
                <w:color w:val="auto"/>
                <w:sz w:val="21"/>
                <w:highlight w:val="none"/>
              </w:rPr>
            </w:pPr>
          </w:p>
        </w:tc>
      </w:tr>
      <w:tr w14:paraId="534743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58" w:type="dxa"/>
            <w:vAlign w:val="top"/>
          </w:tcPr>
          <w:p w14:paraId="6741ACD0">
            <w:pPr>
              <w:pStyle w:val="18"/>
              <w:spacing w:before="167" w:line="269" w:lineRule="exact"/>
              <w:ind w:left="185"/>
              <w:rPr>
                <w:color w:val="auto"/>
                <w:highlight w:val="none"/>
              </w:rPr>
            </w:pPr>
            <w:r>
              <w:rPr>
                <w:color w:val="auto"/>
                <w:position w:val="1"/>
                <w:highlight w:val="none"/>
              </w:rPr>
              <w:t>3</w:t>
            </w:r>
          </w:p>
        </w:tc>
        <w:tc>
          <w:tcPr>
            <w:tcW w:w="1628" w:type="dxa"/>
            <w:vAlign w:val="top"/>
          </w:tcPr>
          <w:p w14:paraId="1747EF2F">
            <w:pPr>
              <w:pStyle w:val="18"/>
              <w:spacing w:before="34" w:line="233" w:lineRule="auto"/>
              <w:ind w:left="605" w:right="184" w:hanging="420"/>
              <w:rPr>
                <w:color w:val="auto"/>
                <w:highlight w:val="none"/>
              </w:rPr>
            </w:pPr>
            <w:r>
              <w:rPr>
                <w:color w:val="auto"/>
                <w:spacing w:val="7"/>
                <w:highlight w:val="none"/>
              </w:rPr>
              <w:t>**专业监理工</w:t>
            </w:r>
            <w:r>
              <w:rPr>
                <w:color w:val="auto"/>
                <w:spacing w:val="5"/>
                <w:highlight w:val="none"/>
              </w:rPr>
              <w:t>程师</w:t>
            </w:r>
          </w:p>
        </w:tc>
        <w:tc>
          <w:tcPr>
            <w:tcW w:w="805" w:type="dxa"/>
            <w:vAlign w:val="top"/>
          </w:tcPr>
          <w:p w14:paraId="2C9BAC4E">
            <w:pPr>
              <w:rPr>
                <w:rFonts w:ascii="Arial"/>
                <w:color w:val="auto"/>
                <w:sz w:val="21"/>
                <w:highlight w:val="none"/>
              </w:rPr>
            </w:pPr>
          </w:p>
        </w:tc>
        <w:tc>
          <w:tcPr>
            <w:tcW w:w="635" w:type="dxa"/>
            <w:vAlign w:val="top"/>
          </w:tcPr>
          <w:p w14:paraId="18868954">
            <w:pPr>
              <w:rPr>
                <w:rFonts w:ascii="Arial"/>
                <w:color w:val="auto"/>
                <w:sz w:val="21"/>
                <w:highlight w:val="none"/>
              </w:rPr>
            </w:pPr>
          </w:p>
        </w:tc>
        <w:tc>
          <w:tcPr>
            <w:tcW w:w="348" w:type="dxa"/>
            <w:vAlign w:val="top"/>
          </w:tcPr>
          <w:p w14:paraId="2E6976DB">
            <w:pPr>
              <w:rPr>
                <w:rFonts w:ascii="Arial"/>
                <w:color w:val="auto"/>
                <w:sz w:val="21"/>
                <w:highlight w:val="none"/>
              </w:rPr>
            </w:pPr>
          </w:p>
        </w:tc>
        <w:tc>
          <w:tcPr>
            <w:tcW w:w="348" w:type="dxa"/>
            <w:vAlign w:val="top"/>
          </w:tcPr>
          <w:p w14:paraId="66CE6403">
            <w:pPr>
              <w:rPr>
                <w:rFonts w:ascii="Arial"/>
                <w:color w:val="auto"/>
                <w:sz w:val="21"/>
                <w:highlight w:val="none"/>
              </w:rPr>
            </w:pPr>
          </w:p>
        </w:tc>
        <w:tc>
          <w:tcPr>
            <w:tcW w:w="350" w:type="dxa"/>
            <w:vAlign w:val="top"/>
          </w:tcPr>
          <w:p w14:paraId="7BC71137">
            <w:pPr>
              <w:rPr>
                <w:rFonts w:ascii="Arial"/>
                <w:color w:val="auto"/>
                <w:sz w:val="21"/>
                <w:highlight w:val="none"/>
              </w:rPr>
            </w:pPr>
          </w:p>
        </w:tc>
        <w:tc>
          <w:tcPr>
            <w:tcW w:w="348" w:type="dxa"/>
            <w:vAlign w:val="top"/>
          </w:tcPr>
          <w:p w14:paraId="303E34C7">
            <w:pPr>
              <w:rPr>
                <w:rFonts w:ascii="Arial"/>
                <w:color w:val="auto"/>
                <w:sz w:val="21"/>
                <w:highlight w:val="none"/>
              </w:rPr>
            </w:pPr>
          </w:p>
        </w:tc>
        <w:tc>
          <w:tcPr>
            <w:tcW w:w="349" w:type="dxa"/>
            <w:vAlign w:val="top"/>
          </w:tcPr>
          <w:p w14:paraId="5EF65171">
            <w:pPr>
              <w:rPr>
                <w:rFonts w:ascii="Arial"/>
                <w:color w:val="auto"/>
                <w:sz w:val="21"/>
                <w:highlight w:val="none"/>
              </w:rPr>
            </w:pPr>
          </w:p>
        </w:tc>
        <w:tc>
          <w:tcPr>
            <w:tcW w:w="351" w:type="dxa"/>
            <w:vAlign w:val="top"/>
          </w:tcPr>
          <w:p w14:paraId="0B021CEF">
            <w:pPr>
              <w:rPr>
                <w:rFonts w:ascii="Arial"/>
                <w:color w:val="auto"/>
                <w:sz w:val="21"/>
                <w:highlight w:val="none"/>
              </w:rPr>
            </w:pPr>
          </w:p>
        </w:tc>
        <w:tc>
          <w:tcPr>
            <w:tcW w:w="349" w:type="dxa"/>
            <w:vAlign w:val="top"/>
          </w:tcPr>
          <w:p w14:paraId="2E919B0C">
            <w:pPr>
              <w:rPr>
                <w:rFonts w:ascii="Arial"/>
                <w:color w:val="auto"/>
                <w:sz w:val="21"/>
                <w:highlight w:val="none"/>
              </w:rPr>
            </w:pPr>
          </w:p>
        </w:tc>
        <w:tc>
          <w:tcPr>
            <w:tcW w:w="349" w:type="dxa"/>
            <w:vAlign w:val="top"/>
          </w:tcPr>
          <w:p w14:paraId="21C16330">
            <w:pPr>
              <w:rPr>
                <w:rFonts w:ascii="Arial"/>
                <w:color w:val="auto"/>
                <w:sz w:val="21"/>
                <w:highlight w:val="none"/>
              </w:rPr>
            </w:pPr>
          </w:p>
        </w:tc>
        <w:tc>
          <w:tcPr>
            <w:tcW w:w="426" w:type="dxa"/>
            <w:vAlign w:val="top"/>
          </w:tcPr>
          <w:p w14:paraId="63E5E395">
            <w:pPr>
              <w:rPr>
                <w:rFonts w:ascii="Arial"/>
                <w:color w:val="auto"/>
                <w:sz w:val="21"/>
                <w:highlight w:val="none"/>
              </w:rPr>
            </w:pPr>
          </w:p>
        </w:tc>
        <w:tc>
          <w:tcPr>
            <w:tcW w:w="426" w:type="dxa"/>
            <w:vAlign w:val="top"/>
          </w:tcPr>
          <w:p w14:paraId="3DDBEB97">
            <w:pPr>
              <w:rPr>
                <w:rFonts w:ascii="Arial"/>
                <w:color w:val="auto"/>
                <w:sz w:val="21"/>
                <w:highlight w:val="none"/>
              </w:rPr>
            </w:pPr>
          </w:p>
        </w:tc>
        <w:tc>
          <w:tcPr>
            <w:tcW w:w="426" w:type="dxa"/>
            <w:vAlign w:val="top"/>
          </w:tcPr>
          <w:p w14:paraId="74033502">
            <w:pPr>
              <w:rPr>
                <w:rFonts w:ascii="Arial"/>
                <w:color w:val="auto"/>
                <w:sz w:val="21"/>
                <w:highlight w:val="none"/>
              </w:rPr>
            </w:pPr>
          </w:p>
        </w:tc>
        <w:tc>
          <w:tcPr>
            <w:tcW w:w="429" w:type="dxa"/>
            <w:vAlign w:val="top"/>
          </w:tcPr>
          <w:p w14:paraId="183981CE">
            <w:pPr>
              <w:rPr>
                <w:rFonts w:ascii="Arial"/>
                <w:color w:val="auto"/>
                <w:sz w:val="21"/>
                <w:highlight w:val="none"/>
              </w:rPr>
            </w:pPr>
          </w:p>
        </w:tc>
        <w:tc>
          <w:tcPr>
            <w:tcW w:w="526" w:type="dxa"/>
            <w:vAlign w:val="top"/>
          </w:tcPr>
          <w:p w14:paraId="729B8BA9">
            <w:pPr>
              <w:rPr>
                <w:rFonts w:ascii="Arial"/>
                <w:color w:val="auto"/>
                <w:sz w:val="21"/>
                <w:highlight w:val="none"/>
              </w:rPr>
            </w:pPr>
          </w:p>
        </w:tc>
        <w:tc>
          <w:tcPr>
            <w:tcW w:w="735" w:type="dxa"/>
            <w:vAlign w:val="top"/>
          </w:tcPr>
          <w:p w14:paraId="7FF0820C">
            <w:pPr>
              <w:rPr>
                <w:rFonts w:ascii="Arial"/>
                <w:color w:val="auto"/>
                <w:sz w:val="21"/>
                <w:highlight w:val="none"/>
              </w:rPr>
            </w:pPr>
          </w:p>
        </w:tc>
      </w:tr>
      <w:tr w14:paraId="25929B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58" w:type="dxa"/>
            <w:vAlign w:val="top"/>
          </w:tcPr>
          <w:p w14:paraId="0FCA95BB">
            <w:pPr>
              <w:pStyle w:val="18"/>
              <w:spacing w:before="168" w:line="270" w:lineRule="exact"/>
              <w:ind w:left="180"/>
              <w:rPr>
                <w:color w:val="auto"/>
                <w:highlight w:val="none"/>
              </w:rPr>
            </w:pPr>
            <w:r>
              <w:rPr>
                <w:color w:val="auto"/>
                <w:position w:val="1"/>
                <w:highlight w:val="none"/>
              </w:rPr>
              <w:t>4</w:t>
            </w:r>
          </w:p>
        </w:tc>
        <w:tc>
          <w:tcPr>
            <w:tcW w:w="1628" w:type="dxa"/>
            <w:vAlign w:val="top"/>
          </w:tcPr>
          <w:p w14:paraId="6657B8B5">
            <w:pPr>
              <w:pStyle w:val="18"/>
              <w:spacing w:before="34" w:line="233" w:lineRule="auto"/>
              <w:ind w:left="605" w:right="184" w:hanging="420"/>
              <w:rPr>
                <w:color w:val="auto"/>
                <w:highlight w:val="none"/>
              </w:rPr>
            </w:pPr>
            <w:r>
              <w:rPr>
                <w:color w:val="auto"/>
                <w:spacing w:val="7"/>
                <w:highlight w:val="none"/>
              </w:rPr>
              <w:t>**专业监理工</w:t>
            </w:r>
            <w:r>
              <w:rPr>
                <w:color w:val="auto"/>
                <w:spacing w:val="5"/>
                <w:highlight w:val="none"/>
              </w:rPr>
              <w:t>程师</w:t>
            </w:r>
          </w:p>
        </w:tc>
        <w:tc>
          <w:tcPr>
            <w:tcW w:w="805" w:type="dxa"/>
            <w:vAlign w:val="top"/>
          </w:tcPr>
          <w:p w14:paraId="65E8B040">
            <w:pPr>
              <w:rPr>
                <w:rFonts w:ascii="Arial"/>
                <w:color w:val="auto"/>
                <w:sz w:val="21"/>
                <w:highlight w:val="none"/>
              </w:rPr>
            </w:pPr>
          </w:p>
        </w:tc>
        <w:tc>
          <w:tcPr>
            <w:tcW w:w="635" w:type="dxa"/>
            <w:vAlign w:val="top"/>
          </w:tcPr>
          <w:p w14:paraId="68BDA1A4">
            <w:pPr>
              <w:rPr>
                <w:rFonts w:ascii="Arial"/>
                <w:color w:val="auto"/>
                <w:sz w:val="21"/>
                <w:highlight w:val="none"/>
              </w:rPr>
            </w:pPr>
          </w:p>
        </w:tc>
        <w:tc>
          <w:tcPr>
            <w:tcW w:w="348" w:type="dxa"/>
            <w:vAlign w:val="top"/>
          </w:tcPr>
          <w:p w14:paraId="4220165A">
            <w:pPr>
              <w:rPr>
                <w:rFonts w:ascii="Arial"/>
                <w:color w:val="auto"/>
                <w:sz w:val="21"/>
                <w:highlight w:val="none"/>
              </w:rPr>
            </w:pPr>
          </w:p>
        </w:tc>
        <w:tc>
          <w:tcPr>
            <w:tcW w:w="348" w:type="dxa"/>
            <w:vAlign w:val="top"/>
          </w:tcPr>
          <w:p w14:paraId="03D5ED43">
            <w:pPr>
              <w:rPr>
                <w:rFonts w:ascii="Arial"/>
                <w:color w:val="auto"/>
                <w:sz w:val="21"/>
                <w:highlight w:val="none"/>
              </w:rPr>
            </w:pPr>
          </w:p>
        </w:tc>
        <w:tc>
          <w:tcPr>
            <w:tcW w:w="350" w:type="dxa"/>
            <w:vAlign w:val="top"/>
          </w:tcPr>
          <w:p w14:paraId="11528BF3">
            <w:pPr>
              <w:rPr>
                <w:rFonts w:ascii="Arial"/>
                <w:color w:val="auto"/>
                <w:sz w:val="21"/>
                <w:highlight w:val="none"/>
              </w:rPr>
            </w:pPr>
          </w:p>
        </w:tc>
        <w:tc>
          <w:tcPr>
            <w:tcW w:w="348" w:type="dxa"/>
            <w:vAlign w:val="top"/>
          </w:tcPr>
          <w:p w14:paraId="258E7419">
            <w:pPr>
              <w:rPr>
                <w:rFonts w:ascii="Arial"/>
                <w:color w:val="auto"/>
                <w:sz w:val="21"/>
                <w:highlight w:val="none"/>
              </w:rPr>
            </w:pPr>
          </w:p>
        </w:tc>
        <w:tc>
          <w:tcPr>
            <w:tcW w:w="349" w:type="dxa"/>
            <w:vAlign w:val="top"/>
          </w:tcPr>
          <w:p w14:paraId="3DC6A2A3">
            <w:pPr>
              <w:rPr>
                <w:rFonts w:ascii="Arial"/>
                <w:color w:val="auto"/>
                <w:sz w:val="21"/>
                <w:highlight w:val="none"/>
              </w:rPr>
            </w:pPr>
          </w:p>
        </w:tc>
        <w:tc>
          <w:tcPr>
            <w:tcW w:w="351" w:type="dxa"/>
            <w:vAlign w:val="top"/>
          </w:tcPr>
          <w:p w14:paraId="1E27E140">
            <w:pPr>
              <w:rPr>
                <w:rFonts w:ascii="Arial"/>
                <w:color w:val="auto"/>
                <w:sz w:val="21"/>
                <w:highlight w:val="none"/>
              </w:rPr>
            </w:pPr>
          </w:p>
        </w:tc>
        <w:tc>
          <w:tcPr>
            <w:tcW w:w="349" w:type="dxa"/>
            <w:vAlign w:val="top"/>
          </w:tcPr>
          <w:p w14:paraId="5AA15E09">
            <w:pPr>
              <w:rPr>
                <w:rFonts w:ascii="Arial"/>
                <w:color w:val="auto"/>
                <w:sz w:val="21"/>
                <w:highlight w:val="none"/>
              </w:rPr>
            </w:pPr>
          </w:p>
        </w:tc>
        <w:tc>
          <w:tcPr>
            <w:tcW w:w="349" w:type="dxa"/>
            <w:vAlign w:val="top"/>
          </w:tcPr>
          <w:p w14:paraId="7467580B">
            <w:pPr>
              <w:rPr>
                <w:rFonts w:ascii="Arial"/>
                <w:color w:val="auto"/>
                <w:sz w:val="21"/>
                <w:highlight w:val="none"/>
              </w:rPr>
            </w:pPr>
          </w:p>
        </w:tc>
        <w:tc>
          <w:tcPr>
            <w:tcW w:w="426" w:type="dxa"/>
            <w:vAlign w:val="top"/>
          </w:tcPr>
          <w:p w14:paraId="507F1569">
            <w:pPr>
              <w:rPr>
                <w:rFonts w:ascii="Arial"/>
                <w:color w:val="auto"/>
                <w:sz w:val="21"/>
                <w:highlight w:val="none"/>
              </w:rPr>
            </w:pPr>
          </w:p>
        </w:tc>
        <w:tc>
          <w:tcPr>
            <w:tcW w:w="426" w:type="dxa"/>
            <w:vAlign w:val="top"/>
          </w:tcPr>
          <w:p w14:paraId="0F521F1D">
            <w:pPr>
              <w:rPr>
                <w:rFonts w:ascii="Arial"/>
                <w:color w:val="auto"/>
                <w:sz w:val="21"/>
                <w:highlight w:val="none"/>
              </w:rPr>
            </w:pPr>
          </w:p>
        </w:tc>
        <w:tc>
          <w:tcPr>
            <w:tcW w:w="426" w:type="dxa"/>
            <w:vAlign w:val="top"/>
          </w:tcPr>
          <w:p w14:paraId="22E296D0">
            <w:pPr>
              <w:rPr>
                <w:rFonts w:ascii="Arial"/>
                <w:color w:val="auto"/>
                <w:sz w:val="21"/>
                <w:highlight w:val="none"/>
              </w:rPr>
            </w:pPr>
          </w:p>
        </w:tc>
        <w:tc>
          <w:tcPr>
            <w:tcW w:w="429" w:type="dxa"/>
            <w:vAlign w:val="top"/>
          </w:tcPr>
          <w:p w14:paraId="3FBAF243">
            <w:pPr>
              <w:rPr>
                <w:rFonts w:ascii="Arial"/>
                <w:color w:val="auto"/>
                <w:sz w:val="21"/>
                <w:highlight w:val="none"/>
              </w:rPr>
            </w:pPr>
          </w:p>
        </w:tc>
        <w:tc>
          <w:tcPr>
            <w:tcW w:w="526" w:type="dxa"/>
            <w:vAlign w:val="top"/>
          </w:tcPr>
          <w:p w14:paraId="2BDF6972">
            <w:pPr>
              <w:rPr>
                <w:rFonts w:ascii="Arial"/>
                <w:color w:val="auto"/>
                <w:sz w:val="21"/>
                <w:highlight w:val="none"/>
              </w:rPr>
            </w:pPr>
          </w:p>
        </w:tc>
        <w:tc>
          <w:tcPr>
            <w:tcW w:w="735" w:type="dxa"/>
            <w:vAlign w:val="top"/>
          </w:tcPr>
          <w:p w14:paraId="5A5CCA7F">
            <w:pPr>
              <w:rPr>
                <w:rFonts w:ascii="Arial"/>
                <w:color w:val="auto"/>
                <w:sz w:val="21"/>
                <w:highlight w:val="none"/>
              </w:rPr>
            </w:pPr>
          </w:p>
        </w:tc>
      </w:tr>
      <w:tr w14:paraId="1EEA05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458" w:type="dxa"/>
            <w:vAlign w:val="top"/>
          </w:tcPr>
          <w:p w14:paraId="7782666B">
            <w:pPr>
              <w:pStyle w:val="18"/>
              <w:spacing w:before="168" w:line="269" w:lineRule="exact"/>
              <w:ind w:left="185"/>
              <w:rPr>
                <w:color w:val="auto"/>
                <w:highlight w:val="none"/>
              </w:rPr>
            </w:pPr>
            <w:r>
              <w:rPr>
                <w:color w:val="auto"/>
                <w:position w:val="1"/>
                <w:highlight w:val="none"/>
              </w:rPr>
              <w:t>5</w:t>
            </w:r>
          </w:p>
        </w:tc>
        <w:tc>
          <w:tcPr>
            <w:tcW w:w="1628" w:type="dxa"/>
            <w:vAlign w:val="top"/>
          </w:tcPr>
          <w:p w14:paraId="5A57B916">
            <w:pPr>
              <w:pStyle w:val="18"/>
              <w:spacing w:before="35" w:line="232" w:lineRule="auto"/>
              <w:ind w:left="605" w:right="184" w:hanging="420"/>
              <w:rPr>
                <w:color w:val="auto"/>
                <w:highlight w:val="none"/>
              </w:rPr>
            </w:pPr>
            <w:r>
              <w:rPr>
                <w:color w:val="auto"/>
                <w:spacing w:val="7"/>
                <w:highlight w:val="none"/>
              </w:rPr>
              <w:t>**专业监理工</w:t>
            </w:r>
            <w:r>
              <w:rPr>
                <w:color w:val="auto"/>
                <w:spacing w:val="5"/>
                <w:highlight w:val="none"/>
              </w:rPr>
              <w:t>程师</w:t>
            </w:r>
          </w:p>
        </w:tc>
        <w:tc>
          <w:tcPr>
            <w:tcW w:w="805" w:type="dxa"/>
            <w:vAlign w:val="top"/>
          </w:tcPr>
          <w:p w14:paraId="66A11B1E">
            <w:pPr>
              <w:rPr>
                <w:rFonts w:ascii="Arial"/>
                <w:color w:val="auto"/>
                <w:sz w:val="21"/>
                <w:highlight w:val="none"/>
              </w:rPr>
            </w:pPr>
          </w:p>
        </w:tc>
        <w:tc>
          <w:tcPr>
            <w:tcW w:w="635" w:type="dxa"/>
            <w:vAlign w:val="top"/>
          </w:tcPr>
          <w:p w14:paraId="0A78473B">
            <w:pPr>
              <w:rPr>
                <w:rFonts w:ascii="Arial"/>
                <w:color w:val="auto"/>
                <w:sz w:val="21"/>
                <w:highlight w:val="none"/>
              </w:rPr>
            </w:pPr>
          </w:p>
        </w:tc>
        <w:tc>
          <w:tcPr>
            <w:tcW w:w="348" w:type="dxa"/>
            <w:vAlign w:val="top"/>
          </w:tcPr>
          <w:p w14:paraId="14EAF808">
            <w:pPr>
              <w:rPr>
                <w:rFonts w:ascii="Arial"/>
                <w:color w:val="auto"/>
                <w:sz w:val="21"/>
                <w:highlight w:val="none"/>
              </w:rPr>
            </w:pPr>
          </w:p>
        </w:tc>
        <w:tc>
          <w:tcPr>
            <w:tcW w:w="348" w:type="dxa"/>
            <w:vAlign w:val="top"/>
          </w:tcPr>
          <w:p w14:paraId="5CE29EEE">
            <w:pPr>
              <w:rPr>
                <w:rFonts w:ascii="Arial"/>
                <w:color w:val="auto"/>
                <w:sz w:val="21"/>
                <w:highlight w:val="none"/>
              </w:rPr>
            </w:pPr>
          </w:p>
        </w:tc>
        <w:tc>
          <w:tcPr>
            <w:tcW w:w="350" w:type="dxa"/>
            <w:vAlign w:val="top"/>
          </w:tcPr>
          <w:p w14:paraId="3649D7A0">
            <w:pPr>
              <w:rPr>
                <w:rFonts w:ascii="Arial"/>
                <w:color w:val="auto"/>
                <w:sz w:val="21"/>
                <w:highlight w:val="none"/>
              </w:rPr>
            </w:pPr>
          </w:p>
        </w:tc>
        <w:tc>
          <w:tcPr>
            <w:tcW w:w="348" w:type="dxa"/>
            <w:vAlign w:val="top"/>
          </w:tcPr>
          <w:p w14:paraId="5B137C86">
            <w:pPr>
              <w:rPr>
                <w:rFonts w:ascii="Arial"/>
                <w:color w:val="auto"/>
                <w:sz w:val="21"/>
                <w:highlight w:val="none"/>
              </w:rPr>
            </w:pPr>
          </w:p>
        </w:tc>
        <w:tc>
          <w:tcPr>
            <w:tcW w:w="349" w:type="dxa"/>
            <w:vAlign w:val="top"/>
          </w:tcPr>
          <w:p w14:paraId="43A86472">
            <w:pPr>
              <w:rPr>
                <w:rFonts w:ascii="Arial"/>
                <w:color w:val="auto"/>
                <w:sz w:val="21"/>
                <w:highlight w:val="none"/>
              </w:rPr>
            </w:pPr>
          </w:p>
        </w:tc>
        <w:tc>
          <w:tcPr>
            <w:tcW w:w="351" w:type="dxa"/>
            <w:vAlign w:val="top"/>
          </w:tcPr>
          <w:p w14:paraId="400F4D59">
            <w:pPr>
              <w:rPr>
                <w:rFonts w:ascii="Arial"/>
                <w:color w:val="auto"/>
                <w:sz w:val="21"/>
                <w:highlight w:val="none"/>
              </w:rPr>
            </w:pPr>
          </w:p>
        </w:tc>
        <w:tc>
          <w:tcPr>
            <w:tcW w:w="349" w:type="dxa"/>
            <w:vAlign w:val="top"/>
          </w:tcPr>
          <w:p w14:paraId="6D814A2F">
            <w:pPr>
              <w:rPr>
                <w:rFonts w:ascii="Arial"/>
                <w:color w:val="auto"/>
                <w:sz w:val="21"/>
                <w:highlight w:val="none"/>
              </w:rPr>
            </w:pPr>
          </w:p>
        </w:tc>
        <w:tc>
          <w:tcPr>
            <w:tcW w:w="349" w:type="dxa"/>
            <w:vAlign w:val="top"/>
          </w:tcPr>
          <w:p w14:paraId="1CFD9293">
            <w:pPr>
              <w:rPr>
                <w:rFonts w:ascii="Arial"/>
                <w:color w:val="auto"/>
                <w:sz w:val="21"/>
                <w:highlight w:val="none"/>
              </w:rPr>
            </w:pPr>
          </w:p>
        </w:tc>
        <w:tc>
          <w:tcPr>
            <w:tcW w:w="426" w:type="dxa"/>
            <w:vAlign w:val="top"/>
          </w:tcPr>
          <w:p w14:paraId="5F1BD6EE">
            <w:pPr>
              <w:rPr>
                <w:rFonts w:ascii="Arial"/>
                <w:color w:val="auto"/>
                <w:sz w:val="21"/>
                <w:highlight w:val="none"/>
              </w:rPr>
            </w:pPr>
          </w:p>
        </w:tc>
        <w:tc>
          <w:tcPr>
            <w:tcW w:w="426" w:type="dxa"/>
            <w:vAlign w:val="top"/>
          </w:tcPr>
          <w:p w14:paraId="15AA952E">
            <w:pPr>
              <w:rPr>
                <w:rFonts w:ascii="Arial"/>
                <w:color w:val="auto"/>
                <w:sz w:val="21"/>
                <w:highlight w:val="none"/>
              </w:rPr>
            </w:pPr>
          </w:p>
        </w:tc>
        <w:tc>
          <w:tcPr>
            <w:tcW w:w="426" w:type="dxa"/>
            <w:vAlign w:val="top"/>
          </w:tcPr>
          <w:p w14:paraId="442548B8">
            <w:pPr>
              <w:rPr>
                <w:rFonts w:ascii="Arial"/>
                <w:color w:val="auto"/>
                <w:sz w:val="21"/>
                <w:highlight w:val="none"/>
              </w:rPr>
            </w:pPr>
          </w:p>
        </w:tc>
        <w:tc>
          <w:tcPr>
            <w:tcW w:w="429" w:type="dxa"/>
            <w:vAlign w:val="top"/>
          </w:tcPr>
          <w:p w14:paraId="024102EB">
            <w:pPr>
              <w:rPr>
                <w:rFonts w:ascii="Arial"/>
                <w:color w:val="auto"/>
                <w:sz w:val="21"/>
                <w:highlight w:val="none"/>
              </w:rPr>
            </w:pPr>
          </w:p>
        </w:tc>
        <w:tc>
          <w:tcPr>
            <w:tcW w:w="526" w:type="dxa"/>
            <w:vAlign w:val="top"/>
          </w:tcPr>
          <w:p w14:paraId="616CECBB">
            <w:pPr>
              <w:rPr>
                <w:rFonts w:ascii="Arial"/>
                <w:color w:val="auto"/>
                <w:sz w:val="21"/>
                <w:highlight w:val="none"/>
              </w:rPr>
            </w:pPr>
          </w:p>
        </w:tc>
        <w:tc>
          <w:tcPr>
            <w:tcW w:w="735" w:type="dxa"/>
            <w:vAlign w:val="top"/>
          </w:tcPr>
          <w:p w14:paraId="1126A25F">
            <w:pPr>
              <w:rPr>
                <w:rFonts w:ascii="Arial"/>
                <w:color w:val="auto"/>
                <w:sz w:val="21"/>
                <w:highlight w:val="none"/>
              </w:rPr>
            </w:pPr>
          </w:p>
        </w:tc>
      </w:tr>
      <w:tr w14:paraId="0355AE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58" w:type="dxa"/>
            <w:vAlign w:val="top"/>
          </w:tcPr>
          <w:p w14:paraId="351F58D5">
            <w:pPr>
              <w:pStyle w:val="18"/>
              <w:spacing w:before="172" w:line="268" w:lineRule="exact"/>
              <w:ind w:left="183"/>
              <w:rPr>
                <w:color w:val="auto"/>
                <w:highlight w:val="none"/>
              </w:rPr>
            </w:pPr>
            <w:r>
              <w:rPr>
                <w:color w:val="auto"/>
                <w:position w:val="1"/>
                <w:highlight w:val="none"/>
              </w:rPr>
              <w:t>6</w:t>
            </w:r>
          </w:p>
        </w:tc>
        <w:tc>
          <w:tcPr>
            <w:tcW w:w="1628" w:type="dxa"/>
            <w:vAlign w:val="top"/>
          </w:tcPr>
          <w:p w14:paraId="6AD73985">
            <w:pPr>
              <w:pStyle w:val="18"/>
              <w:spacing w:before="35" w:line="233" w:lineRule="auto"/>
              <w:ind w:left="605" w:right="184" w:hanging="420"/>
              <w:rPr>
                <w:color w:val="auto"/>
                <w:highlight w:val="none"/>
              </w:rPr>
            </w:pPr>
            <w:r>
              <w:rPr>
                <w:color w:val="auto"/>
                <w:spacing w:val="7"/>
                <w:highlight w:val="none"/>
              </w:rPr>
              <w:t>**专业监理工</w:t>
            </w:r>
            <w:r>
              <w:rPr>
                <w:color w:val="auto"/>
                <w:spacing w:val="5"/>
                <w:highlight w:val="none"/>
              </w:rPr>
              <w:t>程师</w:t>
            </w:r>
          </w:p>
        </w:tc>
        <w:tc>
          <w:tcPr>
            <w:tcW w:w="805" w:type="dxa"/>
            <w:vAlign w:val="top"/>
          </w:tcPr>
          <w:p w14:paraId="02C7DF9E">
            <w:pPr>
              <w:rPr>
                <w:rFonts w:ascii="Arial"/>
                <w:color w:val="auto"/>
                <w:sz w:val="21"/>
                <w:highlight w:val="none"/>
              </w:rPr>
            </w:pPr>
          </w:p>
        </w:tc>
        <w:tc>
          <w:tcPr>
            <w:tcW w:w="635" w:type="dxa"/>
            <w:vAlign w:val="top"/>
          </w:tcPr>
          <w:p w14:paraId="2015AD46">
            <w:pPr>
              <w:rPr>
                <w:rFonts w:ascii="Arial"/>
                <w:color w:val="auto"/>
                <w:sz w:val="21"/>
                <w:highlight w:val="none"/>
              </w:rPr>
            </w:pPr>
          </w:p>
        </w:tc>
        <w:tc>
          <w:tcPr>
            <w:tcW w:w="348" w:type="dxa"/>
            <w:vAlign w:val="top"/>
          </w:tcPr>
          <w:p w14:paraId="7FC1F5A4">
            <w:pPr>
              <w:rPr>
                <w:rFonts w:ascii="Arial"/>
                <w:color w:val="auto"/>
                <w:sz w:val="21"/>
                <w:highlight w:val="none"/>
              </w:rPr>
            </w:pPr>
          </w:p>
        </w:tc>
        <w:tc>
          <w:tcPr>
            <w:tcW w:w="348" w:type="dxa"/>
            <w:vAlign w:val="top"/>
          </w:tcPr>
          <w:p w14:paraId="3EE258E0">
            <w:pPr>
              <w:rPr>
                <w:rFonts w:ascii="Arial"/>
                <w:color w:val="auto"/>
                <w:sz w:val="21"/>
                <w:highlight w:val="none"/>
              </w:rPr>
            </w:pPr>
          </w:p>
        </w:tc>
        <w:tc>
          <w:tcPr>
            <w:tcW w:w="350" w:type="dxa"/>
            <w:vAlign w:val="top"/>
          </w:tcPr>
          <w:p w14:paraId="13EA2CD7">
            <w:pPr>
              <w:rPr>
                <w:rFonts w:ascii="Arial"/>
                <w:color w:val="auto"/>
                <w:sz w:val="21"/>
                <w:highlight w:val="none"/>
              </w:rPr>
            </w:pPr>
          </w:p>
        </w:tc>
        <w:tc>
          <w:tcPr>
            <w:tcW w:w="348" w:type="dxa"/>
            <w:vAlign w:val="top"/>
          </w:tcPr>
          <w:p w14:paraId="177E4D2E">
            <w:pPr>
              <w:rPr>
                <w:rFonts w:ascii="Arial"/>
                <w:color w:val="auto"/>
                <w:sz w:val="21"/>
                <w:highlight w:val="none"/>
              </w:rPr>
            </w:pPr>
          </w:p>
        </w:tc>
        <w:tc>
          <w:tcPr>
            <w:tcW w:w="349" w:type="dxa"/>
            <w:vAlign w:val="top"/>
          </w:tcPr>
          <w:p w14:paraId="37A8D32D">
            <w:pPr>
              <w:rPr>
                <w:rFonts w:ascii="Arial"/>
                <w:color w:val="auto"/>
                <w:sz w:val="21"/>
                <w:highlight w:val="none"/>
              </w:rPr>
            </w:pPr>
          </w:p>
        </w:tc>
        <w:tc>
          <w:tcPr>
            <w:tcW w:w="351" w:type="dxa"/>
            <w:vAlign w:val="top"/>
          </w:tcPr>
          <w:p w14:paraId="3980C3B1">
            <w:pPr>
              <w:rPr>
                <w:rFonts w:ascii="Arial"/>
                <w:color w:val="auto"/>
                <w:sz w:val="21"/>
                <w:highlight w:val="none"/>
              </w:rPr>
            </w:pPr>
          </w:p>
        </w:tc>
        <w:tc>
          <w:tcPr>
            <w:tcW w:w="349" w:type="dxa"/>
            <w:vAlign w:val="top"/>
          </w:tcPr>
          <w:p w14:paraId="2E535B7A">
            <w:pPr>
              <w:rPr>
                <w:rFonts w:ascii="Arial"/>
                <w:color w:val="auto"/>
                <w:sz w:val="21"/>
                <w:highlight w:val="none"/>
              </w:rPr>
            </w:pPr>
          </w:p>
        </w:tc>
        <w:tc>
          <w:tcPr>
            <w:tcW w:w="349" w:type="dxa"/>
            <w:vAlign w:val="top"/>
          </w:tcPr>
          <w:p w14:paraId="7EBFAE65">
            <w:pPr>
              <w:rPr>
                <w:rFonts w:ascii="Arial"/>
                <w:color w:val="auto"/>
                <w:sz w:val="21"/>
                <w:highlight w:val="none"/>
              </w:rPr>
            </w:pPr>
          </w:p>
        </w:tc>
        <w:tc>
          <w:tcPr>
            <w:tcW w:w="426" w:type="dxa"/>
            <w:vAlign w:val="top"/>
          </w:tcPr>
          <w:p w14:paraId="14C077A5">
            <w:pPr>
              <w:rPr>
                <w:rFonts w:ascii="Arial"/>
                <w:color w:val="auto"/>
                <w:sz w:val="21"/>
                <w:highlight w:val="none"/>
              </w:rPr>
            </w:pPr>
          </w:p>
        </w:tc>
        <w:tc>
          <w:tcPr>
            <w:tcW w:w="426" w:type="dxa"/>
            <w:vAlign w:val="top"/>
          </w:tcPr>
          <w:p w14:paraId="00FF2514">
            <w:pPr>
              <w:rPr>
                <w:rFonts w:ascii="Arial"/>
                <w:color w:val="auto"/>
                <w:sz w:val="21"/>
                <w:highlight w:val="none"/>
              </w:rPr>
            </w:pPr>
          </w:p>
        </w:tc>
        <w:tc>
          <w:tcPr>
            <w:tcW w:w="426" w:type="dxa"/>
            <w:vAlign w:val="top"/>
          </w:tcPr>
          <w:p w14:paraId="2A76A80C">
            <w:pPr>
              <w:rPr>
                <w:rFonts w:ascii="Arial"/>
                <w:color w:val="auto"/>
                <w:sz w:val="21"/>
                <w:highlight w:val="none"/>
              </w:rPr>
            </w:pPr>
          </w:p>
        </w:tc>
        <w:tc>
          <w:tcPr>
            <w:tcW w:w="429" w:type="dxa"/>
            <w:vAlign w:val="top"/>
          </w:tcPr>
          <w:p w14:paraId="20DD635F">
            <w:pPr>
              <w:rPr>
                <w:rFonts w:ascii="Arial"/>
                <w:color w:val="auto"/>
                <w:sz w:val="21"/>
                <w:highlight w:val="none"/>
              </w:rPr>
            </w:pPr>
          </w:p>
        </w:tc>
        <w:tc>
          <w:tcPr>
            <w:tcW w:w="526" w:type="dxa"/>
            <w:vAlign w:val="top"/>
          </w:tcPr>
          <w:p w14:paraId="6432AD1A">
            <w:pPr>
              <w:rPr>
                <w:rFonts w:ascii="Arial"/>
                <w:color w:val="auto"/>
                <w:sz w:val="21"/>
                <w:highlight w:val="none"/>
              </w:rPr>
            </w:pPr>
          </w:p>
        </w:tc>
        <w:tc>
          <w:tcPr>
            <w:tcW w:w="735" w:type="dxa"/>
            <w:vAlign w:val="top"/>
          </w:tcPr>
          <w:p w14:paraId="4032C637">
            <w:pPr>
              <w:rPr>
                <w:rFonts w:ascii="Arial"/>
                <w:color w:val="auto"/>
                <w:sz w:val="21"/>
                <w:highlight w:val="none"/>
              </w:rPr>
            </w:pPr>
          </w:p>
        </w:tc>
      </w:tr>
      <w:tr w14:paraId="620492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58" w:type="dxa"/>
            <w:vAlign w:val="top"/>
          </w:tcPr>
          <w:p w14:paraId="408AE77C">
            <w:pPr>
              <w:pStyle w:val="18"/>
              <w:spacing w:before="169" w:line="268" w:lineRule="exact"/>
              <w:ind w:left="186"/>
              <w:rPr>
                <w:color w:val="auto"/>
                <w:highlight w:val="none"/>
              </w:rPr>
            </w:pPr>
            <w:r>
              <w:rPr>
                <w:color w:val="auto"/>
                <w:position w:val="1"/>
                <w:highlight w:val="none"/>
              </w:rPr>
              <w:t>7</w:t>
            </w:r>
          </w:p>
        </w:tc>
        <w:tc>
          <w:tcPr>
            <w:tcW w:w="1628" w:type="dxa"/>
            <w:vAlign w:val="top"/>
          </w:tcPr>
          <w:p w14:paraId="4D420315">
            <w:pPr>
              <w:pStyle w:val="18"/>
              <w:spacing w:before="35" w:line="233" w:lineRule="auto"/>
              <w:ind w:left="605" w:right="184" w:hanging="420"/>
              <w:rPr>
                <w:color w:val="auto"/>
                <w:highlight w:val="none"/>
              </w:rPr>
            </w:pPr>
            <w:r>
              <w:rPr>
                <w:color w:val="auto"/>
                <w:spacing w:val="7"/>
                <w:highlight w:val="none"/>
              </w:rPr>
              <w:t>**专业监理工</w:t>
            </w:r>
            <w:r>
              <w:rPr>
                <w:color w:val="auto"/>
                <w:spacing w:val="5"/>
                <w:highlight w:val="none"/>
              </w:rPr>
              <w:t>程师</w:t>
            </w:r>
          </w:p>
        </w:tc>
        <w:tc>
          <w:tcPr>
            <w:tcW w:w="805" w:type="dxa"/>
            <w:vAlign w:val="top"/>
          </w:tcPr>
          <w:p w14:paraId="642DAF83">
            <w:pPr>
              <w:rPr>
                <w:rFonts w:ascii="Arial"/>
                <w:color w:val="auto"/>
                <w:sz w:val="21"/>
                <w:highlight w:val="none"/>
              </w:rPr>
            </w:pPr>
          </w:p>
        </w:tc>
        <w:tc>
          <w:tcPr>
            <w:tcW w:w="635" w:type="dxa"/>
            <w:vAlign w:val="top"/>
          </w:tcPr>
          <w:p w14:paraId="4FA97450">
            <w:pPr>
              <w:rPr>
                <w:rFonts w:ascii="Arial"/>
                <w:color w:val="auto"/>
                <w:sz w:val="21"/>
                <w:highlight w:val="none"/>
              </w:rPr>
            </w:pPr>
          </w:p>
        </w:tc>
        <w:tc>
          <w:tcPr>
            <w:tcW w:w="348" w:type="dxa"/>
            <w:vAlign w:val="top"/>
          </w:tcPr>
          <w:p w14:paraId="11BC033D">
            <w:pPr>
              <w:rPr>
                <w:rFonts w:ascii="Arial"/>
                <w:color w:val="auto"/>
                <w:sz w:val="21"/>
                <w:highlight w:val="none"/>
              </w:rPr>
            </w:pPr>
          </w:p>
        </w:tc>
        <w:tc>
          <w:tcPr>
            <w:tcW w:w="348" w:type="dxa"/>
            <w:vAlign w:val="top"/>
          </w:tcPr>
          <w:p w14:paraId="37F0566B">
            <w:pPr>
              <w:rPr>
                <w:rFonts w:ascii="Arial"/>
                <w:color w:val="auto"/>
                <w:sz w:val="21"/>
                <w:highlight w:val="none"/>
              </w:rPr>
            </w:pPr>
          </w:p>
        </w:tc>
        <w:tc>
          <w:tcPr>
            <w:tcW w:w="350" w:type="dxa"/>
            <w:vAlign w:val="top"/>
          </w:tcPr>
          <w:p w14:paraId="4ED1E86B">
            <w:pPr>
              <w:rPr>
                <w:rFonts w:ascii="Arial"/>
                <w:color w:val="auto"/>
                <w:sz w:val="21"/>
                <w:highlight w:val="none"/>
              </w:rPr>
            </w:pPr>
          </w:p>
        </w:tc>
        <w:tc>
          <w:tcPr>
            <w:tcW w:w="348" w:type="dxa"/>
            <w:vAlign w:val="top"/>
          </w:tcPr>
          <w:p w14:paraId="0E5C6C6D">
            <w:pPr>
              <w:rPr>
                <w:rFonts w:ascii="Arial"/>
                <w:color w:val="auto"/>
                <w:sz w:val="21"/>
                <w:highlight w:val="none"/>
              </w:rPr>
            </w:pPr>
          </w:p>
        </w:tc>
        <w:tc>
          <w:tcPr>
            <w:tcW w:w="349" w:type="dxa"/>
            <w:vAlign w:val="top"/>
          </w:tcPr>
          <w:p w14:paraId="121DECF6">
            <w:pPr>
              <w:rPr>
                <w:rFonts w:ascii="Arial"/>
                <w:color w:val="auto"/>
                <w:sz w:val="21"/>
                <w:highlight w:val="none"/>
              </w:rPr>
            </w:pPr>
          </w:p>
        </w:tc>
        <w:tc>
          <w:tcPr>
            <w:tcW w:w="351" w:type="dxa"/>
            <w:vAlign w:val="top"/>
          </w:tcPr>
          <w:p w14:paraId="6C2ADD78">
            <w:pPr>
              <w:rPr>
                <w:rFonts w:ascii="Arial"/>
                <w:color w:val="auto"/>
                <w:sz w:val="21"/>
                <w:highlight w:val="none"/>
              </w:rPr>
            </w:pPr>
          </w:p>
        </w:tc>
        <w:tc>
          <w:tcPr>
            <w:tcW w:w="349" w:type="dxa"/>
            <w:vAlign w:val="top"/>
          </w:tcPr>
          <w:p w14:paraId="4E19506E">
            <w:pPr>
              <w:rPr>
                <w:rFonts w:ascii="Arial"/>
                <w:color w:val="auto"/>
                <w:sz w:val="21"/>
                <w:highlight w:val="none"/>
              </w:rPr>
            </w:pPr>
          </w:p>
        </w:tc>
        <w:tc>
          <w:tcPr>
            <w:tcW w:w="349" w:type="dxa"/>
            <w:vAlign w:val="top"/>
          </w:tcPr>
          <w:p w14:paraId="7E9A9943">
            <w:pPr>
              <w:rPr>
                <w:rFonts w:ascii="Arial"/>
                <w:color w:val="auto"/>
                <w:sz w:val="21"/>
                <w:highlight w:val="none"/>
              </w:rPr>
            </w:pPr>
          </w:p>
        </w:tc>
        <w:tc>
          <w:tcPr>
            <w:tcW w:w="426" w:type="dxa"/>
            <w:vAlign w:val="top"/>
          </w:tcPr>
          <w:p w14:paraId="7A8B39B2">
            <w:pPr>
              <w:rPr>
                <w:rFonts w:ascii="Arial"/>
                <w:color w:val="auto"/>
                <w:sz w:val="21"/>
                <w:highlight w:val="none"/>
              </w:rPr>
            </w:pPr>
          </w:p>
        </w:tc>
        <w:tc>
          <w:tcPr>
            <w:tcW w:w="426" w:type="dxa"/>
            <w:vAlign w:val="top"/>
          </w:tcPr>
          <w:p w14:paraId="3C37191C">
            <w:pPr>
              <w:rPr>
                <w:rFonts w:ascii="Arial"/>
                <w:color w:val="auto"/>
                <w:sz w:val="21"/>
                <w:highlight w:val="none"/>
              </w:rPr>
            </w:pPr>
          </w:p>
        </w:tc>
        <w:tc>
          <w:tcPr>
            <w:tcW w:w="426" w:type="dxa"/>
            <w:vAlign w:val="top"/>
          </w:tcPr>
          <w:p w14:paraId="34E913A8">
            <w:pPr>
              <w:rPr>
                <w:rFonts w:ascii="Arial"/>
                <w:color w:val="auto"/>
                <w:sz w:val="21"/>
                <w:highlight w:val="none"/>
              </w:rPr>
            </w:pPr>
          </w:p>
        </w:tc>
        <w:tc>
          <w:tcPr>
            <w:tcW w:w="429" w:type="dxa"/>
            <w:vAlign w:val="top"/>
          </w:tcPr>
          <w:p w14:paraId="5F0F50FF">
            <w:pPr>
              <w:rPr>
                <w:rFonts w:ascii="Arial"/>
                <w:color w:val="auto"/>
                <w:sz w:val="21"/>
                <w:highlight w:val="none"/>
              </w:rPr>
            </w:pPr>
          </w:p>
        </w:tc>
        <w:tc>
          <w:tcPr>
            <w:tcW w:w="526" w:type="dxa"/>
            <w:vAlign w:val="top"/>
          </w:tcPr>
          <w:p w14:paraId="2F27D4C1">
            <w:pPr>
              <w:rPr>
                <w:rFonts w:ascii="Arial"/>
                <w:color w:val="auto"/>
                <w:sz w:val="21"/>
                <w:highlight w:val="none"/>
              </w:rPr>
            </w:pPr>
          </w:p>
        </w:tc>
        <w:tc>
          <w:tcPr>
            <w:tcW w:w="735" w:type="dxa"/>
            <w:vAlign w:val="top"/>
          </w:tcPr>
          <w:p w14:paraId="73E4411B">
            <w:pPr>
              <w:rPr>
                <w:rFonts w:ascii="Arial"/>
                <w:color w:val="auto"/>
                <w:sz w:val="21"/>
                <w:highlight w:val="none"/>
              </w:rPr>
            </w:pPr>
          </w:p>
        </w:tc>
      </w:tr>
      <w:tr w14:paraId="32B04A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58" w:type="dxa"/>
            <w:vAlign w:val="top"/>
          </w:tcPr>
          <w:p w14:paraId="756FCA70">
            <w:pPr>
              <w:pStyle w:val="18"/>
              <w:spacing w:before="171" w:line="268" w:lineRule="exact"/>
              <w:ind w:left="182"/>
              <w:rPr>
                <w:color w:val="auto"/>
                <w:highlight w:val="none"/>
              </w:rPr>
            </w:pPr>
            <w:r>
              <w:rPr>
                <w:color w:val="auto"/>
                <w:position w:val="1"/>
                <w:highlight w:val="none"/>
              </w:rPr>
              <w:t>8</w:t>
            </w:r>
          </w:p>
        </w:tc>
        <w:tc>
          <w:tcPr>
            <w:tcW w:w="1628" w:type="dxa"/>
            <w:vAlign w:val="top"/>
          </w:tcPr>
          <w:p w14:paraId="2CD246C6">
            <w:pPr>
              <w:pStyle w:val="18"/>
              <w:spacing w:before="34" w:line="233" w:lineRule="auto"/>
              <w:ind w:left="605" w:right="184" w:hanging="420"/>
              <w:rPr>
                <w:color w:val="auto"/>
                <w:highlight w:val="none"/>
              </w:rPr>
            </w:pPr>
            <w:r>
              <w:rPr>
                <w:color w:val="auto"/>
                <w:spacing w:val="7"/>
                <w:highlight w:val="none"/>
              </w:rPr>
              <w:t>**专业监理工</w:t>
            </w:r>
            <w:r>
              <w:rPr>
                <w:color w:val="auto"/>
                <w:spacing w:val="5"/>
                <w:highlight w:val="none"/>
              </w:rPr>
              <w:t>程师</w:t>
            </w:r>
          </w:p>
        </w:tc>
        <w:tc>
          <w:tcPr>
            <w:tcW w:w="805" w:type="dxa"/>
            <w:vAlign w:val="top"/>
          </w:tcPr>
          <w:p w14:paraId="071F0ED6">
            <w:pPr>
              <w:rPr>
                <w:rFonts w:ascii="Arial"/>
                <w:color w:val="auto"/>
                <w:sz w:val="21"/>
                <w:highlight w:val="none"/>
              </w:rPr>
            </w:pPr>
          </w:p>
        </w:tc>
        <w:tc>
          <w:tcPr>
            <w:tcW w:w="635" w:type="dxa"/>
            <w:vAlign w:val="top"/>
          </w:tcPr>
          <w:p w14:paraId="45E744ED">
            <w:pPr>
              <w:rPr>
                <w:rFonts w:ascii="Arial"/>
                <w:color w:val="auto"/>
                <w:sz w:val="21"/>
                <w:highlight w:val="none"/>
              </w:rPr>
            </w:pPr>
          </w:p>
        </w:tc>
        <w:tc>
          <w:tcPr>
            <w:tcW w:w="348" w:type="dxa"/>
            <w:vAlign w:val="top"/>
          </w:tcPr>
          <w:p w14:paraId="3434B233">
            <w:pPr>
              <w:rPr>
                <w:rFonts w:ascii="Arial"/>
                <w:color w:val="auto"/>
                <w:sz w:val="21"/>
                <w:highlight w:val="none"/>
              </w:rPr>
            </w:pPr>
          </w:p>
        </w:tc>
        <w:tc>
          <w:tcPr>
            <w:tcW w:w="348" w:type="dxa"/>
            <w:vAlign w:val="top"/>
          </w:tcPr>
          <w:p w14:paraId="2ADF7A98">
            <w:pPr>
              <w:rPr>
                <w:rFonts w:ascii="Arial"/>
                <w:color w:val="auto"/>
                <w:sz w:val="21"/>
                <w:highlight w:val="none"/>
              </w:rPr>
            </w:pPr>
          </w:p>
        </w:tc>
        <w:tc>
          <w:tcPr>
            <w:tcW w:w="350" w:type="dxa"/>
            <w:vAlign w:val="top"/>
          </w:tcPr>
          <w:p w14:paraId="2CCC554E">
            <w:pPr>
              <w:rPr>
                <w:rFonts w:ascii="Arial"/>
                <w:color w:val="auto"/>
                <w:sz w:val="21"/>
                <w:highlight w:val="none"/>
              </w:rPr>
            </w:pPr>
          </w:p>
        </w:tc>
        <w:tc>
          <w:tcPr>
            <w:tcW w:w="348" w:type="dxa"/>
            <w:vAlign w:val="top"/>
          </w:tcPr>
          <w:p w14:paraId="55192375">
            <w:pPr>
              <w:rPr>
                <w:rFonts w:ascii="Arial"/>
                <w:color w:val="auto"/>
                <w:sz w:val="21"/>
                <w:highlight w:val="none"/>
              </w:rPr>
            </w:pPr>
          </w:p>
        </w:tc>
        <w:tc>
          <w:tcPr>
            <w:tcW w:w="349" w:type="dxa"/>
            <w:vAlign w:val="top"/>
          </w:tcPr>
          <w:p w14:paraId="7A18C939">
            <w:pPr>
              <w:rPr>
                <w:rFonts w:ascii="Arial"/>
                <w:color w:val="auto"/>
                <w:sz w:val="21"/>
                <w:highlight w:val="none"/>
              </w:rPr>
            </w:pPr>
          </w:p>
        </w:tc>
        <w:tc>
          <w:tcPr>
            <w:tcW w:w="351" w:type="dxa"/>
            <w:vAlign w:val="top"/>
          </w:tcPr>
          <w:p w14:paraId="170BE32D">
            <w:pPr>
              <w:rPr>
                <w:rFonts w:ascii="Arial"/>
                <w:color w:val="auto"/>
                <w:sz w:val="21"/>
                <w:highlight w:val="none"/>
              </w:rPr>
            </w:pPr>
          </w:p>
        </w:tc>
        <w:tc>
          <w:tcPr>
            <w:tcW w:w="349" w:type="dxa"/>
            <w:vAlign w:val="top"/>
          </w:tcPr>
          <w:p w14:paraId="47DB91F2">
            <w:pPr>
              <w:rPr>
                <w:rFonts w:ascii="Arial"/>
                <w:color w:val="auto"/>
                <w:sz w:val="21"/>
                <w:highlight w:val="none"/>
              </w:rPr>
            </w:pPr>
          </w:p>
        </w:tc>
        <w:tc>
          <w:tcPr>
            <w:tcW w:w="349" w:type="dxa"/>
            <w:vAlign w:val="top"/>
          </w:tcPr>
          <w:p w14:paraId="60BE2469">
            <w:pPr>
              <w:rPr>
                <w:rFonts w:ascii="Arial"/>
                <w:color w:val="auto"/>
                <w:sz w:val="21"/>
                <w:highlight w:val="none"/>
              </w:rPr>
            </w:pPr>
          </w:p>
        </w:tc>
        <w:tc>
          <w:tcPr>
            <w:tcW w:w="426" w:type="dxa"/>
            <w:vAlign w:val="top"/>
          </w:tcPr>
          <w:p w14:paraId="327F63EC">
            <w:pPr>
              <w:rPr>
                <w:rFonts w:ascii="Arial"/>
                <w:color w:val="auto"/>
                <w:sz w:val="21"/>
                <w:highlight w:val="none"/>
              </w:rPr>
            </w:pPr>
          </w:p>
        </w:tc>
        <w:tc>
          <w:tcPr>
            <w:tcW w:w="426" w:type="dxa"/>
            <w:vAlign w:val="top"/>
          </w:tcPr>
          <w:p w14:paraId="0C3EC4CE">
            <w:pPr>
              <w:rPr>
                <w:rFonts w:ascii="Arial"/>
                <w:color w:val="auto"/>
                <w:sz w:val="21"/>
                <w:highlight w:val="none"/>
              </w:rPr>
            </w:pPr>
          </w:p>
        </w:tc>
        <w:tc>
          <w:tcPr>
            <w:tcW w:w="426" w:type="dxa"/>
            <w:vAlign w:val="top"/>
          </w:tcPr>
          <w:p w14:paraId="6EC8E96E">
            <w:pPr>
              <w:rPr>
                <w:rFonts w:ascii="Arial"/>
                <w:color w:val="auto"/>
                <w:sz w:val="21"/>
                <w:highlight w:val="none"/>
              </w:rPr>
            </w:pPr>
          </w:p>
        </w:tc>
        <w:tc>
          <w:tcPr>
            <w:tcW w:w="429" w:type="dxa"/>
            <w:vAlign w:val="top"/>
          </w:tcPr>
          <w:p w14:paraId="3AEB4035">
            <w:pPr>
              <w:rPr>
                <w:rFonts w:ascii="Arial"/>
                <w:color w:val="auto"/>
                <w:sz w:val="21"/>
                <w:highlight w:val="none"/>
              </w:rPr>
            </w:pPr>
          </w:p>
        </w:tc>
        <w:tc>
          <w:tcPr>
            <w:tcW w:w="526" w:type="dxa"/>
            <w:vAlign w:val="top"/>
          </w:tcPr>
          <w:p w14:paraId="173732E6">
            <w:pPr>
              <w:rPr>
                <w:rFonts w:ascii="Arial"/>
                <w:color w:val="auto"/>
                <w:sz w:val="21"/>
                <w:highlight w:val="none"/>
              </w:rPr>
            </w:pPr>
          </w:p>
        </w:tc>
        <w:tc>
          <w:tcPr>
            <w:tcW w:w="735" w:type="dxa"/>
            <w:vAlign w:val="top"/>
          </w:tcPr>
          <w:p w14:paraId="386154BA">
            <w:pPr>
              <w:rPr>
                <w:rFonts w:ascii="Arial"/>
                <w:color w:val="auto"/>
                <w:sz w:val="21"/>
                <w:highlight w:val="none"/>
              </w:rPr>
            </w:pPr>
          </w:p>
        </w:tc>
      </w:tr>
      <w:tr w14:paraId="2828E6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58" w:type="dxa"/>
            <w:vAlign w:val="top"/>
          </w:tcPr>
          <w:p w14:paraId="1ACEEC98">
            <w:pPr>
              <w:pStyle w:val="18"/>
              <w:spacing w:before="171" w:line="269" w:lineRule="exact"/>
              <w:ind w:left="182"/>
              <w:rPr>
                <w:color w:val="auto"/>
                <w:highlight w:val="none"/>
              </w:rPr>
            </w:pPr>
            <w:r>
              <w:rPr>
                <w:color w:val="auto"/>
                <w:position w:val="1"/>
                <w:highlight w:val="none"/>
              </w:rPr>
              <w:t>9</w:t>
            </w:r>
          </w:p>
        </w:tc>
        <w:tc>
          <w:tcPr>
            <w:tcW w:w="1628" w:type="dxa"/>
            <w:vAlign w:val="top"/>
          </w:tcPr>
          <w:p w14:paraId="56322EFB">
            <w:pPr>
              <w:pStyle w:val="18"/>
              <w:spacing w:before="37" w:line="232" w:lineRule="auto"/>
              <w:ind w:left="605" w:right="184" w:hanging="420"/>
              <w:rPr>
                <w:color w:val="auto"/>
                <w:highlight w:val="none"/>
              </w:rPr>
            </w:pPr>
            <w:r>
              <w:rPr>
                <w:color w:val="auto"/>
                <w:spacing w:val="7"/>
                <w:highlight w:val="none"/>
              </w:rPr>
              <w:t>**专业监理工</w:t>
            </w:r>
            <w:r>
              <w:rPr>
                <w:color w:val="auto"/>
                <w:spacing w:val="5"/>
                <w:highlight w:val="none"/>
              </w:rPr>
              <w:t>程师</w:t>
            </w:r>
          </w:p>
        </w:tc>
        <w:tc>
          <w:tcPr>
            <w:tcW w:w="805" w:type="dxa"/>
            <w:vAlign w:val="top"/>
          </w:tcPr>
          <w:p w14:paraId="3A6522C0">
            <w:pPr>
              <w:rPr>
                <w:rFonts w:ascii="Arial"/>
                <w:color w:val="auto"/>
                <w:sz w:val="21"/>
                <w:highlight w:val="none"/>
              </w:rPr>
            </w:pPr>
          </w:p>
        </w:tc>
        <w:tc>
          <w:tcPr>
            <w:tcW w:w="635" w:type="dxa"/>
            <w:vAlign w:val="top"/>
          </w:tcPr>
          <w:p w14:paraId="38C9060B">
            <w:pPr>
              <w:rPr>
                <w:rFonts w:ascii="Arial"/>
                <w:color w:val="auto"/>
                <w:sz w:val="21"/>
                <w:highlight w:val="none"/>
              </w:rPr>
            </w:pPr>
          </w:p>
        </w:tc>
        <w:tc>
          <w:tcPr>
            <w:tcW w:w="348" w:type="dxa"/>
            <w:vAlign w:val="top"/>
          </w:tcPr>
          <w:p w14:paraId="1AE78A3F">
            <w:pPr>
              <w:rPr>
                <w:rFonts w:ascii="Arial"/>
                <w:color w:val="auto"/>
                <w:sz w:val="21"/>
                <w:highlight w:val="none"/>
              </w:rPr>
            </w:pPr>
          </w:p>
        </w:tc>
        <w:tc>
          <w:tcPr>
            <w:tcW w:w="348" w:type="dxa"/>
            <w:vAlign w:val="top"/>
          </w:tcPr>
          <w:p w14:paraId="4174E491">
            <w:pPr>
              <w:rPr>
                <w:rFonts w:ascii="Arial"/>
                <w:color w:val="auto"/>
                <w:sz w:val="21"/>
                <w:highlight w:val="none"/>
              </w:rPr>
            </w:pPr>
          </w:p>
        </w:tc>
        <w:tc>
          <w:tcPr>
            <w:tcW w:w="350" w:type="dxa"/>
            <w:vAlign w:val="top"/>
          </w:tcPr>
          <w:p w14:paraId="62A74194">
            <w:pPr>
              <w:rPr>
                <w:rFonts w:ascii="Arial"/>
                <w:color w:val="auto"/>
                <w:sz w:val="21"/>
                <w:highlight w:val="none"/>
              </w:rPr>
            </w:pPr>
          </w:p>
        </w:tc>
        <w:tc>
          <w:tcPr>
            <w:tcW w:w="348" w:type="dxa"/>
            <w:vAlign w:val="top"/>
          </w:tcPr>
          <w:p w14:paraId="5EB03E0E">
            <w:pPr>
              <w:rPr>
                <w:rFonts w:ascii="Arial"/>
                <w:color w:val="auto"/>
                <w:sz w:val="21"/>
                <w:highlight w:val="none"/>
              </w:rPr>
            </w:pPr>
          </w:p>
        </w:tc>
        <w:tc>
          <w:tcPr>
            <w:tcW w:w="349" w:type="dxa"/>
            <w:vAlign w:val="top"/>
          </w:tcPr>
          <w:p w14:paraId="58D78C90">
            <w:pPr>
              <w:rPr>
                <w:rFonts w:ascii="Arial"/>
                <w:color w:val="auto"/>
                <w:sz w:val="21"/>
                <w:highlight w:val="none"/>
              </w:rPr>
            </w:pPr>
          </w:p>
        </w:tc>
        <w:tc>
          <w:tcPr>
            <w:tcW w:w="351" w:type="dxa"/>
            <w:vAlign w:val="top"/>
          </w:tcPr>
          <w:p w14:paraId="50BF1D28">
            <w:pPr>
              <w:rPr>
                <w:rFonts w:ascii="Arial"/>
                <w:color w:val="auto"/>
                <w:sz w:val="21"/>
                <w:highlight w:val="none"/>
              </w:rPr>
            </w:pPr>
          </w:p>
        </w:tc>
        <w:tc>
          <w:tcPr>
            <w:tcW w:w="349" w:type="dxa"/>
            <w:vAlign w:val="top"/>
          </w:tcPr>
          <w:p w14:paraId="60199C13">
            <w:pPr>
              <w:rPr>
                <w:rFonts w:ascii="Arial"/>
                <w:color w:val="auto"/>
                <w:sz w:val="21"/>
                <w:highlight w:val="none"/>
              </w:rPr>
            </w:pPr>
          </w:p>
        </w:tc>
        <w:tc>
          <w:tcPr>
            <w:tcW w:w="349" w:type="dxa"/>
            <w:vAlign w:val="top"/>
          </w:tcPr>
          <w:p w14:paraId="41C74A00">
            <w:pPr>
              <w:rPr>
                <w:rFonts w:ascii="Arial"/>
                <w:color w:val="auto"/>
                <w:sz w:val="21"/>
                <w:highlight w:val="none"/>
              </w:rPr>
            </w:pPr>
          </w:p>
        </w:tc>
        <w:tc>
          <w:tcPr>
            <w:tcW w:w="426" w:type="dxa"/>
            <w:vAlign w:val="top"/>
          </w:tcPr>
          <w:p w14:paraId="435F7B1B">
            <w:pPr>
              <w:rPr>
                <w:rFonts w:ascii="Arial"/>
                <w:color w:val="auto"/>
                <w:sz w:val="21"/>
                <w:highlight w:val="none"/>
              </w:rPr>
            </w:pPr>
          </w:p>
        </w:tc>
        <w:tc>
          <w:tcPr>
            <w:tcW w:w="426" w:type="dxa"/>
            <w:vAlign w:val="top"/>
          </w:tcPr>
          <w:p w14:paraId="52278334">
            <w:pPr>
              <w:rPr>
                <w:rFonts w:ascii="Arial"/>
                <w:color w:val="auto"/>
                <w:sz w:val="21"/>
                <w:highlight w:val="none"/>
              </w:rPr>
            </w:pPr>
          </w:p>
        </w:tc>
        <w:tc>
          <w:tcPr>
            <w:tcW w:w="426" w:type="dxa"/>
            <w:vAlign w:val="top"/>
          </w:tcPr>
          <w:p w14:paraId="49FF739E">
            <w:pPr>
              <w:rPr>
                <w:rFonts w:ascii="Arial"/>
                <w:color w:val="auto"/>
                <w:sz w:val="21"/>
                <w:highlight w:val="none"/>
              </w:rPr>
            </w:pPr>
          </w:p>
        </w:tc>
        <w:tc>
          <w:tcPr>
            <w:tcW w:w="429" w:type="dxa"/>
            <w:vAlign w:val="top"/>
          </w:tcPr>
          <w:p w14:paraId="7DF638EC">
            <w:pPr>
              <w:rPr>
                <w:rFonts w:ascii="Arial"/>
                <w:color w:val="auto"/>
                <w:sz w:val="21"/>
                <w:highlight w:val="none"/>
              </w:rPr>
            </w:pPr>
          </w:p>
        </w:tc>
        <w:tc>
          <w:tcPr>
            <w:tcW w:w="526" w:type="dxa"/>
            <w:vAlign w:val="top"/>
          </w:tcPr>
          <w:p w14:paraId="63424D19">
            <w:pPr>
              <w:rPr>
                <w:rFonts w:ascii="Arial"/>
                <w:color w:val="auto"/>
                <w:sz w:val="21"/>
                <w:highlight w:val="none"/>
              </w:rPr>
            </w:pPr>
          </w:p>
        </w:tc>
        <w:tc>
          <w:tcPr>
            <w:tcW w:w="735" w:type="dxa"/>
            <w:vAlign w:val="top"/>
          </w:tcPr>
          <w:p w14:paraId="7BF3D87F">
            <w:pPr>
              <w:rPr>
                <w:rFonts w:ascii="Arial"/>
                <w:color w:val="auto"/>
                <w:sz w:val="21"/>
                <w:highlight w:val="none"/>
              </w:rPr>
            </w:pPr>
          </w:p>
        </w:tc>
      </w:tr>
      <w:tr w14:paraId="3CFFAA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trPr>
        <w:tc>
          <w:tcPr>
            <w:tcW w:w="458" w:type="dxa"/>
            <w:vAlign w:val="top"/>
          </w:tcPr>
          <w:p w14:paraId="239B9375">
            <w:pPr>
              <w:pStyle w:val="18"/>
              <w:spacing w:before="168" w:line="269" w:lineRule="exact"/>
              <w:ind w:left="144"/>
              <w:rPr>
                <w:color w:val="auto"/>
                <w:highlight w:val="none"/>
              </w:rPr>
            </w:pPr>
            <w:r>
              <w:rPr>
                <w:color w:val="auto"/>
                <w:spacing w:val="-7"/>
                <w:position w:val="1"/>
                <w:highlight w:val="none"/>
              </w:rPr>
              <w:t>10</w:t>
            </w:r>
          </w:p>
        </w:tc>
        <w:tc>
          <w:tcPr>
            <w:tcW w:w="1628" w:type="dxa"/>
            <w:vAlign w:val="top"/>
          </w:tcPr>
          <w:p w14:paraId="0189A97C">
            <w:pPr>
              <w:pStyle w:val="18"/>
              <w:spacing w:before="168" w:line="324" w:lineRule="exact"/>
              <w:ind w:left="619"/>
              <w:rPr>
                <w:color w:val="auto"/>
                <w:highlight w:val="none"/>
              </w:rPr>
            </w:pPr>
            <w:r>
              <w:rPr>
                <w:color w:val="auto"/>
                <w:spacing w:val="-2"/>
                <w:position w:val="2"/>
                <w:highlight w:val="none"/>
              </w:rPr>
              <w:t>……</w:t>
            </w:r>
          </w:p>
        </w:tc>
        <w:tc>
          <w:tcPr>
            <w:tcW w:w="805" w:type="dxa"/>
            <w:vAlign w:val="top"/>
          </w:tcPr>
          <w:p w14:paraId="6047546A">
            <w:pPr>
              <w:rPr>
                <w:rFonts w:ascii="Arial"/>
                <w:color w:val="auto"/>
                <w:sz w:val="21"/>
                <w:highlight w:val="none"/>
              </w:rPr>
            </w:pPr>
          </w:p>
        </w:tc>
        <w:tc>
          <w:tcPr>
            <w:tcW w:w="635" w:type="dxa"/>
            <w:vAlign w:val="top"/>
          </w:tcPr>
          <w:p w14:paraId="49841C56">
            <w:pPr>
              <w:rPr>
                <w:rFonts w:ascii="Arial"/>
                <w:color w:val="auto"/>
                <w:sz w:val="21"/>
                <w:highlight w:val="none"/>
              </w:rPr>
            </w:pPr>
          </w:p>
        </w:tc>
        <w:tc>
          <w:tcPr>
            <w:tcW w:w="348" w:type="dxa"/>
            <w:vAlign w:val="top"/>
          </w:tcPr>
          <w:p w14:paraId="263E1193">
            <w:pPr>
              <w:rPr>
                <w:rFonts w:ascii="Arial"/>
                <w:color w:val="auto"/>
                <w:sz w:val="21"/>
                <w:highlight w:val="none"/>
              </w:rPr>
            </w:pPr>
          </w:p>
        </w:tc>
        <w:tc>
          <w:tcPr>
            <w:tcW w:w="348" w:type="dxa"/>
            <w:vAlign w:val="top"/>
          </w:tcPr>
          <w:p w14:paraId="74C24D86">
            <w:pPr>
              <w:rPr>
                <w:rFonts w:ascii="Arial"/>
                <w:color w:val="auto"/>
                <w:sz w:val="21"/>
                <w:highlight w:val="none"/>
              </w:rPr>
            </w:pPr>
          </w:p>
        </w:tc>
        <w:tc>
          <w:tcPr>
            <w:tcW w:w="350" w:type="dxa"/>
            <w:vAlign w:val="top"/>
          </w:tcPr>
          <w:p w14:paraId="2A5F5CE7">
            <w:pPr>
              <w:rPr>
                <w:rFonts w:ascii="Arial"/>
                <w:color w:val="auto"/>
                <w:sz w:val="21"/>
                <w:highlight w:val="none"/>
              </w:rPr>
            </w:pPr>
          </w:p>
        </w:tc>
        <w:tc>
          <w:tcPr>
            <w:tcW w:w="348" w:type="dxa"/>
            <w:vAlign w:val="top"/>
          </w:tcPr>
          <w:p w14:paraId="4BE6BBB3">
            <w:pPr>
              <w:rPr>
                <w:rFonts w:ascii="Arial"/>
                <w:color w:val="auto"/>
                <w:sz w:val="21"/>
                <w:highlight w:val="none"/>
              </w:rPr>
            </w:pPr>
          </w:p>
        </w:tc>
        <w:tc>
          <w:tcPr>
            <w:tcW w:w="349" w:type="dxa"/>
            <w:vAlign w:val="top"/>
          </w:tcPr>
          <w:p w14:paraId="15E97858">
            <w:pPr>
              <w:rPr>
                <w:rFonts w:ascii="Arial"/>
                <w:color w:val="auto"/>
                <w:sz w:val="21"/>
                <w:highlight w:val="none"/>
              </w:rPr>
            </w:pPr>
          </w:p>
        </w:tc>
        <w:tc>
          <w:tcPr>
            <w:tcW w:w="351" w:type="dxa"/>
            <w:vAlign w:val="top"/>
          </w:tcPr>
          <w:p w14:paraId="721D0758">
            <w:pPr>
              <w:rPr>
                <w:rFonts w:ascii="Arial"/>
                <w:color w:val="auto"/>
                <w:sz w:val="21"/>
                <w:highlight w:val="none"/>
              </w:rPr>
            </w:pPr>
          </w:p>
        </w:tc>
        <w:tc>
          <w:tcPr>
            <w:tcW w:w="349" w:type="dxa"/>
            <w:vAlign w:val="top"/>
          </w:tcPr>
          <w:p w14:paraId="5AC3E697">
            <w:pPr>
              <w:rPr>
                <w:rFonts w:ascii="Arial"/>
                <w:color w:val="auto"/>
                <w:sz w:val="21"/>
                <w:highlight w:val="none"/>
              </w:rPr>
            </w:pPr>
          </w:p>
        </w:tc>
        <w:tc>
          <w:tcPr>
            <w:tcW w:w="349" w:type="dxa"/>
            <w:vAlign w:val="top"/>
          </w:tcPr>
          <w:p w14:paraId="0A58B5C2">
            <w:pPr>
              <w:rPr>
                <w:rFonts w:ascii="Arial"/>
                <w:color w:val="auto"/>
                <w:sz w:val="21"/>
                <w:highlight w:val="none"/>
              </w:rPr>
            </w:pPr>
          </w:p>
        </w:tc>
        <w:tc>
          <w:tcPr>
            <w:tcW w:w="426" w:type="dxa"/>
            <w:vAlign w:val="top"/>
          </w:tcPr>
          <w:p w14:paraId="4527B6BC">
            <w:pPr>
              <w:rPr>
                <w:rFonts w:ascii="Arial"/>
                <w:color w:val="auto"/>
                <w:sz w:val="21"/>
                <w:highlight w:val="none"/>
              </w:rPr>
            </w:pPr>
          </w:p>
        </w:tc>
        <w:tc>
          <w:tcPr>
            <w:tcW w:w="426" w:type="dxa"/>
            <w:vAlign w:val="top"/>
          </w:tcPr>
          <w:p w14:paraId="26AC9AB7">
            <w:pPr>
              <w:rPr>
                <w:rFonts w:ascii="Arial"/>
                <w:color w:val="auto"/>
                <w:sz w:val="21"/>
                <w:highlight w:val="none"/>
              </w:rPr>
            </w:pPr>
          </w:p>
        </w:tc>
        <w:tc>
          <w:tcPr>
            <w:tcW w:w="426" w:type="dxa"/>
            <w:vAlign w:val="top"/>
          </w:tcPr>
          <w:p w14:paraId="5A9B4E05">
            <w:pPr>
              <w:rPr>
                <w:rFonts w:ascii="Arial"/>
                <w:color w:val="auto"/>
                <w:sz w:val="21"/>
                <w:highlight w:val="none"/>
              </w:rPr>
            </w:pPr>
          </w:p>
        </w:tc>
        <w:tc>
          <w:tcPr>
            <w:tcW w:w="429" w:type="dxa"/>
            <w:vAlign w:val="top"/>
          </w:tcPr>
          <w:p w14:paraId="49631B98">
            <w:pPr>
              <w:rPr>
                <w:rFonts w:ascii="Arial"/>
                <w:color w:val="auto"/>
                <w:sz w:val="21"/>
                <w:highlight w:val="none"/>
              </w:rPr>
            </w:pPr>
          </w:p>
        </w:tc>
        <w:tc>
          <w:tcPr>
            <w:tcW w:w="526" w:type="dxa"/>
            <w:vAlign w:val="top"/>
          </w:tcPr>
          <w:p w14:paraId="5916542E">
            <w:pPr>
              <w:rPr>
                <w:rFonts w:ascii="Arial"/>
                <w:color w:val="auto"/>
                <w:sz w:val="21"/>
                <w:highlight w:val="none"/>
              </w:rPr>
            </w:pPr>
          </w:p>
        </w:tc>
        <w:tc>
          <w:tcPr>
            <w:tcW w:w="735" w:type="dxa"/>
            <w:vAlign w:val="top"/>
          </w:tcPr>
          <w:p w14:paraId="6C7200A9">
            <w:pPr>
              <w:rPr>
                <w:rFonts w:ascii="Arial"/>
                <w:color w:val="auto"/>
                <w:sz w:val="21"/>
                <w:highlight w:val="none"/>
              </w:rPr>
            </w:pPr>
          </w:p>
        </w:tc>
      </w:tr>
      <w:tr w14:paraId="4C9A2B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trPr>
        <w:tc>
          <w:tcPr>
            <w:tcW w:w="458" w:type="dxa"/>
            <w:vAlign w:val="top"/>
          </w:tcPr>
          <w:p w14:paraId="1DD97B52">
            <w:pPr>
              <w:pStyle w:val="18"/>
              <w:spacing w:before="168" w:line="270" w:lineRule="exact"/>
              <w:ind w:left="144"/>
              <w:rPr>
                <w:color w:val="auto"/>
                <w:highlight w:val="none"/>
              </w:rPr>
            </w:pPr>
            <w:r>
              <w:rPr>
                <w:color w:val="auto"/>
                <w:spacing w:val="-7"/>
                <w:position w:val="1"/>
                <w:highlight w:val="none"/>
              </w:rPr>
              <w:t>11</w:t>
            </w:r>
          </w:p>
        </w:tc>
        <w:tc>
          <w:tcPr>
            <w:tcW w:w="1628" w:type="dxa"/>
            <w:vAlign w:val="top"/>
          </w:tcPr>
          <w:p w14:paraId="37C0409B">
            <w:pPr>
              <w:pStyle w:val="18"/>
              <w:spacing w:before="168" w:line="324" w:lineRule="exact"/>
              <w:ind w:left="619"/>
              <w:rPr>
                <w:color w:val="auto"/>
                <w:highlight w:val="none"/>
              </w:rPr>
            </w:pPr>
            <w:r>
              <w:rPr>
                <w:color w:val="auto"/>
                <w:spacing w:val="-2"/>
                <w:position w:val="2"/>
                <w:highlight w:val="none"/>
              </w:rPr>
              <w:t>……</w:t>
            </w:r>
          </w:p>
        </w:tc>
        <w:tc>
          <w:tcPr>
            <w:tcW w:w="805" w:type="dxa"/>
            <w:vAlign w:val="top"/>
          </w:tcPr>
          <w:p w14:paraId="163E3226">
            <w:pPr>
              <w:rPr>
                <w:rFonts w:ascii="Arial"/>
                <w:color w:val="auto"/>
                <w:sz w:val="21"/>
                <w:highlight w:val="none"/>
              </w:rPr>
            </w:pPr>
          </w:p>
        </w:tc>
        <w:tc>
          <w:tcPr>
            <w:tcW w:w="635" w:type="dxa"/>
            <w:vAlign w:val="top"/>
          </w:tcPr>
          <w:p w14:paraId="5DA8C438">
            <w:pPr>
              <w:rPr>
                <w:rFonts w:ascii="Arial"/>
                <w:color w:val="auto"/>
                <w:sz w:val="21"/>
                <w:highlight w:val="none"/>
              </w:rPr>
            </w:pPr>
          </w:p>
        </w:tc>
        <w:tc>
          <w:tcPr>
            <w:tcW w:w="348" w:type="dxa"/>
            <w:vAlign w:val="top"/>
          </w:tcPr>
          <w:p w14:paraId="3C26B391">
            <w:pPr>
              <w:rPr>
                <w:rFonts w:ascii="Arial"/>
                <w:color w:val="auto"/>
                <w:sz w:val="21"/>
                <w:highlight w:val="none"/>
              </w:rPr>
            </w:pPr>
          </w:p>
        </w:tc>
        <w:tc>
          <w:tcPr>
            <w:tcW w:w="348" w:type="dxa"/>
            <w:vAlign w:val="top"/>
          </w:tcPr>
          <w:p w14:paraId="7F031695">
            <w:pPr>
              <w:rPr>
                <w:rFonts w:ascii="Arial"/>
                <w:color w:val="auto"/>
                <w:sz w:val="21"/>
                <w:highlight w:val="none"/>
              </w:rPr>
            </w:pPr>
          </w:p>
        </w:tc>
        <w:tc>
          <w:tcPr>
            <w:tcW w:w="350" w:type="dxa"/>
            <w:vAlign w:val="top"/>
          </w:tcPr>
          <w:p w14:paraId="6B089529">
            <w:pPr>
              <w:rPr>
                <w:rFonts w:ascii="Arial"/>
                <w:color w:val="auto"/>
                <w:sz w:val="21"/>
                <w:highlight w:val="none"/>
              </w:rPr>
            </w:pPr>
          </w:p>
        </w:tc>
        <w:tc>
          <w:tcPr>
            <w:tcW w:w="348" w:type="dxa"/>
            <w:vAlign w:val="top"/>
          </w:tcPr>
          <w:p w14:paraId="0F7F7953">
            <w:pPr>
              <w:rPr>
                <w:rFonts w:ascii="Arial"/>
                <w:color w:val="auto"/>
                <w:sz w:val="21"/>
                <w:highlight w:val="none"/>
              </w:rPr>
            </w:pPr>
          </w:p>
        </w:tc>
        <w:tc>
          <w:tcPr>
            <w:tcW w:w="349" w:type="dxa"/>
            <w:vAlign w:val="top"/>
          </w:tcPr>
          <w:p w14:paraId="4654D879">
            <w:pPr>
              <w:rPr>
                <w:rFonts w:ascii="Arial"/>
                <w:color w:val="auto"/>
                <w:sz w:val="21"/>
                <w:highlight w:val="none"/>
              </w:rPr>
            </w:pPr>
          </w:p>
        </w:tc>
        <w:tc>
          <w:tcPr>
            <w:tcW w:w="351" w:type="dxa"/>
            <w:vAlign w:val="top"/>
          </w:tcPr>
          <w:p w14:paraId="4E47C4C4">
            <w:pPr>
              <w:rPr>
                <w:rFonts w:ascii="Arial"/>
                <w:color w:val="auto"/>
                <w:sz w:val="21"/>
                <w:highlight w:val="none"/>
              </w:rPr>
            </w:pPr>
          </w:p>
        </w:tc>
        <w:tc>
          <w:tcPr>
            <w:tcW w:w="349" w:type="dxa"/>
            <w:vAlign w:val="top"/>
          </w:tcPr>
          <w:p w14:paraId="4E43919B">
            <w:pPr>
              <w:rPr>
                <w:rFonts w:ascii="Arial"/>
                <w:color w:val="auto"/>
                <w:sz w:val="21"/>
                <w:highlight w:val="none"/>
              </w:rPr>
            </w:pPr>
          </w:p>
        </w:tc>
        <w:tc>
          <w:tcPr>
            <w:tcW w:w="349" w:type="dxa"/>
            <w:vAlign w:val="top"/>
          </w:tcPr>
          <w:p w14:paraId="691FC976">
            <w:pPr>
              <w:rPr>
                <w:rFonts w:ascii="Arial"/>
                <w:color w:val="auto"/>
                <w:sz w:val="21"/>
                <w:highlight w:val="none"/>
              </w:rPr>
            </w:pPr>
          </w:p>
        </w:tc>
        <w:tc>
          <w:tcPr>
            <w:tcW w:w="426" w:type="dxa"/>
            <w:vAlign w:val="top"/>
          </w:tcPr>
          <w:p w14:paraId="52736688">
            <w:pPr>
              <w:rPr>
                <w:rFonts w:ascii="Arial"/>
                <w:color w:val="auto"/>
                <w:sz w:val="21"/>
                <w:highlight w:val="none"/>
              </w:rPr>
            </w:pPr>
          </w:p>
        </w:tc>
        <w:tc>
          <w:tcPr>
            <w:tcW w:w="426" w:type="dxa"/>
            <w:vAlign w:val="top"/>
          </w:tcPr>
          <w:p w14:paraId="76E7F69B">
            <w:pPr>
              <w:rPr>
                <w:rFonts w:ascii="Arial"/>
                <w:color w:val="auto"/>
                <w:sz w:val="21"/>
                <w:highlight w:val="none"/>
              </w:rPr>
            </w:pPr>
          </w:p>
        </w:tc>
        <w:tc>
          <w:tcPr>
            <w:tcW w:w="426" w:type="dxa"/>
            <w:vAlign w:val="top"/>
          </w:tcPr>
          <w:p w14:paraId="479B65EF">
            <w:pPr>
              <w:rPr>
                <w:rFonts w:ascii="Arial"/>
                <w:color w:val="auto"/>
                <w:sz w:val="21"/>
                <w:highlight w:val="none"/>
              </w:rPr>
            </w:pPr>
          </w:p>
        </w:tc>
        <w:tc>
          <w:tcPr>
            <w:tcW w:w="429" w:type="dxa"/>
            <w:vAlign w:val="top"/>
          </w:tcPr>
          <w:p w14:paraId="6F9BC38B">
            <w:pPr>
              <w:rPr>
                <w:rFonts w:ascii="Arial"/>
                <w:color w:val="auto"/>
                <w:sz w:val="21"/>
                <w:highlight w:val="none"/>
              </w:rPr>
            </w:pPr>
          </w:p>
        </w:tc>
        <w:tc>
          <w:tcPr>
            <w:tcW w:w="526" w:type="dxa"/>
            <w:vAlign w:val="top"/>
          </w:tcPr>
          <w:p w14:paraId="7D4C6BE7">
            <w:pPr>
              <w:rPr>
                <w:rFonts w:ascii="Arial"/>
                <w:color w:val="auto"/>
                <w:sz w:val="21"/>
                <w:highlight w:val="none"/>
              </w:rPr>
            </w:pPr>
          </w:p>
        </w:tc>
        <w:tc>
          <w:tcPr>
            <w:tcW w:w="735" w:type="dxa"/>
            <w:vAlign w:val="top"/>
          </w:tcPr>
          <w:p w14:paraId="7F96CA72">
            <w:pPr>
              <w:rPr>
                <w:rFonts w:ascii="Arial"/>
                <w:color w:val="auto"/>
                <w:sz w:val="21"/>
                <w:highlight w:val="none"/>
              </w:rPr>
            </w:pPr>
          </w:p>
        </w:tc>
      </w:tr>
      <w:tr w14:paraId="2B489D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trPr>
        <w:tc>
          <w:tcPr>
            <w:tcW w:w="458" w:type="dxa"/>
            <w:vAlign w:val="top"/>
          </w:tcPr>
          <w:p w14:paraId="269D9BCF">
            <w:pPr>
              <w:pStyle w:val="18"/>
              <w:spacing w:before="167" w:line="270" w:lineRule="exact"/>
              <w:ind w:left="144"/>
              <w:rPr>
                <w:color w:val="auto"/>
                <w:highlight w:val="none"/>
              </w:rPr>
            </w:pPr>
            <w:r>
              <w:rPr>
                <w:color w:val="auto"/>
                <w:spacing w:val="-7"/>
                <w:position w:val="1"/>
                <w:highlight w:val="none"/>
              </w:rPr>
              <w:t>12</w:t>
            </w:r>
          </w:p>
        </w:tc>
        <w:tc>
          <w:tcPr>
            <w:tcW w:w="1628" w:type="dxa"/>
            <w:vAlign w:val="top"/>
          </w:tcPr>
          <w:p w14:paraId="0740D1A3">
            <w:pPr>
              <w:pStyle w:val="18"/>
              <w:spacing w:before="167" w:line="324" w:lineRule="exact"/>
              <w:ind w:left="619"/>
              <w:rPr>
                <w:color w:val="auto"/>
                <w:highlight w:val="none"/>
              </w:rPr>
            </w:pPr>
            <w:r>
              <w:rPr>
                <w:color w:val="auto"/>
                <w:spacing w:val="-2"/>
                <w:position w:val="2"/>
                <w:highlight w:val="none"/>
              </w:rPr>
              <w:t>……</w:t>
            </w:r>
          </w:p>
        </w:tc>
        <w:tc>
          <w:tcPr>
            <w:tcW w:w="805" w:type="dxa"/>
            <w:vAlign w:val="top"/>
          </w:tcPr>
          <w:p w14:paraId="28BB0F43">
            <w:pPr>
              <w:rPr>
                <w:rFonts w:ascii="Arial"/>
                <w:color w:val="auto"/>
                <w:sz w:val="21"/>
                <w:highlight w:val="none"/>
              </w:rPr>
            </w:pPr>
          </w:p>
        </w:tc>
        <w:tc>
          <w:tcPr>
            <w:tcW w:w="635" w:type="dxa"/>
            <w:vAlign w:val="top"/>
          </w:tcPr>
          <w:p w14:paraId="0E3E349E">
            <w:pPr>
              <w:rPr>
                <w:rFonts w:ascii="Arial"/>
                <w:color w:val="auto"/>
                <w:sz w:val="21"/>
                <w:highlight w:val="none"/>
              </w:rPr>
            </w:pPr>
          </w:p>
        </w:tc>
        <w:tc>
          <w:tcPr>
            <w:tcW w:w="348" w:type="dxa"/>
            <w:vAlign w:val="top"/>
          </w:tcPr>
          <w:p w14:paraId="34A7F64B">
            <w:pPr>
              <w:rPr>
                <w:rFonts w:ascii="Arial"/>
                <w:color w:val="auto"/>
                <w:sz w:val="21"/>
                <w:highlight w:val="none"/>
              </w:rPr>
            </w:pPr>
          </w:p>
        </w:tc>
        <w:tc>
          <w:tcPr>
            <w:tcW w:w="348" w:type="dxa"/>
            <w:vAlign w:val="top"/>
          </w:tcPr>
          <w:p w14:paraId="060DC23D">
            <w:pPr>
              <w:rPr>
                <w:rFonts w:ascii="Arial"/>
                <w:color w:val="auto"/>
                <w:sz w:val="21"/>
                <w:highlight w:val="none"/>
              </w:rPr>
            </w:pPr>
          </w:p>
        </w:tc>
        <w:tc>
          <w:tcPr>
            <w:tcW w:w="350" w:type="dxa"/>
            <w:vAlign w:val="top"/>
          </w:tcPr>
          <w:p w14:paraId="1DA4AB66">
            <w:pPr>
              <w:rPr>
                <w:rFonts w:ascii="Arial"/>
                <w:color w:val="auto"/>
                <w:sz w:val="21"/>
                <w:highlight w:val="none"/>
              </w:rPr>
            </w:pPr>
          </w:p>
        </w:tc>
        <w:tc>
          <w:tcPr>
            <w:tcW w:w="348" w:type="dxa"/>
            <w:vAlign w:val="top"/>
          </w:tcPr>
          <w:p w14:paraId="3EAA1E4B">
            <w:pPr>
              <w:rPr>
                <w:rFonts w:ascii="Arial"/>
                <w:color w:val="auto"/>
                <w:sz w:val="21"/>
                <w:highlight w:val="none"/>
              </w:rPr>
            </w:pPr>
          </w:p>
        </w:tc>
        <w:tc>
          <w:tcPr>
            <w:tcW w:w="349" w:type="dxa"/>
            <w:vAlign w:val="top"/>
          </w:tcPr>
          <w:p w14:paraId="612098FB">
            <w:pPr>
              <w:rPr>
                <w:rFonts w:ascii="Arial"/>
                <w:color w:val="auto"/>
                <w:sz w:val="21"/>
                <w:highlight w:val="none"/>
              </w:rPr>
            </w:pPr>
          </w:p>
        </w:tc>
        <w:tc>
          <w:tcPr>
            <w:tcW w:w="351" w:type="dxa"/>
            <w:vAlign w:val="top"/>
          </w:tcPr>
          <w:p w14:paraId="4A095899">
            <w:pPr>
              <w:rPr>
                <w:rFonts w:ascii="Arial"/>
                <w:color w:val="auto"/>
                <w:sz w:val="21"/>
                <w:highlight w:val="none"/>
              </w:rPr>
            </w:pPr>
          </w:p>
        </w:tc>
        <w:tc>
          <w:tcPr>
            <w:tcW w:w="349" w:type="dxa"/>
            <w:vAlign w:val="top"/>
          </w:tcPr>
          <w:p w14:paraId="497BA526">
            <w:pPr>
              <w:rPr>
                <w:rFonts w:ascii="Arial"/>
                <w:color w:val="auto"/>
                <w:sz w:val="21"/>
                <w:highlight w:val="none"/>
              </w:rPr>
            </w:pPr>
          </w:p>
        </w:tc>
        <w:tc>
          <w:tcPr>
            <w:tcW w:w="349" w:type="dxa"/>
            <w:vAlign w:val="top"/>
          </w:tcPr>
          <w:p w14:paraId="3B8F2320">
            <w:pPr>
              <w:rPr>
                <w:rFonts w:ascii="Arial"/>
                <w:color w:val="auto"/>
                <w:sz w:val="21"/>
                <w:highlight w:val="none"/>
              </w:rPr>
            </w:pPr>
          </w:p>
        </w:tc>
        <w:tc>
          <w:tcPr>
            <w:tcW w:w="426" w:type="dxa"/>
            <w:vAlign w:val="top"/>
          </w:tcPr>
          <w:p w14:paraId="3CC1791A">
            <w:pPr>
              <w:rPr>
                <w:rFonts w:ascii="Arial"/>
                <w:color w:val="auto"/>
                <w:sz w:val="21"/>
                <w:highlight w:val="none"/>
              </w:rPr>
            </w:pPr>
          </w:p>
        </w:tc>
        <w:tc>
          <w:tcPr>
            <w:tcW w:w="426" w:type="dxa"/>
            <w:vAlign w:val="top"/>
          </w:tcPr>
          <w:p w14:paraId="3C7C7E40">
            <w:pPr>
              <w:rPr>
                <w:rFonts w:ascii="Arial"/>
                <w:color w:val="auto"/>
                <w:sz w:val="21"/>
                <w:highlight w:val="none"/>
              </w:rPr>
            </w:pPr>
          </w:p>
        </w:tc>
        <w:tc>
          <w:tcPr>
            <w:tcW w:w="426" w:type="dxa"/>
            <w:vAlign w:val="top"/>
          </w:tcPr>
          <w:p w14:paraId="2F6CC2BF">
            <w:pPr>
              <w:rPr>
                <w:rFonts w:ascii="Arial"/>
                <w:color w:val="auto"/>
                <w:sz w:val="21"/>
                <w:highlight w:val="none"/>
              </w:rPr>
            </w:pPr>
          </w:p>
        </w:tc>
        <w:tc>
          <w:tcPr>
            <w:tcW w:w="429" w:type="dxa"/>
            <w:vAlign w:val="top"/>
          </w:tcPr>
          <w:p w14:paraId="2DE91CD1">
            <w:pPr>
              <w:rPr>
                <w:rFonts w:ascii="Arial"/>
                <w:color w:val="auto"/>
                <w:sz w:val="21"/>
                <w:highlight w:val="none"/>
              </w:rPr>
            </w:pPr>
          </w:p>
        </w:tc>
        <w:tc>
          <w:tcPr>
            <w:tcW w:w="526" w:type="dxa"/>
            <w:vAlign w:val="top"/>
          </w:tcPr>
          <w:p w14:paraId="6BFC449F">
            <w:pPr>
              <w:rPr>
                <w:rFonts w:ascii="Arial"/>
                <w:color w:val="auto"/>
                <w:sz w:val="21"/>
                <w:highlight w:val="none"/>
              </w:rPr>
            </w:pPr>
          </w:p>
        </w:tc>
        <w:tc>
          <w:tcPr>
            <w:tcW w:w="735" w:type="dxa"/>
            <w:vAlign w:val="top"/>
          </w:tcPr>
          <w:p w14:paraId="4FCD9CA8">
            <w:pPr>
              <w:rPr>
                <w:rFonts w:ascii="Arial"/>
                <w:color w:val="auto"/>
                <w:sz w:val="21"/>
                <w:highlight w:val="none"/>
              </w:rPr>
            </w:pPr>
          </w:p>
        </w:tc>
      </w:tr>
      <w:tr w14:paraId="4EF7C6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trPr>
        <w:tc>
          <w:tcPr>
            <w:tcW w:w="458" w:type="dxa"/>
            <w:vAlign w:val="top"/>
          </w:tcPr>
          <w:p w14:paraId="2BD79474">
            <w:pPr>
              <w:pStyle w:val="18"/>
              <w:spacing w:before="167" w:line="268" w:lineRule="exact"/>
              <w:ind w:left="144"/>
              <w:rPr>
                <w:color w:val="auto"/>
                <w:highlight w:val="none"/>
              </w:rPr>
            </w:pPr>
            <w:r>
              <w:rPr>
                <w:color w:val="auto"/>
                <w:spacing w:val="-7"/>
                <w:position w:val="1"/>
                <w:highlight w:val="none"/>
              </w:rPr>
              <w:t>13</w:t>
            </w:r>
          </w:p>
        </w:tc>
        <w:tc>
          <w:tcPr>
            <w:tcW w:w="1628" w:type="dxa"/>
            <w:vAlign w:val="top"/>
          </w:tcPr>
          <w:p w14:paraId="4199FE4B">
            <w:pPr>
              <w:pStyle w:val="18"/>
              <w:spacing w:before="167" w:line="324" w:lineRule="exact"/>
              <w:ind w:left="619"/>
              <w:rPr>
                <w:color w:val="auto"/>
                <w:highlight w:val="none"/>
              </w:rPr>
            </w:pPr>
            <w:r>
              <w:rPr>
                <w:color w:val="auto"/>
                <w:spacing w:val="-2"/>
                <w:position w:val="2"/>
                <w:highlight w:val="none"/>
              </w:rPr>
              <w:t>……</w:t>
            </w:r>
          </w:p>
        </w:tc>
        <w:tc>
          <w:tcPr>
            <w:tcW w:w="805" w:type="dxa"/>
            <w:vAlign w:val="top"/>
          </w:tcPr>
          <w:p w14:paraId="35278C8C">
            <w:pPr>
              <w:rPr>
                <w:rFonts w:ascii="Arial"/>
                <w:color w:val="auto"/>
                <w:sz w:val="21"/>
                <w:highlight w:val="none"/>
              </w:rPr>
            </w:pPr>
          </w:p>
        </w:tc>
        <w:tc>
          <w:tcPr>
            <w:tcW w:w="635" w:type="dxa"/>
            <w:vAlign w:val="top"/>
          </w:tcPr>
          <w:p w14:paraId="0B1270FE">
            <w:pPr>
              <w:rPr>
                <w:rFonts w:ascii="Arial"/>
                <w:color w:val="auto"/>
                <w:sz w:val="21"/>
                <w:highlight w:val="none"/>
              </w:rPr>
            </w:pPr>
          </w:p>
        </w:tc>
        <w:tc>
          <w:tcPr>
            <w:tcW w:w="348" w:type="dxa"/>
            <w:vAlign w:val="top"/>
          </w:tcPr>
          <w:p w14:paraId="096889E6">
            <w:pPr>
              <w:rPr>
                <w:rFonts w:ascii="Arial"/>
                <w:color w:val="auto"/>
                <w:sz w:val="21"/>
                <w:highlight w:val="none"/>
              </w:rPr>
            </w:pPr>
          </w:p>
        </w:tc>
        <w:tc>
          <w:tcPr>
            <w:tcW w:w="348" w:type="dxa"/>
            <w:vAlign w:val="top"/>
          </w:tcPr>
          <w:p w14:paraId="636E5A49">
            <w:pPr>
              <w:rPr>
                <w:rFonts w:ascii="Arial"/>
                <w:color w:val="auto"/>
                <w:sz w:val="21"/>
                <w:highlight w:val="none"/>
              </w:rPr>
            </w:pPr>
          </w:p>
        </w:tc>
        <w:tc>
          <w:tcPr>
            <w:tcW w:w="350" w:type="dxa"/>
            <w:vAlign w:val="top"/>
          </w:tcPr>
          <w:p w14:paraId="057C9E42">
            <w:pPr>
              <w:rPr>
                <w:rFonts w:ascii="Arial"/>
                <w:color w:val="auto"/>
                <w:sz w:val="21"/>
                <w:highlight w:val="none"/>
              </w:rPr>
            </w:pPr>
          </w:p>
        </w:tc>
        <w:tc>
          <w:tcPr>
            <w:tcW w:w="348" w:type="dxa"/>
            <w:vAlign w:val="top"/>
          </w:tcPr>
          <w:p w14:paraId="74915F0E">
            <w:pPr>
              <w:rPr>
                <w:rFonts w:ascii="Arial"/>
                <w:color w:val="auto"/>
                <w:sz w:val="21"/>
                <w:highlight w:val="none"/>
              </w:rPr>
            </w:pPr>
          </w:p>
        </w:tc>
        <w:tc>
          <w:tcPr>
            <w:tcW w:w="349" w:type="dxa"/>
            <w:vAlign w:val="top"/>
          </w:tcPr>
          <w:p w14:paraId="4B02BDA9">
            <w:pPr>
              <w:rPr>
                <w:rFonts w:ascii="Arial"/>
                <w:color w:val="auto"/>
                <w:sz w:val="21"/>
                <w:highlight w:val="none"/>
              </w:rPr>
            </w:pPr>
          </w:p>
        </w:tc>
        <w:tc>
          <w:tcPr>
            <w:tcW w:w="351" w:type="dxa"/>
            <w:vAlign w:val="top"/>
          </w:tcPr>
          <w:p w14:paraId="02E5A781">
            <w:pPr>
              <w:rPr>
                <w:rFonts w:ascii="Arial"/>
                <w:color w:val="auto"/>
                <w:sz w:val="21"/>
                <w:highlight w:val="none"/>
              </w:rPr>
            </w:pPr>
          </w:p>
        </w:tc>
        <w:tc>
          <w:tcPr>
            <w:tcW w:w="349" w:type="dxa"/>
            <w:vAlign w:val="top"/>
          </w:tcPr>
          <w:p w14:paraId="24C5A8EE">
            <w:pPr>
              <w:rPr>
                <w:rFonts w:ascii="Arial"/>
                <w:color w:val="auto"/>
                <w:sz w:val="21"/>
                <w:highlight w:val="none"/>
              </w:rPr>
            </w:pPr>
          </w:p>
        </w:tc>
        <w:tc>
          <w:tcPr>
            <w:tcW w:w="349" w:type="dxa"/>
            <w:vAlign w:val="top"/>
          </w:tcPr>
          <w:p w14:paraId="79801D7E">
            <w:pPr>
              <w:rPr>
                <w:rFonts w:ascii="Arial"/>
                <w:color w:val="auto"/>
                <w:sz w:val="21"/>
                <w:highlight w:val="none"/>
              </w:rPr>
            </w:pPr>
          </w:p>
        </w:tc>
        <w:tc>
          <w:tcPr>
            <w:tcW w:w="426" w:type="dxa"/>
            <w:vAlign w:val="top"/>
          </w:tcPr>
          <w:p w14:paraId="69C791EF">
            <w:pPr>
              <w:rPr>
                <w:rFonts w:ascii="Arial"/>
                <w:color w:val="auto"/>
                <w:sz w:val="21"/>
                <w:highlight w:val="none"/>
              </w:rPr>
            </w:pPr>
          </w:p>
        </w:tc>
        <w:tc>
          <w:tcPr>
            <w:tcW w:w="426" w:type="dxa"/>
            <w:vAlign w:val="top"/>
          </w:tcPr>
          <w:p w14:paraId="3FD1B94D">
            <w:pPr>
              <w:rPr>
                <w:rFonts w:ascii="Arial"/>
                <w:color w:val="auto"/>
                <w:sz w:val="21"/>
                <w:highlight w:val="none"/>
              </w:rPr>
            </w:pPr>
          </w:p>
        </w:tc>
        <w:tc>
          <w:tcPr>
            <w:tcW w:w="426" w:type="dxa"/>
            <w:vAlign w:val="top"/>
          </w:tcPr>
          <w:p w14:paraId="2F933883">
            <w:pPr>
              <w:rPr>
                <w:rFonts w:ascii="Arial"/>
                <w:color w:val="auto"/>
                <w:sz w:val="21"/>
                <w:highlight w:val="none"/>
              </w:rPr>
            </w:pPr>
          </w:p>
        </w:tc>
        <w:tc>
          <w:tcPr>
            <w:tcW w:w="429" w:type="dxa"/>
            <w:vAlign w:val="top"/>
          </w:tcPr>
          <w:p w14:paraId="18AD1499">
            <w:pPr>
              <w:rPr>
                <w:rFonts w:ascii="Arial"/>
                <w:color w:val="auto"/>
                <w:sz w:val="21"/>
                <w:highlight w:val="none"/>
              </w:rPr>
            </w:pPr>
          </w:p>
        </w:tc>
        <w:tc>
          <w:tcPr>
            <w:tcW w:w="526" w:type="dxa"/>
            <w:vAlign w:val="top"/>
          </w:tcPr>
          <w:p w14:paraId="377065DE">
            <w:pPr>
              <w:rPr>
                <w:rFonts w:ascii="Arial"/>
                <w:color w:val="auto"/>
                <w:sz w:val="21"/>
                <w:highlight w:val="none"/>
              </w:rPr>
            </w:pPr>
          </w:p>
        </w:tc>
        <w:tc>
          <w:tcPr>
            <w:tcW w:w="735" w:type="dxa"/>
            <w:vAlign w:val="top"/>
          </w:tcPr>
          <w:p w14:paraId="16D899D9">
            <w:pPr>
              <w:rPr>
                <w:rFonts w:ascii="Arial"/>
                <w:color w:val="auto"/>
                <w:sz w:val="21"/>
                <w:highlight w:val="none"/>
              </w:rPr>
            </w:pPr>
          </w:p>
        </w:tc>
      </w:tr>
      <w:tr w14:paraId="082805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trPr>
        <w:tc>
          <w:tcPr>
            <w:tcW w:w="458" w:type="dxa"/>
            <w:vAlign w:val="top"/>
          </w:tcPr>
          <w:p w14:paraId="14FABAFB">
            <w:pPr>
              <w:pStyle w:val="18"/>
              <w:spacing w:before="169" w:line="270" w:lineRule="exact"/>
              <w:ind w:left="144"/>
              <w:rPr>
                <w:color w:val="auto"/>
                <w:highlight w:val="none"/>
              </w:rPr>
            </w:pPr>
            <w:r>
              <w:rPr>
                <w:color w:val="auto"/>
                <w:spacing w:val="-7"/>
                <w:position w:val="1"/>
                <w:highlight w:val="none"/>
              </w:rPr>
              <w:t>14</w:t>
            </w:r>
          </w:p>
        </w:tc>
        <w:tc>
          <w:tcPr>
            <w:tcW w:w="1628" w:type="dxa"/>
            <w:vAlign w:val="top"/>
          </w:tcPr>
          <w:p w14:paraId="748ECFF8">
            <w:pPr>
              <w:pStyle w:val="18"/>
              <w:spacing w:before="169" w:line="324" w:lineRule="exact"/>
              <w:ind w:left="619"/>
              <w:rPr>
                <w:color w:val="auto"/>
                <w:highlight w:val="none"/>
              </w:rPr>
            </w:pPr>
            <w:r>
              <w:rPr>
                <w:color w:val="auto"/>
                <w:spacing w:val="-2"/>
                <w:position w:val="2"/>
                <w:highlight w:val="none"/>
              </w:rPr>
              <w:t>……</w:t>
            </w:r>
          </w:p>
        </w:tc>
        <w:tc>
          <w:tcPr>
            <w:tcW w:w="805" w:type="dxa"/>
            <w:vAlign w:val="top"/>
          </w:tcPr>
          <w:p w14:paraId="37A1B209">
            <w:pPr>
              <w:rPr>
                <w:rFonts w:ascii="Arial"/>
                <w:color w:val="auto"/>
                <w:sz w:val="21"/>
                <w:highlight w:val="none"/>
              </w:rPr>
            </w:pPr>
          </w:p>
        </w:tc>
        <w:tc>
          <w:tcPr>
            <w:tcW w:w="635" w:type="dxa"/>
            <w:vAlign w:val="top"/>
          </w:tcPr>
          <w:p w14:paraId="55A382B5">
            <w:pPr>
              <w:rPr>
                <w:rFonts w:ascii="Arial"/>
                <w:color w:val="auto"/>
                <w:sz w:val="21"/>
                <w:highlight w:val="none"/>
              </w:rPr>
            </w:pPr>
          </w:p>
        </w:tc>
        <w:tc>
          <w:tcPr>
            <w:tcW w:w="348" w:type="dxa"/>
            <w:vAlign w:val="top"/>
          </w:tcPr>
          <w:p w14:paraId="3D68649D">
            <w:pPr>
              <w:rPr>
                <w:rFonts w:ascii="Arial"/>
                <w:color w:val="auto"/>
                <w:sz w:val="21"/>
                <w:highlight w:val="none"/>
              </w:rPr>
            </w:pPr>
          </w:p>
        </w:tc>
        <w:tc>
          <w:tcPr>
            <w:tcW w:w="348" w:type="dxa"/>
            <w:vAlign w:val="top"/>
          </w:tcPr>
          <w:p w14:paraId="6C095CC2">
            <w:pPr>
              <w:rPr>
                <w:rFonts w:ascii="Arial"/>
                <w:color w:val="auto"/>
                <w:sz w:val="21"/>
                <w:highlight w:val="none"/>
              </w:rPr>
            </w:pPr>
          </w:p>
        </w:tc>
        <w:tc>
          <w:tcPr>
            <w:tcW w:w="350" w:type="dxa"/>
            <w:vAlign w:val="top"/>
          </w:tcPr>
          <w:p w14:paraId="18EA6525">
            <w:pPr>
              <w:rPr>
                <w:rFonts w:ascii="Arial"/>
                <w:color w:val="auto"/>
                <w:sz w:val="21"/>
                <w:highlight w:val="none"/>
              </w:rPr>
            </w:pPr>
          </w:p>
        </w:tc>
        <w:tc>
          <w:tcPr>
            <w:tcW w:w="348" w:type="dxa"/>
            <w:vAlign w:val="top"/>
          </w:tcPr>
          <w:p w14:paraId="6849A3A3">
            <w:pPr>
              <w:rPr>
                <w:rFonts w:ascii="Arial"/>
                <w:color w:val="auto"/>
                <w:sz w:val="21"/>
                <w:highlight w:val="none"/>
              </w:rPr>
            </w:pPr>
          </w:p>
        </w:tc>
        <w:tc>
          <w:tcPr>
            <w:tcW w:w="349" w:type="dxa"/>
            <w:vAlign w:val="top"/>
          </w:tcPr>
          <w:p w14:paraId="2000E577">
            <w:pPr>
              <w:rPr>
                <w:rFonts w:ascii="Arial"/>
                <w:color w:val="auto"/>
                <w:sz w:val="21"/>
                <w:highlight w:val="none"/>
              </w:rPr>
            </w:pPr>
          </w:p>
        </w:tc>
        <w:tc>
          <w:tcPr>
            <w:tcW w:w="351" w:type="dxa"/>
            <w:vAlign w:val="top"/>
          </w:tcPr>
          <w:p w14:paraId="4B3DA146">
            <w:pPr>
              <w:rPr>
                <w:rFonts w:ascii="Arial"/>
                <w:color w:val="auto"/>
                <w:sz w:val="21"/>
                <w:highlight w:val="none"/>
              </w:rPr>
            </w:pPr>
          </w:p>
        </w:tc>
        <w:tc>
          <w:tcPr>
            <w:tcW w:w="349" w:type="dxa"/>
            <w:vAlign w:val="top"/>
          </w:tcPr>
          <w:p w14:paraId="000C1321">
            <w:pPr>
              <w:rPr>
                <w:rFonts w:ascii="Arial"/>
                <w:color w:val="auto"/>
                <w:sz w:val="21"/>
                <w:highlight w:val="none"/>
              </w:rPr>
            </w:pPr>
          </w:p>
        </w:tc>
        <w:tc>
          <w:tcPr>
            <w:tcW w:w="349" w:type="dxa"/>
            <w:vAlign w:val="top"/>
          </w:tcPr>
          <w:p w14:paraId="62F1A6D1">
            <w:pPr>
              <w:rPr>
                <w:rFonts w:ascii="Arial"/>
                <w:color w:val="auto"/>
                <w:sz w:val="21"/>
                <w:highlight w:val="none"/>
              </w:rPr>
            </w:pPr>
          </w:p>
        </w:tc>
        <w:tc>
          <w:tcPr>
            <w:tcW w:w="426" w:type="dxa"/>
            <w:vAlign w:val="top"/>
          </w:tcPr>
          <w:p w14:paraId="300AD97C">
            <w:pPr>
              <w:rPr>
                <w:rFonts w:ascii="Arial"/>
                <w:color w:val="auto"/>
                <w:sz w:val="21"/>
                <w:highlight w:val="none"/>
              </w:rPr>
            </w:pPr>
          </w:p>
        </w:tc>
        <w:tc>
          <w:tcPr>
            <w:tcW w:w="426" w:type="dxa"/>
            <w:vAlign w:val="top"/>
          </w:tcPr>
          <w:p w14:paraId="61AB6E1B">
            <w:pPr>
              <w:rPr>
                <w:rFonts w:ascii="Arial"/>
                <w:color w:val="auto"/>
                <w:sz w:val="21"/>
                <w:highlight w:val="none"/>
              </w:rPr>
            </w:pPr>
          </w:p>
        </w:tc>
        <w:tc>
          <w:tcPr>
            <w:tcW w:w="426" w:type="dxa"/>
            <w:vAlign w:val="top"/>
          </w:tcPr>
          <w:p w14:paraId="4457868C">
            <w:pPr>
              <w:rPr>
                <w:rFonts w:ascii="Arial"/>
                <w:color w:val="auto"/>
                <w:sz w:val="21"/>
                <w:highlight w:val="none"/>
              </w:rPr>
            </w:pPr>
          </w:p>
        </w:tc>
        <w:tc>
          <w:tcPr>
            <w:tcW w:w="429" w:type="dxa"/>
            <w:vAlign w:val="top"/>
          </w:tcPr>
          <w:p w14:paraId="3FBCF8A1">
            <w:pPr>
              <w:rPr>
                <w:rFonts w:ascii="Arial"/>
                <w:color w:val="auto"/>
                <w:sz w:val="21"/>
                <w:highlight w:val="none"/>
              </w:rPr>
            </w:pPr>
          </w:p>
        </w:tc>
        <w:tc>
          <w:tcPr>
            <w:tcW w:w="526" w:type="dxa"/>
            <w:vAlign w:val="top"/>
          </w:tcPr>
          <w:p w14:paraId="4F20E0EB">
            <w:pPr>
              <w:rPr>
                <w:rFonts w:ascii="Arial"/>
                <w:color w:val="auto"/>
                <w:sz w:val="21"/>
                <w:highlight w:val="none"/>
              </w:rPr>
            </w:pPr>
          </w:p>
        </w:tc>
        <w:tc>
          <w:tcPr>
            <w:tcW w:w="735" w:type="dxa"/>
            <w:vAlign w:val="top"/>
          </w:tcPr>
          <w:p w14:paraId="6ED3CF3B">
            <w:pPr>
              <w:rPr>
                <w:rFonts w:ascii="Arial"/>
                <w:color w:val="auto"/>
                <w:sz w:val="21"/>
                <w:highlight w:val="none"/>
              </w:rPr>
            </w:pPr>
          </w:p>
        </w:tc>
      </w:tr>
      <w:tr w14:paraId="3DF31C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trPr>
        <w:tc>
          <w:tcPr>
            <w:tcW w:w="458" w:type="dxa"/>
            <w:vAlign w:val="top"/>
          </w:tcPr>
          <w:p w14:paraId="0455288F">
            <w:pPr>
              <w:pStyle w:val="18"/>
              <w:spacing w:before="169" w:line="268" w:lineRule="exact"/>
              <w:ind w:left="144"/>
              <w:rPr>
                <w:color w:val="auto"/>
                <w:highlight w:val="none"/>
              </w:rPr>
            </w:pPr>
            <w:r>
              <w:rPr>
                <w:color w:val="auto"/>
                <w:spacing w:val="-7"/>
                <w:position w:val="1"/>
                <w:highlight w:val="none"/>
              </w:rPr>
              <w:t>15</w:t>
            </w:r>
          </w:p>
        </w:tc>
        <w:tc>
          <w:tcPr>
            <w:tcW w:w="1628" w:type="dxa"/>
            <w:vAlign w:val="top"/>
          </w:tcPr>
          <w:p w14:paraId="54D62EF0">
            <w:pPr>
              <w:pStyle w:val="18"/>
              <w:spacing w:before="169" w:line="324" w:lineRule="exact"/>
              <w:ind w:left="619"/>
              <w:rPr>
                <w:color w:val="auto"/>
                <w:highlight w:val="none"/>
              </w:rPr>
            </w:pPr>
            <w:r>
              <w:rPr>
                <w:color w:val="auto"/>
                <w:spacing w:val="-2"/>
                <w:position w:val="2"/>
                <w:highlight w:val="none"/>
              </w:rPr>
              <w:t>……</w:t>
            </w:r>
          </w:p>
        </w:tc>
        <w:tc>
          <w:tcPr>
            <w:tcW w:w="805" w:type="dxa"/>
            <w:vAlign w:val="top"/>
          </w:tcPr>
          <w:p w14:paraId="62B25E2B">
            <w:pPr>
              <w:rPr>
                <w:rFonts w:ascii="Arial"/>
                <w:color w:val="auto"/>
                <w:sz w:val="21"/>
                <w:highlight w:val="none"/>
              </w:rPr>
            </w:pPr>
          </w:p>
        </w:tc>
        <w:tc>
          <w:tcPr>
            <w:tcW w:w="635" w:type="dxa"/>
            <w:vAlign w:val="top"/>
          </w:tcPr>
          <w:p w14:paraId="6FA35E5E">
            <w:pPr>
              <w:rPr>
                <w:rFonts w:ascii="Arial"/>
                <w:color w:val="auto"/>
                <w:sz w:val="21"/>
                <w:highlight w:val="none"/>
              </w:rPr>
            </w:pPr>
          </w:p>
        </w:tc>
        <w:tc>
          <w:tcPr>
            <w:tcW w:w="348" w:type="dxa"/>
            <w:vAlign w:val="top"/>
          </w:tcPr>
          <w:p w14:paraId="32961B0B">
            <w:pPr>
              <w:rPr>
                <w:rFonts w:ascii="Arial"/>
                <w:color w:val="auto"/>
                <w:sz w:val="21"/>
                <w:highlight w:val="none"/>
              </w:rPr>
            </w:pPr>
          </w:p>
        </w:tc>
        <w:tc>
          <w:tcPr>
            <w:tcW w:w="348" w:type="dxa"/>
            <w:vAlign w:val="top"/>
          </w:tcPr>
          <w:p w14:paraId="668E7E2A">
            <w:pPr>
              <w:rPr>
                <w:rFonts w:ascii="Arial"/>
                <w:color w:val="auto"/>
                <w:sz w:val="21"/>
                <w:highlight w:val="none"/>
              </w:rPr>
            </w:pPr>
          </w:p>
        </w:tc>
        <w:tc>
          <w:tcPr>
            <w:tcW w:w="350" w:type="dxa"/>
            <w:vAlign w:val="top"/>
          </w:tcPr>
          <w:p w14:paraId="0541A8B2">
            <w:pPr>
              <w:rPr>
                <w:rFonts w:ascii="Arial"/>
                <w:color w:val="auto"/>
                <w:sz w:val="21"/>
                <w:highlight w:val="none"/>
              </w:rPr>
            </w:pPr>
          </w:p>
        </w:tc>
        <w:tc>
          <w:tcPr>
            <w:tcW w:w="348" w:type="dxa"/>
            <w:vAlign w:val="top"/>
          </w:tcPr>
          <w:p w14:paraId="5A3DC32F">
            <w:pPr>
              <w:rPr>
                <w:rFonts w:ascii="Arial"/>
                <w:color w:val="auto"/>
                <w:sz w:val="21"/>
                <w:highlight w:val="none"/>
              </w:rPr>
            </w:pPr>
          </w:p>
        </w:tc>
        <w:tc>
          <w:tcPr>
            <w:tcW w:w="349" w:type="dxa"/>
            <w:vAlign w:val="top"/>
          </w:tcPr>
          <w:p w14:paraId="05B19D43">
            <w:pPr>
              <w:rPr>
                <w:rFonts w:ascii="Arial"/>
                <w:color w:val="auto"/>
                <w:sz w:val="21"/>
                <w:highlight w:val="none"/>
              </w:rPr>
            </w:pPr>
          </w:p>
        </w:tc>
        <w:tc>
          <w:tcPr>
            <w:tcW w:w="351" w:type="dxa"/>
            <w:vAlign w:val="top"/>
          </w:tcPr>
          <w:p w14:paraId="6285A0D5">
            <w:pPr>
              <w:rPr>
                <w:rFonts w:ascii="Arial"/>
                <w:color w:val="auto"/>
                <w:sz w:val="21"/>
                <w:highlight w:val="none"/>
              </w:rPr>
            </w:pPr>
          </w:p>
        </w:tc>
        <w:tc>
          <w:tcPr>
            <w:tcW w:w="349" w:type="dxa"/>
            <w:vAlign w:val="top"/>
          </w:tcPr>
          <w:p w14:paraId="4C151906">
            <w:pPr>
              <w:rPr>
                <w:rFonts w:ascii="Arial"/>
                <w:color w:val="auto"/>
                <w:sz w:val="21"/>
                <w:highlight w:val="none"/>
              </w:rPr>
            </w:pPr>
          </w:p>
        </w:tc>
        <w:tc>
          <w:tcPr>
            <w:tcW w:w="349" w:type="dxa"/>
            <w:vAlign w:val="top"/>
          </w:tcPr>
          <w:p w14:paraId="602A59F0">
            <w:pPr>
              <w:rPr>
                <w:rFonts w:ascii="Arial"/>
                <w:color w:val="auto"/>
                <w:sz w:val="21"/>
                <w:highlight w:val="none"/>
              </w:rPr>
            </w:pPr>
          </w:p>
        </w:tc>
        <w:tc>
          <w:tcPr>
            <w:tcW w:w="426" w:type="dxa"/>
            <w:vAlign w:val="top"/>
          </w:tcPr>
          <w:p w14:paraId="31D1A7B0">
            <w:pPr>
              <w:rPr>
                <w:rFonts w:ascii="Arial"/>
                <w:color w:val="auto"/>
                <w:sz w:val="21"/>
                <w:highlight w:val="none"/>
              </w:rPr>
            </w:pPr>
          </w:p>
        </w:tc>
        <w:tc>
          <w:tcPr>
            <w:tcW w:w="426" w:type="dxa"/>
            <w:vAlign w:val="top"/>
          </w:tcPr>
          <w:p w14:paraId="6F9C5BFA">
            <w:pPr>
              <w:rPr>
                <w:rFonts w:ascii="Arial"/>
                <w:color w:val="auto"/>
                <w:sz w:val="21"/>
                <w:highlight w:val="none"/>
              </w:rPr>
            </w:pPr>
          </w:p>
        </w:tc>
        <w:tc>
          <w:tcPr>
            <w:tcW w:w="426" w:type="dxa"/>
            <w:vAlign w:val="top"/>
          </w:tcPr>
          <w:p w14:paraId="20E36BA4">
            <w:pPr>
              <w:rPr>
                <w:rFonts w:ascii="Arial"/>
                <w:color w:val="auto"/>
                <w:sz w:val="21"/>
                <w:highlight w:val="none"/>
              </w:rPr>
            </w:pPr>
          </w:p>
        </w:tc>
        <w:tc>
          <w:tcPr>
            <w:tcW w:w="429" w:type="dxa"/>
            <w:vAlign w:val="top"/>
          </w:tcPr>
          <w:p w14:paraId="0002DCB8">
            <w:pPr>
              <w:rPr>
                <w:rFonts w:ascii="Arial"/>
                <w:color w:val="auto"/>
                <w:sz w:val="21"/>
                <w:highlight w:val="none"/>
              </w:rPr>
            </w:pPr>
          </w:p>
        </w:tc>
        <w:tc>
          <w:tcPr>
            <w:tcW w:w="526" w:type="dxa"/>
            <w:vAlign w:val="top"/>
          </w:tcPr>
          <w:p w14:paraId="76326F3F">
            <w:pPr>
              <w:rPr>
                <w:rFonts w:ascii="Arial"/>
                <w:color w:val="auto"/>
                <w:sz w:val="21"/>
                <w:highlight w:val="none"/>
              </w:rPr>
            </w:pPr>
          </w:p>
        </w:tc>
        <w:tc>
          <w:tcPr>
            <w:tcW w:w="735" w:type="dxa"/>
            <w:vAlign w:val="top"/>
          </w:tcPr>
          <w:p w14:paraId="1547F884">
            <w:pPr>
              <w:rPr>
                <w:rFonts w:ascii="Arial"/>
                <w:color w:val="auto"/>
                <w:sz w:val="21"/>
                <w:highlight w:val="none"/>
              </w:rPr>
            </w:pPr>
          </w:p>
        </w:tc>
      </w:tr>
      <w:tr w14:paraId="144A5F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trPr>
        <w:tc>
          <w:tcPr>
            <w:tcW w:w="458" w:type="dxa"/>
            <w:vAlign w:val="top"/>
          </w:tcPr>
          <w:p w14:paraId="43A2AA27">
            <w:pPr>
              <w:pStyle w:val="18"/>
              <w:spacing w:before="168" w:line="324" w:lineRule="exact"/>
              <w:ind w:left="141"/>
              <w:rPr>
                <w:color w:val="auto"/>
                <w:highlight w:val="none"/>
              </w:rPr>
            </w:pPr>
            <w:r>
              <w:rPr>
                <w:color w:val="auto"/>
                <w:position w:val="2"/>
                <w:highlight w:val="none"/>
              </w:rPr>
              <w:t>…</w:t>
            </w:r>
          </w:p>
        </w:tc>
        <w:tc>
          <w:tcPr>
            <w:tcW w:w="1628" w:type="dxa"/>
            <w:vAlign w:val="top"/>
          </w:tcPr>
          <w:p w14:paraId="4A4CE7D3">
            <w:pPr>
              <w:pStyle w:val="18"/>
              <w:spacing w:before="168" w:line="324" w:lineRule="exact"/>
              <w:ind w:left="619"/>
              <w:rPr>
                <w:color w:val="auto"/>
                <w:highlight w:val="none"/>
              </w:rPr>
            </w:pPr>
            <w:r>
              <w:rPr>
                <w:color w:val="auto"/>
                <w:spacing w:val="-2"/>
                <w:position w:val="2"/>
                <w:highlight w:val="none"/>
              </w:rPr>
              <w:t>……</w:t>
            </w:r>
          </w:p>
        </w:tc>
        <w:tc>
          <w:tcPr>
            <w:tcW w:w="805" w:type="dxa"/>
            <w:vAlign w:val="top"/>
          </w:tcPr>
          <w:p w14:paraId="65CEEB0D">
            <w:pPr>
              <w:rPr>
                <w:rFonts w:ascii="Arial"/>
                <w:color w:val="auto"/>
                <w:sz w:val="21"/>
                <w:highlight w:val="none"/>
              </w:rPr>
            </w:pPr>
          </w:p>
        </w:tc>
        <w:tc>
          <w:tcPr>
            <w:tcW w:w="635" w:type="dxa"/>
            <w:vAlign w:val="top"/>
          </w:tcPr>
          <w:p w14:paraId="31B9A2D4">
            <w:pPr>
              <w:rPr>
                <w:rFonts w:ascii="Arial"/>
                <w:color w:val="auto"/>
                <w:sz w:val="21"/>
                <w:highlight w:val="none"/>
              </w:rPr>
            </w:pPr>
          </w:p>
        </w:tc>
        <w:tc>
          <w:tcPr>
            <w:tcW w:w="348" w:type="dxa"/>
            <w:vAlign w:val="top"/>
          </w:tcPr>
          <w:p w14:paraId="178EDC33">
            <w:pPr>
              <w:rPr>
                <w:rFonts w:ascii="Arial"/>
                <w:color w:val="auto"/>
                <w:sz w:val="21"/>
                <w:highlight w:val="none"/>
              </w:rPr>
            </w:pPr>
          </w:p>
        </w:tc>
        <w:tc>
          <w:tcPr>
            <w:tcW w:w="348" w:type="dxa"/>
            <w:vAlign w:val="top"/>
          </w:tcPr>
          <w:p w14:paraId="28555611">
            <w:pPr>
              <w:rPr>
                <w:rFonts w:ascii="Arial"/>
                <w:color w:val="auto"/>
                <w:sz w:val="21"/>
                <w:highlight w:val="none"/>
              </w:rPr>
            </w:pPr>
          </w:p>
        </w:tc>
        <w:tc>
          <w:tcPr>
            <w:tcW w:w="350" w:type="dxa"/>
            <w:vAlign w:val="top"/>
          </w:tcPr>
          <w:p w14:paraId="19A08F28">
            <w:pPr>
              <w:rPr>
                <w:rFonts w:ascii="Arial"/>
                <w:color w:val="auto"/>
                <w:sz w:val="21"/>
                <w:highlight w:val="none"/>
              </w:rPr>
            </w:pPr>
          </w:p>
        </w:tc>
        <w:tc>
          <w:tcPr>
            <w:tcW w:w="348" w:type="dxa"/>
            <w:vAlign w:val="top"/>
          </w:tcPr>
          <w:p w14:paraId="4E85E05E">
            <w:pPr>
              <w:rPr>
                <w:rFonts w:ascii="Arial"/>
                <w:color w:val="auto"/>
                <w:sz w:val="21"/>
                <w:highlight w:val="none"/>
              </w:rPr>
            </w:pPr>
          </w:p>
        </w:tc>
        <w:tc>
          <w:tcPr>
            <w:tcW w:w="349" w:type="dxa"/>
            <w:vAlign w:val="top"/>
          </w:tcPr>
          <w:p w14:paraId="7FE78436">
            <w:pPr>
              <w:rPr>
                <w:rFonts w:ascii="Arial"/>
                <w:color w:val="auto"/>
                <w:sz w:val="21"/>
                <w:highlight w:val="none"/>
              </w:rPr>
            </w:pPr>
          </w:p>
        </w:tc>
        <w:tc>
          <w:tcPr>
            <w:tcW w:w="351" w:type="dxa"/>
            <w:vAlign w:val="top"/>
          </w:tcPr>
          <w:p w14:paraId="7EFBA9AD">
            <w:pPr>
              <w:rPr>
                <w:rFonts w:ascii="Arial"/>
                <w:color w:val="auto"/>
                <w:sz w:val="21"/>
                <w:highlight w:val="none"/>
              </w:rPr>
            </w:pPr>
          </w:p>
        </w:tc>
        <w:tc>
          <w:tcPr>
            <w:tcW w:w="349" w:type="dxa"/>
            <w:vAlign w:val="top"/>
          </w:tcPr>
          <w:p w14:paraId="2A8EF355">
            <w:pPr>
              <w:rPr>
                <w:rFonts w:ascii="Arial"/>
                <w:color w:val="auto"/>
                <w:sz w:val="21"/>
                <w:highlight w:val="none"/>
              </w:rPr>
            </w:pPr>
          </w:p>
        </w:tc>
        <w:tc>
          <w:tcPr>
            <w:tcW w:w="349" w:type="dxa"/>
            <w:vAlign w:val="top"/>
          </w:tcPr>
          <w:p w14:paraId="64B973F6">
            <w:pPr>
              <w:rPr>
                <w:rFonts w:ascii="Arial"/>
                <w:color w:val="auto"/>
                <w:sz w:val="21"/>
                <w:highlight w:val="none"/>
              </w:rPr>
            </w:pPr>
          </w:p>
        </w:tc>
        <w:tc>
          <w:tcPr>
            <w:tcW w:w="426" w:type="dxa"/>
            <w:vAlign w:val="top"/>
          </w:tcPr>
          <w:p w14:paraId="6601436C">
            <w:pPr>
              <w:rPr>
                <w:rFonts w:ascii="Arial"/>
                <w:color w:val="auto"/>
                <w:sz w:val="21"/>
                <w:highlight w:val="none"/>
              </w:rPr>
            </w:pPr>
          </w:p>
        </w:tc>
        <w:tc>
          <w:tcPr>
            <w:tcW w:w="426" w:type="dxa"/>
            <w:vAlign w:val="top"/>
          </w:tcPr>
          <w:p w14:paraId="002A2E75">
            <w:pPr>
              <w:rPr>
                <w:rFonts w:ascii="Arial"/>
                <w:color w:val="auto"/>
                <w:sz w:val="21"/>
                <w:highlight w:val="none"/>
              </w:rPr>
            </w:pPr>
          </w:p>
        </w:tc>
        <w:tc>
          <w:tcPr>
            <w:tcW w:w="426" w:type="dxa"/>
            <w:vAlign w:val="top"/>
          </w:tcPr>
          <w:p w14:paraId="1D36B3A6">
            <w:pPr>
              <w:rPr>
                <w:rFonts w:ascii="Arial"/>
                <w:color w:val="auto"/>
                <w:sz w:val="21"/>
                <w:highlight w:val="none"/>
              </w:rPr>
            </w:pPr>
          </w:p>
        </w:tc>
        <w:tc>
          <w:tcPr>
            <w:tcW w:w="429" w:type="dxa"/>
            <w:vAlign w:val="top"/>
          </w:tcPr>
          <w:p w14:paraId="65B212F5">
            <w:pPr>
              <w:rPr>
                <w:rFonts w:ascii="Arial"/>
                <w:color w:val="auto"/>
                <w:sz w:val="21"/>
                <w:highlight w:val="none"/>
              </w:rPr>
            </w:pPr>
          </w:p>
        </w:tc>
        <w:tc>
          <w:tcPr>
            <w:tcW w:w="526" w:type="dxa"/>
            <w:vAlign w:val="top"/>
          </w:tcPr>
          <w:p w14:paraId="41998900">
            <w:pPr>
              <w:rPr>
                <w:rFonts w:ascii="Arial"/>
                <w:color w:val="auto"/>
                <w:sz w:val="21"/>
                <w:highlight w:val="none"/>
              </w:rPr>
            </w:pPr>
          </w:p>
        </w:tc>
        <w:tc>
          <w:tcPr>
            <w:tcW w:w="735" w:type="dxa"/>
            <w:vAlign w:val="top"/>
          </w:tcPr>
          <w:p w14:paraId="10E01D96">
            <w:pPr>
              <w:rPr>
                <w:rFonts w:ascii="Arial"/>
                <w:color w:val="auto"/>
                <w:sz w:val="21"/>
                <w:highlight w:val="none"/>
              </w:rPr>
            </w:pPr>
          </w:p>
        </w:tc>
      </w:tr>
      <w:tr w14:paraId="2B2248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trPr>
        <w:tc>
          <w:tcPr>
            <w:tcW w:w="2891" w:type="dxa"/>
            <w:gridSpan w:val="3"/>
            <w:vAlign w:val="top"/>
          </w:tcPr>
          <w:p w14:paraId="155E30EC">
            <w:pPr>
              <w:pStyle w:val="18"/>
              <w:spacing w:before="95" w:line="228" w:lineRule="auto"/>
              <w:ind w:left="716"/>
              <w:rPr>
                <w:color w:val="auto"/>
                <w:highlight w:val="none"/>
              </w:rPr>
            </w:pPr>
            <w:r>
              <w:rPr>
                <w:color w:val="auto"/>
                <w:spacing w:val="8"/>
                <w:highlight w:val="none"/>
              </w:rPr>
              <w:t>每月应在工地的</w:t>
            </w:r>
          </w:p>
          <w:p w14:paraId="24443FED">
            <w:pPr>
              <w:pStyle w:val="18"/>
              <w:spacing w:before="24" w:line="228" w:lineRule="auto"/>
              <w:ind w:left="403"/>
              <w:rPr>
                <w:color w:val="auto"/>
                <w:highlight w:val="none"/>
              </w:rPr>
            </w:pPr>
            <w:r>
              <w:rPr>
                <w:color w:val="auto"/>
                <w:spacing w:val="7"/>
                <w:highlight w:val="none"/>
              </w:rPr>
              <w:t>监理人员合计（人数）</w:t>
            </w:r>
          </w:p>
        </w:tc>
        <w:tc>
          <w:tcPr>
            <w:tcW w:w="635" w:type="dxa"/>
            <w:vAlign w:val="top"/>
          </w:tcPr>
          <w:p w14:paraId="4B19CD20">
            <w:pPr>
              <w:pStyle w:val="18"/>
              <w:spacing w:before="36" w:line="324" w:lineRule="exact"/>
              <w:ind w:left="126"/>
              <w:rPr>
                <w:color w:val="auto"/>
                <w:highlight w:val="none"/>
              </w:rPr>
            </w:pPr>
            <w:r>
              <w:rPr>
                <w:color w:val="auto"/>
                <w:spacing w:val="-2"/>
                <w:position w:val="2"/>
                <w:highlight w:val="none"/>
              </w:rPr>
              <w:t>……</w:t>
            </w:r>
          </w:p>
        </w:tc>
        <w:tc>
          <w:tcPr>
            <w:tcW w:w="348" w:type="dxa"/>
            <w:vAlign w:val="top"/>
          </w:tcPr>
          <w:p w14:paraId="78DF6F54">
            <w:pPr>
              <w:rPr>
                <w:rFonts w:ascii="Arial"/>
                <w:color w:val="auto"/>
                <w:sz w:val="21"/>
                <w:highlight w:val="none"/>
              </w:rPr>
            </w:pPr>
          </w:p>
        </w:tc>
        <w:tc>
          <w:tcPr>
            <w:tcW w:w="348" w:type="dxa"/>
            <w:vAlign w:val="top"/>
          </w:tcPr>
          <w:p w14:paraId="6B7C1876">
            <w:pPr>
              <w:rPr>
                <w:rFonts w:ascii="Arial"/>
                <w:color w:val="auto"/>
                <w:sz w:val="21"/>
                <w:highlight w:val="none"/>
              </w:rPr>
            </w:pPr>
          </w:p>
        </w:tc>
        <w:tc>
          <w:tcPr>
            <w:tcW w:w="350" w:type="dxa"/>
            <w:vAlign w:val="top"/>
          </w:tcPr>
          <w:p w14:paraId="1BD5DD9C">
            <w:pPr>
              <w:rPr>
                <w:rFonts w:ascii="Arial"/>
                <w:color w:val="auto"/>
                <w:sz w:val="21"/>
                <w:highlight w:val="none"/>
              </w:rPr>
            </w:pPr>
          </w:p>
        </w:tc>
        <w:tc>
          <w:tcPr>
            <w:tcW w:w="348" w:type="dxa"/>
            <w:vAlign w:val="top"/>
          </w:tcPr>
          <w:p w14:paraId="329C4C9F">
            <w:pPr>
              <w:rPr>
                <w:rFonts w:ascii="Arial"/>
                <w:color w:val="auto"/>
                <w:sz w:val="21"/>
                <w:highlight w:val="none"/>
              </w:rPr>
            </w:pPr>
          </w:p>
        </w:tc>
        <w:tc>
          <w:tcPr>
            <w:tcW w:w="349" w:type="dxa"/>
            <w:vAlign w:val="top"/>
          </w:tcPr>
          <w:p w14:paraId="398FB42D">
            <w:pPr>
              <w:rPr>
                <w:rFonts w:ascii="Arial"/>
                <w:color w:val="auto"/>
                <w:sz w:val="21"/>
                <w:highlight w:val="none"/>
              </w:rPr>
            </w:pPr>
          </w:p>
        </w:tc>
        <w:tc>
          <w:tcPr>
            <w:tcW w:w="351" w:type="dxa"/>
            <w:vAlign w:val="top"/>
          </w:tcPr>
          <w:p w14:paraId="0833D254">
            <w:pPr>
              <w:rPr>
                <w:rFonts w:ascii="Arial"/>
                <w:color w:val="auto"/>
                <w:sz w:val="21"/>
                <w:highlight w:val="none"/>
              </w:rPr>
            </w:pPr>
          </w:p>
        </w:tc>
        <w:tc>
          <w:tcPr>
            <w:tcW w:w="349" w:type="dxa"/>
            <w:vAlign w:val="top"/>
          </w:tcPr>
          <w:p w14:paraId="4D015E03">
            <w:pPr>
              <w:rPr>
                <w:rFonts w:ascii="Arial"/>
                <w:color w:val="auto"/>
                <w:sz w:val="21"/>
                <w:highlight w:val="none"/>
              </w:rPr>
            </w:pPr>
          </w:p>
        </w:tc>
        <w:tc>
          <w:tcPr>
            <w:tcW w:w="349" w:type="dxa"/>
            <w:vAlign w:val="top"/>
          </w:tcPr>
          <w:p w14:paraId="5242BDCE">
            <w:pPr>
              <w:rPr>
                <w:rFonts w:ascii="Arial"/>
                <w:color w:val="auto"/>
                <w:sz w:val="21"/>
                <w:highlight w:val="none"/>
              </w:rPr>
            </w:pPr>
          </w:p>
        </w:tc>
        <w:tc>
          <w:tcPr>
            <w:tcW w:w="426" w:type="dxa"/>
            <w:vAlign w:val="top"/>
          </w:tcPr>
          <w:p w14:paraId="31C1374C">
            <w:pPr>
              <w:rPr>
                <w:rFonts w:ascii="Arial"/>
                <w:color w:val="auto"/>
                <w:sz w:val="21"/>
                <w:highlight w:val="none"/>
              </w:rPr>
            </w:pPr>
          </w:p>
        </w:tc>
        <w:tc>
          <w:tcPr>
            <w:tcW w:w="426" w:type="dxa"/>
            <w:vAlign w:val="top"/>
          </w:tcPr>
          <w:p w14:paraId="776B0DE3">
            <w:pPr>
              <w:rPr>
                <w:rFonts w:ascii="Arial"/>
                <w:color w:val="auto"/>
                <w:sz w:val="21"/>
                <w:highlight w:val="none"/>
              </w:rPr>
            </w:pPr>
          </w:p>
        </w:tc>
        <w:tc>
          <w:tcPr>
            <w:tcW w:w="426" w:type="dxa"/>
            <w:vAlign w:val="top"/>
          </w:tcPr>
          <w:p w14:paraId="5FFE34F7">
            <w:pPr>
              <w:rPr>
                <w:rFonts w:ascii="Arial"/>
                <w:color w:val="auto"/>
                <w:sz w:val="21"/>
                <w:highlight w:val="none"/>
              </w:rPr>
            </w:pPr>
          </w:p>
        </w:tc>
        <w:tc>
          <w:tcPr>
            <w:tcW w:w="429" w:type="dxa"/>
            <w:vAlign w:val="top"/>
          </w:tcPr>
          <w:p w14:paraId="4329FA58">
            <w:pPr>
              <w:rPr>
                <w:rFonts w:ascii="Arial"/>
                <w:color w:val="auto"/>
                <w:sz w:val="21"/>
                <w:highlight w:val="none"/>
              </w:rPr>
            </w:pPr>
          </w:p>
        </w:tc>
        <w:tc>
          <w:tcPr>
            <w:tcW w:w="526" w:type="dxa"/>
            <w:vAlign w:val="top"/>
          </w:tcPr>
          <w:p w14:paraId="00177B02">
            <w:pPr>
              <w:rPr>
                <w:rFonts w:ascii="Arial"/>
                <w:color w:val="auto"/>
                <w:sz w:val="21"/>
                <w:highlight w:val="none"/>
              </w:rPr>
            </w:pPr>
          </w:p>
        </w:tc>
        <w:tc>
          <w:tcPr>
            <w:tcW w:w="735" w:type="dxa"/>
            <w:vAlign w:val="top"/>
          </w:tcPr>
          <w:p w14:paraId="135AD29D">
            <w:pPr>
              <w:rPr>
                <w:rFonts w:ascii="Arial"/>
                <w:color w:val="auto"/>
                <w:sz w:val="21"/>
                <w:highlight w:val="none"/>
              </w:rPr>
            </w:pPr>
          </w:p>
        </w:tc>
      </w:tr>
    </w:tbl>
    <w:p w14:paraId="37E5867F">
      <w:pPr>
        <w:spacing w:before="304" w:line="378" w:lineRule="auto"/>
        <w:ind w:left="116"/>
        <w:rPr>
          <w:rFonts w:ascii="宋体" w:hAnsi="宋体" w:eastAsia="宋体" w:cs="宋体"/>
          <w:color w:val="auto"/>
          <w:sz w:val="20"/>
          <w:szCs w:val="20"/>
          <w:highlight w:val="none"/>
        </w:rPr>
      </w:pPr>
      <w:r>
        <w:rPr>
          <w:rFonts w:ascii="宋体" w:hAnsi="宋体" w:eastAsia="宋体" w:cs="宋体"/>
          <w:color w:val="auto"/>
          <w:spacing w:val="8"/>
          <w:sz w:val="20"/>
          <w:szCs w:val="20"/>
          <w:highlight w:val="none"/>
        </w:rPr>
        <w:t>注:按照拟投入本工程现场监理人员的计划在岗安排据实填报。在岗时间为:进场时间为当月第一日；</w:t>
      </w:r>
      <w:r>
        <w:rPr>
          <w:rFonts w:ascii="宋体" w:hAnsi="宋体" w:eastAsia="宋体" w:cs="宋体"/>
          <w:color w:val="auto"/>
          <w:spacing w:val="7"/>
          <w:sz w:val="20"/>
          <w:szCs w:val="20"/>
          <w:highlight w:val="none"/>
        </w:rPr>
        <w:t>在岗表示为“-</w:t>
      </w:r>
      <w:r>
        <w:rPr>
          <w:rFonts w:ascii="宋体" w:hAnsi="宋体" w:eastAsia="宋体" w:cs="宋体"/>
          <w:color w:val="auto"/>
          <w:spacing w:val="-66"/>
          <w:sz w:val="20"/>
          <w:szCs w:val="20"/>
          <w:highlight w:val="none"/>
        </w:rPr>
        <w:t xml:space="preserve"> </w:t>
      </w:r>
      <w:r>
        <w:rPr>
          <w:rFonts w:ascii="宋体" w:hAnsi="宋体" w:eastAsia="宋体" w:cs="宋体"/>
          <w:color w:val="auto"/>
          <w:spacing w:val="7"/>
          <w:sz w:val="20"/>
          <w:szCs w:val="20"/>
          <w:highlight w:val="none"/>
        </w:rPr>
        <w:t>”。</w:t>
      </w:r>
    </w:p>
    <w:p w14:paraId="6660F934">
      <w:pPr>
        <w:spacing w:line="378" w:lineRule="auto"/>
        <w:rPr>
          <w:rFonts w:ascii="宋体" w:hAnsi="宋体" w:eastAsia="宋体" w:cs="宋体"/>
          <w:color w:val="auto"/>
          <w:sz w:val="20"/>
          <w:szCs w:val="20"/>
          <w:highlight w:val="none"/>
        </w:rPr>
        <w:sectPr>
          <w:footerReference r:id="rId116" w:type="default"/>
          <w:pgSz w:w="11906" w:h="16839"/>
          <w:pgMar w:top="1402" w:right="1303" w:bottom="1297" w:left="1307" w:header="0" w:footer="1067" w:gutter="0"/>
          <w:pgNumType w:fmt="decimal"/>
          <w:cols w:space="720" w:num="1"/>
        </w:sectPr>
      </w:pPr>
    </w:p>
    <w:p w14:paraId="30EFBFE2">
      <w:pPr>
        <w:spacing w:before="56" w:line="219" w:lineRule="auto"/>
        <w:ind w:left="2679"/>
        <w:rPr>
          <w:rFonts w:ascii="宋体" w:hAnsi="宋体" w:eastAsia="宋体" w:cs="宋体"/>
          <w:color w:val="auto"/>
          <w:sz w:val="28"/>
          <w:szCs w:val="28"/>
          <w:highlight w:val="none"/>
        </w:rPr>
      </w:pPr>
      <w:r>
        <w:rPr>
          <w:rFonts w:ascii="宋体" w:hAnsi="宋体" w:eastAsia="宋体" w:cs="宋体"/>
          <w:b/>
          <w:bCs/>
          <w:color w:val="auto"/>
          <w:sz w:val="28"/>
          <w:szCs w:val="28"/>
          <w:highlight w:val="none"/>
        </w:rPr>
        <w:t>附件2</w:t>
      </w:r>
      <w:r>
        <w:rPr>
          <w:rFonts w:ascii="宋体" w:hAnsi="宋体" w:eastAsia="宋体" w:cs="宋体"/>
          <w:color w:val="auto"/>
          <w:sz w:val="28"/>
          <w:szCs w:val="28"/>
          <w:highlight w:val="none"/>
        </w:rPr>
        <w:t xml:space="preserve">   </w:t>
      </w:r>
      <w:r>
        <w:rPr>
          <w:rFonts w:ascii="宋体" w:hAnsi="宋体" w:eastAsia="宋体" w:cs="宋体"/>
          <w:b/>
          <w:bCs/>
          <w:color w:val="auto"/>
          <w:sz w:val="28"/>
          <w:szCs w:val="28"/>
          <w:highlight w:val="none"/>
        </w:rPr>
        <w:t>监理设施进出场时间表</w:t>
      </w:r>
    </w:p>
    <w:p w14:paraId="2659B267">
      <w:pPr>
        <w:spacing w:before="147"/>
        <w:rPr>
          <w:color w:val="auto"/>
          <w:highlight w:val="none"/>
        </w:rPr>
      </w:pPr>
    </w:p>
    <w:tbl>
      <w:tblPr>
        <w:tblStyle w:val="17"/>
        <w:tblW w:w="929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16"/>
        <w:gridCol w:w="1396"/>
        <w:gridCol w:w="1381"/>
        <w:gridCol w:w="1394"/>
        <w:gridCol w:w="2061"/>
        <w:gridCol w:w="1042"/>
      </w:tblGrid>
      <w:tr w14:paraId="021E9D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2016" w:type="dxa"/>
            <w:vMerge w:val="restart"/>
            <w:tcBorders>
              <w:bottom w:val="nil"/>
            </w:tcBorders>
            <w:vAlign w:val="top"/>
          </w:tcPr>
          <w:p w14:paraId="1AE628FD">
            <w:pPr>
              <w:spacing w:line="303" w:lineRule="auto"/>
              <w:rPr>
                <w:rFonts w:ascii="Arial"/>
                <w:color w:val="auto"/>
                <w:sz w:val="21"/>
                <w:highlight w:val="none"/>
              </w:rPr>
            </w:pPr>
          </w:p>
          <w:p w14:paraId="7CCC4477">
            <w:pPr>
              <w:pStyle w:val="18"/>
              <w:spacing w:before="65" w:line="229" w:lineRule="auto"/>
              <w:ind w:left="813"/>
              <w:rPr>
                <w:color w:val="auto"/>
                <w:highlight w:val="none"/>
              </w:rPr>
            </w:pPr>
            <w:r>
              <w:rPr>
                <w:color w:val="auto"/>
                <w:spacing w:val="-1"/>
                <w:highlight w:val="none"/>
              </w:rPr>
              <w:t>时段</w:t>
            </w:r>
          </w:p>
        </w:tc>
        <w:tc>
          <w:tcPr>
            <w:tcW w:w="7274" w:type="dxa"/>
            <w:gridSpan w:val="5"/>
            <w:vAlign w:val="top"/>
          </w:tcPr>
          <w:p w14:paraId="3A7B2286">
            <w:pPr>
              <w:pStyle w:val="18"/>
              <w:spacing w:before="163" w:line="217" w:lineRule="auto"/>
              <w:ind w:left="3221"/>
              <w:rPr>
                <w:color w:val="auto"/>
                <w:highlight w:val="none"/>
              </w:rPr>
            </w:pPr>
            <w:r>
              <w:rPr>
                <w:color w:val="auto"/>
                <w:spacing w:val="7"/>
                <w:highlight w:val="none"/>
              </w:rPr>
              <w:t>监理设施</w:t>
            </w:r>
          </w:p>
        </w:tc>
      </w:tr>
      <w:tr w14:paraId="1E39A2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2016" w:type="dxa"/>
            <w:vMerge w:val="continue"/>
            <w:tcBorders>
              <w:top w:val="nil"/>
            </w:tcBorders>
            <w:vAlign w:val="top"/>
          </w:tcPr>
          <w:p w14:paraId="3938A80C">
            <w:pPr>
              <w:rPr>
                <w:rFonts w:ascii="Arial"/>
                <w:color w:val="auto"/>
                <w:sz w:val="21"/>
                <w:highlight w:val="none"/>
              </w:rPr>
            </w:pPr>
          </w:p>
        </w:tc>
        <w:tc>
          <w:tcPr>
            <w:tcW w:w="1396" w:type="dxa"/>
            <w:vAlign w:val="top"/>
          </w:tcPr>
          <w:p w14:paraId="7756F7C8">
            <w:pPr>
              <w:pStyle w:val="18"/>
              <w:spacing w:before="160" w:line="216" w:lineRule="auto"/>
              <w:ind w:left="287"/>
              <w:rPr>
                <w:color w:val="auto"/>
                <w:highlight w:val="none"/>
              </w:rPr>
            </w:pPr>
            <w:r>
              <w:rPr>
                <w:color w:val="auto"/>
                <w:spacing w:val="6"/>
                <w:highlight w:val="none"/>
              </w:rPr>
              <w:t>交通设施</w:t>
            </w:r>
          </w:p>
        </w:tc>
        <w:tc>
          <w:tcPr>
            <w:tcW w:w="1381" w:type="dxa"/>
            <w:vAlign w:val="top"/>
          </w:tcPr>
          <w:p w14:paraId="7B45B2F8">
            <w:pPr>
              <w:pStyle w:val="18"/>
              <w:spacing w:before="160" w:line="216" w:lineRule="auto"/>
              <w:ind w:left="280"/>
              <w:rPr>
                <w:color w:val="auto"/>
                <w:highlight w:val="none"/>
              </w:rPr>
            </w:pPr>
            <w:r>
              <w:rPr>
                <w:color w:val="auto"/>
                <w:spacing w:val="6"/>
                <w:highlight w:val="none"/>
              </w:rPr>
              <w:t>办公设施</w:t>
            </w:r>
          </w:p>
        </w:tc>
        <w:tc>
          <w:tcPr>
            <w:tcW w:w="1394" w:type="dxa"/>
            <w:vAlign w:val="top"/>
          </w:tcPr>
          <w:p w14:paraId="124BE70D">
            <w:pPr>
              <w:pStyle w:val="18"/>
              <w:spacing w:before="160" w:line="216" w:lineRule="auto"/>
              <w:ind w:left="284"/>
              <w:rPr>
                <w:color w:val="auto"/>
                <w:highlight w:val="none"/>
              </w:rPr>
            </w:pPr>
            <w:r>
              <w:rPr>
                <w:color w:val="auto"/>
                <w:spacing w:val="6"/>
                <w:highlight w:val="none"/>
              </w:rPr>
              <w:t>生活设施</w:t>
            </w:r>
          </w:p>
        </w:tc>
        <w:tc>
          <w:tcPr>
            <w:tcW w:w="2061" w:type="dxa"/>
            <w:vAlign w:val="top"/>
          </w:tcPr>
          <w:p w14:paraId="5BCB4B6B">
            <w:pPr>
              <w:pStyle w:val="18"/>
              <w:spacing w:before="160" w:line="216" w:lineRule="auto"/>
              <w:ind w:left="302"/>
              <w:rPr>
                <w:color w:val="auto"/>
                <w:highlight w:val="none"/>
              </w:rPr>
            </w:pPr>
            <w:r>
              <w:rPr>
                <w:color w:val="auto"/>
                <w:spacing w:val="8"/>
                <w:highlight w:val="none"/>
              </w:rPr>
              <w:t>试验、检测仪器</w:t>
            </w:r>
          </w:p>
        </w:tc>
        <w:tc>
          <w:tcPr>
            <w:tcW w:w="1042" w:type="dxa"/>
            <w:vAlign w:val="top"/>
          </w:tcPr>
          <w:p w14:paraId="003D2960">
            <w:pPr>
              <w:pStyle w:val="18"/>
              <w:spacing w:before="160" w:line="216" w:lineRule="auto"/>
              <w:ind w:left="318"/>
              <w:rPr>
                <w:color w:val="auto"/>
                <w:highlight w:val="none"/>
              </w:rPr>
            </w:pPr>
            <w:r>
              <w:rPr>
                <w:color w:val="auto"/>
                <w:spacing w:val="4"/>
                <w:highlight w:val="none"/>
              </w:rPr>
              <w:t>其他</w:t>
            </w:r>
          </w:p>
        </w:tc>
      </w:tr>
      <w:tr w14:paraId="0AC45A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2016" w:type="dxa"/>
            <w:vAlign w:val="top"/>
          </w:tcPr>
          <w:p w14:paraId="60140236">
            <w:pPr>
              <w:pStyle w:val="18"/>
              <w:spacing w:before="161" w:line="215" w:lineRule="auto"/>
              <w:ind w:left="490"/>
              <w:rPr>
                <w:color w:val="auto"/>
                <w:highlight w:val="none"/>
              </w:rPr>
            </w:pPr>
            <w:r>
              <w:rPr>
                <w:color w:val="auto"/>
                <w:spacing w:val="1"/>
                <w:highlight w:val="none"/>
              </w:rPr>
              <w:t>年</w:t>
            </w:r>
            <w:r>
              <w:rPr>
                <w:color w:val="auto"/>
                <w:spacing w:val="12"/>
                <w:highlight w:val="none"/>
              </w:rPr>
              <w:t xml:space="preserve">  </w:t>
            </w:r>
            <w:r>
              <w:rPr>
                <w:color w:val="auto"/>
                <w:spacing w:val="1"/>
                <w:highlight w:val="none"/>
              </w:rPr>
              <w:t>月至</w:t>
            </w:r>
            <w:r>
              <w:rPr>
                <w:color w:val="auto"/>
                <w:spacing w:val="12"/>
                <w:highlight w:val="none"/>
              </w:rPr>
              <w:t xml:space="preserve">  </w:t>
            </w:r>
            <w:r>
              <w:rPr>
                <w:color w:val="auto"/>
                <w:spacing w:val="1"/>
                <w:highlight w:val="none"/>
              </w:rPr>
              <w:t>月</w:t>
            </w:r>
          </w:p>
        </w:tc>
        <w:tc>
          <w:tcPr>
            <w:tcW w:w="1396" w:type="dxa"/>
            <w:vAlign w:val="top"/>
          </w:tcPr>
          <w:p w14:paraId="646F4834">
            <w:pPr>
              <w:rPr>
                <w:rFonts w:ascii="Arial"/>
                <w:color w:val="auto"/>
                <w:sz w:val="21"/>
                <w:highlight w:val="none"/>
              </w:rPr>
            </w:pPr>
          </w:p>
        </w:tc>
        <w:tc>
          <w:tcPr>
            <w:tcW w:w="1381" w:type="dxa"/>
            <w:vAlign w:val="top"/>
          </w:tcPr>
          <w:p w14:paraId="47D86A09">
            <w:pPr>
              <w:rPr>
                <w:rFonts w:ascii="Arial"/>
                <w:color w:val="auto"/>
                <w:sz w:val="21"/>
                <w:highlight w:val="none"/>
              </w:rPr>
            </w:pPr>
          </w:p>
        </w:tc>
        <w:tc>
          <w:tcPr>
            <w:tcW w:w="1394" w:type="dxa"/>
            <w:vAlign w:val="top"/>
          </w:tcPr>
          <w:p w14:paraId="353DAABF">
            <w:pPr>
              <w:rPr>
                <w:rFonts w:ascii="Arial"/>
                <w:color w:val="auto"/>
                <w:sz w:val="21"/>
                <w:highlight w:val="none"/>
              </w:rPr>
            </w:pPr>
          </w:p>
        </w:tc>
        <w:tc>
          <w:tcPr>
            <w:tcW w:w="2061" w:type="dxa"/>
            <w:vAlign w:val="top"/>
          </w:tcPr>
          <w:p w14:paraId="11DAAFC2">
            <w:pPr>
              <w:rPr>
                <w:rFonts w:ascii="Arial"/>
                <w:color w:val="auto"/>
                <w:sz w:val="21"/>
                <w:highlight w:val="none"/>
              </w:rPr>
            </w:pPr>
          </w:p>
        </w:tc>
        <w:tc>
          <w:tcPr>
            <w:tcW w:w="1042" w:type="dxa"/>
            <w:vAlign w:val="top"/>
          </w:tcPr>
          <w:p w14:paraId="12C8ACFE">
            <w:pPr>
              <w:rPr>
                <w:rFonts w:ascii="Arial"/>
                <w:color w:val="auto"/>
                <w:sz w:val="21"/>
                <w:highlight w:val="none"/>
              </w:rPr>
            </w:pPr>
          </w:p>
        </w:tc>
      </w:tr>
      <w:tr w14:paraId="15ADCD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2016" w:type="dxa"/>
            <w:vAlign w:val="top"/>
          </w:tcPr>
          <w:p w14:paraId="0B0D3E74">
            <w:pPr>
              <w:pStyle w:val="18"/>
              <w:spacing w:before="163" w:line="213" w:lineRule="auto"/>
              <w:ind w:left="490"/>
              <w:rPr>
                <w:color w:val="auto"/>
                <w:highlight w:val="none"/>
              </w:rPr>
            </w:pPr>
            <w:r>
              <w:rPr>
                <w:color w:val="auto"/>
                <w:spacing w:val="1"/>
                <w:highlight w:val="none"/>
              </w:rPr>
              <w:t>年</w:t>
            </w:r>
            <w:r>
              <w:rPr>
                <w:color w:val="auto"/>
                <w:spacing w:val="12"/>
                <w:highlight w:val="none"/>
              </w:rPr>
              <w:t xml:space="preserve">  </w:t>
            </w:r>
            <w:r>
              <w:rPr>
                <w:color w:val="auto"/>
                <w:spacing w:val="1"/>
                <w:highlight w:val="none"/>
              </w:rPr>
              <w:t>月至</w:t>
            </w:r>
            <w:r>
              <w:rPr>
                <w:color w:val="auto"/>
                <w:spacing w:val="12"/>
                <w:highlight w:val="none"/>
              </w:rPr>
              <w:t xml:space="preserve">  </w:t>
            </w:r>
            <w:r>
              <w:rPr>
                <w:color w:val="auto"/>
                <w:spacing w:val="1"/>
                <w:highlight w:val="none"/>
              </w:rPr>
              <w:t>月</w:t>
            </w:r>
          </w:p>
        </w:tc>
        <w:tc>
          <w:tcPr>
            <w:tcW w:w="1396" w:type="dxa"/>
            <w:vAlign w:val="top"/>
          </w:tcPr>
          <w:p w14:paraId="46CF9611">
            <w:pPr>
              <w:rPr>
                <w:rFonts w:ascii="Arial"/>
                <w:color w:val="auto"/>
                <w:sz w:val="21"/>
                <w:highlight w:val="none"/>
              </w:rPr>
            </w:pPr>
          </w:p>
        </w:tc>
        <w:tc>
          <w:tcPr>
            <w:tcW w:w="1381" w:type="dxa"/>
            <w:vAlign w:val="top"/>
          </w:tcPr>
          <w:p w14:paraId="38D802AD">
            <w:pPr>
              <w:rPr>
                <w:rFonts w:ascii="Arial"/>
                <w:color w:val="auto"/>
                <w:sz w:val="21"/>
                <w:highlight w:val="none"/>
              </w:rPr>
            </w:pPr>
          </w:p>
        </w:tc>
        <w:tc>
          <w:tcPr>
            <w:tcW w:w="1394" w:type="dxa"/>
            <w:vAlign w:val="top"/>
          </w:tcPr>
          <w:p w14:paraId="4808679C">
            <w:pPr>
              <w:rPr>
                <w:rFonts w:ascii="Arial"/>
                <w:color w:val="auto"/>
                <w:sz w:val="21"/>
                <w:highlight w:val="none"/>
              </w:rPr>
            </w:pPr>
          </w:p>
        </w:tc>
        <w:tc>
          <w:tcPr>
            <w:tcW w:w="2061" w:type="dxa"/>
            <w:vAlign w:val="top"/>
          </w:tcPr>
          <w:p w14:paraId="74C51967">
            <w:pPr>
              <w:rPr>
                <w:rFonts w:ascii="Arial"/>
                <w:color w:val="auto"/>
                <w:sz w:val="21"/>
                <w:highlight w:val="none"/>
              </w:rPr>
            </w:pPr>
          </w:p>
        </w:tc>
        <w:tc>
          <w:tcPr>
            <w:tcW w:w="1042" w:type="dxa"/>
            <w:vAlign w:val="top"/>
          </w:tcPr>
          <w:p w14:paraId="4A5C3092">
            <w:pPr>
              <w:rPr>
                <w:rFonts w:ascii="Arial"/>
                <w:color w:val="auto"/>
                <w:sz w:val="21"/>
                <w:highlight w:val="none"/>
              </w:rPr>
            </w:pPr>
          </w:p>
        </w:tc>
      </w:tr>
      <w:tr w14:paraId="7DA5DC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2016" w:type="dxa"/>
            <w:vAlign w:val="top"/>
          </w:tcPr>
          <w:p w14:paraId="6A51A088">
            <w:pPr>
              <w:pStyle w:val="18"/>
              <w:spacing w:before="164" w:line="212" w:lineRule="auto"/>
              <w:ind w:left="490"/>
              <w:rPr>
                <w:color w:val="auto"/>
                <w:highlight w:val="none"/>
              </w:rPr>
            </w:pPr>
            <w:r>
              <w:rPr>
                <w:color w:val="auto"/>
                <w:spacing w:val="1"/>
                <w:highlight w:val="none"/>
              </w:rPr>
              <w:t>年</w:t>
            </w:r>
            <w:r>
              <w:rPr>
                <w:color w:val="auto"/>
                <w:spacing w:val="12"/>
                <w:highlight w:val="none"/>
              </w:rPr>
              <w:t xml:space="preserve">  </w:t>
            </w:r>
            <w:r>
              <w:rPr>
                <w:color w:val="auto"/>
                <w:spacing w:val="1"/>
                <w:highlight w:val="none"/>
              </w:rPr>
              <w:t>月至</w:t>
            </w:r>
            <w:r>
              <w:rPr>
                <w:color w:val="auto"/>
                <w:spacing w:val="12"/>
                <w:highlight w:val="none"/>
              </w:rPr>
              <w:t xml:space="preserve">  </w:t>
            </w:r>
            <w:r>
              <w:rPr>
                <w:color w:val="auto"/>
                <w:spacing w:val="1"/>
                <w:highlight w:val="none"/>
              </w:rPr>
              <w:t>月</w:t>
            </w:r>
          </w:p>
        </w:tc>
        <w:tc>
          <w:tcPr>
            <w:tcW w:w="1396" w:type="dxa"/>
            <w:vAlign w:val="top"/>
          </w:tcPr>
          <w:p w14:paraId="48A6C0B1">
            <w:pPr>
              <w:rPr>
                <w:rFonts w:ascii="Arial"/>
                <w:color w:val="auto"/>
                <w:sz w:val="21"/>
                <w:highlight w:val="none"/>
              </w:rPr>
            </w:pPr>
          </w:p>
        </w:tc>
        <w:tc>
          <w:tcPr>
            <w:tcW w:w="1381" w:type="dxa"/>
            <w:vAlign w:val="top"/>
          </w:tcPr>
          <w:p w14:paraId="1FBF7AAA">
            <w:pPr>
              <w:rPr>
                <w:rFonts w:ascii="Arial"/>
                <w:color w:val="auto"/>
                <w:sz w:val="21"/>
                <w:highlight w:val="none"/>
              </w:rPr>
            </w:pPr>
          </w:p>
        </w:tc>
        <w:tc>
          <w:tcPr>
            <w:tcW w:w="1394" w:type="dxa"/>
            <w:vAlign w:val="top"/>
          </w:tcPr>
          <w:p w14:paraId="6DD3A25B">
            <w:pPr>
              <w:rPr>
                <w:rFonts w:ascii="Arial"/>
                <w:color w:val="auto"/>
                <w:sz w:val="21"/>
                <w:highlight w:val="none"/>
              </w:rPr>
            </w:pPr>
          </w:p>
        </w:tc>
        <w:tc>
          <w:tcPr>
            <w:tcW w:w="2061" w:type="dxa"/>
            <w:vAlign w:val="top"/>
          </w:tcPr>
          <w:p w14:paraId="0992D6DF">
            <w:pPr>
              <w:rPr>
                <w:rFonts w:ascii="Arial"/>
                <w:color w:val="auto"/>
                <w:sz w:val="21"/>
                <w:highlight w:val="none"/>
              </w:rPr>
            </w:pPr>
          </w:p>
        </w:tc>
        <w:tc>
          <w:tcPr>
            <w:tcW w:w="1042" w:type="dxa"/>
            <w:vAlign w:val="top"/>
          </w:tcPr>
          <w:p w14:paraId="416D67BB">
            <w:pPr>
              <w:rPr>
                <w:rFonts w:ascii="Arial"/>
                <w:color w:val="auto"/>
                <w:sz w:val="21"/>
                <w:highlight w:val="none"/>
              </w:rPr>
            </w:pPr>
          </w:p>
        </w:tc>
      </w:tr>
      <w:tr w14:paraId="55E90A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2016" w:type="dxa"/>
            <w:vAlign w:val="top"/>
          </w:tcPr>
          <w:p w14:paraId="247136B1">
            <w:pPr>
              <w:pStyle w:val="18"/>
              <w:spacing w:before="163" w:line="214" w:lineRule="auto"/>
              <w:ind w:left="490"/>
              <w:rPr>
                <w:color w:val="auto"/>
                <w:highlight w:val="none"/>
              </w:rPr>
            </w:pPr>
            <w:r>
              <w:rPr>
                <w:color w:val="auto"/>
                <w:spacing w:val="1"/>
                <w:highlight w:val="none"/>
              </w:rPr>
              <w:t>年</w:t>
            </w:r>
            <w:r>
              <w:rPr>
                <w:color w:val="auto"/>
                <w:spacing w:val="12"/>
                <w:highlight w:val="none"/>
              </w:rPr>
              <w:t xml:space="preserve">  </w:t>
            </w:r>
            <w:r>
              <w:rPr>
                <w:color w:val="auto"/>
                <w:spacing w:val="1"/>
                <w:highlight w:val="none"/>
              </w:rPr>
              <w:t>月至</w:t>
            </w:r>
            <w:r>
              <w:rPr>
                <w:color w:val="auto"/>
                <w:spacing w:val="12"/>
                <w:highlight w:val="none"/>
              </w:rPr>
              <w:t xml:space="preserve">  </w:t>
            </w:r>
            <w:r>
              <w:rPr>
                <w:color w:val="auto"/>
                <w:spacing w:val="1"/>
                <w:highlight w:val="none"/>
              </w:rPr>
              <w:t>月</w:t>
            </w:r>
          </w:p>
        </w:tc>
        <w:tc>
          <w:tcPr>
            <w:tcW w:w="1396" w:type="dxa"/>
            <w:vAlign w:val="top"/>
          </w:tcPr>
          <w:p w14:paraId="2D27C604">
            <w:pPr>
              <w:rPr>
                <w:rFonts w:ascii="Arial"/>
                <w:color w:val="auto"/>
                <w:sz w:val="21"/>
                <w:highlight w:val="none"/>
              </w:rPr>
            </w:pPr>
          </w:p>
        </w:tc>
        <w:tc>
          <w:tcPr>
            <w:tcW w:w="1381" w:type="dxa"/>
            <w:vAlign w:val="top"/>
          </w:tcPr>
          <w:p w14:paraId="2EDA42C7">
            <w:pPr>
              <w:rPr>
                <w:rFonts w:ascii="Arial"/>
                <w:color w:val="auto"/>
                <w:sz w:val="21"/>
                <w:highlight w:val="none"/>
              </w:rPr>
            </w:pPr>
          </w:p>
        </w:tc>
        <w:tc>
          <w:tcPr>
            <w:tcW w:w="1394" w:type="dxa"/>
            <w:vAlign w:val="top"/>
          </w:tcPr>
          <w:p w14:paraId="109A7815">
            <w:pPr>
              <w:rPr>
                <w:rFonts w:ascii="Arial"/>
                <w:color w:val="auto"/>
                <w:sz w:val="21"/>
                <w:highlight w:val="none"/>
              </w:rPr>
            </w:pPr>
          </w:p>
        </w:tc>
        <w:tc>
          <w:tcPr>
            <w:tcW w:w="2061" w:type="dxa"/>
            <w:vAlign w:val="top"/>
          </w:tcPr>
          <w:p w14:paraId="7977F979">
            <w:pPr>
              <w:rPr>
                <w:rFonts w:ascii="Arial"/>
                <w:color w:val="auto"/>
                <w:sz w:val="21"/>
                <w:highlight w:val="none"/>
              </w:rPr>
            </w:pPr>
          </w:p>
        </w:tc>
        <w:tc>
          <w:tcPr>
            <w:tcW w:w="1042" w:type="dxa"/>
            <w:vAlign w:val="top"/>
          </w:tcPr>
          <w:p w14:paraId="28DE664D">
            <w:pPr>
              <w:rPr>
                <w:rFonts w:ascii="Arial"/>
                <w:color w:val="auto"/>
                <w:sz w:val="21"/>
                <w:highlight w:val="none"/>
              </w:rPr>
            </w:pPr>
          </w:p>
        </w:tc>
      </w:tr>
      <w:tr w14:paraId="6BF881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2016" w:type="dxa"/>
            <w:vAlign w:val="top"/>
          </w:tcPr>
          <w:p w14:paraId="3FCB405F">
            <w:pPr>
              <w:pStyle w:val="18"/>
              <w:spacing w:before="163" w:line="214" w:lineRule="auto"/>
              <w:ind w:left="490"/>
              <w:rPr>
                <w:color w:val="auto"/>
                <w:highlight w:val="none"/>
              </w:rPr>
            </w:pPr>
            <w:r>
              <w:rPr>
                <w:color w:val="auto"/>
                <w:spacing w:val="1"/>
                <w:highlight w:val="none"/>
              </w:rPr>
              <w:t>年</w:t>
            </w:r>
            <w:r>
              <w:rPr>
                <w:color w:val="auto"/>
                <w:spacing w:val="12"/>
                <w:highlight w:val="none"/>
              </w:rPr>
              <w:t xml:space="preserve">  </w:t>
            </w:r>
            <w:r>
              <w:rPr>
                <w:color w:val="auto"/>
                <w:spacing w:val="1"/>
                <w:highlight w:val="none"/>
              </w:rPr>
              <w:t>月至</w:t>
            </w:r>
            <w:r>
              <w:rPr>
                <w:color w:val="auto"/>
                <w:spacing w:val="12"/>
                <w:highlight w:val="none"/>
              </w:rPr>
              <w:t xml:space="preserve">  </w:t>
            </w:r>
            <w:r>
              <w:rPr>
                <w:color w:val="auto"/>
                <w:spacing w:val="1"/>
                <w:highlight w:val="none"/>
              </w:rPr>
              <w:t>月</w:t>
            </w:r>
          </w:p>
        </w:tc>
        <w:tc>
          <w:tcPr>
            <w:tcW w:w="1396" w:type="dxa"/>
            <w:vAlign w:val="top"/>
          </w:tcPr>
          <w:p w14:paraId="30D9DCDC">
            <w:pPr>
              <w:rPr>
                <w:rFonts w:ascii="Arial"/>
                <w:color w:val="auto"/>
                <w:sz w:val="21"/>
                <w:highlight w:val="none"/>
              </w:rPr>
            </w:pPr>
          </w:p>
        </w:tc>
        <w:tc>
          <w:tcPr>
            <w:tcW w:w="1381" w:type="dxa"/>
            <w:vAlign w:val="top"/>
          </w:tcPr>
          <w:p w14:paraId="033D312E">
            <w:pPr>
              <w:rPr>
                <w:rFonts w:ascii="Arial"/>
                <w:color w:val="auto"/>
                <w:sz w:val="21"/>
                <w:highlight w:val="none"/>
              </w:rPr>
            </w:pPr>
          </w:p>
        </w:tc>
        <w:tc>
          <w:tcPr>
            <w:tcW w:w="1394" w:type="dxa"/>
            <w:vAlign w:val="top"/>
          </w:tcPr>
          <w:p w14:paraId="5D353D34">
            <w:pPr>
              <w:rPr>
                <w:rFonts w:ascii="Arial"/>
                <w:color w:val="auto"/>
                <w:sz w:val="21"/>
                <w:highlight w:val="none"/>
              </w:rPr>
            </w:pPr>
          </w:p>
        </w:tc>
        <w:tc>
          <w:tcPr>
            <w:tcW w:w="2061" w:type="dxa"/>
            <w:vAlign w:val="top"/>
          </w:tcPr>
          <w:p w14:paraId="72345069">
            <w:pPr>
              <w:rPr>
                <w:rFonts w:ascii="Arial"/>
                <w:color w:val="auto"/>
                <w:sz w:val="21"/>
                <w:highlight w:val="none"/>
              </w:rPr>
            </w:pPr>
          </w:p>
        </w:tc>
        <w:tc>
          <w:tcPr>
            <w:tcW w:w="1042" w:type="dxa"/>
            <w:vAlign w:val="top"/>
          </w:tcPr>
          <w:p w14:paraId="5574C856">
            <w:pPr>
              <w:rPr>
                <w:rFonts w:ascii="Arial"/>
                <w:color w:val="auto"/>
                <w:sz w:val="21"/>
                <w:highlight w:val="none"/>
              </w:rPr>
            </w:pPr>
          </w:p>
        </w:tc>
      </w:tr>
      <w:tr w14:paraId="7B8D3C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2016" w:type="dxa"/>
            <w:vAlign w:val="top"/>
          </w:tcPr>
          <w:p w14:paraId="154EDE19">
            <w:pPr>
              <w:pStyle w:val="18"/>
              <w:spacing w:before="164" w:line="213" w:lineRule="auto"/>
              <w:ind w:left="490"/>
              <w:rPr>
                <w:color w:val="auto"/>
                <w:highlight w:val="none"/>
              </w:rPr>
            </w:pPr>
            <w:r>
              <w:rPr>
                <w:color w:val="auto"/>
                <w:spacing w:val="1"/>
                <w:highlight w:val="none"/>
              </w:rPr>
              <w:t>年</w:t>
            </w:r>
            <w:r>
              <w:rPr>
                <w:color w:val="auto"/>
                <w:spacing w:val="12"/>
                <w:highlight w:val="none"/>
              </w:rPr>
              <w:t xml:space="preserve">  </w:t>
            </w:r>
            <w:r>
              <w:rPr>
                <w:color w:val="auto"/>
                <w:spacing w:val="1"/>
                <w:highlight w:val="none"/>
              </w:rPr>
              <w:t>月至</w:t>
            </w:r>
            <w:r>
              <w:rPr>
                <w:color w:val="auto"/>
                <w:spacing w:val="12"/>
                <w:highlight w:val="none"/>
              </w:rPr>
              <w:t xml:space="preserve">  </w:t>
            </w:r>
            <w:r>
              <w:rPr>
                <w:color w:val="auto"/>
                <w:spacing w:val="1"/>
                <w:highlight w:val="none"/>
              </w:rPr>
              <w:t>月</w:t>
            </w:r>
          </w:p>
        </w:tc>
        <w:tc>
          <w:tcPr>
            <w:tcW w:w="1396" w:type="dxa"/>
            <w:vAlign w:val="top"/>
          </w:tcPr>
          <w:p w14:paraId="3BEB30D2">
            <w:pPr>
              <w:rPr>
                <w:rFonts w:ascii="Arial"/>
                <w:color w:val="auto"/>
                <w:sz w:val="21"/>
                <w:highlight w:val="none"/>
              </w:rPr>
            </w:pPr>
          </w:p>
        </w:tc>
        <w:tc>
          <w:tcPr>
            <w:tcW w:w="1381" w:type="dxa"/>
            <w:vAlign w:val="top"/>
          </w:tcPr>
          <w:p w14:paraId="52514485">
            <w:pPr>
              <w:rPr>
                <w:rFonts w:ascii="Arial"/>
                <w:color w:val="auto"/>
                <w:sz w:val="21"/>
                <w:highlight w:val="none"/>
              </w:rPr>
            </w:pPr>
          </w:p>
        </w:tc>
        <w:tc>
          <w:tcPr>
            <w:tcW w:w="1394" w:type="dxa"/>
            <w:vAlign w:val="top"/>
          </w:tcPr>
          <w:p w14:paraId="10FCE069">
            <w:pPr>
              <w:rPr>
                <w:rFonts w:ascii="Arial"/>
                <w:color w:val="auto"/>
                <w:sz w:val="21"/>
                <w:highlight w:val="none"/>
              </w:rPr>
            </w:pPr>
          </w:p>
        </w:tc>
        <w:tc>
          <w:tcPr>
            <w:tcW w:w="2061" w:type="dxa"/>
            <w:vAlign w:val="top"/>
          </w:tcPr>
          <w:p w14:paraId="38D37FF2">
            <w:pPr>
              <w:rPr>
                <w:rFonts w:ascii="Arial"/>
                <w:color w:val="auto"/>
                <w:sz w:val="21"/>
                <w:highlight w:val="none"/>
              </w:rPr>
            </w:pPr>
          </w:p>
        </w:tc>
        <w:tc>
          <w:tcPr>
            <w:tcW w:w="1042" w:type="dxa"/>
            <w:vAlign w:val="top"/>
          </w:tcPr>
          <w:p w14:paraId="4B437D2F">
            <w:pPr>
              <w:rPr>
                <w:rFonts w:ascii="Arial"/>
                <w:color w:val="auto"/>
                <w:sz w:val="21"/>
                <w:highlight w:val="none"/>
              </w:rPr>
            </w:pPr>
          </w:p>
        </w:tc>
      </w:tr>
      <w:tr w14:paraId="3D3AC8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2016" w:type="dxa"/>
            <w:vAlign w:val="top"/>
          </w:tcPr>
          <w:p w14:paraId="4C3A109A">
            <w:pPr>
              <w:pStyle w:val="18"/>
              <w:spacing w:before="164" w:line="213" w:lineRule="auto"/>
              <w:ind w:left="490"/>
              <w:rPr>
                <w:color w:val="auto"/>
                <w:highlight w:val="none"/>
              </w:rPr>
            </w:pPr>
            <w:r>
              <w:rPr>
                <w:color w:val="auto"/>
                <w:spacing w:val="1"/>
                <w:highlight w:val="none"/>
              </w:rPr>
              <w:t>年</w:t>
            </w:r>
            <w:r>
              <w:rPr>
                <w:color w:val="auto"/>
                <w:spacing w:val="12"/>
                <w:highlight w:val="none"/>
              </w:rPr>
              <w:t xml:space="preserve">  </w:t>
            </w:r>
            <w:r>
              <w:rPr>
                <w:color w:val="auto"/>
                <w:spacing w:val="1"/>
                <w:highlight w:val="none"/>
              </w:rPr>
              <w:t>月至</w:t>
            </w:r>
            <w:r>
              <w:rPr>
                <w:color w:val="auto"/>
                <w:spacing w:val="12"/>
                <w:highlight w:val="none"/>
              </w:rPr>
              <w:t xml:space="preserve">  </w:t>
            </w:r>
            <w:r>
              <w:rPr>
                <w:color w:val="auto"/>
                <w:spacing w:val="1"/>
                <w:highlight w:val="none"/>
              </w:rPr>
              <w:t>月</w:t>
            </w:r>
          </w:p>
        </w:tc>
        <w:tc>
          <w:tcPr>
            <w:tcW w:w="1396" w:type="dxa"/>
            <w:vAlign w:val="top"/>
          </w:tcPr>
          <w:p w14:paraId="10591F20">
            <w:pPr>
              <w:rPr>
                <w:rFonts w:ascii="Arial"/>
                <w:color w:val="auto"/>
                <w:sz w:val="21"/>
                <w:highlight w:val="none"/>
              </w:rPr>
            </w:pPr>
          </w:p>
        </w:tc>
        <w:tc>
          <w:tcPr>
            <w:tcW w:w="1381" w:type="dxa"/>
            <w:vAlign w:val="top"/>
          </w:tcPr>
          <w:p w14:paraId="794C58EC">
            <w:pPr>
              <w:rPr>
                <w:rFonts w:ascii="Arial"/>
                <w:color w:val="auto"/>
                <w:sz w:val="21"/>
                <w:highlight w:val="none"/>
              </w:rPr>
            </w:pPr>
          </w:p>
        </w:tc>
        <w:tc>
          <w:tcPr>
            <w:tcW w:w="1394" w:type="dxa"/>
            <w:vAlign w:val="top"/>
          </w:tcPr>
          <w:p w14:paraId="0D96A5A7">
            <w:pPr>
              <w:rPr>
                <w:rFonts w:ascii="Arial"/>
                <w:color w:val="auto"/>
                <w:sz w:val="21"/>
                <w:highlight w:val="none"/>
              </w:rPr>
            </w:pPr>
          </w:p>
        </w:tc>
        <w:tc>
          <w:tcPr>
            <w:tcW w:w="2061" w:type="dxa"/>
            <w:vAlign w:val="top"/>
          </w:tcPr>
          <w:p w14:paraId="154F5436">
            <w:pPr>
              <w:rPr>
                <w:rFonts w:ascii="Arial"/>
                <w:color w:val="auto"/>
                <w:sz w:val="21"/>
                <w:highlight w:val="none"/>
              </w:rPr>
            </w:pPr>
          </w:p>
        </w:tc>
        <w:tc>
          <w:tcPr>
            <w:tcW w:w="1042" w:type="dxa"/>
            <w:vAlign w:val="top"/>
          </w:tcPr>
          <w:p w14:paraId="7500EB47">
            <w:pPr>
              <w:rPr>
                <w:rFonts w:ascii="Arial"/>
                <w:color w:val="auto"/>
                <w:sz w:val="21"/>
                <w:highlight w:val="none"/>
              </w:rPr>
            </w:pPr>
          </w:p>
        </w:tc>
      </w:tr>
      <w:tr w14:paraId="2E2A44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2016" w:type="dxa"/>
            <w:vAlign w:val="top"/>
          </w:tcPr>
          <w:p w14:paraId="1F479A9C">
            <w:pPr>
              <w:pStyle w:val="18"/>
              <w:spacing w:before="165" w:line="212" w:lineRule="auto"/>
              <w:ind w:left="490"/>
              <w:rPr>
                <w:color w:val="auto"/>
                <w:highlight w:val="none"/>
              </w:rPr>
            </w:pPr>
            <w:r>
              <w:rPr>
                <w:color w:val="auto"/>
                <w:spacing w:val="1"/>
                <w:highlight w:val="none"/>
              </w:rPr>
              <w:t>年</w:t>
            </w:r>
            <w:r>
              <w:rPr>
                <w:color w:val="auto"/>
                <w:spacing w:val="12"/>
                <w:highlight w:val="none"/>
              </w:rPr>
              <w:t xml:space="preserve">  </w:t>
            </w:r>
            <w:r>
              <w:rPr>
                <w:color w:val="auto"/>
                <w:spacing w:val="1"/>
                <w:highlight w:val="none"/>
              </w:rPr>
              <w:t>月至</w:t>
            </w:r>
            <w:r>
              <w:rPr>
                <w:color w:val="auto"/>
                <w:spacing w:val="12"/>
                <w:highlight w:val="none"/>
              </w:rPr>
              <w:t xml:space="preserve">  </w:t>
            </w:r>
            <w:r>
              <w:rPr>
                <w:color w:val="auto"/>
                <w:spacing w:val="1"/>
                <w:highlight w:val="none"/>
              </w:rPr>
              <w:t>月</w:t>
            </w:r>
          </w:p>
        </w:tc>
        <w:tc>
          <w:tcPr>
            <w:tcW w:w="1396" w:type="dxa"/>
            <w:vAlign w:val="top"/>
          </w:tcPr>
          <w:p w14:paraId="341CB56C">
            <w:pPr>
              <w:rPr>
                <w:rFonts w:ascii="Arial"/>
                <w:color w:val="auto"/>
                <w:sz w:val="21"/>
                <w:highlight w:val="none"/>
              </w:rPr>
            </w:pPr>
          </w:p>
        </w:tc>
        <w:tc>
          <w:tcPr>
            <w:tcW w:w="1381" w:type="dxa"/>
            <w:vAlign w:val="top"/>
          </w:tcPr>
          <w:p w14:paraId="7F89D257">
            <w:pPr>
              <w:rPr>
                <w:rFonts w:ascii="Arial"/>
                <w:color w:val="auto"/>
                <w:sz w:val="21"/>
                <w:highlight w:val="none"/>
              </w:rPr>
            </w:pPr>
          </w:p>
        </w:tc>
        <w:tc>
          <w:tcPr>
            <w:tcW w:w="1394" w:type="dxa"/>
            <w:vAlign w:val="top"/>
          </w:tcPr>
          <w:p w14:paraId="745AAEDD">
            <w:pPr>
              <w:rPr>
                <w:rFonts w:ascii="Arial"/>
                <w:color w:val="auto"/>
                <w:sz w:val="21"/>
                <w:highlight w:val="none"/>
              </w:rPr>
            </w:pPr>
          </w:p>
        </w:tc>
        <w:tc>
          <w:tcPr>
            <w:tcW w:w="2061" w:type="dxa"/>
            <w:vAlign w:val="top"/>
          </w:tcPr>
          <w:p w14:paraId="6F44E6F2">
            <w:pPr>
              <w:rPr>
                <w:rFonts w:ascii="Arial"/>
                <w:color w:val="auto"/>
                <w:sz w:val="21"/>
                <w:highlight w:val="none"/>
              </w:rPr>
            </w:pPr>
          </w:p>
        </w:tc>
        <w:tc>
          <w:tcPr>
            <w:tcW w:w="1042" w:type="dxa"/>
            <w:vAlign w:val="top"/>
          </w:tcPr>
          <w:p w14:paraId="1655AECB">
            <w:pPr>
              <w:rPr>
                <w:rFonts w:ascii="Arial"/>
                <w:color w:val="auto"/>
                <w:sz w:val="21"/>
                <w:highlight w:val="none"/>
              </w:rPr>
            </w:pPr>
          </w:p>
        </w:tc>
      </w:tr>
      <w:tr w14:paraId="24F73F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2016" w:type="dxa"/>
            <w:vAlign w:val="top"/>
          </w:tcPr>
          <w:p w14:paraId="716C9CB9">
            <w:pPr>
              <w:pStyle w:val="18"/>
              <w:spacing w:before="165" w:line="212" w:lineRule="auto"/>
              <w:ind w:left="490"/>
              <w:rPr>
                <w:color w:val="auto"/>
                <w:highlight w:val="none"/>
              </w:rPr>
            </w:pPr>
            <w:r>
              <w:rPr>
                <w:color w:val="auto"/>
                <w:spacing w:val="1"/>
                <w:highlight w:val="none"/>
              </w:rPr>
              <w:t>年</w:t>
            </w:r>
            <w:r>
              <w:rPr>
                <w:color w:val="auto"/>
                <w:spacing w:val="12"/>
                <w:highlight w:val="none"/>
              </w:rPr>
              <w:t xml:space="preserve">  </w:t>
            </w:r>
            <w:r>
              <w:rPr>
                <w:color w:val="auto"/>
                <w:spacing w:val="1"/>
                <w:highlight w:val="none"/>
              </w:rPr>
              <w:t>月至</w:t>
            </w:r>
            <w:r>
              <w:rPr>
                <w:color w:val="auto"/>
                <w:spacing w:val="12"/>
                <w:highlight w:val="none"/>
              </w:rPr>
              <w:t xml:space="preserve">  </w:t>
            </w:r>
            <w:r>
              <w:rPr>
                <w:color w:val="auto"/>
                <w:spacing w:val="1"/>
                <w:highlight w:val="none"/>
              </w:rPr>
              <w:t>月</w:t>
            </w:r>
          </w:p>
        </w:tc>
        <w:tc>
          <w:tcPr>
            <w:tcW w:w="1396" w:type="dxa"/>
            <w:vAlign w:val="top"/>
          </w:tcPr>
          <w:p w14:paraId="1EDF104D">
            <w:pPr>
              <w:rPr>
                <w:rFonts w:ascii="Arial"/>
                <w:color w:val="auto"/>
                <w:sz w:val="21"/>
                <w:highlight w:val="none"/>
              </w:rPr>
            </w:pPr>
          </w:p>
        </w:tc>
        <w:tc>
          <w:tcPr>
            <w:tcW w:w="1381" w:type="dxa"/>
            <w:vAlign w:val="top"/>
          </w:tcPr>
          <w:p w14:paraId="26FF68E5">
            <w:pPr>
              <w:rPr>
                <w:rFonts w:ascii="Arial"/>
                <w:color w:val="auto"/>
                <w:sz w:val="21"/>
                <w:highlight w:val="none"/>
              </w:rPr>
            </w:pPr>
          </w:p>
        </w:tc>
        <w:tc>
          <w:tcPr>
            <w:tcW w:w="1394" w:type="dxa"/>
            <w:vAlign w:val="top"/>
          </w:tcPr>
          <w:p w14:paraId="036DC96A">
            <w:pPr>
              <w:rPr>
                <w:rFonts w:ascii="Arial"/>
                <w:color w:val="auto"/>
                <w:sz w:val="21"/>
                <w:highlight w:val="none"/>
              </w:rPr>
            </w:pPr>
          </w:p>
        </w:tc>
        <w:tc>
          <w:tcPr>
            <w:tcW w:w="2061" w:type="dxa"/>
            <w:vAlign w:val="top"/>
          </w:tcPr>
          <w:p w14:paraId="1ED10E32">
            <w:pPr>
              <w:rPr>
                <w:rFonts w:ascii="Arial"/>
                <w:color w:val="auto"/>
                <w:sz w:val="21"/>
                <w:highlight w:val="none"/>
              </w:rPr>
            </w:pPr>
          </w:p>
        </w:tc>
        <w:tc>
          <w:tcPr>
            <w:tcW w:w="1042" w:type="dxa"/>
            <w:vAlign w:val="top"/>
          </w:tcPr>
          <w:p w14:paraId="10DAB971">
            <w:pPr>
              <w:rPr>
                <w:rFonts w:ascii="Arial"/>
                <w:color w:val="auto"/>
                <w:sz w:val="21"/>
                <w:highlight w:val="none"/>
              </w:rPr>
            </w:pPr>
          </w:p>
        </w:tc>
      </w:tr>
      <w:tr w14:paraId="66887F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2016" w:type="dxa"/>
            <w:vAlign w:val="top"/>
          </w:tcPr>
          <w:p w14:paraId="58FA4546">
            <w:pPr>
              <w:pStyle w:val="18"/>
              <w:spacing w:before="163" w:line="214" w:lineRule="auto"/>
              <w:ind w:left="490"/>
              <w:rPr>
                <w:color w:val="auto"/>
                <w:highlight w:val="none"/>
              </w:rPr>
            </w:pPr>
            <w:r>
              <w:rPr>
                <w:color w:val="auto"/>
                <w:spacing w:val="1"/>
                <w:highlight w:val="none"/>
              </w:rPr>
              <w:t>年</w:t>
            </w:r>
            <w:r>
              <w:rPr>
                <w:color w:val="auto"/>
                <w:spacing w:val="12"/>
                <w:highlight w:val="none"/>
              </w:rPr>
              <w:t xml:space="preserve">  </w:t>
            </w:r>
            <w:r>
              <w:rPr>
                <w:color w:val="auto"/>
                <w:spacing w:val="1"/>
                <w:highlight w:val="none"/>
              </w:rPr>
              <w:t>月至</w:t>
            </w:r>
            <w:r>
              <w:rPr>
                <w:color w:val="auto"/>
                <w:spacing w:val="12"/>
                <w:highlight w:val="none"/>
              </w:rPr>
              <w:t xml:space="preserve">  </w:t>
            </w:r>
            <w:r>
              <w:rPr>
                <w:color w:val="auto"/>
                <w:spacing w:val="1"/>
                <w:highlight w:val="none"/>
              </w:rPr>
              <w:t>月</w:t>
            </w:r>
          </w:p>
        </w:tc>
        <w:tc>
          <w:tcPr>
            <w:tcW w:w="1396" w:type="dxa"/>
            <w:vAlign w:val="top"/>
          </w:tcPr>
          <w:p w14:paraId="2072F1E4">
            <w:pPr>
              <w:rPr>
                <w:rFonts w:ascii="Arial"/>
                <w:color w:val="auto"/>
                <w:sz w:val="21"/>
                <w:highlight w:val="none"/>
              </w:rPr>
            </w:pPr>
          </w:p>
        </w:tc>
        <w:tc>
          <w:tcPr>
            <w:tcW w:w="1381" w:type="dxa"/>
            <w:vAlign w:val="top"/>
          </w:tcPr>
          <w:p w14:paraId="5477B440">
            <w:pPr>
              <w:rPr>
                <w:rFonts w:ascii="Arial"/>
                <w:color w:val="auto"/>
                <w:sz w:val="21"/>
                <w:highlight w:val="none"/>
              </w:rPr>
            </w:pPr>
          </w:p>
        </w:tc>
        <w:tc>
          <w:tcPr>
            <w:tcW w:w="1394" w:type="dxa"/>
            <w:vAlign w:val="top"/>
          </w:tcPr>
          <w:p w14:paraId="17C2F0EC">
            <w:pPr>
              <w:rPr>
                <w:rFonts w:ascii="Arial"/>
                <w:color w:val="auto"/>
                <w:sz w:val="21"/>
                <w:highlight w:val="none"/>
              </w:rPr>
            </w:pPr>
          </w:p>
        </w:tc>
        <w:tc>
          <w:tcPr>
            <w:tcW w:w="2061" w:type="dxa"/>
            <w:vAlign w:val="top"/>
          </w:tcPr>
          <w:p w14:paraId="54F6FA49">
            <w:pPr>
              <w:rPr>
                <w:rFonts w:ascii="Arial"/>
                <w:color w:val="auto"/>
                <w:sz w:val="21"/>
                <w:highlight w:val="none"/>
              </w:rPr>
            </w:pPr>
          </w:p>
        </w:tc>
        <w:tc>
          <w:tcPr>
            <w:tcW w:w="1042" w:type="dxa"/>
            <w:vAlign w:val="top"/>
          </w:tcPr>
          <w:p w14:paraId="3D928D86">
            <w:pPr>
              <w:rPr>
                <w:rFonts w:ascii="Arial"/>
                <w:color w:val="auto"/>
                <w:sz w:val="21"/>
                <w:highlight w:val="none"/>
              </w:rPr>
            </w:pPr>
          </w:p>
        </w:tc>
      </w:tr>
      <w:tr w14:paraId="2EE141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2016" w:type="dxa"/>
            <w:vAlign w:val="top"/>
          </w:tcPr>
          <w:p w14:paraId="673B4857">
            <w:pPr>
              <w:pStyle w:val="18"/>
              <w:spacing w:before="163" w:line="214" w:lineRule="auto"/>
              <w:ind w:left="490"/>
              <w:rPr>
                <w:color w:val="auto"/>
                <w:highlight w:val="none"/>
              </w:rPr>
            </w:pPr>
            <w:r>
              <w:rPr>
                <w:color w:val="auto"/>
                <w:spacing w:val="1"/>
                <w:highlight w:val="none"/>
              </w:rPr>
              <w:t>年</w:t>
            </w:r>
            <w:r>
              <w:rPr>
                <w:color w:val="auto"/>
                <w:spacing w:val="12"/>
                <w:highlight w:val="none"/>
              </w:rPr>
              <w:t xml:space="preserve">  </w:t>
            </w:r>
            <w:r>
              <w:rPr>
                <w:color w:val="auto"/>
                <w:spacing w:val="1"/>
                <w:highlight w:val="none"/>
              </w:rPr>
              <w:t>月至</w:t>
            </w:r>
            <w:r>
              <w:rPr>
                <w:color w:val="auto"/>
                <w:spacing w:val="12"/>
                <w:highlight w:val="none"/>
              </w:rPr>
              <w:t xml:space="preserve">  </w:t>
            </w:r>
            <w:r>
              <w:rPr>
                <w:color w:val="auto"/>
                <w:spacing w:val="1"/>
                <w:highlight w:val="none"/>
              </w:rPr>
              <w:t>月</w:t>
            </w:r>
          </w:p>
        </w:tc>
        <w:tc>
          <w:tcPr>
            <w:tcW w:w="1396" w:type="dxa"/>
            <w:vAlign w:val="top"/>
          </w:tcPr>
          <w:p w14:paraId="45206B6D">
            <w:pPr>
              <w:rPr>
                <w:rFonts w:ascii="Arial"/>
                <w:color w:val="auto"/>
                <w:sz w:val="21"/>
                <w:highlight w:val="none"/>
              </w:rPr>
            </w:pPr>
          </w:p>
        </w:tc>
        <w:tc>
          <w:tcPr>
            <w:tcW w:w="1381" w:type="dxa"/>
            <w:vAlign w:val="top"/>
          </w:tcPr>
          <w:p w14:paraId="7F041C45">
            <w:pPr>
              <w:rPr>
                <w:rFonts w:ascii="Arial"/>
                <w:color w:val="auto"/>
                <w:sz w:val="21"/>
                <w:highlight w:val="none"/>
              </w:rPr>
            </w:pPr>
          </w:p>
        </w:tc>
        <w:tc>
          <w:tcPr>
            <w:tcW w:w="1394" w:type="dxa"/>
            <w:vAlign w:val="top"/>
          </w:tcPr>
          <w:p w14:paraId="1AA2E386">
            <w:pPr>
              <w:rPr>
                <w:rFonts w:ascii="Arial"/>
                <w:color w:val="auto"/>
                <w:sz w:val="21"/>
                <w:highlight w:val="none"/>
              </w:rPr>
            </w:pPr>
          </w:p>
        </w:tc>
        <w:tc>
          <w:tcPr>
            <w:tcW w:w="2061" w:type="dxa"/>
            <w:vAlign w:val="top"/>
          </w:tcPr>
          <w:p w14:paraId="7E297969">
            <w:pPr>
              <w:rPr>
                <w:rFonts w:ascii="Arial"/>
                <w:color w:val="auto"/>
                <w:sz w:val="21"/>
                <w:highlight w:val="none"/>
              </w:rPr>
            </w:pPr>
          </w:p>
        </w:tc>
        <w:tc>
          <w:tcPr>
            <w:tcW w:w="1042" w:type="dxa"/>
            <w:vAlign w:val="top"/>
          </w:tcPr>
          <w:p w14:paraId="4CB392DA">
            <w:pPr>
              <w:rPr>
                <w:rFonts w:ascii="Arial"/>
                <w:color w:val="auto"/>
                <w:sz w:val="21"/>
                <w:highlight w:val="none"/>
              </w:rPr>
            </w:pPr>
          </w:p>
        </w:tc>
      </w:tr>
      <w:tr w14:paraId="3129F0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2016" w:type="dxa"/>
            <w:vAlign w:val="top"/>
          </w:tcPr>
          <w:p w14:paraId="06D2DE55">
            <w:pPr>
              <w:pStyle w:val="18"/>
              <w:spacing w:before="164" w:line="213" w:lineRule="auto"/>
              <w:ind w:left="490"/>
              <w:rPr>
                <w:color w:val="auto"/>
                <w:highlight w:val="none"/>
              </w:rPr>
            </w:pPr>
            <w:r>
              <w:rPr>
                <w:color w:val="auto"/>
                <w:spacing w:val="1"/>
                <w:highlight w:val="none"/>
              </w:rPr>
              <w:t>年</w:t>
            </w:r>
            <w:r>
              <w:rPr>
                <w:color w:val="auto"/>
                <w:spacing w:val="12"/>
                <w:highlight w:val="none"/>
              </w:rPr>
              <w:t xml:space="preserve">  </w:t>
            </w:r>
            <w:r>
              <w:rPr>
                <w:color w:val="auto"/>
                <w:spacing w:val="1"/>
                <w:highlight w:val="none"/>
              </w:rPr>
              <w:t>月至</w:t>
            </w:r>
            <w:r>
              <w:rPr>
                <w:color w:val="auto"/>
                <w:spacing w:val="12"/>
                <w:highlight w:val="none"/>
              </w:rPr>
              <w:t xml:space="preserve">  </w:t>
            </w:r>
            <w:r>
              <w:rPr>
                <w:color w:val="auto"/>
                <w:spacing w:val="1"/>
                <w:highlight w:val="none"/>
              </w:rPr>
              <w:t>月</w:t>
            </w:r>
          </w:p>
        </w:tc>
        <w:tc>
          <w:tcPr>
            <w:tcW w:w="1396" w:type="dxa"/>
            <w:vAlign w:val="top"/>
          </w:tcPr>
          <w:p w14:paraId="3BD9E532">
            <w:pPr>
              <w:rPr>
                <w:rFonts w:ascii="Arial"/>
                <w:color w:val="auto"/>
                <w:sz w:val="21"/>
                <w:highlight w:val="none"/>
              </w:rPr>
            </w:pPr>
          </w:p>
        </w:tc>
        <w:tc>
          <w:tcPr>
            <w:tcW w:w="1381" w:type="dxa"/>
            <w:vAlign w:val="top"/>
          </w:tcPr>
          <w:p w14:paraId="10FE40AC">
            <w:pPr>
              <w:rPr>
                <w:rFonts w:ascii="Arial"/>
                <w:color w:val="auto"/>
                <w:sz w:val="21"/>
                <w:highlight w:val="none"/>
              </w:rPr>
            </w:pPr>
          </w:p>
        </w:tc>
        <w:tc>
          <w:tcPr>
            <w:tcW w:w="1394" w:type="dxa"/>
            <w:vAlign w:val="top"/>
          </w:tcPr>
          <w:p w14:paraId="49226A7A">
            <w:pPr>
              <w:rPr>
                <w:rFonts w:ascii="Arial"/>
                <w:color w:val="auto"/>
                <w:sz w:val="21"/>
                <w:highlight w:val="none"/>
              </w:rPr>
            </w:pPr>
          </w:p>
        </w:tc>
        <w:tc>
          <w:tcPr>
            <w:tcW w:w="2061" w:type="dxa"/>
            <w:vAlign w:val="top"/>
          </w:tcPr>
          <w:p w14:paraId="18469036">
            <w:pPr>
              <w:rPr>
                <w:rFonts w:ascii="Arial"/>
                <w:color w:val="auto"/>
                <w:sz w:val="21"/>
                <w:highlight w:val="none"/>
              </w:rPr>
            </w:pPr>
          </w:p>
        </w:tc>
        <w:tc>
          <w:tcPr>
            <w:tcW w:w="1042" w:type="dxa"/>
            <w:vAlign w:val="top"/>
          </w:tcPr>
          <w:p w14:paraId="06F736A7">
            <w:pPr>
              <w:rPr>
                <w:rFonts w:ascii="Arial"/>
                <w:color w:val="auto"/>
                <w:sz w:val="21"/>
                <w:highlight w:val="none"/>
              </w:rPr>
            </w:pPr>
          </w:p>
        </w:tc>
      </w:tr>
      <w:tr w14:paraId="60A746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trPr>
        <w:tc>
          <w:tcPr>
            <w:tcW w:w="2016" w:type="dxa"/>
            <w:vAlign w:val="top"/>
          </w:tcPr>
          <w:p w14:paraId="07C0D88F">
            <w:pPr>
              <w:pStyle w:val="18"/>
              <w:spacing w:before="165" w:line="216" w:lineRule="auto"/>
              <w:ind w:left="489"/>
              <w:rPr>
                <w:color w:val="auto"/>
                <w:highlight w:val="none"/>
              </w:rPr>
            </w:pPr>
            <w:r>
              <w:rPr>
                <w:color w:val="auto"/>
                <w:spacing w:val="8"/>
                <w:highlight w:val="none"/>
              </w:rPr>
              <w:t>缺陷责任期</w:t>
            </w:r>
          </w:p>
        </w:tc>
        <w:tc>
          <w:tcPr>
            <w:tcW w:w="1396" w:type="dxa"/>
            <w:vAlign w:val="top"/>
          </w:tcPr>
          <w:p w14:paraId="5525D6BB">
            <w:pPr>
              <w:rPr>
                <w:rFonts w:ascii="Arial"/>
                <w:color w:val="auto"/>
                <w:sz w:val="21"/>
                <w:highlight w:val="none"/>
              </w:rPr>
            </w:pPr>
          </w:p>
        </w:tc>
        <w:tc>
          <w:tcPr>
            <w:tcW w:w="1381" w:type="dxa"/>
            <w:vAlign w:val="top"/>
          </w:tcPr>
          <w:p w14:paraId="47ECB7D8">
            <w:pPr>
              <w:rPr>
                <w:rFonts w:ascii="Arial"/>
                <w:color w:val="auto"/>
                <w:sz w:val="21"/>
                <w:highlight w:val="none"/>
              </w:rPr>
            </w:pPr>
          </w:p>
        </w:tc>
        <w:tc>
          <w:tcPr>
            <w:tcW w:w="1394" w:type="dxa"/>
            <w:vAlign w:val="top"/>
          </w:tcPr>
          <w:p w14:paraId="01BB04B8">
            <w:pPr>
              <w:rPr>
                <w:rFonts w:ascii="Arial"/>
                <w:color w:val="auto"/>
                <w:sz w:val="21"/>
                <w:highlight w:val="none"/>
              </w:rPr>
            </w:pPr>
          </w:p>
        </w:tc>
        <w:tc>
          <w:tcPr>
            <w:tcW w:w="2061" w:type="dxa"/>
            <w:vAlign w:val="top"/>
          </w:tcPr>
          <w:p w14:paraId="33C8B721">
            <w:pPr>
              <w:rPr>
                <w:rFonts w:ascii="Arial"/>
                <w:color w:val="auto"/>
                <w:sz w:val="21"/>
                <w:highlight w:val="none"/>
              </w:rPr>
            </w:pPr>
          </w:p>
        </w:tc>
        <w:tc>
          <w:tcPr>
            <w:tcW w:w="1042" w:type="dxa"/>
            <w:vAlign w:val="top"/>
          </w:tcPr>
          <w:p w14:paraId="3A32D32F">
            <w:pPr>
              <w:rPr>
                <w:rFonts w:ascii="Arial"/>
                <w:color w:val="auto"/>
                <w:sz w:val="21"/>
                <w:highlight w:val="none"/>
              </w:rPr>
            </w:pPr>
          </w:p>
        </w:tc>
      </w:tr>
    </w:tbl>
    <w:p w14:paraId="580A1856">
      <w:pPr>
        <w:rPr>
          <w:rFonts w:ascii="Arial"/>
          <w:color w:val="auto"/>
          <w:sz w:val="21"/>
          <w:highlight w:val="none"/>
        </w:rPr>
      </w:pPr>
    </w:p>
    <w:sectPr>
      <w:footerReference r:id="rId117" w:type="default"/>
      <w:pgSz w:w="11906" w:h="16839"/>
      <w:pgMar w:top="1402" w:right="1306" w:bottom="1297" w:left="1304" w:header="0" w:footer="1067"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MingLiU-ExtB">
    <w:panose1 w:val="02020500000000000000"/>
    <w:charset w:val="86"/>
    <w:family w:val="auto"/>
    <w:pitch w:val="default"/>
    <w:sig w:usb0="8000002F" w:usb1="02000008" w:usb2="00000000" w:usb3="00000000" w:csb0="00100001" w:csb1="00000000"/>
  </w:font>
  <w:font w:name="Tahoma">
    <w:panose1 w:val="020B0604030504040204"/>
    <w:charset w:val="00"/>
    <w:family w:val="swiss"/>
    <w:pitch w:val="default"/>
    <w:sig w:usb0="E1002EFF" w:usb1="C000605B" w:usb2="00000029" w:usb3="00000000" w:csb0="200101FF" w:csb1="20280000"/>
  </w:font>
  <w:font w:name="MS Gothic">
    <w:panose1 w:val="020B0609070205080204"/>
    <w:charset w:val="86"/>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C3CA49">
    <w:pPr>
      <w:spacing w:line="14" w:lineRule="auto"/>
      <w:rPr>
        <w:rFonts w:ascii="Arial"/>
        <w:sz w:val="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A605F2">
    <w:pPr>
      <w:spacing w:line="225" w:lineRule="auto"/>
      <w:ind w:left="4578"/>
      <w:rPr>
        <w:rFonts w:ascii="MingLiU-ExtB" w:hAnsi="MingLiU-ExtB" w:eastAsia="MingLiU-ExtB" w:cs="MingLiU-ExtB"/>
        <w:sz w:val="18"/>
        <w:szCs w:val="1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4BECC4">
                          <w:pPr>
                            <w:pStyle w:val="8"/>
                          </w:pPr>
                          <w:r>
                            <w:fldChar w:fldCharType="begin"/>
                          </w:r>
                          <w:r>
                            <w:instrText xml:space="preserve"> PAGE  \* MERGEFORMAT </w:instrText>
                          </w:r>
                          <w:r>
                            <w:fldChar w:fldCharType="separate"/>
                          </w:r>
                          <w:r>
                            <w:t>13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144BECC4">
                    <w:pPr>
                      <w:pStyle w:val="8"/>
                    </w:pPr>
                    <w:r>
                      <w:fldChar w:fldCharType="begin"/>
                    </w:r>
                    <w:r>
                      <w:instrText xml:space="preserve"> PAGE  \* MERGEFORMAT </w:instrText>
                    </w:r>
                    <w:r>
                      <w:fldChar w:fldCharType="separate"/>
                    </w:r>
                    <w:r>
                      <w:t>13</w:t>
                    </w:r>
                    <w:r>
                      <w:fldChar w:fldCharType="end"/>
                    </w:r>
                  </w:p>
                </w:txbxContent>
              </v:textbox>
            </v:shape>
          </w:pict>
        </mc:Fallback>
      </mc:AlternateConten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204DD4">
    <w:pPr>
      <w:spacing w:line="223" w:lineRule="auto"/>
      <w:ind w:left="4051"/>
      <w:rPr>
        <w:rFonts w:ascii="MingLiU-ExtB" w:hAnsi="MingLiU-ExtB" w:eastAsia="MingLiU-ExtB" w:cs="MingLiU-ExtB"/>
        <w:sz w:val="18"/>
        <w:szCs w:val="18"/>
      </w:rPr>
    </w:pPr>
    <w:r>
      <w:rPr>
        <w:sz w:val="18"/>
      </w:rPr>
      <mc:AlternateContent>
        <mc:Choice Requires="wps">
          <w:drawing>
            <wp:anchor distT="0" distB="0" distL="114300" distR="114300" simplePos="0" relativeHeight="2517647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5" name="文本框 1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D46807">
                          <w:pPr>
                            <w:pStyle w:val="8"/>
                          </w:pPr>
                          <w:r>
                            <w:fldChar w:fldCharType="begin"/>
                          </w:r>
                          <w:r>
                            <w:instrText xml:space="preserve"> PAGE  \* MERGEFORMAT </w:instrText>
                          </w:r>
                          <w:r>
                            <w:fldChar w:fldCharType="separate"/>
                          </w:r>
                          <w:r>
                            <w:t>149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47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nq9GIzAgAAZQ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9osQwjZKff3w/&#10;//x9/vWNpENIVLswR+SDQ2xs3tkG4cN5wGFi3pRepy84Efgh8OkisGgi4enSbDqbjeHi8A0b4GdP&#10;150P8b2wmiQjpx4VbIVlx22IXegQkrIZu5FKtVVUhtQ5vX57NW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nq9GIzAgAAZQQAAA4AAAAAAAAAAQAgAAAAHwEAAGRycy9lMm9Eb2MueG1sUEsF&#10;BgAAAAAGAAYAWQEAAMQFAAAAAA==&#10;">
              <v:fill on="f" focussize="0,0"/>
              <v:stroke on="f" weight="0.5pt"/>
              <v:imagedata o:title=""/>
              <o:lock v:ext="edit" aspectratio="f"/>
              <v:textbox inset="0mm,0mm,0mm,0mm" style="mso-fit-shape-to-text:t;">
                <w:txbxContent>
                  <w:p w14:paraId="53D46807">
                    <w:pPr>
                      <w:pStyle w:val="8"/>
                    </w:pPr>
                    <w:r>
                      <w:fldChar w:fldCharType="begin"/>
                    </w:r>
                    <w:r>
                      <w:instrText xml:space="preserve"> PAGE  \* MERGEFORMAT </w:instrText>
                    </w:r>
                    <w:r>
                      <w:fldChar w:fldCharType="separate"/>
                    </w:r>
                    <w:r>
                      <w:t>149</w:t>
                    </w:r>
                    <w:r>
                      <w:fldChar w:fldCharType="end"/>
                    </w:r>
                  </w:p>
                </w:txbxContent>
              </v:textbox>
            </v:shape>
          </w:pict>
        </mc:Fallback>
      </mc:AlternateConten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E7D2E6">
    <w:pPr>
      <w:spacing w:line="225" w:lineRule="auto"/>
      <w:ind w:left="4420"/>
      <w:rPr>
        <w:rFonts w:ascii="MingLiU-ExtB" w:hAnsi="MingLiU-ExtB" w:eastAsia="MingLiU-ExtB" w:cs="MingLiU-ExtB"/>
        <w:sz w:val="18"/>
        <w:szCs w:val="18"/>
      </w:rPr>
    </w:pPr>
    <w:r>
      <w:rPr>
        <w:sz w:val="18"/>
      </w:rPr>
      <mc:AlternateContent>
        <mc:Choice Requires="wps">
          <w:drawing>
            <wp:anchor distT="0" distB="0" distL="114300" distR="114300" simplePos="0" relativeHeight="2517657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6" name="文本框 1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B82191">
                          <w:pPr>
                            <w:pStyle w:val="8"/>
                          </w:pPr>
                          <w:r>
                            <w:fldChar w:fldCharType="begin"/>
                          </w:r>
                          <w:r>
                            <w:instrText xml:space="preserve"> PAGE  \* MERGEFORMAT </w:instrText>
                          </w:r>
                          <w:r>
                            <w:fldChar w:fldCharType="separate"/>
                          </w:r>
                          <w:r>
                            <w:t>150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57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UoJhwz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UoJhwzAgAAZQQAAA4AAAAAAAAAAQAgAAAAHwEAAGRycy9lMm9Eb2MueG1sUEsF&#10;BgAAAAAGAAYAWQEAAMQFAAAAAA==&#10;">
              <v:fill on="f" focussize="0,0"/>
              <v:stroke on="f" weight="0.5pt"/>
              <v:imagedata o:title=""/>
              <o:lock v:ext="edit" aspectratio="f"/>
              <v:textbox inset="0mm,0mm,0mm,0mm" style="mso-fit-shape-to-text:t;">
                <w:txbxContent>
                  <w:p w14:paraId="63B82191">
                    <w:pPr>
                      <w:pStyle w:val="8"/>
                    </w:pPr>
                    <w:r>
                      <w:fldChar w:fldCharType="begin"/>
                    </w:r>
                    <w:r>
                      <w:instrText xml:space="preserve"> PAGE  \* MERGEFORMAT </w:instrText>
                    </w:r>
                    <w:r>
                      <w:fldChar w:fldCharType="separate"/>
                    </w:r>
                    <w:r>
                      <w:t>150</w:t>
                    </w:r>
                    <w:r>
                      <w:fldChar w:fldCharType="end"/>
                    </w:r>
                  </w:p>
                </w:txbxContent>
              </v:textbox>
            </v:shape>
          </w:pict>
        </mc:Fallback>
      </mc:AlternateConten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80C29D">
    <w:pPr>
      <w:spacing w:line="225" w:lineRule="auto"/>
      <w:ind w:left="4414"/>
      <w:rPr>
        <w:rFonts w:ascii="MingLiU-ExtB" w:hAnsi="MingLiU-ExtB" w:eastAsia="MingLiU-ExtB" w:cs="MingLiU-ExtB"/>
        <w:sz w:val="18"/>
        <w:szCs w:val="18"/>
      </w:rPr>
    </w:pPr>
    <w:r>
      <w:rPr>
        <w:sz w:val="18"/>
      </w:rPr>
      <mc:AlternateContent>
        <mc:Choice Requires="wps">
          <w:drawing>
            <wp:anchor distT="0" distB="0" distL="114300" distR="114300" simplePos="0" relativeHeight="2517667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7" name="文本框 1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94FA88">
                          <w:pPr>
                            <w:pStyle w:val="8"/>
                          </w:pPr>
                          <w:r>
                            <w:fldChar w:fldCharType="begin"/>
                          </w:r>
                          <w:r>
                            <w:instrText xml:space="preserve"> PAGE  \* MERGEFORMAT </w:instrText>
                          </w:r>
                          <w:r>
                            <w:fldChar w:fldCharType="separate"/>
                          </w:r>
                          <w:r>
                            <w:t>151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67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6UuIA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y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ulLiANAIAAGUEAAAOAAAAAAAAAAEAIAAAAB8BAABkcnMvZTJvRG9jLnhtbFBL&#10;BQYAAAAABgAGAFkBAADFBQAAAAA=&#10;">
              <v:fill on="f" focussize="0,0"/>
              <v:stroke on="f" weight="0.5pt"/>
              <v:imagedata o:title=""/>
              <o:lock v:ext="edit" aspectratio="f"/>
              <v:textbox inset="0mm,0mm,0mm,0mm" style="mso-fit-shape-to-text:t;">
                <w:txbxContent>
                  <w:p w14:paraId="6794FA88">
                    <w:pPr>
                      <w:pStyle w:val="8"/>
                    </w:pPr>
                    <w:r>
                      <w:fldChar w:fldCharType="begin"/>
                    </w:r>
                    <w:r>
                      <w:instrText xml:space="preserve"> PAGE  \* MERGEFORMAT </w:instrText>
                    </w:r>
                    <w:r>
                      <w:fldChar w:fldCharType="separate"/>
                    </w:r>
                    <w:r>
                      <w:t>151</w:t>
                    </w:r>
                    <w:r>
                      <w:fldChar w:fldCharType="end"/>
                    </w:r>
                  </w:p>
                </w:txbxContent>
              </v:textbox>
            </v:shape>
          </w:pict>
        </mc:Fallback>
      </mc:AlternateConten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D681C2">
    <w:pPr>
      <w:spacing w:line="225" w:lineRule="auto"/>
      <w:ind w:left="4051"/>
      <w:rPr>
        <w:rFonts w:ascii="MingLiU-ExtB" w:hAnsi="MingLiU-ExtB" w:eastAsia="MingLiU-ExtB" w:cs="MingLiU-ExtB"/>
        <w:sz w:val="18"/>
        <w:szCs w:val="18"/>
      </w:rPr>
    </w:pPr>
    <w:r>
      <w:rPr>
        <w:sz w:val="18"/>
      </w:rPr>
      <mc:AlternateContent>
        <mc:Choice Requires="wps">
          <w:drawing>
            <wp:anchor distT="0" distB="0" distL="114300" distR="114300" simplePos="0" relativeHeight="2517678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 name="文本框 1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EBE04B">
                          <w:pPr>
                            <w:pStyle w:val="8"/>
                          </w:pPr>
                          <w:r>
                            <w:fldChar w:fldCharType="begin"/>
                          </w:r>
                          <w:r>
                            <w:instrText xml:space="preserve"> PAGE  \* MERGEFORMAT </w:instrText>
                          </w:r>
                          <w:r>
                            <w:fldChar w:fldCharType="separate"/>
                          </w:r>
                          <w:r>
                            <w:t>152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78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NbUN4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Y1tQ3jICAABlBAAADgAAAAAAAAABACAAAAAfAQAAZHJzL2Uyb0RvYy54bWxQSwUG&#10;AAAAAAYABgBZAQAAwwUAAAAA&#10;">
              <v:fill on="f" focussize="0,0"/>
              <v:stroke on="f" weight="0.5pt"/>
              <v:imagedata o:title=""/>
              <o:lock v:ext="edit" aspectratio="f"/>
              <v:textbox inset="0mm,0mm,0mm,0mm" style="mso-fit-shape-to-text:t;">
                <w:txbxContent>
                  <w:p w14:paraId="6FEBE04B">
                    <w:pPr>
                      <w:pStyle w:val="8"/>
                    </w:pPr>
                    <w:r>
                      <w:fldChar w:fldCharType="begin"/>
                    </w:r>
                    <w:r>
                      <w:instrText xml:space="preserve"> PAGE  \* MERGEFORMAT </w:instrText>
                    </w:r>
                    <w:r>
                      <w:fldChar w:fldCharType="separate"/>
                    </w:r>
                    <w:r>
                      <w:t>152</w:t>
                    </w:r>
                    <w:r>
                      <w:fldChar w:fldCharType="end"/>
                    </w:r>
                  </w:p>
                </w:txbxContent>
              </v:textbox>
            </v:shape>
          </w:pict>
        </mc:Fallback>
      </mc:AlternateConten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EC637D">
    <w:pPr>
      <w:spacing w:line="225" w:lineRule="auto"/>
      <w:ind w:left="6997"/>
      <w:rPr>
        <w:rFonts w:ascii="MingLiU-ExtB" w:hAnsi="MingLiU-ExtB" w:eastAsia="MingLiU-ExtB" w:cs="MingLiU-ExtB"/>
        <w:sz w:val="18"/>
        <w:szCs w:val="18"/>
      </w:rPr>
    </w:pPr>
    <w:r>
      <w:rPr>
        <w:sz w:val="18"/>
      </w:rPr>
      <mc:AlternateContent>
        <mc:Choice Requires="wps">
          <w:drawing>
            <wp:anchor distT="0" distB="0" distL="114300" distR="114300" simplePos="0" relativeHeight="2517688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9" name="文本框 1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1C7BB8">
                          <w:pPr>
                            <w:pStyle w:val="8"/>
                          </w:pPr>
                          <w:r>
                            <w:fldChar w:fldCharType="begin"/>
                          </w:r>
                          <w:r>
                            <w:instrText xml:space="preserve"> PAGE  \* MERGEFORMAT </w:instrText>
                          </w:r>
                          <w:r>
                            <w:fldChar w:fldCharType="separate"/>
                          </w:r>
                          <w:r>
                            <w:t>153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88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nzkI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y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I585CNAIAAGUEAAAOAAAAAAAAAAEAIAAAAB8BAABkcnMvZTJvRG9jLnhtbFBL&#10;BQYAAAAABgAGAFkBAADFBQAAAAA=&#10;">
              <v:fill on="f" focussize="0,0"/>
              <v:stroke on="f" weight="0.5pt"/>
              <v:imagedata o:title=""/>
              <o:lock v:ext="edit" aspectratio="f"/>
              <v:textbox inset="0mm,0mm,0mm,0mm" style="mso-fit-shape-to-text:t;">
                <w:txbxContent>
                  <w:p w14:paraId="141C7BB8">
                    <w:pPr>
                      <w:pStyle w:val="8"/>
                    </w:pPr>
                    <w:r>
                      <w:fldChar w:fldCharType="begin"/>
                    </w:r>
                    <w:r>
                      <w:instrText xml:space="preserve"> PAGE  \* MERGEFORMAT </w:instrText>
                    </w:r>
                    <w:r>
                      <w:fldChar w:fldCharType="separate"/>
                    </w:r>
                    <w:r>
                      <w:t>153</w:t>
                    </w:r>
                    <w:r>
                      <w:fldChar w:fldCharType="end"/>
                    </w:r>
                  </w:p>
                </w:txbxContent>
              </v:textbox>
            </v:shape>
          </w:pict>
        </mc:Fallback>
      </mc:AlternateConten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AC6315">
    <w:pPr>
      <w:spacing w:line="225" w:lineRule="auto"/>
      <w:ind w:left="7000"/>
      <w:rPr>
        <w:rFonts w:ascii="MingLiU-ExtB" w:hAnsi="MingLiU-ExtB" w:eastAsia="MingLiU-ExtB" w:cs="MingLiU-ExtB"/>
        <w:sz w:val="18"/>
        <w:szCs w:val="18"/>
      </w:rPr>
    </w:pPr>
    <w:r>
      <w:rPr>
        <w:sz w:val="18"/>
      </w:rPr>
      <mc:AlternateContent>
        <mc:Choice Requires="wps">
          <w:drawing>
            <wp:anchor distT="0" distB="0" distL="114300" distR="114300" simplePos="0" relativeHeight="2517698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 name="文本框 1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6A8E91">
                          <w:pPr>
                            <w:pStyle w:val="8"/>
                          </w:pPr>
                          <w:r>
                            <w:fldChar w:fldCharType="begin"/>
                          </w:r>
                          <w:r>
                            <w:instrText xml:space="preserve"> PAGE  \* MERGEFORMAT </w:instrText>
                          </w:r>
                          <w:r>
                            <w:fldChar w:fldCharType="separate"/>
                          </w:r>
                          <w:r>
                            <w:t>154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98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GLfzs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GLfzszAgAAZQQAAA4AAAAAAAAAAQAgAAAAHwEAAGRycy9lMm9Eb2MueG1sUEsF&#10;BgAAAAAGAAYAWQEAAMQFAAAAAA==&#10;">
              <v:fill on="f" focussize="0,0"/>
              <v:stroke on="f" weight="0.5pt"/>
              <v:imagedata o:title=""/>
              <o:lock v:ext="edit" aspectratio="f"/>
              <v:textbox inset="0mm,0mm,0mm,0mm" style="mso-fit-shape-to-text:t;">
                <w:txbxContent>
                  <w:p w14:paraId="586A8E91">
                    <w:pPr>
                      <w:pStyle w:val="8"/>
                    </w:pPr>
                    <w:r>
                      <w:fldChar w:fldCharType="begin"/>
                    </w:r>
                    <w:r>
                      <w:instrText xml:space="preserve"> PAGE  \* MERGEFORMAT </w:instrText>
                    </w:r>
                    <w:r>
                      <w:fldChar w:fldCharType="separate"/>
                    </w:r>
                    <w:r>
                      <w:t>154</w:t>
                    </w:r>
                    <w:r>
                      <w:fldChar w:fldCharType="end"/>
                    </w:r>
                  </w:p>
                </w:txbxContent>
              </v:textbox>
            </v:shape>
          </w:pict>
        </mc:Fallback>
      </mc:AlternateConten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D8EED5">
    <w:pPr>
      <w:spacing w:line="225" w:lineRule="auto"/>
      <w:ind w:left="7004"/>
      <w:rPr>
        <w:rFonts w:ascii="MingLiU-ExtB" w:hAnsi="MingLiU-ExtB" w:eastAsia="MingLiU-ExtB" w:cs="MingLiU-ExtB"/>
        <w:sz w:val="18"/>
        <w:szCs w:val="18"/>
      </w:rPr>
    </w:pPr>
    <w:r>
      <w:rPr>
        <w:sz w:val="18"/>
      </w:rPr>
      <mc:AlternateContent>
        <mc:Choice Requires="wps">
          <w:drawing>
            <wp:anchor distT="0" distB="0" distL="114300" distR="114300" simplePos="0" relativeHeight="2517708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1" name="文本框 1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9DB85D">
                          <w:pPr>
                            <w:pStyle w:val="8"/>
                          </w:pPr>
                          <w:r>
                            <w:fldChar w:fldCharType="begin"/>
                          </w:r>
                          <w:r>
                            <w:instrText xml:space="preserve"> PAGE  \* MERGEFORMAT </w:instrText>
                          </w:r>
                          <w:r>
                            <w:fldChar w:fldCharType="separate"/>
                          </w:r>
                          <w:r>
                            <w:t>155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08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o34aczAgAAZQ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o34aczAgAAZQQAAA4AAAAAAAAAAQAgAAAAHwEAAGRycy9lMm9Eb2MueG1sUEsF&#10;BgAAAAAGAAYAWQEAAMQFAAAAAA==&#10;">
              <v:fill on="f" focussize="0,0"/>
              <v:stroke on="f" weight="0.5pt"/>
              <v:imagedata o:title=""/>
              <o:lock v:ext="edit" aspectratio="f"/>
              <v:textbox inset="0mm,0mm,0mm,0mm" style="mso-fit-shape-to-text:t;">
                <w:txbxContent>
                  <w:p w14:paraId="7A9DB85D">
                    <w:pPr>
                      <w:pStyle w:val="8"/>
                    </w:pPr>
                    <w:r>
                      <w:fldChar w:fldCharType="begin"/>
                    </w:r>
                    <w:r>
                      <w:instrText xml:space="preserve"> PAGE  \* MERGEFORMAT </w:instrText>
                    </w:r>
                    <w:r>
                      <w:fldChar w:fldCharType="separate"/>
                    </w:r>
                    <w:r>
                      <w:t>155</w:t>
                    </w:r>
                    <w:r>
                      <w:fldChar w:fldCharType="end"/>
                    </w:r>
                  </w:p>
                </w:txbxContent>
              </v:textbox>
            </v:shape>
          </w:pict>
        </mc:Fallback>
      </mc:AlternateConten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FCAC5E">
    <w:pPr>
      <w:spacing w:line="225" w:lineRule="auto"/>
      <w:ind w:left="7004"/>
      <w:rPr>
        <w:rFonts w:ascii="MingLiU-ExtB" w:hAnsi="MingLiU-ExtB" w:eastAsia="MingLiU-ExtB" w:cs="MingLiU-ExtB"/>
        <w:sz w:val="18"/>
        <w:szCs w:val="18"/>
      </w:rPr>
    </w:pPr>
    <w:r>
      <w:rPr>
        <w:sz w:val="18"/>
      </w:rPr>
      <mc:AlternateContent>
        <mc:Choice Requires="wps">
          <w:drawing>
            <wp:anchor distT="0" distB="0" distL="114300" distR="114300" simplePos="0" relativeHeight="2517719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2" name="文本框 1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8DAF60">
                          <w:pPr>
                            <w:pStyle w:val="8"/>
                          </w:pPr>
                          <w:r>
                            <w:fldChar w:fldCharType="begin"/>
                          </w:r>
                          <w:r>
                            <w:instrText xml:space="preserve"> PAGE  \* MERGEFORMAT </w:instrText>
                          </w:r>
                          <w:r>
                            <w:fldChar w:fldCharType="separate"/>
                          </w:r>
                          <w:r>
                            <w:t>156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19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b1M9k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A1pcQwjZKff3w/&#10;//x9/vWNpENIVLswR+SDQ2xs3tkG4cN5wGFi3pRepy84Efgh8OkisGgi4enSbDqbjeHi8A0b4GdP&#10;150P8b2wmiQjpx4VbIVlx22IXegQkrIZu5FKtVVUhtQ5vb56O2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b1M9kzAgAAZQQAAA4AAAAAAAAAAQAgAAAAHwEAAGRycy9lMm9Eb2MueG1sUEsF&#10;BgAAAAAGAAYAWQEAAMQFAAAAAA==&#10;">
              <v:fill on="f" focussize="0,0"/>
              <v:stroke on="f" weight="0.5pt"/>
              <v:imagedata o:title=""/>
              <o:lock v:ext="edit" aspectratio="f"/>
              <v:textbox inset="0mm,0mm,0mm,0mm" style="mso-fit-shape-to-text:t;">
                <w:txbxContent>
                  <w:p w14:paraId="0E8DAF60">
                    <w:pPr>
                      <w:pStyle w:val="8"/>
                    </w:pPr>
                    <w:r>
                      <w:fldChar w:fldCharType="begin"/>
                    </w:r>
                    <w:r>
                      <w:instrText xml:space="preserve"> PAGE  \* MERGEFORMAT </w:instrText>
                    </w:r>
                    <w:r>
                      <w:fldChar w:fldCharType="separate"/>
                    </w:r>
                    <w:r>
                      <w:t>156</w:t>
                    </w:r>
                    <w:r>
                      <w:fldChar w:fldCharType="end"/>
                    </w:r>
                  </w:p>
                </w:txbxContent>
              </v:textbox>
            </v:shape>
          </w:pict>
        </mc:Fallback>
      </mc:AlternateConten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DFDB42">
    <w:pPr>
      <w:spacing w:line="225" w:lineRule="auto"/>
      <w:ind w:left="7004"/>
      <w:rPr>
        <w:rFonts w:ascii="MingLiU-ExtB" w:hAnsi="MingLiU-ExtB" w:eastAsia="MingLiU-ExtB" w:cs="MingLiU-ExtB"/>
        <w:sz w:val="18"/>
        <w:szCs w:val="18"/>
      </w:rPr>
    </w:pPr>
    <w:r>
      <w:rPr>
        <w:sz w:val="18"/>
      </w:rPr>
      <mc:AlternateContent>
        <mc:Choice Requires="wps">
          <w:drawing>
            <wp:anchor distT="0" distB="0" distL="114300" distR="114300" simplePos="0" relativeHeight="2517729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3" name="文本框 1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576CBF">
                          <w:pPr>
                            <w:pStyle w:val="8"/>
                          </w:pPr>
                          <w:r>
                            <w:fldChar w:fldCharType="begin"/>
                          </w:r>
                          <w:r>
                            <w:instrText xml:space="preserve"> PAGE  \* MERGEFORMAT </w:instrText>
                          </w:r>
                          <w:r>
                            <w:fldChar w:fldCharType="separate"/>
                          </w:r>
                          <w:r>
                            <w:t>157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29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1JrUUzAgAAZ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1JrUUzAgAAZQQAAA4AAAAAAAAAAQAgAAAAHwEAAGRycy9lMm9Eb2MueG1sUEsF&#10;BgAAAAAGAAYAWQEAAMQFAAAAAA==&#10;">
              <v:fill on="f" focussize="0,0"/>
              <v:stroke on="f" weight="0.5pt"/>
              <v:imagedata o:title=""/>
              <o:lock v:ext="edit" aspectratio="f"/>
              <v:textbox inset="0mm,0mm,0mm,0mm" style="mso-fit-shape-to-text:t;">
                <w:txbxContent>
                  <w:p w14:paraId="08576CBF">
                    <w:pPr>
                      <w:pStyle w:val="8"/>
                    </w:pPr>
                    <w:r>
                      <w:fldChar w:fldCharType="begin"/>
                    </w:r>
                    <w:r>
                      <w:instrText xml:space="preserve"> PAGE  \* MERGEFORMAT </w:instrText>
                    </w:r>
                    <w:r>
                      <w:fldChar w:fldCharType="separate"/>
                    </w:r>
                    <w:r>
                      <w:t>157</w:t>
                    </w:r>
                    <w:r>
                      <w:fldChar w:fldCharType="end"/>
                    </w:r>
                  </w:p>
                </w:txbxContent>
              </v:textbox>
            </v:shape>
          </w:pict>
        </mc:Fallback>
      </mc:AlternateConten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027E14">
    <w:pPr>
      <w:spacing w:line="225" w:lineRule="auto"/>
      <w:ind w:left="7004"/>
      <w:rPr>
        <w:rFonts w:ascii="MingLiU-ExtB" w:hAnsi="MingLiU-ExtB" w:eastAsia="MingLiU-ExtB" w:cs="MingLiU-ExtB"/>
        <w:sz w:val="18"/>
        <w:szCs w:val="18"/>
      </w:rPr>
    </w:pPr>
    <w:r>
      <w:rPr>
        <w:sz w:val="18"/>
      </w:rPr>
      <mc:AlternateContent>
        <mc:Choice Requires="wps">
          <w:drawing>
            <wp:anchor distT="0" distB="0" distL="114300" distR="114300" simplePos="0" relativeHeight="2517739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4" name="文本框 1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896F4F">
                          <w:pPr>
                            <w:pStyle w:val="8"/>
                          </w:pPr>
                          <w:r>
                            <w:fldChar w:fldCharType="begin"/>
                          </w:r>
                          <w:r>
                            <w:instrText xml:space="preserve"> PAGE  \* MERGEFORMAT </w:instrText>
                          </w:r>
                          <w:r>
                            <w:fldChar w:fldCharType="separate"/>
                          </w:r>
                          <w:r>
                            <w:t>158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39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5wliQ0AgAAZQ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65eU2KYRslP37+d&#10;fvw6/fxK0iEkalyYIfLBITa2b22L8OE84DAxbyuv0xecCPwQ+HgRWLSR8HRpOplOc7g4fMMG+Nnj&#10;dedDfCesJskoqEcFO2HZYRNiHzqEpGzGrqVSXRWVIU1Br6/e5N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cJYkNAIAAGUEAAAOAAAAAAAAAAEAIAAAAB8BAABkcnMvZTJvRG9jLnhtbFBL&#10;BQYAAAAABgAGAFkBAADFBQAAAAA=&#10;">
              <v:fill on="f" focussize="0,0"/>
              <v:stroke on="f" weight="0.5pt"/>
              <v:imagedata o:title=""/>
              <o:lock v:ext="edit" aspectratio="f"/>
              <v:textbox inset="0mm,0mm,0mm,0mm" style="mso-fit-shape-to-text:t;">
                <w:txbxContent>
                  <w:p w14:paraId="58896F4F">
                    <w:pPr>
                      <w:pStyle w:val="8"/>
                    </w:pPr>
                    <w:r>
                      <w:fldChar w:fldCharType="begin"/>
                    </w:r>
                    <w:r>
                      <w:instrText xml:space="preserve"> PAGE  \* MERGEFORMAT </w:instrText>
                    </w:r>
                    <w:r>
                      <w:fldChar w:fldCharType="separate"/>
                    </w:r>
                    <w:r>
                      <w:t>158</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C7ED25">
    <w:pPr>
      <w:spacing w:line="223" w:lineRule="auto"/>
      <w:ind w:left="4578"/>
      <w:rPr>
        <w:rFonts w:ascii="MingLiU-ExtB" w:hAnsi="MingLiU-ExtB" w:eastAsia="MingLiU-ExtB" w:cs="MingLiU-ExtB"/>
        <w:sz w:val="18"/>
        <w:szCs w:val="18"/>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032557">
                          <w:pPr>
                            <w:pStyle w:val="8"/>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7E032557">
                    <w:pPr>
                      <w:pStyle w:val="8"/>
                    </w:pPr>
                    <w:r>
                      <w:fldChar w:fldCharType="begin"/>
                    </w:r>
                    <w:r>
                      <w:instrText xml:space="preserve"> PAGE  \* MERGEFORMAT </w:instrText>
                    </w:r>
                    <w:r>
                      <w:fldChar w:fldCharType="separate"/>
                    </w:r>
                    <w:r>
                      <w:t>14</w:t>
                    </w:r>
                    <w:r>
                      <w:fldChar w:fldCharType="end"/>
                    </w:r>
                  </w:p>
                </w:txbxContent>
              </v:textbox>
            </v:shape>
          </w:pict>
        </mc:Fallback>
      </mc:AlternateConten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9EDEB4">
    <w:pPr>
      <w:spacing w:line="223" w:lineRule="auto"/>
      <w:ind w:left="6997"/>
      <w:rPr>
        <w:rFonts w:ascii="MingLiU-ExtB" w:hAnsi="MingLiU-ExtB" w:eastAsia="MingLiU-ExtB" w:cs="MingLiU-ExtB"/>
        <w:sz w:val="18"/>
        <w:szCs w:val="18"/>
      </w:rPr>
    </w:pPr>
    <w:r>
      <w:rPr>
        <w:sz w:val="18"/>
      </w:rPr>
      <mc:AlternateContent>
        <mc:Choice Requires="wps">
          <w:drawing>
            <wp:anchor distT="0" distB="0" distL="114300" distR="114300" simplePos="0" relativeHeight="2517749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 name="文本框 1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13F1B0">
                          <w:pPr>
                            <w:pStyle w:val="8"/>
                          </w:pPr>
                          <w:r>
                            <w:fldChar w:fldCharType="begin"/>
                          </w:r>
                          <w:r>
                            <w:instrText xml:space="preserve"> PAGE  \* MERGEFORMAT </w:instrText>
                          </w:r>
                          <w:r>
                            <w:fldChar w:fldCharType="separate"/>
                          </w:r>
                          <w:r>
                            <w:t>159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49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XMCLg0AgAAZQ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VzAi4NAIAAGUEAAAOAAAAAAAAAAEAIAAAAB8BAABkcnMvZTJvRG9jLnhtbFBL&#10;BQYAAAAABgAGAFkBAADFBQAAAAA=&#10;">
              <v:fill on="f" focussize="0,0"/>
              <v:stroke on="f" weight="0.5pt"/>
              <v:imagedata o:title=""/>
              <o:lock v:ext="edit" aspectratio="f"/>
              <v:textbox inset="0mm,0mm,0mm,0mm" style="mso-fit-shape-to-text:t;">
                <w:txbxContent>
                  <w:p w14:paraId="6513F1B0">
                    <w:pPr>
                      <w:pStyle w:val="8"/>
                    </w:pPr>
                    <w:r>
                      <w:fldChar w:fldCharType="begin"/>
                    </w:r>
                    <w:r>
                      <w:instrText xml:space="preserve"> PAGE  \* MERGEFORMAT </w:instrText>
                    </w:r>
                    <w:r>
                      <w:fldChar w:fldCharType="separate"/>
                    </w:r>
                    <w:r>
                      <w:t>159</w:t>
                    </w:r>
                    <w:r>
                      <w:fldChar w:fldCharType="end"/>
                    </w:r>
                  </w:p>
                </w:txbxContent>
              </v:textbox>
            </v:shape>
          </w:pict>
        </mc:Fallback>
      </mc:AlternateConten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15F299">
    <w:pPr>
      <w:spacing w:line="225" w:lineRule="auto"/>
      <w:ind w:left="4533"/>
      <w:rPr>
        <w:rFonts w:ascii="MingLiU-ExtB" w:hAnsi="MingLiU-ExtB" w:eastAsia="MingLiU-ExtB" w:cs="MingLiU-ExtB"/>
        <w:sz w:val="18"/>
        <w:szCs w:val="18"/>
      </w:rPr>
    </w:pPr>
    <w:r>
      <w:rPr>
        <w:sz w:val="18"/>
      </w:rPr>
      <mc:AlternateContent>
        <mc:Choice Requires="wps">
          <w:drawing>
            <wp:anchor distT="0" distB="0" distL="114300" distR="114300" simplePos="0" relativeHeight="2517760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6" name="文本框 1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F5E5C6">
                          <w:pPr>
                            <w:pStyle w:val="8"/>
                          </w:pPr>
                          <w:r>
                            <w:fldChar w:fldCharType="begin"/>
                          </w:r>
                          <w:r>
                            <w:instrText xml:space="preserve"> PAGE  \* MERGEFORMAT </w:instrText>
                          </w:r>
                          <w:r>
                            <w:fldChar w:fldCharType="separate"/>
                          </w:r>
                          <w:r>
                            <w:t>160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60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kO2sYzAgAAZQ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kO2sYzAgAAZQQAAA4AAAAAAAAAAQAgAAAAHwEAAGRycy9lMm9Eb2MueG1sUEsF&#10;BgAAAAAGAAYAWQEAAMQFAAAAAA==&#10;">
              <v:fill on="f" focussize="0,0"/>
              <v:stroke on="f" weight="0.5pt"/>
              <v:imagedata o:title=""/>
              <o:lock v:ext="edit" aspectratio="f"/>
              <v:textbox inset="0mm,0mm,0mm,0mm" style="mso-fit-shape-to-text:t;">
                <w:txbxContent>
                  <w:p w14:paraId="0BF5E5C6">
                    <w:pPr>
                      <w:pStyle w:val="8"/>
                    </w:pPr>
                    <w:r>
                      <w:fldChar w:fldCharType="begin"/>
                    </w:r>
                    <w:r>
                      <w:instrText xml:space="preserve"> PAGE  \* MERGEFORMAT </w:instrText>
                    </w:r>
                    <w:r>
                      <w:fldChar w:fldCharType="separate"/>
                    </w:r>
                    <w:r>
                      <w:t>160</w:t>
                    </w:r>
                    <w:r>
                      <w:fldChar w:fldCharType="end"/>
                    </w:r>
                  </w:p>
                </w:txbxContent>
              </v:textbox>
            </v:shape>
          </w:pict>
        </mc:Fallback>
      </mc:AlternateConten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36E372">
    <w:pPr>
      <w:spacing w:line="225" w:lineRule="auto"/>
      <w:ind w:left="4530"/>
      <w:rPr>
        <w:rFonts w:ascii="MingLiU-ExtB" w:hAnsi="MingLiU-ExtB" w:eastAsia="MingLiU-ExtB" w:cs="MingLiU-ExtB"/>
        <w:sz w:val="18"/>
        <w:szCs w:val="18"/>
      </w:rPr>
    </w:pPr>
    <w:r>
      <w:rPr>
        <w:sz w:val="18"/>
      </w:rPr>
      <mc:AlternateContent>
        <mc:Choice Requires="wps">
          <w:drawing>
            <wp:anchor distT="0" distB="0" distL="114300" distR="114300" simplePos="0" relativeHeight="2517770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7" name="文本框 1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E0EE71">
                          <w:pPr>
                            <w:pStyle w:val="8"/>
                          </w:pPr>
                          <w:r>
                            <w:fldChar w:fldCharType="begin"/>
                          </w:r>
                          <w:r>
                            <w:instrText xml:space="preserve"> PAGE  \* MERGEFORMAT </w:instrText>
                          </w:r>
                          <w:r>
                            <w:fldChar w:fldCharType="separate"/>
                          </w:r>
                          <w:r>
                            <w:t>161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70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yRFo0AgAAZQ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67eUGKYRslP37+d&#10;fvw6/fxK0iEkalyYIfLBITa2b22L8OE84DAxbyuv0xecCPwQ+HgRWLSR8HRpOplOc7g4fMMG+Nnj&#10;dedDfCesJskoqEcFO2HZYRNiHzqEpGzGrqVSXRWVIU1Br69e59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CskRaNAIAAGUEAAAOAAAAAAAAAAEAIAAAAB8BAABkcnMvZTJvRG9jLnhtbFBL&#10;BQYAAAAABgAGAFkBAADFBQAAAAA=&#10;">
              <v:fill on="f" focussize="0,0"/>
              <v:stroke on="f" weight="0.5pt"/>
              <v:imagedata o:title=""/>
              <o:lock v:ext="edit" aspectratio="f"/>
              <v:textbox inset="0mm,0mm,0mm,0mm" style="mso-fit-shape-to-text:t;">
                <w:txbxContent>
                  <w:p w14:paraId="34E0EE71">
                    <w:pPr>
                      <w:pStyle w:val="8"/>
                    </w:pPr>
                    <w:r>
                      <w:fldChar w:fldCharType="begin"/>
                    </w:r>
                    <w:r>
                      <w:instrText xml:space="preserve"> PAGE  \* MERGEFORMAT </w:instrText>
                    </w:r>
                    <w:r>
                      <w:fldChar w:fldCharType="separate"/>
                    </w:r>
                    <w:r>
                      <w:t>161</w:t>
                    </w:r>
                    <w:r>
                      <w:fldChar w:fldCharType="end"/>
                    </w:r>
                  </w:p>
                </w:txbxContent>
              </v:textbox>
            </v:shape>
          </w:pict>
        </mc:Fallback>
      </mc:AlternateConten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DB0AAE">
    <w:pPr>
      <w:spacing w:line="225" w:lineRule="auto"/>
      <w:ind w:left="4533"/>
      <w:rPr>
        <w:rFonts w:ascii="MingLiU-ExtB" w:hAnsi="MingLiU-ExtB" w:eastAsia="MingLiU-ExtB" w:cs="MingLiU-ExtB"/>
        <w:sz w:val="18"/>
        <w:szCs w:val="18"/>
      </w:rPr>
    </w:pPr>
    <w:r>
      <w:rPr>
        <w:sz w:val="18"/>
      </w:rPr>
      <mc:AlternateContent>
        <mc:Choice Requires="wps">
          <w:drawing>
            <wp:anchor distT="0" distB="0" distL="114300" distR="114300" simplePos="0" relativeHeight="2517780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8" name="文本框 1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37B4DF">
                          <w:pPr>
                            <w:pStyle w:val="8"/>
                          </w:pPr>
                          <w:r>
                            <w:fldChar w:fldCharType="begin"/>
                          </w:r>
                          <w:r>
                            <w:instrText xml:space="preserve"> PAGE  \* MERGEFORMAT </w:instrText>
                          </w:r>
                          <w:r>
                            <w:fldChar w:fldCharType="separate"/>
                          </w:r>
                          <w:r>
                            <w:t>162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780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99rAQ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99rAQzAgAAZQQAAA4AAAAAAAAAAQAgAAAAHwEAAGRycy9lMm9Eb2MueG1sUEsF&#10;BgAAAAAGAAYAWQEAAMQFAAAAAA==&#10;">
              <v:fill on="f" focussize="0,0"/>
              <v:stroke on="f" weight="0.5pt"/>
              <v:imagedata o:title=""/>
              <o:lock v:ext="edit" aspectratio="f"/>
              <v:textbox inset="0mm,0mm,0mm,0mm" style="mso-fit-shape-to-text:t;">
                <w:txbxContent>
                  <w:p w14:paraId="2E37B4DF">
                    <w:pPr>
                      <w:pStyle w:val="8"/>
                    </w:pPr>
                    <w:r>
                      <w:fldChar w:fldCharType="begin"/>
                    </w:r>
                    <w:r>
                      <w:instrText xml:space="preserve"> PAGE  \* MERGEFORMAT </w:instrText>
                    </w:r>
                    <w:r>
                      <w:fldChar w:fldCharType="separate"/>
                    </w:r>
                    <w:r>
                      <w:t>162</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3DE00F">
    <w:pPr>
      <w:spacing w:line="227" w:lineRule="auto"/>
      <w:ind w:left="4567"/>
      <w:rPr>
        <w:rFonts w:ascii="MingLiU-ExtB" w:hAnsi="MingLiU-ExtB" w:eastAsia="MingLiU-ExtB" w:cs="MingLiU-ExtB"/>
        <w:sz w:val="18"/>
        <w:szCs w:val="18"/>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F3F5BE">
                          <w:pPr>
                            <w:pStyle w:val="8"/>
                          </w:pPr>
                          <w:r>
                            <w:fldChar w:fldCharType="begin"/>
                          </w:r>
                          <w:r>
                            <w:instrText xml:space="preserve"> PAGE  \* MERGEFORMAT </w:instrText>
                          </w:r>
                          <w:r>
                            <w:fldChar w:fldCharType="separate"/>
                          </w:r>
                          <w:r>
                            <w:t>17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53F3F5BE">
                    <w:pPr>
                      <w:pStyle w:val="8"/>
                    </w:pPr>
                    <w:r>
                      <w:fldChar w:fldCharType="begin"/>
                    </w:r>
                    <w:r>
                      <w:instrText xml:space="preserve"> PAGE  \* MERGEFORMAT </w:instrText>
                    </w:r>
                    <w:r>
                      <w:fldChar w:fldCharType="separate"/>
                    </w:r>
                    <w:r>
                      <w:t>17</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C5CD2F">
    <w:pPr>
      <w:spacing w:line="225" w:lineRule="auto"/>
      <w:ind w:left="4567"/>
      <w:rPr>
        <w:rFonts w:ascii="MingLiU-ExtB" w:hAnsi="MingLiU-ExtB" w:eastAsia="MingLiU-ExtB" w:cs="MingLiU-ExtB"/>
        <w:sz w:val="18"/>
        <w:szCs w:val="18"/>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A22706">
                          <w:pPr>
                            <w:pStyle w:val="8"/>
                          </w:pPr>
                          <w:r>
                            <w:fldChar w:fldCharType="begin"/>
                          </w:r>
                          <w:r>
                            <w:instrText xml:space="preserve"> PAGE  \* MERGEFORMAT </w:instrText>
                          </w:r>
                          <w:r>
                            <w:fldChar w:fldCharType="separate"/>
                          </w:r>
                          <w:r>
                            <w:t>20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4CA22706">
                    <w:pPr>
                      <w:pStyle w:val="8"/>
                    </w:pPr>
                    <w:r>
                      <w:fldChar w:fldCharType="begin"/>
                    </w:r>
                    <w:r>
                      <w:instrText xml:space="preserve"> PAGE  \* MERGEFORMAT </w:instrText>
                    </w:r>
                    <w:r>
                      <w:fldChar w:fldCharType="separate"/>
                    </w:r>
                    <w:r>
                      <w:t>20</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6B051D">
    <w:pPr>
      <w:spacing w:line="227" w:lineRule="auto"/>
      <w:ind w:left="4567"/>
      <w:rPr>
        <w:rFonts w:ascii="MingLiU-ExtB" w:hAnsi="MingLiU-ExtB" w:eastAsia="MingLiU-ExtB" w:cs="MingLiU-ExtB"/>
        <w:sz w:val="18"/>
        <w:szCs w:val="18"/>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B07901">
                          <w:pPr>
                            <w:pStyle w:val="8"/>
                          </w:pPr>
                          <w:r>
                            <w:fldChar w:fldCharType="begin"/>
                          </w:r>
                          <w:r>
                            <w:instrText xml:space="preserve"> PAGE  \* MERGEFORMAT </w:instrText>
                          </w:r>
                          <w:r>
                            <w:fldChar w:fldCharType="separate"/>
                          </w:r>
                          <w:r>
                            <w:t>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63B07901">
                    <w:pPr>
                      <w:pStyle w:val="8"/>
                    </w:pPr>
                    <w:r>
                      <w:fldChar w:fldCharType="begin"/>
                    </w:r>
                    <w:r>
                      <w:instrText xml:space="preserve"> PAGE  \* MERGEFORMAT </w:instrText>
                    </w:r>
                    <w:r>
                      <w:fldChar w:fldCharType="separate"/>
                    </w:r>
                    <w:r>
                      <w:t>21</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B9552D">
    <w:pPr>
      <w:spacing w:line="225" w:lineRule="auto"/>
      <w:ind w:left="4567"/>
      <w:rPr>
        <w:rFonts w:ascii="MingLiU-ExtB" w:hAnsi="MingLiU-ExtB" w:eastAsia="MingLiU-ExtB" w:cs="MingLiU-ExtB"/>
        <w:sz w:val="18"/>
        <w:szCs w:val="18"/>
      </w:rP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F065E6">
                          <w:pPr>
                            <w:pStyle w:val="8"/>
                          </w:pPr>
                          <w:r>
                            <w:fldChar w:fldCharType="begin"/>
                          </w:r>
                          <w:r>
                            <w:instrText xml:space="preserve"> PAGE  \* MERGEFORMAT </w:instrText>
                          </w:r>
                          <w:r>
                            <w:fldChar w:fldCharType="separate"/>
                          </w:r>
                          <w:r>
                            <w:t>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43F065E6">
                    <w:pPr>
                      <w:pStyle w:val="8"/>
                    </w:pPr>
                    <w:r>
                      <w:fldChar w:fldCharType="begin"/>
                    </w:r>
                    <w:r>
                      <w:instrText xml:space="preserve"> PAGE  \* MERGEFORMAT </w:instrText>
                    </w:r>
                    <w:r>
                      <w:fldChar w:fldCharType="separate"/>
                    </w:r>
                    <w:r>
                      <w:t>22</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4487A2">
    <w:pPr>
      <w:spacing w:line="225" w:lineRule="auto"/>
      <w:ind w:left="4567"/>
      <w:rPr>
        <w:rFonts w:ascii="MingLiU-ExtB" w:hAnsi="MingLiU-ExtB" w:eastAsia="MingLiU-ExtB" w:cs="MingLiU-ExtB"/>
        <w:sz w:val="18"/>
        <w:szCs w:val="18"/>
      </w:rPr>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F1DBB5">
                          <w:pPr>
                            <w:pStyle w:val="8"/>
                          </w:pPr>
                          <w:r>
                            <w:fldChar w:fldCharType="begin"/>
                          </w:r>
                          <w:r>
                            <w:instrText xml:space="preserve"> PAGE  \* MERGEFORMAT </w:instrText>
                          </w:r>
                          <w:r>
                            <w:fldChar w:fldCharType="separate"/>
                          </w:r>
                          <w:r>
                            <w:t>23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41F1DBB5">
                    <w:pPr>
                      <w:pStyle w:val="8"/>
                    </w:pPr>
                    <w:r>
                      <w:fldChar w:fldCharType="begin"/>
                    </w:r>
                    <w:r>
                      <w:instrText xml:space="preserve"> PAGE  \* MERGEFORMAT </w:instrText>
                    </w:r>
                    <w:r>
                      <w:fldChar w:fldCharType="separate"/>
                    </w:r>
                    <w:r>
                      <w:t>23</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47BE3E">
    <w:pPr>
      <w:spacing w:line="226" w:lineRule="auto"/>
      <w:ind w:left="4567"/>
      <w:rPr>
        <w:rFonts w:ascii="MingLiU-ExtB" w:hAnsi="MingLiU-ExtB" w:eastAsia="MingLiU-ExtB" w:cs="MingLiU-ExtB"/>
        <w:sz w:val="18"/>
        <w:szCs w:val="18"/>
      </w:rP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4AC2A0">
                          <w:pPr>
                            <w:pStyle w:val="8"/>
                          </w:pPr>
                          <w:r>
                            <w:fldChar w:fldCharType="begin"/>
                          </w:r>
                          <w:r>
                            <w:instrText xml:space="preserve"> PAGE  \* MERGEFORMAT </w:instrText>
                          </w:r>
                          <w:r>
                            <w:fldChar w:fldCharType="separate"/>
                          </w:r>
                          <w:r>
                            <w:t>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444AC2A0">
                    <w:pPr>
                      <w:pStyle w:val="8"/>
                    </w:pPr>
                    <w:r>
                      <w:fldChar w:fldCharType="begin"/>
                    </w:r>
                    <w:r>
                      <w:instrText xml:space="preserve"> PAGE  \* MERGEFORMAT </w:instrText>
                    </w:r>
                    <w:r>
                      <w:fldChar w:fldCharType="separate"/>
                    </w:r>
                    <w:r>
                      <w:t>24</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B77CDA">
    <w:pPr>
      <w:spacing w:line="225" w:lineRule="auto"/>
      <w:ind w:left="4566"/>
      <w:rPr>
        <w:rFonts w:ascii="MingLiU-ExtB" w:hAnsi="MingLiU-ExtB" w:eastAsia="MingLiU-ExtB" w:cs="MingLiU-ExtB"/>
        <w:sz w:val="18"/>
        <w:szCs w:val="18"/>
      </w:rP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BDBE83">
                          <w:pPr>
                            <w:pStyle w:val="8"/>
                          </w:pPr>
                          <w:r>
                            <w:fldChar w:fldCharType="begin"/>
                          </w:r>
                          <w:r>
                            <w:instrText xml:space="preserve"> PAGE  \* MERGEFORMAT </w:instrText>
                          </w:r>
                          <w:r>
                            <w:fldChar w:fldCharType="separate"/>
                          </w:r>
                          <w:r>
                            <w:t>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69BDBE83">
                    <w:pPr>
                      <w:pStyle w:val="8"/>
                    </w:pPr>
                    <w:r>
                      <w:fldChar w:fldCharType="begin"/>
                    </w:r>
                    <w:r>
                      <w:instrText xml:space="preserve"> PAGE  \* MERGEFORMAT </w:instrText>
                    </w:r>
                    <w:r>
                      <w:fldChar w:fldCharType="separate"/>
                    </w:r>
                    <w:r>
                      <w:t>25</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F5EA2A">
    <w:pPr>
      <w:spacing w:line="225" w:lineRule="auto"/>
      <w:ind w:left="4568"/>
      <w:rPr>
        <w:rFonts w:ascii="MingLiU-ExtB" w:hAnsi="MingLiU-ExtB" w:eastAsia="MingLiU-ExtB" w:cs="MingLiU-ExtB"/>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58CF93">
                          <w:pPr>
                            <w:pStyle w:val="8"/>
                          </w:pPr>
                          <w:r>
                            <w:fldChar w:fldCharType="begin"/>
                          </w:r>
                          <w:r>
                            <w:instrText xml:space="preserve"> PAGE  \* MERGEFORMAT </w:instrText>
                          </w:r>
                          <w:r>
                            <w:fldChar w:fldCharType="separate"/>
                          </w:r>
                          <w:r>
                            <w:t>27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6558CF93">
                    <w:pPr>
                      <w:pStyle w:val="8"/>
                    </w:pPr>
                    <w:r>
                      <w:fldChar w:fldCharType="begin"/>
                    </w:r>
                    <w:r>
                      <w:instrText xml:space="preserve"> PAGE  \* MERGEFORMAT </w:instrText>
                    </w:r>
                    <w:r>
                      <w:fldChar w:fldCharType="separate"/>
                    </w:r>
                    <w:r>
                      <w:t>27</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01BB77">
    <w:pPr>
      <w:pStyle w:val="8"/>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D150C4">
                          <w:pPr>
                            <w:pStyle w:val="8"/>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52D150C4">
                    <w:pPr>
                      <w:pStyle w:val="8"/>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99D9D7">
    <w:pPr>
      <w:spacing w:line="225" w:lineRule="auto"/>
      <w:ind w:left="4570"/>
      <w:rPr>
        <w:rFonts w:ascii="MingLiU-ExtB" w:hAnsi="MingLiU-ExtB" w:eastAsia="MingLiU-ExtB" w:cs="MingLiU-ExtB"/>
        <w:sz w:val="18"/>
        <w:szCs w:val="18"/>
      </w:rP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995752">
                          <w:pPr>
                            <w:pStyle w:val="8"/>
                          </w:pPr>
                          <w:r>
                            <w:fldChar w:fldCharType="begin"/>
                          </w:r>
                          <w:r>
                            <w:instrText xml:space="preserve"> PAGE  \* MERGEFORMAT </w:instrText>
                          </w:r>
                          <w:r>
                            <w:fldChar w:fldCharType="separate"/>
                          </w:r>
                          <w:r>
                            <w:t>28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14:paraId="78995752">
                    <w:pPr>
                      <w:pStyle w:val="8"/>
                    </w:pPr>
                    <w:r>
                      <w:fldChar w:fldCharType="begin"/>
                    </w:r>
                    <w:r>
                      <w:instrText xml:space="preserve"> PAGE  \* MERGEFORMAT </w:instrText>
                    </w:r>
                    <w:r>
                      <w:fldChar w:fldCharType="separate"/>
                    </w:r>
                    <w:r>
                      <w:t>28</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C48205">
    <w:pPr>
      <w:spacing w:line="225" w:lineRule="auto"/>
      <w:ind w:left="4713"/>
      <w:rPr>
        <w:rFonts w:ascii="MingLiU-ExtB" w:hAnsi="MingLiU-ExtB" w:eastAsia="MingLiU-ExtB" w:cs="MingLiU-ExtB"/>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EA6D2A">
                          <w:pPr>
                            <w:pStyle w:val="8"/>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3DEA6D2A">
                    <w:pPr>
                      <w:pStyle w:val="8"/>
                    </w:pPr>
                    <w:r>
                      <w:fldChar w:fldCharType="begin"/>
                    </w:r>
                    <w:r>
                      <w:instrText xml:space="preserve"> PAGE  \* MERGEFORMAT </w:instrText>
                    </w:r>
                    <w:r>
                      <w:fldChar w:fldCharType="separate"/>
                    </w:r>
                    <w:r>
                      <w:t>31</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16A6DC">
    <w:pPr>
      <w:spacing w:line="225" w:lineRule="auto"/>
      <w:ind w:left="4713"/>
      <w:rPr>
        <w:rFonts w:ascii="MingLiU-ExtB" w:hAnsi="MingLiU-ExtB" w:eastAsia="MingLiU-ExtB" w:cs="MingLiU-ExtB"/>
        <w:sz w:val="18"/>
        <w:szCs w:val="18"/>
      </w:rP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13FD8A">
                          <w:pPr>
                            <w:pStyle w:val="8"/>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14:paraId="2B13FD8A">
                    <w:pPr>
                      <w:pStyle w:val="8"/>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6AA20F">
    <w:pPr>
      <w:spacing w:line="225" w:lineRule="auto"/>
      <w:ind w:left="4449"/>
      <w:rPr>
        <w:rFonts w:ascii="MingLiU-ExtB" w:hAnsi="MingLiU-ExtB" w:eastAsia="MingLiU-ExtB" w:cs="MingLiU-ExtB"/>
        <w:sz w:val="18"/>
        <w:szCs w:val="18"/>
      </w:rPr>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83D31F">
                          <w:pPr>
                            <w:pStyle w:val="8"/>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14:paraId="3583D31F">
                    <w:pPr>
                      <w:pStyle w:val="8"/>
                    </w:pPr>
                    <w:r>
                      <w:fldChar w:fldCharType="begin"/>
                    </w:r>
                    <w:r>
                      <w:instrText xml:space="preserve"> PAGE  \* MERGEFORMAT </w:instrText>
                    </w:r>
                    <w:r>
                      <w:fldChar w:fldCharType="separate"/>
                    </w:r>
                    <w:r>
                      <w:t>33</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25A573">
    <w:pPr>
      <w:spacing w:line="225" w:lineRule="auto"/>
      <w:ind w:left="4450"/>
      <w:rPr>
        <w:rFonts w:ascii="MingLiU-ExtB" w:hAnsi="MingLiU-ExtB" w:eastAsia="MingLiU-ExtB" w:cs="MingLiU-ExtB"/>
        <w:sz w:val="18"/>
        <w:szCs w:val="18"/>
      </w:rPr>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279AFB">
                          <w:pPr>
                            <w:pStyle w:val="8"/>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14:paraId="09279AFB">
                    <w:pPr>
                      <w:pStyle w:val="8"/>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4E6738">
    <w:pPr>
      <w:spacing w:line="225" w:lineRule="auto"/>
      <w:ind w:left="4457"/>
      <w:rPr>
        <w:rFonts w:ascii="MingLiU-ExtB" w:hAnsi="MingLiU-ExtB" w:eastAsia="MingLiU-ExtB" w:cs="MingLiU-ExtB"/>
        <w:sz w:val="18"/>
        <w:szCs w:val="18"/>
      </w:rPr>
    </w:pPr>
    <w:r>
      <w:rPr>
        <w:sz w:val="18"/>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E9AD52">
                          <w:pPr>
                            <w:pStyle w:val="8"/>
                          </w:pPr>
                          <w:r>
                            <w:fldChar w:fldCharType="begin"/>
                          </w:r>
                          <w:r>
                            <w:instrText xml:space="preserve"> PAGE  \* MERGEFORMAT </w:instrText>
                          </w:r>
                          <w:r>
                            <w:fldChar w:fldCharType="separate"/>
                          </w:r>
                          <w:r>
                            <w:t>35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14:paraId="2DE9AD52">
                    <w:pPr>
                      <w:pStyle w:val="8"/>
                    </w:pPr>
                    <w:r>
                      <w:fldChar w:fldCharType="begin"/>
                    </w:r>
                    <w:r>
                      <w:instrText xml:space="preserve"> PAGE  \* MERGEFORMAT </w:instrText>
                    </w:r>
                    <w:r>
                      <w:fldChar w:fldCharType="separate"/>
                    </w:r>
                    <w:r>
                      <w:t>35</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296982">
    <w:pPr>
      <w:spacing w:line="223" w:lineRule="auto"/>
      <w:ind w:left="4449"/>
      <w:rPr>
        <w:rFonts w:ascii="MingLiU-ExtB" w:hAnsi="MingLiU-ExtB" w:eastAsia="MingLiU-ExtB" w:cs="MingLiU-ExtB"/>
        <w:sz w:val="18"/>
        <w:szCs w:val="18"/>
      </w:rPr>
    </w:pPr>
    <w:r>
      <w:rPr>
        <w:sz w:val="18"/>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C8AB29">
                          <w:pPr>
                            <w:pStyle w:val="8"/>
                          </w:pPr>
                          <w:r>
                            <w:fldChar w:fldCharType="begin"/>
                          </w:r>
                          <w:r>
                            <w:instrText xml:space="preserve"> PAGE  \* MERGEFORMAT </w:instrText>
                          </w:r>
                          <w:r>
                            <w:fldChar w:fldCharType="separate"/>
                          </w:r>
                          <w:r>
                            <w:t>36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14:paraId="39C8AB29">
                    <w:pPr>
                      <w:pStyle w:val="8"/>
                    </w:pPr>
                    <w:r>
                      <w:fldChar w:fldCharType="begin"/>
                    </w:r>
                    <w:r>
                      <w:instrText xml:space="preserve"> PAGE  \* MERGEFORMAT </w:instrText>
                    </w:r>
                    <w:r>
                      <w:fldChar w:fldCharType="separate"/>
                    </w:r>
                    <w:r>
                      <w:t>36</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A1C47C">
    <w:pPr>
      <w:spacing w:line="225" w:lineRule="auto"/>
      <w:ind w:left="4446"/>
      <w:rPr>
        <w:rFonts w:ascii="MingLiU-ExtB" w:hAnsi="MingLiU-ExtB" w:eastAsia="MingLiU-ExtB" w:cs="MingLiU-ExtB"/>
        <w:sz w:val="18"/>
        <w:szCs w:val="18"/>
      </w:rPr>
    </w:pPr>
    <w:r>
      <w:rPr>
        <w:sz w:val="18"/>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E09C17">
                          <w:pPr>
                            <w:pStyle w:val="8"/>
                          </w:pPr>
                          <w:r>
                            <w:fldChar w:fldCharType="begin"/>
                          </w:r>
                          <w:r>
                            <w:instrText xml:space="preserve"> PAGE  \* MERGEFORMAT </w:instrText>
                          </w:r>
                          <w:r>
                            <w:fldChar w:fldCharType="separate"/>
                          </w:r>
                          <w:r>
                            <w:t>37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14:paraId="7EE09C17">
                    <w:pPr>
                      <w:pStyle w:val="8"/>
                    </w:pPr>
                    <w:r>
                      <w:fldChar w:fldCharType="begin"/>
                    </w:r>
                    <w:r>
                      <w:instrText xml:space="preserve"> PAGE  \* MERGEFORMAT </w:instrText>
                    </w:r>
                    <w:r>
                      <w:fldChar w:fldCharType="separate"/>
                    </w:r>
                    <w:r>
                      <w:t>37</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6EA546">
    <w:pPr>
      <w:spacing w:line="227" w:lineRule="auto"/>
      <w:ind w:left="4443"/>
      <w:rPr>
        <w:rFonts w:ascii="MingLiU-ExtB" w:hAnsi="MingLiU-ExtB" w:eastAsia="MingLiU-ExtB" w:cs="MingLiU-ExtB"/>
        <w:sz w:val="18"/>
        <w:szCs w:val="18"/>
      </w:rPr>
    </w:pPr>
    <w:r>
      <w:rPr>
        <w:sz w:val="18"/>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56BAA2">
                          <w:pPr>
                            <w:pStyle w:val="8"/>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14:paraId="4F56BAA2">
                    <w:pPr>
                      <w:pStyle w:val="8"/>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29B271">
    <w:pPr>
      <w:spacing w:line="227" w:lineRule="auto"/>
      <w:ind w:left="4446"/>
      <w:rPr>
        <w:rFonts w:ascii="MingLiU-ExtB" w:hAnsi="MingLiU-ExtB" w:eastAsia="MingLiU-ExtB" w:cs="MingLiU-ExtB"/>
        <w:sz w:val="18"/>
        <w:szCs w:val="18"/>
      </w:rPr>
    </w:pPr>
    <w:r>
      <w:rPr>
        <w:sz w:val="18"/>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A06D20">
                          <w:pPr>
                            <w:pStyle w:val="8"/>
                          </w:pPr>
                          <w:r>
                            <w:fldChar w:fldCharType="begin"/>
                          </w:r>
                          <w:r>
                            <w:instrText xml:space="preserve"> PAGE  \* MERGEFORMAT </w:instrText>
                          </w:r>
                          <w:r>
                            <w:fldChar w:fldCharType="separate"/>
                          </w:r>
                          <w:r>
                            <w:t>39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14:paraId="11A06D20">
                    <w:pPr>
                      <w:pStyle w:val="8"/>
                    </w:pPr>
                    <w:r>
                      <w:fldChar w:fldCharType="begin"/>
                    </w:r>
                    <w:r>
                      <w:instrText xml:space="preserve"> PAGE  \* MERGEFORMAT </w:instrText>
                    </w:r>
                    <w:r>
                      <w:fldChar w:fldCharType="separate"/>
                    </w:r>
                    <w:r>
                      <w:t>39</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9DA547">
    <w:pPr>
      <w:pStyle w:val="8"/>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05BD08">
                          <w:pPr>
                            <w:pStyle w:val="8"/>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0D05BD08">
                    <w:pPr>
                      <w:pStyle w:val="8"/>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1632F4">
    <w:pPr>
      <w:spacing w:line="225" w:lineRule="auto"/>
      <w:ind w:left="4452"/>
      <w:rPr>
        <w:rFonts w:ascii="MingLiU-ExtB" w:hAnsi="MingLiU-ExtB" w:eastAsia="MingLiU-ExtB" w:cs="MingLiU-ExtB"/>
        <w:sz w:val="18"/>
        <w:szCs w:val="18"/>
      </w:rPr>
    </w:pPr>
    <w:r>
      <w:rPr>
        <w:sz w:val="18"/>
      </w:rP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879657">
                          <w:pPr>
                            <w:pStyle w:val="8"/>
                          </w:pPr>
                          <w:r>
                            <w:fldChar w:fldCharType="begin"/>
                          </w:r>
                          <w:r>
                            <w:instrText xml:space="preserve"> PAGE  \* MERGEFORMAT </w:instrText>
                          </w:r>
                          <w:r>
                            <w:fldChar w:fldCharType="separate"/>
                          </w:r>
                          <w:r>
                            <w:t>40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v:fill on="f" focussize="0,0"/>
              <v:stroke on="f" weight="0.5pt"/>
              <v:imagedata o:title=""/>
              <o:lock v:ext="edit" aspectratio="f"/>
              <v:textbox inset="0mm,0mm,0mm,0mm" style="mso-fit-shape-to-text:t;">
                <w:txbxContent>
                  <w:p w14:paraId="14879657">
                    <w:pPr>
                      <w:pStyle w:val="8"/>
                    </w:pPr>
                    <w:r>
                      <w:fldChar w:fldCharType="begin"/>
                    </w:r>
                    <w:r>
                      <w:instrText xml:space="preserve"> PAGE  \* MERGEFORMAT </w:instrText>
                    </w:r>
                    <w:r>
                      <w:fldChar w:fldCharType="separate"/>
                    </w:r>
                    <w:r>
                      <w:t>40</w:t>
                    </w:r>
                    <w: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CF56DC">
    <w:pPr>
      <w:spacing w:line="227" w:lineRule="auto"/>
      <w:ind w:left="4452"/>
      <w:rPr>
        <w:rFonts w:ascii="MingLiU-ExtB" w:hAnsi="MingLiU-ExtB" w:eastAsia="MingLiU-ExtB" w:cs="MingLiU-ExtB"/>
        <w:sz w:val="18"/>
        <w:szCs w:val="18"/>
      </w:rPr>
    </w:pPr>
    <w:r>
      <w:rPr>
        <w:sz w:val="18"/>
      </w:rPr>
      <mc:AlternateContent>
        <mc:Choice Requires="wps">
          <w:drawing>
            <wp:anchor distT="0" distB="0" distL="114300" distR="114300" simplePos="0" relativeHeight="251692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35A875">
                          <w:pPr>
                            <w:pStyle w:val="8"/>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2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14:paraId="1B35A875">
                    <w:pPr>
                      <w:pStyle w:val="8"/>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DF777C">
    <w:pPr>
      <w:spacing w:line="225" w:lineRule="auto"/>
      <w:ind w:left="4455"/>
      <w:rPr>
        <w:rFonts w:ascii="MingLiU-ExtB" w:hAnsi="MingLiU-ExtB" w:eastAsia="MingLiU-ExtB" w:cs="MingLiU-ExtB"/>
        <w:sz w:val="18"/>
        <w:szCs w:val="18"/>
      </w:rPr>
    </w:pPr>
    <w:r>
      <w:rPr>
        <w:sz w:val="18"/>
      </w:rPr>
      <mc:AlternateContent>
        <mc:Choice Requires="wps">
          <w:drawing>
            <wp:anchor distT="0" distB="0" distL="114300" distR="114300" simplePos="0" relativeHeight="251693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62EEE7">
                          <w:pPr>
                            <w:pStyle w:val="8"/>
                          </w:pPr>
                          <w:r>
                            <w:fldChar w:fldCharType="begin"/>
                          </w:r>
                          <w:r>
                            <w:instrText xml:space="preserve"> PAGE  \* MERGEFORMAT </w:instrText>
                          </w:r>
                          <w:r>
                            <w:fldChar w:fldCharType="separate"/>
                          </w:r>
                          <w:r>
                            <w:t>42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3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b3G8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Sb3G8zAgAAYwQAAA4AAAAAAAAAAQAgAAAAHwEAAGRycy9lMm9Eb2MueG1sUEsF&#10;BgAAAAAGAAYAWQEAAMQFAAAAAA==&#10;">
              <v:fill on="f" focussize="0,0"/>
              <v:stroke on="f" weight="0.5pt"/>
              <v:imagedata o:title=""/>
              <o:lock v:ext="edit" aspectratio="f"/>
              <v:textbox inset="0mm,0mm,0mm,0mm" style="mso-fit-shape-to-text:t;">
                <w:txbxContent>
                  <w:p w14:paraId="0462EEE7">
                    <w:pPr>
                      <w:pStyle w:val="8"/>
                    </w:pPr>
                    <w:r>
                      <w:fldChar w:fldCharType="begin"/>
                    </w:r>
                    <w:r>
                      <w:instrText xml:space="preserve"> PAGE  \* MERGEFORMAT </w:instrText>
                    </w:r>
                    <w:r>
                      <w:fldChar w:fldCharType="separate"/>
                    </w:r>
                    <w:r>
                      <w:t>42</w:t>
                    </w:r>
                    <w:r>
                      <w:fldChar w:fldCharType="end"/>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FEF6C4">
    <w:pPr>
      <w:spacing w:line="225" w:lineRule="auto"/>
      <w:ind w:left="4452"/>
      <w:rPr>
        <w:rFonts w:ascii="MingLiU-ExtB" w:hAnsi="MingLiU-ExtB" w:eastAsia="MingLiU-ExtB" w:cs="MingLiU-ExtB"/>
        <w:sz w:val="18"/>
        <w:szCs w:val="18"/>
      </w:rPr>
    </w:pPr>
    <w:r>
      <w:rPr>
        <w:sz w:val="18"/>
      </w:rPr>
      <mc:AlternateContent>
        <mc:Choice Requires="wps">
          <w:drawing>
            <wp:anchor distT="0" distB="0" distL="114300" distR="114300" simplePos="0" relativeHeight="251694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4111BC">
                          <w:pPr>
                            <w:pStyle w:val="8"/>
                          </w:pPr>
                          <w:r>
                            <w:fldChar w:fldCharType="begin"/>
                          </w:r>
                          <w:r>
                            <w:instrText xml:space="preserve"> PAGE  \* MERGEFORMAT </w:instrText>
                          </w:r>
                          <w:r>
                            <w:fldChar w:fldCharType="separate"/>
                          </w:r>
                          <w:r>
                            <w:t>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4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zS4A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YzS4AzAgAAYwQAAA4AAAAAAAAAAQAgAAAAHwEAAGRycy9lMm9Eb2MueG1sUEsF&#10;BgAAAAAGAAYAWQEAAMQFAAAAAA==&#10;">
              <v:fill on="f" focussize="0,0"/>
              <v:stroke on="f" weight="0.5pt"/>
              <v:imagedata o:title=""/>
              <o:lock v:ext="edit" aspectratio="f"/>
              <v:textbox inset="0mm,0mm,0mm,0mm" style="mso-fit-shape-to-text:t;">
                <w:txbxContent>
                  <w:p w14:paraId="424111BC">
                    <w:pPr>
                      <w:pStyle w:val="8"/>
                    </w:pPr>
                    <w:r>
                      <w:fldChar w:fldCharType="begin"/>
                    </w:r>
                    <w:r>
                      <w:instrText xml:space="preserve"> PAGE  \* MERGEFORMAT </w:instrText>
                    </w:r>
                    <w:r>
                      <w:fldChar w:fldCharType="separate"/>
                    </w:r>
                    <w:r>
                      <w:t>43</w:t>
                    </w:r>
                    <w:r>
                      <w:fldChar w:fldCharType="end"/>
                    </w: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CCBCD1">
    <w:pPr>
      <w:spacing w:line="226" w:lineRule="auto"/>
      <w:ind w:left="4452"/>
      <w:rPr>
        <w:rFonts w:ascii="MingLiU-ExtB" w:hAnsi="MingLiU-ExtB" w:eastAsia="MingLiU-ExtB" w:cs="MingLiU-ExtB"/>
        <w:sz w:val="18"/>
        <w:szCs w:val="18"/>
      </w:rPr>
    </w:pPr>
    <w:r>
      <w:rPr>
        <w:sz w:val="18"/>
      </w:rPr>
      <mc:AlternateContent>
        <mc:Choice Requires="wps">
          <w:drawing>
            <wp:anchor distT="0" distB="0" distL="114300" distR="114300" simplePos="0" relativeHeight="251695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E4AA4B">
                          <w:pPr>
                            <w:pStyle w:val="8"/>
                          </w:pPr>
                          <w:r>
                            <w:fldChar w:fldCharType="begin"/>
                          </w:r>
                          <w:r>
                            <w:instrText xml:space="preserve"> PAGE  \* MERGEFORMAT </w:instrText>
                          </w:r>
                          <w:r>
                            <w:fldChar w:fldCharType="separate"/>
                          </w:r>
                          <w:r>
                            <w:t>44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51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J9wA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0kMUyj4qcf308/&#10;H06/vhGcQaDGhRni7h0iY/vOtmib4TzgMPFuK6/TF4wI/MA6XuQVbSQ8XZpOptMcLg7fsAF+9njd&#10;+RDfC6tJMgrqUb9OVnbYhNiHDiEpm7FrqVRXQ2VIU9Cr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7J9wAzAgAAYwQAAA4AAAAAAAAAAQAgAAAAHwEAAGRycy9lMm9Eb2MueG1sUEsF&#10;BgAAAAAGAAYAWQEAAMQFAAAAAA==&#10;">
              <v:fill on="f" focussize="0,0"/>
              <v:stroke on="f" weight="0.5pt"/>
              <v:imagedata o:title=""/>
              <o:lock v:ext="edit" aspectratio="f"/>
              <v:textbox inset="0mm,0mm,0mm,0mm" style="mso-fit-shape-to-text:t;">
                <w:txbxContent>
                  <w:p w14:paraId="21E4AA4B">
                    <w:pPr>
                      <w:pStyle w:val="8"/>
                    </w:pPr>
                    <w:r>
                      <w:fldChar w:fldCharType="begin"/>
                    </w:r>
                    <w:r>
                      <w:instrText xml:space="preserve"> PAGE  \* MERGEFORMAT </w:instrText>
                    </w:r>
                    <w:r>
                      <w:fldChar w:fldCharType="separate"/>
                    </w:r>
                    <w:r>
                      <w:t>44</w:t>
                    </w:r>
                    <w:r>
                      <w:fldChar w:fldCharType="end"/>
                    </w:r>
                  </w:p>
                </w:txbxContent>
              </v:textbox>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7D3EF9">
    <w:pPr>
      <w:spacing w:line="225" w:lineRule="auto"/>
      <w:ind w:left="4452"/>
      <w:rPr>
        <w:rFonts w:ascii="MingLiU-ExtB" w:hAnsi="MingLiU-ExtB" w:eastAsia="MingLiU-ExtB" w:cs="MingLiU-ExtB"/>
        <w:sz w:val="18"/>
        <w:szCs w:val="18"/>
      </w:rPr>
    </w:pPr>
    <w:r>
      <w:rPr>
        <w:sz w:val="18"/>
      </w:rPr>
      <mc:AlternateContent>
        <mc:Choice Requires="wps">
          <w:drawing>
            <wp:anchor distT="0" distB="0" distL="114300" distR="114300" simplePos="0" relativeHeight="251696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0CD537">
                          <w:pPr>
                            <w:pStyle w:val="8"/>
                          </w:pPr>
                          <w:r>
                            <w:fldChar w:fldCharType="begin"/>
                          </w:r>
                          <w:r>
                            <w:instrText xml:space="preserve"> PAGE  \* MERGEFORMAT </w:instrText>
                          </w:r>
                          <w:r>
                            <w:fldChar w:fldCharType="separate"/>
                          </w:r>
                          <w:r>
                            <w:t>45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6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xhYO8zAgAAYw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lTYphGx08/vp9+&#10;Ppx+fSM4g0CNCzPE3TtExvadbTE2w3nAYeLdVl6nLxgR+CHv8SKvaCPh6dJ0Mp3mcHH4hg3ws8fr&#10;zof4XlhNklFQj/51srLDJsQ+dAhJ2YxdS6W6HipDmoJevX6b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xhYO8zAgAAYwQAAA4AAAAAAAAAAQAgAAAAHwEAAGRycy9lMm9Eb2MueG1sUEsF&#10;BgAAAAAGAAYAWQEAAMQFAAAAAA==&#10;">
              <v:fill on="f" focussize="0,0"/>
              <v:stroke on="f" weight="0.5pt"/>
              <v:imagedata o:title=""/>
              <o:lock v:ext="edit" aspectratio="f"/>
              <v:textbox inset="0mm,0mm,0mm,0mm" style="mso-fit-shape-to-text:t;">
                <w:txbxContent>
                  <w:p w14:paraId="2C0CD537">
                    <w:pPr>
                      <w:pStyle w:val="8"/>
                    </w:pPr>
                    <w:r>
                      <w:fldChar w:fldCharType="begin"/>
                    </w:r>
                    <w:r>
                      <w:instrText xml:space="preserve"> PAGE  \* MERGEFORMAT </w:instrText>
                    </w:r>
                    <w:r>
                      <w:fldChar w:fldCharType="separate"/>
                    </w:r>
                    <w:r>
                      <w:t>45</w:t>
                    </w:r>
                    <w:r>
                      <w:fldChar w:fldCharType="end"/>
                    </w:r>
                  </w:p>
                </w:txbxContent>
              </v:textbox>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9FD067">
    <w:pPr>
      <w:spacing w:line="225" w:lineRule="auto"/>
      <w:ind w:left="4451"/>
      <w:rPr>
        <w:rFonts w:ascii="MingLiU-ExtB" w:hAnsi="MingLiU-ExtB" w:eastAsia="MingLiU-ExtB" w:cs="MingLiU-ExtB"/>
        <w:sz w:val="18"/>
        <w:szCs w:val="18"/>
      </w:rPr>
    </w:pPr>
    <w:r>
      <w:rPr>
        <w:sz w:val="18"/>
      </w:rPr>
      <mc:AlternateContent>
        <mc:Choice Requires="wps">
          <w:drawing>
            <wp:anchor distT="0" distB="0" distL="114300" distR="114300" simplePos="0" relativeHeight="251697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1BB716">
                          <w:pPr>
                            <w:pStyle w:val="8"/>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7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fqQQ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M2E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ufqQQzAgAAYwQAAA4AAAAAAAAAAQAgAAAAHwEAAGRycy9lMm9Eb2MueG1sUEsF&#10;BgAAAAAGAAYAWQEAAMQFAAAAAA==&#10;">
              <v:fill on="f" focussize="0,0"/>
              <v:stroke on="f" weight="0.5pt"/>
              <v:imagedata o:title=""/>
              <o:lock v:ext="edit" aspectratio="f"/>
              <v:textbox inset="0mm,0mm,0mm,0mm" style="mso-fit-shape-to-text:t;">
                <w:txbxContent>
                  <w:p w14:paraId="051BB716">
                    <w:pPr>
                      <w:pStyle w:val="8"/>
                    </w:pPr>
                    <w:r>
                      <w:fldChar w:fldCharType="begin"/>
                    </w:r>
                    <w:r>
                      <w:instrText xml:space="preserve"> PAGE  \* MERGEFORMAT </w:instrText>
                    </w:r>
                    <w:r>
                      <w:fldChar w:fldCharType="separate"/>
                    </w:r>
                    <w:r>
                      <w:t>46</w:t>
                    </w:r>
                    <w:r>
                      <w:fldChar w:fldCharType="end"/>
                    </w:r>
                  </w:p>
                </w:txbxContent>
              </v:textbox>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9A2046">
    <w:pPr>
      <w:spacing w:line="225" w:lineRule="auto"/>
      <w:ind w:left="4088"/>
      <w:rPr>
        <w:rFonts w:ascii="MingLiU-ExtB" w:hAnsi="MingLiU-ExtB" w:eastAsia="MingLiU-ExtB" w:cs="MingLiU-ExtB"/>
        <w:sz w:val="18"/>
        <w:szCs w:val="18"/>
      </w:rPr>
    </w:pPr>
    <w:r>
      <w:rPr>
        <w:sz w:val="18"/>
      </w:rPr>
      <mc:AlternateContent>
        <mc:Choice Requires="wps">
          <w:drawing>
            <wp:anchor distT="0" distB="0" distL="114300" distR="114300" simplePos="0" relativeHeight="251698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2E8238">
                          <w:pPr>
                            <w:pStyle w:val="8"/>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81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3Pus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UV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k3PuszAgAAYwQAAA4AAAAAAAAAAQAgAAAAHwEAAGRycy9lMm9Eb2MueG1sUEsF&#10;BgAAAAAGAAYAWQEAAMQFAAAAAA==&#10;">
              <v:fill on="f" focussize="0,0"/>
              <v:stroke on="f" weight="0.5pt"/>
              <v:imagedata o:title=""/>
              <o:lock v:ext="edit" aspectratio="f"/>
              <v:textbox inset="0mm,0mm,0mm,0mm" style="mso-fit-shape-to-text:t;">
                <w:txbxContent>
                  <w:p w14:paraId="4A2E8238">
                    <w:pPr>
                      <w:pStyle w:val="8"/>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CFFE82">
    <w:pPr>
      <w:spacing w:line="223" w:lineRule="auto"/>
      <w:ind w:left="4570"/>
      <w:rPr>
        <w:rFonts w:ascii="MingLiU-ExtB" w:hAnsi="MingLiU-ExtB" w:eastAsia="MingLiU-ExtB" w:cs="MingLiU-ExtB"/>
        <w:sz w:val="18"/>
        <w:szCs w:val="18"/>
      </w:rPr>
    </w:pPr>
    <w:r>
      <w:rPr>
        <w:sz w:val="18"/>
      </w:rPr>
      <mc:AlternateContent>
        <mc:Choice Requires="wps">
          <w:drawing>
            <wp:anchor distT="0" distB="0" distL="114300" distR="114300" simplePos="0" relativeHeight="251699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6D350F">
                          <w:pPr>
                            <w:pStyle w:val="8"/>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9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RkSwgzAgAAY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RkSwgzAgAAYwQAAA4AAAAAAAAAAQAgAAAAHwEAAGRycy9lMm9Eb2MueG1sUEsF&#10;BgAAAAAGAAYAWQEAAMQFAAAAAA==&#10;">
              <v:fill on="f" focussize="0,0"/>
              <v:stroke on="f" weight="0.5pt"/>
              <v:imagedata o:title=""/>
              <o:lock v:ext="edit" aspectratio="f"/>
              <v:textbox inset="0mm,0mm,0mm,0mm" style="mso-fit-shape-to-text:t;">
                <w:txbxContent>
                  <w:p w14:paraId="126D350F">
                    <w:pPr>
                      <w:pStyle w:val="8"/>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3150C9">
    <w:pPr>
      <w:spacing w:line="225" w:lineRule="auto"/>
      <w:ind w:left="4567"/>
      <w:rPr>
        <w:rFonts w:ascii="MingLiU-ExtB" w:hAnsi="MingLiU-ExtB" w:eastAsia="MingLiU-ExtB" w:cs="MingLiU-ExtB"/>
        <w:sz w:val="18"/>
        <w:szCs w:val="18"/>
      </w:rPr>
    </w:pPr>
    <w:r>
      <w:rPr>
        <w:sz w:val="18"/>
      </w:rPr>
      <mc:AlternateContent>
        <mc:Choice Requires="wps">
          <w:drawing>
            <wp:anchor distT="0" distB="0" distL="114300" distR="114300" simplePos="0" relativeHeight="251701248"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585AD2">
                          <w:pPr>
                            <w:pStyle w:val="8"/>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12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yFQwzAgAAYw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dTSjRTqPjlx/fL&#10;z4fLr28EZxCotn6OuJ1FZGjemQZtM5x7HEbeTeFU/IIRgR/ynq/yiiYQHi/NJrNZCheHb9gAP3m8&#10;bp0P74VRJBoZdahfKys7bX3oQoeQmE2bTSVlW0OpSZ3R6eu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EyFQwzAgAAYwQAAA4AAAAAAAAAAQAgAAAAHwEAAGRycy9lMm9Eb2MueG1sUEsF&#10;BgAAAAAGAAYAWQEAAMQFAAAAAA==&#10;">
              <v:fill on="f" focussize="0,0"/>
              <v:stroke on="f" weight="0.5pt"/>
              <v:imagedata o:title=""/>
              <o:lock v:ext="edit" aspectratio="f"/>
              <v:textbox inset="0mm,0mm,0mm,0mm" style="mso-fit-shape-to-text:t;">
                <w:txbxContent>
                  <w:p w14:paraId="3A585AD2">
                    <w:pPr>
                      <w:pStyle w:val="8"/>
                    </w:pPr>
                    <w:r>
                      <w:fldChar w:fldCharType="begin"/>
                    </w:r>
                    <w:r>
                      <w:instrText xml:space="preserve"> PAGE  \* MERGEFORMAT </w:instrText>
                    </w:r>
                    <w:r>
                      <w:fldChar w:fldCharType="separate"/>
                    </w:r>
                    <w:r>
                      <w:t>58</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545CBE">
    <w:pPr>
      <w:spacing w:line="227" w:lineRule="auto"/>
      <w:ind w:left="4812"/>
      <w:rPr>
        <w:rFonts w:ascii="MingLiU-ExtB" w:hAnsi="MingLiU-ExtB" w:eastAsia="MingLiU-ExtB" w:cs="MingLiU-ExtB"/>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4AB2F4">
                          <w:pPr>
                            <w:pStyle w:val="8"/>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7D4AB2F4">
                    <w:pPr>
                      <w:pStyle w:val="8"/>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5F7D94">
    <w:pPr>
      <w:spacing w:line="225" w:lineRule="auto"/>
      <w:ind w:left="4567"/>
      <w:rPr>
        <w:rFonts w:ascii="MingLiU-ExtB" w:hAnsi="MingLiU-ExtB" w:eastAsia="MingLiU-ExtB" w:cs="MingLiU-ExtB"/>
        <w:sz w:val="18"/>
        <w:szCs w:val="18"/>
      </w:rPr>
    </w:pPr>
    <w:r>
      <w:rPr>
        <w:sz w:val="18"/>
      </w:rPr>
      <mc:AlternateContent>
        <mc:Choice Requires="wps">
          <w:drawing>
            <wp:anchor distT="0" distB="0" distL="114300" distR="114300" simplePos="0" relativeHeight="251702272"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9EC7D5">
                          <w:pPr>
                            <w:pStyle w:val="8"/>
                          </w:pPr>
                          <w:r>
                            <w:fldChar w:fldCharType="begin"/>
                          </w:r>
                          <w:r>
                            <w:instrText xml:space="preserve"> PAGE  \* MERGEFORMAT </w:instrText>
                          </w:r>
                          <w:r>
                            <w:fldChar w:fldCharType="separate"/>
                          </w:r>
                          <w:r>
                            <w:t>61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22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g6Gf4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g6Gf4zAgAAYwQAAA4AAAAAAAAAAQAgAAAAHwEAAGRycy9lMm9Eb2MueG1sUEsF&#10;BgAAAAAGAAYAWQEAAMQFAAAAAA==&#10;">
              <v:fill on="f" focussize="0,0"/>
              <v:stroke on="f" weight="0.5pt"/>
              <v:imagedata o:title=""/>
              <o:lock v:ext="edit" aspectratio="f"/>
              <v:textbox inset="0mm,0mm,0mm,0mm" style="mso-fit-shape-to-text:t;">
                <w:txbxContent>
                  <w:p w14:paraId="709EC7D5">
                    <w:pPr>
                      <w:pStyle w:val="8"/>
                    </w:pPr>
                    <w:r>
                      <w:fldChar w:fldCharType="begin"/>
                    </w:r>
                    <w:r>
                      <w:instrText xml:space="preserve"> PAGE  \* MERGEFORMAT </w:instrText>
                    </w:r>
                    <w:r>
                      <w:fldChar w:fldCharType="separate"/>
                    </w:r>
                    <w:r>
                      <w:t>61</w:t>
                    </w:r>
                    <w:r>
                      <w:fldChar w:fldCharType="end"/>
                    </w:r>
                  </w:p>
                </w:txbxContent>
              </v:textbox>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D2CC7A">
    <w:pPr>
      <w:spacing w:line="225" w:lineRule="auto"/>
      <w:ind w:left="4567"/>
      <w:rPr>
        <w:rFonts w:ascii="MingLiU-ExtB" w:hAnsi="MingLiU-ExtB" w:eastAsia="MingLiU-ExtB" w:cs="MingLiU-ExtB"/>
        <w:sz w:val="18"/>
        <w:szCs w:val="18"/>
      </w:rPr>
    </w:pPr>
    <w:r>
      <w:rPr>
        <w:sz w:val="18"/>
      </w:rPr>
      <mc:AlternateContent>
        <mc:Choice Requires="wps">
          <w:drawing>
            <wp:anchor distT="0" distB="0" distL="114300" distR="114300" simplePos="0" relativeHeight="251703296" behindDoc="0" locked="0" layoutInCell="1" allowOverlap="1">
              <wp:simplePos x="0" y="0"/>
              <wp:positionH relativeFrom="margin">
                <wp:align>center</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6A155C">
                          <w:pPr>
                            <w:pStyle w:val="8"/>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32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Dp+ypgwAgAAYwQAAA4AAAAAAAAAAQAgAAAAHwEAAGRycy9lMm9Eb2MueG1sUEsFBgAA&#10;AAAGAAYAWQEAAMEFAAAAAA==&#10;">
              <v:fill on="f" focussize="0,0"/>
              <v:stroke on="f" weight="0.5pt"/>
              <v:imagedata o:title=""/>
              <o:lock v:ext="edit" aspectratio="f"/>
              <v:textbox inset="0mm,0mm,0mm,0mm" style="mso-fit-shape-to-text:t;">
                <w:txbxContent>
                  <w:p w14:paraId="4F6A155C">
                    <w:pPr>
                      <w:pStyle w:val="8"/>
                    </w:pPr>
                    <w:r>
                      <w:fldChar w:fldCharType="begin"/>
                    </w:r>
                    <w:r>
                      <w:instrText xml:space="preserve"> PAGE  \* MERGEFORMAT </w:instrText>
                    </w:r>
                    <w:r>
                      <w:fldChar w:fldCharType="separate"/>
                    </w:r>
                    <w:r>
                      <w:t>62</w:t>
                    </w:r>
                    <w:r>
                      <w:fldChar w:fldCharType="end"/>
                    </w:r>
                  </w:p>
                </w:txbxContent>
              </v:textbox>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C375CB">
    <w:pPr>
      <w:spacing w:line="225" w:lineRule="auto"/>
      <w:ind w:left="4567"/>
      <w:rPr>
        <w:rFonts w:ascii="MingLiU-ExtB" w:hAnsi="MingLiU-ExtB" w:eastAsia="MingLiU-ExtB" w:cs="MingLiU-ExtB"/>
        <w:sz w:val="18"/>
        <w:szCs w:val="18"/>
      </w:rPr>
    </w:pPr>
    <w:r>
      <w:rPr>
        <w:sz w:val="18"/>
      </w:rPr>
      <mc:AlternateContent>
        <mc:Choice Requires="wps">
          <w:drawing>
            <wp:anchor distT="0" distB="0" distL="114300" distR="114300" simplePos="0" relativeHeight="251704320"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C6DDE8">
                          <w:pPr>
                            <w:pStyle w:val="8"/>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43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jWXXczAgAAYw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v32apwuXDwAlxo5Iomu2GiFdtf2zHam&#10;OIGYM91seMs3NZJvmQ/3zGEYUDCeS7jDUkqDJKa3KKmM+/qv8xiPHsFLSYPhyqnGW6JEftDoHQDD&#10;YLjB2A2GPqhbg2lFO1BLMnHBBTmYpTPqC97QKuaAi2mOTDkNg3kbugHHG+RitUpBB+vqfdVdwORZ&#10;Frb6wfKYJgrp7eoQIGbSOArUqdLrhtlLXerfSRzuP/cp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jWXXczAgAAYwQAAA4AAAAAAAAAAQAgAAAAHwEAAGRycy9lMm9Eb2MueG1sUEsF&#10;BgAAAAAGAAYAWQEAAMQFAAAAAA==&#10;">
              <v:fill on="f" focussize="0,0"/>
              <v:stroke on="f" weight="0.5pt"/>
              <v:imagedata o:title=""/>
              <o:lock v:ext="edit" aspectratio="f"/>
              <v:textbox inset="0mm,0mm,0mm,0mm" style="mso-fit-shape-to-text:t;">
                <w:txbxContent>
                  <w:p w14:paraId="65C6DDE8">
                    <w:pPr>
                      <w:pStyle w:val="8"/>
                    </w:pPr>
                    <w:r>
                      <w:fldChar w:fldCharType="begin"/>
                    </w:r>
                    <w:r>
                      <w:instrText xml:space="preserve"> PAGE  \* MERGEFORMAT </w:instrText>
                    </w:r>
                    <w:r>
                      <w:fldChar w:fldCharType="separate"/>
                    </w:r>
                    <w:r>
                      <w:t>63</w:t>
                    </w:r>
                    <w:r>
                      <w:fldChar w:fldCharType="end"/>
                    </w:r>
                  </w:p>
                </w:txbxContent>
              </v:textbox>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1C6828">
    <w:pPr>
      <w:spacing w:line="225" w:lineRule="auto"/>
      <w:ind w:left="4567"/>
      <w:rPr>
        <w:rFonts w:ascii="MingLiU-ExtB" w:hAnsi="MingLiU-ExtB" w:eastAsia="MingLiU-ExtB" w:cs="MingLiU-ExtB"/>
        <w:sz w:val="18"/>
        <w:szCs w:val="18"/>
      </w:rPr>
    </w:pPr>
    <w:r>
      <w:rPr>
        <w:sz w:val="18"/>
      </w:rPr>
      <mc:AlternateContent>
        <mc:Choice Requires="wps">
          <w:drawing>
            <wp:anchor distT="0" distB="0" distL="114300" distR="114300" simplePos="0" relativeHeight="251705344"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ABCB5A">
                          <w:pPr>
                            <w:pStyle w:val="8"/>
                          </w:pPr>
                          <w:r>
                            <w:fldChar w:fldCharType="begin"/>
                          </w:r>
                          <w:r>
                            <w:instrText xml:space="preserve"> PAGE  \* MERGEFORMAT </w:instrText>
                          </w:r>
                          <w:r>
                            <w:fldChar w:fldCharType="separate"/>
                          </w:r>
                          <w:r>
                            <w:t>64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53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olJw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8olJwzAgAAYwQAAA4AAAAAAAAAAQAgAAAAHwEAAGRycy9lMm9Eb2MueG1sUEsF&#10;BgAAAAAGAAYAWQEAAMQFAAAAAA==&#10;">
              <v:fill on="f" focussize="0,0"/>
              <v:stroke on="f" weight="0.5pt"/>
              <v:imagedata o:title=""/>
              <o:lock v:ext="edit" aspectratio="f"/>
              <v:textbox inset="0mm,0mm,0mm,0mm" style="mso-fit-shape-to-text:t;">
                <w:txbxContent>
                  <w:p w14:paraId="25ABCB5A">
                    <w:pPr>
                      <w:pStyle w:val="8"/>
                    </w:pPr>
                    <w:r>
                      <w:fldChar w:fldCharType="begin"/>
                    </w:r>
                    <w:r>
                      <w:instrText xml:space="preserve"> PAGE  \* MERGEFORMAT </w:instrText>
                    </w:r>
                    <w:r>
                      <w:fldChar w:fldCharType="separate"/>
                    </w:r>
                    <w:r>
                      <w:t>64</w:t>
                    </w:r>
                    <w:r>
                      <w:fldChar w:fldCharType="end"/>
                    </w:r>
                  </w:p>
                </w:txbxContent>
              </v:textbox>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958385">
    <w:pPr>
      <w:spacing w:line="225" w:lineRule="auto"/>
      <w:ind w:left="4567"/>
      <w:rPr>
        <w:rFonts w:ascii="MingLiU-ExtB" w:hAnsi="MingLiU-ExtB" w:eastAsia="MingLiU-ExtB" w:cs="MingLiU-ExtB"/>
        <w:sz w:val="18"/>
        <w:szCs w:val="18"/>
      </w:rPr>
    </w:pPr>
    <w:r>
      <w:rPr>
        <w:sz w:val="18"/>
      </w:rPr>
      <mc:AlternateContent>
        <mc:Choice Requires="wps">
          <w:drawing>
            <wp:anchor distT="0" distB="0" distL="114300" distR="114300" simplePos="0" relativeHeight="251707392" behindDoc="0" locked="0" layoutInCell="1" allowOverlap="1">
              <wp:simplePos x="0" y="0"/>
              <wp:positionH relativeFrom="margin">
                <wp:align>center</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F3730A">
                          <w:pPr>
                            <w:pStyle w:val="8"/>
                          </w:pPr>
                          <w:r>
                            <w:fldChar w:fldCharType="begin"/>
                          </w:r>
                          <w:r>
                            <w:instrText xml:space="preserve"> PAGE  \* MERGEFORMAT </w:instrText>
                          </w:r>
                          <w:r>
                            <w:fldChar w:fldCharType="separate"/>
                          </w:r>
                          <w:r>
                            <w:t>66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73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TdpA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DTdpAzAgAAYwQAAA4AAAAAAAAAAQAgAAAAHwEAAGRycy9lMm9Eb2MueG1sUEsF&#10;BgAAAAAGAAYAWQEAAMQFAAAAAA==&#10;">
              <v:fill on="f" focussize="0,0"/>
              <v:stroke on="f" weight="0.5pt"/>
              <v:imagedata o:title=""/>
              <o:lock v:ext="edit" aspectratio="f"/>
              <v:textbox inset="0mm,0mm,0mm,0mm" style="mso-fit-shape-to-text:t;">
                <w:txbxContent>
                  <w:p w14:paraId="56F3730A">
                    <w:pPr>
                      <w:pStyle w:val="8"/>
                    </w:pPr>
                    <w:r>
                      <w:fldChar w:fldCharType="begin"/>
                    </w:r>
                    <w:r>
                      <w:instrText xml:space="preserve"> PAGE  \* MERGEFORMAT </w:instrText>
                    </w:r>
                    <w:r>
                      <w:fldChar w:fldCharType="separate"/>
                    </w:r>
                    <w:r>
                      <w:t>66</w:t>
                    </w:r>
                    <w:r>
                      <w:fldChar w:fldCharType="end"/>
                    </w:r>
                  </w:p>
                </w:txbxContent>
              </v:textbox>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ACCB0B">
    <w:pPr>
      <w:spacing w:line="226" w:lineRule="auto"/>
      <w:ind w:left="4455"/>
      <w:rPr>
        <w:rFonts w:ascii="MingLiU-ExtB" w:hAnsi="MingLiU-ExtB" w:eastAsia="MingLiU-ExtB" w:cs="MingLiU-ExtB"/>
        <w:sz w:val="18"/>
        <w:szCs w:val="18"/>
      </w:rPr>
    </w:pPr>
    <w:r>
      <w:rPr>
        <w:sz w:val="18"/>
      </w:rPr>
      <mc:AlternateContent>
        <mc:Choice Requires="wps">
          <w:drawing>
            <wp:anchor distT="0" distB="0" distL="114300" distR="114300" simplePos="0" relativeHeight="251708416"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CA2925">
                          <w:pPr>
                            <w:pStyle w:val="8"/>
                          </w:pPr>
                          <w:r>
                            <w:fldChar w:fldCharType="begin"/>
                          </w:r>
                          <w:r>
                            <w:instrText xml:space="preserve"> PAGE  \* MERGEFORMAT </w:instrText>
                          </w:r>
                          <w:r>
                            <w:fldChar w:fldCharType="separate"/>
                          </w:r>
                          <w:r>
                            <w:t>67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84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J74X8zAgAAYw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ryd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J74X8zAgAAYwQAAA4AAAAAAAAAAQAgAAAAHwEAAGRycy9lMm9Eb2MueG1sUEsF&#10;BgAAAAAGAAYAWQEAAMQFAAAAAA==&#10;">
              <v:fill on="f" focussize="0,0"/>
              <v:stroke on="f" weight="0.5pt"/>
              <v:imagedata o:title=""/>
              <o:lock v:ext="edit" aspectratio="f"/>
              <v:textbox inset="0mm,0mm,0mm,0mm" style="mso-fit-shape-to-text:t;">
                <w:txbxContent>
                  <w:p w14:paraId="7ECA2925">
                    <w:pPr>
                      <w:pStyle w:val="8"/>
                    </w:pPr>
                    <w:r>
                      <w:fldChar w:fldCharType="begin"/>
                    </w:r>
                    <w:r>
                      <w:instrText xml:space="preserve"> PAGE  \* MERGEFORMAT </w:instrText>
                    </w:r>
                    <w:r>
                      <w:fldChar w:fldCharType="separate"/>
                    </w:r>
                    <w:r>
                      <w:t>67</w:t>
                    </w:r>
                    <w:r>
                      <w:fldChar w:fldCharType="end"/>
                    </w:r>
                  </w:p>
                </w:txbxContent>
              </v:textbox>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C02B98">
    <w:pPr>
      <w:spacing w:line="226" w:lineRule="auto"/>
      <w:ind w:left="4447"/>
      <w:rPr>
        <w:rFonts w:ascii="MingLiU-ExtB" w:hAnsi="MingLiU-ExtB" w:eastAsia="MingLiU-ExtB" w:cs="MingLiU-ExtB"/>
        <w:sz w:val="18"/>
        <w:szCs w:val="18"/>
      </w:rPr>
    </w:pPr>
    <w:r>
      <w:rPr>
        <w:sz w:val="18"/>
      </w:rPr>
      <mc:AlternateContent>
        <mc:Choice Requires="wps">
          <w:drawing>
            <wp:anchor distT="0" distB="0" distL="114300" distR="114300" simplePos="0" relativeHeight="251709440"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18FA42">
                          <w:pPr>
                            <w:pStyle w:val="8"/>
                          </w:pPr>
                          <w:r>
                            <w:fldChar w:fldCharType="begin"/>
                          </w:r>
                          <w:r>
                            <w:instrText xml:space="preserve"> PAGE  \* MERGEFORMAT </w:instrText>
                          </w:r>
                          <w:r>
                            <w:fldChar w:fldCharType="separate"/>
                          </w:r>
                          <w:r>
                            <w:t>68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94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WFKJQzAgAAYw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t/epO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WFKJQzAgAAYwQAAA4AAAAAAAAAAQAgAAAAHwEAAGRycy9lMm9Eb2MueG1sUEsF&#10;BgAAAAAGAAYAWQEAAMQFAAAAAA==&#10;">
              <v:fill on="f" focussize="0,0"/>
              <v:stroke on="f" weight="0.5pt"/>
              <v:imagedata o:title=""/>
              <o:lock v:ext="edit" aspectratio="f"/>
              <v:textbox inset="0mm,0mm,0mm,0mm" style="mso-fit-shape-to-text:t;">
                <w:txbxContent>
                  <w:p w14:paraId="5F18FA42">
                    <w:pPr>
                      <w:pStyle w:val="8"/>
                    </w:pPr>
                    <w:r>
                      <w:fldChar w:fldCharType="begin"/>
                    </w:r>
                    <w:r>
                      <w:instrText xml:space="preserve"> PAGE  \* MERGEFORMAT </w:instrText>
                    </w:r>
                    <w:r>
                      <w:fldChar w:fldCharType="separate"/>
                    </w:r>
                    <w:r>
                      <w:t>68</w:t>
                    </w:r>
                    <w:r>
                      <w:fldChar w:fldCharType="end"/>
                    </w:r>
                  </w:p>
                </w:txbxContent>
              </v:textbox>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F2E1A3">
    <w:pPr>
      <w:spacing w:line="225" w:lineRule="auto"/>
      <w:ind w:left="4458"/>
      <w:rPr>
        <w:rFonts w:ascii="MingLiU-ExtB" w:hAnsi="MingLiU-ExtB" w:eastAsia="MingLiU-ExtB" w:cs="MingLiU-ExtB"/>
        <w:sz w:val="18"/>
        <w:szCs w:val="18"/>
      </w:rPr>
    </w:pPr>
    <w:r>
      <w:rPr>
        <w:sz w:val="18"/>
      </w:rPr>
      <mc:AlternateContent>
        <mc:Choice Requires="wps">
          <w:drawing>
            <wp:anchor distT="0" distB="0" distL="114300" distR="114300" simplePos="0" relativeHeight="2517104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DD79C6">
                          <w:pPr>
                            <w:pStyle w:val="8"/>
                          </w:pPr>
                          <w:r>
                            <w:fldChar w:fldCharType="begin"/>
                          </w:r>
                          <w:r>
                            <w:instrText xml:space="preserve"> PAGE  \* MERGEFORMAT </w:instrText>
                          </w:r>
                          <w:r>
                            <w:fldChar w:fldCharType="separate"/>
                          </w:r>
                          <w:r>
                            <w:t>69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04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tv3szAgAAY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ctv3szAgAAYwQAAA4AAAAAAAAAAQAgAAAAHwEAAGRycy9lMm9Eb2MueG1sUEsF&#10;BgAAAAAGAAYAWQEAAMQFAAAAAA==&#10;">
              <v:fill on="f" focussize="0,0"/>
              <v:stroke on="f" weight="0.5pt"/>
              <v:imagedata o:title=""/>
              <o:lock v:ext="edit" aspectratio="f"/>
              <v:textbox inset="0mm,0mm,0mm,0mm" style="mso-fit-shape-to-text:t;">
                <w:txbxContent>
                  <w:p w14:paraId="4FDD79C6">
                    <w:pPr>
                      <w:pStyle w:val="8"/>
                    </w:pPr>
                    <w:r>
                      <w:fldChar w:fldCharType="begin"/>
                    </w:r>
                    <w:r>
                      <w:instrText xml:space="preserve"> PAGE  \* MERGEFORMAT </w:instrText>
                    </w:r>
                    <w:r>
                      <w:fldChar w:fldCharType="separate"/>
                    </w:r>
                    <w:r>
                      <w:t>69</w:t>
                    </w:r>
                    <w:r>
                      <w:fldChar w:fldCharType="end"/>
                    </w:r>
                  </w:p>
                </w:txbxContent>
              </v:textbox>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5CF53F">
    <w:pPr>
      <w:spacing w:line="226" w:lineRule="auto"/>
      <w:ind w:left="4458"/>
      <w:rPr>
        <w:rFonts w:ascii="MingLiU-ExtB" w:hAnsi="MingLiU-ExtB" w:eastAsia="MingLiU-ExtB" w:cs="MingLiU-ExtB"/>
        <w:sz w:val="18"/>
        <w:szCs w:val="18"/>
      </w:rPr>
    </w:pPr>
    <w:r>
      <w:rPr>
        <w:sz w:val="18"/>
      </w:rPr>
      <mc:AlternateContent>
        <mc:Choice Requires="wps">
          <w:drawing>
            <wp:anchor distT="0" distB="0" distL="114300" distR="114300" simplePos="0" relativeHeight="2517114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B4F377">
                          <w:pPr>
                            <w:pStyle w:val="8"/>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14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4ls4k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v32apwuXDwAlxo5IonusdEK7a7tme1M&#10;cQIxZ7re8JZvaiTfMh/umUMz4MEYl3CHpZQGSUxvUVIZ9/Vf5zEeNYKXkgbNlVONWaJEftCoHQDD&#10;YLjB2A2GPqhbg26dYAwtTyYuuCAHs3RGfcEMrWIOuJjmyJTTMJi3oWtwzCAXq1UKOlhX76vuAjrP&#10;srDVD5bHNFFIb1eHADGTxlGgTpVeN/ReqlI/J7G5/9ynqKd/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4ls4kzAgAAYwQAAA4AAAAAAAAAAQAgAAAAHwEAAGRycy9lMm9Eb2MueG1sUEsF&#10;BgAAAAAGAAYAWQEAAMQFAAAAAA==&#10;">
              <v:fill on="f" focussize="0,0"/>
              <v:stroke on="f" weight="0.5pt"/>
              <v:imagedata o:title=""/>
              <o:lock v:ext="edit" aspectratio="f"/>
              <v:textbox inset="0mm,0mm,0mm,0mm" style="mso-fit-shape-to-text:t;">
                <w:txbxContent>
                  <w:p w14:paraId="0CB4F377">
                    <w:pPr>
                      <w:pStyle w:val="8"/>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9F22EE">
    <w:pPr>
      <w:spacing w:line="225" w:lineRule="auto"/>
      <w:ind w:left="4455"/>
      <w:rPr>
        <w:rFonts w:ascii="MingLiU-ExtB" w:hAnsi="MingLiU-ExtB" w:eastAsia="MingLiU-ExtB" w:cs="MingLiU-ExtB"/>
        <w:sz w:val="18"/>
        <w:szCs w:val="18"/>
      </w:rPr>
    </w:pPr>
    <w:r>
      <w:rPr>
        <w:sz w:val="18"/>
      </w:rPr>
      <mc:AlternateContent>
        <mc:Choice Requires="wps">
          <w:drawing>
            <wp:anchor distT="0" distB="0" distL="114300" distR="114300" simplePos="0" relativeHeight="2517125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51495F">
                          <w:pPr>
                            <w:pStyle w:val="8"/>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25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yNJGYzAgAAYw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9d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yNJGYzAgAAYwQAAA4AAAAAAAAAAQAgAAAAHwEAAGRycy9lMm9Eb2MueG1sUEsF&#10;BgAAAAAGAAYAWQEAAMQFAAAAAA==&#10;">
              <v:fill on="f" focussize="0,0"/>
              <v:stroke on="f" weight="0.5pt"/>
              <v:imagedata o:title=""/>
              <o:lock v:ext="edit" aspectratio="f"/>
              <v:textbox inset="0mm,0mm,0mm,0mm" style="mso-fit-shape-to-text:t;">
                <w:txbxContent>
                  <w:p w14:paraId="7B51495F">
                    <w:pPr>
                      <w:pStyle w:val="8"/>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A5D56E">
    <w:pPr>
      <w:spacing w:line="225" w:lineRule="auto"/>
      <w:ind w:left="4818"/>
      <w:rPr>
        <w:rFonts w:ascii="MingLiU-ExtB" w:hAnsi="MingLiU-ExtB" w:eastAsia="MingLiU-ExtB" w:cs="MingLiU-ExtB"/>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2507B1">
                          <w:pPr>
                            <w:pStyle w:val="8"/>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272507B1">
                    <w:pPr>
                      <w:pStyle w:val="8"/>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65575A">
    <w:pPr>
      <w:spacing w:line="225" w:lineRule="auto"/>
      <w:ind w:left="4447"/>
      <w:rPr>
        <w:rFonts w:ascii="MingLiU-ExtB" w:hAnsi="MingLiU-ExtB" w:eastAsia="MingLiU-ExtB" w:cs="MingLiU-ExtB"/>
        <w:sz w:val="18"/>
        <w:szCs w:val="18"/>
      </w:rPr>
    </w:pPr>
    <w:r>
      <w:rPr>
        <w:sz w:val="18"/>
      </w:rPr>
      <mc:AlternateContent>
        <mc:Choice Requires="wps">
          <w:drawing>
            <wp:anchor distT="0" distB="0" distL="114300" distR="114300" simplePos="0" relativeHeight="2517135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16711F">
                          <w:pPr>
                            <w:pStyle w:val="8"/>
                          </w:pPr>
                          <w:r>
                            <w:fldChar w:fldCharType="begin"/>
                          </w:r>
                          <w:r>
                            <w:instrText xml:space="preserve"> PAGE  \* MERGEFORMAT </w:instrText>
                          </w:r>
                          <w:r>
                            <w:fldChar w:fldCharType="separate"/>
                          </w:r>
                          <w:r>
                            <w:t>72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35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eh/es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Hof3rMQIAAGMEAAAOAAAAAAAAAAEAIAAAAB8BAABkcnMvZTJvRG9jLnhtbFBLBQYA&#10;AAAABgAGAFkBAADCBQAAAAA=&#10;">
              <v:fill on="f" focussize="0,0"/>
              <v:stroke on="f" weight="0.5pt"/>
              <v:imagedata o:title=""/>
              <o:lock v:ext="edit" aspectratio="f"/>
              <v:textbox inset="0mm,0mm,0mm,0mm" style="mso-fit-shape-to-text:t;">
                <w:txbxContent>
                  <w:p w14:paraId="0C16711F">
                    <w:pPr>
                      <w:pStyle w:val="8"/>
                    </w:pPr>
                    <w:r>
                      <w:fldChar w:fldCharType="begin"/>
                    </w:r>
                    <w:r>
                      <w:instrText xml:space="preserve"> PAGE  \* MERGEFORMAT </w:instrText>
                    </w:r>
                    <w:r>
                      <w:fldChar w:fldCharType="separate"/>
                    </w:r>
                    <w:r>
                      <w:t>72</w:t>
                    </w:r>
                    <w:r>
                      <w:fldChar w:fldCharType="end"/>
                    </w:r>
                  </w:p>
                </w:txbxContent>
              </v:textbox>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F20E9B">
    <w:pPr>
      <w:spacing w:line="225" w:lineRule="auto"/>
      <w:ind w:left="4447"/>
      <w:rPr>
        <w:rFonts w:ascii="MingLiU-ExtB" w:hAnsi="MingLiU-ExtB" w:eastAsia="MingLiU-ExtB" w:cs="MingLiU-ExtB"/>
        <w:sz w:val="18"/>
        <w:szCs w:val="18"/>
      </w:rPr>
    </w:pPr>
    <w:r>
      <w:rPr>
        <w:sz w:val="18"/>
      </w:rPr>
      <mc:AlternateContent>
        <mc:Choice Requires="wps">
          <w:drawing>
            <wp:anchor distT="0" distB="0" distL="114300" distR="114300" simplePos="0" relativeHeight="2517145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60FB1F">
                          <w:pPr>
                            <w:pStyle w:val="8"/>
                          </w:pPr>
                          <w:r>
                            <w:fldChar w:fldCharType="begin"/>
                          </w:r>
                          <w:r>
                            <w:instrText xml:space="preserve"> PAGE  \* MERGEFORMAT </w:instrText>
                          </w:r>
                          <w:r>
                            <w:fldChar w:fldCharType="separate"/>
                          </w:r>
                          <w:r>
                            <w:t>74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45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L3o+8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wpMUyj4pfv3y4/&#10;fl1+fiU4g0C1C3PE7RwiY/PWNmib4TzgMPFuSq/TF4wI/JD3fJVXNJHwdGk2nc3GcHH4hg3ws8fr&#10;zof4TlhNkpFTj/q1srLTNsQudAhJ2YzdSKXaGipDapB4/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gvej7zICAABjBAAADgAAAAAAAAABACAAAAAfAQAAZHJzL2Uyb0RvYy54bWxQSwUG&#10;AAAAAAYABgBZAQAAwwUAAAAA&#10;">
              <v:fill on="f" focussize="0,0"/>
              <v:stroke on="f" weight="0.5pt"/>
              <v:imagedata o:title=""/>
              <o:lock v:ext="edit" aspectratio="f"/>
              <v:textbox inset="0mm,0mm,0mm,0mm" style="mso-fit-shape-to-text:t;">
                <w:txbxContent>
                  <w:p w14:paraId="5E60FB1F">
                    <w:pPr>
                      <w:pStyle w:val="8"/>
                    </w:pPr>
                    <w:r>
                      <w:fldChar w:fldCharType="begin"/>
                    </w:r>
                    <w:r>
                      <w:instrText xml:space="preserve"> PAGE  \* MERGEFORMAT </w:instrText>
                    </w:r>
                    <w:r>
                      <w:fldChar w:fldCharType="separate"/>
                    </w:r>
                    <w:r>
                      <w:t>74</w:t>
                    </w:r>
                    <w:r>
                      <w:fldChar w:fldCharType="end"/>
                    </w:r>
                  </w:p>
                </w:txbxContent>
              </v:textbox>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A7D573">
    <w:pPr>
      <w:spacing w:line="223" w:lineRule="auto"/>
      <w:ind w:left="4086"/>
      <w:rPr>
        <w:rFonts w:ascii="MingLiU-ExtB" w:hAnsi="MingLiU-ExtB" w:eastAsia="MingLiU-ExtB" w:cs="MingLiU-ExtB"/>
        <w:sz w:val="18"/>
        <w:szCs w:val="18"/>
      </w:rPr>
    </w:pPr>
    <w:r>
      <w:rPr>
        <w:sz w:val="18"/>
      </w:rPr>
      <mc:AlternateContent>
        <mc:Choice Requires="wps">
          <w:drawing>
            <wp:anchor distT="0" distB="0" distL="114300" distR="114300" simplePos="0" relativeHeight="2517155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B53615">
                          <w:pPr>
                            <w:pStyle w:val="8"/>
                          </w:pPr>
                          <w:r>
                            <w:fldChar w:fldCharType="begin"/>
                          </w:r>
                          <w:r>
                            <w:instrText xml:space="preserve"> PAGE  \* MERGEFORMAT </w:instrText>
                          </w:r>
                          <w:r>
                            <w:fldChar w:fldCharType="separate"/>
                          </w:r>
                          <w:r>
                            <w:t>75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55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BfNAA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AXzQAMQIAAGMEAAAOAAAAAAAAAAEAIAAAAB8BAABkcnMvZTJvRG9jLnhtbFBLBQYA&#10;AAAABgAGAFkBAADCBQAAAAA=&#10;">
              <v:fill on="f" focussize="0,0"/>
              <v:stroke on="f" weight="0.5pt"/>
              <v:imagedata o:title=""/>
              <o:lock v:ext="edit" aspectratio="f"/>
              <v:textbox inset="0mm,0mm,0mm,0mm" style="mso-fit-shape-to-text:t;">
                <w:txbxContent>
                  <w:p w14:paraId="31B53615">
                    <w:pPr>
                      <w:pStyle w:val="8"/>
                    </w:pPr>
                    <w:r>
                      <w:fldChar w:fldCharType="begin"/>
                    </w:r>
                    <w:r>
                      <w:instrText xml:space="preserve"> PAGE  \* MERGEFORMAT </w:instrText>
                    </w:r>
                    <w:r>
                      <w:fldChar w:fldCharType="separate"/>
                    </w:r>
                    <w:r>
                      <w:t>75</w:t>
                    </w:r>
                    <w:r>
                      <w:fldChar w:fldCharType="end"/>
                    </w:r>
                  </w:p>
                </w:txbxContent>
              </v:textbox>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45A4D7">
    <w:pPr>
      <w:spacing w:line="225" w:lineRule="auto"/>
      <w:ind w:left="4444"/>
      <w:rPr>
        <w:rFonts w:ascii="MingLiU-ExtB" w:hAnsi="MingLiU-ExtB" w:eastAsia="MingLiU-ExtB" w:cs="MingLiU-ExtB"/>
        <w:sz w:val="18"/>
        <w:szCs w:val="18"/>
      </w:rPr>
    </w:pPr>
    <w:r>
      <w:rPr>
        <w:sz w:val="18"/>
      </w:rPr>
      <mc:AlternateContent>
        <mc:Choice Requires="wps">
          <w:drawing>
            <wp:anchor distT="0" distB="0" distL="114300" distR="114300" simplePos="0" relativeHeight="251716608" behindDoc="0" locked="0" layoutInCell="1" allowOverlap="1">
              <wp:simplePos x="0" y="0"/>
              <wp:positionH relativeFrom="margin">
                <wp:align>center</wp:align>
              </wp:positionH>
              <wp:positionV relativeFrom="paragraph">
                <wp:posOffset>0</wp:posOffset>
              </wp:positionV>
              <wp:extent cx="1828800" cy="182880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B4D484">
                          <w:pPr>
                            <w:pStyle w:val="8"/>
                          </w:pPr>
                          <w:r>
                            <w:fldChar w:fldCharType="begin"/>
                          </w:r>
                          <w:r>
                            <w:instrText xml:space="preserve"> PAGE  \* MERGEFORMAT </w:instrText>
                          </w:r>
                          <w:r>
                            <w:fldChar w:fldCharType="separate"/>
                          </w:r>
                          <w:r>
                            <w:t>76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66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0MQeM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NJYZpVPz04/vp&#10;58Pp1zeCMwjUuDBD3L1DZGzf2RZtM5wHHCbebeV1+oIRgR/yHi/yijYSni5NJ9NpDheHb9gAP3u8&#10;7nyI74XVJBkF9ahfJys7bELsQ4eQlM3YtVSqq6EypAGJ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0MQeMzAgAAYwQAAA4AAAAAAAAAAQAgAAAAHwEAAGRycy9lMm9Eb2MueG1sUEsF&#10;BgAAAAAGAAYAWQEAAMQFAAAAAA==&#10;">
              <v:fill on="f" focussize="0,0"/>
              <v:stroke on="f" weight="0.5pt"/>
              <v:imagedata o:title=""/>
              <o:lock v:ext="edit" aspectratio="f"/>
              <v:textbox inset="0mm,0mm,0mm,0mm" style="mso-fit-shape-to-text:t;">
                <w:txbxContent>
                  <w:p w14:paraId="12B4D484">
                    <w:pPr>
                      <w:pStyle w:val="8"/>
                    </w:pPr>
                    <w:r>
                      <w:fldChar w:fldCharType="begin"/>
                    </w:r>
                    <w:r>
                      <w:instrText xml:space="preserve"> PAGE  \* MERGEFORMAT </w:instrText>
                    </w:r>
                    <w:r>
                      <w:fldChar w:fldCharType="separate"/>
                    </w:r>
                    <w:r>
                      <w:t>76</w:t>
                    </w:r>
                    <w:r>
                      <w:fldChar w:fldCharType="end"/>
                    </w:r>
                  </w:p>
                </w:txbxContent>
              </v:textbox>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1D8F18">
    <w:pPr>
      <w:spacing w:line="225" w:lineRule="auto"/>
      <w:ind w:left="4445"/>
      <w:rPr>
        <w:rFonts w:ascii="MingLiU-ExtB" w:hAnsi="MingLiU-ExtB" w:eastAsia="MingLiU-ExtB" w:cs="MingLiU-ExtB"/>
        <w:sz w:val="18"/>
        <w:szCs w:val="18"/>
      </w:rPr>
    </w:pPr>
    <w:r>
      <w:rPr>
        <w:sz w:val="18"/>
      </w:rPr>
      <mc:AlternateContent>
        <mc:Choice Requires="wps">
          <w:drawing>
            <wp:anchor distT="0" distB="0" distL="114300" distR="114300" simplePos="0" relativeHeight="2517176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D1354A">
                          <w:pPr>
                            <w:pStyle w:val="8"/>
                          </w:pPr>
                          <w:r>
                            <w:fldChar w:fldCharType="begin"/>
                          </w:r>
                          <w:r>
                            <w:instrText xml:space="preserve"> PAGE  \* MERGEFORMAT </w:instrText>
                          </w:r>
                          <w:r>
                            <w:fldChar w:fldCharType="separate"/>
                          </w:r>
                          <w:r>
                            <w:t>77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76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1gw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1gwzAgAAYwQAAA4AAAAAAAAAAQAgAAAAHwEAAGRycy9lMm9Eb2MueG1sUEsF&#10;BgAAAAAGAAYAWQEAAMQFAAAAAA==&#10;">
              <v:fill on="f" focussize="0,0"/>
              <v:stroke on="f" weight="0.5pt"/>
              <v:imagedata o:title=""/>
              <o:lock v:ext="edit" aspectratio="f"/>
              <v:textbox inset="0mm,0mm,0mm,0mm" style="mso-fit-shape-to-text:t;">
                <w:txbxContent>
                  <w:p w14:paraId="1ED1354A">
                    <w:pPr>
                      <w:pStyle w:val="8"/>
                    </w:pPr>
                    <w:r>
                      <w:fldChar w:fldCharType="begin"/>
                    </w:r>
                    <w:r>
                      <w:instrText xml:space="preserve"> PAGE  \* MERGEFORMAT </w:instrText>
                    </w:r>
                    <w:r>
                      <w:fldChar w:fldCharType="separate"/>
                    </w:r>
                    <w:r>
                      <w:t>77</w:t>
                    </w:r>
                    <w:r>
                      <w:fldChar w:fldCharType="end"/>
                    </w:r>
                  </w:p>
                </w:txbxContent>
              </v:textbox>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51D662">
    <w:pPr>
      <w:spacing w:line="225" w:lineRule="auto"/>
      <w:ind w:left="4458"/>
      <w:rPr>
        <w:rFonts w:ascii="MingLiU-ExtB" w:hAnsi="MingLiU-ExtB" w:eastAsia="MingLiU-ExtB" w:cs="MingLiU-ExtB"/>
        <w:sz w:val="18"/>
        <w:szCs w:val="18"/>
      </w:rPr>
    </w:pPr>
    <w:r>
      <w:rPr>
        <w:sz w:val="18"/>
      </w:rPr>
      <mc:AlternateContent>
        <mc:Choice Requires="wps">
          <w:drawing>
            <wp:anchor distT="0" distB="0" distL="114300" distR="114300" simplePos="0" relativeHeight="251718656" behindDoc="0" locked="0" layoutInCell="1" allowOverlap="1">
              <wp:simplePos x="0" y="0"/>
              <wp:positionH relativeFrom="margin">
                <wp:align>center</wp:align>
              </wp:positionH>
              <wp:positionV relativeFrom="paragraph">
                <wp:posOffset>0</wp:posOffset>
              </wp:positionV>
              <wp:extent cx="1828800" cy="1828800"/>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DDD284">
                          <w:pPr>
                            <w:pStyle w:val="8"/>
                          </w:pPr>
                          <w:r>
                            <w:fldChar w:fldCharType="begin"/>
                          </w:r>
                          <w:r>
                            <w:instrText xml:space="preserve"> PAGE  \* MERGEFORMAT </w:instrText>
                          </w:r>
                          <w:r>
                            <w:fldChar w:fldCharType="separate"/>
                          </w:r>
                          <w:r>
                            <w:t>78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86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haH+c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CFof5zICAABjBAAADgAAAAAAAAABACAAAAAfAQAAZHJzL2Uyb0RvYy54bWxQSwUG&#10;AAAAAAYABgBZAQAAwwUAAAAA&#10;">
              <v:fill on="f" focussize="0,0"/>
              <v:stroke on="f" weight="0.5pt"/>
              <v:imagedata o:title=""/>
              <o:lock v:ext="edit" aspectratio="f"/>
              <v:textbox inset="0mm,0mm,0mm,0mm" style="mso-fit-shape-to-text:t;">
                <w:txbxContent>
                  <w:p w14:paraId="54DDD284">
                    <w:pPr>
                      <w:pStyle w:val="8"/>
                    </w:pPr>
                    <w:r>
                      <w:fldChar w:fldCharType="begin"/>
                    </w:r>
                    <w:r>
                      <w:instrText xml:space="preserve"> PAGE  \* MERGEFORMAT </w:instrText>
                    </w:r>
                    <w:r>
                      <w:fldChar w:fldCharType="separate"/>
                    </w:r>
                    <w:r>
                      <w:t>78</w:t>
                    </w:r>
                    <w:r>
                      <w:fldChar w:fldCharType="end"/>
                    </w:r>
                  </w:p>
                </w:txbxContent>
              </v:textbox>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EC53E2">
    <w:pPr>
      <w:spacing w:line="223" w:lineRule="auto"/>
      <w:ind w:left="4454"/>
      <w:rPr>
        <w:rFonts w:hint="default" w:ascii="MingLiU-ExtB" w:hAnsi="MingLiU-ExtB" w:eastAsia="宋体" w:cs="MingLiU-ExtB"/>
        <w:sz w:val="18"/>
        <w:szCs w:val="18"/>
        <w:lang w:val="en-US" w:eastAsia="zh-CN"/>
      </w:rPr>
    </w:pPr>
    <w:r>
      <w:rPr>
        <w:sz w:val="18"/>
      </w:rPr>
      <mc:AlternateContent>
        <mc:Choice Requires="wps">
          <w:drawing>
            <wp:anchor distT="0" distB="0" distL="114300" distR="114300" simplePos="0" relativeHeight="251719680"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8421CD">
                          <w:pPr>
                            <w:pStyle w:val="8"/>
                          </w:pPr>
                          <w:r>
                            <w:fldChar w:fldCharType="begin"/>
                          </w:r>
                          <w:r>
                            <w:instrText xml:space="preserve"> PAGE  \* MERGEFORMAT </w:instrText>
                          </w:r>
                          <w:r>
                            <w:fldChar w:fldCharType="separate"/>
                          </w:r>
                          <w:r>
                            <w:t>82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96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P6hPo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T+oT6MQIAAGMEAAAOAAAAAAAAAAEAIAAAAB8BAABkcnMvZTJvRG9jLnhtbFBLBQYA&#10;AAAABgAGAFkBAADCBQAAAAA=&#10;">
              <v:fill on="f" focussize="0,0"/>
              <v:stroke on="f" weight="0.5pt"/>
              <v:imagedata o:title=""/>
              <o:lock v:ext="edit" aspectratio="f"/>
              <v:textbox inset="0mm,0mm,0mm,0mm" style="mso-fit-shape-to-text:t;">
                <w:txbxContent>
                  <w:p w14:paraId="408421CD">
                    <w:pPr>
                      <w:pStyle w:val="8"/>
                    </w:pPr>
                    <w:r>
                      <w:fldChar w:fldCharType="begin"/>
                    </w:r>
                    <w:r>
                      <w:instrText xml:space="preserve"> PAGE  \* MERGEFORMAT </w:instrText>
                    </w:r>
                    <w:r>
                      <w:fldChar w:fldCharType="separate"/>
                    </w:r>
                    <w:r>
                      <w:t>82</w:t>
                    </w:r>
                    <w:r>
                      <w:fldChar w:fldCharType="end"/>
                    </w:r>
                  </w:p>
                </w:txbxContent>
              </v:textbox>
            </v:shape>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BBF651">
    <w:pPr>
      <w:spacing w:line="223" w:lineRule="auto"/>
      <w:ind w:left="4369"/>
      <w:rPr>
        <w:rFonts w:ascii="MingLiU-ExtB" w:hAnsi="MingLiU-ExtB" w:eastAsia="MingLiU-ExtB" w:cs="MingLiU-ExtB"/>
        <w:sz w:val="18"/>
        <w:szCs w:val="18"/>
      </w:rPr>
    </w:pPr>
    <w:r>
      <w:rPr>
        <w:sz w:val="18"/>
      </w:rPr>
      <mc:AlternateContent>
        <mc:Choice Requires="wps">
          <w:drawing>
            <wp:anchor distT="0" distB="0" distL="114300" distR="114300" simplePos="0" relativeHeight="251720704" behindDoc="0" locked="0" layoutInCell="1" allowOverlap="1">
              <wp:simplePos x="0" y="0"/>
              <wp:positionH relativeFrom="margin">
                <wp:align>center</wp:align>
              </wp:positionH>
              <wp:positionV relativeFrom="paragraph">
                <wp:posOffset>0</wp:posOffset>
              </wp:positionV>
              <wp:extent cx="1828800" cy="1828800"/>
              <wp:effectExtent l="0" t="0" r="0" b="0"/>
              <wp:wrapNone/>
              <wp:docPr id="69" name="文本框 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1D56EB">
                          <w:pPr>
                            <w:pStyle w:val="8"/>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07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FSExU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FSExUzAgAAYwQAAA4AAAAAAAAAAQAgAAAAHwEAAGRycy9lMm9Eb2MueG1sUEsF&#10;BgAAAAAGAAYAWQEAAMQFAAAAAA==&#10;">
              <v:fill on="f" focussize="0,0"/>
              <v:stroke on="f" weight="0.5pt"/>
              <v:imagedata o:title=""/>
              <o:lock v:ext="edit" aspectratio="f"/>
              <v:textbox inset="0mm,0mm,0mm,0mm" style="mso-fit-shape-to-text:t;">
                <w:txbxContent>
                  <w:p w14:paraId="7D1D56EB">
                    <w:pPr>
                      <w:pStyle w:val="8"/>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59BBF5">
    <w:pPr>
      <w:spacing w:line="223" w:lineRule="auto"/>
      <w:ind w:left="4369"/>
      <w:rPr>
        <w:rFonts w:ascii="MingLiU-ExtB" w:hAnsi="MingLiU-ExtB" w:eastAsia="MingLiU-ExtB" w:cs="MingLiU-ExtB"/>
        <w:sz w:val="18"/>
        <w:szCs w:val="18"/>
      </w:rPr>
    </w:pPr>
    <w:r>
      <w:rPr>
        <w:sz w:val="18"/>
      </w:rPr>
      <mc:AlternateContent>
        <mc:Choice Requires="wps">
          <w:drawing>
            <wp:anchor distT="0" distB="0" distL="114300" distR="114300" simplePos="0" relativeHeight="251721728" behindDoc="0" locked="0" layoutInCell="1" allowOverlap="1">
              <wp:simplePos x="0" y="0"/>
              <wp:positionH relativeFrom="margin">
                <wp:align>center</wp:align>
              </wp:positionH>
              <wp:positionV relativeFrom="paragraph">
                <wp:posOffset>0</wp:posOffset>
              </wp:positionV>
              <wp:extent cx="1828800" cy="1828800"/>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3D81A6">
                          <w:pPr>
                            <w:pStyle w:val="8"/>
                          </w:pPr>
                          <w:r>
                            <w:fldChar w:fldCharType="begin"/>
                          </w:r>
                          <w:r>
                            <w:instrText xml:space="preserve"> PAGE  \* MERGEFORMAT </w:instrText>
                          </w:r>
                          <w:r>
                            <w:fldChar w:fldCharType="separate"/>
                          </w:r>
                          <w:r>
                            <w:t>92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17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MWwHM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0kMUyj4qcf308/&#10;H06/vhGcQaDGhRni7h0iY/vOtmib4TzgMPFuK6/TF4wI/MA6XuQVbSQ8XZpOptMcLg7fsAF+9njd&#10;+RDfC6tJMgrqUb9OVnbYhNiHDiEpm7FrqVRXQ2VIU9Cr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MWwHMzAgAAYwQAAA4AAAAAAAAAAQAgAAAAHwEAAGRycy9lMm9Eb2MueG1sUEsF&#10;BgAAAAAGAAYAWQEAAMQFAAAAAA==&#10;">
              <v:fill on="f" focussize="0,0"/>
              <v:stroke on="f" weight="0.5pt"/>
              <v:imagedata o:title=""/>
              <o:lock v:ext="edit" aspectratio="f"/>
              <v:textbox inset="0mm,0mm,0mm,0mm" style="mso-fit-shape-to-text:t;">
                <w:txbxContent>
                  <w:p w14:paraId="523D81A6">
                    <w:pPr>
                      <w:pStyle w:val="8"/>
                    </w:pPr>
                    <w:r>
                      <w:fldChar w:fldCharType="begin"/>
                    </w:r>
                    <w:r>
                      <w:instrText xml:space="preserve"> PAGE  \* MERGEFORMAT </w:instrText>
                    </w:r>
                    <w:r>
                      <w:fldChar w:fldCharType="separate"/>
                    </w:r>
                    <w:r>
                      <w:t>92</w:t>
                    </w:r>
                    <w:r>
                      <w:fldChar w:fldCharType="end"/>
                    </w:r>
                  </w:p>
                </w:txbxContent>
              </v:textbox>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9806EB">
    <w:pPr>
      <w:spacing w:line="223" w:lineRule="auto"/>
      <w:ind w:left="4369"/>
      <w:rPr>
        <w:rFonts w:ascii="MingLiU-ExtB" w:hAnsi="MingLiU-ExtB" w:eastAsia="MingLiU-ExtB" w:cs="MingLiU-ExtB"/>
        <w:sz w:val="18"/>
        <w:szCs w:val="18"/>
      </w:rPr>
    </w:pPr>
    <w:r>
      <w:rPr>
        <w:sz w:val="18"/>
      </w:rPr>
      <mc:AlternateContent>
        <mc:Choice Requires="wps">
          <w:drawing>
            <wp:anchor distT="0" distB="0" distL="114300" distR="114300" simplePos="0" relativeHeight="251722752" behindDoc="0" locked="0" layoutInCell="1" allowOverlap="1">
              <wp:simplePos x="0" y="0"/>
              <wp:positionH relativeFrom="margin">
                <wp:align>center</wp:align>
              </wp:positionH>
              <wp:positionV relativeFrom="paragraph">
                <wp:posOffset>0</wp:posOffset>
              </wp:positionV>
              <wp:extent cx="1828800" cy="1828800"/>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763369">
                          <w:pPr>
                            <w:pStyle w:val="8"/>
                          </w:pPr>
                          <w:r>
                            <w:fldChar w:fldCharType="begin"/>
                          </w:r>
                          <w:r>
                            <w:instrText xml:space="preserve"> PAGE  \* MERGEFORMAT </w:instrText>
                          </w:r>
                          <w:r>
                            <w:fldChar w:fldCharType="separate"/>
                          </w:r>
                          <w:r>
                            <w:t>93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27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G+V5wzAgAAYwQAAA4AAABkcnMvZTJvRG9jLnhtbK1UzY7TMBC+I/EO&#10;lu80aRFL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1TYphGx08/vp9+&#10;Ppx+fSM4g0CNCzPE3TtExvadbTE2w3nAYeLdVl6nLxgR+CHv8SKvaCPh6dJ0Mp3mcHH4hg3ws8fr&#10;zof4XlhNklFQj/51srLDJsQ+dAhJ2YxdS6W6HipDmoJevX6T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G+V5wzAgAAYwQAAA4AAAAAAAAAAQAgAAAAHwEAAGRycy9lMm9Eb2MueG1sUEsF&#10;BgAAAAAGAAYAWQEAAMQFAAAAAA==&#10;">
              <v:fill on="f" focussize="0,0"/>
              <v:stroke on="f" weight="0.5pt"/>
              <v:imagedata o:title=""/>
              <o:lock v:ext="edit" aspectratio="f"/>
              <v:textbox inset="0mm,0mm,0mm,0mm" style="mso-fit-shape-to-text:t;">
                <w:txbxContent>
                  <w:p w14:paraId="41763369">
                    <w:pPr>
                      <w:pStyle w:val="8"/>
                    </w:pPr>
                    <w:r>
                      <w:fldChar w:fldCharType="begin"/>
                    </w:r>
                    <w:r>
                      <w:instrText xml:space="preserve"> PAGE  \* MERGEFORMAT </w:instrText>
                    </w:r>
                    <w:r>
                      <w:fldChar w:fldCharType="separate"/>
                    </w:r>
                    <w:r>
                      <w:t>93</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8ED582">
    <w:pPr>
      <w:spacing w:line="225" w:lineRule="auto"/>
      <w:ind w:left="4814"/>
      <w:rPr>
        <w:rFonts w:ascii="MingLiU-ExtB" w:hAnsi="MingLiU-ExtB" w:eastAsia="MingLiU-ExtB" w:cs="MingLiU-ExtB"/>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4B10C4">
                          <w:pPr>
                            <w:pStyle w:val="8"/>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324B10C4">
                    <w:pPr>
                      <w:pStyle w:val="8"/>
                    </w:pPr>
                    <w:r>
                      <w:fldChar w:fldCharType="begin"/>
                    </w:r>
                    <w:r>
                      <w:instrText xml:space="preserve"> PAGE  \* MERGEFORMAT </w:instrText>
                    </w:r>
                    <w:r>
                      <w:fldChar w:fldCharType="separate"/>
                    </w:r>
                    <w:r>
                      <w:t>6</w:t>
                    </w:r>
                    <w:r>
                      <w:fldChar w:fldCharType="end"/>
                    </w:r>
                  </w:p>
                </w:txbxContent>
              </v:textbox>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752DC4">
    <w:pPr>
      <w:spacing w:line="223" w:lineRule="auto"/>
      <w:ind w:left="4567"/>
      <w:rPr>
        <w:rFonts w:ascii="MingLiU-ExtB" w:hAnsi="MingLiU-ExtB" w:eastAsia="MingLiU-ExtB" w:cs="MingLiU-ExtB"/>
        <w:sz w:val="18"/>
        <w:szCs w:val="18"/>
      </w:rPr>
    </w:pPr>
    <w:r>
      <w:rPr>
        <w:sz w:val="18"/>
      </w:rPr>
      <mc:AlternateContent>
        <mc:Choice Requires="wps">
          <w:drawing>
            <wp:anchor distT="0" distB="0" distL="114300" distR="114300" simplePos="0" relativeHeight="251723776" behindDoc="0" locked="0" layoutInCell="1" allowOverlap="1">
              <wp:simplePos x="0" y="0"/>
              <wp:positionH relativeFrom="margin">
                <wp:align>center</wp:align>
              </wp:positionH>
              <wp:positionV relativeFrom="paragraph">
                <wp:posOffset>0</wp:posOffset>
              </wp:positionV>
              <wp:extent cx="1828800" cy="1828800"/>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56D050">
                          <w:pPr>
                            <w:pStyle w:val="8"/>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37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ZAnnc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2E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ZAnnczAgAAYwQAAA4AAAAAAAAAAQAgAAAAHwEAAGRycy9lMm9Eb2MueG1sUEsF&#10;BgAAAAAGAAYAWQEAAMQFAAAAAA==&#10;">
              <v:fill on="f" focussize="0,0"/>
              <v:stroke on="f" weight="0.5pt"/>
              <v:imagedata o:title=""/>
              <o:lock v:ext="edit" aspectratio="f"/>
              <v:textbox inset="0mm,0mm,0mm,0mm" style="mso-fit-shape-to-text:t;">
                <w:txbxContent>
                  <w:p w14:paraId="3A56D050">
                    <w:pPr>
                      <w:pStyle w:val="8"/>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F9535C">
    <w:pPr>
      <w:spacing w:line="223" w:lineRule="auto"/>
      <w:ind w:left="4447"/>
      <w:rPr>
        <w:rFonts w:ascii="MingLiU-ExtB" w:hAnsi="MingLiU-ExtB" w:eastAsia="MingLiU-ExtB" w:cs="MingLiU-ExtB"/>
        <w:sz w:val="18"/>
        <w:szCs w:val="18"/>
      </w:rPr>
    </w:pPr>
    <w:r>
      <w:rPr>
        <w:sz w:val="18"/>
      </w:rPr>
      <mc:AlternateContent>
        <mc:Choice Requires="wps">
          <w:drawing>
            <wp:anchor distT="0" distB="0" distL="114300" distR="114300" simplePos="0" relativeHeight="251724800" behindDoc="0" locked="0" layoutInCell="1" allowOverlap="1">
              <wp:simplePos x="0" y="0"/>
              <wp:positionH relativeFrom="margin">
                <wp:align>center</wp:align>
              </wp:positionH>
              <wp:positionV relativeFrom="paragraph">
                <wp:posOffset>0</wp:posOffset>
              </wp:positionV>
              <wp:extent cx="1828800" cy="1828800"/>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E4050A">
                          <w:pPr>
                            <w:pStyle w:val="8"/>
                          </w:pPr>
                          <w:r>
                            <w:fldChar w:fldCharType="begin"/>
                          </w:r>
                          <w:r>
                            <w:instrText xml:space="preserve"> PAGE  \* MERGEFORMAT </w:instrText>
                          </w:r>
                          <w:r>
                            <w:fldChar w:fldCharType="separate"/>
                          </w:r>
                          <w:r>
                            <w:t>95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48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ToCZg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ToCZgzAgAAYwQAAA4AAAAAAAAAAQAgAAAAHwEAAGRycy9lMm9Eb2MueG1sUEsF&#10;BgAAAAAGAAYAWQEAAMQFAAAAAA==&#10;">
              <v:fill on="f" focussize="0,0"/>
              <v:stroke on="f" weight="0.5pt"/>
              <v:imagedata o:title=""/>
              <o:lock v:ext="edit" aspectratio="f"/>
              <v:textbox inset="0mm,0mm,0mm,0mm" style="mso-fit-shape-to-text:t;">
                <w:txbxContent>
                  <w:p w14:paraId="65E4050A">
                    <w:pPr>
                      <w:pStyle w:val="8"/>
                    </w:pPr>
                    <w:r>
                      <w:fldChar w:fldCharType="begin"/>
                    </w:r>
                    <w:r>
                      <w:instrText xml:space="preserve"> PAGE  \* MERGEFORMAT </w:instrText>
                    </w:r>
                    <w:r>
                      <w:fldChar w:fldCharType="separate"/>
                    </w:r>
                    <w:r>
                      <w:t>95</w:t>
                    </w:r>
                    <w:r>
                      <w:fldChar w:fldCharType="end"/>
                    </w:r>
                  </w:p>
                </w:txbxContent>
              </v:textbox>
            </v:shape>
          </w:pict>
        </mc:Fallback>
      </mc:AlternateConten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8D36FF">
    <w:pPr>
      <w:spacing w:line="223" w:lineRule="auto"/>
      <w:ind w:left="4447"/>
      <w:rPr>
        <w:rFonts w:ascii="MingLiU-ExtB" w:hAnsi="MingLiU-ExtB" w:eastAsia="MingLiU-ExtB" w:cs="MingLiU-ExtB"/>
        <w:sz w:val="18"/>
        <w:szCs w:val="18"/>
      </w:rPr>
    </w:pPr>
    <w:r>
      <w:rPr>
        <w:sz w:val="18"/>
      </w:rPr>
      <mc:AlternateContent>
        <mc:Choice Requires="wps">
          <w:drawing>
            <wp:anchor distT="0" distB="0" distL="114300" distR="114300" simplePos="0" relativeHeight="251725824" behindDoc="0" locked="0" layoutInCell="1" allowOverlap="1">
              <wp:simplePos x="0" y="0"/>
              <wp:positionH relativeFrom="margin">
                <wp:align>center</wp:align>
              </wp:positionH>
              <wp:positionV relativeFrom="paragraph">
                <wp:posOffset>0</wp:posOffset>
              </wp:positionV>
              <wp:extent cx="1828800" cy="1828800"/>
              <wp:effectExtent l="0" t="0" r="0" b="0"/>
              <wp:wrapNone/>
              <wp:docPr id="74" name="文本框 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B31888">
                          <w:pPr>
                            <w:pStyle w:val="8"/>
                          </w:pPr>
                          <w:r>
                            <w:fldChar w:fldCharType="begin"/>
                          </w:r>
                          <w:r>
                            <w:instrText xml:space="preserve"> PAGE  \* MERGEFORMAT </w:instrText>
                          </w:r>
                          <w:r>
                            <w:fldChar w:fldCharType="separate"/>
                          </w:r>
                          <w:r>
                            <w:t>96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58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fHs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37yi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m7fHszAgAAYwQAAA4AAAAAAAAAAQAgAAAAHwEAAGRycy9lMm9Eb2MueG1sUEsF&#10;BgAAAAAGAAYAWQEAAMQFAAAAAA==&#10;">
              <v:fill on="f" focussize="0,0"/>
              <v:stroke on="f" weight="0.5pt"/>
              <v:imagedata o:title=""/>
              <o:lock v:ext="edit" aspectratio="f"/>
              <v:textbox inset="0mm,0mm,0mm,0mm" style="mso-fit-shape-to-text:t;">
                <w:txbxContent>
                  <w:p w14:paraId="19B31888">
                    <w:pPr>
                      <w:pStyle w:val="8"/>
                    </w:pPr>
                    <w:r>
                      <w:fldChar w:fldCharType="begin"/>
                    </w:r>
                    <w:r>
                      <w:instrText xml:space="preserve"> PAGE  \* MERGEFORMAT </w:instrText>
                    </w:r>
                    <w:r>
                      <w:fldChar w:fldCharType="separate"/>
                    </w:r>
                    <w:r>
                      <w:t>96</w:t>
                    </w:r>
                    <w:r>
                      <w:fldChar w:fldCharType="end"/>
                    </w:r>
                  </w:p>
                </w:txbxContent>
              </v:textbox>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84DF30">
    <w:pPr>
      <w:spacing w:line="225" w:lineRule="auto"/>
      <w:ind w:left="4413"/>
      <w:rPr>
        <w:rFonts w:ascii="MingLiU-ExtB" w:hAnsi="MingLiU-ExtB" w:eastAsia="MingLiU-ExtB" w:cs="MingLiU-ExtB"/>
        <w:sz w:val="18"/>
        <w:szCs w:val="18"/>
      </w:rPr>
    </w:pPr>
    <w:r>
      <w:rPr>
        <w:sz w:val="18"/>
      </w:rPr>
      <mc:AlternateContent>
        <mc:Choice Requires="wps">
          <w:drawing>
            <wp:anchor distT="0" distB="0" distL="114300" distR="114300" simplePos="0" relativeHeight="251726848"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92DF51">
                          <w:pPr>
                            <w:pStyle w:val="8"/>
                          </w:pPr>
                          <w:r>
                            <w:fldChar w:fldCharType="begin"/>
                          </w:r>
                          <w:r>
                            <w:instrText xml:space="preserve"> PAGE  \* MERGEFORMAT </w:instrText>
                          </w:r>
                          <w:r>
                            <w:fldChar w:fldCharType="separate"/>
                          </w:r>
                          <w:r>
                            <w:t>97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68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sT65QzAgAAY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sT65QzAgAAYwQAAA4AAAAAAAAAAQAgAAAAHwEAAGRycy9lMm9Eb2MueG1sUEsF&#10;BgAAAAAGAAYAWQEAAMQFAAAAAA==&#10;">
              <v:fill on="f" focussize="0,0"/>
              <v:stroke on="f" weight="0.5pt"/>
              <v:imagedata o:title=""/>
              <o:lock v:ext="edit" aspectratio="f"/>
              <v:textbox inset="0mm,0mm,0mm,0mm" style="mso-fit-shape-to-text:t;">
                <w:txbxContent>
                  <w:p w14:paraId="5B92DF51">
                    <w:pPr>
                      <w:pStyle w:val="8"/>
                    </w:pPr>
                    <w:r>
                      <w:fldChar w:fldCharType="begin"/>
                    </w:r>
                    <w:r>
                      <w:instrText xml:space="preserve"> PAGE  \* MERGEFORMAT </w:instrText>
                    </w:r>
                    <w:r>
                      <w:fldChar w:fldCharType="separate"/>
                    </w:r>
                    <w:r>
                      <w:t>97</w:t>
                    </w:r>
                    <w:r>
                      <w:fldChar w:fldCharType="end"/>
                    </w:r>
                  </w:p>
                </w:txbxContent>
              </v:textbox>
            </v:shape>
          </w:pict>
        </mc:Fallback>
      </mc:AlternateConten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26B087">
    <w:pPr>
      <w:spacing w:line="225" w:lineRule="auto"/>
      <w:ind w:left="4413"/>
      <w:rPr>
        <w:rFonts w:ascii="MingLiU-ExtB" w:hAnsi="MingLiU-ExtB" w:eastAsia="MingLiU-ExtB" w:cs="MingLiU-ExtB"/>
        <w:sz w:val="18"/>
        <w:szCs w:val="18"/>
      </w:rPr>
    </w:pPr>
    <w:r>
      <w:rPr>
        <w:sz w:val="18"/>
      </w:rPr>
      <mc:AlternateContent>
        <mc:Choice Requires="wps">
          <w:drawing>
            <wp:anchor distT="0" distB="0" distL="114300" distR="114300" simplePos="0" relativeHeight="251727872" behindDoc="0" locked="0" layoutInCell="1" allowOverlap="1">
              <wp:simplePos x="0" y="0"/>
              <wp:positionH relativeFrom="margin">
                <wp:align>center</wp:align>
              </wp:positionH>
              <wp:positionV relativeFrom="paragraph">
                <wp:posOffset>0</wp:posOffset>
              </wp:positionV>
              <wp:extent cx="1828800" cy="1828800"/>
              <wp:effectExtent l="0" t="0" r="0" b="0"/>
              <wp:wrapNone/>
              <wp:docPr id="76" name="文本框 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B4205B">
                          <w:pPr>
                            <w:pStyle w:val="8"/>
                          </w:pPr>
                          <w:r>
                            <w:fldChar w:fldCharType="begin"/>
                          </w:r>
                          <w:r>
                            <w:instrText xml:space="preserve"> PAGE  \* MERGEFORMAT </w:instrText>
                          </w:r>
                          <w:r>
                            <w:fldChar w:fldCharType="separate"/>
                          </w:r>
                          <w:r>
                            <w:t>98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78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ztIn8zAgAAYwQAAA4AAABkcnMvZTJvRG9jLnhtbK1UzY7TMBC+I/EO&#10;lu80aRGl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bdTSjRTqPjlx/fL&#10;z4fLr28EZxCotn6OuJ1FZGjemQZtM5x7HEbeTeFU/IIRgR/ynq/yiiYQHi/NJrNZCheHb9gAP3m8&#10;bp0P74VRJBoZdahfKys7bX3oQoeQmE2bTSVlW0OpSZ3R6es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ztIn8zAgAAYwQAAA4AAAAAAAAAAQAgAAAAHwEAAGRycy9lMm9Eb2MueG1sUEsF&#10;BgAAAAAGAAYAWQEAAMQFAAAAAA==&#10;">
              <v:fill on="f" focussize="0,0"/>
              <v:stroke on="f" weight="0.5pt"/>
              <v:imagedata o:title=""/>
              <o:lock v:ext="edit" aspectratio="f"/>
              <v:textbox inset="0mm,0mm,0mm,0mm" style="mso-fit-shape-to-text:t;">
                <w:txbxContent>
                  <w:p w14:paraId="2CB4205B">
                    <w:pPr>
                      <w:pStyle w:val="8"/>
                    </w:pPr>
                    <w:r>
                      <w:fldChar w:fldCharType="begin"/>
                    </w:r>
                    <w:r>
                      <w:instrText xml:space="preserve"> PAGE  \* MERGEFORMAT </w:instrText>
                    </w:r>
                    <w:r>
                      <w:fldChar w:fldCharType="separate"/>
                    </w:r>
                    <w:r>
                      <w:t>98</w:t>
                    </w:r>
                    <w:r>
                      <w:fldChar w:fldCharType="end"/>
                    </w:r>
                  </w:p>
                </w:txbxContent>
              </v:textbox>
            </v:shape>
          </w:pict>
        </mc:Fallback>
      </mc:AlternateConten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8A77B7">
    <w:pPr>
      <w:spacing w:line="225" w:lineRule="auto"/>
      <w:ind w:left="4413"/>
      <w:rPr>
        <w:rFonts w:ascii="MingLiU-ExtB" w:hAnsi="MingLiU-ExtB" w:eastAsia="MingLiU-ExtB" w:cs="MingLiU-ExtB"/>
        <w:sz w:val="18"/>
        <w:szCs w:val="18"/>
      </w:rPr>
    </w:pPr>
    <w:r>
      <w:rPr>
        <w:sz w:val="18"/>
      </w:rPr>
      <mc:AlternateContent>
        <mc:Choice Requires="wps">
          <w:drawing>
            <wp:anchor distT="0" distB="0" distL="114300" distR="114300" simplePos="0" relativeHeight="251728896" behindDoc="0" locked="0" layoutInCell="1" allowOverlap="1">
              <wp:simplePos x="0" y="0"/>
              <wp:positionH relativeFrom="margin">
                <wp:align>center</wp:align>
              </wp:positionH>
              <wp:positionV relativeFrom="paragraph">
                <wp:posOffset>0</wp:posOffset>
              </wp:positionV>
              <wp:extent cx="1828800" cy="1828800"/>
              <wp:effectExtent l="0" t="0" r="0" b="0"/>
              <wp:wrapNone/>
              <wp:docPr id="81" name="文本框 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953D89">
                          <w:pPr>
                            <w:pStyle w:val="8"/>
                          </w:pPr>
                          <w:r>
                            <w:fldChar w:fldCharType="begin"/>
                          </w:r>
                          <w:r>
                            <w:instrText xml:space="preserve"> PAGE  \* MERGEFORMAT </w:instrText>
                          </w:r>
                          <w:r>
                            <w:fldChar w:fldCharType="separate"/>
                          </w:r>
                          <w:r>
                            <w:t>103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88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azvg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2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2RrO+DICAABjBAAADgAAAAAAAAABACAAAAAfAQAAZHJzL2Uyb0RvYy54bWxQSwUG&#10;AAAAAAYABgBZAQAAwwUAAAAA&#10;">
              <v:fill on="f" focussize="0,0"/>
              <v:stroke on="f" weight="0.5pt"/>
              <v:imagedata o:title=""/>
              <o:lock v:ext="edit" aspectratio="f"/>
              <v:textbox inset="0mm,0mm,0mm,0mm" style="mso-fit-shape-to-text:t;">
                <w:txbxContent>
                  <w:p w14:paraId="3A953D89">
                    <w:pPr>
                      <w:pStyle w:val="8"/>
                    </w:pPr>
                    <w:r>
                      <w:fldChar w:fldCharType="begin"/>
                    </w:r>
                    <w:r>
                      <w:instrText xml:space="preserve"> PAGE  \* MERGEFORMAT </w:instrText>
                    </w:r>
                    <w:r>
                      <w:fldChar w:fldCharType="separate"/>
                    </w:r>
                    <w:r>
                      <w:t>103</w:t>
                    </w:r>
                    <w:r>
                      <w:fldChar w:fldCharType="end"/>
                    </w:r>
                  </w:p>
                </w:txbxContent>
              </v:textbox>
            </v:shape>
          </w:pict>
        </mc:Fallback>
      </mc:AlternateConten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F00ED8">
    <w:pPr>
      <w:spacing w:line="227" w:lineRule="auto"/>
      <w:ind w:left="4414"/>
      <w:rPr>
        <w:rFonts w:ascii="MingLiU-ExtB" w:hAnsi="MingLiU-ExtB" w:eastAsia="MingLiU-ExtB" w:cs="MingLiU-ExtB"/>
        <w:sz w:val="18"/>
        <w:szCs w:val="18"/>
      </w:rPr>
    </w:pPr>
    <w:r>
      <w:rPr>
        <w:sz w:val="18"/>
      </w:rPr>
      <mc:AlternateContent>
        <mc:Choice Requires="wps">
          <w:drawing>
            <wp:anchor distT="0" distB="0" distL="114300" distR="114300" simplePos="0" relativeHeight="251729920" behindDoc="0" locked="0" layoutInCell="1" allowOverlap="1">
              <wp:simplePos x="0" y="0"/>
              <wp:positionH relativeFrom="margin">
                <wp:align>center</wp:align>
              </wp:positionH>
              <wp:positionV relativeFrom="paragraph">
                <wp:posOffset>0</wp:posOffset>
              </wp:positionV>
              <wp:extent cx="1828800" cy="1828800"/>
              <wp:effectExtent l="0" t="0" r="0" b="0"/>
              <wp:wrapNone/>
              <wp:docPr id="86" name="文本框 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1FD5A2">
                          <w:pPr>
                            <w:pStyle w:val="8"/>
                          </w:pPr>
                          <w:r>
                            <w:fldChar w:fldCharType="begin"/>
                          </w:r>
                          <w:r>
                            <w:instrText xml:space="preserve"> PAGE  \* MERGEFORMAT </w:instrText>
                          </w:r>
                          <w:r>
                            <w:fldChar w:fldCharType="separate"/>
                          </w:r>
                          <w:r>
                            <w:t>108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99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Juxs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Em7GzICAABjBAAADgAAAAAAAAABACAAAAAfAQAAZHJzL2Uyb0RvYy54bWxQSwUG&#10;AAAAAAYABgBZAQAAwwUAAAAA&#10;">
              <v:fill on="f" focussize="0,0"/>
              <v:stroke on="f" weight="0.5pt"/>
              <v:imagedata o:title=""/>
              <o:lock v:ext="edit" aspectratio="f"/>
              <v:textbox inset="0mm,0mm,0mm,0mm" style="mso-fit-shape-to-text:t;">
                <w:txbxContent>
                  <w:p w14:paraId="011FD5A2">
                    <w:pPr>
                      <w:pStyle w:val="8"/>
                    </w:pPr>
                    <w:r>
                      <w:fldChar w:fldCharType="begin"/>
                    </w:r>
                    <w:r>
                      <w:instrText xml:space="preserve"> PAGE  \* MERGEFORMAT </w:instrText>
                    </w:r>
                    <w:r>
                      <w:fldChar w:fldCharType="separate"/>
                    </w:r>
                    <w:r>
                      <w:t>108</w:t>
                    </w:r>
                    <w:r>
                      <w:fldChar w:fldCharType="end"/>
                    </w:r>
                  </w:p>
                </w:txbxContent>
              </v:textbox>
            </v:shape>
          </w:pict>
        </mc:Fallback>
      </mc:AlternateConten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D72E86">
    <w:pPr>
      <w:spacing w:line="227" w:lineRule="auto"/>
      <w:ind w:left="4397"/>
      <w:rPr>
        <w:rFonts w:ascii="MingLiU-ExtB" w:hAnsi="MingLiU-ExtB" w:eastAsia="MingLiU-ExtB" w:cs="MingLiU-ExtB"/>
        <w:sz w:val="18"/>
        <w:szCs w:val="18"/>
      </w:rPr>
    </w:pPr>
    <w:r>
      <w:rPr>
        <w:sz w:val="18"/>
      </w:rPr>
      <mc:AlternateContent>
        <mc:Choice Requires="wps">
          <w:drawing>
            <wp:anchor distT="0" distB="0" distL="114300" distR="114300" simplePos="0" relativeHeight="251730944" behindDoc="0" locked="0" layoutInCell="1" allowOverlap="1">
              <wp:simplePos x="0" y="0"/>
              <wp:positionH relativeFrom="margin">
                <wp:align>center</wp:align>
              </wp:positionH>
              <wp:positionV relativeFrom="paragraph">
                <wp:posOffset>0</wp:posOffset>
              </wp:positionV>
              <wp:extent cx="1828800" cy="1828800"/>
              <wp:effectExtent l="0" t="0" r="0" b="0"/>
              <wp:wrapNone/>
              <wp:docPr id="87" name="文本框 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8DF090">
                          <w:pPr>
                            <w:pStyle w:val="8"/>
                          </w:pPr>
                          <w:r>
                            <w:fldChar w:fldCharType="begin"/>
                          </w:r>
                          <w:r>
                            <w:instrText xml:space="preserve"> PAGE  \* MERGEFORMAT </w:instrText>
                          </w:r>
                          <w:r>
                            <w:fldChar w:fldCharType="separate"/>
                          </w:r>
                          <w:r>
                            <w:t>109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09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hLPQ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q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bhLPQzAgAAYwQAAA4AAAAAAAAAAQAgAAAAHwEAAGRycy9lMm9Eb2MueG1sUEsF&#10;BgAAAAAGAAYAWQEAAMQFAAAAAA==&#10;">
              <v:fill on="f" focussize="0,0"/>
              <v:stroke on="f" weight="0.5pt"/>
              <v:imagedata o:title=""/>
              <o:lock v:ext="edit" aspectratio="f"/>
              <v:textbox inset="0mm,0mm,0mm,0mm" style="mso-fit-shape-to-text:t;">
                <w:txbxContent>
                  <w:p w14:paraId="578DF090">
                    <w:pPr>
                      <w:pStyle w:val="8"/>
                    </w:pPr>
                    <w:r>
                      <w:fldChar w:fldCharType="begin"/>
                    </w:r>
                    <w:r>
                      <w:instrText xml:space="preserve"> PAGE  \* MERGEFORMAT </w:instrText>
                    </w:r>
                    <w:r>
                      <w:fldChar w:fldCharType="separate"/>
                    </w:r>
                    <w:r>
                      <w:t>109</w:t>
                    </w:r>
                    <w:r>
                      <w:fldChar w:fldCharType="end"/>
                    </w:r>
                  </w:p>
                </w:txbxContent>
              </v:textbox>
            </v:shape>
          </w:pict>
        </mc:Fallback>
      </mc:AlternateConten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B96E5C">
    <w:pPr>
      <w:spacing w:line="225" w:lineRule="auto"/>
      <w:ind w:left="4420"/>
      <w:rPr>
        <w:rFonts w:ascii="MingLiU-ExtB" w:hAnsi="MingLiU-ExtB" w:eastAsia="MingLiU-ExtB" w:cs="MingLiU-ExtB"/>
        <w:sz w:val="18"/>
        <w:szCs w:val="18"/>
      </w:rPr>
    </w:pPr>
    <w:r>
      <w:rPr>
        <w:sz w:val="18"/>
      </w:rPr>
      <mc:AlternateContent>
        <mc:Choice Requires="wps">
          <w:drawing>
            <wp:anchor distT="0" distB="0" distL="114300" distR="114300" simplePos="0" relativeHeight="251731968" behindDoc="0" locked="0" layoutInCell="1" allowOverlap="1">
              <wp:simplePos x="0" y="0"/>
              <wp:positionH relativeFrom="margin">
                <wp:align>center</wp:align>
              </wp:positionH>
              <wp:positionV relativeFrom="paragraph">
                <wp:posOffset>0</wp:posOffset>
              </wp:positionV>
              <wp:extent cx="1828800" cy="1828800"/>
              <wp:effectExtent l="0" t="0" r="0" b="0"/>
              <wp:wrapNone/>
              <wp:docPr id="89" name="文本框 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3FEC74">
                          <w:pPr>
                            <w:pStyle w:val="8"/>
                          </w:pPr>
                          <w:r>
                            <w:fldChar w:fldCharType="begin"/>
                          </w:r>
                          <w:r>
                            <w:instrText xml:space="preserve"> PAGE  \* MERGEFORMAT </w:instrText>
                          </w:r>
                          <w:r>
                            <w:fldChar w:fldCharType="separate"/>
                          </w:r>
                          <w:r>
                            <w:t>111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19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1Bt+k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q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1Bt+kzAgAAYwQAAA4AAAAAAAAAAQAgAAAAHwEAAGRycy9lMm9Eb2MueG1sUEsF&#10;BgAAAAAGAAYAWQEAAMQFAAAAAA==&#10;">
              <v:fill on="f" focussize="0,0"/>
              <v:stroke on="f" weight="0.5pt"/>
              <v:imagedata o:title=""/>
              <o:lock v:ext="edit" aspectratio="f"/>
              <v:textbox inset="0mm,0mm,0mm,0mm" style="mso-fit-shape-to-text:t;">
                <w:txbxContent>
                  <w:p w14:paraId="113FEC74">
                    <w:pPr>
                      <w:pStyle w:val="8"/>
                    </w:pPr>
                    <w:r>
                      <w:fldChar w:fldCharType="begin"/>
                    </w:r>
                    <w:r>
                      <w:instrText xml:space="preserve"> PAGE  \* MERGEFORMAT </w:instrText>
                    </w:r>
                    <w:r>
                      <w:fldChar w:fldCharType="separate"/>
                    </w:r>
                    <w:r>
                      <w:t>111</w:t>
                    </w:r>
                    <w:r>
                      <w:fldChar w:fldCharType="end"/>
                    </w:r>
                  </w:p>
                </w:txbxContent>
              </v:textbox>
            </v:shape>
          </w:pict>
        </mc:Fallback>
      </mc:AlternateConten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6D9FC1">
    <w:pPr>
      <w:spacing w:line="225" w:lineRule="auto"/>
      <w:ind w:left="4532"/>
      <w:rPr>
        <w:rFonts w:ascii="MingLiU-ExtB" w:hAnsi="MingLiU-ExtB" w:eastAsia="MingLiU-ExtB" w:cs="MingLiU-ExtB"/>
        <w:sz w:val="18"/>
        <w:szCs w:val="18"/>
      </w:rPr>
    </w:pPr>
    <w:r>
      <w:rPr>
        <w:sz w:val="18"/>
      </w:rPr>
      <mc:AlternateContent>
        <mc:Choice Requires="wps">
          <w:drawing>
            <wp:anchor distT="0" distB="0" distL="114300" distR="114300" simplePos="0" relativeHeight="251732992" behindDoc="0" locked="0" layoutInCell="1" allowOverlap="1">
              <wp:simplePos x="0" y="0"/>
              <wp:positionH relativeFrom="margin">
                <wp:align>center</wp:align>
              </wp:positionH>
              <wp:positionV relativeFrom="paragraph">
                <wp:posOffset>0</wp:posOffset>
              </wp:positionV>
              <wp:extent cx="1828800" cy="1828800"/>
              <wp:effectExtent l="0" t="0" r="0" b="0"/>
              <wp:wrapNone/>
              <wp:docPr id="91" name="文本框 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123E4E">
                          <w:pPr>
                            <w:pStyle w:val="8"/>
                          </w:pPr>
                          <w:r>
                            <w:fldChar w:fldCharType="begin"/>
                          </w:r>
                          <w:r>
                            <w:instrText xml:space="preserve"> PAGE  \* MERGEFORMAT </w:instrText>
                          </w:r>
                          <w:r>
                            <w:fldChar w:fldCharType="separate"/>
                          </w:r>
                          <w:r>
                            <w:t>114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29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82AzAgAAYwQAAA4AAABkcnMvZTJvRG9jLnhtbK1UzY7TMBC+I/EO&#10;lu80aRGrUj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1TYphGx08/vp9+&#10;Ppx+fSM4g0CNCzPE3TtExvadbTE2w3nAYeLdVl6nLxgR+CHv8SKvaCPh6dJ0Mp3mcHH4hg3ws8fr&#10;zof4XlhNklFQj/51srLDJsQ+dAhJ2YxdS6W6HipDmoJevX6T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82AzAgAAYwQAAA4AAAAAAAAAAQAgAAAAHwEAAGRycy9lMm9Eb2MueG1sUEsF&#10;BgAAAAAGAAYAWQEAAMQFAAAAAA==&#10;">
              <v:fill on="f" focussize="0,0"/>
              <v:stroke on="f" weight="0.5pt"/>
              <v:imagedata o:title=""/>
              <o:lock v:ext="edit" aspectratio="f"/>
              <v:textbox inset="0mm,0mm,0mm,0mm" style="mso-fit-shape-to-text:t;">
                <w:txbxContent>
                  <w:p w14:paraId="7C123E4E">
                    <w:pPr>
                      <w:pStyle w:val="8"/>
                    </w:pPr>
                    <w:r>
                      <w:fldChar w:fldCharType="begin"/>
                    </w:r>
                    <w:r>
                      <w:instrText xml:space="preserve"> PAGE  \* MERGEFORMAT </w:instrText>
                    </w:r>
                    <w:r>
                      <w:fldChar w:fldCharType="separate"/>
                    </w:r>
                    <w:r>
                      <w:t>114</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7178D1">
    <w:pPr>
      <w:spacing w:line="223" w:lineRule="auto"/>
      <w:ind w:left="4612"/>
      <w:rPr>
        <w:rFonts w:ascii="MingLiU-ExtB" w:hAnsi="MingLiU-ExtB" w:eastAsia="MingLiU-ExtB" w:cs="MingLiU-ExtB"/>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23A6EA">
                          <w:pPr>
                            <w:pStyle w:val="8"/>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6123A6EA">
                    <w:pPr>
                      <w:pStyle w:val="8"/>
                    </w:pPr>
                    <w:r>
                      <w:fldChar w:fldCharType="begin"/>
                    </w:r>
                    <w:r>
                      <w:instrText xml:space="preserve"> PAGE  \* MERGEFORMAT </w:instrText>
                    </w:r>
                    <w:r>
                      <w:fldChar w:fldCharType="separate"/>
                    </w:r>
                    <w:r>
                      <w:t>7</w:t>
                    </w:r>
                    <w:r>
                      <w:fldChar w:fldCharType="end"/>
                    </w:r>
                  </w:p>
                </w:txbxContent>
              </v:textbox>
            </v:shape>
          </w:pict>
        </mc:Fallback>
      </mc:AlternateConten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ADC7C4">
    <w:pPr>
      <w:spacing w:line="225" w:lineRule="auto"/>
      <w:ind w:left="4397"/>
      <w:rPr>
        <w:rFonts w:ascii="MingLiU-ExtB" w:hAnsi="MingLiU-ExtB" w:eastAsia="MingLiU-ExtB" w:cs="MingLiU-ExtB"/>
        <w:sz w:val="18"/>
        <w:szCs w:val="18"/>
      </w:rPr>
    </w:pPr>
    <w:r>
      <w:rPr>
        <w:sz w:val="18"/>
      </w:rPr>
      <mc:AlternateContent>
        <mc:Choice Requires="wps">
          <w:drawing>
            <wp:anchor distT="0" distB="0" distL="114300" distR="114300" simplePos="0" relativeHeight="251734016"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45CF1D">
                          <w:pPr>
                            <w:pStyle w:val="8"/>
                          </w:pPr>
                          <w:r>
                            <w:fldChar w:fldCharType="begin"/>
                          </w:r>
                          <w:r>
                            <w:instrText xml:space="preserve"> PAGE  \* MERGEFORMAT </w:instrText>
                          </w:r>
                          <w:r>
                            <w:fldChar w:fldCharType="separate"/>
                          </w:r>
                          <w:r>
                            <w:t>115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40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Oos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2E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OoszAgAAYwQAAA4AAAAAAAAAAQAgAAAAHwEAAGRycy9lMm9Eb2MueG1sUEsF&#10;BgAAAAAGAAYAWQEAAMQFAAAAAA==&#10;">
              <v:fill on="f" focussize="0,0"/>
              <v:stroke on="f" weight="0.5pt"/>
              <v:imagedata o:title=""/>
              <o:lock v:ext="edit" aspectratio="f"/>
              <v:textbox inset="0mm,0mm,0mm,0mm" style="mso-fit-shape-to-text:t;">
                <w:txbxContent>
                  <w:p w14:paraId="2345CF1D">
                    <w:pPr>
                      <w:pStyle w:val="8"/>
                    </w:pPr>
                    <w:r>
                      <w:fldChar w:fldCharType="begin"/>
                    </w:r>
                    <w:r>
                      <w:instrText xml:space="preserve"> PAGE  \* MERGEFORMAT </w:instrText>
                    </w:r>
                    <w:r>
                      <w:fldChar w:fldCharType="separate"/>
                    </w:r>
                    <w:r>
                      <w:t>115</w:t>
                    </w:r>
                    <w:r>
                      <w:fldChar w:fldCharType="end"/>
                    </w:r>
                  </w:p>
                </w:txbxContent>
              </v:textbox>
            </v:shape>
          </w:pict>
        </mc:Fallback>
      </mc:AlternateConten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2033B2">
    <w:pPr>
      <w:spacing w:line="226" w:lineRule="auto"/>
      <w:ind w:left="4412"/>
      <w:rPr>
        <w:rFonts w:ascii="MingLiU-ExtB" w:hAnsi="MingLiU-ExtB" w:eastAsia="MingLiU-ExtB" w:cs="MingLiU-ExtB"/>
        <w:sz w:val="18"/>
        <w:szCs w:val="18"/>
      </w:rPr>
    </w:pPr>
    <w:r>
      <w:rPr>
        <w:sz w:val="18"/>
      </w:rPr>
      <mc:AlternateContent>
        <mc:Choice Requires="wps">
          <w:drawing>
            <wp:anchor distT="0" distB="0" distL="114300" distR="114300" simplePos="0" relativeHeight="251735040" behindDoc="0" locked="0" layoutInCell="1" allowOverlap="1">
              <wp:simplePos x="0" y="0"/>
              <wp:positionH relativeFrom="margin">
                <wp:align>center</wp:align>
              </wp:positionH>
              <wp:positionV relativeFrom="paragraph">
                <wp:posOffset>0</wp:posOffset>
              </wp:positionV>
              <wp:extent cx="1828800" cy="1828800"/>
              <wp:effectExtent l="0" t="0" r="0" b="0"/>
              <wp:wrapNone/>
              <wp:docPr id="93" name="文本框 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4C2066">
                          <w:pPr>
                            <w:pStyle w:val="8"/>
                          </w:pPr>
                          <w:r>
                            <w:fldChar w:fldCharType="begin"/>
                          </w:r>
                          <w:r>
                            <w:instrText xml:space="preserve"> PAGE  \* MERGEFORMAT </w:instrText>
                          </w:r>
                          <w:r>
                            <w:fldChar w:fldCharType="separate"/>
                          </w:r>
                          <w:r>
                            <w:t>116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50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7rWQ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7rWQzAgAAYwQAAA4AAAAAAAAAAQAgAAAAHwEAAGRycy9lMm9Eb2MueG1sUEsF&#10;BgAAAAAGAAYAWQEAAMQFAAAAAA==&#10;">
              <v:fill on="f" focussize="0,0"/>
              <v:stroke on="f" weight="0.5pt"/>
              <v:imagedata o:title=""/>
              <o:lock v:ext="edit" aspectratio="f"/>
              <v:textbox inset="0mm,0mm,0mm,0mm" style="mso-fit-shape-to-text:t;">
                <w:txbxContent>
                  <w:p w14:paraId="534C2066">
                    <w:pPr>
                      <w:pStyle w:val="8"/>
                    </w:pPr>
                    <w:r>
                      <w:fldChar w:fldCharType="begin"/>
                    </w:r>
                    <w:r>
                      <w:instrText xml:space="preserve"> PAGE  \* MERGEFORMAT </w:instrText>
                    </w:r>
                    <w:r>
                      <w:fldChar w:fldCharType="separate"/>
                    </w:r>
                    <w:r>
                      <w:t>116</w:t>
                    </w:r>
                    <w:r>
                      <w:fldChar w:fldCharType="end"/>
                    </w:r>
                  </w:p>
                </w:txbxContent>
              </v:textbox>
            </v:shape>
          </w:pict>
        </mc:Fallback>
      </mc:AlternateConten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BDB9A6">
    <w:pPr>
      <w:spacing w:line="225" w:lineRule="auto"/>
      <w:ind w:left="4413"/>
      <w:rPr>
        <w:rFonts w:ascii="MingLiU-ExtB" w:hAnsi="MingLiU-ExtB" w:eastAsia="MingLiU-ExtB" w:cs="MingLiU-ExtB"/>
        <w:sz w:val="18"/>
        <w:szCs w:val="18"/>
      </w:rPr>
    </w:pPr>
    <w:r>
      <w:rPr>
        <w:sz w:val="18"/>
      </w:rPr>
      <mc:AlternateContent>
        <mc:Choice Requires="wps">
          <w:drawing>
            <wp:anchor distT="0" distB="0" distL="114300" distR="114300" simplePos="0" relativeHeight="2517360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4" name="文本框 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8B19AF">
                          <w:pPr>
                            <w:pStyle w:val="8"/>
                          </w:pPr>
                          <w:r>
                            <w:fldChar w:fldCharType="begin"/>
                          </w:r>
                          <w:r>
                            <w:instrText xml:space="preserve"> PAGE  \* MERGEFORMAT </w:instrText>
                          </w:r>
                          <w:r>
                            <w:fldChar w:fldCharType="separate"/>
                          </w:r>
                          <w:r>
                            <w:t>117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60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o2Ic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37yi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o2IczAgAAYwQAAA4AAAAAAAAAAQAgAAAAHwEAAGRycy9lMm9Eb2MueG1sUEsF&#10;BgAAAAAGAAYAWQEAAMQFAAAAAA==&#10;">
              <v:fill on="f" focussize="0,0"/>
              <v:stroke on="f" weight="0.5pt"/>
              <v:imagedata o:title=""/>
              <o:lock v:ext="edit" aspectratio="f"/>
              <v:textbox inset="0mm,0mm,0mm,0mm" style="mso-fit-shape-to-text:t;">
                <w:txbxContent>
                  <w:p w14:paraId="078B19AF">
                    <w:pPr>
                      <w:pStyle w:val="8"/>
                    </w:pPr>
                    <w:r>
                      <w:fldChar w:fldCharType="begin"/>
                    </w:r>
                    <w:r>
                      <w:instrText xml:space="preserve"> PAGE  \* MERGEFORMAT </w:instrText>
                    </w:r>
                    <w:r>
                      <w:fldChar w:fldCharType="separate"/>
                    </w:r>
                    <w:r>
                      <w:t>117</w:t>
                    </w:r>
                    <w:r>
                      <w:fldChar w:fldCharType="end"/>
                    </w:r>
                  </w:p>
                </w:txbxContent>
              </v:textbox>
            </v:shape>
          </w:pict>
        </mc:Fallback>
      </mc:AlternateConten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ADAD15">
    <w:pPr>
      <w:spacing w:line="223" w:lineRule="auto"/>
      <w:ind w:left="4051"/>
      <w:rPr>
        <w:rFonts w:ascii="MingLiU-ExtB" w:hAnsi="MingLiU-ExtB" w:eastAsia="MingLiU-ExtB" w:cs="MingLiU-ExtB"/>
        <w:sz w:val="18"/>
        <w:szCs w:val="18"/>
      </w:rPr>
    </w:pPr>
    <w:r>
      <w:rPr>
        <w:sz w:val="18"/>
      </w:rPr>
      <mc:AlternateContent>
        <mc:Choice Requires="wps">
          <w:drawing>
            <wp:anchor distT="0" distB="0" distL="114300" distR="114300" simplePos="0" relativeHeight="2517370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5" name="文本框 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BFFFF2">
                          <w:pPr>
                            <w:pStyle w:val="8"/>
                          </w:pPr>
                          <w:r>
                            <w:fldChar w:fldCharType="begin"/>
                          </w:r>
                          <w:r>
                            <w:instrText xml:space="preserve"> PAGE  \* MERGEFORMAT </w:instrText>
                          </w:r>
                          <w:r>
                            <w:fldChar w:fldCharType="separate"/>
                          </w:r>
                          <w:r>
                            <w:t>118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70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AT2gzAgAAYw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8EZxCocWGGuAeHyNi+tS3aZjgPOEy828rr9AUjAj/kPV7kFW0kPF2aTqbTHC4O37ABfvZ4&#10;3fkQ3wmrSTIK6lG/TlZ22ITYhw4hKZuxa6lUV0NlSFPQ69d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AT2gzAgAAYwQAAA4AAAAAAAAAAQAgAAAAHwEAAGRycy9lMm9Eb2MueG1sUEsF&#10;BgAAAAAGAAYAWQEAAMQFAAAAAA==&#10;">
              <v:fill on="f" focussize="0,0"/>
              <v:stroke on="f" weight="0.5pt"/>
              <v:imagedata o:title=""/>
              <o:lock v:ext="edit" aspectratio="f"/>
              <v:textbox inset="0mm,0mm,0mm,0mm" style="mso-fit-shape-to-text:t;">
                <w:txbxContent>
                  <w:p w14:paraId="22BFFFF2">
                    <w:pPr>
                      <w:pStyle w:val="8"/>
                    </w:pPr>
                    <w:r>
                      <w:fldChar w:fldCharType="begin"/>
                    </w:r>
                    <w:r>
                      <w:instrText xml:space="preserve"> PAGE  \* MERGEFORMAT </w:instrText>
                    </w:r>
                    <w:r>
                      <w:fldChar w:fldCharType="separate"/>
                    </w:r>
                    <w:r>
                      <w:t>118</w:t>
                    </w:r>
                    <w:r>
                      <w:fldChar w:fldCharType="end"/>
                    </w:r>
                  </w:p>
                </w:txbxContent>
              </v:textbox>
            </v:shape>
          </w:pict>
        </mc:Fallback>
      </mc:AlternateConten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7139B6">
    <w:pPr>
      <w:spacing w:line="225" w:lineRule="auto"/>
      <w:ind w:left="4051"/>
      <w:rPr>
        <w:rFonts w:ascii="MingLiU-ExtB" w:hAnsi="MingLiU-ExtB" w:eastAsia="MingLiU-ExtB" w:cs="MingLiU-ExtB"/>
        <w:sz w:val="18"/>
        <w:szCs w:val="18"/>
      </w:rPr>
    </w:pPr>
    <w:r>
      <w:rPr>
        <w:sz w:val="18"/>
      </w:rPr>
      <mc:AlternateContent>
        <mc:Choice Requires="wps">
          <w:drawing>
            <wp:anchor distT="0" distB="0" distL="114300" distR="114300" simplePos="0" relativeHeight="2517381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6" name="文本框 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EAEB02">
                          <w:pPr>
                            <w:pStyle w:val="8"/>
                          </w:pPr>
                          <w:r>
                            <w:fldChar w:fldCharType="begin"/>
                          </w:r>
                          <w:r>
                            <w:instrText xml:space="preserve"> PAGE  \* MERGEFORMAT </w:instrText>
                          </w:r>
                          <w:r>
                            <w:fldChar w:fldCharType="separate"/>
                          </w:r>
                          <w:r>
                            <w:t>119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81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hoMzAgAAYwQAAA4AAABkcnMvZTJvRG9jLnhtbK1UzY7TMBC+I/EO&#10;lu80aRFVqZ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bdTSjRTqPjlx/fL&#10;z4fLr28EZxCotn6OuJ1FZGjemQZtM5x7HEbeTeFU/IIRgR/ynq/yiiYQHi/NJrNZCheHb9gAP3m8&#10;bp0P74VRJBoZdahfKys7bX3oQoeQmE2bTSVlW0OpSZ3R6es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D+hoMzAgAAYwQAAA4AAAAAAAAAAQAgAAAAHwEAAGRycy9lMm9Eb2MueG1sUEsF&#10;BgAAAAAGAAYAWQEAAMQFAAAAAA==&#10;">
              <v:fill on="f" focussize="0,0"/>
              <v:stroke on="f" weight="0.5pt"/>
              <v:imagedata o:title=""/>
              <o:lock v:ext="edit" aspectratio="f"/>
              <v:textbox inset="0mm,0mm,0mm,0mm" style="mso-fit-shape-to-text:t;">
                <w:txbxContent>
                  <w:p w14:paraId="72EAEB02">
                    <w:pPr>
                      <w:pStyle w:val="8"/>
                    </w:pPr>
                    <w:r>
                      <w:fldChar w:fldCharType="begin"/>
                    </w:r>
                    <w:r>
                      <w:instrText xml:space="preserve"> PAGE  \* MERGEFORMAT </w:instrText>
                    </w:r>
                    <w:r>
                      <w:fldChar w:fldCharType="separate"/>
                    </w:r>
                    <w:r>
                      <w:t>119</w:t>
                    </w:r>
                    <w:r>
                      <w:fldChar w:fldCharType="end"/>
                    </w:r>
                  </w:p>
                </w:txbxContent>
              </v:textbox>
            </v:shape>
          </w:pict>
        </mc:Fallback>
      </mc:AlternateConten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BCCFA6">
    <w:pPr>
      <w:spacing w:line="225" w:lineRule="auto"/>
      <w:ind w:left="4413"/>
      <w:rPr>
        <w:rFonts w:ascii="MingLiU-ExtB" w:hAnsi="MingLiU-ExtB" w:eastAsia="MingLiU-ExtB" w:cs="MingLiU-ExtB"/>
        <w:sz w:val="18"/>
        <w:szCs w:val="18"/>
      </w:rPr>
    </w:pPr>
    <w:r>
      <w:rPr>
        <w:sz w:val="18"/>
      </w:rPr>
      <mc:AlternateContent>
        <mc:Choice Requires="wps">
          <w:drawing>
            <wp:anchor distT="0" distB="0" distL="114300" distR="114300" simplePos="0" relativeHeight="2517391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9" name="文本框 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89335F">
                          <w:pPr>
                            <w:pStyle w:val="8"/>
                          </w:pPr>
                          <w:r>
                            <w:fldChar w:fldCharType="begin"/>
                          </w:r>
                          <w:r>
                            <w:instrText xml:space="preserve"> PAGE  \* MERGEFORMAT </w:instrText>
                          </w:r>
                          <w:r>
                            <w:fldChar w:fldCharType="separate"/>
                          </w:r>
                          <w:r>
                            <w:t>123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91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2inEzAgAAYw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fU6KZQsVP37+d&#10;fvw6/fxKcAaBWutniHuwiAzdW9OhbYZzj8PIu6ucil8wIvBD3uNFXtEFwuOl6WQ6zeHi8A0b4GeP&#10;163z4Z0wikSjoA71S7Kyw8aHPnQIidm0WTdSphpKTdqCXr1+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n2inEzAgAAYwQAAA4AAAAAAAAAAQAgAAAAHwEAAGRycy9lMm9Eb2MueG1sUEsF&#10;BgAAAAAGAAYAWQEAAMQFAAAAAA==&#10;">
              <v:fill on="f" focussize="0,0"/>
              <v:stroke on="f" weight="0.5pt"/>
              <v:imagedata o:title=""/>
              <o:lock v:ext="edit" aspectratio="f"/>
              <v:textbox inset="0mm,0mm,0mm,0mm" style="mso-fit-shape-to-text:t;">
                <w:txbxContent>
                  <w:p w14:paraId="6089335F">
                    <w:pPr>
                      <w:pStyle w:val="8"/>
                    </w:pPr>
                    <w:r>
                      <w:fldChar w:fldCharType="begin"/>
                    </w:r>
                    <w:r>
                      <w:instrText xml:space="preserve"> PAGE  \* MERGEFORMAT </w:instrText>
                    </w:r>
                    <w:r>
                      <w:fldChar w:fldCharType="separate"/>
                    </w:r>
                    <w:r>
                      <w:t>123</w:t>
                    </w:r>
                    <w:r>
                      <w:fldChar w:fldCharType="end"/>
                    </w:r>
                  </w:p>
                </w:txbxContent>
              </v:textbox>
            </v:shape>
          </w:pict>
        </mc:Fallback>
      </mc:AlternateConten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922C47">
    <w:pPr>
      <w:spacing w:line="227" w:lineRule="auto"/>
      <w:ind w:left="4051"/>
      <w:rPr>
        <w:rFonts w:ascii="MingLiU-ExtB" w:hAnsi="MingLiU-ExtB" w:eastAsia="MingLiU-ExtB" w:cs="MingLiU-ExtB"/>
        <w:sz w:val="18"/>
        <w:szCs w:val="18"/>
      </w:rPr>
    </w:pPr>
    <w:r>
      <w:rPr>
        <w:sz w:val="18"/>
      </w:rPr>
      <mc:AlternateContent>
        <mc:Choice Requires="wps">
          <w:drawing>
            <wp:anchor distT="0" distB="0" distL="114300" distR="114300" simplePos="0" relativeHeight="2517401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3805B5">
                          <w:pPr>
                            <w:pStyle w:val="8"/>
                          </w:pPr>
                          <w:r>
                            <w:fldChar w:fldCharType="begin"/>
                          </w:r>
                          <w:r>
                            <w:instrText xml:space="preserve"> PAGE  \* MERGEFORMAT </w:instrText>
                          </w:r>
                          <w:r>
                            <w:fldChar w:fldCharType="separate"/>
                          </w:r>
                          <w:r>
                            <w:t>124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01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TnCo8x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5wqPMQIAAGUEAAAOAAAAAAAAAAEAIAAAAB8BAABkcnMvZTJvRG9jLnhtbFBLBQYA&#10;AAAABgAGAFkBAADCBQAAAAA=&#10;">
              <v:fill on="f" focussize="0,0"/>
              <v:stroke on="f" weight="0.5pt"/>
              <v:imagedata o:title=""/>
              <o:lock v:ext="edit" aspectratio="f"/>
              <v:textbox inset="0mm,0mm,0mm,0mm" style="mso-fit-shape-to-text:t;">
                <w:txbxContent>
                  <w:p w14:paraId="363805B5">
                    <w:pPr>
                      <w:pStyle w:val="8"/>
                    </w:pPr>
                    <w:r>
                      <w:fldChar w:fldCharType="begin"/>
                    </w:r>
                    <w:r>
                      <w:instrText xml:space="preserve"> PAGE  \* MERGEFORMAT </w:instrText>
                    </w:r>
                    <w:r>
                      <w:fldChar w:fldCharType="separate"/>
                    </w:r>
                    <w:r>
                      <w:t>124</w:t>
                    </w:r>
                    <w:r>
                      <w:fldChar w:fldCharType="end"/>
                    </w:r>
                  </w:p>
                </w:txbxContent>
              </v:textbox>
            </v:shape>
          </w:pict>
        </mc:Fallback>
      </mc:AlternateConten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B72BDE">
    <w:pPr>
      <w:spacing w:line="225" w:lineRule="auto"/>
      <w:ind w:left="4051"/>
      <w:rPr>
        <w:rFonts w:ascii="MingLiU-ExtB" w:hAnsi="MingLiU-ExtB" w:eastAsia="MingLiU-ExtB" w:cs="MingLiU-ExtB"/>
        <w:sz w:val="18"/>
        <w:szCs w:val="18"/>
      </w:rPr>
    </w:pPr>
    <w:r>
      <w:rPr>
        <w:sz w:val="18"/>
      </w:rPr>
      <mc:AlternateContent>
        <mc:Choice Requires="wps">
          <w:drawing>
            <wp:anchor distT="0" distB="0" distL="114300" distR="114300" simplePos="0" relativeHeight="2517411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D09CD5">
                          <w:pPr>
                            <w:pStyle w:val="8"/>
                          </w:pPr>
                          <w:r>
                            <w:fldChar w:fldCharType="begin"/>
                          </w:r>
                          <w:r>
                            <w:instrText xml:space="preserve"> PAGE  \* MERGEFORMAT </w:instrText>
                          </w:r>
                          <w:r>
                            <w:fldChar w:fldCharType="separate"/>
                          </w:r>
                          <w:r>
                            <w:t>125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11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T1uUEzICAABlBAAADgAAAAAAAAABACAAAAAfAQAAZHJzL2Uyb0RvYy54bWxQSwUG&#10;AAAAAAYABgBZAQAAwwUAAAAA&#10;">
              <v:fill on="f" focussize="0,0"/>
              <v:stroke on="f" weight="0.5pt"/>
              <v:imagedata o:title=""/>
              <o:lock v:ext="edit" aspectratio="f"/>
              <v:textbox inset="0mm,0mm,0mm,0mm" style="mso-fit-shape-to-text:t;">
                <w:txbxContent>
                  <w:p w14:paraId="46D09CD5">
                    <w:pPr>
                      <w:pStyle w:val="8"/>
                    </w:pPr>
                    <w:r>
                      <w:fldChar w:fldCharType="begin"/>
                    </w:r>
                    <w:r>
                      <w:instrText xml:space="preserve"> PAGE  \* MERGEFORMAT </w:instrText>
                    </w:r>
                    <w:r>
                      <w:fldChar w:fldCharType="separate"/>
                    </w:r>
                    <w:r>
                      <w:t>125</w:t>
                    </w:r>
                    <w:r>
                      <w:fldChar w:fldCharType="end"/>
                    </w:r>
                  </w:p>
                </w:txbxContent>
              </v:textbox>
            </v:shape>
          </w:pict>
        </mc:Fallback>
      </mc:AlternateConten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D2403E">
    <w:pPr>
      <w:spacing w:line="225" w:lineRule="auto"/>
      <w:ind w:left="4420"/>
      <w:rPr>
        <w:rFonts w:ascii="MingLiU-ExtB" w:hAnsi="MingLiU-ExtB" w:eastAsia="MingLiU-ExtB" w:cs="MingLiU-ExtB"/>
        <w:sz w:val="18"/>
        <w:szCs w:val="18"/>
      </w:rPr>
    </w:pPr>
    <w:r>
      <w:rPr>
        <w:sz w:val="18"/>
      </w:rPr>
      <mc:AlternateContent>
        <mc:Choice Requires="wps">
          <w:drawing>
            <wp:anchor distT="0" distB="0" distL="114300" distR="114300" simplePos="0" relativeHeight="2517422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8DB8C1">
                          <w:pPr>
                            <w:pStyle w:val="8"/>
                          </w:pPr>
                          <w:r>
                            <w:fldChar w:fldCharType="begin"/>
                          </w:r>
                          <w:r>
                            <w:instrText xml:space="preserve"> PAGE  \* MERGEFORMAT </w:instrText>
                          </w:r>
                          <w:r>
                            <w:fldChar w:fldCharType="separate"/>
                          </w:r>
                          <w:r>
                            <w:t>126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22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OZRm0zAgAAZQQAAA4AAAAAAAAAAQAgAAAAHwEAAGRycy9lMm9Eb2MueG1sUEsF&#10;BgAAAAAGAAYAWQEAAMQFAAAAAA==&#10;">
              <v:fill on="f" focussize="0,0"/>
              <v:stroke on="f" weight="0.5pt"/>
              <v:imagedata o:title=""/>
              <o:lock v:ext="edit" aspectratio="f"/>
              <v:textbox inset="0mm,0mm,0mm,0mm" style="mso-fit-shape-to-text:t;">
                <w:txbxContent>
                  <w:p w14:paraId="2E8DB8C1">
                    <w:pPr>
                      <w:pStyle w:val="8"/>
                    </w:pPr>
                    <w:r>
                      <w:fldChar w:fldCharType="begin"/>
                    </w:r>
                    <w:r>
                      <w:instrText xml:space="preserve"> PAGE  \* MERGEFORMAT </w:instrText>
                    </w:r>
                    <w:r>
                      <w:fldChar w:fldCharType="separate"/>
                    </w:r>
                    <w:r>
                      <w:t>126</w:t>
                    </w:r>
                    <w:r>
                      <w:fldChar w:fldCharType="end"/>
                    </w:r>
                  </w:p>
                </w:txbxContent>
              </v:textbox>
            </v:shape>
          </w:pict>
        </mc:Fallback>
      </mc:AlternateConten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2A276A">
    <w:pPr>
      <w:spacing w:line="226" w:lineRule="auto"/>
      <w:ind w:left="4051"/>
      <w:rPr>
        <w:rFonts w:ascii="MingLiU-ExtB" w:hAnsi="MingLiU-ExtB" w:eastAsia="MingLiU-ExtB" w:cs="MingLiU-ExtB"/>
        <w:sz w:val="18"/>
        <w:szCs w:val="18"/>
      </w:rPr>
    </w:pPr>
    <w:r>
      <w:rPr>
        <w:sz w:val="18"/>
      </w:rPr>
      <mc:AlternateContent>
        <mc:Choice Requires="wps">
          <w:drawing>
            <wp:anchor distT="0" distB="0" distL="114300" distR="114300" simplePos="0" relativeHeight="2517432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3" name="文本框 1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B28585">
                          <w:pPr>
                            <w:pStyle w:val="8"/>
                          </w:pPr>
                          <w:r>
                            <w:fldChar w:fldCharType="begin"/>
                          </w:r>
                          <w:r>
                            <w:instrText xml:space="preserve"> PAGE  \* MERGEFORMAT </w:instrText>
                          </w:r>
                          <w:r>
                            <w:fldChar w:fldCharType="separate"/>
                          </w:r>
                          <w:r>
                            <w:t>127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32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YJdjxNAIAAGUEAAAOAAAAAAAAAAEAIAAAAB8BAABkcnMvZTJvRG9jLnhtbFBL&#10;BQYAAAAABgAGAFkBAADFBQAAAAA=&#10;">
              <v:fill on="f" focussize="0,0"/>
              <v:stroke on="f" weight="0.5pt"/>
              <v:imagedata o:title=""/>
              <o:lock v:ext="edit" aspectratio="f"/>
              <v:textbox inset="0mm,0mm,0mm,0mm" style="mso-fit-shape-to-text:t;">
                <w:txbxContent>
                  <w:p w14:paraId="7EB28585">
                    <w:pPr>
                      <w:pStyle w:val="8"/>
                    </w:pPr>
                    <w:r>
                      <w:fldChar w:fldCharType="begin"/>
                    </w:r>
                    <w:r>
                      <w:instrText xml:space="preserve"> PAGE  \* MERGEFORMAT </w:instrText>
                    </w:r>
                    <w:r>
                      <w:fldChar w:fldCharType="separate"/>
                    </w:r>
                    <w:r>
                      <w:t>127</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51CD54">
    <w:pPr>
      <w:spacing w:line="225" w:lineRule="auto"/>
      <w:ind w:left="4097"/>
      <w:rPr>
        <w:rFonts w:ascii="MingLiU-ExtB" w:hAnsi="MingLiU-ExtB" w:eastAsia="MingLiU-ExtB" w:cs="MingLiU-ExtB"/>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9DBDEE">
                          <w:pPr>
                            <w:pStyle w:val="8"/>
                          </w:pPr>
                          <w:r>
                            <w:fldChar w:fldCharType="begin"/>
                          </w:r>
                          <w:r>
                            <w:instrText xml:space="preserve"> PAGE  \* MERGEFORMAT </w:instrText>
                          </w:r>
                          <w:r>
                            <w:fldChar w:fldCharType="separate"/>
                          </w:r>
                          <w:r>
                            <w:t>10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119DBDEE">
                    <w:pPr>
                      <w:pStyle w:val="8"/>
                    </w:pPr>
                    <w:r>
                      <w:fldChar w:fldCharType="begin"/>
                    </w:r>
                    <w:r>
                      <w:instrText xml:space="preserve"> PAGE  \* MERGEFORMAT </w:instrText>
                    </w:r>
                    <w:r>
                      <w:fldChar w:fldCharType="separate"/>
                    </w:r>
                    <w:r>
                      <w:t>10</w:t>
                    </w:r>
                    <w:r>
                      <w:fldChar w:fldCharType="end"/>
                    </w:r>
                  </w:p>
                </w:txbxContent>
              </v:textbox>
            </v:shape>
          </w:pict>
        </mc:Fallback>
      </mc:AlternateConten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DFA386">
    <w:pPr>
      <w:spacing w:line="225" w:lineRule="auto"/>
      <w:ind w:left="4051"/>
      <w:rPr>
        <w:rFonts w:ascii="MingLiU-ExtB" w:hAnsi="MingLiU-ExtB" w:eastAsia="MingLiU-ExtB" w:cs="MingLiU-ExtB"/>
        <w:sz w:val="18"/>
        <w:szCs w:val="18"/>
      </w:rPr>
    </w:pPr>
    <w:r>
      <w:rPr>
        <w:sz w:val="18"/>
      </w:rPr>
      <mc:AlternateContent>
        <mc:Choice Requires="wps">
          <w:drawing>
            <wp:anchor distT="0" distB="0" distL="114300" distR="114300" simplePos="0" relativeHeight="2517442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9163B6">
                          <w:pPr>
                            <w:pStyle w:val="8"/>
                          </w:pPr>
                          <w:r>
                            <w:fldChar w:fldCharType="begin"/>
                          </w:r>
                          <w:r>
                            <w:instrText xml:space="preserve"> PAGE  \* MERGEFORMAT </w:instrText>
                          </w:r>
                          <w:r>
                            <w:fldChar w:fldCharType="separate"/>
                          </w:r>
                          <w:r>
                            <w:t>128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42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sc45Az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sc45AzAgAAZQQAAA4AAAAAAAAAAQAgAAAAHwEAAGRycy9lMm9Eb2MueG1sUEsF&#10;BgAAAAAGAAYAWQEAAMQFAAAAAA==&#10;">
              <v:fill on="f" focussize="0,0"/>
              <v:stroke on="f" weight="0.5pt"/>
              <v:imagedata o:title=""/>
              <o:lock v:ext="edit" aspectratio="f"/>
              <v:textbox inset="0mm,0mm,0mm,0mm" style="mso-fit-shape-to-text:t;">
                <w:txbxContent>
                  <w:p w14:paraId="5C9163B6">
                    <w:pPr>
                      <w:pStyle w:val="8"/>
                    </w:pPr>
                    <w:r>
                      <w:fldChar w:fldCharType="begin"/>
                    </w:r>
                    <w:r>
                      <w:instrText xml:space="preserve"> PAGE  \* MERGEFORMAT </w:instrText>
                    </w:r>
                    <w:r>
                      <w:fldChar w:fldCharType="separate"/>
                    </w:r>
                    <w:r>
                      <w:t>128</w:t>
                    </w:r>
                    <w:r>
                      <w:fldChar w:fldCharType="end"/>
                    </w:r>
                  </w:p>
                </w:txbxContent>
              </v:textbox>
            </v:shape>
          </w:pict>
        </mc:Fallback>
      </mc:AlternateConten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AAB948">
    <w:pPr>
      <w:spacing w:line="223" w:lineRule="auto"/>
      <w:ind w:left="4421"/>
      <w:rPr>
        <w:rFonts w:ascii="MingLiU-ExtB" w:hAnsi="MingLiU-ExtB" w:eastAsia="MingLiU-ExtB" w:cs="MingLiU-ExtB"/>
        <w:sz w:val="18"/>
        <w:szCs w:val="18"/>
      </w:rPr>
    </w:pPr>
    <w:r>
      <w:rPr>
        <w:sz w:val="18"/>
      </w:rPr>
      <mc:AlternateContent>
        <mc:Choice Requires="wps">
          <w:drawing>
            <wp:anchor distT="0" distB="0" distL="114300" distR="114300" simplePos="0" relativeHeight="2517452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A2A7B8">
                          <w:pPr>
                            <w:pStyle w:val="8"/>
                          </w:pPr>
                          <w:r>
                            <w:fldChar w:fldCharType="begin"/>
                          </w:r>
                          <w:r>
                            <w:instrText xml:space="preserve"> PAGE  \* MERGEFORMAT </w:instrText>
                          </w:r>
                          <w:r>
                            <w:fldChar w:fldCharType="separate"/>
                          </w:r>
                          <w:r>
                            <w:t>129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52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goH0MNAIAAGUEAAAOAAAAAAAAAAEAIAAAAB8BAABkcnMvZTJvRG9jLnhtbFBL&#10;BQYAAAAABgAGAFkBAADFBQAAAAA=&#10;">
              <v:fill on="f" focussize="0,0"/>
              <v:stroke on="f" weight="0.5pt"/>
              <v:imagedata o:title=""/>
              <o:lock v:ext="edit" aspectratio="f"/>
              <v:textbox inset="0mm,0mm,0mm,0mm" style="mso-fit-shape-to-text:t;">
                <w:txbxContent>
                  <w:p w14:paraId="5DA2A7B8">
                    <w:pPr>
                      <w:pStyle w:val="8"/>
                    </w:pPr>
                    <w:r>
                      <w:fldChar w:fldCharType="begin"/>
                    </w:r>
                    <w:r>
                      <w:instrText xml:space="preserve"> PAGE  \* MERGEFORMAT </w:instrText>
                    </w:r>
                    <w:r>
                      <w:fldChar w:fldCharType="separate"/>
                    </w:r>
                    <w:r>
                      <w:t>129</w:t>
                    </w:r>
                    <w:r>
                      <w:fldChar w:fldCharType="end"/>
                    </w:r>
                  </w:p>
                </w:txbxContent>
              </v:textbox>
            </v:shape>
          </w:pict>
        </mc:Fallback>
      </mc:AlternateConten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AAF751">
    <w:pPr>
      <w:spacing w:line="225" w:lineRule="auto"/>
      <w:ind w:left="4051"/>
      <w:rPr>
        <w:rFonts w:ascii="MingLiU-ExtB" w:hAnsi="MingLiU-ExtB" w:eastAsia="MingLiU-ExtB" w:cs="MingLiU-ExtB"/>
        <w:sz w:val="18"/>
        <w:szCs w:val="18"/>
      </w:rPr>
    </w:pPr>
    <w:r>
      <w:rPr>
        <w:sz w:val="18"/>
      </w:rPr>
      <mc:AlternateContent>
        <mc:Choice Requires="wps">
          <w:drawing>
            <wp:anchor distT="0" distB="0" distL="114300" distR="114300" simplePos="0" relativeHeight="2517463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6" name="文本框 1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E8BF90">
                          <w:pPr>
                            <w:pStyle w:val="8"/>
                          </w:pPr>
                          <w:r>
                            <w:fldChar w:fldCharType="begin"/>
                          </w:r>
                          <w:r>
                            <w:instrText xml:space="preserve"> PAGE  \* MERGEFORMAT </w:instrText>
                          </w:r>
                          <w:r>
                            <w:fldChar w:fldCharType="separate"/>
                          </w:r>
                          <w:r>
                            <w:t>130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63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xir3IzAgAAZQQAAA4AAAAAAAAAAQAgAAAAHwEAAGRycy9lMm9Eb2MueG1sUEsF&#10;BgAAAAAGAAYAWQEAAMQFAAAAAA==&#10;">
              <v:fill on="f" focussize="0,0"/>
              <v:stroke on="f" weight="0.5pt"/>
              <v:imagedata o:title=""/>
              <o:lock v:ext="edit" aspectratio="f"/>
              <v:textbox inset="0mm,0mm,0mm,0mm" style="mso-fit-shape-to-text:t;">
                <w:txbxContent>
                  <w:p w14:paraId="77E8BF90">
                    <w:pPr>
                      <w:pStyle w:val="8"/>
                    </w:pPr>
                    <w:r>
                      <w:fldChar w:fldCharType="begin"/>
                    </w:r>
                    <w:r>
                      <w:instrText xml:space="preserve"> PAGE  \* MERGEFORMAT </w:instrText>
                    </w:r>
                    <w:r>
                      <w:fldChar w:fldCharType="separate"/>
                    </w:r>
                    <w:r>
                      <w:t>130</w:t>
                    </w:r>
                    <w:r>
                      <w:fldChar w:fldCharType="end"/>
                    </w:r>
                  </w:p>
                </w:txbxContent>
              </v:textbox>
            </v:shape>
          </w:pict>
        </mc:Fallback>
      </mc:AlternateConten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F56E41">
    <w:pPr>
      <w:spacing w:line="225" w:lineRule="auto"/>
      <w:ind w:left="4520"/>
      <w:rPr>
        <w:rFonts w:ascii="MingLiU-ExtB" w:hAnsi="MingLiU-ExtB" w:eastAsia="MingLiU-ExtB" w:cs="MingLiU-ExtB"/>
        <w:sz w:val="18"/>
        <w:szCs w:val="18"/>
      </w:rPr>
    </w:pPr>
    <w:r>
      <w:rPr>
        <w:sz w:val="18"/>
      </w:rPr>
      <mc:AlternateContent>
        <mc:Choice Requires="wps">
          <w:drawing>
            <wp:anchor distT="0" distB="0" distL="114300" distR="114300" simplePos="0" relativeHeight="2517473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7" name="文本框 1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506AD3">
                          <w:pPr>
                            <w:pStyle w:val="8"/>
                          </w:pPr>
                          <w:r>
                            <w:fldChar w:fldCharType="begin"/>
                          </w:r>
                          <w:r>
                            <w:instrText xml:space="preserve"> PAGE  \* MERGEFORMAT </w:instrText>
                          </w:r>
                          <w:r>
                            <w:fldChar w:fldCharType="separate"/>
                          </w:r>
                          <w:r>
                            <w:t>131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73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feMe4z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feMe4zAgAAZQQAAA4AAAAAAAAAAQAgAAAAHwEAAGRycy9lMm9Eb2MueG1sUEsF&#10;BgAAAAAGAAYAWQEAAMQFAAAAAA==&#10;">
              <v:fill on="f" focussize="0,0"/>
              <v:stroke on="f" weight="0.5pt"/>
              <v:imagedata o:title=""/>
              <o:lock v:ext="edit" aspectratio="f"/>
              <v:textbox inset="0mm,0mm,0mm,0mm" style="mso-fit-shape-to-text:t;">
                <w:txbxContent>
                  <w:p w14:paraId="78506AD3">
                    <w:pPr>
                      <w:pStyle w:val="8"/>
                    </w:pPr>
                    <w:r>
                      <w:fldChar w:fldCharType="begin"/>
                    </w:r>
                    <w:r>
                      <w:instrText xml:space="preserve"> PAGE  \* MERGEFORMAT </w:instrText>
                    </w:r>
                    <w:r>
                      <w:fldChar w:fldCharType="separate"/>
                    </w:r>
                    <w:r>
                      <w:t>131</w:t>
                    </w:r>
                    <w:r>
                      <w:fldChar w:fldCharType="end"/>
                    </w:r>
                  </w:p>
                </w:txbxContent>
              </v:textbox>
            </v:shape>
          </w:pict>
        </mc:Fallback>
      </mc:AlternateConten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D7FCF7">
    <w:pPr>
      <w:spacing w:line="225" w:lineRule="auto"/>
      <w:ind w:left="4412"/>
      <w:rPr>
        <w:rFonts w:ascii="MingLiU-ExtB" w:hAnsi="MingLiU-ExtB" w:eastAsia="MingLiU-ExtB" w:cs="MingLiU-ExtB"/>
        <w:sz w:val="18"/>
        <w:szCs w:val="18"/>
      </w:rPr>
    </w:pPr>
    <w:r>
      <w:rPr>
        <w:sz w:val="18"/>
      </w:rPr>
      <mc:AlternateContent>
        <mc:Choice Requires="wps">
          <w:drawing>
            <wp:anchor distT="0" distB="0" distL="114300" distR="114300" simplePos="0" relativeHeight="2517483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8" name="文本框 1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ED35FF">
                          <w:pPr>
                            <w:pStyle w:val="8"/>
                          </w:pPr>
                          <w:r>
                            <w:fldChar w:fldCharType="begin"/>
                          </w:r>
                          <w:r>
                            <w:instrText xml:space="preserve"> PAGE  \* MERGEFORMAT </w:instrText>
                          </w:r>
                          <w:r>
                            <w:fldChar w:fldCharType="separate"/>
                          </w:r>
                          <w:r>
                            <w:t>132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83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hHZsDICAABlBAAADgAAAAAAAAABACAAAAAfAQAAZHJzL2Uyb0RvYy54bWxQSwUG&#10;AAAAAAYABgBZAQAAwwUAAAAA&#10;">
              <v:fill on="f" focussize="0,0"/>
              <v:stroke on="f" weight="0.5pt"/>
              <v:imagedata o:title=""/>
              <o:lock v:ext="edit" aspectratio="f"/>
              <v:textbox inset="0mm,0mm,0mm,0mm" style="mso-fit-shape-to-text:t;">
                <w:txbxContent>
                  <w:p w14:paraId="13ED35FF">
                    <w:pPr>
                      <w:pStyle w:val="8"/>
                    </w:pPr>
                    <w:r>
                      <w:fldChar w:fldCharType="begin"/>
                    </w:r>
                    <w:r>
                      <w:instrText xml:space="preserve"> PAGE  \* MERGEFORMAT </w:instrText>
                    </w:r>
                    <w:r>
                      <w:fldChar w:fldCharType="separate"/>
                    </w:r>
                    <w:r>
                      <w:t>132</w:t>
                    </w:r>
                    <w:r>
                      <w:fldChar w:fldCharType="end"/>
                    </w:r>
                  </w:p>
                </w:txbxContent>
              </v:textbox>
            </v:shape>
          </w:pict>
        </mc:Fallback>
      </mc:AlternateConten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AA9B54">
    <w:pPr>
      <w:spacing w:line="225" w:lineRule="auto"/>
      <w:ind w:left="4413"/>
      <w:rPr>
        <w:rFonts w:ascii="MingLiU-ExtB" w:hAnsi="MingLiU-ExtB" w:eastAsia="MingLiU-ExtB" w:cs="MingLiU-ExtB"/>
        <w:sz w:val="18"/>
        <w:szCs w:val="18"/>
      </w:rPr>
    </w:pPr>
    <w:r>
      <w:rPr>
        <w:sz w:val="18"/>
      </w:rPr>
      <mc:AlternateContent>
        <mc:Choice Requires="wps">
          <w:drawing>
            <wp:anchor distT="0" distB="0" distL="114300" distR="114300" simplePos="0" relativeHeight="2517493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9" name="文本框 1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00243D">
                          <w:pPr>
                            <w:pStyle w:val="8"/>
                          </w:pPr>
                          <w:r>
                            <w:fldChar w:fldCharType="begin"/>
                          </w:r>
                          <w:r>
                            <w:instrText xml:space="preserve"> PAGE  \* MERGEFORMAT </w:instrText>
                          </w:r>
                          <w:r>
                            <w:fldChar w:fldCharType="separate"/>
                          </w:r>
                          <w:r>
                            <w:t>133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93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GtRywz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GtRywzAgAAZQQAAA4AAAAAAAAAAQAgAAAAHwEAAGRycy9lMm9Eb2MueG1sUEsF&#10;BgAAAAAGAAYAWQEAAMQFAAAAAA==&#10;">
              <v:fill on="f" focussize="0,0"/>
              <v:stroke on="f" weight="0.5pt"/>
              <v:imagedata o:title=""/>
              <o:lock v:ext="edit" aspectratio="f"/>
              <v:textbox inset="0mm,0mm,0mm,0mm" style="mso-fit-shape-to-text:t;">
                <w:txbxContent>
                  <w:p w14:paraId="2500243D">
                    <w:pPr>
                      <w:pStyle w:val="8"/>
                    </w:pPr>
                    <w:r>
                      <w:fldChar w:fldCharType="begin"/>
                    </w:r>
                    <w:r>
                      <w:instrText xml:space="preserve"> PAGE  \* MERGEFORMAT </w:instrText>
                    </w:r>
                    <w:r>
                      <w:fldChar w:fldCharType="separate"/>
                    </w:r>
                    <w:r>
                      <w:t>133</w:t>
                    </w:r>
                    <w:r>
                      <w:fldChar w:fldCharType="end"/>
                    </w:r>
                  </w:p>
                </w:txbxContent>
              </v:textbox>
            </v:shape>
          </w:pict>
        </mc:Fallback>
      </mc:AlternateConten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8729ED">
    <w:pPr>
      <w:spacing w:line="225" w:lineRule="auto"/>
      <w:ind w:left="4421"/>
      <w:rPr>
        <w:rFonts w:ascii="MingLiU-ExtB" w:hAnsi="MingLiU-ExtB" w:eastAsia="MingLiU-ExtB" w:cs="MingLiU-ExtB"/>
        <w:sz w:val="18"/>
        <w:szCs w:val="18"/>
      </w:rPr>
    </w:pPr>
    <w:r>
      <w:rPr>
        <w:sz w:val="18"/>
      </w:rPr>
      <mc:AlternateContent>
        <mc:Choice Requires="wps">
          <w:drawing>
            <wp:anchor distT="0" distB="0" distL="114300" distR="114300" simplePos="0" relativeHeight="2517504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0" name="文本框 1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3B2B47">
                          <w:pPr>
                            <w:pStyle w:val="8"/>
                          </w:pPr>
                          <w:r>
                            <w:fldChar w:fldCharType="begin"/>
                          </w:r>
                          <w:r>
                            <w:instrText xml:space="preserve"> PAGE  \* MERGEFORMAT </w:instrText>
                          </w:r>
                          <w:r>
                            <w:fldChar w:fldCharType="separate"/>
                          </w:r>
                          <w:r>
                            <w:t>134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04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jB9lU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SMH2VTICAABlBAAADgAAAAAAAAABACAAAAAfAQAAZHJzL2Uyb0RvYy54bWxQSwUG&#10;AAAAAAYABgBZAQAAwwUAAAAA&#10;">
              <v:fill on="f" focussize="0,0"/>
              <v:stroke on="f" weight="0.5pt"/>
              <v:imagedata o:title=""/>
              <o:lock v:ext="edit" aspectratio="f"/>
              <v:textbox inset="0mm,0mm,0mm,0mm" style="mso-fit-shape-to-text:t;">
                <w:txbxContent>
                  <w:p w14:paraId="363B2B47">
                    <w:pPr>
                      <w:pStyle w:val="8"/>
                    </w:pPr>
                    <w:r>
                      <w:fldChar w:fldCharType="begin"/>
                    </w:r>
                    <w:r>
                      <w:instrText xml:space="preserve"> PAGE  \* MERGEFORMAT </w:instrText>
                    </w:r>
                    <w:r>
                      <w:fldChar w:fldCharType="separate"/>
                    </w:r>
                    <w:r>
                      <w:t>134</w:t>
                    </w:r>
                    <w:r>
                      <w:fldChar w:fldCharType="end"/>
                    </w:r>
                  </w:p>
                </w:txbxContent>
              </v:textbox>
            </v:shape>
          </w:pict>
        </mc:Fallback>
      </mc:AlternateConten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FFCE51">
    <w:pPr>
      <w:spacing w:line="225" w:lineRule="auto"/>
      <w:ind w:left="4413"/>
      <w:rPr>
        <w:rFonts w:ascii="MingLiU-ExtB" w:hAnsi="MingLiU-ExtB" w:eastAsia="MingLiU-ExtB" w:cs="MingLiU-ExtB"/>
        <w:sz w:val="18"/>
        <w:szCs w:val="18"/>
      </w:rPr>
    </w:pPr>
    <w:r>
      <w:rPr>
        <w:sz w:val="18"/>
      </w:rPr>
      <mc:AlternateContent>
        <mc:Choice Requires="wps">
          <w:drawing>
            <wp:anchor distT="0" distB="0" distL="114300" distR="114300" simplePos="0" relativeHeight="2517514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1" name="文本框 1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EF5ED5">
                          <w:pPr>
                            <w:pStyle w:val="8"/>
                          </w:pPr>
                          <w:r>
                            <w:fldChar w:fldCharType="begin"/>
                          </w:r>
                          <w:r>
                            <w:instrText xml:space="preserve"> PAGE  \* MERGEFORMAT </w:instrText>
                          </w:r>
                          <w:r>
                            <w:fldChar w:fldCharType="separate"/>
                          </w:r>
                          <w:r>
                            <w:t>135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14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N9aMkyAgAAZQ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31oyTICAABlBAAADgAAAAAAAAABACAAAAAfAQAAZHJzL2Uyb0RvYy54bWxQSwUG&#10;AAAAAAYABgBZAQAAwwUAAAAA&#10;">
              <v:fill on="f" focussize="0,0"/>
              <v:stroke on="f" weight="0.5pt"/>
              <v:imagedata o:title=""/>
              <o:lock v:ext="edit" aspectratio="f"/>
              <v:textbox inset="0mm,0mm,0mm,0mm" style="mso-fit-shape-to-text:t;">
                <w:txbxContent>
                  <w:p w14:paraId="11EF5ED5">
                    <w:pPr>
                      <w:pStyle w:val="8"/>
                    </w:pPr>
                    <w:r>
                      <w:fldChar w:fldCharType="begin"/>
                    </w:r>
                    <w:r>
                      <w:instrText xml:space="preserve"> PAGE  \* MERGEFORMAT </w:instrText>
                    </w:r>
                    <w:r>
                      <w:fldChar w:fldCharType="separate"/>
                    </w:r>
                    <w:r>
                      <w:t>135</w:t>
                    </w:r>
                    <w:r>
                      <w:fldChar w:fldCharType="end"/>
                    </w:r>
                  </w:p>
                </w:txbxContent>
              </v:textbox>
            </v:shape>
          </w:pict>
        </mc:Fallback>
      </mc:AlternateConten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5A3358">
    <w:pPr>
      <w:spacing w:line="225" w:lineRule="auto"/>
      <w:ind w:left="4535"/>
      <w:rPr>
        <w:rFonts w:ascii="MingLiU-ExtB" w:hAnsi="MingLiU-ExtB" w:eastAsia="MingLiU-ExtB" w:cs="MingLiU-ExtB"/>
        <w:sz w:val="18"/>
        <w:szCs w:val="18"/>
      </w:rPr>
    </w:pPr>
    <w:r>
      <w:rPr>
        <w:sz w:val="18"/>
      </w:rPr>
      <mc:AlternateContent>
        <mc:Choice Requires="wps">
          <w:drawing>
            <wp:anchor distT="0" distB="0" distL="114300" distR="114300" simplePos="0" relativeHeight="2517524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2" name="文本框 1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6ABA9A">
                          <w:pPr>
                            <w:pStyle w:val="8"/>
                          </w:pPr>
                          <w:r>
                            <w:fldChar w:fldCharType="begin"/>
                          </w:r>
                          <w:r>
                            <w:instrText xml:space="preserve"> PAGE  \* MERGEFORMAT </w:instrText>
                          </w:r>
                          <w:r>
                            <w:fldChar w:fldCharType="separate"/>
                          </w:r>
                          <w:r>
                            <w:t>136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24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urc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urczAgAAZQQAAA4AAAAAAAAAAQAgAAAAHwEAAGRycy9lMm9Eb2MueG1sUEsF&#10;BgAAAAAGAAYAWQEAAMQFAAAAAA==&#10;">
              <v:fill on="f" focussize="0,0"/>
              <v:stroke on="f" weight="0.5pt"/>
              <v:imagedata o:title=""/>
              <o:lock v:ext="edit" aspectratio="f"/>
              <v:textbox inset="0mm,0mm,0mm,0mm" style="mso-fit-shape-to-text:t;">
                <w:txbxContent>
                  <w:p w14:paraId="1A6ABA9A">
                    <w:pPr>
                      <w:pStyle w:val="8"/>
                    </w:pPr>
                    <w:r>
                      <w:fldChar w:fldCharType="begin"/>
                    </w:r>
                    <w:r>
                      <w:instrText xml:space="preserve"> PAGE  \* MERGEFORMAT </w:instrText>
                    </w:r>
                    <w:r>
                      <w:fldChar w:fldCharType="separate"/>
                    </w:r>
                    <w:r>
                      <w:t>136</w:t>
                    </w:r>
                    <w:r>
                      <w:fldChar w:fldCharType="end"/>
                    </w:r>
                  </w:p>
                </w:txbxContent>
              </v:textbox>
            </v:shape>
          </w:pict>
        </mc:Fallback>
      </mc:AlternateConten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EA5B4A">
    <w:pPr>
      <w:spacing w:line="225" w:lineRule="auto"/>
      <w:ind w:left="7000"/>
      <w:rPr>
        <w:rFonts w:ascii="MingLiU-ExtB" w:hAnsi="MingLiU-ExtB" w:eastAsia="MingLiU-ExtB" w:cs="MingLiU-ExtB"/>
        <w:sz w:val="18"/>
        <w:szCs w:val="18"/>
      </w:rPr>
    </w:pPr>
    <w:r>
      <w:rPr>
        <w:sz w:val="18"/>
      </w:rPr>
      <mc:AlternateContent>
        <mc:Choice Requires="wps">
          <w:drawing>
            <wp:anchor distT="0" distB="0" distL="114300" distR="114300" simplePos="0" relativeHeight="2517534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3" name="文本框 1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88DEFC">
                          <w:pPr>
                            <w:pStyle w:val="8"/>
                          </w:pPr>
                          <w:r>
                            <w:fldChar w:fldCharType="begin"/>
                          </w:r>
                          <w:r>
                            <w:instrText xml:space="preserve"> PAGE  \* MERGEFORMAT </w:instrText>
                          </w:r>
                          <w:r>
                            <w:fldChar w:fldCharType="separate"/>
                          </w:r>
                          <w:r>
                            <w:t>137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34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DJCs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5osQwjZKff3w/&#10;//x9/vWNpENIVLswR+SDQ2xs3tkG4cN5wGFi3pRepy84Efgh8OkisGgi4enSbDqbjeHi8A0b4GdP&#10;150P8b2wmiQjpx4VbIVlx22IXegQkrIZu5FKtVVUhtQ5vb56O2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QDJCszAgAAZQQAAA4AAAAAAAAAAQAgAAAAHwEAAGRycy9lMm9Eb2MueG1sUEsF&#10;BgAAAAAGAAYAWQEAAMQFAAAAAA==&#10;">
              <v:fill on="f" focussize="0,0"/>
              <v:stroke on="f" weight="0.5pt"/>
              <v:imagedata o:title=""/>
              <o:lock v:ext="edit" aspectratio="f"/>
              <v:textbox inset="0mm,0mm,0mm,0mm" style="mso-fit-shape-to-text:t;">
                <w:txbxContent>
                  <w:p w14:paraId="0788DEFC">
                    <w:pPr>
                      <w:pStyle w:val="8"/>
                    </w:pPr>
                    <w:r>
                      <w:fldChar w:fldCharType="begin"/>
                    </w:r>
                    <w:r>
                      <w:instrText xml:space="preserve"> PAGE  \* MERGEFORMAT </w:instrText>
                    </w:r>
                    <w:r>
                      <w:fldChar w:fldCharType="separate"/>
                    </w:r>
                    <w:r>
                      <w:t>137</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45CF10">
    <w:pPr>
      <w:spacing w:line="226" w:lineRule="auto"/>
      <w:ind w:left="4578"/>
      <w:rPr>
        <w:rFonts w:ascii="MingLiU-ExtB" w:hAnsi="MingLiU-ExtB" w:eastAsia="MingLiU-ExtB" w:cs="MingLiU-ExtB"/>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3CFFDC">
                          <w:pPr>
                            <w:pStyle w:val="8"/>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3A3CFFDC">
                    <w:pPr>
                      <w:pStyle w:val="8"/>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53B3C7">
    <w:pPr>
      <w:spacing w:line="225" w:lineRule="auto"/>
      <w:ind w:left="4533"/>
      <w:rPr>
        <w:rFonts w:ascii="MingLiU-ExtB" w:hAnsi="MingLiU-ExtB" w:eastAsia="MingLiU-ExtB" w:cs="MingLiU-ExtB"/>
        <w:sz w:val="18"/>
        <w:szCs w:val="18"/>
      </w:rPr>
    </w:pPr>
    <w:r>
      <w:rPr>
        <w:sz w:val="18"/>
      </w:rPr>
      <mc:AlternateContent>
        <mc:Choice Requires="wps">
          <w:drawing>
            <wp:anchor distT="0" distB="0" distL="114300" distR="114300" simplePos="0" relativeHeight="2517544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4" name="文本框 1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8AF827">
                          <w:pPr>
                            <w:pStyle w:val="8"/>
                          </w:pPr>
                          <w:r>
                            <w:fldChar w:fldCharType="begin"/>
                          </w:r>
                          <w:r>
                            <w:instrText xml:space="preserve"> PAGE  \* MERGEFORMAT </w:instrText>
                          </w:r>
                          <w:r>
                            <w:fldChar w:fldCharType="separate"/>
                          </w:r>
                          <w:r>
                            <w:t>138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44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c6H0o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DFMo+SnH99P&#10;Px9Ov76RdAiJGhdmiLx3iI3tO9sifDgPOEzM28rr9AUnAj8EPl4EFm0kPF2aTqbTHC4O37ABfvZ4&#10;3fkQ3wurSTIK6lHBTlh22ITYhw4hKZuxa6lUV0VlSFPQq9dv8+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nOh9KNAIAAGUEAAAOAAAAAAAAAAEAIAAAAB8BAABkcnMvZTJvRG9jLnhtbFBL&#10;BQYAAAAABgAGAFkBAADFBQAAAAA=&#10;">
              <v:fill on="f" focussize="0,0"/>
              <v:stroke on="f" weight="0.5pt"/>
              <v:imagedata o:title=""/>
              <o:lock v:ext="edit" aspectratio="f"/>
              <v:textbox inset="0mm,0mm,0mm,0mm" style="mso-fit-shape-to-text:t;">
                <w:txbxContent>
                  <w:p w14:paraId="268AF827">
                    <w:pPr>
                      <w:pStyle w:val="8"/>
                    </w:pPr>
                    <w:r>
                      <w:fldChar w:fldCharType="begin"/>
                    </w:r>
                    <w:r>
                      <w:instrText xml:space="preserve"> PAGE  \* MERGEFORMAT </w:instrText>
                    </w:r>
                    <w:r>
                      <w:fldChar w:fldCharType="separate"/>
                    </w:r>
                    <w:r>
                      <w:t>138</w:t>
                    </w:r>
                    <w:r>
                      <w:fldChar w:fldCharType="end"/>
                    </w:r>
                  </w:p>
                </w:txbxContent>
              </v:textbox>
            </v:shape>
          </w:pict>
        </mc:Fallback>
      </mc:AlternateConten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15B3BC">
    <w:pPr>
      <w:spacing w:line="223" w:lineRule="auto"/>
      <w:ind w:left="4533"/>
      <w:rPr>
        <w:rFonts w:ascii="MingLiU-ExtB" w:hAnsi="MingLiU-ExtB" w:eastAsia="MingLiU-ExtB" w:cs="MingLiU-ExtB"/>
        <w:sz w:val="18"/>
        <w:szCs w:val="18"/>
      </w:rPr>
    </w:pPr>
    <w:r>
      <w:rPr>
        <w:sz w:val="18"/>
      </w:rPr>
      <mc:AlternateContent>
        <mc:Choice Requires="wps">
          <w:drawing>
            <wp:anchor distT="0" distB="0" distL="114300" distR="114300" simplePos="0" relativeHeight="2517555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5" name="文本框 1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53E2E3">
                          <w:pPr>
                            <w:pStyle w:val="8"/>
                          </w:pPr>
                          <w:r>
                            <w:fldChar w:fldCharType="begin"/>
                          </w:r>
                          <w:r>
                            <w:instrText xml:space="preserve"> PAGE  \* MERGEFORMAT </w:instrText>
                          </w:r>
                          <w:r>
                            <w:fldChar w:fldCharType="separate"/>
                          </w:r>
                          <w:r>
                            <w:t>139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55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yGgdY0AgAAZQ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MhoHWNAIAAGUEAAAOAAAAAAAAAAEAIAAAAB8BAABkcnMvZTJvRG9jLnhtbFBL&#10;BQYAAAAABgAGAFkBAADFBQAAAAA=&#10;">
              <v:fill on="f" focussize="0,0"/>
              <v:stroke on="f" weight="0.5pt"/>
              <v:imagedata o:title=""/>
              <o:lock v:ext="edit" aspectratio="f"/>
              <v:textbox inset="0mm,0mm,0mm,0mm" style="mso-fit-shape-to-text:t;">
                <w:txbxContent>
                  <w:p w14:paraId="2C53E2E3">
                    <w:pPr>
                      <w:pStyle w:val="8"/>
                    </w:pPr>
                    <w:r>
                      <w:fldChar w:fldCharType="begin"/>
                    </w:r>
                    <w:r>
                      <w:instrText xml:space="preserve"> PAGE  \* MERGEFORMAT </w:instrText>
                    </w:r>
                    <w:r>
                      <w:fldChar w:fldCharType="separate"/>
                    </w:r>
                    <w:r>
                      <w:t>139</w:t>
                    </w:r>
                    <w:r>
                      <w:fldChar w:fldCharType="end"/>
                    </w:r>
                  </w:p>
                </w:txbxContent>
              </v:textbox>
            </v:shape>
          </w:pict>
        </mc:Fallback>
      </mc:AlternateConten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654E22">
    <w:pPr>
      <w:spacing w:line="225" w:lineRule="auto"/>
      <w:ind w:left="4453"/>
      <w:rPr>
        <w:rFonts w:ascii="MingLiU-ExtB" w:hAnsi="MingLiU-ExtB" w:eastAsia="MingLiU-ExtB" w:cs="MingLiU-ExtB"/>
        <w:sz w:val="18"/>
        <w:szCs w:val="18"/>
      </w:rPr>
    </w:pPr>
    <w:r>
      <w:rPr>
        <w:sz w:val="18"/>
      </w:rPr>
      <mc:AlternateContent>
        <mc:Choice Requires="wps">
          <w:drawing>
            <wp:anchor distT="0" distB="0" distL="114300" distR="114300" simplePos="0" relativeHeight="2517565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6" name="文本框 1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DA2C71">
                          <w:pPr>
                            <w:pStyle w:val="8"/>
                          </w:pPr>
                          <w:r>
                            <w:fldChar w:fldCharType="begin"/>
                          </w:r>
                          <w:r>
                            <w:instrText xml:space="preserve"> PAGE  \* MERGEFORMAT </w:instrText>
                          </w:r>
                          <w:r>
                            <w:fldChar w:fldCharType="separate"/>
                          </w:r>
                          <w:r>
                            <w:t>140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65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EU6gzAgAAZ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BEU6gzAgAAZQQAAA4AAAAAAAAAAQAgAAAAHwEAAGRycy9lMm9Eb2MueG1sUEsF&#10;BgAAAAAGAAYAWQEAAMQFAAAAAA==&#10;">
              <v:fill on="f" focussize="0,0"/>
              <v:stroke on="f" weight="0.5pt"/>
              <v:imagedata o:title=""/>
              <o:lock v:ext="edit" aspectratio="f"/>
              <v:textbox inset="0mm,0mm,0mm,0mm" style="mso-fit-shape-to-text:t;">
                <w:txbxContent>
                  <w:p w14:paraId="58DA2C71">
                    <w:pPr>
                      <w:pStyle w:val="8"/>
                    </w:pPr>
                    <w:r>
                      <w:fldChar w:fldCharType="begin"/>
                    </w:r>
                    <w:r>
                      <w:instrText xml:space="preserve"> PAGE  \* MERGEFORMAT </w:instrText>
                    </w:r>
                    <w:r>
                      <w:fldChar w:fldCharType="separate"/>
                    </w:r>
                    <w:r>
                      <w:t>140</w:t>
                    </w:r>
                    <w:r>
                      <w:fldChar w:fldCharType="end"/>
                    </w:r>
                  </w:p>
                </w:txbxContent>
              </v:textbox>
            </v:shape>
          </w:pict>
        </mc:Fallback>
      </mc:AlternateConten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55B4CE">
    <w:pPr>
      <w:spacing w:line="227" w:lineRule="auto"/>
      <w:ind w:left="4453"/>
      <w:rPr>
        <w:rFonts w:ascii="MingLiU-ExtB" w:hAnsi="MingLiU-ExtB" w:eastAsia="MingLiU-ExtB" w:cs="MingLiU-ExtB"/>
        <w:sz w:val="18"/>
        <w:szCs w:val="18"/>
      </w:rPr>
    </w:pPr>
    <w:r>
      <w:rPr>
        <w:sz w:val="18"/>
      </w:rPr>
      <mc:AlternateContent>
        <mc:Choice Requires="wps">
          <w:drawing>
            <wp:anchor distT="0" distB="0" distL="114300" distR="114300" simplePos="0" relativeHeight="2517575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8" name="文本框 1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183104">
                          <w:pPr>
                            <w:pStyle w:val="8"/>
                          </w:pPr>
                          <w:r>
                            <w:fldChar w:fldCharType="begin"/>
                          </w:r>
                          <w:r>
                            <w:instrText xml:space="preserve"> PAGE  \* MERGEFORMAT </w:instrText>
                          </w:r>
                          <w:r>
                            <w:fldChar w:fldCharType="separate"/>
                          </w:r>
                          <w:r>
                            <w:t>142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75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3JWo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jclajICAABlBAAADgAAAAAAAAABACAAAAAfAQAAZHJzL2Uyb0RvYy54bWxQSwUG&#10;AAAAAAYABgBZAQAAwwUAAAAA&#10;">
              <v:fill on="f" focussize="0,0"/>
              <v:stroke on="f" weight="0.5pt"/>
              <v:imagedata o:title=""/>
              <o:lock v:ext="edit" aspectratio="f"/>
              <v:textbox inset="0mm,0mm,0mm,0mm" style="mso-fit-shape-to-text:t;">
                <w:txbxContent>
                  <w:p w14:paraId="23183104">
                    <w:pPr>
                      <w:pStyle w:val="8"/>
                    </w:pPr>
                    <w:r>
                      <w:fldChar w:fldCharType="begin"/>
                    </w:r>
                    <w:r>
                      <w:instrText xml:space="preserve"> PAGE  \* MERGEFORMAT </w:instrText>
                    </w:r>
                    <w:r>
                      <w:fldChar w:fldCharType="separate"/>
                    </w:r>
                    <w:r>
                      <w:t>142</w:t>
                    </w:r>
                    <w:r>
                      <w:fldChar w:fldCharType="end"/>
                    </w:r>
                  </w:p>
                </w:txbxContent>
              </v:textbox>
            </v:shape>
          </w:pict>
        </mc:Fallback>
      </mc:AlternateConten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A17A01">
    <w:pPr>
      <w:spacing w:line="225" w:lineRule="auto"/>
      <w:ind w:left="4521"/>
      <w:rPr>
        <w:rFonts w:ascii="MingLiU-ExtB" w:hAnsi="MingLiU-ExtB" w:eastAsia="MingLiU-ExtB" w:cs="MingLiU-ExtB"/>
        <w:sz w:val="18"/>
        <w:szCs w:val="18"/>
      </w:rPr>
    </w:pPr>
    <w:r>
      <w:rPr>
        <w:sz w:val="18"/>
      </w:rPr>
      <mc:AlternateContent>
        <mc:Choice Requires="wps">
          <w:drawing>
            <wp:anchor distT="0" distB="0" distL="114300" distR="114300" simplePos="0" relativeHeight="2517585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9" name="文本框 1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AB19F1">
                          <w:pPr>
                            <w:pStyle w:val="8"/>
                          </w:pPr>
                          <w:r>
                            <w:fldChar w:fldCharType="begin"/>
                          </w:r>
                          <w:r>
                            <w:instrText xml:space="preserve"> PAGE  \* MERGEFORMAT </w:instrText>
                          </w:r>
                          <w:r>
                            <w:fldChar w:fldCharType="separate"/>
                          </w:r>
                          <w:r>
                            <w:t>143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85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2Lu/Y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9i7v2NAIAAGUEAAAOAAAAAAAAAAEAIAAAAB8BAABkcnMvZTJvRG9jLnhtbFBL&#10;BQYAAAAABgAGAFkBAADFBQAAAAA=&#10;">
              <v:fill on="f" focussize="0,0"/>
              <v:stroke on="f" weight="0.5pt"/>
              <v:imagedata o:title=""/>
              <o:lock v:ext="edit" aspectratio="f"/>
              <v:textbox inset="0mm,0mm,0mm,0mm" style="mso-fit-shape-to-text:t;">
                <w:txbxContent>
                  <w:p w14:paraId="63AB19F1">
                    <w:pPr>
                      <w:pStyle w:val="8"/>
                    </w:pPr>
                    <w:r>
                      <w:fldChar w:fldCharType="begin"/>
                    </w:r>
                    <w:r>
                      <w:instrText xml:space="preserve"> PAGE  \* MERGEFORMAT </w:instrText>
                    </w:r>
                    <w:r>
                      <w:fldChar w:fldCharType="separate"/>
                    </w:r>
                    <w:r>
                      <w:t>143</w:t>
                    </w:r>
                    <w:r>
                      <w:fldChar w:fldCharType="end"/>
                    </w:r>
                  </w:p>
                </w:txbxContent>
              </v:textbox>
            </v:shape>
          </w:pict>
        </mc:Fallback>
      </mc:AlternateConten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1B6E84">
    <w:pPr>
      <w:spacing w:line="227" w:lineRule="auto"/>
      <w:ind w:left="4533"/>
      <w:rPr>
        <w:rFonts w:ascii="MingLiU-ExtB" w:hAnsi="MingLiU-ExtB" w:eastAsia="MingLiU-ExtB" w:cs="MingLiU-ExtB"/>
        <w:sz w:val="18"/>
        <w:szCs w:val="18"/>
      </w:rPr>
    </w:pPr>
    <w:r>
      <w:rPr>
        <w:sz w:val="18"/>
      </w:rPr>
      <mc:AlternateContent>
        <mc:Choice Requires="wps">
          <w:drawing>
            <wp:anchor distT="0" distB="0" distL="114300" distR="114300" simplePos="0" relativeHeight="2517596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0" name="文本框 1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A49B24">
                          <w:pPr>
                            <w:pStyle w:val="8"/>
                          </w:pPr>
                          <w:r>
                            <w:fldChar w:fldCharType="begin"/>
                          </w:r>
                          <w:r>
                            <w:instrText xml:space="preserve"> PAGE  \* MERGEFORMAT </w:instrText>
                          </w:r>
                          <w:r>
                            <w:fldChar w:fldCharType="separate"/>
                          </w:r>
                          <w:r>
                            <w:t>144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596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tg+E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va2D4TICAABlBAAADgAAAAAAAAABACAAAAAfAQAAZHJzL2Uyb0RvYy54bWxQSwUG&#10;AAAAAAYABgBZAQAAwwUAAAAA&#10;">
              <v:fill on="f" focussize="0,0"/>
              <v:stroke on="f" weight="0.5pt"/>
              <v:imagedata o:title=""/>
              <o:lock v:ext="edit" aspectratio="f"/>
              <v:textbox inset="0mm,0mm,0mm,0mm" style="mso-fit-shape-to-text:t;">
                <w:txbxContent>
                  <w:p w14:paraId="53A49B24">
                    <w:pPr>
                      <w:pStyle w:val="8"/>
                    </w:pPr>
                    <w:r>
                      <w:fldChar w:fldCharType="begin"/>
                    </w:r>
                    <w:r>
                      <w:instrText xml:space="preserve"> PAGE  \* MERGEFORMAT </w:instrText>
                    </w:r>
                    <w:r>
                      <w:fldChar w:fldCharType="separate"/>
                    </w:r>
                    <w:r>
                      <w:t>144</w:t>
                    </w:r>
                    <w:r>
                      <w:fldChar w:fldCharType="end"/>
                    </w:r>
                  </w:p>
                </w:txbxContent>
              </v:textbox>
            </v:shape>
          </w:pict>
        </mc:Fallback>
      </mc:AlternateConten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97D026">
    <w:pPr>
      <w:spacing w:line="225" w:lineRule="auto"/>
      <w:ind w:left="4420"/>
      <w:rPr>
        <w:rFonts w:ascii="MingLiU-ExtB" w:hAnsi="MingLiU-ExtB" w:eastAsia="MingLiU-ExtB" w:cs="MingLiU-ExtB"/>
        <w:sz w:val="18"/>
        <w:szCs w:val="18"/>
      </w:rPr>
    </w:pPr>
    <w:r>
      <w:rPr>
        <w:sz w:val="18"/>
      </w:rPr>
      <mc:AlternateContent>
        <mc:Choice Requires="wps">
          <w:drawing>
            <wp:anchor distT="0" distB="0" distL="114300" distR="114300" simplePos="0" relativeHeight="2517606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1" name="文本框 1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2D39F4">
                          <w:pPr>
                            <w:pStyle w:val="8"/>
                          </w:pPr>
                          <w:r>
                            <w:fldChar w:fldCharType="begin"/>
                          </w:r>
                          <w:r>
                            <w:instrText xml:space="preserve"> PAGE  \* MERGEFORMAT </w:instrText>
                          </w:r>
                          <w:r>
                            <w:fldChar w:fldCharType="separate"/>
                          </w:r>
                          <w:r>
                            <w:t>145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06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YRHX0yAgAAZQ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dfTICAABlBAAADgAAAAAAAAABACAAAAAfAQAAZHJzL2Uyb0RvYy54bWxQSwUG&#10;AAAAAAYABgBZAQAAwwUAAAAA&#10;">
              <v:fill on="f" focussize="0,0"/>
              <v:stroke on="f" weight="0.5pt"/>
              <v:imagedata o:title=""/>
              <o:lock v:ext="edit" aspectratio="f"/>
              <v:textbox inset="0mm,0mm,0mm,0mm" style="mso-fit-shape-to-text:t;">
                <w:txbxContent>
                  <w:p w14:paraId="732D39F4">
                    <w:pPr>
                      <w:pStyle w:val="8"/>
                    </w:pPr>
                    <w:r>
                      <w:fldChar w:fldCharType="begin"/>
                    </w:r>
                    <w:r>
                      <w:instrText xml:space="preserve"> PAGE  \* MERGEFORMAT </w:instrText>
                    </w:r>
                    <w:r>
                      <w:fldChar w:fldCharType="separate"/>
                    </w:r>
                    <w:r>
                      <w:t>145</w:t>
                    </w:r>
                    <w:r>
                      <w:fldChar w:fldCharType="end"/>
                    </w:r>
                  </w:p>
                </w:txbxContent>
              </v:textbox>
            </v:shape>
          </w:pict>
        </mc:Fallback>
      </mc:AlternateConten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EEB6B8">
    <w:pPr>
      <w:spacing w:line="225" w:lineRule="auto"/>
      <w:ind w:left="4360"/>
      <w:rPr>
        <w:rFonts w:ascii="MingLiU-ExtB" w:hAnsi="MingLiU-ExtB" w:eastAsia="MingLiU-ExtB" w:cs="MingLiU-ExtB"/>
        <w:sz w:val="18"/>
        <w:szCs w:val="18"/>
      </w:rPr>
    </w:pPr>
    <w:r>
      <w:rPr>
        <w:sz w:val="18"/>
      </w:rPr>
      <mc:AlternateContent>
        <mc:Choice Requires="wps">
          <w:drawing>
            <wp:anchor distT="0" distB="0" distL="114300" distR="114300" simplePos="0" relativeHeight="2517616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2" name="文本框 1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77B4D6">
                          <w:pPr>
                            <w:pStyle w:val="8"/>
                          </w:pPr>
                          <w:r>
                            <w:fldChar w:fldCharType="begin"/>
                          </w:r>
                          <w:r>
                            <w:instrText xml:space="preserve"> PAGE  \* MERGEFORMAT </w:instrText>
                          </w:r>
                          <w:r>
                            <w:fldChar w:fldCharType="separate"/>
                          </w:r>
                          <w:r>
                            <w:t>146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16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rTzwM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rTzwMzAgAAZQQAAA4AAAAAAAAAAQAgAAAAHwEAAGRycy9lMm9Eb2MueG1sUEsF&#10;BgAAAAAGAAYAWQEAAMQFAAAAAA==&#10;">
              <v:fill on="f" focussize="0,0"/>
              <v:stroke on="f" weight="0.5pt"/>
              <v:imagedata o:title=""/>
              <o:lock v:ext="edit" aspectratio="f"/>
              <v:textbox inset="0mm,0mm,0mm,0mm" style="mso-fit-shape-to-text:t;">
                <w:txbxContent>
                  <w:p w14:paraId="4B77B4D6">
                    <w:pPr>
                      <w:pStyle w:val="8"/>
                    </w:pPr>
                    <w:r>
                      <w:fldChar w:fldCharType="begin"/>
                    </w:r>
                    <w:r>
                      <w:instrText xml:space="preserve"> PAGE  \* MERGEFORMAT </w:instrText>
                    </w:r>
                    <w:r>
                      <w:fldChar w:fldCharType="separate"/>
                    </w:r>
                    <w:r>
                      <w:t>146</w:t>
                    </w:r>
                    <w:r>
                      <w:fldChar w:fldCharType="end"/>
                    </w:r>
                  </w:p>
                </w:txbxContent>
              </v:textbox>
            </v:shape>
          </w:pict>
        </mc:Fallback>
      </mc:AlternateConten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542A9D">
    <w:pPr>
      <w:spacing w:line="226" w:lineRule="auto"/>
      <w:ind w:left="4414"/>
      <w:rPr>
        <w:rFonts w:ascii="MingLiU-ExtB" w:hAnsi="MingLiU-ExtB" w:eastAsia="MingLiU-ExtB" w:cs="MingLiU-ExtB"/>
        <w:sz w:val="18"/>
        <w:szCs w:val="18"/>
      </w:rPr>
    </w:pPr>
    <w:r>
      <w:rPr>
        <w:sz w:val="18"/>
      </w:rPr>
      <mc:AlternateContent>
        <mc:Choice Requires="wps">
          <w:drawing>
            <wp:anchor distT="0" distB="0" distL="114300" distR="114300" simplePos="0" relativeHeight="2517626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3" name="文本框 1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843F76">
                          <w:pPr>
                            <w:pStyle w:val="8"/>
                          </w:pPr>
                          <w:r>
                            <w:fldChar w:fldCharType="begin"/>
                          </w:r>
                          <w:r>
                            <w:instrText xml:space="preserve"> PAGE  \* MERGEFORMAT </w:instrText>
                          </w:r>
                          <w:r>
                            <w:fldChar w:fldCharType="separate"/>
                          </w:r>
                          <w:r>
                            <w:t>147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26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FvUZ8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9osQwjZKff3w/&#10;//x9/vWNpENIVLswR+SDQ2xs3tkG4cN5wGFi3pRepy84Efgh8OkisGgi4enSbDqbjeHi8A0b4GdP&#10;150P8b2wmiQjpx4VbIVlx22IXegQkrIZu5FKtVVUhtQ5vb56O2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FvUZ8zAgAAZQQAAA4AAAAAAAAAAQAgAAAAHwEAAGRycy9lMm9Eb2MueG1sUEsF&#10;BgAAAAAGAAYAWQEAAMQFAAAAAA==&#10;">
              <v:fill on="f" focussize="0,0"/>
              <v:stroke on="f" weight="0.5pt"/>
              <v:imagedata o:title=""/>
              <o:lock v:ext="edit" aspectratio="f"/>
              <v:textbox inset="0mm,0mm,0mm,0mm" style="mso-fit-shape-to-text:t;">
                <w:txbxContent>
                  <w:p w14:paraId="35843F76">
                    <w:pPr>
                      <w:pStyle w:val="8"/>
                    </w:pPr>
                    <w:r>
                      <w:fldChar w:fldCharType="begin"/>
                    </w:r>
                    <w:r>
                      <w:instrText xml:space="preserve"> PAGE  \* MERGEFORMAT </w:instrText>
                    </w:r>
                    <w:r>
                      <w:fldChar w:fldCharType="separate"/>
                    </w:r>
                    <w:r>
                      <w:t>147</w:t>
                    </w:r>
                    <w:r>
                      <w:fldChar w:fldCharType="end"/>
                    </w:r>
                  </w:p>
                </w:txbxContent>
              </v:textbox>
            </v:shape>
          </w:pict>
        </mc:Fallback>
      </mc:AlternateConten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DD41FA">
    <w:pPr>
      <w:spacing w:line="225" w:lineRule="auto"/>
      <w:ind w:left="4051"/>
      <w:rPr>
        <w:rFonts w:ascii="MingLiU-ExtB" w:hAnsi="MingLiU-ExtB" w:eastAsia="MingLiU-ExtB" w:cs="MingLiU-ExtB"/>
        <w:sz w:val="18"/>
        <w:szCs w:val="18"/>
      </w:rPr>
    </w:pPr>
    <w:r>
      <w:rPr>
        <w:sz w:val="18"/>
      </w:rPr>
      <mc:AlternateContent>
        <mc:Choice Requires="wps">
          <w:drawing>
            <wp:anchor distT="0" distB="0" distL="114300" distR="114300" simplePos="0" relativeHeight="2517637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4" name="文本框 1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5549C0">
                          <w:pPr>
                            <w:pStyle w:val="8"/>
                          </w:pPr>
                          <w:r>
                            <w:fldChar w:fldCharType="begin"/>
                          </w:r>
                          <w:r>
                            <w:instrText xml:space="preserve"> PAGE  \* MERGEFORMAT </w:instrText>
                          </w:r>
                          <w:r>
                            <w:fldChar w:fldCharType="separate"/>
                          </w:r>
                          <w:r>
                            <w:t>148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637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JWav4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yZvKDFMo+SnH99P&#10;Px9Ov76RdAiJGhdmiLx3iI3tO9sifDgPOEzM28rr9AUnAj8EPl4EFm0kPF2aTqbTHC4O37ABfvZ4&#10;3fkQ3wurSTIK6lHBTlh22ITYhw4hKZuxa6lUV0VlSFPQq9dv8+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SVmr+NAIAAGUEAAAOAAAAAAAAAAEAIAAAAB8BAABkcnMvZTJvRG9jLnhtbFBL&#10;BQYAAAAABgAGAFkBAADFBQAAAAA=&#10;">
              <v:fill on="f" focussize="0,0"/>
              <v:stroke on="f" weight="0.5pt"/>
              <v:imagedata o:title=""/>
              <o:lock v:ext="edit" aspectratio="f"/>
              <v:textbox inset="0mm,0mm,0mm,0mm" style="mso-fit-shape-to-text:t;">
                <w:txbxContent>
                  <w:p w14:paraId="295549C0">
                    <w:pPr>
                      <w:pStyle w:val="8"/>
                    </w:pPr>
                    <w:r>
                      <w:fldChar w:fldCharType="begin"/>
                    </w:r>
                    <w:r>
                      <w:instrText xml:space="preserve"> PAGE  \* MERGEFORMAT </w:instrText>
                    </w:r>
                    <w:r>
                      <w:fldChar w:fldCharType="separate"/>
                    </w:r>
                    <w:r>
                      <w:t>148</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AAF1C38"/>
    <w:multiLevelType w:val="multilevel"/>
    <w:tmpl w:val="5AAF1C38"/>
    <w:lvl w:ilvl="0" w:tentative="0">
      <w:start w:val="1"/>
      <w:numFmt w:val="chineseCountingThousand"/>
      <w:suff w:val="space"/>
      <w:lvlText w:val="第%1章  "/>
      <w:lvlJc w:val="left"/>
      <w:pPr>
        <w:ind w:left="0" w:firstLine="0"/>
      </w:pPr>
      <w:rPr>
        <w:rFonts w:hint="eastAsia"/>
      </w:rPr>
    </w:lvl>
    <w:lvl w:ilvl="1" w:tentative="0">
      <w:start w:val="1"/>
      <w:numFmt w:val="decimal"/>
      <w:pStyle w:val="23"/>
      <w:suff w:val="space"/>
      <w:lvlText w:val="%2."/>
      <w:lvlJc w:val="left"/>
      <w:pPr>
        <w:tabs>
          <w:tab w:val="left" w:pos="0"/>
        </w:tabs>
        <w:ind w:left="284" w:firstLine="0"/>
      </w:pPr>
      <w:rPr>
        <w:rFonts w:hint="eastAsia" w:ascii="宋体" w:hAnsi="宋体" w:eastAsia="宋体" w:cs="宋体"/>
      </w:rPr>
    </w:lvl>
    <w:lvl w:ilvl="2" w:tentative="0">
      <w:start w:val="1"/>
      <w:numFmt w:val="decimal"/>
      <w:pStyle w:val="24"/>
      <w:suff w:val="space"/>
      <w:lvlText w:val="%2.%3"/>
      <w:lvlJc w:val="left"/>
      <w:pPr>
        <w:tabs>
          <w:tab w:val="left" w:pos="0"/>
        </w:tabs>
        <w:ind w:left="425" w:hanging="425"/>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compatSetting w:name="compatibilityMode" w:uri="http://schemas.microsoft.com/office/word" w:val="14"/>
  </w:compat>
  <w:rsids>
    <w:rsidRoot w:val="00000000"/>
    <w:rsid w:val="000C009A"/>
    <w:rsid w:val="00386300"/>
    <w:rsid w:val="00445595"/>
    <w:rsid w:val="004C0647"/>
    <w:rsid w:val="0090270C"/>
    <w:rsid w:val="00D36B69"/>
    <w:rsid w:val="01505F15"/>
    <w:rsid w:val="018067FB"/>
    <w:rsid w:val="0198556B"/>
    <w:rsid w:val="01A33769"/>
    <w:rsid w:val="02101F44"/>
    <w:rsid w:val="0265517B"/>
    <w:rsid w:val="033E696D"/>
    <w:rsid w:val="03A92362"/>
    <w:rsid w:val="04376843"/>
    <w:rsid w:val="04703D0A"/>
    <w:rsid w:val="047E1349"/>
    <w:rsid w:val="04AC2FBA"/>
    <w:rsid w:val="04DF5F2E"/>
    <w:rsid w:val="05203B59"/>
    <w:rsid w:val="05375005"/>
    <w:rsid w:val="05914531"/>
    <w:rsid w:val="05E834AE"/>
    <w:rsid w:val="06033F82"/>
    <w:rsid w:val="067F1A0F"/>
    <w:rsid w:val="06CA61A3"/>
    <w:rsid w:val="071F4C46"/>
    <w:rsid w:val="07413ECB"/>
    <w:rsid w:val="07AE356D"/>
    <w:rsid w:val="07E5409F"/>
    <w:rsid w:val="081952B3"/>
    <w:rsid w:val="0822787F"/>
    <w:rsid w:val="08934557"/>
    <w:rsid w:val="08980E61"/>
    <w:rsid w:val="08AD6B59"/>
    <w:rsid w:val="08DB6A0C"/>
    <w:rsid w:val="08EE6297"/>
    <w:rsid w:val="08FD32B2"/>
    <w:rsid w:val="09844198"/>
    <w:rsid w:val="09AB6350"/>
    <w:rsid w:val="0A075D0B"/>
    <w:rsid w:val="0A122902"/>
    <w:rsid w:val="0A6D0D3A"/>
    <w:rsid w:val="0BAA5B77"/>
    <w:rsid w:val="0C9327B6"/>
    <w:rsid w:val="0D256DDE"/>
    <w:rsid w:val="0D906017"/>
    <w:rsid w:val="0E163EA2"/>
    <w:rsid w:val="0E2C734E"/>
    <w:rsid w:val="0E4A266A"/>
    <w:rsid w:val="0E55324A"/>
    <w:rsid w:val="0E875E54"/>
    <w:rsid w:val="0EF95E3E"/>
    <w:rsid w:val="0F6815D5"/>
    <w:rsid w:val="0FEF6A5D"/>
    <w:rsid w:val="1070093E"/>
    <w:rsid w:val="1074577C"/>
    <w:rsid w:val="11643A43"/>
    <w:rsid w:val="11CB2733"/>
    <w:rsid w:val="11F34DC7"/>
    <w:rsid w:val="12071A36"/>
    <w:rsid w:val="121A2A32"/>
    <w:rsid w:val="127C3C10"/>
    <w:rsid w:val="12A74D83"/>
    <w:rsid w:val="12B46AE6"/>
    <w:rsid w:val="12BA5C7D"/>
    <w:rsid w:val="12DE784D"/>
    <w:rsid w:val="134F427F"/>
    <w:rsid w:val="1356385F"/>
    <w:rsid w:val="13E11AFB"/>
    <w:rsid w:val="13E42ED8"/>
    <w:rsid w:val="14400EA8"/>
    <w:rsid w:val="14877C8E"/>
    <w:rsid w:val="14943583"/>
    <w:rsid w:val="14EB7FD7"/>
    <w:rsid w:val="153C564B"/>
    <w:rsid w:val="15612B32"/>
    <w:rsid w:val="1571543C"/>
    <w:rsid w:val="15A231E6"/>
    <w:rsid w:val="15DD2016"/>
    <w:rsid w:val="15E21042"/>
    <w:rsid w:val="16665322"/>
    <w:rsid w:val="16C240F4"/>
    <w:rsid w:val="16CD4552"/>
    <w:rsid w:val="171D7580"/>
    <w:rsid w:val="174001C6"/>
    <w:rsid w:val="17400B06"/>
    <w:rsid w:val="17DF1D52"/>
    <w:rsid w:val="184E796B"/>
    <w:rsid w:val="18532FFB"/>
    <w:rsid w:val="187B739F"/>
    <w:rsid w:val="191F7A9B"/>
    <w:rsid w:val="193208CA"/>
    <w:rsid w:val="195919B3"/>
    <w:rsid w:val="196035AE"/>
    <w:rsid w:val="19AD790D"/>
    <w:rsid w:val="19EA6CD0"/>
    <w:rsid w:val="1A24134C"/>
    <w:rsid w:val="1A257974"/>
    <w:rsid w:val="1A6A7BF0"/>
    <w:rsid w:val="1A9805C0"/>
    <w:rsid w:val="1AD0229D"/>
    <w:rsid w:val="1B0167A6"/>
    <w:rsid w:val="1B421854"/>
    <w:rsid w:val="1B6D1746"/>
    <w:rsid w:val="1B9C027D"/>
    <w:rsid w:val="1C220434"/>
    <w:rsid w:val="1C420E24"/>
    <w:rsid w:val="1C521C7A"/>
    <w:rsid w:val="1C6B61C2"/>
    <w:rsid w:val="1CC01A08"/>
    <w:rsid w:val="1CC6659E"/>
    <w:rsid w:val="1CD22153"/>
    <w:rsid w:val="1D2E664B"/>
    <w:rsid w:val="1D337CE9"/>
    <w:rsid w:val="1D557B14"/>
    <w:rsid w:val="1D7856D5"/>
    <w:rsid w:val="1DA65E17"/>
    <w:rsid w:val="1DF36D83"/>
    <w:rsid w:val="1E366767"/>
    <w:rsid w:val="1E3D5039"/>
    <w:rsid w:val="1E4A3FC0"/>
    <w:rsid w:val="1ED90489"/>
    <w:rsid w:val="1EFA3E00"/>
    <w:rsid w:val="1F3A1996"/>
    <w:rsid w:val="1FC102B2"/>
    <w:rsid w:val="2117172D"/>
    <w:rsid w:val="21543588"/>
    <w:rsid w:val="217B61CE"/>
    <w:rsid w:val="21D943A6"/>
    <w:rsid w:val="221B313D"/>
    <w:rsid w:val="22553F99"/>
    <w:rsid w:val="23123443"/>
    <w:rsid w:val="235109AF"/>
    <w:rsid w:val="23994D98"/>
    <w:rsid w:val="23CF0E84"/>
    <w:rsid w:val="24433DED"/>
    <w:rsid w:val="247F027C"/>
    <w:rsid w:val="24D35AF2"/>
    <w:rsid w:val="25495698"/>
    <w:rsid w:val="257356BC"/>
    <w:rsid w:val="26776E1F"/>
    <w:rsid w:val="26962499"/>
    <w:rsid w:val="269E1096"/>
    <w:rsid w:val="275411F6"/>
    <w:rsid w:val="27766813"/>
    <w:rsid w:val="27E9484A"/>
    <w:rsid w:val="281C3EDC"/>
    <w:rsid w:val="283427BA"/>
    <w:rsid w:val="284460E4"/>
    <w:rsid w:val="28771E56"/>
    <w:rsid w:val="28A81A10"/>
    <w:rsid w:val="28BC3660"/>
    <w:rsid w:val="28FA4ACB"/>
    <w:rsid w:val="29A97CB7"/>
    <w:rsid w:val="29C273E5"/>
    <w:rsid w:val="29EF438A"/>
    <w:rsid w:val="2A1F61A6"/>
    <w:rsid w:val="2A2C0D91"/>
    <w:rsid w:val="2A491993"/>
    <w:rsid w:val="2A664EBE"/>
    <w:rsid w:val="2ACB39C4"/>
    <w:rsid w:val="2B296BB8"/>
    <w:rsid w:val="2B5B18D3"/>
    <w:rsid w:val="2B9045F7"/>
    <w:rsid w:val="2BA32F62"/>
    <w:rsid w:val="2BB71FB5"/>
    <w:rsid w:val="2C0356F8"/>
    <w:rsid w:val="2C0538E9"/>
    <w:rsid w:val="2C091017"/>
    <w:rsid w:val="2C2A4C66"/>
    <w:rsid w:val="2C9B143D"/>
    <w:rsid w:val="2D094162"/>
    <w:rsid w:val="2D2968FF"/>
    <w:rsid w:val="2D2E0C20"/>
    <w:rsid w:val="2D9E60D7"/>
    <w:rsid w:val="2DE031F3"/>
    <w:rsid w:val="2DEA36E2"/>
    <w:rsid w:val="2E1843DC"/>
    <w:rsid w:val="2E67780F"/>
    <w:rsid w:val="2EAE5EA6"/>
    <w:rsid w:val="2EC706DF"/>
    <w:rsid w:val="2EFE3FF7"/>
    <w:rsid w:val="2F0612AB"/>
    <w:rsid w:val="2F3650DA"/>
    <w:rsid w:val="2F5B44D5"/>
    <w:rsid w:val="2F611EBB"/>
    <w:rsid w:val="2F9D7791"/>
    <w:rsid w:val="30247D84"/>
    <w:rsid w:val="30253179"/>
    <w:rsid w:val="30404B18"/>
    <w:rsid w:val="30C23098"/>
    <w:rsid w:val="31131651"/>
    <w:rsid w:val="31300B2E"/>
    <w:rsid w:val="316F4012"/>
    <w:rsid w:val="3181001F"/>
    <w:rsid w:val="323260A9"/>
    <w:rsid w:val="32695BC1"/>
    <w:rsid w:val="32C4034C"/>
    <w:rsid w:val="34033316"/>
    <w:rsid w:val="34722CD4"/>
    <w:rsid w:val="34767465"/>
    <w:rsid w:val="34E1639F"/>
    <w:rsid w:val="34F11268"/>
    <w:rsid w:val="35446E64"/>
    <w:rsid w:val="355F614C"/>
    <w:rsid w:val="35661288"/>
    <w:rsid w:val="356A42EB"/>
    <w:rsid w:val="356C50F7"/>
    <w:rsid w:val="35960261"/>
    <w:rsid w:val="35C236B1"/>
    <w:rsid w:val="369E0EF6"/>
    <w:rsid w:val="36AA4432"/>
    <w:rsid w:val="36D16B63"/>
    <w:rsid w:val="37215F74"/>
    <w:rsid w:val="373B2E0E"/>
    <w:rsid w:val="37567327"/>
    <w:rsid w:val="37797999"/>
    <w:rsid w:val="378D5AE2"/>
    <w:rsid w:val="37B24C58"/>
    <w:rsid w:val="37C93D50"/>
    <w:rsid w:val="37EB72B3"/>
    <w:rsid w:val="38201673"/>
    <w:rsid w:val="382A2A41"/>
    <w:rsid w:val="388C0E59"/>
    <w:rsid w:val="389A29C0"/>
    <w:rsid w:val="38A52E99"/>
    <w:rsid w:val="38B82C06"/>
    <w:rsid w:val="38C70B1E"/>
    <w:rsid w:val="38CC1D4A"/>
    <w:rsid w:val="38D351C0"/>
    <w:rsid w:val="38E97FB1"/>
    <w:rsid w:val="39180AEB"/>
    <w:rsid w:val="39203CBF"/>
    <w:rsid w:val="39221BEF"/>
    <w:rsid w:val="39543A0D"/>
    <w:rsid w:val="395C0DF9"/>
    <w:rsid w:val="399A3CEC"/>
    <w:rsid w:val="39B575A2"/>
    <w:rsid w:val="3A030B34"/>
    <w:rsid w:val="3A315EDB"/>
    <w:rsid w:val="3B2A2D58"/>
    <w:rsid w:val="3B524765"/>
    <w:rsid w:val="3B895CD0"/>
    <w:rsid w:val="3B8F28D0"/>
    <w:rsid w:val="3BAA041B"/>
    <w:rsid w:val="3BB90B91"/>
    <w:rsid w:val="3BD776DA"/>
    <w:rsid w:val="3CA20800"/>
    <w:rsid w:val="3CAD59EE"/>
    <w:rsid w:val="3D057829"/>
    <w:rsid w:val="3D124D7F"/>
    <w:rsid w:val="3DAF05AF"/>
    <w:rsid w:val="3DE02C57"/>
    <w:rsid w:val="3E23127F"/>
    <w:rsid w:val="3E490945"/>
    <w:rsid w:val="3E4D7489"/>
    <w:rsid w:val="3E555110"/>
    <w:rsid w:val="3E7E1019"/>
    <w:rsid w:val="3EB01C11"/>
    <w:rsid w:val="3F235940"/>
    <w:rsid w:val="3F821E75"/>
    <w:rsid w:val="3FDD26ED"/>
    <w:rsid w:val="40050660"/>
    <w:rsid w:val="401B4FB0"/>
    <w:rsid w:val="402C30CE"/>
    <w:rsid w:val="407E6B3E"/>
    <w:rsid w:val="409B3729"/>
    <w:rsid w:val="40E7136E"/>
    <w:rsid w:val="40FE0030"/>
    <w:rsid w:val="41443B0A"/>
    <w:rsid w:val="41456B3D"/>
    <w:rsid w:val="418672B4"/>
    <w:rsid w:val="41A31A10"/>
    <w:rsid w:val="41AC4EF9"/>
    <w:rsid w:val="41B0188E"/>
    <w:rsid w:val="41BB295C"/>
    <w:rsid w:val="4205007B"/>
    <w:rsid w:val="427C77E8"/>
    <w:rsid w:val="427C7D09"/>
    <w:rsid w:val="43087A30"/>
    <w:rsid w:val="430D6B32"/>
    <w:rsid w:val="43176703"/>
    <w:rsid w:val="438F6794"/>
    <w:rsid w:val="4391369E"/>
    <w:rsid w:val="43D22786"/>
    <w:rsid w:val="43FB7987"/>
    <w:rsid w:val="44872FC9"/>
    <w:rsid w:val="44A11A5A"/>
    <w:rsid w:val="44A4014A"/>
    <w:rsid w:val="45573759"/>
    <w:rsid w:val="45F2612A"/>
    <w:rsid w:val="460C5E7C"/>
    <w:rsid w:val="4699360E"/>
    <w:rsid w:val="46A12D06"/>
    <w:rsid w:val="46DC1E07"/>
    <w:rsid w:val="46EA5546"/>
    <w:rsid w:val="47281C9C"/>
    <w:rsid w:val="47C56238"/>
    <w:rsid w:val="48007381"/>
    <w:rsid w:val="4910358D"/>
    <w:rsid w:val="49E427A6"/>
    <w:rsid w:val="4A152119"/>
    <w:rsid w:val="4A187C57"/>
    <w:rsid w:val="4A362361"/>
    <w:rsid w:val="4A630034"/>
    <w:rsid w:val="4A710F60"/>
    <w:rsid w:val="4A8741CA"/>
    <w:rsid w:val="4A8D1239"/>
    <w:rsid w:val="4AC109BF"/>
    <w:rsid w:val="4ACC6C2B"/>
    <w:rsid w:val="4AD122BB"/>
    <w:rsid w:val="4B016378"/>
    <w:rsid w:val="4B310C69"/>
    <w:rsid w:val="4B7342FD"/>
    <w:rsid w:val="4BB8645E"/>
    <w:rsid w:val="4BBA27A1"/>
    <w:rsid w:val="4BC82845"/>
    <w:rsid w:val="4BE3142D"/>
    <w:rsid w:val="4C48060D"/>
    <w:rsid w:val="4C4874E2"/>
    <w:rsid w:val="4CAE1754"/>
    <w:rsid w:val="4D3200FD"/>
    <w:rsid w:val="4E7378F2"/>
    <w:rsid w:val="4EB330D2"/>
    <w:rsid w:val="4EE003B8"/>
    <w:rsid w:val="4F1862AA"/>
    <w:rsid w:val="4F2A2ECF"/>
    <w:rsid w:val="4F5F55B9"/>
    <w:rsid w:val="4F660CD1"/>
    <w:rsid w:val="4F822A97"/>
    <w:rsid w:val="4FE25169"/>
    <w:rsid w:val="508545E5"/>
    <w:rsid w:val="50AF12D4"/>
    <w:rsid w:val="50CD6207"/>
    <w:rsid w:val="51255F55"/>
    <w:rsid w:val="512C3D35"/>
    <w:rsid w:val="5131125D"/>
    <w:rsid w:val="51AF3456"/>
    <w:rsid w:val="52007E97"/>
    <w:rsid w:val="525672E6"/>
    <w:rsid w:val="52705CA9"/>
    <w:rsid w:val="527F4518"/>
    <w:rsid w:val="529B6283"/>
    <w:rsid w:val="53235275"/>
    <w:rsid w:val="53242390"/>
    <w:rsid w:val="532A16EF"/>
    <w:rsid w:val="532D2327"/>
    <w:rsid w:val="534D66AB"/>
    <w:rsid w:val="53BD65FC"/>
    <w:rsid w:val="53D61877"/>
    <w:rsid w:val="54175631"/>
    <w:rsid w:val="54212AF2"/>
    <w:rsid w:val="548D462B"/>
    <w:rsid w:val="555467FF"/>
    <w:rsid w:val="55770A92"/>
    <w:rsid w:val="559A1FC3"/>
    <w:rsid w:val="55CC6FE2"/>
    <w:rsid w:val="55F906D3"/>
    <w:rsid w:val="562B5E8C"/>
    <w:rsid w:val="56697BB0"/>
    <w:rsid w:val="56B7323C"/>
    <w:rsid w:val="56D46032"/>
    <w:rsid w:val="56E56E54"/>
    <w:rsid w:val="571C1B8D"/>
    <w:rsid w:val="572B41B4"/>
    <w:rsid w:val="5751723E"/>
    <w:rsid w:val="57914481"/>
    <w:rsid w:val="57EC3BFE"/>
    <w:rsid w:val="583D3A57"/>
    <w:rsid w:val="58522703"/>
    <w:rsid w:val="58705F7F"/>
    <w:rsid w:val="589715D5"/>
    <w:rsid w:val="58BA4828"/>
    <w:rsid w:val="59305AC2"/>
    <w:rsid w:val="5AE92129"/>
    <w:rsid w:val="5B220D78"/>
    <w:rsid w:val="5B6339F0"/>
    <w:rsid w:val="5B982433"/>
    <w:rsid w:val="5B9F3060"/>
    <w:rsid w:val="5BB73D3C"/>
    <w:rsid w:val="5BD05F88"/>
    <w:rsid w:val="5C9E45E6"/>
    <w:rsid w:val="5CDB3A5A"/>
    <w:rsid w:val="5DAA7FFC"/>
    <w:rsid w:val="5E8E5228"/>
    <w:rsid w:val="5E9069FF"/>
    <w:rsid w:val="5F881C77"/>
    <w:rsid w:val="5FB8795D"/>
    <w:rsid w:val="5FC37F08"/>
    <w:rsid w:val="5FEB19E8"/>
    <w:rsid w:val="6001125E"/>
    <w:rsid w:val="602838EF"/>
    <w:rsid w:val="604B0A34"/>
    <w:rsid w:val="608F2ABA"/>
    <w:rsid w:val="60A87A87"/>
    <w:rsid w:val="60B436AB"/>
    <w:rsid w:val="60DA339F"/>
    <w:rsid w:val="610A2B60"/>
    <w:rsid w:val="611F03B9"/>
    <w:rsid w:val="611F2AAF"/>
    <w:rsid w:val="614C4638"/>
    <w:rsid w:val="618D5C6B"/>
    <w:rsid w:val="61954B1F"/>
    <w:rsid w:val="619957F1"/>
    <w:rsid w:val="61E66498"/>
    <w:rsid w:val="61F7494E"/>
    <w:rsid w:val="62500A46"/>
    <w:rsid w:val="62600C89"/>
    <w:rsid w:val="63871BF1"/>
    <w:rsid w:val="639D1585"/>
    <w:rsid w:val="63A27E4A"/>
    <w:rsid w:val="63D71080"/>
    <w:rsid w:val="641A4BC0"/>
    <w:rsid w:val="64362F3E"/>
    <w:rsid w:val="647153D0"/>
    <w:rsid w:val="64982B6D"/>
    <w:rsid w:val="65562818"/>
    <w:rsid w:val="65965345"/>
    <w:rsid w:val="660E3AE9"/>
    <w:rsid w:val="66384800"/>
    <w:rsid w:val="66527BAE"/>
    <w:rsid w:val="666D7E19"/>
    <w:rsid w:val="667E2026"/>
    <w:rsid w:val="66C11F13"/>
    <w:rsid w:val="67184229"/>
    <w:rsid w:val="672E75A8"/>
    <w:rsid w:val="67484A00"/>
    <w:rsid w:val="67630340"/>
    <w:rsid w:val="67A376E5"/>
    <w:rsid w:val="68381C0E"/>
    <w:rsid w:val="687B6CC4"/>
    <w:rsid w:val="68880F3A"/>
    <w:rsid w:val="689A26D1"/>
    <w:rsid w:val="68D423D1"/>
    <w:rsid w:val="692F7608"/>
    <w:rsid w:val="69870249"/>
    <w:rsid w:val="6A677B50"/>
    <w:rsid w:val="6A8A71EB"/>
    <w:rsid w:val="6AA22005"/>
    <w:rsid w:val="6B686E01"/>
    <w:rsid w:val="6BAE1C75"/>
    <w:rsid w:val="6BC229B5"/>
    <w:rsid w:val="6C040682"/>
    <w:rsid w:val="6C1763DF"/>
    <w:rsid w:val="6C354F35"/>
    <w:rsid w:val="6C741550"/>
    <w:rsid w:val="6C9C1458"/>
    <w:rsid w:val="6CE23D5D"/>
    <w:rsid w:val="6D123218"/>
    <w:rsid w:val="6D725612"/>
    <w:rsid w:val="6DA63D6E"/>
    <w:rsid w:val="6DC96001"/>
    <w:rsid w:val="6DD62CAD"/>
    <w:rsid w:val="6E274D51"/>
    <w:rsid w:val="6E301E58"/>
    <w:rsid w:val="6E355449"/>
    <w:rsid w:val="6E6E1A43"/>
    <w:rsid w:val="6EBC10DE"/>
    <w:rsid w:val="6EE278B0"/>
    <w:rsid w:val="6F0D437E"/>
    <w:rsid w:val="6F132B65"/>
    <w:rsid w:val="6F64494B"/>
    <w:rsid w:val="6FB055DB"/>
    <w:rsid w:val="6FD601DD"/>
    <w:rsid w:val="6FF13F65"/>
    <w:rsid w:val="70AD3C34"/>
    <w:rsid w:val="712A45CE"/>
    <w:rsid w:val="71303888"/>
    <w:rsid w:val="71347EB1"/>
    <w:rsid w:val="713A2523"/>
    <w:rsid w:val="71E0253D"/>
    <w:rsid w:val="72184F34"/>
    <w:rsid w:val="7245773D"/>
    <w:rsid w:val="724C2FD8"/>
    <w:rsid w:val="72A0114E"/>
    <w:rsid w:val="72A83B07"/>
    <w:rsid w:val="72A95415"/>
    <w:rsid w:val="72B92358"/>
    <w:rsid w:val="72E27499"/>
    <w:rsid w:val="72F5541E"/>
    <w:rsid w:val="72F84F4D"/>
    <w:rsid w:val="72F85D20"/>
    <w:rsid w:val="73101192"/>
    <w:rsid w:val="7343262D"/>
    <w:rsid w:val="73571C35"/>
    <w:rsid w:val="7415295F"/>
    <w:rsid w:val="74324AFF"/>
    <w:rsid w:val="74DE41A5"/>
    <w:rsid w:val="74E20BD1"/>
    <w:rsid w:val="74F47C43"/>
    <w:rsid w:val="74FD06B6"/>
    <w:rsid w:val="750D1BC6"/>
    <w:rsid w:val="752B5547"/>
    <w:rsid w:val="752E10BB"/>
    <w:rsid w:val="75A4312B"/>
    <w:rsid w:val="75BC563D"/>
    <w:rsid w:val="75E021D2"/>
    <w:rsid w:val="76106A28"/>
    <w:rsid w:val="762940E8"/>
    <w:rsid w:val="76680B61"/>
    <w:rsid w:val="768858BC"/>
    <w:rsid w:val="76AA3EB5"/>
    <w:rsid w:val="76DB6026"/>
    <w:rsid w:val="7714467F"/>
    <w:rsid w:val="77452DDC"/>
    <w:rsid w:val="77613082"/>
    <w:rsid w:val="776A1499"/>
    <w:rsid w:val="77E23F4F"/>
    <w:rsid w:val="784D6E50"/>
    <w:rsid w:val="78510A20"/>
    <w:rsid w:val="78A96A35"/>
    <w:rsid w:val="78B67C13"/>
    <w:rsid w:val="793236F3"/>
    <w:rsid w:val="79500F4C"/>
    <w:rsid w:val="79554FB7"/>
    <w:rsid w:val="79652BD2"/>
    <w:rsid w:val="797866AB"/>
    <w:rsid w:val="7979151E"/>
    <w:rsid w:val="79C3399F"/>
    <w:rsid w:val="79CD2C51"/>
    <w:rsid w:val="7A201EF3"/>
    <w:rsid w:val="7A635830"/>
    <w:rsid w:val="7A8E5482"/>
    <w:rsid w:val="7A937CC7"/>
    <w:rsid w:val="7A982578"/>
    <w:rsid w:val="7AB80698"/>
    <w:rsid w:val="7ACF47A6"/>
    <w:rsid w:val="7B024B7C"/>
    <w:rsid w:val="7B045B68"/>
    <w:rsid w:val="7B405AF6"/>
    <w:rsid w:val="7B5029EE"/>
    <w:rsid w:val="7B9A1258"/>
    <w:rsid w:val="7BEC31E9"/>
    <w:rsid w:val="7C95557C"/>
    <w:rsid w:val="7D13629A"/>
    <w:rsid w:val="7D902913"/>
    <w:rsid w:val="7D9F2B56"/>
    <w:rsid w:val="7DA21DB9"/>
    <w:rsid w:val="7E084815"/>
    <w:rsid w:val="7E2A628E"/>
    <w:rsid w:val="7E3D5990"/>
    <w:rsid w:val="7E5D7F31"/>
    <w:rsid w:val="7E6B53AC"/>
    <w:rsid w:val="7E9D7358"/>
    <w:rsid w:val="7F0709B3"/>
    <w:rsid w:val="7F1E5CFC"/>
    <w:rsid w:val="7F337740"/>
    <w:rsid w:val="7F521573"/>
    <w:rsid w:val="7FA14865"/>
    <w:rsid w:val="7FC11FD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nhideWhenUsed="0" w:uiPriority="0" w:semiHidden="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3">
    <w:name w:val="heading 2"/>
    <w:basedOn w:val="1"/>
    <w:next w:val="1"/>
    <w:qFormat/>
    <w:uiPriority w:val="0"/>
    <w:pPr>
      <w:keepNext/>
      <w:keepLines/>
      <w:spacing w:line="416" w:lineRule="auto"/>
      <w:outlineLvl w:val="1"/>
    </w:pPr>
    <w:rPr>
      <w:rFonts w:ascii="Arial" w:hAnsi="Arial"/>
      <w:b/>
      <w:bCs/>
      <w:sz w:val="24"/>
      <w:szCs w:val="32"/>
    </w:rPr>
  </w:style>
  <w:style w:type="paragraph" w:styleId="2">
    <w:name w:val="heading 4"/>
    <w:basedOn w:val="1"/>
    <w:next w:val="1"/>
    <w:qFormat/>
    <w:uiPriority w:val="0"/>
    <w:pPr>
      <w:keepNext/>
      <w:keepLines/>
      <w:spacing w:line="374" w:lineRule="auto"/>
      <w:outlineLvl w:val="3"/>
    </w:pPr>
    <w:rPr>
      <w:rFonts w:ascii="Arial" w:hAnsi="Arial"/>
      <w:sz w:val="24"/>
    </w:rPr>
  </w:style>
  <w:style w:type="character" w:default="1" w:styleId="14">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4">
    <w:name w:val="annotation text"/>
    <w:basedOn w:val="1"/>
    <w:qFormat/>
    <w:uiPriority w:val="0"/>
    <w:pPr>
      <w:jc w:val="left"/>
    </w:pPr>
  </w:style>
  <w:style w:type="paragraph" w:styleId="5">
    <w:name w:val="Body Text"/>
    <w:basedOn w:val="1"/>
    <w:next w:val="6"/>
    <w:semiHidden/>
    <w:qFormat/>
    <w:uiPriority w:val="0"/>
    <w:rPr>
      <w:rFonts w:ascii="黑体" w:hAnsi="黑体" w:eastAsia="黑体" w:cs="黑体"/>
      <w:sz w:val="52"/>
      <w:szCs w:val="52"/>
      <w:lang w:val="en-US" w:eastAsia="en-US" w:bidi="ar-SA"/>
    </w:rPr>
  </w:style>
  <w:style w:type="paragraph" w:styleId="6">
    <w:name w:val="Body Text 2"/>
    <w:basedOn w:val="1"/>
    <w:next w:val="5"/>
    <w:qFormat/>
    <w:uiPriority w:val="0"/>
    <w:pPr>
      <w:spacing w:line="500" w:lineRule="exact"/>
    </w:pPr>
    <w:rPr>
      <w:rFonts w:ascii="宋体"/>
      <w:sz w:val="24"/>
    </w:rPr>
  </w:style>
  <w:style w:type="paragraph" w:styleId="7">
    <w:name w:val="Body Text Indent"/>
    <w:basedOn w:val="1"/>
    <w:next w:val="1"/>
    <w:qFormat/>
    <w:uiPriority w:val="0"/>
    <w:pPr>
      <w:ind w:firstLine="480" w:firstLineChars="200"/>
    </w:pPr>
    <w:rPr>
      <w:rFonts w:ascii="宋体" w:hAnsi="宋体"/>
      <w:sz w:val="24"/>
    </w:rPr>
  </w:style>
  <w:style w:type="paragraph" w:styleId="8">
    <w:name w:val="footer"/>
    <w:basedOn w:val="1"/>
    <w:qFormat/>
    <w:uiPriority w:val="0"/>
    <w:pPr>
      <w:tabs>
        <w:tab w:val="center" w:pos="4153"/>
        <w:tab w:val="right" w:pos="8306"/>
      </w:tabs>
      <w:snapToGrid w:val="0"/>
      <w:jc w:val="left"/>
    </w:pPr>
    <w:rPr>
      <w:sz w:val="18"/>
      <w:szCs w:val="18"/>
    </w:rPr>
  </w:style>
  <w:style w:type="paragraph" w:styleId="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0">
    <w:name w:val="toc 1"/>
    <w:basedOn w:val="1"/>
    <w:next w:val="1"/>
    <w:qFormat/>
    <w:uiPriority w:val="0"/>
  </w:style>
  <w:style w:type="paragraph" w:styleId="11">
    <w:name w:val="toc 2"/>
    <w:basedOn w:val="1"/>
    <w:next w:val="1"/>
    <w:qFormat/>
    <w:uiPriority w:val="0"/>
    <w:pPr>
      <w:ind w:left="420" w:leftChars="200"/>
    </w:pPr>
  </w:style>
  <w:style w:type="paragraph" w:styleId="12">
    <w:name w:val="Body Text First Indent"/>
    <w:basedOn w:val="5"/>
    <w:next w:val="1"/>
    <w:qFormat/>
    <w:uiPriority w:val="0"/>
    <w:pPr>
      <w:widowControl/>
      <w:ind w:firstLine="420" w:firstLineChars="100"/>
      <w:jc w:val="left"/>
    </w:pPr>
  </w:style>
  <w:style w:type="character" w:styleId="15">
    <w:name w:val="Strong"/>
    <w:basedOn w:val="14"/>
    <w:qFormat/>
    <w:uiPriority w:val="0"/>
    <w:rPr>
      <w:b/>
    </w:rPr>
  </w:style>
  <w:style w:type="paragraph" w:customStyle="1" w:styleId="16">
    <w:name w:val="正文正"/>
    <w:basedOn w:val="1"/>
    <w:unhideWhenUsed/>
    <w:qFormat/>
    <w:uiPriority w:val="99"/>
    <w:pPr>
      <w:widowControl w:val="0"/>
      <w:autoSpaceDE w:val="0"/>
      <w:autoSpaceDN w:val="0"/>
      <w:adjustRightInd w:val="0"/>
      <w:spacing w:line="560" w:lineRule="exact"/>
      <w:ind w:firstLine="561"/>
      <w:jc w:val="left"/>
    </w:pPr>
    <w:rPr>
      <w:rFonts w:hint="eastAsia" w:ascii="Calibri" w:hAnsi="Calibri"/>
      <w:sz w:val="28"/>
    </w:rPr>
  </w:style>
  <w:style w:type="table" w:customStyle="1" w:styleId="17">
    <w:name w:val="Table Normal"/>
    <w:semiHidden/>
    <w:unhideWhenUsed/>
    <w:qFormat/>
    <w:uiPriority w:val="0"/>
    <w:tblPr>
      <w:tblCellMar>
        <w:top w:w="0" w:type="dxa"/>
        <w:left w:w="0" w:type="dxa"/>
        <w:bottom w:w="0" w:type="dxa"/>
        <w:right w:w="0" w:type="dxa"/>
      </w:tblCellMar>
    </w:tblPr>
  </w:style>
  <w:style w:type="paragraph" w:customStyle="1" w:styleId="18">
    <w:name w:val="Table Text"/>
    <w:basedOn w:val="1"/>
    <w:semiHidden/>
    <w:qFormat/>
    <w:uiPriority w:val="0"/>
    <w:rPr>
      <w:rFonts w:ascii="宋体" w:hAnsi="宋体" w:eastAsia="宋体" w:cs="宋体"/>
      <w:sz w:val="20"/>
      <w:szCs w:val="20"/>
      <w:lang w:val="en-US" w:eastAsia="en-US" w:bidi="ar-SA"/>
    </w:rPr>
  </w:style>
  <w:style w:type="paragraph" w:customStyle="1" w:styleId="19">
    <w:name w:val="表格内容"/>
    <w:basedOn w:val="20"/>
    <w:unhideWhenUsed/>
    <w:qFormat/>
    <w:uiPriority w:val="99"/>
    <w:pPr>
      <w:ind w:firstLine="0" w:firstLineChars="0"/>
      <w:jc w:val="center"/>
    </w:pPr>
    <w:rPr>
      <w:rFonts w:hint="eastAsia"/>
      <w:sz w:val="24"/>
    </w:rPr>
  </w:style>
  <w:style w:type="paragraph" w:customStyle="1" w:styleId="20">
    <w:name w:val="招标正文"/>
    <w:basedOn w:val="1"/>
    <w:unhideWhenUsed/>
    <w:qFormat/>
    <w:uiPriority w:val="99"/>
    <w:pPr>
      <w:widowControl w:val="0"/>
      <w:autoSpaceDE w:val="0"/>
      <w:autoSpaceDN w:val="0"/>
      <w:adjustRightInd w:val="0"/>
      <w:ind w:firstLine="480" w:firstLineChars="200"/>
      <w:jc w:val="left"/>
    </w:pPr>
    <w:rPr>
      <w:rFonts w:hint="eastAsia"/>
      <w:sz w:val="24"/>
    </w:rPr>
  </w:style>
  <w:style w:type="paragraph" w:customStyle="1" w:styleId="21">
    <w:name w:val="正文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22">
    <w:name w:val="Table Paragraph"/>
    <w:basedOn w:val="1"/>
    <w:qFormat/>
    <w:uiPriority w:val="0"/>
  </w:style>
  <w:style w:type="paragraph" w:customStyle="1" w:styleId="23">
    <w:name w:val="标题1、"/>
    <w:basedOn w:val="3"/>
    <w:qFormat/>
    <w:uiPriority w:val="0"/>
    <w:pPr>
      <w:numPr>
        <w:ilvl w:val="1"/>
        <w:numId w:val="1"/>
      </w:numPr>
      <w:autoSpaceDE w:val="0"/>
      <w:autoSpaceDN w:val="0"/>
      <w:adjustRightInd w:val="0"/>
      <w:spacing w:before="50" w:beforeLines="50" w:line="416" w:lineRule="auto"/>
      <w:ind w:left="284"/>
      <w:jc w:val="left"/>
    </w:pPr>
    <w:rPr>
      <w:rFonts w:ascii="Times New Roman" w:hAnsi="Times New Roman" w:cs="Times New Roman"/>
      <w:kern w:val="0"/>
      <w:sz w:val="24"/>
      <w:szCs w:val="24"/>
    </w:rPr>
  </w:style>
  <w:style w:type="paragraph" w:customStyle="1" w:styleId="24">
    <w:name w:val="标题1.1"/>
    <w:basedOn w:val="20"/>
    <w:next w:val="1"/>
    <w:qFormat/>
    <w:uiPriority w:val="0"/>
    <w:pPr>
      <w:numPr>
        <w:ilvl w:val="2"/>
        <w:numId w:val="1"/>
      </w:numPr>
      <w:ind w:firstLineChars="0"/>
      <w:outlineLvl w:val="2"/>
    </w:pPr>
    <w:rPr>
      <w:rFonts w:ascii="Times New Roman" w:hAnsi="Times New Roman" w:eastAsia="宋体" w:cs="微软雅黑"/>
      <w:b/>
      <w:kern w:val="0"/>
      <w:sz w:val="24"/>
      <w:szCs w:val="24"/>
    </w:rPr>
  </w:style>
  <w:style w:type="paragraph" w:customStyle="1" w:styleId="25">
    <w:name w:val="条款正文"/>
    <w:basedOn w:val="20"/>
    <w:qFormat/>
    <w:uiPriority w:val="0"/>
    <w:pPr>
      <w:ind w:firstLine="0" w:firstLineChars="0"/>
    </w:pPr>
    <w:rPr>
      <w:rFonts w:ascii="Times New Roman" w:hAnsi="Times New Roman" w:eastAsia="宋体" w:cs="微软雅黑"/>
      <w:kern w:val="0"/>
      <w:sz w:val="24"/>
      <w:szCs w:val="24"/>
    </w:rPr>
  </w:style>
</w:styles>
</file>

<file path=word/_rels/document.xml.rels><?xml version="1.0" encoding="UTF-8" standalone="yes"?>
<Relationships xmlns="http://schemas.openxmlformats.org/package/2006/relationships"><Relationship Id="rId99" Type="http://schemas.openxmlformats.org/officeDocument/2006/relationships/footer" Target="footer95.xml"/><Relationship Id="rId98" Type="http://schemas.openxmlformats.org/officeDocument/2006/relationships/footer" Target="footer94.xml"/><Relationship Id="rId97" Type="http://schemas.openxmlformats.org/officeDocument/2006/relationships/footer" Target="footer93.xml"/><Relationship Id="rId96" Type="http://schemas.openxmlformats.org/officeDocument/2006/relationships/footer" Target="footer92.xml"/><Relationship Id="rId95" Type="http://schemas.openxmlformats.org/officeDocument/2006/relationships/footer" Target="footer91.xml"/><Relationship Id="rId94" Type="http://schemas.openxmlformats.org/officeDocument/2006/relationships/footer" Target="footer90.xml"/><Relationship Id="rId93" Type="http://schemas.openxmlformats.org/officeDocument/2006/relationships/footer" Target="footer89.xml"/><Relationship Id="rId92" Type="http://schemas.openxmlformats.org/officeDocument/2006/relationships/footer" Target="footer88.xml"/><Relationship Id="rId91" Type="http://schemas.openxmlformats.org/officeDocument/2006/relationships/footer" Target="footer87.xml"/><Relationship Id="rId90" Type="http://schemas.openxmlformats.org/officeDocument/2006/relationships/footer" Target="footer86.xml"/><Relationship Id="rId9" Type="http://schemas.openxmlformats.org/officeDocument/2006/relationships/footer" Target="footer5.xml"/><Relationship Id="rId89" Type="http://schemas.openxmlformats.org/officeDocument/2006/relationships/footer" Target="footer85.xml"/><Relationship Id="rId88" Type="http://schemas.openxmlformats.org/officeDocument/2006/relationships/footer" Target="footer84.xml"/><Relationship Id="rId87" Type="http://schemas.openxmlformats.org/officeDocument/2006/relationships/footer" Target="footer83.xml"/><Relationship Id="rId86" Type="http://schemas.openxmlformats.org/officeDocument/2006/relationships/footer" Target="footer82.xml"/><Relationship Id="rId85" Type="http://schemas.openxmlformats.org/officeDocument/2006/relationships/footer" Target="footer81.xml"/><Relationship Id="rId84" Type="http://schemas.openxmlformats.org/officeDocument/2006/relationships/footer" Target="footer80.xml"/><Relationship Id="rId83" Type="http://schemas.openxmlformats.org/officeDocument/2006/relationships/footer" Target="footer79.xml"/><Relationship Id="rId82" Type="http://schemas.openxmlformats.org/officeDocument/2006/relationships/footer" Target="footer78.xml"/><Relationship Id="rId81" Type="http://schemas.openxmlformats.org/officeDocument/2006/relationships/footer" Target="footer77.xml"/><Relationship Id="rId80" Type="http://schemas.openxmlformats.org/officeDocument/2006/relationships/footer" Target="footer76.xml"/><Relationship Id="rId8" Type="http://schemas.openxmlformats.org/officeDocument/2006/relationships/footer" Target="footer4.xml"/><Relationship Id="rId79" Type="http://schemas.openxmlformats.org/officeDocument/2006/relationships/footer" Target="footer75.xml"/><Relationship Id="rId78" Type="http://schemas.openxmlformats.org/officeDocument/2006/relationships/footer" Target="footer74.xml"/><Relationship Id="rId77" Type="http://schemas.openxmlformats.org/officeDocument/2006/relationships/footer" Target="footer73.xml"/><Relationship Id="rId76" Type="http://schemas.openxmlformats.org/officeDocument/2006/relationships/footer" Target="footer72.xml"/><Relationship Id="rId75" Type="http://schemas.openxmlformats.org/officeDocument/2006/relationships/footer" Target="footer71.xml"/><Relationship Id="rId74" Type="http://schemas.openxmlformats.org/officeDocument/2006/relationships/footer" Target="footer70.xml"/><Relationship Id="rId73" Type="http://schemas.openxmlformats.org/officeDocument/2006/relationships/footer" Target="footer69.xml"/><Relationship Id="rId72" Type="http://schemas.openxmlformats.org/officeDocument/2006/relationships/footer" Target="footer68.xml"/><Relationship Id="rId71" Type="http://schemas.openxmlformats.org/officeDocument/2006/relationships/footer" Target="footer67.xml"/><Relationship Id="rId70" Type="http://schemas.openxmlformats.org/officeDocument/2006/relationships/footer" Target="footer66.xml"/><Relationship Id="rId7" Type="http://schemas.openxmlformats.org/officeDocument/2006/relationships/footer" Target="footer3.xml"/><Relationship Id="rId69" Type="http://schemas.openxmlformats.org/officeDocument/2006/relationships/footer" Target="footer65.xml"/><Relationship Id="rId68" Type="http://schemas.openxmlformats.org/officeDocument/2006/relationships/footer" Target="footer64.xml"/><Relationship Id="rId67" Type="http://schemas.openxmlformats.org/officeDocument/2006/relationships/footer" Target="footer63.xml"/><Relationship Id="rId66" Type="http://schemas.openxmlformats.org/officeDocument/2006/relationships/footer" Target="footer62.xml"/><Relationship Id="rId65" Type="http://schemas.openxmlformats.org/officeDocument/2006/relationships/footer" Target="footer61.xml"/><Relationship Id="rId64" Type="http://schemas.openxmlformats.org/officeDocument/2006/relationships/footer" Target="footer60.xml"/><Relationship Id="rId63" Type="http://schemas.openxmlformats.org/officeDocument/2006/relationships/footer" Target="footer59.xml"/><Relationship Id="rId62" Type="http://schemas.openxmlformats.org/officeDocument/2006/relationships/footer" Target="footer58.xml"/><Relationship Id="rId61" Type="http://schemas.openxmlformats.org/officeDocument/2006/relationships/footer" Target="footer57.xml"/><Relationship Id="rId60" Type="http://schemas.openxmlformats.org/officeDocument/2006/relationships/footer" Target="footer56.xml"/><Relationship Id="rId6" Type="http://schemas.openxmlformats.org/officeDocument/2006/relationships/footer" Target="footer2.xml"/><Relationship Id="rId59" Type="http://schemas.openxmlformats.org/officeDocument/2006/relationships/footer" Target="footer55.xml"/><Relationship Id="rId58" Type="http://schemas.openxmlformats.org/officeDocument/2006/relationships/footer" Target="footer54.xml"/><Relationship Id="rId57" Type="http://schemas.openxmlformats.org/officeDocument/2006/relationships/footer" Target="footer53.xml"/><Relationship Id="rId56" Type="http://schemas.openxmlformats.org/officeDocument/2006/relationships/footer" Target="footer52.xml"/><Relationship Id="rId55" Type="http://schemas.openxmlformats.org/officeDocument/2006/relationships/footer" Target="footer51.xml"/><Relationship Id="rId54" Type="http://schemas.openxmlformats.org/officeDocument/2006/relationships/footer" Target="footer50.xml"/><Relationship Id="rId53" Type="http://schemas.openxmlformats.org/officeDocument/2006/relationships/footer" Target="footer49.xml"/><Relationship Id="rId52" Type="http://schemas.openxmlformats.org/officeDocument/2006/relationships/footer" Target="footer48.xml"/><Relationship Id="rId51" Type="http://schemas.openxmlformats.org/officeDocument/2006/relationships/footer" Target="footer47.xml"/><Relationship Id="rId50" Type="http://schemas.openxmlformats.org/officeDocument/2006/relationships/footer" Target="footer46.xml"/><Relationship Id="rId5" Type="http://schemas.openxmlformats.org/officeDocument/2006/relationships/footer" Target="footer1.xml"/><Relationship Id="rId49" Type="http://schemas.openxmlformats.org/officeDocument/2006/relationships/footer" Target="footer45.xml"/><Relationship Id="rId48" Type="http://schemas.openxmlformats.org/officeDocument/2006/relationships/footer" Target="footer44.xml"/><Relationship Id="rId47" Type="http://schemas.openxmlformats.org/officeDocument/2006/relationships/footer" Target="footer43.xml"/><Relationship Id="rId46" Type="http://schemas.openxmlformats.org/officeDocument/2006/relationships/footer" Target="footer42.xml"/><Relationship Id="rId45" Type="http://schemas.openxmlformats.org/officeDocument/2006/relationships/footer" Target="footer41.xml"/><Relationship Id="rId44" Type="http://schemas.openxmlformats.org/officeDocument/2006/relationships/footer" Target="footer40.xml"/><Relationship Id="rId43" Type="http://schemas.openxmlformats.org/officeDocument/2006/relationships/footer" Target="footer39.xml"/><Relationship Id="rId42" Type="http://schemas.openxmlformats.org/officeDocument/2006/relationships/footer" Target="footer38.xml"/><Relationship Id="rId41" Type="http://schemas.openxmlformats.org/officeDocument/2006/relationships/footer" Target="footer37.xml"/><Relationship Id="rId40" Type="http://schemas.openxmlformats.org/officeDocument/2006/relationships/footer" Target="footer36.xml"/><Relationship Id="rId4" Type="http://schemas.openxmlformats.org/officeDocument/2006/relationships/endnotes" Target="endnotes.xml"/><Relationship Id="rId39" Type="http://schemas.openxmlformats.org/officeDocument/2006/relationships/footer" Target="footer35.xml"/><Relationship Id="rId38" Type="http://schemas.openxmlformats.org/officeDocument/2006/relationships/footer" Target="footer34.xml"/><Relationship Id="rId37" Type="http://schemas.openxmlformats.org/officeDocument/2006/relationships/footer" Target="footer33.xml"/><Relationship Id="rId36" Type="http://schemas.openxmlformats.org/officeDocument/2006/relationships/footer" Target="footer32.xml"/><Relationship Id="rId35" Type="http://schemas.openxmlformats.org/officeDocument/2006/relationships/footer" Target="footer31.xml"/><Relationship Id="rId34" Type="http://schemas.openxmlformats.org/officeDocument/2006/relationships/footer" Target="footer30.xml"/><Relationship Id="rId33" Type="http://schemas.openxmlformats.org/officeDocument/2006/relationships/footer" Target="footer29.xml"/><Relationship Id="rId32" Type="http://schemas.openxmlformats.org/officeDocument/2006/relationships/footer" Target="footer28.xml"/><Relationship Id="rId31" Type="http://schemas.openxmlformats.org/officeDocument/2006/relationships/footer" Target="footer27.xml"/><Relationship Id="rId30" Type="http://schemas.openxmlformats.org/officeDocument/2006/relationships/footer" Target="footer26.xml"/><Relationship Id="rId3" Type="http://schemas.openxmlformats.org/officeDocument/2006/relationships/footnotes" Target="footnotes.xml"/><Relationship Id="rId29" Type="http://schemas.openxmlformats.org/officeDocument/2006/relationships/footer" Target="footer25.xml"/><Relationship Id="rId28" Type="http://schemas.openxmlformats.org/officeDocument/2006/relationships/footer" Target="footer24.xml"/><Relationship Id="rId27" Type="http://schemas.openxmlformats.org/officeDocument/2006/relationships/footer" Target="footer23.xml"/><Relationship Id="rId26" Type="http://schemas.openxmlformats.org/officeDocument/2006/relationships/footer" Target="footer22.xml"/><Relationship Id="rId25" Type="http://schemas.openxmlformats.org/officeDocument/2006/relationships/footer" Target="footer21.xml"/><Relationship Id="rId24" Type="http://schemas.openxmlformats.org/officeDocument/2006/relationships/footer" Target="footer20.xml"/><Relationship Id="rId23" Type="http://schemas.openxmlformats.org/officeDocument/2006/relationships/footer" Target="footer19.xml"/><Relationship Id="rId22" Type="http://schemas.openxmlformats.org/officeDocument/2006/relationships/footer" Target="footer18.xml"/><Relationship Id="rId21" Type="http://schemas.openxmlformats.org/officeDocument/2006/relationships/footer" Target="footer17.xml"/><Relationship Id="rId20" Type="http://schemas.openxmlformats.org/officeDocument/2006/relationships/footer" Target="footer16.xml"/><Relationship Id="rId2" Type="http://schemas.openxmlformats.org/officeDocument/2006/relationships/settings" Target="settings.xml"/><Relationship Id="rId19" Type="http://schemas.openxmlformats.org/officeDocument/2006/relationships/footer" Target="footer15.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4" Type="http://schemas.openxmlformats.org/officeDocument/2006/relationships/fontTable" Target="fontTable.xml"/><Relationship Id="rId123" Type="http://schemas.openxmlformats.org/officeDocument/2006/relationships/numbering" Target="numbering.xml"/><Relationship Id="rId122" Type="http://schemas.openxmlformats.org/officeDocument/2006/relationships/customXml" Target="../customXml/item1.xml"/><Relationship Id="rId121" Type="http://schemas.openxmlformats.org/officeDocument/2006/relationships/image" Target="media/image2.png"/><Relationship Id="rId120" Type="http://schemas.openxmlformats.org/officeDocument/2006/relationships/hyperlink" Target="#bookmark150"/><Relationship Id="rId12" Type="http://schemas.openxmlformats.org/officeDocument/2006/relationships/footer" Target="footer8.xml"/><Relationship Id="rId119" Type="http://schemas.openxmlformats.org/officeDocument/2006/relationships/image" Target="media/image1.png"/><Relationship Id="rId118" Type="http://schemas.openxmlformats.org/officeDocument/2006/relationships/theme" Target="theme/theme1.xml"/><Relationship Id="rId117" Type="http://schemas.openxmlformats.org/officeDocument/2006/relationships/footer" Target="footer113.xml"/><Relationship Id="rId116" Type="http://schemas.openxmlformats.org/officeDocument/2006/relationships/footer" Target="footer112.xml"/><Relationship Id="rId115" Type="http://schemas.openxmlformats.org/officeDocument/2006/relationships/footer" Target="footer111.xml"/><Relationship Id="rId114" Type="http://schemas.openxmlformats.org/officeDocument/2006/relationships/footer" Target="footer110.xml"/><Relationship Id="rId113" Type="http://schemas.openxmlformats.org/officeDocument/2006/relationships/footer" Target="footer109.xml"/><Relationship Id="rId112" Type="http://schemas.openxmlformats.org/officeDocument/2006/relationships/footer" Target="footer108.xml"/><Relationship Id="rId111" Type="http://schemas.openxmlformats.org/officeDocument/2006/relationships/footer" Target="footer107.xml"/><Relationship Id="rId110" Type="http://schemas.openxmlformats.org/officeDocument/2006/relationships/footer" Target="footer106.xml"/><Relationship Id="rId11" Type="http://schemas.openxmlformats.org/officeDocument/2006/relationships/footer" Target="footer7.xml"/><Relationship Id="rId109" Type="http://schemas.openxmlformats.org/officeDocument/2006/relationships/footer" Target="footer105.xml"/><Relationship Id="rId108" Type="http://schemas.openxmlformats.org/officeDocument/2006/relationships/footer" Target="footer104.xml"/><Relationship Id="rId107" Type="http://schemas.openxmlformats.org/officeDocument/2006/relationships/footer" Target="footer103.xml"/><Relationship Id="rId106" Type="http://schemas.openxmlformats.org/officeDocument/2006/relationships/footer" Target="footer102.xml"/><Relationship Id="rId105" Type="http://schemas.openxmlformats.org/officeDocument/2006/relationships/footer" Target="footer101.xml"/><Relationship Id="rId104" Type="http://schemas.openxmlformats.org/officeDocument/2006/relationships/footer" Target="footer100.xml"/><Relationship Id="rId103" Type="http://schemas.openxmlformats.org/officeDocument/2006/relationships/footer" Target="footer99.xml"/><Relationship Id="rId102" Type="http://schemas.openxmlformats.org/officeDocument/2006/relationships/footer" Target="footer98.xml"/><Relationship Id="rId101" Type="http://schemas.openxmlformats.org/officeDocument/2006/relationships/footer" Target="footer97.xml"/><Relationship Id="rId100" Type="http://schemas.openxmlformats.org/officeDocument/2006/relationships/footer" Target="footer96.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59"/>
    <customShpInfo spid="_x0000_s1062"/>
    <customShpInfo spid="_x0000_s1063"/>
    <customShpInfo spid="_x0000_s1064"/>
    <customShpInfo spid="_x0000_s1065"/>
    <customShpInfo spid="_x0000_s1066"/>
    <customShpInfo spid="_x0000_s1067"/>
    <customShpInfo spid="_x0000_s1068"/>
    <customShpInfo spid="_x0000_s1069"/>
    <customShpInfo spid="_x0000_s1081"/>
    <customShpInfo spid="_x0000_s1082"/>
    <customShpInfo spid="_x0000_s1083"/>
    <customShpInfo spid="_x0000_s1090"/>
    <customShpInfo spid="_x0000_s1098"/>
    <customShpInfo spid="_x0000_s1099"/>
    <customShpInfo spid="_x0000_s110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167</Pages>
  <Words>8569</Words>
  <Characters>9653</Characters>
  <TotalTime>3</TotalTime>
  <ScaleCrop>false</ScaleCrop>
  <LinksUpToDate>false</LinksUpToDate>
  <CharactersWithSpaces>10551</CharactersWithSpaces>
  <Application>WPS Office_12.1.0.26895_F1E327BC-269C-435d-A152-05C5408002CA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2026-01-08T14:58:00Z</dcterms:created>
  <dc:creator>袁静</dc:creator>
  <cp:lastModifiedBy>Administrator</cp:lastModifiedBy>
  <dcterms:modified xsi:type="dcterms:W3CDTF">2026-07-09T02:33:35Z</dcterms:modified>
  <dc:title>公路工程标准施工招标文件</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wqlLaW5nc29mdCBQREYgdG8gV1BTIDExNQ</vt:lpwstr>
  </property>
  <property fmtid="{D5CDD505-2E9C-101B-9397-08002B2CF9AE}" pid="3" name="Created">
    <vt:filetime>2026-03-09T12:54:02Z</vt:filetime>
  </property>
  <property fmtid="{D5CDD505-2E9C-101B-9397-08002B2CF9AE}" pid="4" name="KSOTemplateDocerSaveRecord">
    <vt:lpwstr>eyJoZGlkIjoiNGViZmFhY2RhMTY0YTg5YTJjZGE4MmU5MWI2Y2MzYTMiLCJ1c2VySWQiOiIxMjE1Mzc4MTYwIn0=</vt:lpwstr>
  </property>
  <property fmtid="{D5CDD505-2E9C-101B-9397-08002B2CF9AE}" pid="5" name="KSOProductBuildVer">
    <vt:lpwstr>2052-12.1.0.26895</vt:lpwstr>
  </property>
  <property fmtid="{D5CDD505-2E9C-101B-9397-08002B2CF9AE}" pid="6" name="ICV">
    <vt:lpwstr>DD88C751BD7D4F23A39160C0960B8978_13</vt:lpwstr>
  </property>
</Properties>
</file>