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B883E8">
      <w:pPr>
        <w:pStyle w:val="141"/>
        <w:wordWrap w:val="0"/>
        <w:adjustRightInd w:val="0"/>
        <w:snapToGrid w:val="0"/>
        <w:spacing w:line="360" w:lineRule="auto"/>
        <w:jc w:val="center"/>
        <w:outlineLvl w:val="9"/>
        <w:rPr>
          <w:rFonts w:hint="eastAsia" w:ascii="宋体" w:hAnsi="宋体" w:eastAsia="宋体" w:cs="宋体"/>
          <w:b/>
          <w:bCs/>
          <w:strike w:val="0"/>
          <w:dstrike w:val="0"/>
          <w:snapToGrid w:val="0"/>
          <w:color w:val="auto"/>
          <w:kern w:val="0"/>
          <w:sz w:val="52"/>
          <w:szCs w:val="52"/>
          <w:highlight w:val="none"/>
        </w:rPr>
      </w:pPr>
      <w:r>
        <w:rPr>
          <w:rFonts w:hint="eastAsia" w:ascii="宋体" w:hAnsi="宋体" w:eastAsia="宋体" w:cs="宋体"/>
          <w:bCs/>
          <w:strike w:val="0"/>
          <w:dstrike w:val="0"/>
          <w:snapToGrid w:val="0"/>
          <w:color w:val="auto"/>
          <w:kern w:val="0"/>
          <w:sz w:val="48"/>
          <w:szCs w:val="24"/>
          <w:highlight w:val="none"/>
          <w:u w:val="single"/>
          <w:lang w:val="en-US" w:eastAsia="zh-CN"/>
        </w:rPr>
        <w:t>翁源县“百千万工程”之全域推进农村人居环境整治建设项目-周陂镇农村生活污水治理建设项目施工监理</w:t>
      </w:r>
    </w:p>
    <w:p w14:paraId="16EE0FA2">
      <w:pPr>
        <w:pStyle w:val="141"/>
        <w:wordWrap w:val="0"/>
        <w:adjustRightInd w:val="0"/>
        <w:snapToGrid w:val="0"/>
        <w:spacing w:line="360" w:lineRule="auto"/>
        <w:jc w:val="both"/>
        <w:outlineLvl w:val="9"/>
        <w:rPr>
          <w:rFonts w:hint="eastAsia" w:ascii="宋体" w:hAnsi="宋体" w:eastAsia="宋体" w:cs="宋体"/>
          <w:b/>
          <w:bCs/>
          <w:strike w:val="0"/>
          <w:dstrike w:val="0"/>
          <w:snapToGrid w:val="0"/>
          <w:color w:val="auto"/>
          <w:kern w:val="0"/>
          <w:sz w:val="72"/>
          <w:szCs w:val="72"/>
          <w:highlight w:val="none"/>
        </w:rPr>
      </w:pPr>
    </w:p>
    <w:p w14:paraId="2EB4FAAA">
      <w:pPr>
        <w:pStyle w:val="141"/>
        <w:wordWrap w:val="0"/>
        <w:adjustRightInd w:val="0"/>
        <w:snapToGrid w:val="0"/>
        <w:spacing w:line="360" w:lineRule="auto"/>
        <w:jc w:val="center"/>
        <w:outlineLvl w:val="9"/>
        <w:rPr>
          <w:rFonts w:hint="eastAsia" w:ascii="宋体" w:hAnsi="宋体" w:eastAsia="宋体" w:cs="宋体"/>
          <w:b/>
          <w:bCs/>
          <w:strike w:val="0"/>
          <w:dstrike w:val="0"/>
          <w:snapToGrid w:val="0"/>
          <w:color w:val="auto"/>
          <w:kern w:val="0"/>
          <w:sz w:val="48"/>
          <w:szCs w:val="48"/>
          <w:highlight w:val="none"/>
        </w:rPr>
      </w:pPr>
      <w:r>
        <w:rPr>
          <w:rFonts w:hint="eastAsia" w:ascii="宋体" w:hAnsi="宋体" w:eastAsia="宋体" w:cs="宋体"/>
          <w:b/>
          <w:bCs/>
          <w:strike w:val="0"/>
          <w:dstrike w:val="0"/>
          <w:snapToGrid w:val="0"/>
          <w:color w:val="auto"/>
          <w:kern w:val="0"/>
          <w:sz w:val="72"/>
          <w:szCs w:val="72"/>
          <w:highlight w:val="none"/>
        </w:rPr>
        <w:t>招标文件</w:t>
      </w:r>
    </w:p>
    <w:p w14:paraId="7D8EA86C">
      <w:pPr>
        <w:pStyle w:val="2"/>
        <w:rPr>
          <w:rFonts w:hint="eastAsia"/>
          <w:color w:val="auto"/>
          <w:highlight w:val="none"/>
        </w:rPr>
      </w:pPr>
    </w:p>
    <w:p w14:paraId="7F51B5BC">
      <w:pPr>
        <w:wordWrap w:val="0"/>
        <w:adjustRightInd w:val="0"/>
        <w:snapToGrid w:val="0"/>
        <w:jc w:val="center"/>
        <w:rPr>
          <w:rFonts w:hint="eastAsia" w:ascii="宋体" w:hAnsi="宋体" w:eastAsia="宋体" w:cs="宋体"/>
          <w:b/>
          <w:bCs/>
          <w:strike w:val="0"/>
          <w:dstrike w:val="0"/>
          <w:snapToGrid w:val="0"/>
          <w:color w:val="auto"/>
          <w:kern w:val="0"/>
          <w:sz w:val="48"/>
          <w:szCs w:val="48"/>
          <w:highlight w:val="none"/>
        </w:rPr>
      </w:pPr>
    </w:p>
    <w:tbl>
      <w:tblPr>
        <w:tblStyle w:val="31"/>
        <w:tblW w:w="9728" w:type="dxa"/>
        <w:tblInd w:w="-100" w:type="dxa"/>
        <w:tblLayout w:type="fixed"/>
        <w:tblCellMar>
          <w:top w:w="0" w:type="dxa"/>
          <w:left w:w="0" w:type="dxa"/>
          <w:bottom w:w="0" w:type="dxa"/>
          <w:right w:w="0" w:type="dxa"/>
        </w:tblCellMar>
      </w:tblPr>
      <w:tblGrid>
        <w:gridCol w:w="4708"/>
        <w:gridCol w:w="5020"/>
      </w:tblGrid>
      <w:tr w14:paraId="5E683703">
        <w:tblPrEx>
          <w:tblCellMar>
            <w:top w:w="0" w:type="dxa"/>
            <w:left w:w="0" w:type="dxa"/>
            <w:bottom w:w="0" w:type="dxa"/>
            <w:right w:w="0" w:type="dxa"/>
          </w:tblCellMar>
        </w:tblPrEx>
        <w:trPr>
          <w:trHeight w:val="1070" w:hRule="atLeast"/>
        </w:trPr>
        <w:tc>
          <w:tcPr>
            <w:tcW w:w="4708" w:type="dxa"/>
            <w:noWrap w:val="0"/>
            <w:vAlign w:val="center"/>
          </w:tcPr>
          <w:p w14:paraId="6CF9629B">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     标     人（盖单位章）：</w:t>
            </w:r>
          </w:p>
        </w:tc>
        <w:tc>
          <w:tcPr>
            <w:tcW w:w="5020" w:type="dxa"/>
            <w:noWrap w:val="0"/>
            <w:vAlign w:val="center"/>
          </w:tcPr>
          <w:p w14:paraId="0063EE7E">
            <w:pPr>
              <w:pStyle w:val="60"/>
              <w:wordWrap w:val="0"/>
              <w:adjustRightInd w:val="0"/>
              <w:snapToGrid w:val="0"/>
              <w:spacing w:line="240" w:lineRule="auto"/>
              <w:rPr>
                <w:rFonts w:hint="default" w:ascii="宋体" w:hAnsi="宋体" w:eastAsia="宋体" w:cs="宋体"/>
                <w:strike w:val="0"/>
                <w:dstrike w:val="0"/>
                <w:snapToGrid w:val="0"/>
                <w:color w:val="auto"/>
                <w:kern w:val="0"/>
                <w:sz w:val="28"/>
                <w:szCs w:val="28"/>
                <w:highlight w:val="none"/>
                <w:lang w:val="en-US" w:eastAsia="zh-CN"/>
              </w:rPr>
            </w:pPr>
            <w:r>
              <w:rPr>
                <w:rFonts w:hint="eastAsia" w:hAnsi="宋体" w:cs="宋体"/>
                <w:strike w:val="0"/>
                <w:dstrike w:val="0"/>
                <w:snapToGrid w:val="0"/>
                <w:color w:val="auto"/>
                <w:kern w:val="0"/>
                <w:sz w:val="28"/>
                <w:szCs w:val="28"/>
                <w:highlight w:val="none"/>
                <w:lang w:val="en-US" w:eastAsia="zh-CN"/>
              </w:rPr>
              <w:t>翁源县周陂镇人民政府</w:t>
            </w:r>
          </w:p>
        </w:tc>
      </w:tr>
      <w:tr w14:paraId="66F93FA2">
        <w:tblPrEx>
          <w:tblCellMar>
            <w:top w:w="0" w:type="dxa"/>
            <w:left w:w="0" w:type="dxa"/>
            <w:bottom w:w="0" w:type="dxa"/>
            <w:right w:w="0" w:type="dxa"/>
          </w:tblCellMar>
        </w:tblPrEx>
        <w:trPr>
          <w:trHeight w:val="1012" w:hRule="atLeast"/>
        </w:trPr>
        <w:tc>
          <w:tcPr>
            <w:tcW w:w="4708" w:type="dxa"/>
            <w:noWrap w:val="0"/>
            <w:vAlign w:val="center"/>
          </w:tcPr>
          <w:p w14:paraId="310A9D46">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招标人工作领导小组负责人（签字）：</w:t>
            </w:r>
          </w:p>
        </w:tc>
        <w:tc>
          <w:tcPr>
            <w:tcW w:w="5020" w:type="dxa"/>
            <w:noWrap w:val="0"/>
            <w:vAlign w:val="center"/>
          </w:tcPr>
          <w:p w14:paraId="627C8E17">
            <w:pPr>
              <w:pStyle w:val="60"/>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6011193D">
        <w:tblPrEx>
          <w:tblCellMar>
            <w:top w:w="0" w:type="dxa"/>
            <w:left w:w="0" w:type="dxa"/>
            <w:bottom w:w="0" w:type="dxa"/>
            <w:right w:w="0" w:type="dxa"/>
          </w:tblCellMar>
        </w:tblPrEx>
        <w:trPr>
          <w:trHeight w:val="1072" w:hRule="atLeast"/>
        </w:trPr>
        <w:tc>
          <w:tcPr>
            <w:tcW w:w="4708" w:type="dxa"/>
            <w:noWrap w:val="0"/>
            <w:vAlign w:val="center"/>
          </w:tcPr>
          <w:p w14:paraId="5A5F6A25">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 标 代 理 机 构 （盖单位章）：</w:t>
            </w:r>
          </w:p>
        </w:tc>
        <w:tc>
          <w:tcPr>
            <w:tcW w:w="5020" w:type="dxa"/>
            <w:noWrap w:val="0"/>
            <w:vAlign w:val="center"/>
          </w:tcPr>
          <w:p w14:paraId="781B3E59">
            <w:pPr>
              <w:pStyle w:val="60"/>
              <w:wordWrap w:val="0"/>
              <w:adjustRightInd w:val="0"/>
              <w:snapToGrid w:val="0"/>
              <w:spacing w:line="240" w:lineRule="auto"/>
              <w:rPr>
                <w:rFonts w:hint="default" w:ascii="宋体" w:hAnsi="宋体" w:eastAsia="宋体" w:cs="宋体"/>
                <w:strike w:val="0"/>
                <w:dstrike w:val="0"/>
                <w:snapToGrid w:val="0"/>
                <w:color w:val="auto"/>
                <w:kern w:val="0"/>
                <w:sz w:val="28"/>
                <w:szCs w:val="28"/>
                <w:highlight w:val="none"/>
                <w:lang w:val="en-US" w:eastAsia="zh-CN"/>
              </w:rPr>
            </w:pPr>
            <w:r>
              <w:rPr>
                <w:rFonts w:hint="eastAsia" w:hAnsi="宋体" w:cs="宋体"/>
                <w:strike w:val="0"/>
                <w:dstrike w:val="0"/>
                <w:snapToGrid w:val="0"/>
                <w:color w:val="auto"/>
                <w:kern w:val="0"/>
                <w:sz w:val="28"/>
                <w:szCs w:val="28"/>
                <w:highlight w:val="none"/>
                <w:lang w:val="en-US" w:eastAsia="zh-CN"/>
              </w:rPr>
              <w:t>汇龙工程咨询有限公司</w:t>
            </w:r>
          </w:p>
        </w:tc>
      </w:tr>
      <w:tr w14:paraId="004DC34E">
        <w:tblPrEx>
          <w:tblCellMar>
            <w:top w:w="0" w:type="dxa"/>
            <w:left w:w="0" w:type="dxa"/>
            <w:bottom w:w="0" w:type="dxa"/>
            <w:right w:w="0" w:type="dxa"/>
          </w:tblCellMar>
        </w:tblPrEx>
        <w:trPr>
          <w:trHeight w:val="1135" w:hRule="atLeast"/>
        </w:trPr>
        <w:tc>
          <w:tcPr>
            <w:tcW w:w="4708" w:type="dxa"/>
            <w:noWrap w:val="0"/>
            <w:vAlign w:val="center"/>
          </w:tcPr>
          <w:p w14:paraId="55D9EDEB">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招标文件编制人（签字）：</w:t>
            </w:r>
          </w:p>
        </w:tc>
        <w:tc>
          <w:tcPr>
            <w:tcW w:w="5020" w:type="dxa"/>
            <w:noWrap w:val="0"/>
            <w:vAlign w:val="center"/>
          </w:tcPr>
          <w:p w14:paraId="168C2309">
            <w:pPr>
              <w:pStyle w:val="60"/>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46880814">
        <w:tblPrEx>
          <w:tblCellMar>
            <w:top w:w="0" w:type="dxa"/>
            <w:left w:w="0" w:type="dxa"/>
            <w:bottom w:w="0" w:type="dxa"/>
            <w:right w:w="0" w:type="dxa"/>
          </w:tblCellMar>
        </w:tblPrEx>
        <w:trPr>
          <w:trHeight w:val="1084" w:hRule="atLeast"/>
        </w:trPr>
        <w:tc>
          <w:tcPr>
            <w:tcW w:w="4708" w:type="dxa"/>
            <w:noWrap w:val="0"/>
            <w:vAlign w:val="center"/>
          </w:tcPr>
          <w:p w14:paraId="5AAEF965">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招标代理机构项目负责人（签字）：</w:t>
            </w:r>
          </w:p>
        </w:tc>
        <w:tc>
          <w:tcPr>
            <w:tcW w:w="5020" w:type="dxa"/>
            <w:noWrap w:val="0"/>
            <w:vAlign w:val="center"/>
          </w:tcPr>
          <w:p w14:paraId="6A653CBC">
            <w:pPr>
              <w:pStyle w:val="60"/>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173CDD84">
        <w:tblPrEx>
          <w:tblCellMar>
            <w:top w:w="0" w:type="dxa"/>
            <w:left w:w="0" w:type="dxa"/>
            <w:bottom w:w="0" w:type="dxa"/>
            <w:right w:w="0" w:type="dxa"/>
          </w:tblCellMar>
        </w:tblPrEx>
        <w:trPr>
          <w:trHeight w:val="892" w:hRule="atLeast"/>
        </w:trPr>
        <w:tc>
          <w:tcPr>
            <w:tcW w:w="4708" w:type="dxa"/>
            <w:noWrap w:val="0"/>
            <w:vAlign w:val="center"/>
          </w:tcPr>
          <w:p w14:paraId="51795990">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招标文件编制日期：</w:t>
            </w:r>
          </w:p>
        </w:tc>
        <w:tc>
          <w:tcPr>
            <w:tcW w:w="5020" w:type="dxa"/>
            <w:noWrap w:val="0"/>
            <w:vAlign w:val="center"/>
          </w:tcPr>
          <w:p w14:paraId="134BA1B7">
            <w:pPr>
              <w:pStyle w:val="60"/>
              <w:wordWrap w:val="0"/>
              <w:adjustRightInd w:val="0"/>
              <w:snapToGrid w:val="0"/>
              <w:spacing w:line="240" w:lineRule="auto"/>
              <w:rPr>
                <w:rFonts w:hint="default" w:ascii="宋体" w:hAnsi="宋体" w:eastAsia="宋体" w:cs="宋体"/>
                <w:strike w:val="0"/>
                <w:dstrike w:val="0"/>
                <w:snapToGrid w:val="0"/>
                <w:color w:val="auto"/>
                <w:kern w:val="0"/>
                <w:sz w:val="28"/>
                <w:highlight w:val="none"/>
                <w:lang w:val="en-US" w:eastAsia="zh-CN"/>
              </w:rPr>
            </w:pPr>
            <w:r>
              <w:rPr>
                <w:rFonts w:hint="eastAsia" w:hAnsi="宋体" w:cs="宋体"/>
                <w:strike w:val="0"/>
                <w:dstrike w:val="0"/>
                <w:snapToGrid w:val="0"/>
                <w:color w:val="auto"/>
                <w:kern w:val="0"/>
                <w:sz w:val="28"/>
                <w:highlight w:val="none"/>
                <w:lang w:val="en-US" w:eastAsia="zh-CN"/>
              </w:rPr>
              <w:t xml:space="preserve">  2026年7月  日</w:t>
            </w:r>
          </w:p>
        </w:tc>
      </w:tr>
    </w:tbl>
    <w:p w14:paraId="52DDB548">
      <w:pPr>
        <w:rPr>
          <w:color w:val="auto"/>
          <w:highlight w:val="none"/>
        </w:rPr>
        <w:sectPr>
          <w:head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B006F5F">
      <w:pPr>
        <w:pStyle w:val="119"/>
        <w:tabs>
          <w:tab w:val="left" w:pos="1890"/>
          <w:tab w:val="left" w:pos="4935"/>
        </w:tabs>
        <w:rPr>
          <w:rFonts w:hint="eastAsia" w:ascii="宋体" w:hAnsi="宋体" w:eastAsia="宋体" w:cs="宋体"/>
          <w:b/>
          <w:color w:val="auto"/>
          <w:sz w:val="28"/>
          <w:szCs w:val="28"/>
          <w:highlight w:val="none"/>
        </w:rPr>
        <w:sectPr>
          <w:footerReference r:id="rId6"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228A6914">
      <w:pPr>
        <w:pStyle w:val="22"/>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_Toc28684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_Toc28684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24"/>
          <w:highlight w:val="none"/>
        </w:rPr>
        <w:fldChar w:fldCharType="end"/>
      </w:r>
    </w:p>
    <w:p w14:paraId="5D3DC254">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_Toc32446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_Toc32446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24"/>
          <w:highlight w:val="none"/>
        </w:rPr>
        <w:fldChar w:fldCharType="end"/>
      </w:r>
    </w:p>
    <w:p w14:paraId="2634A276">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_Toc32522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_Toc32522 \h </w:instrText>
      </w:r>
      <w:r>
        <w:rPr>
          <w:color w:val="auto"/>
          <w:highlight w:val="none"/>
        </w:rPr>
        <w:fldChar w:fldCharType="separate"/>
      </w:r>
      <w:r>
        <w:rPr>
          <w:color w:val="auto"/>
          <w:highlight w:val="none"/>
        </w:rPr>
        <w:t>7</w:t>
      </w:r>
      <w:r>
        <w:rPr>
          <w:color w:val="auto"/>
          <w:highlight w:val="none"/>
        </w:rPr>
        <w:fldChar w:fldCharType="end"/>
      </w:r>
      <w:r>
        <w:rPr>
          <w:rFonts w:hint="eastAsia" w:hAnsi="宋体" w:cs="宋体"/>
          <w:color w:val="auto"/>
          <w:szCs w:val="24"/>
          <w:highlight w:val="none"/>
        </w:rPr>
        <w:fldChar w:fldCharType="end"/>
      </w:r>
    </w:p>
    <w:p w14:paraId="28D7332D">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_Toc16304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_Toc16304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szCs w:val="24"/>
          <w:highlight w:val="none"/>
        </w:rPr>
        <w:fldChar w:fldCharType="end"/>
      </w:r>
    </w:p>
    <w:p w14:paraId="5C4F335A">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_Toc9487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_Toc9487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szCs w:val="24"/>
          <w:highlight w:val="none"/>
        </w:rPr>
        <w:fldChar w:fldCharType="end"/>
      </w:r>
    </w:p>
    <w:p w14:paraId="69377FD3">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_Toc31535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_Toc31535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szCs w:val="24"/>
          <w:highlight w:val="none"/>
        </w:rPr>
        <w:fldChar w:fldCharType="end"/>
      </w:r>
    </w:p>
    <w:p w14:paraId="7D4B0FCB">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_Toc12683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_Toc12683 \h </w:instrText>
      </w:r>
      <w:r>
        <w:rPr>
          <w:color w:val="auto"/>
          <w:highlight w:val="none"/>
        </w:rPr>
        <w:fldChar w:fldCharType="separate"/>
      </w:r>
      <w:r>
        <w:rPr>
          <w:color w:val="auto"/>
          <w:highlight w:val="none"/>
        </w:rPr>
        <w:t>10</w:t>
      </w:r>
      <w:r>
        <w:rPr>
          <w:color w:val="auto"/>
          <w:highlight w:val="none"/>
        </w:rPr>
        <w:fldChar w:fldCharType="end"/>
      </w:r>
      <w:r>
        <w:rPr>
          <w:rFonts w:hint="eastAsia" w:hAnsi="宋体" w:cs="宋体"/>
          <w:color w:val="auto"/>
          <w:szCs w:val="24"/>
          <w:highlight w:val="none"/>
        </w:rPr>
        <w:fldChar w:fldCharType="end"/>
      </w:r>
    </w:p>
    <w:p w14:paraId="4D955DB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_Toc16883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_Toc16883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2215BC69">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_Toc7476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_Toc7476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69695AEA">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_Toc12596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_Toc12596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13525909">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_Toc25173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_Toc25173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45A168FD">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_Toc11326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_Toc11326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60AD7DFA">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_Toc2193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_Toc2193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09F56172">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_Toc4002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_Toc4002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15C486C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_Toc1986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_Toc1986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5384DBF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_Toc4888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_Toc4888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3EA20A99">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_Toc739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_Toc739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1551660B">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_Toc30542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_Toc30542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3D02FAD1">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_Toc8989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_Toc8989 \h </w:instrText>
      </w:r>
      <w:r>
        <w:rPr>
          <w:color w:val="auto"/>
          <w:highlight w:val="none"/>
        </w:rPr>
        <w:fldChar w:fldCharType="separate"/>
      </w:r>
      <w:r>
        <w:rPr>
          <w:color w:val="auto"/>
          <w:highlight w:val="none"/>
        </w:rPr>
        <w:t>20</w:t>
      </w:r>
      <w:r>
        <w:rPr>
          <w:color w:val="auto"/>
          <w:highlight w:val="none"/>
        </w:rPr>
        <w:fldChar w:fldCharType="end"/>
      </w:r>
      <w:r>
        <w:rPr>
          <w:rFonts w:hint="eastAsia" w:hAnsi="宋体" w:cs="宋体"/>
          <w:color w:val="auto"/>
          <w:szCs w:val="24"/>
          <w:highlight w:val="none"/>
        </w:rPr>
        <w:fldChar w:fldCharType="end"/>
      </w:r>
    </w:p>
    <w:p w14:paraId="4A369EC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_Toc23668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16．推荐中标候选人</w:t>
      </w:r>
      <w:r>
        <w:rPr>
          <w:color w:val="auto"/>
          <w:highlight w:val="none"/>
        </w:rPr>
        <w:tab/>
      </w:r>
      <w:r>
        <w:rPr>
          <w:color w:val="auto"/>
          <w:highlight w:val="none"/>
        </w:rPr>
        <w:fldChar w:fldCharType="begin"/>
      </w:r>
      <w:r>
        <w:rPr>
          <w:color w:val="auto"/>
          <w:highlight w:val="none"/>
        </w:rPr>
        <w:instrText xml:space="preserve"> PAGEREF _Toc23668 \h </w:instrText>
      </w:r>
      <w:r>
        <w:rPr>
          <w:color w:val="auto"/>
          <w:highlight w:val="none"/>
        </w:rPr>
        <w:fldChar w:fldCharType="separate"/>
      </w:r>
      <w:r>
        <w:rPr>
          <w:color w:val="auto"/>
          <w:highlight w:val="none"/>
        </w:rPr>
        <w:t>29</w:t>
      </w:r>
      <w:r>
        <w:rPr>
          <w:color w:val="auto"/>
          <w:highlight w:val="none"/>
        </w:rPr>
        <w:fldChar w:fldCharType="end"/>
      </w:r>
      <w:r>
        <w:rPr>
          <w:rFonts w:hint="eastAsia" w:hAnsi="宋体" w:cs="宋体"/>
          <w:color w:val="auto"/>
          <w:szCs w:val="24"/>
          <w:highlight w:val="none"/>
        </w:rPr>
        <w:fldChar w:fldCharType="end"/>
      </w:r>
    </w:p>
    <w:p w14:paraId="2868C0B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_Toc22756 </w:instrText>
      </w:r>
      <w:r>
        <w:rPr>
          <w:rFonts w:hint="eastAsia" w:hAnsi="宋体" w:cs="宋体"/>
          <w:color w:val="auto"/>
          <w:szCs w:val="24"/>
          <w:highlight w:val="none"/>
        </w:rPr>
        <w:fldChar w:fldCharType="separate"/>
      </w:r>
      <w:r>
        <w:rPr>
          <w:rFonts w:hint="eastAsia" w:ascii="宋体" w:hAnsi="宋体" w:eastAsia="宋体" w:cs="宋体"/>
          <w:snapToGrid w:val="0"/>
          <w:color w:val="auto"/>
          <w:kern w:val="0"/>
          <w:highlight w:val="none"/>
        </w:rPr>
        <w:t>1</w:t>
      </w:r>
      <w:r>
        <w:rPr>
          <w:rFonts w:hint="eastAsia" w:ascii="宋体" w:hAnsi="宋体" w:eastAsia="宋体" w:cs="宋体"/>
          <w:snapToGrid w:val="0"/>
          <w:color w:val="auto"/>
          <w:kern w:val="0"/>
          <w:highlight w:val="none"/>
          <w:lang w:val="en-US" w:eastAsia="zh-CN"/>
        </w:rPr>
        <w:t>7</w:t>
      </w:r>
      <w:r>
        <w:rPr>
          <w:rFonts w:hint="eastAsia" w:ascii="宋体" w:hAnsi="宋体" w:eastAsia="宋体" w:cs="宋体"/>
          <w:snapToGrid w:val="0"/>
          <w:color w:val="auto"/>
          <w:kern w:val="0"/>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_Toc22756 \h </w:instrText>
      </w:r>
      <w:r>
        <w:rPr>
          <w:color w:val="auto"/>
          <w:highlight w:val="none"/>
        </w:rPr>
        <w:fldChar w:fldCharType="separate"/>
      </w:r>
      <w:r>
        <w:rPr>
          <w:color w:val="auto"/>
          <w:highlight w:val="none"/>
        </w:rPr>
        <w:t>29</w:t>
      </w:r>
      <w:r>
        <w:rPr>
          <w:color w:val="auto"/>
          <w:highlight w:val="none"/>
        </w:rPr>
        <w:fldChar w:fldCharType="end"/>
      </w:r>
      <w:r>
        <w:rPr>
          <w:rFonts w:hint="eastAsia" w:hAnsi="宋体" w:cs="宋体"/>
          <w:color w:val="auto"/>
          <w:szCs w:val="24"/>
          <w:highlight w:val="none"/>
        </w:rPr>
        <w:fldChar w:fldCharType="end"/>
      </w:r>
    </w:p>
    <w:p w14:paraId="35168E0B">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_Toc17009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_Toc17009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szCs w:val="24"/>
          <w:highlight w:val="none"/>
        </w:rPr>
        <w:fldChar w:fldCharType="end"/>
      </w:r>
    </w:p>
    <w:p w14:paraId="3A4AB3C0">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_Toc8541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_Toc8541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szCs w:val="24"/>
          <w:highlight w:val="none"/>
        </w:rPr>
        <w:fldChar w:fldCharType="end"/>
      </w:r>
    </w:p>
    <w:p w14:paraId="41A1BB7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_Toc22542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_Toc22542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szCs w:val="24"/>
          <w:highlight w:val="none"/>
        </w:rPr>
        <w:fldChar w:fldCharType="end"/>
      </w:r>
    </w:p>
    <w:p w14:paraId="5B6FDA13">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_Toc1804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_Toc1804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szCs w:val="24"/>
          <w:highlight w:val="none"/>
        </w:rPr>
        <w:fldChar w:fldCharType="end"/>
      </w:r>
    </w:p>
    <w:p w14:paraId="2853B870">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_Toc22668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_Toc22668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szCs w:val="24"/>
          <w:highlight w:val="none"/>
        </w:rPr>
        <w:fldChar w:fldCharType="end"/>
      </w:r>
    </w:p>
    <w:p w14:paraId="44B608E3">
      <w:pPr>
        <w:pStyle w:val="22"/>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_Toc401 </w:instrText>
      </w:r>
      <w:r>
        <w:rPr>
          <w:rFonts w:hint="eastAsia" w:hAnsi="宋体" w:cs="宋体"/>
          <w:color w:val="auto"/>
          <w:szCs w:val="24"/>
          <w:highlight w:val="none"/>
        </w:rPr>
        <w:fldChar w:fldCharType="separate"/>
      </w:r>
      <w:r>
        <w:rPr>
          <w:rFonts w:hint="eastAsia" w:hAnsi="宋体" w:cs="宋体"/>
          <w:snapToGrid w:val="0"/>
          <w:color w:val="auto"/>
          <w:szCs w:val="22"/>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_Toc401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13810C56">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_Toc17192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1．中标通知书</w:t>
      </w:r>
      <w:r>
        <w:rPr>
          <w:color w:val="auto"/>
          <w:highlight w:val="none"/>
        </w:rPr>
        <w:tab/>
      </w:r>
      <w:r>
        <w:rPr>
          <w:color w:val="auto"/>
          <w:highlight w:val="none"/>
        </w:rPr>
        <w:fldChar w:fldCharType="begin"/>
      </w:r>
      <w:r>
        <w:rPr>
          <w:color w:val="auto"/>
          <w:highlight w:val="none"/>
        </w:rPr>
        <w:instrText xml:space="preserve"> PAGEREF _Toc17192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09285EA5">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_Toc18659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2．中标结果公示</w:t>
      </w:r>
      <w:r>
        <w:rPr>
          <w:color w:val="auto"/>
          <w:highlight w:val="none"/>
        </w:rPr>
        <w:tab/>
      </w:r>
      <w:r>
        <w:rPr>
          <w:color w:val="auto"/>
          <w:highlight w:val="none"/>
        </w:rPr>
        <w:fldChar w:fldCharType="begin"/>
      </w:r>
      <w:r>
        <w:rPr>
          <w:color w:val="auto"/>
          <w:highlight w:val="none"/>
        </w:rPr>
        <w:instrText xml:space="preserve"> PAGEREF _Toc18659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74273051">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_Toc5857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3</w:t>
      </w:r>
      <w:r>
        <w:rPr>
          <w:rFonts w:hint="eastAsia" w:hAnsi="宋体" w:cs="宋体"/>
          <w:bCs/>
          <w:snapToGrid w:val="0"/>
          <w:color w:val="auto"/>
          <w:kern w:val="0"/>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_Toc5857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75EBF917">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_Toc4933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4.合同订立</w:t>
      </w:r>
      <w:r>
        <w:rPr>
          <w:color w:val="auto"/>
          <w:highlight w:val="none"/>
        </w:rPr>
        <w:tab/>
      </w:r>
      <w:r>
        <w:rPr>
          <w:color w:val="auto"/>
          <w:highlight w:val="none"/>
        </w:rPr>
        <w:fldChar w:fldCharType="begin"/>
      </w:r>
      <w:r>
        <w:rPr>
          <w:color w:val="auto"/>
          <w:highlight w:val="none"/>
        </w:rPr>
        <w:instrText xml:space="preserve"> PAGEREF _Toc4933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0D7BF367">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_Toc7981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5</w:t>
      </w:r>
      <w:r>
        <w:rPr>
          <w:rFonts w:hint="eastAsia" w:hAnsi="宋体" w:cs="宋体"/>
          <w:bCs/>
          <w:snapToGrid w:val="0"/>
          <w:color w:val="auto"/>
          <w:kern w:val="0"/>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_Toc7981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4DA8DE1A">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_Toc7088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6</w:t>
      </w:r>
      <w:r>
        <w:rPr>
          <w:rFonts w:hint="eastAsia" w:hAnsi="宋体" w:cs="宋体"/>
          <w:bCs/>
          <w:snapToGrid w:val="0"/>
          <w:color w:val="auto"/>
          <w:kern w:val="0"/>
          <w:szCs w:val="24"/>
          <w:highlight w:val="none"/>
        </w:rPr>
        <w:t>．分包</w:t>
      </w:r>
      <w:r>
        <w:rPr>
          <w:color w:val="auto"/>
          <w:highlight w:val="none"/>
        </w:rPr>
        <w:tab/>
      </w:r>
      <w:r>
        <w:rPr>
          <w:color w:val="auto"/>
          <w:highlight w:val="none"/>
        </w:rPr>
        <w:fldChar w:fldCharType="begin"/>
      </w:r>
      <w:r>
        <w:rPr>
          <w:color w:val="auto"/>
          <w:highlight w:val="none"/>
        </w:rPr>
        <w:instrText xml:space="preserve"> PAGEREF _Toc7088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0AAC41D7">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_Toc6953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7</w:t>
      </w:r>
      <w:r>
        <w:rPr>
          <w:rFonts w:hint="eastAsia" w:hAnsi="宋体" w:cs="宋体"/>
          <w:bCs/>
          <w:snapToGrid w:val="0"/>
          <w:color w:val="auto"/>
          <w:kern w:val="0"/>
          <w:szCs w:val="24"/>
          <w:highlight w:val="none"/>
        </w:rPr>
        <w:t>．监理服务期限</w:t>
      </w:r>
      <w:r>
        <w:rPr>
          <w:color w:val="auto"/>
          <w:highlight w:val="none"/>
        </w:rPr>
        <w:tab/>
      </w:r>
      <w:r>
        <w:rPr>
          <w:color w:val="auto"/>
          <w:highlight w:val="none"/>
        </w:rPr>
        <w:fldChar w:fldCharType="begin"/>
      </w:r>
      <w:r>
        <w:rPr>
          <w:color w:val="auto"/>
          <w:highlight w:val="none"/>
        </w:rPr>
        <w:instrText xml:space="preserve"> PAGEREF _Toc6953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3955497A">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_Toc31907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8</w:t>
      </w:r>
      <w:r>
        <w:rPr>
          <w:rFonts w:hint="eastAsia" w:hAnsi="宋体" w:cs="宋体"/>
          <w:bCs/>
          <w:snapToGrid w:val="0"/>
          <w:color w:val="auto"/>
          <w:kern w:val="0"/>
          <w:szCs w:val="24"/>
          <w:highlight w:val="none"/>
        </w:rPr>
        <w:t>．项目监理机构</w:t>
      </w:r>
      <w:r>
        <w:rPr>
          <w:color w:val="auto"/>
          <w:highlight w:val="none"/>
        </w:rPr>
        <w:tab/>
      </w:r>
      <w:r>
        <w:rPr>
          <w:color w:val="auto"/>
          <w:highlight w:val="none"/>
        </w:rPr>
        <w:fldChar w:fldCharType="begin"/>
      </w:r>
      <w:r>
        <w:rPr>
          <w:color w:val="auto"/>
          <w:highlight w:val="none"/>
        </w:rPr>
        <w:instrText xml:space="preserve"> PAGEREF _Toc31907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3FD75F65">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_Toc15281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9</w:t>
      </w:r>
      <w:r>
        <w:rPr>
          <w:rFonts w:hint="eastAsia" w:hAnsi="宋体" w:cs="宋体"/>
          <w:snapToGrid w:val="0"/>
          <w:color w:val="auto"/>
          <w:kern w:val="0"/>
          <w:szCs w:val="24"/>
          <w:highlight w:val="none"/>
        </w:rPr>
        <w:t>．安全防护</w:t>
      </w:r>
      <w:r>
        <w:rPr>
          <w:color w:val="auto"/>
          <w:highlight w:val="none"/>
        </w:rPr>
        <w:tab/>
      </w:r>
      <w:r>
        <w:rPr>
          <w:color w:val="auto"/>
          <w:highlight w:val="none"/>
        </w:rPr>
        <w:fldChar w:fldCharType="begin"/>
      </w:r>
      <w:r>
        <w:rPr>
          <w:color w:val="auto"/>
          <w:highlight w:val="none"/>
        </w:rPr>
        <w:instrText xml:space="preserve"> PAGEREF _Toc15281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2819528C">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_Toc2694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10</w:t>
      </w:r>
      <w:r>
        <w:rPr>
          <w:rFonts w:hint="eastAsia" w:hAnsi="宋体" w:cs="宋体"/>
          <w:snapToGrid w:val="0"/>
          <w:color w:val="auto"/>
          <w:kern w:val="0"/>
          <w:szCs w:val="24"/>
          <w:highlight w:val="none"/>
        </w:rPr>
        <w:t>．接受监督</w:t>
      </w:r>
      <w:r>
        <w:rPr>
          <w:color w:val="auto"/>
          <w:highlight w:val="none"/>
        </w:rPr>
        <w:tab/>
      </w:r>
      <w:r>
        <w:rPr>
          <w:color w:val="auto"/>
          <w:highlight w:val="none"/>
        </w:rPr>
        <w:fldChar w:fldCharType="begin"/>
      </w:r>
      <w:r>
        <w:rPr>
          <w:color w:val="auto"/>
          <w:highlight w:val="none"/>
        </w:rPr>
        <w:instrText xml:space="preserve"> PAGEREF _Toc2694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1F210F2B">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_Toc5818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rPr>
        <w:t>．监理档案移交</w:t>
      </w:r>
      <w:r>
        <w:rPr>
          <w:color w:val="auto"/>
          <w:highlight w:val="none"/>
        </w:rPr>
        <w:tab/>
      </w:r>
      <w:r>
        <w:rPr>
          <w:color w:val="auto"/>
          <w:highlight w:val="none"/>
        </w:rPr>
        <w:fldChar w:fldCharType="begin"/>
      </w:r>
      <w:r>
        <w:rPr>
          <w:color w:val="auto"/>
          <w:highlight w:val="none"/>
        </w:rPr>
        <w:instrText xml:space="preserve"> PAGEREF _Toc5818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5B6B91AF">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_Toc29177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w:t>
      </w:r>
      <w:r>
        <w:rPr>
          <w:rFonts w:hint="eastAsia" w:hAnsi="宋体" w:cs="宋体"/>
          <w:bCs/>
          <w:snapToGrid w:val="0"/>
          <w:color w:val="auto"/>
          <w:kern w:val="0"/>
          <w:szCs w:val="24"/>
          <w:highlight w:val="none"/>
          <w:lang w:val="en-US" w:eastAsia="zh-CN"/>
        </w:rPr>
        <w:t>2</w:t>
      </w:r>
      <w:r>
        <w:rPr>
          <w:rFonts w:hint="eastAsia" w:hAnsi="宋体" w:cs="宋体"/>
          <w:snapToGrid w:val="0"/>
          <w:color w:val="auto"/>
          <w:kern w:val="0"/>
          <w:szCs w:val="24"/>
          <w:highlight w:val="none"/>
        </w:rPr>
        <w:t>．不良行为处理</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76D0EA0E">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_Toc25306 </w:instrText>
      </w:r>
      <w:r>
        <w:rPr>
          <w:rFonts w:hint="eastAsia" w:hAnsi="宋体" w:cs="宋体"/>
          <w:color w:val="auto"/>
          <w:szCs w:val="24"/>
          <w:highlight w:val="none"/>
        </w:rPr>
        <w:fldChar w:fldCharType="separate"/>
      </w:r>
      <w:r>
        <w:rPr>
          <w:rFonts w:hint="eastAsia" w:ascii="宋体" w:hAnsi="宋体" w:cs="宋体"/>
          <w:bCs/>
          <w:snapToGrid w:val="0"/>
          <w:color w:val="auto"/>
          <w:kern w:val="0"/>
          <w:szCs w:val="24"/>
          <w:highlight w:val="none"/>
        </w:rPr>
        <w:t>1</w:t>
      </w:r>
      <w:r>
        <w:rPr>
          <w:rFonts w:hint="eastAsia" w:ascii="宋体" w:hAnsi="宋体" w:cs="宋体"/>
          <w:bCs/>
          <w:snapToGrid w:val="0"/>
          <w:color w:val="auto"/>
          <w:kern w:val="0"/>
          <w:szCs w:val="24"/>
          <w:highlight w:val="none"/>
          <w:lang w:val="en-US" w:eastAsia="zh-CN"/>
        </w:rPr>
        <w:t>3</w:t>
      </w:r>
      <w:r>
        <w:rPr>
          <w:rFonts w:hint="eastAsia" w:ascii="宋体" w:hAnsi="宋体" w:cs="宋体"/>
          <w:snapToGrid w:val="0"/>
          <w:color w:val="auto"/>
          <w:kern w:val="0"/>
          <w:szCs w:val="24"/>
          <w:highlight w:val="none"/>
        </w:rPr>
        <w:t>．</w:t>
      </w:r>
      <w:r>
        <w:rPr>
          <w:rFonts w:hint="eastAsia" w:ascii="宋体" w:hAnsi="宋体" w:cs="宋体"/>
          <w:bCs/>
          <w:snapToGrid w:val="0"/>
          <w:color w:val="auto"/>
          <w:kern w:val="0"/>
          <w:szCs w:val="24"/>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_Toc25306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54FEA325">
      <w:pPr>
        <w:pStyle w:val="22"/>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_Toc16840 </w:instrText>
      </w:r>
      <w:r>
        <w:rPr>
          <w:rFonts w:hint="eastAsia" w:hAnsi="宋体" w:cs="宋体"/>
          <w:color w:val="auto"/>
          <w:szCs w:val="24"/>
          <w:highlight w:val="none"/>
        </w:rPr>
        <w:fldChar w:fldCharType="separate"/>
      </w:r>
      <w:r>
        <w:rPr>
          <w:rFonts w:hint="eastAsia" w:hAnsi="宋体" w:cs="宋体"/>
          <w:snapToGrid w:val="0"/>
          <w:color w:val="auto"/>
          <w:szCs w:val="32"/>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_Toc16840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4CB09E6C">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_Toc9210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1．现场办公条件</w:t>
      </w:r>
      <w:r>
        <w:rPr>
          <w:color w:val="auto"/>
          <w:highlight w:val="none"/>
        </w:rPr>
        <w:tab/>
      </w:r>
      <w:r>
        <w:rPr>
          <w:color w:val="auto"/>
          <w:highlight w:val="none"/>
        </w:rPr>
        <w:fldChar w:fldCharType="begin"/>
      </w:r>
      <w:r>
        <w:rPr>
          <w:color w:val="auto"/>
          <w:highlight w:val="none"/>
        </w:rPr>
        <w:instrText xml:space="preserve"> PAGEREF _Toc9210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130DB693">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_Toc1375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2．监理服务费</w:t>
      </w:r>
      <w:r>
        <w:rPr>
          <w:color w:val="auto"/>
          <w:highlight w:val="none"/>
        </w:rPr>
        <w:tab/>
      </w:r>
      <w:r>
        <w:rPr>
          <w:color w:val="auto"/>
          <w:highlight w:val="none"/>
        </w:rPr>
        <w:fldChar w:fldCharType="begin"/>
      </w:r>
      <w:r>
        <w:rPr>
          <w:color w:val="auto"/>
          <w:highlight w:val="none"/>
        </w:rPr>
        <w:instrText xml:space="preserve"> PAGEREF _Toc1375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0BB35D74">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_Toc31344 </w:instrText>
      </w:r>
      <w:r>
        <w:rPr>
          <w:rFonts w:hint="eastAsia" w:hAnsi="宋体" w:cs="宋体"/>
          <w:color w:val="auto"/>
          <w:szCs w:val="24"/>
          <w:highlight w:val="none"/>
        </w:rPr>
        <w:fldChar w:fldCharType="separate"/>
      </w:r>
      <w:r>
        <w:rPr>
          <w:rFonts w:hint="eastAsia" w:ascii="宋体" w:hAnsi="宋体" w:eastAsia="宋体" w:cs="宋体"/>
          <w:bCs/>
          <w:snapToGrid w:val="0"/>
          <w:color w:val="auto"/>
          <w:kern w:val="0"/>
          <w:szCs w:val="24"/>
          <w:highlight w:val="none"/>
        </w:rPr>
        <w:t>3．监理服务费发票</w:t>
      </w:r>
      <w:r>
        <w:rPr>
          <w:color w:val="auto"/>
          <w:highlight w:val="none"/>
        </w:rPr>
        <w:tab/>
      </w:r>
      <w:r>
        <w:rPr>
          <w:color w:val="auto"/>
          <w:highlight w:val="none"/>
        </w:rPr>
        <w:fldChar w:fldCharType="begin"/>
      </w:r>
      <w:r>
        <w:rPr>
          <w:color w:val="auto"/>
          <w:highlight w:val="none"/>
        </w:rPr>
        <w:instrText xml:space="preserve"> PAGEREF _Toc31344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4816AA64">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_Toc31725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4．违约责任</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6CE27B2A">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_Toc4121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5．</w:t>
      </w:r>
      <w:r>
        <w:rPr>
          <w:rFonts w:hint="eastAsia" w:hAnsi="宋体" w:cs="宋体"/>
          <w:bCs/>
          <w:snapToGrid w:val="0"/>
          <w:color w:val="auto"/>
          <w:kern w:val="0"/>
          <w:szCs w:val="24"/>
          <w:highlight w:val="none"/>
          <w:lang w:val="en-US" w:eastAsia="zh-CN"/>
        </w:rPr>
        <w:t>监理服务费的</w:t>
      </w:r>
      <w:r>
        <w:rPr>
          <w:rFonts w:hint="eastAsia" w:hAnsi="宋体" w:cs="宋体"/>
          <w:bCs/>
          <w:snapToGrid w:val="0"/>
          <w:color w:val="auto"/>
          <w:kern w:val="0"/>
          <w:szCs w:val="24"/>
          <w:highlight w:val="none"/>
        </w:rPr>
        <w:t>支付</w:t>
      </w:r>
      <w:r>
        <w:rPr>
          <w:color w:val="auto"/>
          <w:highlight w:val="none"/>
        </w:rPr>
        <w:tab/>
      </w:r>
      <w:r>
        <w:rPr>
          <w:color w:val="auto"/>
          <w:highlight w:val="none"/>
        </w:rPr>
        <w:fldChar w:fldCharType="begin"/>
      </w:r>
      <w:r>
        <w:rPr>
          <w:color w:val="auto"/>
          <w:highlight w:val="none"/>
        </w:rPr>
        <w:instrText xml:space="preserve"> PAGEREF _Toc4121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6E8AE961">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_Toc6555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6．</w:t>
      </w:r>
      <w:r>
        <w:rPr>
          <w:rFonts w:hint="eastAsia" w:ascii="Times New Roman"/>
          <w:snapToGrid w:val="0"/>
          <w:color w:val="auto"/>
          <w:szCs w:val="22"/>
          <w:highlight w:val="none"/>
        </w:rPr>
        <w:t>监理人违约及违约责任</w:t>
      </w:r>
      <w:r>
        <w:rPr>
          <w:color w:val="auto"/>
          <w:highlight w:val="none"/>
        </w:rPr>
        <w:tab/>
      </w:r>
      <w:r>
        <w:rPr>
          <w:color w:val="auto"/>
          <w:highlight w:val="none"/>
        </w:rPr>
        <w:fldChar w:fldCharType="begin"/>
      </w:r>
      <w:r>
        <w:rPr>
          <w:color w:val="auto"/>
          <w:highlight w:val="none"/>
        </w:rPr>
        <w:instrText xml:space="preserve"> PAGEREF _Toc6555 \h </w:instrText>
      </w:r>
      <w:r>
        <w:rPr>
          <w:color w:val="auto"/>
          <w:highlight w:val="none"/>
        </w:rPr>
        <w:fldChar w:fldCharType="separate"/>
      </w:r>
      <w:r>
        <w:rPr>
          <w:color w:val="auto"/>
          <w:highlight w:val="none"/>
        </w:rPr>
        <w:t>42</w:t>
      </w:r>
      <w:r>
        <w:rPr>
          <w:color w:val="auto"/>
          <w:highlight w:val="none"/>
        </w:rPr>
        <w:fldChar w:fldCharType="end"/>
      </w:r>
      <w:r>
        <w:rPr>
          <w:rFonts w:hint="eastAsia" w:hAnsi="宋体" w:cs="宋体"/>
          <w:color w:val="auto"/>
          <w:szCs w:val="24"/>
          <w:highlight w:val="none"/>
        </w:rPr>
        <w:fldChar w:fldCharType="end"/>
      </w:r>
    </w:p>
    <w:p w14:paraId="56A6CE35">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_Toc15156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7. 工程质量、造价、进度控制及安全生产管理</w:t>
      </w:r>
      <w:r>
        <w:rPr>
          <w:color w:val="auto"/>
          <w:highlight w:val="none"/>
        </w:rPr>
        <w:tab/>
      </w:r>
      <w:r>
        <w:rPr>
          <w:color w:val="auto"/>
          <w:highlight w:val="none"/>
        </w:rPr>
        <w:fldChar w:fldCharType="begin"/>
      </w:r>
      <w:r>
        <w:rPr>
          <w:color w:val="auto"/>
          <w:highlight w:val="none"/>
        </w:rPr>
        <w:instrText xml:space="preserve"> PAGEREF _Toc15156 \h </w:instrText>
      </w:r>
      <w:r>
        <w:rPr>
          <w:color w:val="auto"/>
          <w:highlight w:val="none"/>
        </w:rPr>
        <w:fldChar w:fldCharType="separate"/>
      </w:r>
      <w:r>
        <w:rPr>
          <w:color w:val="auto"/>
          <w:highlight w:val="none"/>
        </w:rPr>
        <w:t>47</w:t>
      </w:r>
      <w:r>
        <w:rPr>
          <w:color w:val="auto"/>
          <w:highlight w:val="none"/>
        </w:rPr>
        <w:fldChar w:fldCharType="end"/>
      </w:r>
      <w:r>
        <w:rPr>
          <w:rFonts w:hint="eastAsia" w:hAnsi="宋体" w:cs="宋体"/>
          <w:color w:val="auto"/>
          <w:szCs w:val="24"/>
          <w:highlight w:val="none"/>
        </w:rPr>
        <w:fldChar w:fldCharType="end"/>
      </w:r>
    </w:p>
    <w:p w14:paraId="57CB4514">
      <w:pPr>
        <w:pStyle w:val="22"/>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_Toc11137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_Toc11137 \h </w:instrText>
      </w:r>
      <w:r>
        <w:rPr>
          <w:color w:val="auto"/>
          <w:highlight w:val="none"/>
        </w:rPr>
        <w:fldChar w:fldCharType="separate"/>
      </w:r>
      <w:r>
        <w:rPr>
          <w:color w:val="auto"/>
          <w:highlight w:val="none"/>
        </w:rPr>
        <w:t>52</w:t>
      </w:r>
      <w:r>
        <w:rPr>
          <w:color w:val="auto"/>
          <w:highlight w:val="none"/>
        </w:rPr>
        <w:fldChar w:fldCharType="end"/>
      </w:r>
      <w:r>
        <w:rPr>
          <w:rFonts w:hint="eastAsia" w:hAnsi="宋体" w:cs="宋体"/>
          <w:color w:val="auto"/>
          <w:szCs w:val="24"/>
          <w:highlight w:val="none"/>
        </w:rPr>
        <w:fldChar w:fldCharType="end"/>
      </w:r>
    </w:p>
    <w:p w14:paraId="0ED31A41">
      <w:pPr>
        <w:pStyle w:val="22"/>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_Toc27904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_Toc27904 \h </w:instrText>
      </w:r>
      <w:r>
        <w:rPr>
          <w:color w:val="auto"/>
          <w:highlight w:val="none"/>
        </w:rPr>
        <w:fldChar w:fldCharType="separate"/>
      </w:r>
      <w:r>
        <w:rPr>
          <w:color w:val="auto"/>
          <w:highlight w:val="none"/>
        </w:rPr>
        <w:t>54</w:t>
      </w:r>
      <w:r>
        <w:rPr>
          <w:color w:val="auto"/>
          <w:highlight w:val="none"/>
        </w:rPr>
        <w:fldChar w:fldCharType="end"/>
      </w:r>
      <w:r>
        <w:rPr>
          <w:rFonts w:hint="eastAsia" w:hAnsi="宋体" w:cs="宋体"/>
          <w:color w:val="auto"/>
          <w:szCs w:val="24"/>
          <w:highlight w:val="none"/>
        </w:rPr>
        <w:fldChar w:fldCharType="end"/>
      </w:r>
    </w:p>
    <w:p w14:paraId="3BA92CEE">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_Toc31809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_Toc31809 \h </w:instrText>
      </w:r>
      <w:r>
        <w:rPr>
          <w:color w:val="auto"/>
          <w:highlight w:val="none"/>
        </w:rPr>
        <w:fldChar w:fldCharType="separate"/>
      </w:r>
      <w:r>
        <w:rPr>
          <w:color w:val="auto"/>
          <w:highlight w:val="none"/>
        </w:rPr>
        <w:t>54</w:t>
      </w:r>
      <w:r>
        <w:rPr>
          <w:color w:val="auto"/>
          <w:highlight w:val="none"/>
        </w:rPr>
        <w:fldChar w:fldCharType="end"/>
      </w:r>
      <w:r>
        <w:rPr>
          <w:rFonts w:hint="eastAsia" w:hAnsi="宋体" w:cs="宋体"/>
          <w:color w:val="auto"/>
          <w:szCs w:val="24"/>
          <w:highlight w:val="none"/>
        </w:rPr>
        <w:fldChar w:fldCharType="end"/>
      </w:r>
    </w:p>
    <w:p w14:paraId="59EAEB66">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_Toc29299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_Toc29299 \h </w:instrText>
      </w:r>
      <w:r>
        <w:rPr>
          <w:color w:val="auto"/>
          <w:highlight w:val="none"/>
        </w:rPr>
        <w:fldChar w:fldCharType="separate"/>
      </w:r>
      <w:r>
        <w:rPr>
          <w:color w:val="auto"/>
          <w:highlight w:val="none"/>
        </w:rPr>
        <w:t>55</w:t>
      </w:r>
      <w:r>
        <w:rPr>
          <w:color w:val="auto"/>
          <w:highlight w:val="none"/>
        </w:rPr>
        <w:fldChar w:fldCharType="end"/>
      </w:r>
      <w:r>
        <w:rPr>
          <w:rFonts w:hint="eastAsia" w:hAnsi="宋体" w:cs="宋体"/>
          <w:color w:val="auto"/>
          <w:szCs w:val="24"/>
          <w:highlight w:val="none"/>
        </w:rPr>
        <w:fldChar w:fldCharType="end"/>
      </w:r>
    </w:p>
    <w:p w14:paraId="2786B9EC">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_Toc1644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_Toc1644 \h </w:instrText>
      </w:r>
      <w:r>
        <w:rPr>
          <w:color w:val="auto"/>
          <w:highlight w:val="none"/>
        </w:rPr>
        <w:fldChar w:fldCharType="separate"/>
      </w:r>
      <w:r>
        <w:rPr>
          <w:color w:val="auto"/>
          <w:highlight w:val="none"/>
        </w:rPr>
        <w:t>56</w:t>
      </w:r>
      <w:r>
        <w:rPr>
          <w:color w:val="auto"/>
          <w:highlight w:val="none"/>
        </w:rPr>
        <w:fldChar w:fldCharType="end"/>
      </w:r>
      <w:r>
        <w:rPr>
          <w:rFonts w:hint="eastAsia" w:hAnsi="宋体" w:cs="宋体"/>
          <w:color w:val="auto"/>
          <w:szCs w:val="24"/>
          <w:highlight w:val="none"/>
        </w:rPr>
        <w:fldChar w:fldCharType="end"/>
      </w:r>
    </w:p>
    <w:p w14:paraId="00F16A01">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_Toc32644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_Toc32644 \h </w:instrText>
      </w:r>
      <w:r>
        <w:rPr>
          <w:color w:val="auto"/>
          <w:highlight w:val="none"/>
        </w:rPr>
        <w:fldChar w:fldCharType="separate"/>
      </w:r>
      <w:r>
        <w:rPr>
          <w:color w:val="auto"/>
          <w:highlight w:val="none"/>
        </w:rPr>
        <w:t>58</w:t>
      </w:r>
      <w:r>
        <w:rPr>
          <w:color w:val="auto"/>
          <w:highlight w:val="none"/>
        </w:rPr>
        <w:fldChar w:fldCharType="end"/>
      </w:r>
      <w:r>
        <w:rPr>
          <w:rFonts w:hint="eastAsia" w:hAnsi="宋体" w:cs="宋体"/>
          <w:color w:val="auto"/>
          <w:szCs w:val="24"/>
          <w:highlight w:val="none"/>
        </w:rPr>
        <w:fldChar w:fldCharType="end"/>
      </w:r>
    </w:p>
    <w:p w14:paraId="1942015D">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_Toc27423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_Toc27423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color w:val="auto"/>
          <w:szCs w:val="24"/>
          <w:highlight w:val="none"/>
        </w:rPr>
        <w:fldChar w:fldCharType="end"/>
      </w:r>
    </w:p>
    <w:p w14:paraId="08194935">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_Toc474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_Toc474 \h </w:instrText>
      </w:r>
      <w:r>
        <w:rPr>
          <w:color w:val="auto"/>
          <w:highlight w:val="none"/>
        </w:rPr>
        <w:fldChar w:fldCharType="separate"/>
      </w:r>
      <w:r>
        <w:rPr>
          <w:color w:val="auto"/>
          <w:highlight w:val="none"/>
        </w:rPr>
        <w:t>60</w:t>
      </w:r>
      <w:r>
        <w:rPr>
          <w:color w:val="auto"/>
          <w:highlight w:val="none"/>
        </w:rPr>
        <w:fldChar w:fldCharType="end"/>
      </w:r>
      <w:r>
        <w:rPr>
          <w:rFonts w:hint="eastAsia" w:hAnsi="宋体" w:cs="宋体"/>
          <w:color w:val="auto"/>
          <w:szCs w:val="24"/>
          <w:highlight w:val="none"/>
        </w:rPr>
        <w:fldChar w:fldCharType="end"/>
      </w:r>
    </w:p>
    <w:p w14:paraId="3C333620">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_Toc22135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_Toc22135 \h </w:instrText>
      </w:r>
      <w:r>
        <w:rPr>
          <w:color w:val="auto"/>
          <w:highlight w:val="none"/>
        </w:rPr>
        <w:fldChar w:fldCharType="separate"/>
      </w:r>
      <w:r>
        <w:rPr>
          <w:color w:val="auto"/>
          <w:highlight w:val="none"/>
        </w:rPr>
        <w:t>61</w:t>
      </w:r>
      <w:r>
        <w:rPr>
          <w:color w:val="auto"/>
          <w:highlight w:val="none"/>
        </w:rPr>
        <w:fldChar w:fldCharType="end"/>
      </w:r>
      <w:r>
        <w:rPr>
          <w:rFonts w:hint="eastAsia" w:hAnsi="宋体" w:cs="宋体"/>
          <w:color w:val="auto"/>
          <w:szCs w:val="24"/>
          <w:highlight w:val="none"/>
        </w:rPr>
        <w:fldChar w:fldCharType="end"/>
      </w:r>
    </w:p>
    <w:p w14:paraId="59F91C3B">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_Toc24032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_Toc24032 \h </w:instrText>
      </w:r>
      <w:r>
        <w:rPr>
          <w:color w:val="auto"/>
          <w:highlight w:val="none"/>
        </w:rPr>
        <w:fldChar w:fldCharType="separate"/>
      </w:r>
      <w:r>
        <w:rPr>
          <w:color w:val="auto"/>
          <w:highlight w:val="none"/>
        </w:rPr>
        <w:t>62</w:t>
      </w:r>
      <w:r>
        <w:rPr>
          <w:color w:val="auto"/>
          <w:highlight w:val="none"/>
        </w:rPr>
        <w:fldChar w:fldCharType="end"/>
      </w:r>
      <w:r>
        <w:rPr>
          <w:rFonts w:hint="eastAsia" w:hAnsi="宋体" w:cs="宋体"/>
          <w:color w:val="auto"/>
          <w:szCs w:val="24"/>
          <w:highlight w:val="none"/>
        </w:rPr>
        <w:fldChar w:fldCharType="end"/>
      </w:r>
    </w:p>
    <w:p w14:paraId="4CA2EE37">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_Toc2263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_Toc2263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szCs w:val="24"/>
          <w:highlight w:val="none"/>
        </w:rPr>
        <w:fldChar w:fldCharType="end"/>
      </w:r>
    </w:p>
    <w:p w14:paraId="7E7E2184">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_Toc4492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_Toc4492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1C693EA0">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_Toc13068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_Toc13068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szCs w:val="24"/>
          <w:highlight w:val="none"/>
        </w:rPr>
        <w:fldChar w:fldCharType="end"/>
      </w:r>
    </w:p>
    <w:p w14:paraId="31192956">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_Toc21090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_Toc21090 \h </w:instrText>
      </w:r>
      <w:r>
        <w:rPr>
          <w:color w:val="auto"/>
          <w:highlight w:val="none"/>
        </w:rPr>
        <w:fldChar w:fldCharType="separate"/>
      </w:r>
      <w:r>
        <w:rPr>
          <w:color w:val="auto"/>
          <w:highlight w:val="none"/>
        </w:rPr>
        <w:t>66</w:t>
      </w:r>
      <w:r>
        <w:rPr>
          <w:color w:val="auto"/>
          <w:highlight w:val="none"/>
        </w:rPr>
        <w:fldChar w:fldCharType="end"/>
      </w:r>
      <w:r>
        <w:rPr>
          <w:rFonts w:hint="eastAsia" w:hAnsi="宋体" w:cs="宋体"/>
          <w:color w:val="auto"/>
          <w:szCs w:val="24"/>
          <w:highlight w:val="none"/>
        </w:rPr>
        <w:fldChar w:fldCharType="end"/>
      </w:r>
    </w:p>
    <w:p w14:paraId="061617BB">
      <w:pPr>
        <w:pStyle w:val="26"/>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_Toc1230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_Toc1230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szCs w:val="24"/>
          <w:highlight w:val="none"/>
        </w:rPr>
        <w:fldChar w:fldCharType="end"/>
      </w:r>
    </w:p>
    <w:p w14:paraId="1849A53E">
      <w:pPr>
        <w:pStyle w:val="22"/>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_Toc10354 </w:instrText>
      </w:r>
      <w:r>
        <w:rPr>
          <w:rFonts w:hint="eastAsia" w:hAnsi="宋体" w:cs="宋体"/>
          <w:color w:val="auto"/>
          <w:szCs w:val="24"/>
          <w:highlight w:val="none"/>
        </w:rPr>
        <w:fldChar w:fldCharType="separate"/>
      </w:r>
      <w:r>
        <w:rPr>
          <w:rFonts w:hint="eastAsia" w:ascii="宋体" w:hAnsi="宋体" w:cs="宋体"/>
          <w:color w:val="auto"/>
          <w:kern w:val="44"/>
          <w:szCs w:val="22"/>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_Toc10354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31F3C68A">
      <w:pPr>
        <w:pStyle w:val="16"/>
        <w:rPr>
          <w:rFonts w:hint="eastAsia"/>
          <w:color w:val="auto"/>
          <w:highlight w:val="none"/>
        </w:rPr>
      </w:pPr>
    </w:p>
    <w:p w14:paraId="12FDD6C5">
      <w:pPr>
        <w:pStyle w:val="16"/>
        <w:rPr>
          <w:rFonts w:hint="eastAsia"/>
          <w:color w:val="auto"/>
          <w:highlight w:val="none"/>
        </w:rPr>
      </w:pPr>
    </w:p>
    <w:p w14:paraId="4E7A238C">
      <w:pPr>
        <w:pStyle w:val="16"/>
        <w:rPr>
          <w:rFonts w:hint="eastAsia"/>
          <w:color w:val="auto"/>
          <w:highlight w:val="none"/>
        </w:rPr>
      </w:pPr>
    </w:p>
    <w:p w14:paraId="4D4B16C5">
      <w:pPr>
        <w:pStyle w:val="16"/>
        <w:rPr>
          <w:rFonts w:hint="eastAsia"/>
          <w:color w:val="auto"/>
          <w:highlight w:val="none"/>
        </w:rPr>
      </w:pPr>
    </w:p>
    <w:p w14:paraId="4E126C67">
      <w:pPr>
        <w:pStyle w:val="16"/>
        <w:rPr>
          <w:rFonts w:hint="eastAsia"/>
          <w:color w:val="auto"/>
          <w:highlight w:val="none"/>
        </w:rPr>
      </w:pPr>
    </w:p>
    <w:p w14:paraId="79BD6181">
      <w:pPr>
        <w:bidi w:val="0"/>
        <w:rPr>
          <w:rFonts w:hint="eastAsia"/>
          <w:color w:val="auto"/>
          <w:highlight w:val="none"/>
        </w:rPr>
      </w:pPr>
    </w:p>
    <w:p w14:paraId="4FB68F0F">
      <w:pPr>
        <w:bidi w:val="0"/>
        <w:rPr>
          <w:rFonts w:hint="eastAsia"/>
          <w:color w:val="auto"/>
          <w:highlight w:val="none"/>
        </w:rPr>
      </w:pPr>
    </w:p>
    <w:p w14:paraId="1B29D6E3">
      <w:pPr>
        <w:bidi w:val="0"/>
        <w:rPr>
          <w:color w:val="auto"/>
          <w:highlight w:val="none"/>
        </w:rPr>
      </w:pPr>
    </w:p>
    <w:p w14:paraId="4C65F4F3">
      <w:pPr>
        <w:pStyle w:val="3"/>
        <w:wordWrap w:val="0"/>
        <w:autoSpaceDE/>
        <w:autoSpaceDN/>
        <w:snapToGrid w:val="0"/>
        <w:spacing w:line="440" w:lineRule="exact"/>
        <w:jc w:val="center"/>
        <w:rPr>
          <w:rFonts w:hint="eastAsia" w:ascii="Times New Roman"/>
          <w:b/>
          <w:snapToGrid w:val="0"/>
          <w:color w:val="auto"/>
          <w:sz w:val="32"/>
          <w:szCs w:val="22"/>
          <w:highlight w:val="none"/>
        </w:rPr>
        <w:sectPr>
          <w:footerReference r:id="rId7" w:type="default"/>
          <w:endnotePr>
            <w:numFmt w:val="decimal"/>
          </w:endnotePr>
          <w:pgSz w:w="11906" w:h="16838"/>
          <w:pgMar w:top="1417" w:right="1417" w:bottom="1417" w:left="1417" w:header="850" w:footer="992" w:gutter="0"/>
          <w:pgNumType w:start="1"/>
          <w:cols w:space="0" w:num="1"/>
          <w:docGrid w:linePitch="327" w:charSpace="0"/>
        </w:sectPr>
      </w:pPr>
    </w:p>
    <w:p w14:paraId="73AD38DD">
      <w:pPr>
        <w:pStyle w:val="3"/>
        <w:wordWrap w:val="0"/>
        <w:autoSpaceDE/>
        <w:autoSpaceDN/>
        <w:snapToGrid w:val="0"/>
        <w:spacing w:line="440" w:lineRule="exact"/>
        <w:jc w:val="center"/>
        <w:rPr>
          <w:rFonts w:ascii="Times New Roman"/>
          <w:b/>
          <w:snapToGrid w:val="0"/>
          <w:color w:val="auto"/>
          <w:sz w:val="32"/>
          <w:szCs w:val="22"/>
          <w:highlight w:val="none"/>
        </w:rPr>
      </w:pPr>
      <w:bookmarkStart w:id="0" w:name="_Toc28684"/>
      <w:r>
        <w:rPr>
          <w:rFonts w:hint="eastAsia" w:ascii="Times New Roman"/>
          <w:b/>
          <w:snapToGrid w:val="0"/>
          <w:color w:val="auto"/>
          <w:sz w:val="32"/>
          <w:szCs w:val="22"/>
          <w:highlight w:val="none"/>
        </w:rPr>
        <w:t>第一章 投标人须知</w:t>
      </w:r>
      <w:bookmarkEnd w:id="0"/>
    </w:p>
    <w:p w14:paraId="64D39061">
      <w:pPr>
        <w:pStyle w:val="4"/>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32446"/>
      <w:bookmarkStart w:id="3" w:name="_Toc4883"/>
      <w:bookmarkStart w:id="4" w:name="_Hlt120077520"/>
      <w:r>
        <w:rPr>
          <w:rFonts w:hint="eastAsia" w:ascii="Times New Roman"/>
          <w:b/>
          <w:snapToGrid w:val="0"/>
          <w:color w:val="auto"/>
          <w:highlight w:val="none"/>
        </w:rPr>
        <w:t>第一节 投标人须知前附表</w:t>
      </w:r>
      <w:bookmarkEnd w:id="2"/>
      <w:bookmarkEnd w:id="3"/>
    </w:p>
    <w:tbl>
      <w:tblPr>
        <w:tblStyle w:val="31"/>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6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eastAsia="zh-CN"/>
              </w:rPr>
              <w:t>翁源县“百千万工程”之全域推进农村人居环境整治建设项目-周陂镇农村生活污水治理建设项目施工监理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highlight w:val="none"/>
                <w:lang w:val="en-US" w:eastAsia="zh-CN"/>
              </w:rPr>
            </w:pPr>
            <w:r>
              <w:rPr>
                <w:rFonts w:hint="default" w:ascii="宋体" w:hAnsi="宋体" w:eastAsia="宋体" w:cs="宋体"/>
                <w:color w:val="auto"/>
                <w:szCs w:val="22"/>
                <w:highlight w:val="none"/>
                <w:lang w:val="en-US" w:eastAsia="zh-CN"/>
              </w:rPr>
              <w:t>翁源县农业农村局</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翁源县发展和改革局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119"/>
              <w:keepNext w:val="0"/>
              <w:keepLines w:val="0"/>
              <w:pageBreakBefore w:val="0"/>
              <w:widowControl w:val="0"/>
              <w:kinsoku/>
              <w:overflowPunct/>
              <w:topLinePunct w:val="0"/>
              <w:autoSpaceDE/>
              <w:autoSpaceDN/>
              <w:bidi w:val="0"/>
              <w:spacing w:line="500" w:lineRule="exact"/>
              <w:ind w:firstLine="480" w:firstLineChars="200"/>
              <w:jc w:val="left"/>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翁发改投审〔2025〕25号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9"/>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2412-440229-04-01-525170</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highlight w:val="none"/>
                <w:lang w:val="en-US" w:eastAsia="zh-CN"/>
              </w:rPr>
            </w:pPr>
            <w:r>
              <w:rPr>
                <w:rFonts w:hint="eastAsia" w:hAnsi="宋体" w:cs="宋体"/>
                <w:color w:val="auto"/>
                <w:kern w:val="0"/>
                <w:szCs w:val="24"/>
                <w:highlight w:val="none"/>
                <w:lang w:eastAsia="zh-CN"/>
              </w:rPr>
              <w:t>争取地方政府专项债券资金及上级专项资金解决，不足部分由县级财政统筹解决，100%</w:t>
            </w:r>
            <w:r>
              <w:rPr>
                <w:rFonts w:hint="eastAsia" w:hAnsi="宋体" w:cs="宋体"/>
                <w:color w:val="auto"/>
                <w:kern w:val="0"/>
                <w:szCs w:val="24"/>
                <w:highlight w:val="none"/>
                <w:lang w:eastAsia="zh-CN"/>
              </w:rPr>
              <w:tab/>
            </w:r>
            <w:r>
              <w:rPr>
                <w:rFonts w:hint="eastAsia" w:hAnsi="宋体" w:cs="宋体"/>
                <w:color w:val="auto"/>
                <w:kern w:val="0"/>
                <w:szCs w:val="24"/>
                <w:highlight w:val="none"/>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pStyle w:val="119"/>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翁源县周陂镇人民政府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pStyle w:val="119"/>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汇龙工程咨询有限公司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highlight w:val="none"/>
                <w:lang w:val="en-US" w:eastAsia="zh-CN"/>
              </w:rPr>
            </w:pPr>
            <w:r>
              <w:rPr>
                <w:rFonts w:hint="eastAsia" w:hAnsi="宋体" w:cs="宋体"/>
                <w:bCs/>
                <w:snapToGrid w:val="0"/>
                <w:color w:val="auto"/>
                <w:kern w:val="0"/>
                <w:szCs w:val="24"/>
                <w:highlight w:val="none"/>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default" w:hAnsi="宋体" w:eastAsia="宋体" w:cs="宋体"/>
                <w:bCs/>
                <w:snapToGrid w:val="0"/>
                <w:color w:val="auto"/>
                <w:kern w:val="0"/>
                <w:szCs w:val="24"/>
                <w:highlight w:val="none"/>
                <w:lang w:val="en-US" w:eastAsia="zh-CN"/>
              </w:rPr>
            </w:pPr>
            <w:r>
              <w:rPr>
                <w:rFonts w:hint="default" w:hAnsi="宋体" w:eastAsia="宋体" w:cs="宋体"/>
                <w:bCs/>
                <w:snapToGrid w:val="0"/>
                <w:color w:val="auto"/>
                <w:kern w:val="0"/>
                <w:szCs w:val="24"/>
                <w:highlight w:val="none"/>
                <w:lang w:val="en-US" w:eastAsia="zh-CN"/>
              </w:rPr>
              <w:t>韶关市翁源县周陂镇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99"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11797206">
            <w:pPr>
              <w:pStyle w:val="119"/>
              <w:keepNext w:val="0"/>
              <w:keepLines w:val="0"/>
              <w:pageBreakBefore w:val="0"/>
              <w:tabs>
                <w:tab w:val="left" w:pos="1890"/>
              </w:tabs>
              <w:kinsoku/>
              <w:wordWrap/>
              <w:overflowPunct/>
              <w:topLinePunct w:val="0"/>
              <w:autoSpaceDE/>
              <w:autoSpaceDN/>
              <w:bidi w:val="0"/>
              <w:adjustRightInd/>
              <w:snapToGrid/>
              <w:spacing w:line="420" w:lineRule="exact"/>
              <w:ind w:firstLine="210" w:firstLineChars="100"/>
              <w:jc w:val="left"/>
              <w:textAlignment w:val="auto"/>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1、对现有87个自然村未达标</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主要是接户管</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支管不完善</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主管毁坏或淤塞</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检査井被覆盖</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位置不合理以及部分设施损坏等</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需要进行完善、提升或者改造。新建 DN200-DN300污水管道长度约3191.80m</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新建DN100-160入户管约19878.50m</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并设置塑料检査井2771座</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破除及修复路面29726.95平方米</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新建厌氧强化预处理罐136座</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规模为1.0m3/d-10.0m3/d。</w:t>
            </w:r>
          </w:p>
          <w:p w14:paraId="13953056">
            <w:pPr>
              <w:keepNext w:val="0"/>
              <w:keepLines w:val="0"/>
              <w:pageBreakBefore w:val="0"/>
              <w:widowControl w:val="0"/>
              <w:kinsoku/>
              <w:wordWrap w:val="0"/>
              <w:overflowPunct/>
              <w:topLinePunct w:val="0"/>
              <w:autoSpaceDE/>
              <w:autoSpaceDN/>
              <w:bidi w:val="0"/>
              <w:adjustRightInd w:val="0"/>
              <w:snapToGrid w:val="0"/>
              <w:spacing w:line="500" w:lineRule="exact"/>
              <w:ind w:firstLine="240" w:firstLineChars="100"/>
              <w:textAlignment w:val="auto"/>
              <w:rPr>
                <w:rFonts w:hAnsi="宋体" w:cs="宋体"/>
                <w:snapToGrid w:val="0"/>
                <w:color w:val="auto"/>
                <w:kern w:val="0"/>
                <w:szCs w:val="24"/>
                <w:highlight w:val="none"/>
              </w:rPr>
            </w:pPr>
            <w:r>
              <w:rPr>
                <w:rFonts w:hint="default" w:ascii="宋体" w:hAnsi="宋体" w:eastAsia="宋体" w:cs="宋体"/>
                <w:color w:val="auto"/>
                <w:szCs w:val="24"/>
                <w:highlight w:val="none"/>
                <w:lang w:val="en-US" w:eastAsia="zh-CN"/>
              </w:rPr>
              <w:t>2、对48个村资源化利用提升改造现有污水管网、设施未</w:t>
            </w:r>
            <w:r>
              <w:rPr>
                <w:rFonts w:hint="eastAsia" w:ascii="宋体" w:hAnsi="宋体" w:eastAsia="宋体" w:cs="宋体"/>
                <w:color w:val="auto"/>
                <w:szCs w:val="24"/>
                <w:highlight w:val="none"/>
                <w:lang w:val="en-US" w:eastAsia="zh-CN"/>
              </w:rPr>
              <w:t>覆盖</w:t>
            </w:r>
            <w:r>
              <w:rPr>
                <w:rFonts w:hint="default" w:ascii="宋体" w:hAnsi="宋体" w:eastAsia="宋体" w:cs="宋体"/>
                <w:color w:val="auto"/>
                <w:szCs w:val="24"/>
                <w:highlight w:val="none"/>
                <w:lang w:val="en-US" w:eastAsia="zh-CN"/>
              </w:rPr>
              <w:t>的空白村及存在短板的48个自然村</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主要以资源化利用为主</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新建DN200-DN300污水管道长度约1127.30m</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新建DN100-160入户管约9813m</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并设置塑料检査井201座</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破除及修复路面6597.45平方米</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新建厌氧强化预处理罐149座</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规模为1.0m3/d-3.0m3/d</w:t>
            </w:r>
            <w:r>
              <w:rPr>
                <w:rFonts w:hint="eastAsia" w:ascii="宋体" w:hAnsi="宋体" w:eastAsia="宋体" w:cs="宋体"/>
                <w:color w:val="auto"/>
                <w:szCs w:val="24"/>
                <w:highlight w:val="none"/>
                <w:lang w:val="en-US" w:eastAsia="zh-CN"/>
              </w:rPr>
              <w:t>，</w:t>
            </w:r>
            <w:r>
              <w:rPr>
                <w:rFonts w:hint="default" w:ascii="宋体" w:hAnsi="宋体" w:eastAsia="宋体" w:cs="宋体"/>
                <w:color w:val="auto"/>
                <w:szCs w:val="24"/>
                <w:highlight w:val="none"/>
                <w:lang w:val="en-US" w:eastAsia="zh-CN"/>
              </w:rPr>
              <w:t>补充现状化粪池增设手摇泵6处</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eastAsia="zh-CN"/>
              </w:rPr>
              <w:br w:type="textWrapping"/>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0"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本项目建安费2450.94万元，本次招标监理费45.45万元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4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项目建设范围内的施工监理（含施工准备阶段、施工阶段、工程竣工验收阶段、工程结算阶段及缺陷责任保修期阶段的监理服务）。</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Cs w:val="24"/>
                <w:highlight w:val="none"/>
              </w:rPr>
            </w:pPr>
            <w:r>
              <w:rPr>
                <w:rFonts w:hint="eastAsia" w:hAnsi="宋体" w:cs="宋体"/>
                <w:color w:val="auto"/>
                <w:szCs w:val="24"/>
                <w:highlight w:val="none"/>
              </w:rPr>
              <w:t xml:space="preserve">2.2 </w:t>
            </w:r>
            <w:r>
              <w:rPr>
                <w:rFonts w:hint="eastAsia" w:ascii="宋体" w:hAnsi="宋体" w:eastAsia="宋体" w:cs="宋体"/>
                <w:color w:val="auto"/>
                <w:szCs w:val="24"/>
                <w:highlight w:val="none"/>
              </w:rPr>
              <w:t>投标人须具备以下资质之一：①工程监理综合资质；②</w:t>
            </w:r>
            <w:r>
              <w:rPr>
                <w:rFonts w:hint="eastAsia" w:hAnsi="宋体" w:cs="宋体"/>
                <w:color w:val="auto"/>
                <w:szCs w:val="24"/>
                <w:highlight w:val="none"/>
                <w:lang w:val="en-US" w:eastAsia="zh-CN"/>
              </w:rPr>
              <w:t>市政公用</w:t>
            </w:r>
            <w:r>
              <w:rPr>
                <w:rFonts w:hint="eastAsia" w:ascii="宋体" w:hAnsi="宋体" w:eastAsia="宋体" w:cs="宋体"/>
                <w:color w:val="auto"/>
                <w:szCs w:val="24"/>
                <w:highlight w:val="none"/>
              </w:rPr>
              <w:t>工程监理乙级资质及以上（含</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3.1 拟派总监理工程师为</w:t>
            </w:r>
            <w:r>
              <w:rPr>
                <w:rFonts w:hint="eastAsia" w:hAnsi="宋体" w:cs="宋体"/>
                <w:color w:val="auto"/>
                <w:szCs w:val="24"/>
                <w:highlight w:val="none"/>
                <w:lang w:val="en-US" w:eastAsia="zh-CN"/>
              </w:rPr>
              <w:t>市政公用</w:t>
            </w:r>
            <w:r>
              <w:rPr>
                <w:rFonts w:hint="eastAsia" w:hAnsi="宋体" w:cs="宋体"/>
                <w:color w:val="auto"/>
                <w:szCs w:val="24"/>
                <w:highlight w:val="none"/>
              </w:rPr>
              <w:t>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（14）</w:t>
            </w:r>
            <w:r>
              <w:rPr>
                <w:rFonts w:hint="eastAsia" w:hAnsi="宋体" w:cs="宋体"/>
                <w:color w:val="auto"/>
                <w:kern w:val="0"/>
                <w:highlight w:val="none"/>
              </w:rPr>
              <w:t>被“信用中国”网站（https://www.creditchina.gov.cn）发布的《法人和非法人组织公共信用信息报告》列为严重失信主体名单的</w:t>
            </w:r>
            <w:r>
              <w:rPr>
                <w:rFonts w:hint="eastAsia" w:hAnsi="宋体" w:cs="宋体"/>
                <w:color w:val="auto"/>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4.2 招标人拒绝以下名单中的单位参加本次投标：</w:t>
            </w:r>
          </w:p>
          <w:tbl>
            <w:tblPr>
              <w:tblStyle w:val="31"/>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80"/>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80"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5B757AB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2880" w:type="dxa"/>
                  <w:noWrap w:val="0"/>
                  <w:vAlign w:val="center"/>
                </w:tcPr>
                <w:p w14:paraId="33309A4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翁源县周陂镇人民政府</w:t>
                  </w:r>
                </w:p>
              </w:tc>
              <w:tc>
                <w:tcPr>
                  <w:tcW w:w="2966" w:type="dxa"/>
                  <w:noWrap w:val="0"/>
                  <w:vAlign w:val="center"/>
                </w:tcPr>
                <w:p w14:paraId="3109F4A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28FEDDA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2880" w:type="dxa"/>
                  <w:noWrap w:val="0"/>
                  <w:vAlign w:val="center"/>
                </w:tcPr>
                <w:p w14:paraId="22B974F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汇龙工程咨询有限公司</w:t>
                  </w:r>
                </w:p>
              </w:tc>
              <w:tc>
                <w:tcPr>
                  <w:tcW w:w="2966" w:type="dxa"/>
                  <w:noWrap w:val="0"/>
                  <w:vAlign w:val="center"/>
                </w:tcPr>
                <w:p w14:paraId="3A221F21">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74118216">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2880" w:type="dxa"/>
                  <w:noWrap w:val="0"/>
                  <w:vAlign w:val="center"/>
                </w:tcPr>
                <w:p w14:paraId="0A3FF80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both"/>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广东省国际工程咨询有限公司</w:t>
                  </w:r>
                </w:p>
              </w:tc>
              <w:tc>
                <w:tcPr>
                  <w:tcW w:w="2966" w:type="dxa"/>
                  <w:noWrap w:val="0"/>
                  <w:vAlign w:val="center"/>
                </w:tcPr>
                <w:p w14:paraId="5C95264F">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r w14:paraId="7673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3A394F50">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w:t>
                  </w:r>
                </w:p>
              </w:tc>
              <w:tc>
                <w:tcPr>
                  <w:tcW w:w="2880" w:type="dxa"/>
                  <w:noWrap w:val="0"/>
                  <w:vAlign w:val="center"/>
                </w:tcPr>
                <w:p w14:paraId="0A1FA3FC">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国昇设计有限责任公司</w:t>
                  </w:r>
                </w:p>
              </w:tc>
              <w:tc>
                <w:tcPr>
                  <w:tcW w:w="2966" w:type="dxa"/>
                  <w:noWrap w:val="0"/>
                  <w:vAlign w:val="center"/>
                </w:tcPr>
                <w:p w14:paraId="16B69C97">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为本项目的</w:t>
                  </w:r>
                  <w:r>
                    <w:rPr>
                      <w:rFonts w:hint="eastAsia" w:ascii="宋体" w:hAnsi="宋体" w:cs="宋体"/>
                      <w:color w:val="auto"/>
                      <w:sz w:val="24"/>
                      <w:szCs w:val="24"/>
                      <w:highlight w:val="none"/>
                      <w:lang w:val="en-US" w:eastAsia="zh-CN"/>
                    </w:rPr>
                    <w:t>勘察设计</w:t>
                  </w:r>
                  <w:r>
                    <w:rPr>
                      <w:rFonts w:hint="eastAsia" w:ascii="宋体" w:hAnsi="宋体" w:eastAsia="宋体" w:cs="宋体"/>
                      <w:color w:val="auto"/>
                      <w:sz w:val="24"/>
                      <w:szCs w:val="24"/>
                      <w:highlight w:val="none"/>
                    </w:rPr>
                    <w:t>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本项目施工工期：</w:t>
            </w:r>
            <w:r>
              <w:rPr>
                <w:rFonts w:hint="eastAsia" w:hAnsi="宋体" w:cs="宋体"/>
                <w:snapToGrid w:val="0"/>
                <w:color w:val="auto"/>
                <w:kern w:val="0"/>
                <w:szCs w:val="24"/>
                <w:highlight w:val="none"/>
                <w:lang w:val="en-US" w:eastAsia="zh-CN"/>
              </w:rPr>
              <w:t>180</w:t>
            </w:r>
            <w:r>
              <w:rPr>
                <w:rFonts w:hint="eastAsia" w:hAnsi="宋体" w:cs="宋体"/>
                <w:snapToGrid w:val="0"/>
                <w:color w:val="auto"/>
                <w:kern w:val="0"/>
                <w:szCs w:val="24"/>
                <w:highlight w:val="none"/>
              </w:rPr>
              <w:t>日历天；监理服务期从监理合同签订之日起计，至本工程缺陷责任保修期结束且本工程结算金额经政府主管部门审定且双方的责任义务履行完毕时止。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bCs/>
                <w:color w:val="auto"/>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eastAsia="宋体" w:cs="宋体"/>
                <w:color w:val="auto"/>
                <w:highlight w:val="none"/>
                <w:lang w:eastAsia="zh-CN"/>
              </w:rPr>
            </w:pPr>
            <w:r>
              <w:rPr>
                <w:rFonts w:hint="eastAsia" w:hAnsi="宋体" w:cs="宋体"/>
                <w:color w:val="auto"/>
                <w:highlight w:val="none"/>
              </w:rPr>
              <w:t>1.投标人须缴纳金额为人民币</w:t>
            </w:r>
            <w:r>
              <w:rPr>
                <w:rFonts w:hint="eastAsia" w:hAnsi="宋体" w:cs="宋体"/>
                <w:color w:val="auto"/>
                <w:highlight w:val="none"/>
                <w:u w:val="single"/>
                <w:lang w:val="en-US" w:eastAsia="zh-CN"/>
              </w:rPr>
              <w:t xml:space="preserve">  8000.00  </w:t>
            </w:r>
            <w:r>
              <w:rPr>
                <w:rFonts w:hint="eastAsia" w:hAnsi="宋体" w:cs="宋体"/>
                <w:color w:val="auto"/>
                <w:highlight w:val="none"/>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本次招标的投标有效期为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投标文件包括商务标书、监理大纲</w:t>
            </w:r>
            <w:r>
              <w:rPr>
                <w:rFonts w:hint="eastAsia" w:hAnsi="宋体" w:cs="宋体"/>
                <w:snapToGrid w:val="0"/>
                <w:color w:val="auto"/>
                <w:kern w:val="0"/>
                <w:szCs w:val="24"/>
                <w:highlight w:val="none"/>
                <w:lang w:val="en-US" w:eastAsia="zh-CN"/>
              </w:rPr>
              <w:t>两</w:t>
            </w:r>
            <w:r>
              <w:rPr>
                <w:rFonts w:hint="eastAsia" w:hAnsi="宋体" w:cs="宋体"/>
                <w:snapToGrid w:val="0"/>
                <w:color w:val="auto"/>
                <w:kern w:val="0"/>
                <w:szCs w:val="24"/>
                <w:highlight w:val="none"/>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综合评估法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23</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本次招标监理大纲</w:t>
            </w:r>
            <w:r>
              <w:rPr>
                <w:rFonts w:hint="eastAsia" w:hAnsi="宋体" w:cs="宋体"/>
                <w:snapToGrid w:val="0"/>
                <w:color w:val="auto"/>
                <w:kern w:val="0"/>
                <w:szCs w:val="24"/>
                <w:highlight w:val="none"/>
                <w:u w:val="single"/>
              </w:rPr>
              <w:t xml:space="preserve"> 不采用 </w:t>
            </w:r>
            <w:r>
              <w:rPr>
                <w:rFonts w:hint="eastAsia" w:hAnsi="宋体" w:cs="宋体"/>
                <w:snapToGrid w:val="0"/>
                <w:color w:val="auto"/>
                <w:kern w:val="0"/>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评标委员会由</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人组成，其中招标人代表</w:t>
            </w:r>
            <w:r>
              <w:rPr>
                <w:rFonts w:hint="eastAsia" w:hAnsi="宋体" w:cs="宋体"/>
                <w:snapToGrid w:val="0"/>
                <w:color w:val="auto"/>
                <w:kern w:val="0"/>
                <w:szCs w:val="24"/>
                <w:highlight w:val="none"/>
                <w:u w:val="single"/>
              </w:rPr>
              <w:t xml:space="preserve"> 0 </w:t>
            </w:r>
            <w:r>
              <w:rPr>
                <w:rFonts w:hint="eastAsia" w:hAnsi="宋体" w:cs="宋体"/>
                <w:snapToGrid w:val="0"/>
                <w:color w:val="auto"/>
                <w:kern w:val="0"/>
                <w:szCs w:val="24"/>
                <w:highlight w:val="none"/>
              </w:rPr>
              <w:t>人，专家</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szCs w:val="24"/>
                <w:highlight w:val="none"/>
              </w:rPr>
              <w:t>中随机抽取，其中技术类专家</w:t>
            </w:r>
            <w:r>
              <w:rPr>
                <w:rFonts w:hint="eastAsia" w:hAnsi="宋体" w:cs="宋体"/>
                <w:snapToGrid w:val="0"/>
                <w:color w:val="auto"/>
                <w:kern w:val="0"/>
                <w:szCs w:val="24"/>
                <w:highlight w:val="none"/>
                <w:u w:val="single"/>
              </w:rPr>
              <w:t xml:space="preserve"> 3 </w:t>
            </w:r>
            <w:r>
              <w:rPr>
                <w:rFonts w:hint="eastAsia" w:hAnsi="宋体" w:cs="宋体"/>
                <w:snapToGrid w:val="0"/>
                <w:color w:val="auto"/>
                <w:kern w:val="0"/>
                <w:szCs w:val="24"/>
                <w:highlight w:val="none"/>
              </w:rPr>
              <w:t>人，经济类专家</w:t>
            </w:r>
            <w:r>
              <w:rPr>
                <w:rFonts w:hint="eastAsia" w:hAnsi="宋体" w:cs="宋体"/>
                <w:snapToGrid w:val="0"/>
                <w:color w:val="auto"/>
                <w:kern w:val="0"/>
                <w:szCs w:val="24"/>
                <w:highlight w:val="none"/>
                <w:u w:val="single"/>
              </w:rPr>
              <w:t xml:space="preserve"> 2 </w:t>
            </w:r>
            <w:r>
              <w:rPr>
                <w:rFonts w:hint="eastAsia" w:hAnsi="宋体" w:cs="宋体"/>
                <w:snapToGrid w:val="0"/>
                <w:color w:val="auto"/>
                <w:kern w:val="0"/>
                <w:szCs w:val="24"/>
                <w:highlight w:val="none"/>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5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7CA2CE30">
            <w:pPr>
              <w:pStyle w:val="28"/>
              <w:keepNext w:val="0"/>
              <w:keepLines w:val="0"/>
              <w:widowControl/>
              <w:suppressLineNumbers w:val="0"/>
              <w:wordWrap/>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招标人联系方式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511AD60">
            <w:pPr>
              <w:pStyle w:val="28"/>
              <w:keepNext w:val="0"/>
              <w:keepLines w:val="0"/>
              <w:widowControl/>
              <w:suppressLineNumbers w:val="0"/>
              <w:wordWrap/>
              <w:ind w:left="240" w:leftChars="100" w:firstLine="0" w:firstLineChars="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w:t>
            </w:r>
            <w:r>
              <w:rPr>
                <w:rFonts w:hint="eastAsia" w:cs="宋体"/>
                <w:snapToGrid w:val="0"/>
                <w:color w:val="auto"/>
                <w:kern w:val="0"/>
                <w:sz w:val="24"/>
                <w:szCs w:val="24"/>
                <w:highlight w:val="none"/>
                <w:lang w:val="en-US" w:eastAsia="zh-CN" w:bidi="ar-SA"/>
              </w:rPr>
              <w:t>翁源县周陂镇人民政府</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地址：</w:t>
            </w:r>
            <w:r>
              <w:rPr>
                <w:rFonts w:hint="eastAsia" w:ascii="宋体" w:hAnsi="宋体" w:eastAsia="宋体" w:cs="宋体"/>
                <w:color w:val="auto"/>
                <w:highlight w:val="none"/>
                <w:lang w:val="en-US" w:eastAsia="zh-CN"/>
              </w:rPr>
              <w:t>韶关市翁源县周陂镇康乐路一号</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联系人：</w:t>
            </w:r>
            <w:r>
              <w:rPr>
                <w:rFonts w:hint="eastAsia" w:ascii="宋体" w:hAnsi="宋体" w:eastAsia="宋体" w:cs="宋体"/>
                <w:color w:val="auto"/>
                <w:highlight w:val="none"/>
                <w:lang w:val="en-US" w:eastAsia="zh-CN"/>
              </w:rPr>
              <w:t>丘主任</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联系电话：</w:t>
            </w:r>
            <w:r>
              <w:rPr>
                <w:rFonts w:hint="eastAsia" w:ascii="宋体" w:hAnsi="宋体" w:eastAsia="宋体" w:cs="宋体"/>
                <w:color w:val="auto"/>
                <w:highlight w:val="none"/>
                <w:lang w:val="en-US" w:eastAsia="zh-CN"/>
              </w:rPr>
              <w:t>0751-2798686</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top"/>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cs="宋体"/>
                <w:snapToGrid w:val="0"/>
                <w:color w:val="auto"/>
                <w:kern w:val="0"/>
                <w:szCs w:val="24"/>
                <w:highlight w:val="none"/>
                <w:lang w:val="en-US" w:eastAsia="zh-CN"/>
              </w:rPr>
            </w:pPr>
            <w:r>
              <w:rPr>
                <w:rFonts w:hint="eastAsia" w:hAnsi="宋体" w:cs="宋体"/>
                <w:snapToGrid w:val="0"/>
                <w:color w:val="auto"/>
                <w:kern w:val="0"/>
                <w:szCs w:val="24"/>
                <w:highlight w:val="none"/>
              </w:rPr>
              <w:t>27</w:t>
            </w:r>
          </w:p>
        </w:tc>
        <w:tc>
          <w:tcPr>
            <w:tcW w:w="1725" w:type="dxa"/>
            <w:tcBorders>
              <w:top w:val="single" w:color="auto" w:sz="4" w:space="0"/>
              <w:left w:val="single" w:color="auto" w:sz="4" w:space="0"/>
              <w:bottom w:val="single" w:color="auto" w:sz="4" w:space="0"/>
              <w:right w:val="single" w:color="auto" w:sz="4" w:space="0"/>
            </w:tcBorders>
            <w:vAlign w:val="center"/>
          </w:tcPr>
          <w:p w14:paraId="61EAB285">
            <w:pPr>
              <w:pStyle w:val="28"/>
              <w:keepNext w:val="0"/>
              <w:keepLines w:val="0"/>
              <w:widowControl/>
              <w:suppressLineNumbers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招标代理机构联系方式</w:t>
            </w:r>
          </w:p>
        </w:tc>
        <w:tc>
          <w:tcPr>
            <w:tcW w:w="6856" w:type="dxa"/>
            <w:tcBorders>
              <w:top w:val="single" w:color="auto" w:sz="4" w:space="0"/>
              <w:left w:val="single" w:color="auto" w:sz="4" w:space="0"/>
              <w:bottom w:val="single" w:color="auto" w:sz="4" w:space="0"/>
              <w:right w:val="single" w:color="auto" w:sz="4" w:space="0"/>
            </w:tcBorders>
            <w:vAlign w:val="top"/>
          </w:tcPr>
          <w:p w14:paraId="455FD8F5">
            <w:pPr>
              <w:pStyle w:val="28"/>
              <w:keepNext w:val="0"/>
              <w:keepLines w:val="0"/>
              <w:widowControl/>
              <w:suppressLineNumbers w:val="0"/>
              <w:ind w:left="240" w:leftChars="100" w:firstLine="0" w:firstLineChars="0"/>
              <w:jc w:val="left"/>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单位名称：汇龙工程咨询有限公司</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办公地址：韶关市翁源县龙仙镇河口村日光小组文化室201房</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联系人：李</w:t>
            </w:r>
            <w:r>
              <w:rPr>
                <w:rFonts w:hint="eastAsia" w:cs="宋体"/>
                <w:snapToGrid w:val="0"/>
                <w:color w:val="auto"/>
                <w:kern w:val="0"/>
                <w:sz w:val="24"/>
                <w:szCs w:val="24"/>
                <w:highlight w:val="none"/>
                <w:lang w:val="en-US" w:eastAsia="zh-CN" w:bidi="ar-SA"/>
              </w:rPr>
              <w:t>媚</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电话：0751-2828218</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top"/>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cs="宋体"/>
                <w:snapToGrid w:val="0"/>
                <w:color w:val="auto"/>
                <w:kern w:val="0"/>
                <w:szCs w:val="24"/>
                <w:highlight w:val="none"/>
                <w:lang w:val="en-US" w:eastAsia="zh-CN"/>
              </w:rPr>
            </w:pPr>
            <w:r>
              <w:rPr>
                <w:rFonts w:hint="eastAsia" w:hAnsi="宋体" w:cs="宋体"/>
                <w:snapToGrid w:val="0"/>
                <w:color w:val="auto"/>
                <w:kern w:val="0"/>
                <w:szCs w:val="24"/>
                <w:highlight w:val="none"/>
              </w:rPr>
              <w:t>28</w:t>
            </w:r>
          </w:p>
        </w:tc>
        <w:tc>
          <w:tcPr>
            <w:tcW w:w="1725" w:type="dxa"/>
            <w:tcBorders>
              <w:top w:val="single" w:color="auto" w:sz="4" w:space="0"/>
              <w:left w:val="single" w:color="auto" w:sz="4" w:space="0"/>
              <w:bottom w:val="single" w:color="auto" w:sz="4" w:space="0"/>
              <w:right w:val="single" w:color="auto" w:sz="4" w:space="0"/>
            </w:tcBorders>
            <w:vAlign w:val="center"/>
          </w:tcPr>
          <w:p w14:paraId="39E802A2">
            <w:pPr>
              <w:pStyle w:val="28"/>
              <w:keepNext w:val="0"/>
              <w:keepLines w:val="0"/>
              <w:widowControl/>
              <w:suppressLineNumbers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交易场所联系方式</w:t>
            </w:r>
          </w:p>
        </w:tc>
        <w:tc>
          <w:tcPr>
            <w:tcW w:w="6856" w:type="dxa"/>
            <w:tcBorders>
              <w:top w:val="single" w:color="auto" w:sz="4" w:space="0"/>
              <w:left w:val="single" w:color="auto" w:sz="4" w:space="0"/>
              <w:bottom w:val="single" w:color="auto" w:sz="4" w:space="0"/>
              <w:right w:val="single" w:color="auto" w:sz="4" w:space="0"/>
            </w:tcBorders>
            <w:vAlign w:val="top"/>
          </w:tcPr>
          <w:p w14:paraId="52A159D9">
            <w:pPr>
              <w:pStyle w:val="28"/>
              <w:keepNext w:val="0"/>
              <w:keepLines w:val="0"/>
              <w:widowControl/>
              <w:suppressLineNumbers w:val="0"/>
              <w:ind w:left="240" w:leftChars="100" w:firstLine="0" w:firstLineChars="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单位名称：韶关市公共资源交易中心</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办公地址：翁源县龙仙镇朝阳路63号韶关市公共资源交易中心翁源分中心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联系人（部门）：工程交易股</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联系电话：0751-2815819</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top"/>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cs="宋体"/>
                <w:snapToGrid w:val="0"/>
                <w:color w:val="auto"/>
                <w:kern w:val="0"/>
                <w:szCs w:val="24"/>
                <w:highlight w:val="none"/>
                <w:lang w:val="en-US" w:eastAsia="zh-CN"/>
              </w:rPr>
            </w:pPr>
            <w:r>
              <w:rPr>
                <w:rFonts w:hint="eastAsia" w:hAnsi="宋体" w:cs="宋体"/>
                <w:snapToGrid w:val="0"/>
                <w:color w:val="auto"/>
                <w:kern w:val="0"/>
                <w:szCs w:val="24"/>
                <w:highlight w:val="none"/>
              </w:rPr>
              <w:t>29</w:t>
            </w:r>
          </w:p>
        </w:tc>
        <w:tc>
          <w:tcPr>
            <w:tcW w:w="1725" w:type="dxa"/>
            <w:tcBorders>
              <w:top w:val="single" w:color="auto" w:sz="4" w:space="0"/>
              <w:left w:val="single" w:color="auto" w:sz="4" w:space="0"/>
              <w:bottom w:val="single" w:color="auto" w:sz="4" w:space="0"/>
              <w:right w:val="single" w:color="auto" w:sz="4" w:space="0"/>
            </w:tcBorders>
            <w:vAlign w:val="center"/>
          </w:tcPr>
          <w:p w14:paraId="7D06EA50">
            <w:pPr>
              <w:pStyle w:val="28"/>
              <w:keepNext w:val="0"/>
              <w:keepLines w:val="0"/>
              <w:widowControl/>
              <w:suppressLineNumbers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行政监督部门联系方式</w:t>
            </w:r>
          </w:p>
        </w:tc>
        <w:tc>
          <w:tcPr>
            <w:tcW w:w="6856" w:type="dxa"/>
            <w:tcBorders>
              <w:top w:val="single" w:color="auto" w:sz="4" w:space="0"/>
              <w:left w:val="single" w:color="auto" w:sz="4" w:space="0"/>
              <w:bottom w:val="single" w:color="auto" w:sz="4" w:space="0"/>
              <w:right w:val="single" w:color="auto" w:sz="4" w:space="0"/>
            </w:tcBorders>
            <w:vAlign w:val="top"/>
          </w:tcPr>
          <w:p w14:paraId="38D48A3B">
            <w:pPr>
              <w:pStyle w:val="28"/>
              <w:keepNext w:val="0"/>
              <w:keepLines w:val="0"/>
              <w:widowControl/>
              <w:suppressLineNumbers w:val="0"/>
              <w:ind w:left="240" w:leftChars="100" w:firstLine="0" w:firstLineChars="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单位名称：翁源县农业农村局</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办公地址：翁源县龙仙镇建设一路253号</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联系人（部门）：农促股</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联系电话：0751-2873197</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2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bookmarkStart w:id="5" w:name="_Toc122859103"/>
            <w:bookmarkStart w:id="6" w:name="_Toc122671103"/>
            <w:bookmarkStart w:id="7" w:name="_Toc122769943"/>
            <w:r>
              <w:rPr>
                <w:rFonts w:hint="eastAsia" w:hAnsi="宋体" w:cs="宋体"/>
                <w:snapToGrid w:val="0"/>
                <w:color w:val="auto"/>
                <w:kern w:val="0"/>
                <w:szCs w:val="24"/>
                <w:highlight w:val="none"/>
              </w:rPr>
              <w:t>3</w:t>
            </w:r>
            <w:r>
              <w:rPr>
                <w:rFonts w:hint="eastAsia" w:hAnsi="宋体" w:cs="宋体"/>
                <w:snapToGrid w:val="0"/>
                <w:color w:val="auto"/>
                <w:kern w:val="0"/>
                <w:szCs w:val="24"/>
                <w:highlight w:val="none"/>
                <w:lang w:val="en-US" w:eastAsia="zh-CN"/>
              </w:rPr>
              <w:t>0</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其他费用</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本工程的招标代理服务费由中标人支付，该费用不再另行报价，由投标人在投标报价时综合考虑在内。中标人须向招标代理机构一次性支付（招标代理服务费：参照《关于印发&lt;招标代理服务收费管理暂行办法&gt;通知》[2002]1980号文以中标价为基数，</w:t>
            </w:r>
            <w:r>
              <w:rPr>
                <w:rFonts w:hint="eastAsia" w:ascii="宋体" w:hAnsi="宋体" w:eastAsia="宋体" w:cs="宋体"/>
                <w:snapToGrid w:val="0"/>
                <w:color w:val="auto"/>
                <w:kern w:val="0"/>
                <w:sz w:val="24"/>
                <w:szCs w:val="24"/>
                <w:highlight w:val="none"/>
                <w:lang w:val="en-US" w:eastAsia="zh-CN"/>
              </w:rPr>
              <w:t>中标人在领取中标通知书前须向招标代理机构一次性支付本项目的招标代理服务费。</w:t>
            </w:r>
            <w:r>
              <w:rPr>
                <w:rFonts w:hint="eastAsia" w:asciiTheme="minorEastAsia" w:hAnsiTheme="minorEastAsia" w:eastAsiaTheme="minorEastAsia" w:cstheme="minorEastAsia"/>
                <w:snapToGrid w:val="0"/>
                <w:color w:val="auto"/>
                <w:kern w:val="0"/>
                <w:sz w:val="24"/>
                <w:szCs w:val="24"/>
                <w:highlight w:val="none"/>
                <w:lang w:val="en-US" w:eastAsia="zh-CN"/>
              </w:rPr>
              <w:t>具体以签订的合同为准。</w:t>
            </w:r>
          </w:p>
        </w:tc>
      </w:tr>
    </w:tbl>
    <w:p w14:paraId="4F29BA6C">
      <w:pPr>
        <w:pStyle w:val="4"/>
        <w:wordWrap w:val="0"/>
        <w:autoSpaceDE/>
        <w:autoSpaceDN/>
        <w:snapToGrid w:val="0"/>
        <w:spacing w:before="260" w:after="260" w:line="440" w:lineRule="exact"/>
        <w:jc w:val="both"/>
        <w:rPr>
          <w:rFonts w:ascii="Times New Roman"/>
          <w:b/>
          <w:snapToGrid w:val="0"/>
          <w:color w:val="auto"/>
          <w:highlight w:val="none"/>
        </w:rPr>
        <w:sectPr>
          <w:footerReference r:id="rId8" w:type="default"/>
          <w:endnotePr>
            <w:numFmt w:val="decimal"/>
          </w:endnotePr>
          <w:pgSz w:w="11906" w:h="16838"/>
          <w:pgMar w:top="1417" w:right="1417" w:bottom="1417" w:left="1417" w:header="850" w:footer="992" w:gutter="0"/>
          <w:pgNumType w:fmt="decimal" w:start="1"/>
          <w:cols w:space="0" w:num="1"/>
          <w:docGrid w:linePitch="327" w:charSpace="0"/>
        </w:sectPr>
      </w:pPr>
    </w:p>
    <w:p w14:paraId="21CE9C32">
      <w:pPr>
        <w:pStyle w:val="4"/>
        <w:wordWrap w:val="0"/>
        <w:autoSpaceDE/>
        <w:autoSpaceDN/>
        <w:snapToGrid w:val="0"/>
        <w:spacing w:after="120" w:afterLines="50" w:line="440" w:lineRule="exact"/>
        <w:jc w:val="both"/>
        <w:rPr>
          <w:rFonts w:ascii="Times New Roman"/>
          <w:snapToGrid w:val="0"/>
          <w:color w:val="auto"/>
          <w:highlight w:val="none"/>
        </w:rPr>
      </w:pPr>
      <w:bookmarkStart w:id="8" w:name="_Toc714"/>
      <w:bookmarkStart w:id="9" w:name="_Toc32522"/>
      <w:r>
        <w:rPr>
          <w:rFonts w:hint="eastAsia" w:ascii="Times New Roman"/>
          <w:b/>
          <w:snapToGrid w:val="0"/>
          <w:color w:val="auto"/>
          <w:highlight w:val="none"/>
        </w:rPr>
        <w:t>第二节 重要事项时间地点一览表</w:t>
      </w:r>
      <w:bookmarkEnd w:id="8"/>
      <w:bookmarkEnd w:id="9"/>
    </w:p>
    <w:tbl>
      <w:tblPr>
        <w:tblStyle w:val="31"/>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67316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1B6C0CD">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0797CB9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招标公告</w:t>
            </w:r>
          </w:p>
          <w:p w14:paraId="13F62A2A">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F4E5CEF">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24</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17</w:t>
            </w:r>
            <w:bookmarkStart w:id="351" w:name="_GoBack"/>
            <w:bookmarkEnd w:id="351"/>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5A0D2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1FD2847">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6D4969C3">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8D661A0">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14</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7B0509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BDAC1CA">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6259627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网上提问</w:t>
            </w:r>
          </w:p>
          <w:p w14:paraId="57C3AED6">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5370E150">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101064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A03DB83">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4D015354">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网上答疑</w:t>
            </w:r>
          </w:p>
          <w:p w14:paraId="2D7C8154">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58246610">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30 </w:t>
            </w:r>
            <w:r>
              <w:rPr>
                <w:rFonts w:hint="eastAsia" w:ascii="宋体" w:hAnsi="宋体" w:eastAsia="宋体" w:cs="宋体"/>
                <w:color w:val="auto"/>
                <w:kern w:val="0"/>
                <w:sz w:val="24"/>
                <w:szCs w:val="24"/>
                <w:highlight w:val="none"/>
                <w:lang w:val="en-US" w:eastAsia="zh-CN" w:bidi="ar-SA"/>
              </w:rPr>
              <w:t>分至</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cs="宋体"/>
                <w:color w:val="auto"/>
                <w:kern w:val="0"/>
                <w:sz w:val="24"/>
                <w:szCs w:val="24"/>
                <w:highlight w:val="none"/>
                <w:u w:val="single"/>
                <w:lang w:val="en-US" w:eastAsia="zh-CN" w:bidi="ar-SA"/>
              </w:rPr>
              <w:t>0</w:t>
            </w:r>
            <w:r>
              <w:rPr>
                <w:rFonts w:hint="eastAsia" w:ascii="宋体" w:hAnsi="宋体" w:eastAsia="宋体" w:cs="宋体"/>
                <w:color w:val="auto"/>
                <w:kern w:val="0"/>
                <w:sz w:val="24"/>
                <w:szCs w:val="24"/>
                <w:highlight w:val="none"/>
                <w:u w:val="single"/>
                <w:lang w:val="en-US" w:eastAsia="zh-CN" w:bidi="ar-SA"/>
              </w:rPr>
              <w:t>0</w:t>
            </w:r>
            <w:r>
              <w:rPr>
                <w:rFonts w:hint="eastAsia" w:ascii="宋体" w:hAnsi="宋体" w:eastAsia="宋体" w:cs="宋体"/>
                <w:color w:val="auto"/>
                <w:kern w:val="0"/>
                <w:sz w:val="24"/>
                <w:szCs w:val="24"/>
                <w:highlight w:val="none"/>
                <w:lang w:val="en-US" w:eastAsia="zh-CN" w:bidi="ar-SA"/>
              </w:rPr>
              <w:t>分</w:t>
            </w:r>
          </w:p>
        </w:tc>
      </w:tr>
      <w:tr w14:paraId="38C9A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085E5DA">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4FE4E15B">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投标保证缴</w:t>
            </w:r>
          </w:p>
          <w:p w14:paraId="534BCB01">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5C00812F">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投标保证金到账截止时间：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13</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4FD62677">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投标保证担保上传截止时间：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13</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02A26BBC">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投标保证保险投保截止时间：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13</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19C78D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3AED9F60">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35292E2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电子投标</w:t>
            </w:r>
          </w:p>
          <w:p w14:paraId="083CEE5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17827926">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14</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2E7ED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AE7DCF3">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16535467">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投标相关资料（如有）</w:t>
            </w:r>
          </w:p>
          <w:p w14:paraId="326B11F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2B87C0CA">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14</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分至</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14</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58858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5E5C405">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382D945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投标相关资料（如有）</w:t>
            </w:r>
          </w:p>
          <w:p w14:paraId="7752393B">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4046774B">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递交场所： 韶关市公共资源交易中心</w:t>
            </w:r>
            <w:r>
              <w:rPr>
                <w:rFonts w:hint="eastAsia" w:asciiTheme="minorEastAsia" w:hAnsiTheme="minorEastAsia" w:eastAsiaTheme="minorEastAsia" w:cstheme="minorEastAsia"/>
                <w:snapToGrid w:val="0"/>
                <w:color w:val="auto"/>
                <w:kern w:val="0"/>
                <w:sz w:val="24"/>
                <w:szCs w:val="24"/>
                <w:highlight w:val="none"/>
                <w:lang w:val="en-US" w:eastAsia="zh-CN"/>
              </w:rPr>
              <w:t>翁源分中心</w:t>
            </w:r>
            <w:r>
              <w:rPr>
                <w:rFonts w:hint="eastAsia" w:ascii="宋体" w:hAnsi="宋体" w:eastAsia="宋体" w:cs="宋体"/>
                <w:snapToGrid w:val="0"/>
                <w:color w:val="auto"/>
                <w:kern w:val="0"/>
                <w:sz w:val="24"/>
                <w:szCs w:val="24"/>
                <w:highlight w:val="none"/>
                <w:lang w:val="en-US" w:eastAsia="zh-CN" w:bidi="ar-SA"/>
              </w:rPr>
              <w:t>，地址：</w:t>
            </w:r>
            <w:r>
              <w:rPr>
                <w:rFonts w:hint="eastAsia" w:asciiTheme="minorEastAsia" w:hAnsiTheme="minorEastAsia" w:eastAsiaTheme="minorEastAsia" w:cstheme="minorEastAsia"/>
                <w:snapToGrid w:val="0"/>
                <w:color w:val="auto"/>
                <w:kern w:val="0"/>
                <w:sz w:val="24"/>
                <w:szCs w:val="24"/>
                <w:highlight w:val="none"/>
                <w:lang w:val="en-US" w:eastAsia="zh-CN"/>
              </w:rPr>
              <w:t>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t>，具体房间号以当日现场通知为准。</w:t>
            </w:r>
          </w:p>
        </w:tc>
      </w:tr>
      <w:tr w14:paraId="3AE67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A26C4B5">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25C68903">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ED0604D">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14</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15756B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C43D769">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17EE823E">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1FC1AD23">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开标地点： 韶关市公共资源交易中心</w:t>
            </w:r>
            <w:r>
              <w:rPr>
                <w:rFonts w:hint="eastAsia" w:asciiTheme="minorEastAsia" w:hAnsiTheme="minorEastAsia" w:eastAsiaTheme="minorEastAsia" w:cstheme="minorEastAsia"/>
                <w:snapToGrid w:val="0"/>
                <w:color w:val="auto"/>
                <w:kern w:val="0"/>
                <w:sz w:val="24"/>
                <w:szCs w:val="24"/>
                <w:highlight w:val="none"/>
                <w:lang w:val="en-US" w:eastAsia="zh-CN"/>
              </w:rPr>
              <w:t>翁源</w:t>
            </w:r>
            <w:r>
              <w:rPr>
                <w:rFonts w:hint="eastAsia" w:ascii="宋体" w:hAnsi="宋体" w:eastAsia="宋体" w:cs="宋体"/>
                <w:snapToGrid w:val="0"/>
                <w:color w:val="auto"/>
                <w:kern w:val="0"/>
                <w:sz w:val="24"/>
                <w:szCs w:val="24"/>
                <w:highlight w:val="none"/>
                <w:lang w:val="en-US" w:eastAsia="zh-CN" w:bidi="ar-SA"/>
              </w:rPr>
              <w:t>分中心，地址：</w:t>
            </w:r>
            <w:r>
              <w:rPr>
                <w:rFonts w:hint="eastAsia" w:asciiTheme="minorEastAsia" w:hAnsiTheme="minorEastAsia" w:eastAsiaTheme="minorEastAsia" w:cstheme="minorEastAsia"/>
                <w:snapToGrid w:val="0"/>
                <w:color w:val="auto"/>
                <w:kern w:val="0"/>
                <w:sz w:val="24"/>
                <w:szCs w:val="24"/>
                <w:highlight w:val="none"/>
                <w:lang w:val="en-US" w:eastAsia="zh-CN"/>
              </w:rPr>
              <w:t>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t>，具体房间号以当日现场通知为准。</w:t>
            </w:r>
          </w:p>
        </w:tc>
      </w:tr>
      <w:tr w14:paraId="3B00E9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1338FC7C">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09CD714A">
            <w:pPr>
              <w:pStyle w:val="90"/>
              <w:keepNext w:val="0"/>
              <w:keepLines w:val="0"/>
              <w:pageBreakBefore w:val="0"/>
              <w:widowControl w:val="0"/>
              <w:kinsoku/>
              <w:wordWrap w:val="0"/>
              <w:overflowPunct/>
              <w:topLinePunct/>
              <w:autoSpaceDE/>
              <w:autoSpaceDN/>
              <w:bidi w:val="0"/>
              <w:adjustRightInd w:val="0"/>
              <w:snapToGrid w:val="0"/>
              <w:spacing w:line="400" w:lineRule="exact"/>
              <w:ind w:right="96" w:rightChars="40" w:firstLine="240" w:firstLineChars="1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2ED65E25">
      <w:pPr>
        <w:pStyle w:val="42"/>
        <w:rPr>
          <w:color w:val="auto"/>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29916"/>
      <w:bookmarkStart w:id="12" w:name="_Toc16304"/>
      <w:bookmarkStart w:id="13" w:name="_Hlt69698705"/>
      <w:bookmarkStart w:id="14" w:name="_Hlt69698754"/>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1CAD0699">
      <w:pPr>
        <w:pStyle w:val="10"/>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hAnsi="宋体" w:cs="宋体"/>
          <w:color w:val="auto"/>
          <w:sz w:val="24"/>
          <w:szCs w:val="24"/>
          <w:highlight w:val="none"/>
          <w:u w:val="single"/>
          <w:lang w:val="en-US" w:eastAsia="zh-CN"/>
        </w:rPr>
        <w:t>翁源县“百千万工程”之全域推进农村人居环境整治建设项目-周陂镇农村生活污水治理建设项目施工监理</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hAnsi="宋体" w:cs="宋体"/>
          <w:b w:val="0"/>
          <w:bCs w:val="0"/>
          <w:color w:val="auto"/>
          <w:kern w:val="0"/>
          <w:sz w:val="24"/>
          <w:szCs w:val="22"/>
          <w:highlight w:val="none"/>
          <w:u w:val="single"/>
          <w:lang w:val="en-US" w:eastAsia="zh-CN"/>
        </w:rPr>
        <w:t>翁源县发展和改革局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u w:val="single"/>
          <w:lang w:eastAsia="zh-CN"/>
        </w:rPr>
        <w:t>《翁源县发展和改革局关于翁源县“百千万工程”之全域推进农村人居环境整治建设项目可行性研究报告的批复》（翁发改投审〔2025〕25号）</w:t>
      </w:r>
      <w:r>
        <w:rPr>
          <w:rFonts w:hint="eastAsia" w:ascii="宋体" w:hAnsi="宋体" w:eastAsia="宋体" w:cs="宋体"/>
          <w:color w:val="auto"/>
          <w:kern w:val="0"/>
          <w:sz w:val="24"/>
          <w:szCs w:val="22"/>
          <w:highlight w:val="none"/>
        </w:rPr>
        <w:t>文批准建设，项目代码为</w:t>
      </w:r>
      <w:r>
        <w:rPr>
          <w:rFonts w:hint="eastAsia" w:ascii="宋体" w:hAnsi="宋体" w:eastAsia="宋体" w:cs="宋体"/>
          <w:color w:val="auto"/>
          <w:kern w:val="0"/>
          <w:sz w:val="24"/>
          <w:szCs w:val="22"/>
          <w:highlight w:val="none"/>
          <w:u w:val="single"/>
          <w:lang w:val="en-US" w:eastAsia="zh-CN"/>
        </w:rPr>
        <w:t>2412-440229-04-01-525170</w:t>
      </w:r>
      <w:r>
        <w:rPr>
          <w:rFonts w:hint="eastAsia" w:ascii="宋体" w:hAnsi="宋体" w:eastAsia="宋体" w:cs="宋体"/>
          <w:color w:val="auto"/>
          <w:kern w:val="0"/>
          <w:sz w:val="24"/>
          <w:szCs w:val="22"/>
          <w:highlight w:val="none"/>
        </w:rPr>
        <w:t>。本项目业主为</w:t>
      </w:r>
      <w:r>
        <w:rPr>
          <w:rFonts w:hint="eastAsia" w:hAnsi="宋体" w:cs="宋体"/>
          <w:color w:val="auto"/>
          <w:kern w:val="0"/>
          <w:sz w:val="24"/>
          <w:szCs w:val="22"/>
          <w:highlight w:val="none"/>
          <w:u w:val="single"/>
          <w:lang w:val="en-US" w:eastAsia="zh-CN"/>
        </w:rPr>
        <w:t>翁源县农业农村局</w:t>
      </w:r>
      <w:r>
        <w:rPr>
          <w:rFonts w:hint="eastAsia" w:ascii="宋体" w:hAnsi="宋体" w:eastAsia="宋体" w:cs="宋体"/>
          <w:color w:val="auto"/>
          <w:kern w:val="0"/>
          <w:sz w:val="24"/>
          <w:szCs w:val="22"/>
          <w:highlight w:val="none"/>
        </w:rPr>
        <w:t>，建设资金来自</w:t>
      </w:r>
      <w:r>
        <w:rPr>
          <w:rFonts w:hint="eastAsia" w:hAnsi="宋体" w:cs="宋体"/>
          <w:color w:val="auto"/>
          <w:kern w:val="0"/>
          <w:sz w:val="24"/>
          <w:szCs w:val="22"/>
          <w:highlight w:val="none"/>
          <w:u w:val="single"/>
          <w:lang w:val="en-US" w:eastAsia="zh-CN"/>
        </w:rPr>
        <w:t>争取地方政府专项债券资金及上级专项资金解决，不足部分由县级财政统筹解决</w:t>
      </w:r>
      <w:r>
        <w:rPr>
          <w:rFonts w:hint="eastAsia" w:ascii="宋体" w:hAnsi="宋体" w:eastAsia="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rPr>
        <w:t>翁源县周陂镇人民政府</w:t>
      </w:r>
      <w:r>
        <w:rPr>
          <w:rFonts w:hint="eastAsia" w:ascii="宋体" w:hAnsi="宋体" w:eastAsia="宋体" w:cs="宋体"/>
          <w:color w:val="auto"/>
          <w:kern w:val="0"/>
          <w:sz w:val="24"/>
          <w:szCs w:val="22"/>
          <w:highlight w:val="none"/>
        </w:rPr>
        <w:t>，招标代理机构为</w:t>
      </w:r>
      <w:r>
        <w:rPr>
          <w:rFonts w:hint="eastAsia" w:hAnsi="宋体" w:cs="宋体"/>
          <w:color w:val="auto"/>
          <w:kern w:val="0"/>
          <w:sz w:val="24"/>
          <w:szCs w:val="22"/>
          <w:highlight w:val="none"/>
          <w:u w:val="single"/>
          <w:lang w:val="en-US" w:eastAsia="zh-CN"/>
        </w:rPr>
        <w:t>汇龙工程咨询有限公司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val="en-US" w:eastAsia="zh-CN"/>
        </w:rPr>
        <w:t>施工监理服务</w:t>
      </w:r>
      <w:r>
        <w:rPr>
          <w:rFonts w:hint="eastAsia" w:ascii="宋体" w:hAnsi="宋体" w:eastAsia="宋体" w:cs="宋体"/>
          <w:color w:val="auto"/>
          <w:kern w:val="0"/>
          <w:sz w:val="24"/>
          <w:szCs w:val="22"/>
          <w:highlight w:val="none"/>
        </w:rPr>
        <w:t>进行公开招标。</w:t>
      </w:r>
    </w:p>
    <w:p w14:paraId="6E939B6A">
      <w:pPr>
        <w:pStyle w:val="90"/>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bookmarkStart w:id="16" w:name="_Toc9487"/>
      <w:r>
        <w:rPr>
          <w:rFonts w:hint="eastAsia"/>
          <w:b/>
          <w:bCs/>
          <w:snapToGrid w:val="0"/>
          <w:color w:val="auto"/>
          <w:kern w:val="0"/>
          <w:sz w:val="24"/>
          <w:highlight w:val="none"/>
        </w:rPr>
        <w:t>1．项目概况、招标范围和标段划分、投标费用</w:t>
      </w:r>
      <w:bookmarkEnd w:id="16"/>
    </w:p>
    <w:p w14:paraId="5A9B532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457EF3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w:t>
      </w:r>
      <w:r>
        <w:rPr>
          <w:rFonts w:hint="eastAsia" w:hAnsi="宋体" w:eastAsia="宋体" w:cs="宋体"/>
          <w:snapToGrid w:val="0"/>
          <w:color w:val="auto"/>
          <w:kern w:val="0"/>
          <w:sz w:val="24"/>
          <w:szCs w:val="24"/>
          <w:highlight w:val="none"/>
          <w:lang w:eastAsia="zh-CN"/>
        </w:rPr>
        <w:t>韶关市翁源县</w:t>
      </w:r>
      <w:r>
        <w:rPr>
          <w:rFonts w:hint="eastAsia" w:hAnsi="宋体" w:eastAsia="宋体" w:cs="宋体"/>
          <w:color w:val="auto"/>
          <w:szCs w:val="24"/>
          <w:highlight w:val="none"/>
          <w:lang w:eastAsia="zh-CN"/>
        </w:rPr>
        <w:t>周陂镇</w:t>
      </w:r>
    </w:p>
    <w:p w14:paraId="6DB261C8">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before="0" w:beforeLines="0" w:after="0" w:afterLines="0" w:line="460" w:lineRule="exact"/>
        <w:ind w:left="0" w:leftChars="0" w:right="0" w:rightChars="0" w:firstLine="480" w:firstLineChars="0"/>
        <w:jc w:val="left"/>
        <w:textAlignment w:val="auto"/>
        <w:outlineLvl w:val="9"/>
        <w:rPr>
          <w:rFonts w:hint="eastAsia" w:ascii="宋体" w:hAnsi="宋体" w:eastAsia="宋体" w:cs="宋体"/>
          <w:snapToGrid w:val="0"/>
          <w:color w:val="auto"/>
          <w:kern w:val="0"/>
          <w:sz w:val="24"/>
          <w:szCs w:val="24"/>
          <w:highlight w:val="none"/>
          <w:u w:val="single"/>
          <w:lang w:val="en-US" w:eastAsia="zh-CN" w:bidi="ar-SA"/>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w:t>
      </w:r>
      <w:r>
        <w:rPr>
          <w:rFonts w:hint="eastAsia" w:ascii="宋体" w:hAnsi="宋体" w:eastAsia="宋体" w:cs="宋体"/>
          <w:snapToGrid w:val="0"/>
          <w:color w:val="auto"/>
          <w:kern w:val="0"/>
          <w:sz w:val="24"/>
          <w:szCs w:val="24"/>
          <w:highlight w:val="none"/>
          <w:u w:val="single"/>
          <w:lang w:val="en-US" w:eastAsia="zh-CN" w:bidi="ar-SA"/>
        </w:rPr>
        <w:t>1、对现有87个自然村未达标，主要是接户管、支管不完善、主管毁坏或淤塞、检査井被覆盖、位置不合理以及部分设施损坏等，需要进行完善、提升或者改造。新建 DN200-DN300污水管道长度约3191.80m；新建DN100-160入户管约19878.50m，并设置塑料检査井2771座，破除及修复路面29726.95平方米，新建厌氧强化预处理罐136座，规模为1.0m3/d-10.0m3/d。</w:t>
      </w:r>
    </w:p>
    <w:p w14:paraId="09F67571">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before="0" w:beforeLines="0" w:after="0" w:afterLines="0" w:line="460" w:lineRule="exact"/>
        <w:ind w:left="0" w:leftChars="0" w:right="0" w:rightChars="0" w:firstLine="480" w:firstLineChars="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snapToGrid w:val="0"/>
          <w:color w:val="auto"/>
          <w:kern w:val="0"/>
          <w:sz w:val="24"/>
          <w:szCs w:val="24"/>
          <w:highlight w:val="none"/>
          <w:u w:val="single"/>
          <w:lang w:val="en-US" w:eastAsia="zh-CN" w:bidi="ar-SA"/>
        </w:rPr>
        <w:t>2、对48个村资源化利用提升改造现有污水管网、设施未覆盖的空白村及存在短板的48个自然村。主要以资源化利用为主，新建DN200-DN300污水管道长度约1127.30m；新建DN100-160入户管约9813m，并设置塑料检査井201座，破除及修复路面6597.45平方米，新建厌氧强化预处理罐149座，规模为1.0m3/d-3.0m3/d，补充现状化粪池增设手摇泵6处。</w:t>
      </w:r>
    </w:p>
    <w:p w14:paraId="051152AF">
      <w:pPr>
        <w:pStyle w:val="90"/>
        <w:keepNext w:val="0"/>
        <w:keepLines w:val="0"/>
        <w:pageBreakBefore w:val="0"/>
        <w:wordWrap w:val="0"/>
        <w:topLinePunct w:val="0"/>
        <w:bidi w:val="0"/>
        <w:adjustRightInd w:val="0"/>
        <w:snapToGrid w:val="0"/>
        <w:spacing w:line="500" w:lineRule="exact"/>
        <w:ind w:left="480" w:leftChars="200" w:firstLine="0" w:firstLineChars="0"/>
        <w:jc w:val="left"/>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rPr>
        <w:t xml:space="preserve">1.1.3 </w:t>
      </w:r>
      <w:r>
        <w:rPr>
          <w:rFonts w:hint="eastAsia" w:ascii="宋体" w:hAnsi="宋体" w:eastAsia="宋体" w:cs="宋体"/>
          <w:snapToGrid w:val="0"/>
          <w:color w:val="auto"/>
          <w:kern w:val="0"/>
          <w:sz w:val="24"/>
          <w:szCs w:val="24"/>
          <w:highlight w:val="none"/>
          <w:lang w:val="en-US" w:eastAsia="zh-CN"/>
        </w:rPr>
        <w:t>项目总投资：</w:t>
      </w:r>
      <w:r>
        <w:rPr>
          <w:rFonts w:hint="eastAsia" w:ascii="宋体" w:hAnsi="宋体" w:eastAsia="宋体" w:cs="宋体"/>
          <w:b w:val="0"/>
          <w:bCs w:val="0"/>
          <w:color w:val="auto"/>
          <w:sz w:val="24"/>
          <w:szCs w:val="24"/>
          <w:highlight w:val="none"/>
          <w:lang w:val="en-US" w:eastAsia="zh-CN"/>
        </w:rPr>
        <w:t>本项目建安费2450.94万元，</w:t>
      </w:r>
      <w:r>
        <w:rPr>
          <w:rFonts w:hint="eastAsia" w:ascii="宋体" w:hAnsi="宋体" w:cs="宋体"/>
          <w:snapToGrid w:val="0"/>
          <w:color w:val="auto"/>
          <w:kern w:val="0"/>
          <w:sz w:val="24"/>
          <w:szCs w:val="24"/>
          <w:highlight w:val="none"/>
          <w:lang w:val="en-US" w:eastAsia="zh-CN"/>
        </w:rPr>
        <w:t>本次招标监理费45.45万元。</w:t>
      </w:r>
    </w:p>
    <w:p w14:paraId="737B5441">
      <w:pPr>
        <w:pStyle w:val="90"/>
        <w:keepNext w:val="0"/>
        <w:keepLines w:val="0"/>
        <w:pageBreakBefore w:val="0"/>
        <w:wordWrap w:val="0"/>
        <w:topLinePunct w:val="0"/>
        <w:bidi w:val="0"/>
        <w:adjustRightInd w:val="0"/>
        <w:snapToGrid w:val="0"/>
        <w:spacing w:line="500" w:lineRule="exact"/>
        <w:ind w:left="480" w:leftChars="200" w:firstLine="0" w:firstLineChars="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pStyle w:val="90"/>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监理：项目建设范围内的施工监理（含施工准备阶段、施工阶段、工程竣工验收阶段、工程结算阶段及缺陷责任保修期阶段的监理服务）。</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90"/>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7" w:name="_Toc31795"/>
      <w:bookmarkStart w:id="18" w:name="_Toc31535"/>
      <w:r>
        <w:rPr>
          <w:rFonts w:hint="eastAsia"/>
          <w:b/>
          <w:bCs/>
          <w:snapToGrid w:val="0"/>
          <w:color w:val="auto"/>
          <w:kern w:val="0"/>
          <w:sz w:val="24"/>
          <w:highlight w:val="none"/>
        </w:rPr>
        <w:t>2．投标人资格要求</w:t>
      </w:r>
      <w:bookmarkEnd w:id="17"/>
      <w:bookmarkEnd w:id="18"/>
      <w:bookmarkStart w:id="19" w:name="_Hlt74496495"/>
      <w:bookmarkEnd w:id="19"/>
    </w:p>
    <w:p w14:paraId="229AFBAA">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本次招标不接受联合体投标。</w:t>
      </w:r>
    </w:p>
    <w:p w14:paraId="376870E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eastAsia="宋体" w:cs="宋体"/>
          <w:color w:val="auto"/>
          <w:szCs w:val="24"/>
          <w:highlight w:val="none"/>
        </w:rPr>
        <w:t>投标人须具备以下资质之一：①工程监理综合资质；②</w:t>
      </w:r>
      <w:r>
        <w:rPr>
          <w:rFonts w:hint="eastAsia" w:hAnsi="宋体" w:cs="宋体"/>
          <w:color w:val="auto"/>
          <w:szCs w:val="24"/>
          <w:highlight w:val="none"/>
          <w:lang w:val="en-US" w:eastAsia="zh-CN"/>
        </w:rPr>
        <w:t>市政公用</w:t>
      </w:r>
      <w:r>
        <w:rPr>
          <w:rFonts w:hint="eastAsia" w:ascii="宋体" w:hAnsi="宋体" w:eastAsia="宋体" w:cs="宋体"/>
          <w:color w:val="auto"/>
          <w:szCs w:val="24"/>
          <w:highlight w:val="none"/>
        </w:rPr>
        <w:t>工程监理乙级资质及以上（含</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级）资质</w:t>
      </w:r>
      <w:r>
        <w:rPr>
          <w:rFonts w:hint="eastAsia" w:hAnsi="宋体" w:cs="宋体"/>
          <w:snapToGrid w:val="0"/>
          <w:color w:val="auto"/>
          <w:kern w:val="0"/>
          <w:szCs w:val="24"/>
          <w:highlight w:val="none"/>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rPr>
        <w:t>拟派总监理工程师为</w:t>
      </w:r>
      <w:r>
        <w:rPr>
          <w:rFonts w:hint="eastAsia" w:hAnsi="宋体" w:cs="宋体"/>
          <w:color w:val="auto"/>
          <w:szCs w:val="24"/>
          <w:highlight w:val="none"/>
          <w:lang w:val="en-US" w:eastAsia="zh-CN"/>
        </w:rPr>
        <w:t>市政公用</w:t>
      </w:r>
      <w:r>
        <w:rPr>
          <w:rFonts w:hint="eastAsia" w:hAnsi="宋体" w:cs="宋体"/>
          <w:color w:val="auto"/>
          <w:szCs w:val="24"/>
          <w:highlight w:val="none"/>
        </w:rPr>
        <w:t>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90"/>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 xml:space="preserve"> （14）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1"/>
        <w:tblW w:w="7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788"/>
        <w:gridCol w:w="2966"/>
      </w:tblGrid>
      <w:tr w14:paraId="7B93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7C4E5093">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788" w:type="dxa"/>
            <w:noWrap w:val="0"/>
            <w:vAlign w:val="center"/>
          </w:tcPr>
          <w:p w14:paraId="748980DE">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16C0E44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157B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63115B68">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788" w:type="dxa"/>
            <w:noWrap w:val="0"/>
            <w:vAlign w:val="center"/>
          </w:tcPr>
          <w:p w14:paraId="0789885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翁源县周陂镇人民政府</w:t>
            </w:r>
          </w:p>
        </w:tc>
        <w:tc>
          <w:tcPr>
            <w:tcW w:w="2966" w:type="dxa"/>
            <w:noWrap w:val="0"/>
            <w:vAlign w:val="center"/>
          </w:tcPr>
          <w:p w14:paraId="2EA5670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rPr>
              <w:t>招标人</w:t>
            </w:r>
          </w:p>
        </w:tc>
      </w:tr>
      <w:tr w14:paraId="3897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1FEAC9D2">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788" w:type="dxa"/>
            <w:noWrap w:val="0"/>
            <w:vAlign w:val="center"/>
          </w:tcPr>
          <w:p w14:paraId="11646BD1">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汇龙工程咨询有限公司</w:t>
            </w:r>
          </w:p>
        </w:tc>
        <w:tc>
          <w:tcPr>
            <w:tcW w:w="2966" w:type="dxa"/>
            <w:noWrap w:val="0"/>
            <w:vAlign w:val="center"/>
          </w:tcPr>
          <w:p w14:paraId="19E0BDE6">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5145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323AC5AD">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788" w:type="dxa"/>
            <w:noWrap w:val="0"/>
            <w:vAlign w:val="center"/>
          </w:tcPr>
          <w:p w14:paraId="4F2D5F8B">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ind w:firstLine="240" w:firstLineChars="100"/>
              <w:jc w:val="both"/>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广东省国际工程咨询有限公司</w:t>
            </w:r>
          </w:p>
        </w:tc>
        <w:tc>
          <w:tcPr>
            <w:tcW w:w="2966" w:type="dxa"/>
            <w:noWrap w:val="0"/>
            <w:vAlign w:val="center"/>
          </w:tcPr>
          <w:p w14:paraId="294ADFF8">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r w14:paraId="525E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22FBC38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4</w:t>
            </w:r>
          </w:p>
        </w:tc>
        <w:tc>
          <w:tcPr>
            <w:tcW w:w="3788" w:type="dxa"/>
            <w:noWrap w:val="0"/>
            <w:vAlign w:val="center"/>
          </w:tcPr>
          <w:p w14:paraId="36F39B6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国昇设计有限责任公司</w:t>
            </w:r>
          </w:p>
        </w:tc>
        <w:tc>
          <w:tcPr>
            <w:tcW w:w="2966" w:type="dxa"/>
            <w:noWrap w:val="0"/>
            <w:vAlign w:val="center"/>
          </w:tcPr>
          <w:p w14:paraId="2A5BB720">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为本项目的</w:t>
            </w:r>
            <w:r>
              <w:rPr>
                <w:rFonts w:hint="eastAsia" w:ascii="宋体" w:hAnsi="宋体" w:cs="宋体"/>
                <w:color w:val="auto"/>
                <w:sz w:val="24"/>
                <w:szCs w:val="24"/>
                <w:highlight w:val="none"/>
                <w:lang w:val="en-US" w:eastAsia="zh-CN"/>
              </w:rPr>
              <w:t>勘察设计</w:t>
            </w:r>
            <w:r>
              <w:rPr>
                <w:rFonts w:hint="eastAsia" w:ascii="宋体" w:hAnsi="宋体" w:eastAsia="宋体" w:cs="宋体"/>
                <w:color w:val="auto"/>
                <w:sz w:val="24"/>
                <w:szCs w:val="24"/>
                <w:highlight w:val="none"/>
              </w:rPr>
              <w:t>单位</w:t>
            </w:r>
          </w:p>
        </w:tc>
      </w:tr>
    </w:tbl>
    <w:p w14:paraId="436A391F">
      <w:pPr>
        <w:pStyle w:val="90"/>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90"/>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20" w:name="_Toc12683"/>
      <w:r>
        <w:rPr>
          <w:rFonts w:hint="eastAsia" w:ascii="宋体" w:hAnsi="宋体" w:cs="宋体"/>
          <w:b/>
          <w:bCs/>
          <w:snapToGrid w:val="0"/>
          <w:color w:val="auto"/>
          <w:kern w:val="0"/>
          <w:sz w:val="24"/>
          <w:highlight w:val="none"/>
        </w:rPr>
        <w:t>3．获取招标文件</w:t>
      </w:r>
      <w:bookmarkEnd w:id="20"/>
    </w:p>
    <w:p w14:paraId="1DF04FBD">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8"/>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8"/>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ascii="宋体" w:hAnsi="宋体" w:cs="宋体"/>
          <w:color w:val="auto"/>
          <w:sz w:val="24"/>
          <w:highlight w:val="none"/>
          <w:u w:val="single"/>
          <w:shd w:val="clear" w:color="auto" w:fill="FFFFFF"/>
          <w:lang w:val="en-US" w:eastAsia="zh-CN"/>
        </w:rPr>
        <w:t>捌仟</w:t>
      </w:r>
      <w:r>
        <w:rPr>
          <w:rFonts w:hint="eastAsia" w:ascii="宋体" w:hAnsi="宋体" w:cs="宋体"/>
          <w:color w:val="auto"/>
          <w:sz w:val="24"/>
          <w:highlight w:val="none"/>
          <w:shd w:val="clear" w:color="auto" w:fill="FFFFFF"/>
        </w:rPr>
        <w:t xml:space="preserve">元的投标保证。 </w:t>
      </w:r>
    </w:p>
    <w:p w14:paraId="081C9AA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highlight w:val="none"/>
        </w:rPr>
      </w:pPr>
      <w:bookmarkStart w:id="21" w:name="_Toc16883"/>
      <w:r>
        <w:rPr>
          <w:rFonts w:hint="eastAsia" w:hAnsi="宋体" w:cs="宋体"/>
          <w:b/>
          <w:bCs/>
          <w:snapToGrid w:val="0"/>
          <w:color w:val="auto"/>
          <w:kern w:val="0"/>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监理：本项目施工工期：</w:t>
      </w:r>
      <w:r>
        <w:rPr>
          <w:rFonts w:hint="eastAsia" w:hAnsi="宋体" w:cs="宋体"/>
          <w:snapToGrid w:val="0"/>
          <w:color w:val="auto"/>
          <w:kern w:val="0"/>
          <w:highlight w:val="none"/>
          <w:lang w:val="en-US" w:eastAsia="zh-CN"/>
        </w:rPr>
        <w:t>180</w:t>
      </w:r>
      <w:r>
        <w:rPr>
          <w:rFonts w:hint="eastAsia" w:hAnsi="宋体" w:cs="宋体"/>
          <w:snapToGrid w:val="0"/>
          <w:color w:val="auto"/>
          <w:kern w:val="0"/>
          <w:highlight w:val="none"/>
        </w:rPr>
        <w:t>日历天；监理服务期从监理合同签订之日起计，至本工程缺陷责任保修期结束且本工程结算金额经政府主管部门审定且双方的责任义务履行完毕时止。</w:t>
      </w:r>
    </w:p>
    <w:p w14:paraId="4006A3C3">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2" w:name="_Toc7476"/>
      <w:bookmarkStart w:id="23" w:name="_Toc10746"/>
      <w:r>
        <w:rPr>
          <w:rFonts w:hint="eastAsia" w:hAnsi="宋体" w:cs="宋体"/>
          <w:b/>
          <w:snapToGrid w:val="0"/>
          <w:color w:val="auto"/>
          <w:highlight w:val="none"/>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工程质量达到合格或以上标准。</w:t>
      </w:r>
      <w:r>
        <w:rPr>
          <w:rFonts w:hint="eastAsia" w:hAnsi="宋体" w:cs="宋体"/>
          <w:snapToGrid w:val="0"/>
          <w:color w:val="auto"/>
          <w:kern w:val="0"/>
          <w:highlight w:val="none"/>
        </w:rPr>
        <w:t xml:space="preserve"> </w:t>
      </w:r>
    </w:p>
    <w:p w14:paraId="4CCCF34C">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4" w:name="_Toc32757"/>
      <w:bookmarkStart w:id="25" w:name="_Toc12596"/>
      <w:r>
        <w:rPr>
          <w:rFonts w:hint="eastAsia" w:hAnsi="宋体" w:cs="宋体"/>
          <w:b/>
          <w:snapToGrid w:val="0"/>
          <w:color w:val="auto"/>
          <w:highlight w:val="none"/>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6" w:name="_Toc25173"/>
      <w:bookmarkStart w:id="27" w:name="_Toc8198"/>
      <w:r>
        <w:rPr>
          <w:rFonts w:hint="eastAsia" w:hAnsi="宋体" w:cs="宋体"/>
          <w:b/>
          <w:snapToGrid w:val="0"/>
          <w:color w:val="auto"/>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9" w:name="_Hlt69699188"/>
      <w:bookmarkEnd w:id="29"/>
      <w:bookmarkStart w:id="30" w:name="_Hlt92513711"/>
      <w:bookmarkEnd w:id="30"/>
      <w:bookmarkStart w:id="31" w:name="_Hlt92513715"/>
      <w:bookmarkEnd w:id="31"/>
      <w:bookmarkStart w:id="32" w:name="_Toc11326"/>
      <w:bookmarkStart w:id="33" w:name="_Toc23036"/>
      <w:r>
        <w:rPr>
          <w:rFonts w:hint="eastAsia" w:hAnsi="宋体" w:cs="宋体"/>
          <w:b/>
          <w:snapToGrid w:val="0"/>
          <w:color w:val="auto"/>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42"/>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highlight w:val="none"/>
          <w:u w:val="none"/>
        </w:rPr>
      </w:pPr>
      <w:r>
        <w:rPr>
          <w:rFonts w:hint="eastAsia" w:ascii="宋体" w:hAnsi="宋体" w:cs="宋体"/>
          <w:bCs/>
          <w:snapToGrid w:val="0"/>
          <w:color w:val="auto"/>
          <w:kern w:val="0"/>
          <w:sz w:val="24"/>
          <w:highlight w:val="none"/>
        </w:rPr>
        <w:t xml:space="preserve">   8.2</w:t>
      </w:r>
      <w:r>
        <w:rPr>
          <w:rFonts w:hint="eastAsia" w:ascii="宋体" w:hAnsi="宋体" w:cs="宋体"/>
          <w:snapToGrid w:val="0"/>
          <w:color w:val="auto"/>
          <w:kern w:val="0"/>
          <w:sz w:val="24"/>
          <w:highlight w:val="none"/>
        </w:rPr>
        <w:t xml:space="preserve"> </w:t>
      </w:r>
      <w:r>
        <w:rPr>
          <w:rFonts w:hint="eastAsia" w:ascii="宋体" w:hAnsi="宋体" w:cs="宋体"/>
          <w:b w:val="0"/>
          <w:bCs/>
          <w:snapToGrid w:val="0"/>
          <w:color w:val="auto"/>
          <w:kern w:val="0"/>
          <w:sz w:val="24"/>
          <w:highlight w:val="none"/>
        </w:rPr>
        <w:t>本次招标最高投标限价为人民币（大写）：肆拾伍万肆仟伍佰元整</w:t>
      </w:r>
      <w:r>
        <w:rPr>
          <w:rFonts w:hint="eastAsia" w:hAnsi="宋体" w:cs="宋体"/>
          <w:b w:val="0"/>
          <w:bCs/>
          <w:snapToGrid w:val="0"/>
          <w:color w:val="auto"/>
          <w:kern w:val="0"/>
          <w:sz w:val="24"/>
          <w:highlight w:val="none"/>
          <w:u w:val="none"/>
          <w:lang w:val="en-US" w:eastAsia="zh-CN"/>
        </w:rPr>
        <w:t>（小写：</w:t>
      </w:r>
      <w:r>
        <w:rPr>
          <w:rFonts w:hint="eastAsia" w:ascii="宋体" w:hAnsi="宋体" w:eastAsia="宋体" w:cs="宋体"/>
          <w:b w:val="0"/>
          <w:bCs/>
          <w:snapToGrid w:val="0"/>
          <w:color w:val="auto"/>
          <w:kern w:val="0"/>
          <w:sz w:val="24"/>
          <w:highlight w:val="none"/>
          <w:u w:val="none"/>
          <w:lang w:val="en-US" w:eastAsia="zh-CN"/>
        </w:rPr>
        <w:t>￥</w:t>
      </w:r>
      <w:r>
        <w:rPr>
          <w:rFonts w:hint="eastAsia" w:ascii="宋体" w:hAnsi="宋体" w:cs="宋体"/>
          <w:b w:val="0"/>
          <w:bCs/>
          <w:snapToGrid w:val="0"/>
          <w:color w:val="auto"/>
          <w:kern w:val="0"/>
          <w:sz w:val="24"/>
          <w:highlight w:val="none"/>
          <w:u w:val="single"/>
          <w:lang w:val="en-US" w:eastAsia="zh-CN"/>
        </w:rPr>
        <w:t>454500.00</w:t>
      </w:r>
      <w:r>
        <w:rPr>
          <w:rFonts w:hint="eastAsia" w:ascii="宋体" w:hAnsi="宋体" w:eastAsia="宋体" w:cs="宋体"/>
          <w:b w:val="0"/>
          <w:bCs/>
          <w:snapToGrid w:val="0"/>
          <w:color w:val="auto"/>
          <w:kern w:val="0"/>
          <w:sz w:val="24"/>
          <w:highlight w:val="none"/>
          <w:u w:val="none"/>
          <w:lang w:val="en-US" w:eastAsia="zh-CN"/>
        </w:rPr>
        <w:t>元）</w:t>
      </w:r>
      <w:r>
        <w:rPr>
          <w:rFonts w:hint="eastAsia" w:ascii="宋体" w:hAnsi="宋体" w:eastAsia="宋体" w:cs="宋体"/>
          <w:b w:val="0"/>
          <w:bCs/>
          <w:snapToGrid w:val="0"/>
          <w:color w:val="auto"/>
          <w:kern w:val="0"/>
          <w:sz w:val="24"/>
          <w:highlight w:val="none"/>
          <w:u w:val="none"/>
          <w:lang w:eastAsia="zh-CN"/>
        </w:rPr>
        <w:t>，监理服务费投标取费费率上限为</w:t>
      </w:r>
      <w:r>
        <w:rPr>
          <w:rFonts w:hint="eastAsia" w:ascii="宋体" w:hAnsi="宋体" w:cs="宋体"/>
          <w:b w:val="0"/>
          <w:bCs/>
          <w:snapToGrid w:val="0"/>
          <w:color w:val="auto"/>
          <w:kern w:val="0"/>
          <w:sz w:val="24"/>
          <w:highlight w:val="none"/>
          <w:u w:val="single"/>
          <w:lang w:val="en-US" w:eastAsia="zh-CN"/>
        </w:rPr>
        <w:t>1.854%</w:t>
      </w:r>
      <w:r>
        <w:rPr>
          <w:rFonts w:hint="eastAsia" w:ascii="宋体" w:hAnsi="宋体" w:eastAsia="宋体" w:cs="宋体"/>
          <w:b w:val="0"/>
          <w:bCs/>
          <w:snapToGrid w:val="0"/>
          <w:color w:val="auto"/>
          <w:kern w:val="0"/>
          <w:sz w:val="24"/>
          <w:highlight w:val="none"/>
          <w:u w:val="none"/>
        </w:rPr>
        <w:t>。</w:t>
      </w:r>
    </w:p>
    <w:p w14:paraId="08F85732">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4" w:name="_Toc2193"/>
      <w:bookmarkStart w:id="35" w:name="_Toc7437"/>
      <w:r>
        <w:rPr>
          <w:rFonts w:hint="eastAsia" w:hAnsi="宋体" w:cs="宋体"/>
          <w:b/>
          <w:snapToGrid w:val="0"/>
          <w:color w:val="auto"/>
          <w:highlight w:val="none"/>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所有报价均以人民币“元”为单位，并保留两位小数。投标取费费率=投标总价÷建安工程费暂定价×100%，并保留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r>
        <w:rPr>
          <w:rFonts w:hint="eastAsia" w:hAnsi="宋体" w:cs="宋体"/>
          <w:b w:val="0"/>
          <w:bCs w:val="0"/>
          <w:snapToGrid w:val="0"/>
          <w:color w:val="auto"/>
          <w:kern w:val="0"/>
          <w:highlight w:val="none"/>
        </w:rPr>
        <w:t>本项目的建安工程费暂定价为人民币</w:t>
      </w:r>
      <w:r>
        <w:rPr>
          <w:rFonts w:hint="eastAsia" w:hAnsi="宋体" w:cs="宋体"/>
          <w:b w:val="0"/>
          <w:bCs w:val="0"/>
          <w:snapToGrid w:val="0"/>
          <w:color w:val="auto"/>
          <w:kern w:val="0"/>
          <w:highlight w:val="none"/>
          <w:u w:val="single"/>
        </w:rPr>
        <w:t>2450.94</w:t>
      </w:r>
      <w:r>
        <w:rPr>
          <w:rFonts w:hint="eastAsia" w:hAnsi="宋体" w:cs="宋体"/>
          <w:b w:val="0"/>
          <w:bCs w:val="0"/>
          <w:snapToGrid w:val="0"/>
          <w:color w:val="auto"/>
          <w:kern w:val="0"/>
          <w:highlight w:val="none"/>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监理服务费结算价在项目的合同价范围内按实结算，即：以施工</w:t>
      </w:r>
      <w:r>
        <w:rPr>
          <w:rFonts w:hint="eastAsia" w:hAnsi="宋体" w:cs="宋体"/>
          <w:b w:val="0"/>
          <w:bCs w:val="0"/>
          <w:snapToGrid w:val="0"/>
          <w:color w:val="auto"/>
          <w:kern w:val="0"/>
          <w:highlight w:val="none"/>
          <w:lang w:val="en-US" w:eastAsia="zh-CN"/>
        </w:rPr>
        <w:t>财审预</w:t>
      </w:r>
      <w:r>
        <w:rPr>
          <w:rFonts w:hint="eastAsia" w:hAnsi="宋体" w:cs="宋体"/>
          <w:b w:val="0"/>
          <w:bCs w:val="0"/>
          <w:snapToGrid w:val="0"/>
          <w:color w:val="auto"/>
          <w:kern w:val="0"/>
          <w:highlight w:val="none"/>
        </w:rPr>
        <w:t>算价为基数乘以监理人中标取费费率计算，若监理服务费结算总价超过签约合同价，则按签约合同价包干结算；若监理服务费结算总价未超过签约合同价，则按以施工</w:t>
      </w:r>
      <w:r>
        <w:rPr>
          <w:rFonts w:hint="eastAsia" w:hAnsi="宋体" w:cs="宋体"/>
          <w:b w:val="0"/>
          <w:bCs w:val="0"/>
          <w:snapToGrid w:val="0"/>
          <w:color w:val="auto"/>
          <w:kern w:val="0"/>
          <w:highlight w:val="none"/>
          <w:lang w:val="en-US" w:eastAsia="zh-CN"/>
        </w:rPr>
        <w:t>预</w:t>
      </w:r>
      <w:r>
        <w:rPr>
          <w:rFonts w:hint="eastAsia" w:hAnsi="宋体" w:cs="宋体"/>
          <w:b w:val="0"/>
          <w:bCs w:val="0"/>
          <w:snapToGrid w:val="0"/>
          <w:color w:val="auto"/>
          <w:kern w:val="0"/>
          <w:highlight w:val="none"/>
        </w:rPr>
        <w:t>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7" w:name="_（十）投标文件的编制、包装、密封"/>
      <w:bookmarkEnd w:id="37"/>
    </w:p>
    <w:p w14:paraId="182D9B17">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8" w:name="_Toc4002"/>
      <w:bookmarkStart w:id="39" w:name="_Toc684"/>
      <w:r>
        <w:rPr>
          <w:rFonts w:hint="eastAsia" w:hAnsi="宋体" w:cs="宋体"/>
          <w:b/>
          <w:snapToGrid w:val="0"/>
          <w:color w:val="auto"/>
          <w:szCs w:val="24"/>
          <w:highlight w:val="none"/>
        </w:rPr>
        <w:t>10．投标文件的编制</w:t>
      </w:r>
      <w:bookmarkStart w:id="40" w:name="_Hlt69208262"/>
      <w:bookmarkEnd w:id="40"/>
      <w:bookmarkStart w:id="41" w:name="_Hlt69332370"/>
      <w:bookmarkEnd w:id="41"/>
      <w:r>
        <w:rPr>
          <w:rFonts w:hint="eastAsia" w:hAnsi="宋体" w:cs="宋体"/>
          <w:b/>
          <w:snapToGrid w:val="0"/>
          <w:color w:val="auto"/>
          <w:szCs w:val="24"/>
          <w:highlight w:val="none"/>
        </w:rPr>
        <w:t>要求</w:t>
      </w:r>
      <w:bookmarkEnd w:id="38"/>
      <w:bookmarkEnd w:id="39"/>
      <w:bookmarkStart w:id="42" w:name="_Hlt74495594"/>
      <w:bookmarkEnd w:id="42"/>
      <w:bookmarkStart w:id="43" w:name="_Hlt78768224"/>
      <w:bookmarkEnd w:id="43"/>
      <w:bookmarkStart w:id="44" w:name="_Hlt74497202"/>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5" w:name="_Hlt74496890"/>
      <w:bookmarkEnd w:id="45"/>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highlight w:val="none"/>
        </w:rPr>
      </w:pPr>
      <w:bookmarkStart w:id="46" w:name="_Toc274313880"/>
      <w:bookmarkStart w:id="47" w:name="_Toc257031159"/>
      <w:r>
        <w:rPr>
          <w:rFonts w:hint="eastAsia" w:hAnsi="宋体" w:cs="宋体"/>
          <w:b/>
          <w:bCs/>
          <w:snapToGrid w:val="0"/>
          <w:color w:val="auto"/>
          <w:kern w:val="0"/>
          <w:szCs w:val="24"/>
          <w:highlight w:val="none"/>
        </w:rPr>
        <w:t>10.2</w:t>
      </w:r>
      <w:r>
        <w:rPr>
          <w:rFonts w:hint="eastAsia" w:hAnsi="宋体" w:cs="宋体"/>
          <w:bCs/>
          <w:snapToGrid w:val="0"/>
          <w:color w:val="auto"/>
          <w:kern w:val="0"/>
          <w:szCs w:val="24"/>
          <w:highlight w:val="none"/>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bCs/>
          <w:snapToGrid w:val="0"/>
          <w:color w:val="auto"/>
          <w:kern w:val="0"/>
          <w:szCs w:val="24"/>
          <w:highlight w:val="none"/>
        </w:rPr>
        <w:t>10.3</w:t>
      </w:r>
      <w:r>
        <w:rPr>
          <w:rFonts w:hint="eastAsia" w:hAnsi="宋体" w:cs="宋体"/>
          <w:bCs/>
          <w:snapToGrid w:val="0"/>
          <w:color w:val="auto"/>
          <w:kern w:val="0"/>
          <w:szCs w:val="24"/>
          <w:highlight w:val="none"/>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79A97868">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8" w:name="_Toc2864"/>
      <w:bookmarkStart w:id="49" w:name="_Toc1986"/>
      <w:r>
        <w:rPr>
          <w:rFonts w:hint="eastAsia" w:hAnsi="宋体" w:cs="宋体"/>
          <w:b/>
          <w:snapToGrid w:val="0"/>
          <w:color w:val="auto"/>
          <w:szCs w:val="24"/>
          <w:highlight w:val="none"/>
        </w:rPr>
        <w:t>11．</w:t>
      </w:r>
      <w:bookmarkEnd w:id="48"/>
      <w:r>
        <w:rPr>
          <w:rFonts w:hint="eastAsia" w:hAnsi="宋体" w:cs="宋体"/>
          <w:b/>
          <w:snapToGrid w:val="0"/>
          <w:color w:val="auto"/>
          <w:szCs w:val="24"/>
          <w:highlight w:val="none"/>
        </w:rPr>
        <w:t>电子投标</w:t>
      </w:r>
      <w:bookmarkEnd w:id="49"/>
    </w:p>
    <w:p w14:paraId="72F1BB7A">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50" w:name="_Toc4888"/>
      <w:r>
        <w:rPr>
          <w:rFonts w:hint="eastAsia" w:hAnsi="宋体" w:cs="宋体"/>
          <w:b/>
          <w:snapToGrid w:val="0"/>
          <w:color w:val="auto"/>
          <w:szCs w:val="24"/>
          <w:highlight w:val="none"/>
        </w:rPr>
        <w:t>12. 投标文件的提交</w:t>
      </w:r>
      <w:bookmarkEnd w:id="50"/>
    </w:p>
    <w:p w14:paraId="63A3794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（1）至电子投标截止时间时，投标文件未完整上传或未提交投标</w:t>
      </w:r>
      <w:r>
        <w:rPr>
          <w:rFonts w:hint="eastAsia" w:ascii="宋体" w:hAnsi="宋体" w:cs="宋体"/>
          <w:snapToGrid w:val="0"/>
          <w:color w:val="auto"/>
          <w:kern w:val="0"/>
          <w:sz w:val="24"/>
          <w:highlight w:val="none"/>
          <w:lang w:eastAsia="zh-CN"/>
        </w:rPr>
        <w:t>；</w:t>
      </w:r>
    </w:p>
    <w:p w14:paraId="393C44A8">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（2）解密失败且在规定时间内未重新提交投标文件的；</w:t>
      </w:r>
    </w:p>
    <w:p w14:paraId="1C2ECEAF">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1" w:name="_Toc739"/>
      <w:r>
        <w:rPr>
          <w:rFonts w:hint="eastAsia" w:hAnsi="宋体" w:cs="宋体"/>
          <w:b/>
          <w:snapToGrid w:val="0"/>
          <w:color w:val="auto"/>
          <w:kern w:val="0"/>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2" w:name="_Toc30542"/>
      <w:r>
        <w:rPr>
          <w:rFonts w:hint="eastAsia" w:hAnsi="宋体" w:cs="宋体"/>
          <w:b/>
          <w:snapToGrid w:val="0"/>
          <w:color w:val="auto"/>
          <w:kern w:val="0"/>
          <w:szCs w:val="24"/>
          <w:highlight w:val="none"/>
        </w:rPr>
        <w:t>14．开标</w:t>
      </w:r>
      <w:bookmarkEnd w:id="52"/>
    </w:p>
    <w:p w14:paraId="36A9A77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highlight w:val="none"/>
        </w:rPr>
      </w:pPr>
      <w:bookmarkStart w:id="53" w:name="_Hlt127093805"/>
      <w:bookmarkEnd w:id="53"/>
      <w:bookmarkStart w:id="54" w:name="_Toc8989"/>
      <w:r>
        <w:rPr>
          <w:rFonts w:hint="eastAsia" w:hAnsi="宋体" w:cs="宋体"/>
          <w:b/>
          <w:snapToGrid w:val="0"/>
          <w:color w:val="auto"/>
          <w:kern w:val="0"/>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0</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highlight w:val="none"/>
        </w:rPr>
        <w:t>中随机抽取，其中技术类专家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7907CE9">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highlight w:val="none"/>
        </w:rPr>
        <w:t>15.1.2</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sz w:val="24"/>
          <w:szCs w:val="24"/>
          <w:highlight w:val="none"/>
        </w:rPr>
        <w:t>评标委员会应认真、公正、诚实、廉洁地履行职责。有下列情形之一的，不得担任评标委员会成员：</w:t>
      </w:r>
    </w:p>
    <w:p w14:paraId="27E80291">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34708A36">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2AE6C8FB">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508B469C">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3B95A3BD">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评标委员会成员有以上情形之一的，应主动提出回避。</w:t>
      </w:r>
    </w:p>
    <w:p w14:paraId="272B304C">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snapToGrid w:val="0"/>
          <w:color w:val="auto"/>
          <w:kern w:val="0"/>
          <w:sz w:val="24"/>
          <w:szCs w:val="24"/>
          <w:highlight w:val="none"/>
        </w:rPr>
        <w:t xml:space="preserve"> 评标全过程实行封闭式管理，在中标结果公布前，禁止评标委员会成员以任何方式私下接触投标人。</w:t>
      </w:r>
    </w:p>
    <w:p w14:paraId="08BA1F03">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.1.4</w:t>
      </w:r>
      <w:r>
        <w:rPr>
          <w:rFonts w:hint="eastAsia" w:ascii="宋体" w:hAnsi="宋体" w:eastAsia="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3E2AB94B">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.1.5</w:t>
      </w:r>
      <w:r>
        <w:rPr>
          <w:rFonts w:hint="eastAsia" w:ascii="宋体" w:hAnsi="宋体" w:eastAsia="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w:t>
      </w:r>
      <w:r>
        <w:rPr>
          <w:rFonts w:hint="eastAsia" w:hAnsi="宋体" w:cs="宋体"/>
          <w:b/>
          <w:bCs/>
          <w:snapToGrid w:val="0"/>
          <w:color w:val="auto"/>
          <w:kern w:val="0"/>
          <w:highlight w:val="none"/>
          <w:lang w:val="en-US" w:eastAsia="zh-CN"/>
        </w:rPr>
        <w:t>5</w:t>
      </w:r>
      <w:r>
        <w:rPr>
          <w:rFonts w:hint="eastAsia" w:hAnsi="宋体" w:cs="宋体"/>
          <w:snapToGrid w:val="0"/>
          <w:color w:val="auto"/>
          <w:kern w:val="0"/>
          <w:highlight w:val="none"/>
        </w:rPr>
        <w:t xml:space="preserve"> 详细评审</w:t>
      </w:r>
      <w:bookmarkStart w:id="55"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50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30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2</w:t>
      </w:r>
      <w:r>
        <w:rPr>
          <w:rFonts w:hint="eastAsia" w:hAnsi="宋体" w:cs="宋体"/>
          <w:snapToGrid w:val="0"/>
          <w:color w:val="auto"/>
          <w:kern w:val="0"/>
          <w:highlight w:val="none"/>
          <w:u w:val="single"/>
        </w:rPr>
        <w:t xml:space="preserve">0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0.2</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0.2</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0.1</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54DFCA09">
      <w:pPr>
        <w:bidi w:val="0"/>
        <w:rPr>
          <w:rFonts w:hint="eastAsia"/>
          <w:color w:val="auto"/>
          <w:highlight w:val="none"/>
          <w:lang w:val="en-US" w:eastAsia="zh-CN"/>
        </w:rPr>
      </w:pPr>
      <w:bookmarkStart w:id="56" w:name="_Toc31548"/>
      <w:bookmarkStart w:id="57" w:name="_Toc6276"/>
    </w:p>
    <w:p w14:paraId="17C17EA4">
      <w:pPr>
        <w:bidi w:val="0"/>
        <w:rPr>
          <w:rFonts w:hint="eastAsia"/>
          <w:color w:val="auto"/>
          <w:highlight w:val="none"/>
          <w:lang w:val="en-US" w:eastAsia="zh-CN"/>
        </w:rPr>
      </w:pPr>
    </w:p>
    <w:p w14:paraId="427AFC8D">
      <w:pPr>
        <w:pStyle w:val="16"/>
        <w:rPr>
          <w:rFonts w:hint="eastAsia"/>
          <w:color w:val="auto"/>
          <w:highlight w:val="none"/>
          <w:lang w:val="en-US" w:eastAsia="zh-CN"/>
        </w:rPr>
      </w:pPr>
    </w:p>
    <w:p w14:paraId="54D8FB5C">
      <w:pPr>
        <w:pStyle w:val="16"/>
        <w:rPr>
          <w:rFonts w:hint="eastAsia"/>
          <w:color w:val="auto"/>
          <w:highlight w:val="none"/>
          <w:lang w:val="en-US" w:eastAsia="zh-CN"/>
        </w:rPr>
      </w:pPr>
    </w:p>
    <w:p w14:paraId="1BACE770">
      <w:pPr>
        <w:pStyle w:val="16"/>
        <w:rPr>
          <w:rFonts w:hint="eastAsia"/>
          <w:color w:val="auto"/>
          <w:highlight w:val="none"/>
          <w:lang w:val="en-US" w:eastAsia="zh-CN"/>
        </w:rPr>
      </w:pPr>
    </w:p>
    <w:p w14:paraId="2D341B2A">
      <w:pPr>
        <w:pStyle w:val="16"/>
        <w:rPr>
          <w:rFonts w:hint="eastAsia"/>
          <w:color w:val="auto"/>
          <w:highlight w:val="none"/>
          <w:lang w:val="en-US" w:eastAsia="zh-CN"/>
        </w:rPr>
      </w:pPr>
    </w:p>
    <w:p w14:paraId="2A926E05">
      <w:pPr>
        <w:pStyle w:val="16"/>
        <w:rPr>
          <w:rFonts w:hint="eastAsia"/>
          <w:color w:val="auto"/>
          <w:highlight w:val="none"/>
          <w:lang w:val="en-US" w:eastAsia="zh-CN"/>
        </w:rPr>
      </w:pPr>
    </w:p>
    <w:p w14:paraId="3EE47724">
      <w:pPr>
        <w:pStyle w:val="16"/>
        <w:rPr>
          <w:rFonts w:hint="eastAsia"/>
          <w:color w:val="auto"/>
          <w:highlight w:val="none"/>
          <w:lang w:val="en-US" w:eastAsia="zh-CN"/>
        </w:rPr>
      </w:pPr>
    </w:p>
    <w:p w14:paraId="31B39A5A">
      <w:pPr>
        <w:pStyle w:val="16"/>
        <w:rPr>
          <w:rFonts w:hint="eastAsia"/>
          <w:color w:val="auto"/>
          <w:highlight w:val="none"/>
          <w:lang w:val="en-US" w:eastAsia="zh-CN"/>
        </w:rPr>
      </w:pPr>
    </w:p>
    <w:p w14:paraId="35B0C4BF">
      <w:pPr>
        <w:pStyle w:val="16"/>
        <w:rPr>
          <w:rFonts w:hint="eastAsia"/>
          <w:color w:val="auto"/>
          <w:highlight w:val="none"/>
          <w:lang w:val="en-US" w:eastAsia="zh-CN"/>
        </w:rPr>
      </w:pPr>
    </w:p>
    <w:p w14:paraId="1EA72311">
      <w:pPr>
        <w:pStyle w:val="16"/>
        <w:rPr>
          <w:rFonts w:hint="eastAsia"/>
          <w:color w:val="auto"/>
          <w:highlight w:val="none"/>
          <w:lang w:val="en-US" w:eastAsia="zh-CN"/>
        </w:rPr>
      </w:pPr>
    </w:p>
    <w:p w14:paraId="50AF885B">
      <w:pPr>
        <w:pStyle w:val="16"/>
        <w:rPr>
          <w:rFonts w:hint="eastAsia"/>
          <w:color w:val="auto"/>
          <w:highlight w:val="none"/>
          <w:lang w:val="en-US" w:eastAsia="zh-CN"/>
        </w:rPr>
      </w:pPr>
    </w:p>
    <w:p w14:paraId="7314E11C">
      <w:pPr>
        <w:pStyle w:val="16"/>
        <w:rPr>
          <w:rFonts w:hint="eastAsia"/>
          <w:color w:val="auto"/>
          <w:highlight w:val="none"/>
          <w:lang w:val="en-US" w:eastAsia="zh-CN"/>
        </w:rPr>
      </w:pPr>
    </w:p>
    <w:p w14:paraId="7F0B3434">
      <w:pPr>
        <w:pStyle w:val="16"/>
        <w:rPr>
          <w:rFonts w:hint="eastAsia"/>
          <w:color w:val="auto"/>
          <w:highlight w:val="none"/>
          <w:lang w:val="en-US" w:eastAsia="zh-CN"/>
        </w:rPr>
      </w:pPr>
    </w:p>
    <w:p w14:paraId="3AB2D6D2">
      <w:pPr>
        <w:pStyle w:val="16"/>
        <w:rPr>
          <w:rFonts w:hint="eastAsia"/>
          <w:color w:val="auto"/>
          <w:highlight w:val="none"/>
          <w:lang w:val="en-US" w:eastAsia="zh-CN"/>
        </w:rPr>
      </w:pPr>
    </w:p>
    <w:p w14:paraId="62789936">
      <w:pPr>
        <w:pStyle w:val="16"/>
        <w:rPr>
          <w:rFonts w:hint="eastAsia"/>
          <w:color w:val="auto"/>
          <w:highlight w:val="none"/>
          <w:lang w:val="en-US" w:eastAsia="zh-CN"/>
        </w:rPr>
      </w:pPr>
    </w:p>
    <w:p w14:paraId="76829804">
      <w:pPr>
        <w:pStyle w:val="16"/>
        <w:rPr>
          <w:rFonts w:hint="eastAsia"/>
          <w:color w:val="auto"/>
          <w:highlight w:val="none"/>
          <w:lang w:val="en-US" w:eastAsia="zh-CN"/>
        </w:rPr>
      </w:pPr>
    </w:p>
    <w:p w14:paraId="442A2ABB">
      <w:pPr>
        <w:pStyle w:val="16"/>
        <w:rPr>
          <w:rFonts w:hint="eastAsia"/>
          <w:color w:val="auto"/>
          <w:highlight w:val="none"/>
          <w:lang w:val="en-US" w:eastAsia="zh-CN"/>
        </w:rPr>
      </w:pPr>
    </w:p>
    <w:p w14:paraId="086905B1">
      <w:pPr>
        <w:pStyle w:val="5"/>
        <w:rPr>
          <w:rFonts w:ascii="宋体" w:hAnsi="宋体" w:cs="宋体"/>
          <w:color w:val="auto"/>
          <w:sz w:val="24"/>
          <w:highlight w:val="none"/>
        </w:rPr>
      </w:pPr>
      <w:bookmarkStart w:id="58" w:name="_Toc31720"/>
      <w:bookmarkStart w:id="59" w:name="_Toc18221"/>
      <w:bookmarkStart w:id="60" w:name="_Toc29993"/>
      <w:bookmarkStart w:id="61" w:name="_Toc30952"/>
      <w:r>
        <w:rPr>
          <w:rFonts w:hint="eastAsia" w:ascii="宋体" w:hAnsi="宋体" w:eastAsia="宋体" w:cs="宋体"/>
          <w:b/>
          <w:bCs/>
          <w:color w:val="auto"/>
          <w:sz w:val="32"/>
          <w:szCs w:val="22"/>
          <w:highlight w:val="none"/>
        </w:rPr>
        <w:t>表1 综合评分表</w:t>
      </w:r>
      <w:bookmarkEnd w:id="56"/>
      <w:bookmarkEnd w:id="57"/>
      <w:bookmarkEnd w:id="58"/>
      <w:bookmarkEnd w:id="59"/>
      <w:bookmarkEnd w:id="60"/>
      <w:bookmarkEnd w:id="61"/>
    </w:p>
    <w:tbl>
      <w:tblPr>
        <w:tblStyle w:val="31"/>
        <w:tblW w:w="9362" w:type="dxa"/>
        <w:jc w:val="center"/>
        <w:tblLayout w:type="fixed"/>
        <w:tblCellMar>
          <w:top w:w="0" w:type="dxa"/>
          <w:left w:w="108" w:type="dxa"/>
          <w:bottom w:w="0" w:type="dxa"/>
          <w:right w:w="108" w:type="dxa"/>
        </w:tblCellMar>
      </w:tblPr>
      <w:tblGrid>
        <w:gridCol w:w="1404"/>
        <w:gridCol w:w="4480"/>
        <w:gridCol w:w="3478"/>
      </w:tblGrid>
      <w:tr w14:paraId="68A7A069">
        <w:tblPrEx>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09064003">
            <w:pPr>
              <w:pStyle w:val="11"/>
              <w:tabs>
                <w:tab w:val="left" w:pos="1354"/>
                <w:tab w:val="left" w:pos="1459"/>
                <w:tab w:val="center" w:pos="3902"/>
                <w:tab w:val="right" w:pos="7805"/>
              </w:tabs>
              <w:adjustRightInd w:val="0"/>
              <w:snapToGrid w:val="0"/>
              <w:spacing w:after="0" w:line="360" w:lineRule="exact"/>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商务部分，满分：</w:t>
            </w:r>
            <w:r>
              <w:rPr>
                <w:rFonts w:hint="eastAsia" w:asciiTheme="minorEastAsia" w:hAnsiTheme="minorEastAsia" w:eastAsiaTheme="minorEastAsia" w:cstheme="minorEastAsia"/>
                <w:snapToGrid w:val="0"/>
                <w:kern w:val="0"/>
                <w:sz w:val="24"/>
                <w:szCs w:val="24"/>
                <w:highlight w:val="none"/>
                <w:u w:val="single"/>
              </w:rPr>
              <w:t>50</w:t>
            </w:r>
            <w:r>
              <w:rPr>
                <w:rFonts w:hint="eastAsia" w:asciiTheme="minorEastAsia" w:hAnsiTheme="minorEastAsia" w:eastAsiaTheme="minorEastAsia" w:cstheme="minorEastAsia"/>
                <w:snapToGrid w:val="0"/>
                <w:kern w:val="0"/>
                <w:sz w:val="24"/>
                <w:szCs w:val="24"/>
                <w:highlight w:val="none"/>
              </w:rPr>
              <w:t>分。</w:t>
            </w:r>
          </w:p>
        </w:tc>
      </w:tr>
      <w:tr w14:paraId="2952462D">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A714148">
            <w:pPr>
              <w:pStyle w:val="11"/>
              <w:tabs>
                <w:tab w:val="left" w:pos="1354"/>
                <w:tab w:val="left" w:pos="1459"/>
                <w:tab w:val="center" w:pos="3902"/>
                <w:tab w:val="right" w:pos="7805"/>
              </w:tabs>
              <w:adjustRightInd w:val="0"/>
              <w:snapToGrid w:val="0"/>
              <w:spacing w:after="0" w:line="36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评分因素</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1791146B">
            <w:pPr>
              <w:pStyle w:val="11"/>
              <w:tabs>
                <w:tab w:val="left" w:pos="1354"/>
                <w:tab w:val="left" w:pos="1459"/>
                <w:tab w:val="center" w:pos="3902"/>
                <w:tab w:val="right" w:pos="7805"/>
              </w:tabs>
              <w:adjustRightInd w:val="0"/>
              <w:snapToGrid w:val="0"/>
              <w:spacing w:after="0" w:line="36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评分标准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77181E5B">
            <w:pPr>
              <w:pStyle w:val="11"/>
              <w:tabs>
                <w:tab w:val="left" w:pos="1354"/>
                <w:tab w:val="left" w:pos="1459"/>
                <w:tab w:val="center" w:pos="3902"/>
                <w:tab w:val="right" w:pos="7805"/>
              </w:tabs>
              <w:adjustRightInd w:val="0"/>
              <w:snapToGrid w:val="0"/>
              <w:spacing w:after="0" w:line="36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备注</w:t>
            </w:r>
          </w:p>
        </w:tc>
      </w:tr>
      <w:tr w14:paraId="550EB92D">
        <w:tblPrEx>
          <w:tblCellMar>
            <w:top w:w="0" w:type="dxa"/>
            <w:left w:w="108" w:type="dxa"/>
            <w:bottom w:w="0" w:type="dxa"/>
            <w:right w:w="108" w:type="dxa"/>
          </w:tblCellMar>
        </w:tblPrEx>
        <w:trPr>
          <w:trHeight w:val="79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C412DBE">
            <w:pPr>
              <w:pStyle w:val="11"/>
              <w:adjustRightInd w:val="0"/>
              <w:snapToGrid w:val="0"/>
              <w:spacing w:after="0" w:line="360" w:lineRule="exact"/>
              <w:jc w:val="center"/>
              <w:rPr>
                <w:rFonts w:hint="eastAsia" w:hAnsi="宋体" w:cs="宋体"/>
                <w:sz w:val="21"/>
                <w:szCs w:val="21"/>
                <w:highlight w:val="none"/>
              </w:rPr>
            </w:pPr>
            <w:r>
              <w:rPr>
                <w:rFonts w:hint="eastAsia" w:hAnsi="宋体" w:cs="宋体"/>
                <w:sz w:val="21"/>
                <w:szCs w:val="21"/>
                <w:highlight w:val="none"/>
              </w:rPr>
              <w:t>监理业绩</w:t>
            </w:r>
          </w:p>
          <w:p w14:paraId="5AB6F4DD">
            <w:pPr>
              <w:pStyle w:val="11"/>
              <w:adjustRightInd w:val="0"/>
              <w:snapToGrid w:val="0"/>
              <w:spacing w:after="0" w:line="360" w:lineRule="exact"/>
              <w:jc w:val="center"/>
              <w:rPr>
                <w:rFonts w:hint="eastAsia" w:asciiTheme="minorEastAsia" w:hAnsiTheme="minorEastAsia" w:eastAsiaTheme="minorEastAsia" w:cstheme="minorEastAsia"/>
                <w:snapToGrid w:val="0"/>
                <w:kern w:val="0"/>
                <w:sz w:val="24"/>
                <w:szCs w:val="24"/>
                <w:highlight w:val="none"/>
              </w:rPr>
            </w:pPr>
            <w:r>
              <w:rPr>
                <w:rFonts w:hint="eastAsia" w:hAnsi="宋体" w:cs="宋体"/>
                <w:sz w:val="21"/>
                <w:szCs w:val="21"/>
                <w:highlight w:val="none"/>
              </w:rPr>
              <w:t>（15分）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A22D50F">
            <w:pPr>
              <w:spacing w:line="360" w:lineRule="exact"/>
              <w:ind w:firstLine="420" w:firstLineChars="200"/>
              <w:rPr>
                <w:rFonts w:hAnsi="宋体" w:cs="宋体"/>
                <w:sz w:val="21"/>
                <w:szCs w:val="21"/>
                <w:highlight w:val="none"/>
              </w:rPr>
            </w:pPr>
            <w:r>
              <w:rPr>
                <w:rFonts w:hint="eastAsia" w:hAnsi="宋体" w:cs="宋体"/>
                <w:sz w:val="21"/>
                <w:szCs w:val="21"/>
                <w:highlight w:val="none"/>
              </w:rPr>
              <w:t>1、</w:t>
            </w:r>
            <w:r>
              <w:rPr>
                <w:rFonts w:hint="eastAsia" w:hAnsi="宋体" w:cs="宋体"/>
                <w:color w:val="000000"/>
                <w:sz w:val="21"/>
                <w:szCs w:val="21"/>
                <w:highlight w:val="none"/>
              </w:rPr>
              <w:t>投标人</w:t>
            </w:r>
            <w:r>
              <w:rPr>
                <w:rFonts w:hint="eastAsia" w:hAnsi="宋体" w:cs="宋体"/>
                <w:sz w:val="21"/>
                <w:szCs w:val="21"/>
                <w:highlight w:val="none"/>
              </w:rPr>
              <w:t>202</w:t>
            </w:r>
            <w:r>
              <w:rPr>
                <w:rFonts w:hint="eastAsia" w:hAnsi="宋体" w:cs="宋体"/>
                <w:sz w:val="21"/>
                <w:szCs w:val="21"/>
                <w:highlight w:val="none"/>
                <w:lang w:val="en-US" w:eastAsia="zh-CN"/>
              </w:rPr>
              <w:t>3</w:t>
            </w:r>
            <w:r>
              <w:rPr>
                <w:rFonts w:hint="eastAsia" w:hAnsi="宋体" w:cs="宋体"/>
                <w:sz w:val="21"/>
                <w:szCs w:val="21"/>
                <w:highlight w:val="none"/>
              </w:rPr>
              <w:t>年1月1日至今</w:t>
            </w:r>
            <w:r>
              <w:rPr>
                <w:rFonts w:hint="eastAsia" w:hAnsi="宋体" w:cs="宋体"/>
                <w:sz w:val="21"/>
                <w:szCs w:val="21"/>
                <w:highlight w:val="none"/>
                <w:lang w:val="en-US" w:eastAsia="zh-CN"/>
              </w:rPr>
              <w:t>承担</w:t>
            </w:r>
            <w:r>
              <w:rPr>
                <w:rFonts w:hint="eastAsia" w:hAnsi="宋体" w:cs="宋体"/>
                <w:sz w:val="21"/>
                <w:szCs w:val="21"/>
                <w:highlight w:val="none"/>
              </w:rPr>
              <w:t>过总投资</w:t>
            </w:r>
            <w:r>
              <w:rPr>
                <w:rFonts w:hint="eastAsia" w:hAnsi="宋体" w:cs="宋体"/>
                <w:sz w:val="21"/>
                <w:szCs w:val="21"/>
                <w:highlight w:val="none"/>
                <w:lang w:val="en-US" w:eastAsia="zh-CN"/>
              </w:rPr>
              <w:t>2</w:t>
            </w:r>
            <w:r>
              <w:rPr>
                <w:rFonts w:hint="eastAsia" w:hAnsi="宋体" w:cs="宋体"/>
                <w:sz w:val="21"/>
                <w:szCs w:val="21"/>
                <w:highlight w:val="none"/>
              </w:rPr>
              <w:t>0</w:t>
            </w:r>
            <w:r>
              <w:rPr>
                <w:rFonts w:hint="eastAsia" w:hAnsi="宋体" w:cs="宋体"/>
                <w:sz w:val="21"/>
                <w:szCs w:val="21"/>
                <w:highlight w:val="none"/>
                <w:lang w:val="en-US" w:eastAsia="zh-CN"/>
              </w:rPr>
              <w:t>0</w:t>
            </w:r>
            <w:r>
              <w:rPr>
                <w:rFonts w:hint="eastAsia" w:hAnsi="宋体" w:cs="宋体"/>
                <w:sz w:val="21"/>
                <w:szCs w:val="21"/>
                <w:highlight w:val="none"/>
              </w:rPr>
              <w:t>0万元及以上的市政工程监理项目的，每个得5分，本项最高得15分。</w:t>
            </w:r>
          </w:p>
          <w:p w14:paraId="3D7F0B1A">
            <w:pPr>
              <w:spacing w:line="360" w:lineRule="exact"/>
              <w:ind w:firstLine="420" w:firstLineChars="200"/>
              <w:jc w:val="left"/>
              <w:rPr>
                <w:rFonts w:hAnsi="宋体" w:cs="宋体"/>
                <w:sz w:val="21"/>
                <w:szCs w:val="21"/>
                <w:highlight w:val="none"/>
              </w:rPr>
            </w:pPr>
            <w:r>
              <w:rPr>
                <w:rFonts w:hint="eastAsia" w:hAnsi="宋体" w:cs="宋体"/>
                <w:sz w:val="21"/>
                <w:szCs w:val="21"/>
                <w:highlight w:val="none"/>
              </w:rPr>
              <w:t>2、其他情形的，不予计分。</w:t>
            </w:r>
          </w:p>
          <w:p w14:paraId="3F938F0A">
            <w:pPr>
              <w:pStyle w:val="30"/>
              <w:spacing w:line="360" w:lineRule="exact"/>
              <w:ind w:firstLineChars="200"/>
              <w:jc w:val="left"/>
              <w:rPr>
                <w:rFonts w:hint="eastAsia" w:asciiTheme="minorEastAsia" w:hAnsiTheme="minorEastAsia" w:eastAsiaTheme="minorEastAsia" w:cstheme="minorEastAsia"/>
                <w:sz w:val="24"/>
                <w:szCs w:val="24"/>
                <w:highlight w:val="none"/>
              </w:rPr>
            </w:pPr>
            <w:r>
              <w:rPr>
                <w:rFonts w:hint="eastAsia" w:cs="宋体"/>
                <w:sz w:val="21"/>
                <w:szCs w:val="21"/>
                <w:highlight w:val="none"/>
              </w:rPr>
              <w:t>说明：本项最高得15分。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755A8C3">
            <w:pPr>
              <w:spacing w:line="360" w:lineRule="exact"/>
              <w:jc w:val="left"/>
              <w:rPr>
                <w:rFonts w:hAnsi="宋体" w:cs="宋体"/>
                <w:sz w:val="21"/>
                <w:szCs w:val="21"/>
                <w:highlight w:val="none"/>
              </w:rPr>
            </w:pPr>
            <w:r>
              <w:rPr>
                <w:rFonts w:hint="eastAsia" w:hAnsi="宋体" w:cs="宋体"/>
                <w:sz w:val="21"/>
                <w:szCs w:val="21"/>
                <w:highlight w:val="none"/>
              </w:rPr>
              <w:t>1.须提供中标通知书、监理合同彩色扫描件并加盖单位公章。</w:t>
            </w:r>
          </w:p>
          <w:p w14:paraId="6DFF7B6F">
            <w:pPr>
              <w:spacing w:line="360" w:lineRule="exact"/>
              <w:jc w:val="left"/>
              <w:rPr>
                <w:rFonts w:hAnsi="宋体" w:cs="宋体"/>
                <w:sz w:val="21"/>
                <w:szCs w:val="21"/>
                <w:highlight w:val="none"/>
              </w:rPr>
            </w:pPr>
            <w:r>
              <w:rPr>
                <w:rFonts w:hint="eastAsia" w:hAnsi="宋体" w:cs="宋体"/>
                <w:sz w:val="21"/>
                <w:szCs w:val="21"/>
                <w:highlight w:val="none"/>
              </w:rPr>
              <w:t>2.项目业绩认定时间以</w:t>
            </w:r>
            <w:r>
              <w:rPr>
                <w:rFonts w:hint="eastAsia" w:hAnsi="宋体" w:cs="宋体"/>
                <w:sz w:val="21"/>
                <w:szCs w:val="21"/>
                <w:highlight w:val="none"/>
                <w:lang w:val="en-US" w:eastAsia="zh-CN"/>
              </w:rPr>
              <w:t>合同签订</w:t>
            </w:r>
            <w:r>
              <w:rPr>
                <w:rFonts w:hint="eastAsia" w:hAnsi="宋体" w:cs="宋体"/>
                <w:sz w:val="21"/>
                <w:szCs w:val="21"/>
                <w:highlight w:val="none"/>
              </w:rPr>
              <w:t>时间为准。</w:t>
            </w:r>
          </w:p>
          <w:p w14:paraId="5B0B945D">
            <w:pPr>
              <w:spacing w:line="360" w:lineRule="exact"/>
              <w:jc w:val="left"/>
              <w:rPr>
                <w:rFonts w:hint="eastAsia" w:asciiTheme="minorEastAsia" w:hAnsiTheme="minorEastAsia" w:eastAsiaTheme="minorEastAsia" w:cstheme="minorEastAsia"/>
                <w:sz w:val="24"/>
                <w:szCs w:val="24"/>
                <w:highlight w:val="none"/>
              </w:rPr>
            </w:pPr>
            <w:r>
              <w:rPr>
                <w:rFonts w:hint="eastAsia" w:hAnsi="宋体" w:cs="宋体"/>
                <w:sz w:val="21"/>
                <w:szCs w:val="21"/>
                <w:highlight w:val="none"/>
              </w:rPr>
              <w:t>3.未提供证明材料或材料不齐全，业绩不符合评分标准和备注规定的，不予计分。</w:t>
            </w:r>
          </w:p>
        </w:tc>
      </w:tr>
      <w:tr w14:paraId="17C921F8">
        <w:tblPrEx>
          <w:tblCellMar>
            <w:top w:w="0" w:type="dxa"/>
            <w:left w:w="108" w:type="dxa"/>
            <w:bottom w:w="0" w:type="dxa"/>
            <w:right w:w="108" w:type="dxa"/>
          </w:tblCellMar>
        </w:tblPrEx>
        <w:trPr>
          <w:trHeight w:val="847" w:hRule="atLeast"/>
          <w:jc w:val="center"/>
        </w:trPr>
        <w:tc>
          <w:tcPr>
            <w:tcW w:w="1404" w:type="dxa"/>
            <w:tcBorders>
              <w:top w:val="single" w:color="auto" w:sz="4" w:space="0"/>
              <w:left w:val="single" w:color="auto" w:sz="4" w:space="0"/>
              <w:right w:val="single" w:color="auto" w:sz="4" w:space="0"/>
            </w:tcBorders>
            <w:noWrap w:val="0"/>
            <w:vAlign w:val="center"/>
          </w:tcPr>
          <w:p w14:paraId="69B269C7">
            <w:pPr>
              <w:spacing w:line="360" w:lineRule="exact"/>
              <w:jc w:val="center"/>
              <w:rPr>
                <w:rFonts w:hAnsi="宋体" w:cs="宋体"/>
                <w:color w:val="000000"/>
                <w:sz w:val="21"/>
                <w:szCs w:val="21"/>
              </w:rPr>
            </w:pPr>
            <w:r>
              <w:rPr>
                <w:rFonts w:hint="eastAsia" w:hAnsi="宋体" w:cs="宋体"/>
                <w:color w:val="000000"/>
                <w:sz w:val="21"/>
                <w:szCs w:val="21"/>
              </w:rPr>
              <w:t>其他监理</w:t>
            </w:r>
          </w:p>
          <w:p w14:paraId="5A1C604B">
            <w:pPr>
              <w:spacing w:line="360" w:lineRule="exact"/>
              <w:jc w:val="center"/>
              <w:rPr>
                <w:rFonts w:hAnsi="宋体" w:cs="宋体"/>
                <w:color w:val="000000"/>
                <w:sz w:val="21"/>
                <w:szCs w:val="21"/>
              </w:rPr>
            </w:pPr>
            <w:r>
              <w:rPr>
                <w:rFonts w:hint="eastAsia" w:hAnsi="宋体" w:cs="宋体"/>
                <w:color w:val="000000"/>
                <w:sz w:val="21"/>
                <w:szCs w:val="21"/>
              </w:rPr>
              <w:t>人员配备</w:t>
            </w:r>
          </w:p>
          <w:p w14:paraId="22F58FC9">
            <w:pPr>
              <w:spacing w:line="360" w:lineRule="exact"/>
              <w:jc w:val="center"/>
              <w:rPr>
                <w:rFonts w:hint="eastAsia" w:asciiTheme="minorEastAsia" w:hAnsiTheme="minorEastAsia" w:eastAsiaTheme="minorEastAsia" w:cstheme="minorEastAsia"/>
                <w:color w:val="000000"/>
                <w:sz w:val="24"/>
                <w:szCs w:val="24"/>
                <w:highlight w:val="yellow"/>
              </w:rPr>
            </w:pPr>
            <w:r>
              <w:rPr>
                <w:rFonts w:hint="eastAsia" w:hAnsi="宋体" w:cs="宋体"/>
                <w:color w:val="000000"/>
                <w:sz w:val="21"/>
                <w:szCs w:val="21"/>
              </w:rPr>
              <w:t>（</w:t>
            </w:r>
            <w:r>
              <w:rPr>
                <w:rFonts w:hint="eastAsia" w:hAnsi="宋体" w:cs="宋体"/>
                <w:color w:val="000000"/>
                <w:sz w:val="21"/>
                <w:szCs w:val="21"/>
                <w:lang w:val="en-US" w:eastAsia="zh-CN"/>
              </w:rPr>
              <w:t>20</w:t>
            </w:r>
            <w:r>
              <w:rPr>
                <w:rFonts w:hint="eastAsia" w:hAnsi="宋体" w:cs="宋体"/>
                <w:color w:val="000000"/>
                <w:sz w:val="21"/>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45233A25">
            <w:pPr>
              <w:spacing w:line="360" w:lineRule="exact"/>
              <w:ind w:firstLine="420" w:firstLineChars="200"/>
              <w:jc w:val="left"/>
              <w:rPr>
                <w:rFonts w:hint="eastAsia" w:hAnsi="宋体" w:cs="宋体"/>
                <w:sz w:val="21"/>
                <w:szCs w:val="21"/>
              </w:rPr>
            </w:pPr>
            <w:r>
              <w:rPr>
                <w:rFonts w:hint="eastAsia" w:hAnsi="宋体" w:cs="宋体"/>
                <w:sz w:val="21"/>
                <w:szCs w:val="21"/>
              </w:rPr>
              <w:t>1、拟委派本项目的监理人员，数量和专业完全满足表2《项目监理机构其他人员需求表》要求的得</w:t>
            </w:r>
            <w:r>
              <w:rPr>
                <w:rFonts w:hint="eastAsia" w:hAnsi="宋体" w:cs="宋体"/>
                <w:sz w:val="21"/>
                <w:szCs w:val="21"/>
                <w:lang w:val="en-US" w:eastAsia="zh-CN"/>
              </w:rPr>
              <w:t>4</w:t>
            </w:r>
            <w:r>
              <w:rPr>
                <w:rFonts w:hint="eastAsia" w:hAnsi="宋体" w:cs="宋体"/>
                <w:sz w:val="21"/>
                <w:szCs w:val="21"/>
              </w:rPr>
              <w:t>分；本</w:t>
            </w:r>
            <w:r>
              <w:rPr>
                <w:rFonts w:hint="eastAsia" w:hAnsi="宋体" w:cs="宋体"/>
                <w:sz w:val="21"/>
                <w:szCs w:val="21"/>
                <w:lang w:eastAsia="zh-CN"/>
              </w:rPr>
              <w:t>小</w:t>
            </w:r>
            <w:r>
              <w:rPr>
                <w:rFonts w:hint="eastAsia" w:hAnsi="宋体" w:cs="宋体"/>
                <w:sz w:val="21"/>
                <w:szCs w:val="21"/>
              </w:rPr>
              <w:t>项最高得</w:t>
            </w:r>
            <w:r>
              <w:rPr>
                <w:rFonts w:hint="eastAsia" w:hAnsi="宋体" w:cs="宋体"/>
                <w:sz w:val="21"/>
                <w:szCs w:val="21"/>
                <w:lang w:val="en-US" w:eastAsia="zh-CN"/>
              </w:rPr>
              <w:t>4</w:t>
            </w:r>
            <w:r>
              <w:rPr>
                <w:rFonts w:hint="eastAsia" w:hAnsi="宋体" w:cs="宋体"/>
                <w:sz w:val="21"/>
                <w:szCs w:val="21"/>
              </w:rPr>
              <w:t>分。</w:t>
            </w:r>
          </w:p>
          <w:p w14:paraId="70D1DAA0">
            <w:pPr>
              <w:spacing w:line="360" w:lineRule="exact"/>
              <w:ind w:firstLine="420" w:firstLineChars="200"/>
              <w:jc w:val="left"/>
              <w:rPr>
                <w:rFonts w:hint="eastAsia" w:hAnsi="宋体" w:cs="宋体"/>
                <w:sz w:val="21"/>
                <w:szCs w:val="21"/>
              </w:rPr>
            </w:pPr>
            <w:r>
              <w:rPr>
                <w:rFonts w:hint="eastAsia" w:hAnsi="宋体" w:cs="宋体"/>
                <w:sz w:val="21"/>
                <w:szCs w:val="21"/>
              </w:rPr>
              <w:t>2、</w:t>
            </w:r>
            <w:r>
              <w:rPr>
                <w:rFonts w:hint="eastAsia" w:hAnsi="宋体" w:cs="宋体"/>
                <w:sz w:val="21"/>
                <w:szCs w:val="21"/>
                <w:lang w:val="en-US" w:eastAsia="zh-CN"/>
              </w:rPr>
              <w:t>除</w:t>
            </w:r>
            <w:r>
              <w:rPr>
                <w:rFonts w:hint="eastAsia" w:hAnsi="宋体" w:cs="宋体"/>
                <w:sz w:val="21"/>
                <w:szCs w:val="21"/>
              </w:rPr>
              <w:t>满足表2《项目监理机构其他人员需求表》的人员</w:t>
            </w:r>
            <w:r>
              <w:rPr>
                <w:rFonts w:hint="eastAsia" w:hAnsi="宋体" w:cs="宋体"/>
                <w:sz w:val="21"/>
                <w:szCs w:val="21"/>
                <w:lang w:val="en-US" w:eastAsia="zh-CN"/>
              </w:rPr>
              <w:t>外</w:t>
            </w:r>
            <w:r>
              <w:rPr>
                <w:rFonts w:hint="eastAsia" w:hAnsi="宋体" w:cs="宋体"/>
                <w:sz w:val="21"/>
                <w:szCs w:val="21"/>
              </w:rPr>
              <w:t>，</w:t>
            </w:r>
            <w:r>
              <w:rPr>
                <w:rFonts w:hint="eastAsia" w:hAnsi="宋体" w:cs="宋体"/>
                <w:sz w:val="21"/>
                <w:szCs w:val="21"/>
                <w:lang w:val="en-US" w:eastAsia="zh-CN"/>
              </w:rPr>
              <w:t>又</w:t>
            </w:r>
            <w:r>
              <w:rPr>
                <w:rFonts w:hint="eastAsia" w:hAnsi="宋体" w:cs="宋体"/>
                <w:sz w:val="21"/>
                <w:szCs w:val="21"/>
              </w:rPr>
              <w:t>满足以下条件的作为加分，具体如下：</w:t>
            </w:r>
          </w:p>
          <w:p w14:paraId="04A05749">
            <w:pPr>
              <w:spacing w:line="360" w:lineRule="exact"/>
              <w:ind w:firstLine="420" w:firstLineChars="200"/>
              <w:jc w:val="left"/>
              <w:rPr>
                <w:rFonts w:hint="eastAsia" w:ascii="宋体" w:hAnsi="宋体" w:eastAsia="宋体" w:cs="宋体"/>
                <w:color w:val="000000"/>
                <w:sz w:val="21"/>
                <w:szCs w:val="21"/>
              </w:rPr>
            </w:pPr>
            <w:r>
              <w:rPr>
                <w:rFonts w:hint="eastAsia" w:hAnsi="宋体" w:cs="宋体"/>
                <w:sz w:val="21"/>
                <w:szCs w:val="21"/>
                <w:lang w:val="en-US" w:eastAsia="zh-CN"/>
              </w:rPr>
              <w:t>1、市政</w:t>
            </w:r>
            <w:r>
              <w:rPr>
                <w:rFonts w:hint="eastAsia" w:ascii="宋体" w:hAnsi="宋体" w:eastAsia="宋体" w:cs="宋体"/>
                <w:color w:val="000000"/>
                <w:sz w:val="21"/>
                <w:szCs w:val="21"/>
              </w:rPr>
              <w:t>专业监理工程师：具有全国注册监理工程师（</w:t>
            </w:r>
            <w:r>
              <w:rPr>
                <w:rFonts w:hint="eastAsia" w:ascii="宋体" w:hAnsi="宋体" w:eastAsia="宋体" w:cs="宋体"/>
                <w:color w:val="000000"/>
                <w:sz w:val="21"/>
                <w:szCs w:val="21"/>
                <w:lang w:val="en-US" w:eastAsia="zh-CN"/>
              </w:rPr>
              <w:t>市政公用</w:t>
            </w:r>
            <w:r>
              <w:rPr>
                <w:rFonts w:hint="eastAsia" w:ascii="宋体" w:hAnsi="宋体" w:eastAsia="宋体" w:cs="宋体"/>
                <w:color w:val="000000"/>
                <w:sz w:val="21"/>
                <w:szCs w:val="21"/>
              </w:rPr>
              <w:t xml:space="preserve">工程）得 </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分；</w:t>
            </w:r>
            <w:r>
              <w:rPr>
                <w:rFonts w:hint="eastAsia" w:ascii="宋体" w:hAnsi="宋体" w:eastAsia="宋体" w:cs="宋体"/>
                <w:color w:val="000000"/>
                <w:sz w:val="21"/>
                <w:szCs w:val="21"/>
                <w:lang w:val="en-US" w:eastAsia="zh-CN"/>
              </w:rPr>
              <w:t>市政类高级及以上职称加2分</w:t>
            </w:r>
            <w:r>
              <w:rPr>
                <w:rFonts w:hint="eastAsia" w:ascii="宋体" w:hAnsi="宋体" w:eastAsia="宋体" w:cs="宋体"/>
                <w:color w:val="000000"/>
                <w:sz w:val="21"/>
                <w:szCs w:val="21"/>
              </w:rPr>
              <w:t xml:space="preserve">。本项最高得 </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分。</w:t>
            </w:r>
          </w:p>
          <w:p w14:paraId="1437AF37">
            <w:pPr>
              <w:spacing w:line="360" w:lineRule="exact"/>
              <w:ind w:firstLine="420" w:firstLineChars="200"/>
              <w:rPr>
                <w:rFonts w:hint="eastAsia" w:ascii="宋体" w:hAnsi="宋体" w:eastAsia="宋体" w:cs="宋体"/>
                <w:color w:val="000000"/>
                <w:sz w:val="21"/>
                <w:szCs w:val="21"/>
              </w:rPr>
            </w:pPr>
            <w:r>
              <w:rPr>
                <w:rFonts w:hint="eastAsia" w:hAnsi="宋体" w:cs="宋体"/>
                <w:color w:val="000000"/>
                <w:sz w:val="21"/>
                <w:szCs w:val="21"/>
                <w:lang w:val="en-US" w:eastAsia="zh-CN"/>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安全专业监理工程师：具有全国注册安全工程师执业证书（建筑施工安全</w:t>
            </w:r>
            <w:r>
              <w:rPr>
                <w:rFonts w:hint="eastAsia" w:ascii="宋体" w:hAnsi="宋体" w:eastAsia="宋体" w:cs="宋体"/>
                <w:color w:val="000000"/>
                <w:sz w:val="21"/>
                <w:szCs w:val="21"/>
                <w:lang w:val="en-US" w:eastAsia="zh-CN"/>
              </w:rPr>
              <w:t>专业</w:t>
            </w:r>
            <w:r>
              <w:rPr>
                <w:rFonts w:hint="eastAsia" w:ascii="宋体" w:hAnsi="宋体" w:eastAsia="宋体" w:cs="宋体"/>
                <w:color w:val="000000"/>
                <w:sz w:val="21"/>
                <w:szCs w:val="21"/>
              </w:rPr>
              <w:t xml:space="preserve">）得 </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分；同时具有全国注册监理工程师（</w:t>
            </w:r>
            <w:r>
              <w:rPr>
                <w:rFonts w:hint="eastAsia" w:ascii="宋体" w:hAnsi="宋体" w:eastAsia="宋体" w:cs="宋体"/>
                <w:color w:val="000000"/>
                <w:sz w:val="21"/>
                <w:szCs w:val="21"/>
                <w:lang w:val="en-US" w:eastAsia="zh-CN"/>
              </w:rPr>
              <w:t>市政公用</w:t>
            </w:r>
            <w:r>
              <w:rPr>
                <w:rFonts w:hint="eastAsia" w:ascii="宋体" w:hAnsi="宋体" w:eastAsia="宋体" w:cs="宋体"/>
                <w:color w:val="000000"/>
                <w:sz w:val="21"/>
                <w:szCs w:val="21"/>
              </w:rPr>
              <w:t>工程</w:t>
            </w:r>
            <w:r>
              <w:rPr>
                <w:rFonts w:hint="eastAsia" w:ascii="宋体" w:hAnsi="宋体" w:eastAsia="宋体" w:cs="宋体"/>
                <w:color w:val="000000"/>
                <w:sz w:val="21"/>
                <w:szCs w:val="21"/>
                <w:lang w:val="en-US" w:eastAsia="zh-CN"/>
              </w:rPr>
              <w:t>专业</w:t>
            </w:r>
            <w:r>
              <w:rPr>
                <w:rFonts w:hint="eastAsia" w:ascii="宋体" w:hAnsi="宋体" w:eastAsia="宋体" w:cs="宋体"/>
                <w:color w:val="000000"/>
                <w:sz w:val="21"/>
                <w:szCs w:val="21"/>
              </w:rPr>
              <w:t xml:space="preserve">）加 </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分，</w:t>
            </w:r>
            <w:r>
              <w:rPr>
                <w:rFonts w:hint="eastAsia" w:ascii="宋体" w:hAnsi="宋体" w:eastAsia="宋体" w:cs="宋体"/>
                <w:color w:val="000000"/>
                <w:sz w:val="21"/>
                <w:szCs w:val="21"/>
                <w:lang w:val="en-US" w:eastAsia="zh-CN"/>
              </w:rPr>
              <w:t>具有市政类高级及以上职称加2分</w:t>
            </w:r>
            <w:r>
              <w:rPr>
                <w:rFonts w:hint="eastAsia" w:ascii="宋体" w:hAnsi="宋体" w:eastAsia="宋体" w:cs="宋体"/>
                <w:color w:val="000000"/>
                <w:sz w:val="21"/>
                <w:szCs w:val="21"/>
              </w:rPr>
              <w:t xml:space="preserve">。本项最高得 </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w:t>
            </w:r>
          </w:p>
          <w:p w14:paraId="3B081725">
            <w:pPr>
              <w:spacing w:line="360" w:lineRule="exact"/>
              <w:ind w:firstLine="420" w:firstLineChars="200"/>
              <w:rPr>
                <w:rFonts w:hint="eastAsia" w:ascii="宋体" w:hAnsi="宋体" w:eastAsia="宋体" w:cs="宋体"/>
                <w:color w:val="000000"/>
                <w:sz w:val="21"/>
                <w:szCs w:val="21"/>
              </w:rPr>
            </w:pPr>
            <w:r>
              <w:rPr>
                <w:rFonts w:hint="eastAsia" w:hAnsi="宋体" w:cs="宋体"/>
                <w:color w:val="000000"/>
                <w:sz w:val="21"/>
                <w:szCs w:val="21"/>
                <w:lang w:val="en-US" w:eastAsia="zh-CN"/>
              </w:rPr>
              <w:t>3</w:t>
            </w:r>
            <w:r>
              <w:rPr>
                <w:rFonts w:hint="eastAsia" w:ascii="宋体" w:hAnsi="宋体" w:eastAsia="宋体" w:cs="宋体"/>
                <w:color w:val="000000"/>
                <w:sz w:val="21"/>
                <w:szCs w:val="21"/>
                <w:lang w:val="en-US" w:eastAsia="zh-CN"/>
              </w:rPr>
              <w:t>、造价</w:t>
            </w:r>
            <w:r>
              <w:rPr>
                <w:rFonts w:hint="eastAsia" w:ascii="宋体" w:hAnsi="宋体" w:eastAsia="宋体" w:cs="宋体"/>
                <w:color w:val="000000"/>
                <w:sz w:val="21"/>
                <w:szCs w:val="21"/>
              </w:rPr>
              <w:t>专业监理工程师：具有一名全国注册造价工程师或一级注册造价工程师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土建或土木建筑工程专业</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得 </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分，同时具有全国注册监理工程师（</w:t>
            </w:r>
            <w:r>
              <w:rPr>
                <w:rFonts w:hint="eastAsia" w:ascii="宋体" w:hAnsi="宋体" w:eastAsia="宋体" w:cs="宋体"/>
                <w:color w:val="000000"/>
                <w:sz w:val="21"/>
                <w:szCs w:val="21"/>
                <w:lang w:val="en-US" w:eastAsia="zh-CN"/>
              </w:rPr>
              <w:t>市政公用</w:t>
            </w:r>
            <w:r>
              <w:rPr>
                <w:rFonts w:hint="eastAsia" w:ascii="宋体" w:hAnsi="宋体" w:eastAsia="宋体" w:cs="宋体"/>
                <w:color w:val="000000"/>
                <w:sz w:val="21"/>
                <w:szCs w:val="21"/>
              </w:rPr>
              <w:t>工程</w:t>
            </w:r>
            <w:r>
              <w:rPr>
                <w:rFonts w:hint="eastAsia" w:ascii="宋体" w:hAnsi="宋体" w:eastAsia="宋体" w:cs="宋体"/>
                <w:color w:val="000000"/>
                <w:sz w:val="21"/>
                <w:szCs w:val="21"/>
                <w:lang w:val="en-US" w:eastAsia="zh-CN"/>
              </w:rPr>
              <w:t>专业</w:t>
            </w:r>
            <w:r>
              <w:rPr>
                <w:rFonts w:hint="eastAsia" w:ascii="宋体" w:hAnsi="宋体" w:eastAsia="宋体" w:cs="宋体"/>
                <w:color w:val="000000"/>
                <w:sz w:val="21"/>
                <w:szCs w:val="21"/>
              </w:rPr>
              <w:t xml:space="preserve">）加 </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分；</w:t>
            </w:r>
            <w:r>
              <w:rPr>
                <w:rFonts w:hint="eastAsia" w:ascii="宋体" w:hAnsi="宋体" w:eastAsia="宋体" w:cs="宋体"/>
                <w:color w:val="000000"/>
                <w:sz w:val="21"/>
                <w:szCs w:val="21"/>
                <w:lang w:val="en-US" w:eastAsia="zh-CN"/>
              </w:rPr>
              <w:t>造价类或经济类高级及以上职称加2分</w:t>
            </w:r>
            <w:r>
              <w:rPr>
                <w:rFonts w:hint="eastAsia" w:ascii="宋体" w:hAnsi="宋体" w:eastAsia="宋体" w:cs="宋体"/>
                <w:color w:val="000000"/>
                <w:sz w:val="21"/>
                <w:szCs w:val="21"/>
              </w:rPr>
              <w:t xml:space="preserve">。本项最高得 </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 xml:space="preserve"> 分。</w:t>
            </w:r>
          </w:p>
          <w:p w14:paraId="36D678FB">
            <w:pPr>
              <w:spacing w:line="360" w:lineRule="exact"/>
              <w:ind w:firstLine="420" w:firstLineChars="200"/>
              <w:rPr>
                <w:rFonts w:hint="eastAsia" w:ascii="宋体" w:hAnsi="宋体" w:eastAsia="宋体" w:cs="宋体"/>
                <w:color w:val="000000"/>
                <w:sz w:val="21"/>
                <w:szCs w:val="21"/>
              </w:rPr>
            </w:pPr>
            <w:r>
              <w:rPr>
                <w:rFonts w:hint="eastAsia" w:hAnsi="宋体" w:cs="宋体"/>
                <w:color w:val="000000"/>
                <w:sz w:val="21"/>
                <w:szCs w:val="21"/>
                <w:lang w:val="en-US" w:eastAsia="zh-CN"/>
              </w:rPr>
              <w:t>4</w:t>
            </w:r>
            <w:r>
              <w:rPr>
                <w:rFonts w:hint="eastAsia" w:ascii="宋体" w:hAnsi="宋体" w:eastAsia="宋体" w:cs="宋体"/>
                <w:color w:val="000000"/>
                <w:sz w:val="21"/>
                <w:szCs w:val="21"/>
              </w:rPr>
              <w:t>、以上配备人员，不可重复得分。</w:t>
            </w:r>
          </w:p>
          <w:p w14:paraId="6219CD4D">
            <w:pPr>
              <w:spacing w:line="360" w:lineRule="exact"/>
              <w:ind w:firstLine="420" w:firstLineChars="200"/>
              <w:rPr>
                <w:rFonts w:hAnsi="宋体" w:cs="宋体"/>
                <w:color w:val="000000"/>
                <w:sz w:val="21"/>
                <w:szCs w:val="21"/>
              </w:rPr>
            </w:pPr>
            <w:r>
              <w:rPr>
                <w:rFonts w:hint="eastAsia" w:hAnsi="宋体" w:cs="宋体"/>
                <w:color w:val="000000"/>
                <w:sz w:val="21"/>
                <w:szCs w:val="21"/>
                <w:lang w:val="en-US" w:eastAsia="zh-CN"/>
              </w:rPr>
              <w:t>5</w:t>
            </w:r>
            <w:r>
              <w:rPr>
                <w:rFonts w:hint="eastAsia" w:ascii="宋体" w:hAnsi="宋体" w:eastAsia="宋体" w:cs="宋体"/>
                <w:color w:val="000000"/>
                <w:sz w:val="21"/>
                <w:szCs w:val="21"/>
              </w:rPr>
              <w:t>、其</w:t>
            </w:r>
            <w:r>
              <w:rPr>
                <w:rFonts w:hint="eastAsia" w:hAnsi="宋体" w:cs="宋体"/>
                <w:color w:val="000000"/>
                <w:sz w:val="21"/>
                <w:szCs w:val="21"/>
              </w:rPr>
              <w:t>他情形的，不予计分。</w:t>
            </w:r>
          </w:p>
          <w:p w14:paraId="394559D6">
            <w:pPr>
              <w:spacing w:line="360" w:lineRule="exact"/>
              <w:ind w:firstLine="420" w:firstLineChars="200"/>
              <w:jc w:val="left"/>
              <w:rPr>
                <w:rFonts w:hint="eastAsia" w:asciiTheme="minorEastAsia" w:hAnsiTheme="minorEastAsia" w:eastAsiaTheme="minorEastAsia" w:cstheme="minorEastAsia"/>
                <w:color w:val="000000"/>
                <w:sz w:val="24"/>
                <w:szCs w:val="24"/>
                <w:highlight w:val="yellow"/>
              </w:rPr>
            </w:pPr>
            <w:r>
              <w:rPr>
                <w:rFonts w:hint="eastAsia" w:hAnsi="宋体" w:cs="宋体"/>
                <w:color w:val="000000"/>
                <w:sz w:val="21"/>
                <w:szCs w:val="21"/>
              </w:rPr>
              <w:t>说明：本项最高得</w:t>
            </w:r>
            <w:r>
              <w:rPr>
                <w:rFonts w:hint="eastAsia" w:hAnsi="宋体" w:cs="宋体"/>
                <w:color w:val="000000"/>
                <w:sz w:val="21"/>
                <w:szCs w:val="21"/>
                <w:lang w:val="en-US" w:eastAsia="zh-CN"/>
              </w:rPr>
              <w:t>20</w:t>
            </w:r>
            <w:r>
              <w:rPr>
                <w:rFonts w:hint="eastAsia" w:hAnsi="宋体" w:cs="宋体"/>
                <w:color w:val="000000"/>
                <w:sz w:val="21"/>
                <w:szCs w:val="21"/>
              </w:rPr>
              <w:t>分</w:t>
            </w:r>
          </w:p>
        </w:tc>
        <w:tc>
          <w:tcPr>
            <w:tcW w:w="3478" w:type="dxa"/>
            <w:tcBorders>
              <w:top w:val="single" w:color="auto" w:sz="4" w:space="0"/>
              <w:left w:val="single" w:color="auto" w:sz="4" w:space="0"/>
              <w:right w:val="single" w:color="auto" w:sz="4" w:space="0"/>
            </w:tcBorders>
            <w:noWrap w:val="0"/>
            <w:vAlign w:val="center"/>
          </w:tcPr>
          <w:p w14:paraId="7671FAA3">
            <w:pPr>
              <w:numPr>
                <w:ilvl w:val="0"/>
                <w:numId w:val="0"/>
              </w:numPr>
              <w:spacing w:line="360" w:lineRule="exact"/>
              <w:jc w:val="left"/>
              <w:rPr>
                <w:rFonts w:hint="eastAsia" w:hAnsi="宋体" w:cs="宋体"/>
                <w:color w:val="000000"/>
                <w:sz w:val="21"/>
                <w:szCs w:val="21"/>
                <w:lang w:eastAsia="zh-CN"/>
              </w:rPr>
            </w:pPr>
            <w:r>
              <w:rPr>
                <w:rFonts w:hint="eastAsia" w:hAnsi="宋体" w:cs="宋体"/>
                <w:color w:val="000000"/>
                <w:sz w:val="21"/>
                <w:szCs w:val="21"/>
                <w:lang w:val="en-US" w:eastAsia="zh-CN"/>
              </w:rPr>
              <w:t>1.</w:t>
            </w:r>
            <w:r>
              <w:rPr>
                <w:rFonts w:hint="eastAsia" w:hAnsi="宋体" w:cs="宋体"/>
                <w:color w:val="000000"/>
                <w:sz w:val="21"/>
                <w:szCs w:val="21"/>
              </w:rPr>
              <w:t>须提供相关证书彩色扫描件并加盖单位公章。</w:t>
            </w:r>
          </w:p>
          <w:p w14:paraId="61914348">
            <w:pPr>
              <w:numPr>
                <w:ilvl w:val="0"/>
                <w:numId w:val="0"/>
              </w:numPr>
              <w:spacing w:line="360" w:lineRule="exact"/>
              <w:jc w:val="left"/>
              <w:rPr>
                <w:rFonts w:hAnsi="宋体" w:cs="宋体"/>
                <w:color w:val="000000"/>
                <w:sz w:val="21"/>
                <w:szCs w:val="21"/>
              </w:rPr>
            </w:pPr>
            <w:r>
              <w:rPr>
                <w:rFonts w:hint="eastAsia" w:ascii="Times New Roman"/>
                <w:snapToGrid w:val="0"/>
                <w:color w:val="auto"/>
                <w:kern w:val="0"/>
                <w:sz w:val="21"/>
                <w:szCs w:val="28"/>
                <w:highlight w:val="none"/>
                <w:lang w:val="en-US" w:eastAsia="zh-CN"/>
              </w:rPr>
              <w:t>2.</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06</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highlight w:val="none"/>
              </w:rPr>
              <w:t>彩色扫描件。</w:t>
            </w:r>
          </w:p>
          <w:p w14:paraId="5351267B">
            <w:pPr>
              <w:spacing w:line="360" w:lineRule="exact"/>
              <w:jc w:val="left"/>
              <w:rPr>
                <w:rFonts w:hint="default" w:eastAsiaTheme="minorEastAsia"/>
                <w:highlight w:val="yellow"/>
                <w:lang w:val="en-US" w:eastAsia="zh-CN"/>
              </w:rPr>
            </w:pPr>
            <w:r>
              <w:rPr>
                <w:rFonts w:hint="eastAsia" w:hAnsi="宋体" w:cs="宋体"/>
                <w:color w:val="000000"/>
                <w:sz w:val="21"/>
                <w:szCs w:val="21"/>
                <w:lang w:val="en-US" w:eastAsia="zh-CN"/>
              </w:rPr>
              <w:t>3.</w:t>
            </w:r>
            <w:r>
              <w:rPr>
                <w:rFonts w:hint="eastAsia" w:hAnsi="宋体" w:cs="宋体"/>
                <w:color w:val="000000"/>
                <w:sz w:val="21"/>
                <w:szCs w:val="21"/>
              </w:rPr>
              <w:t>证书不在有效期内的，不予计分。</w:t>
            </w:r>
          </w:p>
        </w:tc>
      </w:tr>
      <w:tr w14:paraId="49A282CF">
        <w:tblPrEx>
          <w:tblCellMar>
            <w:top w:w="0" w:type="dxa"/>
            <w:left w:w="108" w:type="dxa"/>
            <w:bottom w:w="0" w:type="dxa"/>
            <w:right w:w="108" w:type="dxa"/>
          </w:tblCellMar>
        </w:tblPrEx>
        <w:trPr>
          <w:trHeight w:val="1260" w:hRule="atLeast"/>
          <w:jc w:val="center"/>
        </w:trPr>
        <w:tc>
          <w:tcPr>
            <w:tcW w:w="1404" w:type="dxa"/>
            <w:vMerge w:val="restart"/>
            <w:tcBorders>
              <w:top w:val="single" w:color="auto" w:sz="4" w:space="0"/>
              <w:left w:val="single" w:color="auto" w:sz="4" w:space="0"/>
              <w:right w:val="single" w:color="auto" w:sz="4" w:space="0"/>
            </w:tcBorders>
            <w:noWrap w:val="0"/>
            <w:vAlign w:val="center"/>
          </w:tcPr>
          <w:p w14:paraId="067BCFDC">
            <w:pPr>
              <w:spacing w:line="360" w:lineRule="exact"/>
              <w:ind w:left="24" w:leftChars="10" w:right="24" w:rightChars="10"/>
              <w:jc w:val="center"/>
              <w:rPr>
                <w:rFonts w:hint="eastAsia" w:hAnsi="宋体" w:cs="宋体"/>
                <w:color w:val="000000"/>
                <w:sz w:val="21"/>
                <w:szCs w:val="21"/>
                <w:highlight w:val="none"/>
              </w:rPr>
            </w:pPr>
            <w:r>
              <w:rPr>
                <w:rFonts w:hint="eastAsia" w:hAnsi="宋体" w:cs="宋体"/>
                <w:color w:val="000000"/>
                <w:sz w:val="21"/>
                <w:szCs w:val="21"/>
                <w:highlight w:val="none"/>
              </w:rPr>
              <w:t>企业信用综合情况</w:t>
            </w:r>
          </w:p>
          <w:p w14:paraId="7EEE03A8">
            <w:pPr>
              <w:spacing w:line="360" w:lineRule="exact"/>
              <w:ind w:left="24" w:leftChars="10" w:right="24" w:rightChars="10"/>
              <w:jc w:val="center"/>
              <w:rPr>
                <w:rFonts w:hint="eastAsia" w:asciiTheme="minorEastAsia" w:hAnsiTheme="minorEastAsia" w:eastAsiaTheme="minorEastAsia" w:cstheme="minorEastAsia"/>
                <w:snapToGrid w:val="0"/>
                <w:kern w:val="0"/>
                <w:sz w:val="24"/>
                <w:szCs w:val="24"/>
                <w:highlight w:val="none"/>
              </w:rPr>
            </w:pPr>
            <w:r>
              <w:rPr>
                <w:rFonts w:hint="eastAsia" w:hAnsi="宋体" w:cs="宋体"/>
                <w:color w:val="000000"/>
                <w:sz w:val="21"/>
                <w:szCs w:val="21"/>
                <w:highlight w:val="none"/>
              </w:rPr>
              <w:t>（10分）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69642BC4">
            <w:pPr>
              <w:widowControl/>
              <w:spacing w:line="360" w:lineRule="exact"/>
              <w:ind w:firstLine="420" w:firstLineChars="200"/>
              <w:jc w:val="left"/>
              <w:rPr>
                <w:rFonts w:hAnsi="宋体" w:cs="宋体"/>
                <w:color w:val="000000"/>
                <w:sz w:val="21"/>
                <w:szCs w:val="21"/>
                <w:highlight w:val="none"/>
              </w:rPr>
            </w:pPr>
            <w:r>
              <w:rPr>
                <w:rFonts w:hint="eastAsia" w:hAnsi="宋体" w:cs="宋体"/>
                <w:color w:val="000000"/>
                <w:sz w:val="21"/>
                <w:szCs w:val="21"/>
                <w:highlight w:val="none"/>
              </w:rPr>
              <w:t>1、投标人202</w:t>
            </w:r>
            <w:r>
              <w:rPr>
                <w:rFonts w:hint="eastAsia" w:hAnsi="宋体" w:cs="宋体"/>
                <w:color w:val="000000"/>
                <w:sz w:val="21"/>
                <w:szCs w:val="21"/>
                <w:highlight w:val="none"/>
                <w:lang w:val="en-US" w:eastAsia="zh-CN"/>
              </w:rPr>
              <w:t>3</w:t>
            </w:r>
            <w:r>
              <w:rPr>
                <w:rFonts w:hint="eastAsia" w:hAnsi="宋体" w:cs="宋体"/>
                <w:color w:val="000000"/>
                <w:sz w:val="21"/>
                <w:szCs w:val="21"/>
                <w:highlight w:val="none"/>
              </w:rPr>
              <w:t>年1月1日至今获得过地市级或以上税务行政主管部门评为“A级纳税人”称号的，得</w:t>
            </w:r>
            <w:r>
              <w:rPr>
                <w:rFonts w:hint="eastAsia" w:hAnsi="宋体" w:cs="宋体"/>
                <w:color w:val="000000"/>
                <w:sz w:val="21"/>
                <w:szCs w:val="21"/>
                <w:highlight w:val="none"/>
                <w:u w:val="single"/>
              </w:rPr>
              <w:t>5</w:t>
            </w:r>
            <w:r>
              <w:rPr>
                <w:rFonts w:hint="eastAsia" w:hAnsi="宋体" w:cs="宋体"/>
                <w:color w:val="000000"/>
                <w:sz w:val="21"/>
                <w:szCs w:val="21"/>
                <w:highlight w:val="none"/>
              </w:rPr>
              <w:t>分。</w:t>
            </w:r>
          </w:p>
          <w:p w14:paraId="209EFAE3">
            <w:pPr>
              <w:widowControl/>
              <w:spacing w:line="360" w:lineRule="exact"/>
              <w:ind w:firstLine="420" w:firstLineChars="200"/>
              <w:jc w:val="left"/>
              <w:rPr>
                <w:rFonts w:hAnsi="宋体" w:cs="宋体"/>
                <w:color w:val="000000"/>
                <w:sz w:val="21"/>
                <w:szCs w:val="21"/>
                <w:highlight w:val="none"/>
              </w:rPr>
            </w:pPr>
            <w:r>
              <w:rPr>
                <w:rFonts w:hint="eastAsia" w:hAnsi="宋体" w:cs="宋体"/>
                <w:color w:val="000000"/>
                <w:sz w:val="21"/>
                <w:szCs w:val="21"/>
                <w:highlight w:val="none"/>
              </w:rPr>
              <w:t>2、其他情形的，不予计分。</w:t>
            </w:r>
          </w:p>
          <w:p w14:paraId="403F9D48">
            <w:pPr>
              <w:spacing w:line="360" w:lineRule="exact"/>
              <w:ind w:firstLine="420" w:firstLineChars="200"/>
              <w:jc w:val="left"/>
              <w:rPr>
                <w:rFonts w:hint="eastAsia" w:asciiTheme="minorEastAsia" w:hAnsiTheme="minorEastAsia" w:eastAsiaTheme="minorEastAsia" w:cstheme="minorEastAsia"/>
                <w:color w:val="000000"/>
                <w:sz w:val="24"/>
                <w:szCs w:val="24"/>
                <w:highlight w:val="none"/>
              </w:rPr>
            </w:pPr>
            <w:r>
              <w:rPr>
                <w:rFonts w:hint="eastAsia" w:hAnsi="宋体" w:cs="宋体"/>
                <w:color w:val="000000"/>
                <w:sz w:val="21"/>
                <w:szCs w:val="21"/>
                <w:highlight w:val="none"/>
              </w:rPr>
              <w:t>说明：本项最高得5分。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1CF718DF">
            <w:pPr>
              <w:spacing w:line="360" w:lineRule="exact"/>
              <w:jc w:val="left"/>
              <w:rPr>
                <w:rFonts w:hAnsi="宋体" w:cs="宋体"/>
                <w:color w:val="000000"/>
                <w:sz w:val="21"/>
                <w:szCs w:val="21"/>
                <w:highlight w:val="none"/>
              </w:rPr>
            </w:pPr>
            <w:r>
              <w:rPr>
                <w:rFonts w:hint="eastAsia" w:hAnsi="宋体" w:cs="宋体"/>
                <w:color w:val="000000"/>
                <w:sz w:val="21"/>
                <w:szCs w:val="21"/>
                <w:highlight w:val="none"/>
              </w:rPr>
              <w:t>1.须提供企业纳税信用A级纳税人相应证书或证明材料彩色扫描件或提供国家税务总局纳税信用A级纳税人查询截图并加盖单位公章，否则不得分。</w:t>
            </w:r>
          </w:p>
          <w:p w14:paraId="5BBEC758">
            <w:pPr>
              <w:spacing w:line="360" w:lineRule="exact"/>
              <w:jc w:val="left"/>
              <w:rPr>
                <w:rFonts w:hint="eastAsia" w:asciiTheme="minorEastAsia" w:hAnsiTheme="minorEastAsia" w:eastAsiaTheme="minorEastAsia" w:cstheme="minorEastAsia"/>
                <w:color w:val="000000"/>
                <w:sz w:val="24"/>
                <w:szCs w:val="24"/>
                <w:highlight w:val="none"/>
              </w:rPr>
            </w:pPr>
            <w:r>
              <w:rPr>
                <w:rFonts w:hint="eastAsia" w:hAnsi="宋体" w:cs="宋体"/>
                <w:color w:val="000000"/>
                <w:sz w:val="21"/>
                <w:szCs w:val="21"/>
                <w:highlight w:val="none"/>
              </w:rPr>
              <w:t>2.只计算投标人自身（不计算投标人的分公司、子公司及分支机构）。</w:t>
            </w:r>
          </w:p>
        </w:tc>
      </w:tr>
      <w:tr w14:paraId="35C4E632">
        <w:tblPrEx>
          <w:tblCellMar>
            <w:top w:w="0" w:type="dxa"/>
            <w:left w:w="108" w:type="dxa"/>
            <w:bottom w:w="0" w:type="dxa"/>
            <w:right w:w="108" w:type="dxa"/>
          </w:tblCellMar>
        </w:tblPrEx>
        <w:trPr>
          <w:trHeight w:val="1260" w:hRule="atLeast"/>
          <w:jc w:val="center"/>
        </w:trPr>
        <w:tc>
          <w:tcPr>
            <w:tcW w:w="1404" w:type="dxa"/>
            <w:vMerge w:val="continue"/>
            <w:tcBorders>
              <w:left w:val="single" w:color="auto" w:sz="4" w:space="0"/>
              <w:bottom w:val="single" w:color="auto" w:sz="4" w:space="0"/>
              <w:right w:val="single" w:color="auto" w:sz="4" w:space="0"/>
            </w:tcBorders>
            <w:noWrap w:val="0"/>
            <w:vAlign w:val="center"/>
          </w:tcPr>
          <w:p w14:paraId="464E2D1C">
            <w:pPr>
              <w:spacing w:line="360" w:lineRule="exact"/>
              <w:ind w:left="24" w:leftChars="10" w:right="24" w:rightChars="10"/>
              <w:jc w:val="center"/>
              <w:rPr>
                <w:rFonts w:hint="eastAsia" w:asciiTheme="minorEastAsia" w:hAnsiTheme="minorEastAsia" w:eastAsiaTheme="minorEastAsia" w:cstheme="minorEastAsia"/>
                <w:snapToGrid w:val="0"/>
                <w:kern w:val="0"/>
                <w:sz w:val="24"/>
                <w:szCs w:val="24"/>
                <w:highlight w:val="none"/>
              </w:rPr>
            </w:pPr>
          </w:p>
        </w:tc>
        <w:tc>
          <w:tcPr>
            <w:tcW w:w="4480" w:type="dxa"/>
            <w:tcBorders>
              <w:top w:val="single" w:color="auto" w:sz="4" w:space="0"/>
              <w:left w:val="single" w:color="auto" w:sz="4" w:space="0"/>
              <w:bottom w:val="single" w:color="auto" w:sz="4" w:space="0"/>
              <w:right w:val="single" w:color="auto" w:sz="4" w:space="0"/>
            </w:tcBorders>
            <w:noWrap w:val="0"/>
            <w:vAlign w:val="center"/>
          </w:tcPr>
          <w:p w14:paraId="442CB380">
            <w:pPr>
              <w:spacing w:line="360" w:lineRule="exact"/>
              <w:ind w:firstLine="420" w:firstLineChars="200"/>
              <w:jc w:val="left"/>
              <w:rPr>
                <w:rFonts w:hAnsi="宋体" w:cs="宋体"/>
                <w:color w:val="000000"/>
                <w:sz w:val="21"/>
                <w:szCs w:val="21"/>
                <w:highlight w:val="none"/>
              </w:rPr>
            </w:pPr>
            <w:r>
              <w:rPr>
                <w:rFonts w:hint="eastAsia" w:hAnsi="宋体" w:cs="宋体"/>
                <w:color w:val="000000"/>
                <w:sz w:val="21"/>
                <w:szCs w:val="21"/>
                <w:highlight w:val="none"/>
              </w:rPr>
              <w:t>投标人202</w:t>
            </w:r>
            <w:r>
              <w:rPr>
                <w:rFonts w:hint="eastAsia" w:hAnsi="宋体" w:cs="宋体"/>
                <w:color w:val="000000"/>
                <w:sz w:val="21"/>
                <w:szCs w:val="21"/>
                <w:highlight w:val="none"/>
                <w:lang w:val="en-US" w:eastAsia="zh-CN"/>
              </w:rPr>
              <w:t>3</w:t>
            </w:r>
            <w:r>
              <w:rPr>
                <w:rFonts w:hint="eastAsia" w:hAnsi="宋体" w:cs="宋体"/>
                <w:color w:val="000000"/>
                <w:sz w:val="21"/>
                <w:szCs w:val="21"/>
                <w:highlight w:val="none"/>
              </w:rPr>
              <w:t>年1月1日至今，投标人获得过企业信用等级证书并在有效期内的：</w:t>
            </w:r>
          </w:p>
          <w:p w14:paraId="2609D145">
            <w:pPr>
              <w:spacing w:line="360" w:lineRule="exact"/>
              <w:ind w:firstLine="420" w:firstLineChars="200"/>
              <w:jc w:val="left"/>
              <w:rPr>
                <w:rFonts w:hAnsi="宋体" w:cs="宋体"/>
                <w:color w:val="000000"/>
                <w:sz w:val="21"/>
                <w:szCs w:val="21"/>
                <w:highlight w:val="none"/>
              </w:rPr>
            </w:pPr>
            <w:r>
              <w:rPr>
                <w:rFonts w:hint="eastAsia" w:hAnsi="宋体" w:cs="宋体"/>
                <w:color w:val="000000"/>
                <w:sz w:val="21"/>
                <w:szCs w:val="21"/>
                <w:highlight w:val="none"/>
              </w:rPr>
              <w:t>1、AAA级的得5分；</w:t>
            </w:r>
          </w:p>
          <w:p w14:paraId="0CD0166C">
            <w:pPr>
              <w:spacing w:line="360" w:lineRule="exact"/>
              <w:ind w:firstLine="420" w:firstLineChars="200"/>
              <w:jc w:val="left"/>
              <w:rPr>
                <w:rFonts w:hAnsi="宋体" w:cs="宋体"/>
                <w:color w:val="000000"/>
                <w:sz w:val="21"/>
                <w:szCs w:val="21"/>
                <w:highlight w:val="none"/>
              </w:rPr>
            </w:pPr>
            <w:r>
              <w:rPr>
                <w:rFonts w:hint="eastAsia" w:hAnsi="宋体" w:cs="宋体"/>
                <w:color w:val="000000"/>
                <w:sz w:val="21"/>
                <w:szCs w:val="21"/>
                <w:highlight w:val="none"/>
              </w:rPr>
              <w:t>2、AA级的得3分；</w:t>
            </w:r>
          </w:p>
          <w:p w14:paraId="0F309BCE">
            <w:pPr>
              <w:spacing w:line="360" w:lineRule="exact"/>
              <w:ind w:firstLine="420" w:firstLineChars="200"/>
              <w:jc w:val="left"/>
              <w:rPr>
                <w:rFonts w:hAnsi="宋体" w:cs="宋体"/>
                <w:color w:val="000000"/>
                <w:sz w:val="21"/>
                <w:szCs w:val="21"/>
                <w:highlight w:val="none"/>
              </w:rPr>
            </w:pPr>
            <w:r>
              <w:rPr>
                <w:rFonts w:hint="eastAsia" w:hAnsi="宋体" w:cs="宋体"/>
                <w:color w:val="000000"/>
                <w:sz w:val="21"/>
                <w:szCs w:val="21"/>
                <w:highlight w:val="none"/>
              </w:rPr>
              <w:t>3、A级的得1分。</w:t>
            </w:r>
          </w:p>
          <w:p w14:paraId="577F5D64">
            <w:pPr>
              <w:spacing w:line="360" w:lineRule="exact"/>
              <w:ind w:firstLine="420" w:firstLineChars="200"/>
              <w:jc w:val="left"/>
              <w:rPr>
                <w:rFonts w:hint="eastAsia" w:asciiTheme="minorEastAsia" w:hAnsiTheme="minorEastAsia" w:eastAsiaTheme="minorEastAsia" w:cstheme="minorEastAsia"/>
                <w:color w:val="000000"/>
                <w:sz w:val="24"/>
                <w:szCs w:val="24"/>
                <w:highlight w:val="none"/>
              </w:rPr>
            </w:pPr>
            <w:r>
              <w:rPr>
                <w:rFonts w:hint="eastAsia" w:hAnsi="宋体" w:cs="宋体"/>
                <w:color w:val="000000"/>
                <w:sz w:val="21"/>
                <w:szCs w:val="21"/>
                <w:highlight w:val="none"/>
              </w:rPr>
              <w:t>说明：本项最高得5分。</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09CA17">
            <w:pPr>
              <w:spacing w:line="360" w:lineRule="exact"/>
              <w:jc w:val="left"/>
              <w:rPr>
                <w:rFonts w:hAnsi="宋体" w:cs="宋体"/>
                <w:color w:val="000000"/>
                <w:sz w:val="21"/>
                <w:szCs w:val="21"/>
                <w:highlight w:val="none"/>
              </w:rPr>
            </w:pPr>
            <w:r>
              <w:rPr>
                <w:rFonts w:hint="eastAsia" w:hAnsi="宋体" w:cs="宋体"/>
                <w:color w:val="000000"/>
                <w:sz w:val="21"/>
                <w:szCs w:val="21"/>
                <w:highlight w:val="none"/>
              </w:rPr>
              <w:t>1.须提供有效期内的认证证书彩色扫描件并加盖单位公章。</w:t>
            </w:r>
          </w:p>
          <w:p w14:paraId="11BCE2D8">
            <w:pPr>
              <w:pStyle w:val="42"/>
              <w:spacing w:line="360" w:lineRule="exact"/>
              <w:jc w:val="left"/>
              <w:rPr>
                <w:rFonts w:hint="eastAsia" w:ascii="宋体" w:hAnsi="宋体" w:eastAsia="宋体" w:cs="宋体"/>
                <w:b/>
                <w:color w:val="000000"/>
                <w:kern w:val="2"/>
                <w:sz w:val="21"/>
                <w:szCs w:val="21"/>
                <w:highlight w:val="none"/>
                <w:lang w:val="en-US" w:eastAsia="zh-CN" w:bidi="ar-SA"/>
              </w:rPr>
            </w:pPr>
            <w:r>
              <w:rPr>
                <w:rFonts w:hint="eastAsia" w:ascii="宋体" w:hAnsi="宋体" w:cs="宋体"/>
                <w:b w:val="0"/>
                <w:color w:val="000000"/>
                <w:szCs w:val="21"/>
                <w:highlight w:val="none"/>
              </w:rPr>
              <w:t>2.证书不在有效期内的，不予计分。</w:t>
            </w:r>
          </w:p>
        </w:tc>
      </w:tr>
      <w:tr w14:paraId="3E0287D3">
        <w:tblPrEx>
          <w:tblCellMar>
            <w:top w:w="0" w:type="dxa"/>
            <w:left w:w="108" w:type="dxa"/>
            <w:bottom w:w="0" w:type="dxa"/>
            <w:right w:w="108" w:type="dxa"/>
          </w:tblCellMar>
        </w:tblPrEx>
        <w:trPr>
          <w:trHeight w:val="2826"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366968">
            <w:pPr>
              <w:pStyle w:val="11"/>
              <w:adjustRightInd w:val="0"/>
              <w:snapToGrid w:val="0"/>
              <w:spacing w:after="0" w:line="360" w:lineRule="exact"/>
              <w:jc w:val="center"/>
              <w:rPr>
                <w:rFonts w:hint="eastAsia" w:ascii="Times New Roman"/>
                <w:snapToGrid w:val="0"/>
                <w:kern w:val="0"/>
                <w:sz w:val="21"/>
                <w:szCs w:val="21"/>
                <w:lang w:bidi="ar"/>
              </w:rPr>
            </w:pPr>
            <w:r>
              <w:rPr>
                <w:rFonts w:hint="eastAsia" w:ascii="Times New Roman"/>
                <w:snapToGrid w:val="0"/>
                <w:kern w:val="0"/>
                <w:sz w:val="21"/>
                <w:szCs w:val="21"/>
                <w:lang w:bidi="ar"/>
              </w:rPr>
              <w:t>企业管理</w:t>
            </w:r>
          </w:p>
          <w:p w14:paraId="326B53F8">
            <w:pPr>
              <w:pStyle w:val="11"/>
              <w:adjustRightInd w:val="0"/>
              <w:snapToGrid w:val="0"/>
              <w:spacing w:after="0" w:line="360" w:lineRule="exact"/>
              <w:jc w:val="center"/>
              <w:rPr>
                <w:rFonts w:hint="eastAsia" w:ascii="Times New Roman"/>
                <w:snapToGrid w:val="0"/>
                <w:kern w:val="0"/>
                <w:sz w:val="21"/>
                <w:szCs w:val="21"/>
                <w:lang w:bidi="ar"/>
              </w:rPr>
            </w:pPr>
            <w:r>
              <w:rPr>
                <w:rFonts w:hint="eastAsia" w:ascii="Times New Roman"/>
                <w:snapToGrid w:val="0"/>
                <w:kern w:val="0"/>
                <w:sz w:val="21"/>
                <w:szCs w:val="21"/>
                <w:lang w:bidi="ar"/>
              </w:rPr>
              <w:t>体系认证</w:t>
            </w:r>
          </w:p>
          <w:p w14:paraId="56BFAEFC">
            <w:pPr>
              <w:adjustRightInd w:val="0"/>
              <w:snapToGrid w:val="0"/>
              <w:spacing w:line="360" w:lineRule="exact"/>
              <w:jc w:val="center"/>
              <w:rPr>
                <w:rFonts w:hint="eastAsia" w:ascii="宋体" w:hAnsi="Times New Roman" w:eastAsia="宋体" w:cs="Times New Roman"/>
                <w:b/>
                <w:bCs/>
                <w:snapToGrid w:val="0"/>
                <w:kern w:val="0"/>
                <w:sz w:val="21"/>
                <w:szCs w:val="21"/>
                <w:lang w:val="en-US" w:eastAsia="zh-CN" w:bidi="ar"/>
              </w:rPr>
            </w:pPr>
            <w:r>
              <w:rPr>
                <w:rFonts w:hint="eastAsia" w:hAnsi="宋体"/>
                <w:sz w:val="21"/>
                <w:szCs w:val="21"/>
              </w:rPr>
              <w:t>（5分）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23EB206E">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质量管理体系认证证书、职业健康安全管理体系认证证书、环境管理体系认证证书中：</w:t>
            </w:r>
          </w:p>
          <w:p w14:paraId="18D81E3E">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1、企业获得3项证书的得5分；</w:t>
            </w:r>
          </w:p>
          <w:p w14:paraId="0C415383">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2、企业获得其中2项证书的得3分；</w:t>
            </w:r>
          </w:p>
          <w:p w14:paraId="7BD0670F">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3、企业获得其中1项证书的得1分；</w:t>
            </w:r>
          </w:p>
          <w:p w14:paraId="040D4CB5">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4、以上认证证书均未获得的，不予计分。</w:t>
            </w:r>
          </w:p>
          <w:p w14:paraId="76FF5B2B">
            <w:pPr>
              <w:spacing w:line="360" w:lineRule="exact"/>
              <w:ind w:firstLine="420" w:firstLineChars="200"/>
              <w:jc w:val="left"/>
              <w:rPr>
                <w:rFonts w:hint="eastAsia" w:asciiTheme="minorEastAsia" w:hAnsiTheme="minorEastAsia" w:eastAsiaTheme="minorEastAsia" w:cstheme="minorEastAsia"/>
                <w:color w:val="000000"/>
                <w:kern w:val="2"/>
                <w:sz w:val="24"/>
                <w:szCs w:val="24"/>
                <w:highlight w:val="yellow"/>
                <w:lang w:val="en-US" w:eastAsia="zh-CN" w:bidi="ar-SA"/>
              </w:rPr>
            </w:pPr>
            <w:r>
              <w:rPr>
                <w:rFonts w:hint="eastAsia" w:hAnsi="宋体" w:cs="宋体"/>
                <w:color w:val="000000"/>
                <w:sz w:val="21"/>
                <w:szCs w:val="21"/>
              </w:rPr>
              <w:t>说明：本项最高得5分。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0607817F">
            <w:pPr>
              <w:spacing w:line="360" w:lineRule="exact"/>
              <w:jc w:val="left"/>
              <w:rPr>
                <w:rFonts w:hint="eastAsia" w:asciiTheme="minorEastAsia" w:hAnsiTheme="minorEastAsia" w:eastAsiaTheme="minorEastAsia" w:cstheme="minorEastAsia"/>
                <w:color w:val="000000"/>
                <w:kern w:val="2"/>
                <w:sz w:val="24"/>
                <w:szCs w:val="24"/>
                <w:highlight w:val="yellow"/>
                <w:lang w:val="en-US" w:eastAsia="zh-CN" w:bidi="ar-SA"/>
              </w:rPr>
            </w:pPr>
            <w:r>
              <w:rPr>
                <w:rFonts w:hint="eastAsia" w:hAnsi="宋体" w:cs="宋体"/>
                <w:color w:val="000000"/>
                <w:sz w:val="21"/>
                <w:szCs w:val="21"/>
              </w:rPr>
              <w:t>须附在有效期内的认证证书彩色扫描件，管理体系认证证明须同时提供认证证书以及国家认证认可监督管理委员会信息中心认证认可业务信息统一查询平台(http://cx.cnca.cn/）查询结果网页截图，否则不得分。</w:t>
            </w:r>
          </w:p>
        </w:tc>
      </w:tr>
      <w:tr w14:paraId="112C21C7">
        <w:tblPrEx>
          <w:tblCellMar>
            <w:top w:w="0" w:type="dxa"/>
            <w:left w:w="108" w:type="dxa"/>
            <w:bottom w:w="0" w:type="dxa"/>
            <w:right w:w="108" w:type="dxa"/>
          </w:tblCellMar>
        </w:tblPrEx>
        <w:trPr>
          <w:trHeight w:val="96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BDF3E6D">
            <w:pPr>
              <w:pStyle w:val="11"/>
              <w:adjustRightInd w:val="0"/>
              <w:snapToGrid w:val="0"/>
              <w:spacing w:after="0" w:line="240" w:lineRule="auto"/>
              <w:jc w:val="left"/>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技术部分（监理大纲），满分：</w:t>
            </w:r>
            <w:r>
              <w:rPr>
                <w:rFonts w:hint="eastAsia" w:asciiTheme="minorEastAsia" w:hAnsiTheme="minorEastAsia" w:eastAsiaTheme="minorEastAsia" w:cstheme="minorEastAsia"/>
                <w:snapToGrid w:val="0"/>
                <w:kern w:val="0"/>
                <w:sz w:val="24"/>
                <w:szCs w:val="24"/>
                <w:highlight w:val="none"/>
                <w:u w:val="single"/>
                <w:lang w:val="en-US" w:eastAsia="zh-CN"/>
              </w:rPr>
              <w:t>3</w:t>
            </w:r>
            <w:r>
              <w:rPr>
                <w:rFonts w:hint="eastAsia" w:asciiTheme="minorEastAsia" w:hAnsiTheme="minorEastAsia" w:eastAsiaTheme="minorEastAsia" w:cstheme="minorEastAsia"/>
                <w:snapToGrid w:val="0"/>
                <w:kern w:val="0"/>
                <w:sz w:val="24"/>
                <w:szCs w:val="24"/>
                <w:highlight w:val="none"/>
                <w:u w:val="single"/>
              </w:rPr>
              <w:t>0</w:t>
            </w:r>
            <w:r>
              <w:rPr>
                <w:rFonts w:hint="eastAsia" w:asciiTheme="minorEastAsia" w:hAnsiTheme="minorEastAsia" w:eastAsiaTheme="minorEastAsia" w:cstheme="minorEastAsia"/>
                <w:snapToGrid w:val="0"/>
                <w:kern w:val="0"/>
                <w:sz w:val="24"/>
                <w:szCs w:val="24"/>
                <w:highlight w:val="none"/>
              </w:rPr>
              <w:t>分。</w:t>
            </w:r>
          </w:p>
        </w:tc>
      </w:tr>
      <w:tr w14:paraId="132DB810">
        <w:tblPrEx>
          <w:tblCellMar>
            <w:top w:w="0" w:type="dxa"/>
            <w:left w:w="108" w:type="dxa"/>
            <w:bottom w:w="0" w:type="dxa"/>
            <w:right w:w="108" w:type="dxa"/>
          </w:tblCellMar>
        </w:tblPrEx>
        <w:trPr>
          <w:trHeight w:val="829"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7F28BEF">
            <w:pPr>
              <w:pStyle w:val="11"/>
              <w:adjustRightInd w:val="0"/>
              <w:snapToGrid w:val="0"/>
              <w:spacing w:after="0" w:line="240" w:lineRule="auto"/>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评分因素</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4D760616">
            <w:pPr>
              <w:pStyle w:val="11"/>
              <w:adjustRightInd w:val="0"/>
              <w:snapToGrid w:val="0"/>
              <w:spacing w:after="0" w:line="240" w:lineRule="auto"/>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评分标准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532E20C0">
            <w:pPr>
              <w:pStyle w:val="11"/>
              <w:adjustRightInd w:val="0"/>
              <w:snapToGrid w:val="0"/>
              <w:spacing w:after="0" w:line="240" w:lineRule="auto"/>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备注</w:t>
            </w:r>
          </w:p>
        </w:tc>
      </w:tr>
      <w:tr w14:paraId="7E8BD116">
        <w:tblPrEx>
          <w:tblCellMar>
            <w:top w:w="0" w:type="dxa"/>
            <w:left w:w="108" w:type="dxa"/>
            <w:bottom w:w="0" w:type="dxa"/>
            <w:right w:w="108" w:type="dxa"/>
          </w:tblCellMar>
        </w:tblPrEx>
        <w:trPr>
          <w:trHeight w:val="1875"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7142C44">
            <w:pPr>
              <w:pStyle w:val="100"/>
              <w:jc w:val="center"/>
              <w:rPr>
                <w:rFonts w:ascii="宋体" w:hAnsi="宋体" w:eastAsia="宋体" w:cs="宋体"/>
                <w:color w:val="000000"/>
                <w:szCs w:val="21"/>
              </w:rPr>
            </w:pPr>
            <w:r>
              <w:rPr>
                <w:rFonts w:hint="eastAsia" w:ascii="宋体" w:hAnsi="宋体" w:eastAsia="宋体" w:cs="宋体"/>
                <w:color w:val="000000"/>
                <w:szCs w:val="21"/>
              </w:rPr>
              <w:t>监理依据</w:t>
            </w:r>
          </w:p>
          <w:p w14:paraId="2A25EEBA">
            <w:pPr>
              <w:pStyle w:val="100"/>
              <w:jc w:val="center"/>
              <w:rPr>
                <w:rFonts w:ascii="宋体" w:hAnsi="宋体" w:eastAsia="宋体" w:cs="宋体"/>
                <w:color w:val="000000"/>
                <w:szCs w:val="21"/>
              </w:rPr>
            </w:pPr>
            <w:r>
              <w:rPr>
                <w:rFonts w:hint="eastAsia" w:ascii="宋体" w:hAnsi="宋体" w:eastAsia="宋体" w:cs="宋体"/>
                <w:color w:val="000000"/>
                <w:szCs w:val="21"/>
              </w:rPr>
              <w:t>及工作目标</w:t>
            </w:r>
          </w:p>
          <w:p w14:paraId="70AED10B">
            <w:pPr>
              <w:spacing w:line="240" w:lineRule="auto"/>
              <w:jc w:val="center"/>
              <w:rPr>
                <w:rFonts w:hint="eastAsia" w:asciiTheme="minorEastAsia" w:hAnsiTheme="minorEastAsia" w:eastAsiaTheme="minorEastAsia" w:cstheme="minorEastAsia"/>
                <w:color w:val="000000"/>
                <w:sz w:val="24"/>
                <w:szCs w:val="24"/>
                <w:highlight w:val="yellow"/>
              </w:rPr>
            </w:pPr>
            <w:r>
              <w:rPr>
                <w:rFonts w:hint="eastAsia" w:hAnsi="宋体" w:cs="宋体"/>
                <w:color w:val="000000"/>
                <w:sz w:val="21"/>
                <w:szCs w:val="21"/>
              </w:rPr>
              <w:t>（</w:t>
            </w:r>
            <w:r>
              <w:rPr>
                <w:rFonts w:hint="eastAsia" w:hAnsi="宋体" w:cs="宋体"/>
                <w:color w:val="000000"/>
                <w:sz w:val="21"/>
                <w:szCs w:val="21"/>
                <w:lang w:val="en-US" w:eastAsia="zh-CN"/>
              </w:rPr>
              <w:t>3</w:t>
            </w:r>
            <w:r>
              <w:rPr>
                <w:rFonts w:hint="eastAsia" w:hAnsi="宋体" w:cs="宋体"/>
                <w:color w:val="000000"/>
                <w:sz w:val="21"/>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09BE9AD5">
            <w:pPr>
              <w:spacing w:line="240" w:lineRule="auto"/>
              <w:jc w:val="left"/>
              <w:rPr>
                <w:rFonts w:hAnsi="宋体" w:cs="宋体"/>
                <w:color w:val="000000"/>
                <w:sz w:val="21"/>
                <w:szCs w:val="21"/>
              </w:rPr>
            </w:pPr>
            <w:r>
              <w:rPr>
                <w:rFonts w:hint="eastAsia" w:hAnsi="宋体" w:cs="宋体"/>
                <w:color w:val="000000"/>
                <w:sz w:val="21"/>
                <w:szCs w:val="21"/>
              </w:rPr>
              <w:t>【优】得该项评分因素分值的90%～100%（含90%）。</w:t>
            </w:r>
          </w:p>
          <w:p w14:paraId="285FDA75">
            <w:pPr>
              <w:spacing w:line="240" w:lineRule="auto"/>
              <w:jc w:val="left"/>
              <w:rPr>
                <w:rFonts w:hAnsi="宋体" w:cs="宋体"/>
                <w:color w:val="000000"/>
                <w:sz w:val="21"/>
                <w:szCs w:val="21"/>
              </w:rPr>
            </w:pPr>
            <w:r>
              <w:rPr>
                <w:rFonts w:hint="eastAsia" w:hAnsi="宋体" w:cs="宋体"/>
                <w:color w:val="000000"/>
                <w:sz w:val="21"/>
                <w:szCs w:val="21"/>
              </w:rPr>
              <w:t>【良】得该项评分因素分值的80%～90%（含80%）。</w:t>
            </w:r>
          </w:p>
          <w:p w14:paraId="6AB5AD22">
            <w:pPr>
              <w:spacing w:line="240" w:lineRule="auto"/>
              <w:jc w:val="left"/>
              <w:rPr>
                <w:rFonts w:hAnsi="宋体" w:cs="宋体"/>
                <w:color w:val="000000"/>
                <w:sz w:val="21"/>
                <w:szCs w:val="21"/>
              </w:rPr>
            </w:pPr>
            <w:r>
              <w:rPr>
                <w:rFonts w:hint="eastAsia" w:hAnsi="宋体" w:cs="宋体"/>
                <w:color w:val="000000"/>
                <w:sz w:val="21"/>
                <w:szCs w:val="21"/>
              </w:rPr>
              <w:t>【中】得该项评分因素分值的70%～80%（含70%）。</w:t>
            </w:r>
          </w:p>
          <w:p w14:paraId="28C545C2">
            <w:pPr>
              <w:spacing w:line="240" w:lineRule="auto"/>
              <w:jc w:val="left"/>
              <w:rPr>
                <w:rFonts w:hint="eastAsia" w:asciiTheme="minorEastAsia" w:hAnsiTheme="minorEastAsia" w:eastAsiaTheme="minorEastAsia" w:cstheme="minorEastAsia"/>
                <w:color w:val="000000"/>
                <w:sz w:val="24"/>
                <w:szCs w:val="24"/>
                <w:highlight w:val="yellow"/>
              </w:rPr>
            </w:pPr>
            <w:r>
              <w:rPr>
                <w:rFonts w:hint="eastAsia" w:hAnsi="宋体" w:cs="宋体"/>
                <w:color w:val="000000"/>
                <w:sz w:val="21"/>
                <w:szCs w:val="21"/>
              </w:rPr>
              <w:t>【差】得该项评分因素分值的60%～70%（含60%）。</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2E935">
            <w:pPr>
              <w:pStyle w:val="112"/>
              <w:adjustRightInd w:val="0"/>
              <w:snapToGrid w:val="0"/>
              <w:rPr>
                <w:rFonts w:hint="eastAsia" w:ascii="Times New Roman" w:hAnsi="Times New Roman" w:eastAsia="宋体" w:cs="Times New Roman"/>
                <w:snapToGrid w:val="0"/>
                <w:kern w:val="0"/>
                <w:sz w:val="21"/>
                <w:szCs w:val="21"/>
                <w:lang w:val="en-US" w:eastAsia="zh-CN" w:bidi="ar-SA"/>
              </w:rPr>
            </w:pPr>
            <w:r>
              <w:rPr>
                <w:rFonts w:hint="eastAsia" w:eastAsia="宋体"/>
                <w:snapToGrid w:val="0"/>
                <w:kern w:val="0"/>
                <w:szCs w:val="21"/>
              </w:rPr>
              <w:t>要求依据全面、适用；目标清晰、正确；针对性强。</w:t>
            </w:r>
          </w:p>
        </w:tc>
      </w:tr>
      <w:tr w14:paraId="3C26808C">
        <w:tblPrEx>
          <w:tblCellMar>
            <w:top w:w="0" w:type="dxa"/>
            <w:left w:w="108" w:type="dxa"/>
            <w:bottom w:w="0" w:type="dxa"/>
            <w:right w:w="108" w:type="dxa"/>
          </w:tblCellMar>
        </w:tblPrEx>
        <w:trPr>
          <w:trHeight w:val="104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8392FCB">
            <w:pPr>
              <w:pStyle w:val="128"/>
              <w:jc w:val="center"/>
              <w:rPr>
                <w:rFonts w:ascii="宋体" w:hAnsi="宋体" w:eastAsia="宋体" w:cs="宋体"/>
                <w:color w:val="000000"/>
                <w:szCs w:val="21"/>
              </w:rPr>
            </w:pPr>
            <w:r>
              <w:rPr>
                <w:rFonts w:hint="eastAsia" w:ascii="宋体" w:hAnsi="宋体" w:eastAsia="宋体" w:cs="宋体"/>
                <w:color w:val="000000"/>
                <w:szCs w:val="21"/>
              </w:rPr>
              <w:t>工程质量</w:t>
            </w:r>
          </w:p>
          <w:p w14:paraId="486DA880">
            <w:pPr>
              <w:pStyle w:val="128"/>
              <w:jc w:val="center"/>
              <w:rPr>
                <w:rFonts w:ascii="宋体" w:hAnsi="宋体" w:eastAsia="宋体" w:cs="宋体"/>
                <w:color w:val="000000"/>
                <w:szCs w:val="21"/>
              </w:rPr>
            </w:pPr>
            <w:r>
              <w:rPr>
                <w:rFonts w:hint="eastAsia" w:ascii="宋体" w:hAnsi="宋体" w:eastAsia="宋体" w:cs="宋体"/>
                <w:color w:val="000000"/>
                <w:szCs w:val="21"/>
              </w:rPr>
              <w:t>监理措施</w:t>
            </w:r>
          </w:p>
          <w:p w14:paraId="78C2E5A0">
            <w:pPr>
              <w:pStyle w:val="128"/>
              <w:jc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6D006844">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40160833">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5BFE6F0B">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3FCDC8C4">
            <w:pPr>
              <w:pStyle w:val="112"/>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restart"/>
            <w:tcBorders>
              <w:top w:val="single" w:color="auto" w:sz="4" w:space="0"/>
              <w:left w:val="single" w:color="auto" w:sz="4" w:space="0"/>
              <w:right w:val="single" w:color="auto" w:sz="4" w:space="0"/>
            </w:tcBorders>
            <w:noWrap w:val="0"/>
            <w:vAlign w:val="center"/>
          </w:tcPr>
          <w:p w14:paraId="05DDC00F">
            <w:pPr>
              <w:pStyle w:val="112"/>
              <w:adjustRightInd w:val="0"/>
              <w:snapToGrid w:val="0"/>
              <w:jc w:val="left"/>
              <w:rPr>
                <w:rFonts w:hint="eastAsia" w:asciiTheme="minorEastAsia" w:hAnsiTheme="minorEastAsia" w:eastAsiaTheme="minorEastAsia" w:cstheme="minorEastAsia"/>
                <w:snapToGrid w:val="0"/>
                <w:kern w:val="0"/>
                <w:sz w:val="24"/>
                <w:szCs w:val="24"/>
                <w:highlight w:val="yellow"/>
              </w:rPr>
            </w:pPr>
            <w:r>
              <w:rPr>
                <w:rFonts w:hint="eastAsia" w:eastAsia="宋体"/>
                <w:snapToGrid w:val="0"/>
                <w:kern w:val="0"/>
                <w:szCs w:val="21"/>
              </w:rPr>
              <w:t>要求目标正确、方法可行、预控和动态管理措施具体、针对性强。脱离本工程实际、机械照搬照抄规范和技术标准的，不能得满分。</w:t>
            </w:r>
          </w:p>
        </w:tc>
      </w:tr>
      <w:tr w14:paraId="5FADA294">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32302C2">
            <w:pPr>
              <w:pStyle w:val="128"/>
              <w:jc w:val="center"/>
              <w:rPr>
                <w:rFonts w:ascii="宋体" w:hAnsi="宋体" w:eastAsia="宋体" w:cs="宋体"/>
                <w:color w:val="000000"/>
                <w:szCs w:val="21"/>
              </w:rPr>
            </w:pPr>
            <w:r>
              <w:rPr>
                <w:rFonts w:hint="eastAsia" w:ascii="宋体" w:hAnsi="宋体" w:eastAsia="宋体" w:cs="宋体"/>
                <w:color w:val="000000"/>
                <w:szCs w:val="21"/>
              </w:rPr>
              <w:t>工程进度</w:t>
            </w:r>
          </w:p>
          <w:p w14:paraId="40532BFA">
            <w:pPr>
              <w:pStyle w:val="128"/>
              <w:jc w:val="center"/>
              <w:rPr>
                <w:rFonts w:ascii="宋体" w:hAnsi="宋体" w:eastAsia="宋体" w:cs="宋体"/>
                <w:color w:val="000000"/>
                <w:szCs w:val="21"/>
              </w:rPr>
            </w:pPr>
            <w:r>
              <w:rPr>
                <w:rFonts w:hint="eastAsia" w:ascii="宋体" w:hAnsi="宋体" w:eastAsia="宋体" w:cs="宋体"/>
                <w:color w:val="000000"/>
                <w:szCs w:val="21"/>
              </w:rPr>
              <w:t>监理措施</w:t>
            </w:r>
          </w:p>
          <w:p w14:paraId="6EB18F23">
            <w:pPr>
              <w:pStyle w:val="128"/>
              <w:jc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07665AB1">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46DF8667">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7DA94F7D">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1910797B">
            <w:pPr>
              <w:pStyle w:val="112"/>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continue"/>
            <w:tcBorders>
              <w:left w:val="single" w:color="auto" w:sz="4" w:space="0"/>
              <w:right w:val="single" w:color="auto" w:sz="4" w:space="0"/>
            </w:tcBorders>
            <w:noWrap w:val="0"/>
            <w:vAlign w:val="center"/>
          </w:tcPr>
          <w:p w14:paraId="011FE867">
            <w:pPr>
              <w:pStyle w:val="112"/>
              <w:adjustRightInd w:val="0"/>
              <w:snapToGrid w:val="0"/>
              <w:rPr>
                <w:rFonts w:hint="eastAsia" w:asciiTheme="minorEastAsia" w:hAnsiTheme="minorEastAsia" w:eastAsiaTheme="minorEastAsia" w:cstheme="minorEastAsia"/>
                <w:snapToGrid w:val="0"/>
                <w:kern w:val="0"/>
                <w:sz w:val="24"/>
                <w:szCs w:val="24"/>
                <w:highlight w:val="yellow"/>
              </w:rPr>
            </w:pPr>
          </w:p>
        </w:tc>
      </w:tr>
      <w:tr w14:paraId="0F40243F">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044E269">
            <w:pPr>
              <w:pStyle w:val="128"/>
              <w:jc w:val="center"/>
              <w:rPr>
                <w:rFonts w:ascii="宋体" w:hAnsi="宋体" w:eastAsia="宋体" w:cs="宋体"/>
                <w:color w:val="000000"/>
                <w:szCs w:val="21"/>
              </w:rPr>
            </w:pPr>
            <w:r>
              <w:rPr>
                <w:rFonts w:hint="eastAsia" w:ascii="宋体" w:hAnsi="宋体" w:eastAsia="宋体" w:cs="宋体"/>
                <w:color w:val="000000"/>
                <w:szCs w:val="21"/>
              </w:rPr>
              <w:t>工程造价</w:t>
            </w:r>
          </w:p>
          <w:p w14:paraId="76580869">
            <w:pPr>
              <w:pStyle w:val="128"/>
              <w:jc w:val="center"/>
              <w:rPr>
                <w:rFonts w:ascii="宋体" w:hAnsi="宋体" w:eastAsia="宋体" w:cs="宋体"/>
                <w:color w:val="000000"/>
                <w:szCs w:val="21"/>
              </w:rPr>
            </w:pPr>
            <w:r>
              <w:rPr>
                <w:rFonts w:hint="eastAsia" w:ascii="宋体" w:hAnsi="宋体" w:eastAsia="宋体" w:cs="宋体"/>
                <w:color w:val="000000"/>
                <w:szCs w:val="21"/>
              </w:rPr>
              <w:t>监理措施</w:t>
            </w:r>
          </w:p>
          <w:p w14:paraId="61C95408">
            <w:pPr>
              <w:pStyle w:val="128"/>
              <w:jc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1CED4F89">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039B867A">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4B49C877">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4602B549">
            <w:pPr>
              <w:pStyle w:val="112"/>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continue"/>
            <w:tcBorders>
              <w:left w:val="single" w:color="auto" w:sz="4" w:space="0"/>
              <w:right w:val="single" w:color="auto" w:sz="4" w:space="0"/>
            </w:tcBorders>
            <w:noWrap w:val="0"/>
            <w:vAlign w:val="center"/>
          </w:tcPr>
          <w:p w14:paraId="66CAA682">
            <w:pPr>
              <w:pStyle w:val="112"/>
              <w:adjustRightInd w:val="0"/>
              <w:snapToGrid w:val="0"/>
              <w:rPr>
                <w:rFonts w:hint="eastAsia" w:asciiTheme="minorEastAsia" w:hAnsiTheme="minorEastAsia" w:eastAsiaTheme="minorEastAsia" w:cstheme="minorEastAsia"/>
                <w:snapToGrid w:val="0"/>
                <w:kern w:val="0"/>
                <w:sz w:val="24"/>
                <w:szCs w:val="24"/>
                <w:highlight w:val="yellow"/>
              </w:rPr>
            </w:pPr>
          </w:p>
        </w:tc>
      </w:tr>
      <w:tr w14:paraId="4ACBF1AC">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A0752B">
            <w:pPr>
              <w:pStyle w:val="128"/>
              <w:jc w:val="center"/>
              <w:rPr>
                <w:rFonts w:ascii="宋体" w:hAnsi="宋体" w:eastAsia="宋体" w:cs="宋体"/>
                <w:color w:val="000000"/>
                <w:szCs w:val="21"/>
              </w:rPr>
            </w:pPr>
            <w:r>
              <w:rPr>
                <w:rFonts w:hint="eastAsia" w:ascii="宋体" w:hAnsi="宋体" w:eastAsia="宋体" w:cs="宋体"/>
                <w:color w:val="000000"/>
                <w:szCs w:val="21"/>
              </w:rPr>
              <w:t>安全防护</w:t>
            </w:r>
          </w:p>
          <w:p w14:paraId="4009196D">
            <w:pPr>
              <w:pStyle w:val="128"/>
              <w:jc w:val="center"/>
              <w:rPr>
                <w:rFonts w:ascii="宋体" w:hAnsi="宋体" w:eastAsia="宋体" w:cs="宋体"/>
                <w:color w:val="000000"/>
                <w:szCs w:val="21"/>
              </w:rPr>
            </w:pPr>
            <w:r>
              <w:rPr>
                <w:rFonts w:hint="eastAsia" w:ascii="宋体" w:hAnsi="宋体" w:eastAsia="宋体" w:cs="宋体"/>
                <w:color w:val="000000"/>
                <w:szCs w:val="21"/>
              </w:rPr>
              <w:t>监理措施</w:t>
            </w:r>
          </w:p>
          <w:p w14:paraId="1B13A159">
            <w:pPr>
              <w:pStyle w:val="12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8C484">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5F6D7E27">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2DFE4256">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053E21EB">
            <w:pPr>
              <w:pStyle w:val="11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continue"/>
            <w:tcBorders>
              <w:left w:val="single" w:color="auto" w:sz="4" w:space="0"/>
              <w:right w:val="single" w:color="auto" w:sz="4" w:space="0"/>
            </w:tcBorders>
            <w:noWrap w:val="0"/>
            <w:vAlign w:val="center"/>
          </w:tcPr>
          <w:p w14:paraId="52140825">
            <w:pPr>
              <w:pStyle w:val="112"/>
              <w:adjustRightInd w:val="0"/>
              <w:snapToGrid w:val="0"/>
              <w:rPr>
                <w:rFonts w:hint="eastAsia" w:asciiTheme="minorEastAsia" w:hAnsiTheme="minorEastAsia" w:eastAsiaTheme="minorEastAsia" w:cstheme="minorEastAsia"/>
                <w:snapToGrid w:val="0"/>
                <w:kern w:val="0"/>
                <w:sz w:val="24"/>
                <w:szCs w:val="24"/>
                <w:highlight w:val="yellow"/>
              </w:rPr>
            </w:pPr>
          </w:p>
        </w:tc>
      </w:tr>
      <w:tr w14:paraId="40CFFF3D">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E7D64">
            <w:pPr>
              <w:pStyle w:val="128"/>
              <w:jc w:val="center"/>
              <w:rPr>
                <w:rFonts w:ascii="宋体" w:hAnsi="宋体" w:eastAsia="宋体" w:cs="宋体"/>
                <w:color w:val="000000"/>
                <w:szCs w:val="21"/>
              </w:rPr>
            </w:pPr>
            <w:r>
              <w:rPr>
                <w:rFonts w:hint="eastAsia" w:ascii="宋体" w:hAnsi="宋体" w:eastAsia="宋体" w:cs="宋体"/>
                <w:color w:val="000000"/>
                <w:szCs w:val="21"/>
              </w:rPr>
              <w:t>绿色施工、文明施工监理措施</w:t>
            </w:r>
          </w:p>
          <w:p w14:paraId="41652894">
            <w:pPr>
              <w:pStyle w:val="12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35223BA7">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58FC4856">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0ECAC179">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07717E10">
            <w:pPr>
              <w:pStyle w:val="112"/>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continue"/>
            <w:tcBorders>
              <w:left w:val="single" w:color="auto" w:sz="4" w:space="0"/>
              <w:bottom w:val="single" w:color="auto" w:sz="4" w:space="0"/>
              <w:right w:val="single" w:color="auto" w:sz="4" w:space="0"/>
            </w:tcBorders>
            <w:noWrap w:val="0"/>
            <w:vAlign w:val="center"/>
          </w:tcPr>
          <w:p w14:paraId="4443F6BC">
            <w:pPr>
              <w:pStyle w:val="112"/>
              <w:adjustRightInd w:val="0"/>
              <w:snapToGrid w:val="0"/>
              <w:rPr>
                <w:rFonts w:hint="eastAsia" w:asciiTheme="minorEastAsia" w:hAnsiTheme="minorEastAsia" w:eastAsiaTheme="minorEastAsia" w:cstheme="minorEastAsia"/>
                <w:snapToGrid w:val="0"/>
                <w:kern w:val="0"/>
                <w:sz w:val="24"/>
                <w:szCs w:val="24"/>
                <w:highlight w:val="yellow"/>
              </w:rPr>
            </w:pPr>
          </w:p>
        </w:tc>
      </w:tr>
      <w:tr w14:paraId="7E216E33">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EE59A56">
            <w:pPr>
              <w:pStyle w:val="128"/>
              <w:jc w:val="center"/>
              <w:rPr>
                <w:rFonts w:ascii="宋体" w:hAnsi="宋体" w:eastAsia="宋体" w:cs="宋体"/>
                <w:color w:val="000000"/>
                <w:szCs w:val="21"/>
              </w:rPr>
            </w:pPr>
            <w:r>
              <w:rPr>
                <w:rFonts w:hint="eastAsia" w:ascii="宋体" w:hAnsi="宋体" w:eastAsia="宋体" w:cs="宋体"/>
                <w:color w:val="000000"/>
                <w:szCs w:val="21"/>
              </w:rPr>
              <w:t>合同、信息</w:t>
            </w:r>
          </w:p>
          <w:p w14:paraId="443F7DD2">
            <w:pPr>
              <w:pStyle w:val="128"/>
              <w:jc w:val="center"/>
              <w:rPr>
                <w:rFonts w:ascii="宋体" w:hAnsi="宋体" w:eastAsia="宋体" w:cs="宋体"/>
                <w:color w:val="000000"/>
                <w:szCs w:val="21"/>
              </w:rPr>
            </w:pPr>
            <w:r>
              <w:rPr>
                <w:rFonts w:hint="eastAsia" w:ascii="宋体" w:hAnsi="宋体" w:eastAsia="宋体" w:cs="宋体"/>
                <w:color w:val="000000"/>
                <w:szCs w:val="21"/>
              </w:rPr>
              <w:t>管理方案</w:t>
            </w:r>
          </w:p>
          <w:p w14:paraId="64884AAC">
            <w:pPr>
              <w:pStyle w:val="128"/>
              <w:jc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2B3BF9D">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4EB3B14E">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4992AFCA">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151DBA32">
            <w:pPr>
              <w:pStyle w:val="112"/>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430003AF">
            <w:pPr>
              <w:pStyle w:val="112"/>
              <w:adjustRightInd w:val="0"/>
              <w:snapToGrid w:val="0"/>
              <w:rPr>
                <w:rFonts w:hint="eastAsia" w:asciiTheme="minorEastAsia" w:hAnsiTheme="minorEastAsia" w:eastAsiaTheme="minorEastAsia" w:cstheme="minorEastAsia"/>
                <w:snapToGrid w:val="0"/>
                <w:kern w:val="0"/>
                <w:sz w:val="24"/>
                <w:szCs w:val="24"/>
                <w:highlight w:val="yellow"/>
              </w:rPr>
            </w:pPr>
            <w:r>
              <w:rPr>
                <w:rFonts w:hint="eastAsia" w:eastAsia="宋体"/>
                <w:snapToGrid w:val="0"/>
                <w:kern w:val="0"/>
                <w:szCs w:val="21"/>
              </w:rPr>
              <w:t>要求各项制度规范清晰，方法科学合理，措施及时有效，针对性强。能够切实防范和处理合同纠纷，提升监理工作效能。</w:t>
            </w:r>
          </w:p>
        </w:tc>
      </w:tr>
      <w:tr w14:paraId="38E9F190">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03BCB83">
            <w:pPr>
              <w:pStyle w:val="128"/>
              <w:jc w:val="center"/>
              <w:rPr>
                <w:rFonts w:ascii="宋体" w:hAnsi="宋体" w:eastAsia="宋体" w:cs="宋体"/>
                <w:color w:val="000000"/>
                <w:szCs w:val="21"/>
              </w:rPr>
            </w:pPr>
            <w:r>
              <w:rPr>
                <w:rFonts w:hint="eastAsia" w:ascii="宋体" w:hAnsi="宋体" w:eastAsia="宋体" w:cs="宋体"/>
                <w:color w:val="000000"/>
                <w:szCs w:val="21"/>
              </w:rPr>
              <w:t>组织协调</w:t>
            </w:r>
          </w:p>
          <w:p w14:paraId="131A1731">
            <w:pPr>
              <w:pStyle w:val="128"/>
              <w:jc w:val="center"/>
              <w:rPr>
                <w:rFonts w:ascii="宋体" w:hAnsi="宋体" w:eastAsia="宋体" w:cs="宋体"/>
                <w:color w:val="000000"/>
                <w:szCs w:val="21"/>
              </w:rPr>
            </w:pPr>
            <w:r>
              <w:rPr>
                <w:rFonts w:hint="eastAsia" w:ascii="宋体" w:hAnsi="宋体" w:eastAsia="宋体" w:cs="宋体"/>
                <w:color w:val="000000"/>
                <w:szCs w:val="21"/>
              </w:rPr>
              <w:t>内容及措施</w:t>
            </w:r>
          </w:p>
          <w:p w14:paraId="01509CAC">
            <w:pPr>
              <w:pStyle w:val="128"/>
              <w:jc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66A08AF">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507669B3">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7A52EE62">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15E181A8">
            <w:pPr>
              <w:pStyle w:val="112"/>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0A3357AF">
            <w:pPr>
              <w:pStyle w:val="112"/>
              <w:adjustRightInd w:val="0"/>
              <w:snapToGrid w:val="0"/>
              <w:rPr>
                <w:rFonts w:hint="eastAsia" w:asciiTheme="minorEastAsia" w:hAnsiTheme="minorEastAsia" w:eastAsiaTheme="minorEastAsia" w:cstheme="minorEastAsia"/>
                <w:snapToGrid w:val="0"/>
                <w:kern w:val="0"/>
                <w:sz w:val="24"/>
                <w:szCs w:val="24"/>
                <w:highlight w:val="yellow"/>
              </w:rPr>
            </w:pPr>
            <w:r>
              <w:rPr>
                <w:rFonts w:hint="eastAsia" w:eastAsia="宋体"/>
                <w:snapToGrid w:val="0"/>
                <w:kern w:val="0"/>
                <w:szCs w:val="21"/>
              </w:rPr>
              <w:t>要求各项制度规范清晰，方法科学合理，措施及时有效，针对性强。能够高效收集、协调、处理、反馈各方各类问题。</w:t>
            </w:r>
          </w:p>
        </w:tc>
      </w:tr>
      <w:tr w14:paraId="391FE3D6">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DD8A340">
            <w:pPr>
              <w:pStyle w:val="128"/>
              <w:jc w:val="center"/>
              <w:rPr>
                <w:rFonts w:ascii="宋体" w:hAnsi="宋体" w:eastAsia="宋体" w:cs="宋体"/>
                <w:color w:val="000000"/>
                <w:szCs w:val="21"/>
              </w:rPr>
            </w:pPr>
            <w:r>
              <w:rPr>
                <w:rFonts w:hint="eastAsia" w:ascii="宋体" w:hAnsi="宋体" w:eastAsia="宋体" w:cs="宋体"/>
                <w:color w:val="000000"/>
                <w:szCs w:val="21"/>
              </w:rPr>
              <w:t>监理工作重点、难点分析</w:t>
            </w:r>
          </w:p>
          <w:p w14:paraId="7D18DD92">
            <w:pPr>
              <w:pStyle w:val="128"/>
              <w:jc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659829C">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1F1C697D">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239D37E6">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23EDD71F">
            <w:pPr>
              <w:pStyle w:val="112"/>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15FF0F43">
            <w:pPr>
              <w:pStyle w:val="112"/>
              <w:adjustRightInd w:val="0"/>
              <w:snapToGrid w:val="0"/>
              <w:rPr>
                <w:rFonts w:hint="eastAsia" w:asciiTheme="minorEastAsia" w:hAnsiTheme="minorEastAsia" w:eastAsiaTheme="minorEastAsia" w:cstheme="minorEastAsia"/>
                <w:snapToGrid w:val="0"/>
                <w:kern w:val="0"/>
                <w:sz w:val="24"/>
                <w:szCs w:val="24"/>
                <w:highlight w:val="yellow"/>
              </w:rPr>
            </w:pPr>
            <w:r>
              <w:rPr>
                <w:rFonts w:hint="eastAsia" w:eastAsia="宋体"/>
                <w:snapToGrid w:val="0"/>
                <w:kern w:val="0"/>
                <w:szCs w:val="21"/>
              </w:rPr>
              <w:t>要求方法可行、措施具体、针对性强。</w:t>
            </w:r>
          </w:p>
        </w:tc>
      </w:tr>
      <w:tr w14:paraId="22A0A75C">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CD0D956">
            <w:pPr>
              <w:pStyle w:val="128"/>
              <w:jc w:val="center"/>
              <w:rPr>
                <w:rFonts w:ascii="宋体" w:hAnsi="宋体" w:eastAsia="宋体" w:cs="宋体"/>
                <w:color w:val="000000"/>
                <w:szCs w:val="21"/>
              </w:rPr>
            </w:pPr>
            <w:r>
              <w:rPr>
                <w:rFonts w:hint="eastAsia" w:ascii="宋体" w:hAnsi="宋体" w:eastAsia="宋体" w:cs="宋体"/>
                <w:color w:val="000000"/>
                <w:szCs w:val="21"/>
              </w:rPr>
              <w:t>合理化建议</w:t>
            </w:r>
          </w:p>
          <w:p w14:paraId="75E9AD58">
            <w:pPr>
              <w:pStyle w:val="128"/>
              <w:jc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253688D3">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57BCF32B">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00BD9DEB">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076D05DF">
            <w:pPr>
              <w:pStyle w:val="112"/>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7244E1E0">
            <w:pPr>
              <w:pStyle w:val="112"/>
              <w:adjustRightInd w:val="0"/>
              <w:snapToGrid w:val="0"/>
              <w:rPr>
                <w:rFonts w:hint="eastAsia" w:asciiTheme="minorEastAsia" w:hAnsiTheme="minorEastAsia" w:eastAsiaTheme="minorEastAsia" w:cstheme="minorEastAsia"/>
                <w:snapToGrid w:val="0"/>
                <w:kern w:val="0"/>
                <w:sz w:val="24"/>
                <w:szCs w:val="24"/>
                <w:highlight w:val="yellow"/>
              </w:rPr>
            </w:pPr>
            <w:r>
              <w:rPr>
                <w:rFonts w:hint="eastAsia" w:eastAsia="宋体"/>
                <w:snapToGrid w:val="0"/>
                <w:kern w:val="0"/>
                <w:szCs w:val="21"/>
              </w:rPr>
              <w:t>要求方法可行、措施具体、针对性强。</w:t>
            </w:r>
          </w:p>
        </w:tc>
      </w:tr>
      <w:tr w14:paraId="30A03639">
        <w:tblPrEx>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01BA1A5">
            <w:pPr>
              <w:pStyle w:val="112"/>
              <w:adjustRightInd w:val="0"/>
              <w:snapToGrid w:val="0"/>
              <w:spacing w:line="360" w:lineRule="exact"/>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投标报价部分，满分：</w:t>
            </w:r>
            <w:r>
              <w:rPr>
                <w:rFonts w:hint="eastAsia" w:asciiTheme="minorEastAsia" w:hAnsiTheme="minorEastAsia" w:eastAsiaTheme="minorEastAsia" w:cstheme="minorEastAsia"/>
                <w:snapToGrid w:val="0"/>
                <w:kern w:val="0"/>
                <w:sz w:val="24"/>
                <w:szCs w:val="24"/>
                <w:highlight w:val="none"/>
                <w:u w:val="single"/>
                <w:lang w:val="en-US" w:eastAsia="zh-CN"/>
              </w:rPr>
              <w:t>2</w:t>
            </w:r>
            <w:r>
              <w:rPr>
                <w:rFonts w:hint="eastAsia" w:asciiTheme="minorEastAsia" w:hAnsiTheme="minorEastAsia" w:eastAsiaTheme="minorEastAsia" w:cstheme="minorEastAsia"/>
                <w:snapToGrid w:val="0"/>
                <w:kern w:val="0"/>
                <w:sz w:val="24"/>
                <w:szCs w:val="24"/>
                <w:highlight w:val="none"/>
                <w:u w:val="single"/>
              </w:rPr>
              <w:t>0</w:t>
            </w:r>
            <w:r>
              <w:rPr>
                <w:rFonts w:hint="eastAsia" w:asciiTheme="minorEastAsia" w:hAnsiTheme="minorEastAsia" w:eastAsiaTheme="minorEastAsia" w:cstheme="minorEastAsia"/>
                <w:snapToGrid w:val="0"/>
                <w:kern w:val="0"/>
                <w:sz w:val="24"/>
                <w:szCs w:val="24"/>
                <w:highlight w:val="none"/>
              </w:rPr>
              <w:t>分。</w:t>
            </w:r>
          </w:p>
        </w:tc>
      </w:tr>
      <w:tr w14:paraId="28838CDC">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CC3AE37">
            <w:pPr>
              <w:pStyle w:val="11"/>
              <w:adjustRightInd w:val="0"/>
              <w:snapToGrid w:val="0"/>
              <w:spacing w:after="0" w:line="36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评分事项</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26D71145">
            <w:pPr>
              <w:pStyle w:val="11"/>
              <w:adjustRightInd w:val="0"/>
              <w:snapToGrid w:val="0"/>
              <w:spacing w:after="0" w:line="36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评分方法</w:t>
            </w:r>
          </w:p>
        </w:tc>
      </w:tr>
      <w:tr w14:paraId="09F56F79">
        <w:tblPrEx>
          <w:tblCellMar>
            <w:top w:w="0" w:type="dxa"/>
            <w:left w:w="108" w:type="dxa"/>
            <w:bottom w:w="0" w:type="dxa"/>
            <w:right w:w="108" w:type="dxa"/>
          </w:tblCellMar>
        </w:tblPrEx>
        <w:trPr>
          <w:trHeight w:val="9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4D062F44">
            <w:pPr>
              <w:pStyle w:val="128"/>
              <w:adjustRightInd w:val="0"/>
              <w:snapToGrid w:val="0"/>
              <w:spacing w:line="360" w:lineRule="exact"/>
              <w:jc w:val="center"/>
              <w:rPr>
                <w:rFonts w:hint="eastAsia" w:asciiTheme="minorEastAsia" w:hAnsiTheme="minorEastAsia" w:eastAsiaTheme="minorEastAsia" w:cstheme="minorEastAsia"/>
                <w:snapToGrid w:val="0"/>
                <w:kern w:val="0"/>
                <w:sz w:val="24"/>
                <w:szCs w:val="24"/>
                <w:highlight w:val="yellow"/>
              </w:rPr>
            </w:pPr>
            <w:r>
              <w:rPr>
                <w:rFonts w:hint="eastAsia" w:eastAsia="宋体"/>
                <w:snapToGrid w:val="0"/>
                <w:kern w:val="0"/>
                <w:szCs w:val="21"/>
              </w:rPr>
              <w:t>评标基准价D</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1D70ADD2">
            <w:pPr>
              <w:numPr>
                <w:ilvl w:val="0"/>
                <w:numId w:val="1"/>
              </w:numPr>
              <w:adjustRightInd w:val="0"/>
              <w:snapToGrid w:val="0"/>
              <w:spacing w:line="360" w:lineRule="exact"/>
              <w:ind w:firstLine="420" w:firstLineChars="200"/>
              <w:jc w:val="left"/>
              <w:rPr>
                <w:rFonts w:hint="eastAsia" w:ascii="Times New Roman"/>
                <w:snapToGrid w:val="0"/>
                <w:kern w:val="0"/>
                <w:sz w:val="21"/>
                <w:szCs w:val="21"/>
              </w:rPr>
            </w:pPr>
            <w:r>
              <w:rPr>
                <w:rFonts w:hint="eastAsia" w:ascii="Times New Roman"/>
                <w:snapToGrid w:val="0"/>
                <w:kern w:val="0"/>
                <w:sz w:val="21"/>
                <w:szCs w:val="21"/>
              </w:rPr>
              <w:t>确定最高投标限价下浮系数n：用1～21号球分别代表一个下浮系数，由评委代表从这21个号码中随机抽取</w:t>
            </w:r>
            <w:r>
              <w:rPr>
                <w:rFonts w:hint="eastAsia" w:ascii="Times New Roman"/>
                <w:snapToGrid w:val="0"/>
                <w:kern w:val="0"/>
                <w:sz w:val="21"/>
                <w:szCs w:val="21"/>
                <w:u w:val="single"/>
              </w:rPr>
              <w:t xml:space="preserve"> 3 </w:t>
            </w:r>
            <w:r>
              <w:rPr>
                <w:rFonts w:hint="eastAsia" w:ascii="Times New Roman"/>
                <w:snapToGrid w:val="0"/>
                <w:kern w:val="0"/>
                <w:sz w:val="21"/>
                <w:szCs w:val="21"/>
              </w:rPr>
              <w:t>次，抽出的号球不参与下次抽取，每次抽取1个号码，所抽取的3个号码对应下浮系数的算术平均值作为最高投标限价下浮系数n。具体号码对应的下浮系数可参考下表。</w:t>
            </w:r>
          </w:p>
          <w:p w14:paraId="19DD6209">
            <w:pPr>
              <w:pStyle w:val="42"/>
              <w:spacing w:line="360" w:lineRule="exact"/>
              <w:jc w:val="both"/>
              <w:rPr>
                <w:rFonts w:hint="eastAsia"/>
                <w:szCs w:val="21"/>
              </w:rPr>
            </w:pPr>
          </w:p>
          <w:tbl>
            <w:tblPr>
              <w:tblStyle w:val="31"/>
              <w:tblW w:w="0" w:type="auto"/>
              <w:tblInd w:w="113" w:type="dxa"/>
              <w:tblLayout w:type="fixed"/>
              <w:tblCellMar>
                <w:top w:w="0" w:type="dxa"/>
                <w:left w:w="108" w:type="dxa"/>
                <w:bottom w:w="0" w:type="dxa"/>
                <w:right w:w="108" w:type="dxa"/>
              </w:tblCellMar>
            </w:tblPr>
            <w:tblGrid>
              <w:gridCol w:w="1316"/>
              <w:gridCol w:w="747"/>
              <w:gridCol w:w="903"/>
              <w:gridCol w:w="900"/>
              <w:gridCol w:w="990"/>
              <w:gridCol w:w="750"/>
              <w:gridCol w:w="870"/>
              <w:gridCol w:w="855"/>
            </w:tblGrid>
            <w:tr w14:paraId="309369F2">
              <w:tblPrEx>
                <w:tblCellMar>
                  <w:top w:w="0" w:type="dxa"/>
                  <w:left w:w="108" w:type="dxa"/>
                  <w:bottom w:w="0" w:type="dxa"/>
                  <w:right w:w="108" w:type="dxa"/>
                </w:tblCellMar>
              </w:tblPrEx>
              <w:trPr>
                <w:trHeight w:val="50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61CA246">
                  <w:pPr>
                    <w:adjustRightInd w:val="0"/>
                    <w:snapToGrid w:val="0"/>
                    <w:spacing w:line="360" w:lineRule="exact"/>
                    <w:jc w:val="center"/>
                    <w:rPr>
                      <w:rFonts w:hint="eastAsia" w:ascii="Times New Roman"/>
                      <w:b/>
                      <w:snapToGrid w:val="0"/>
                      <w:kern w:val="0"/>
                      <w:sz w:val="21"/>
                      <w:szCs w:val="21"/>
                    </w:rPr>
                  </w:pPr>
                  <w:r>
                    <w:rPr>
                      <w:rFonts w:hint="eastAsia" w:ascii="Times New Roman"/>
                      <w:b/>
                      <w:snapToGrid w:val="0"/>
                      <w:kern w:val="0"/>
                      <w:sz w:val="21"/>
                      <w:szCs w:val="21"/>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AC18C72">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638090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F1EAAD3">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0F35629">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593DD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56332F">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7E4A41">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7</w:t>
                  </w:r>
                </w:p>
              </w:tc>
            </w:tr>
            <w:tr w14:paraId="28E0A6C4">
              <w:tblPrEx>
                <w:tblCellMar>
                  <w:top w:w="0" w:type="dxa"/>
                  <w:left w:w="108" w:type="dxa"/>
                  <w:bottom w:w="0" w:type="dxa"/>
                  <w:right w:w="108" w:type="dxa"/>
                </w:tblCellMar>
              </w:tblPrEx>
              <w:trPr>
                <w:trHeight w:val="562"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F74893A">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F1D08D7">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0.1</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27A6BDB">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A76AE6">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E0FF84E">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66E02A">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D29EB6F">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AD2164">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0.7</w:t>
                  </w:r>
                </w:p>
              </w:tc>
            </w:tr>
            <w:tr w14:paraId="3CADAC2D">
              <w:tblPrEx>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C17DFF9">
                  <w:pPr>
                    <w:adjustRightInd w:val="0"/>
                    <w:snapToGrid w:val="0"/>
                    <w:spacing w:line="360" w:lineRule="exact"/>
                    <w:jc w:val="center"/>
                    <w:rPr>
                      <w:rFonts w:hint="eastAsia" w:ascii="Times New Roman"/>
                      <w:b/>
                      <w:snapToGrid w:val="0"/>
                      <w:kern w:val="0"/>
                      <w:sz w:val="21"/>
                      <w:szCs w:val="21"/>
                    </w:rPr>
                  </w:pPr>
                  <w:r>
                    <w:rPr>
                      <w:rFonts w:hint="eastAsia" w:ascii="Times New Roman"/>
                      <w:b/>
                      <w:snapToGrid w:val="0"/>
                      <w:kern w:val="0"/>
                      <w:sz w:val="21"/>
                      <w:szCs w:val="21"/>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3AD0909">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8</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5D8E10D">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EBDBE7D">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201807C">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F428FC">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CD018D">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2878B2">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14</w:t>
                  </w:r>
                </w:p>
              </w:tc>
            </w:tr>
            <w:tr w14:paraId="1464E00B">
              <w:tblPrEx>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E74D43E">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19CA6FE">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0.8</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672D6BB">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6DB344">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080692B">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A34E91">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6D98B47">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2E2DC4">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1.4</w:t>
                  </w:r>
                </w:p>
              </w:tc>
            </w:tr>
            <w:tr w14:paraId="3D2DEA8F">
              <w:tblPrEx>
                <w:tblCellMar>
                  <w:top w:w="0" w:type="dxa"/>
                  <w:left w:w="108" w:type="dxa"/>
                  <w:bottom w:w="0" w:type="dxa"/>
                  <w:right w:w="108" w:type="dxa"/>
                </w:tblCellMar>
              </w:tblPrEx>
              <w:trPr>
                <w:trHeight w:val="47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59E453E">
                  <w:pPr>
                    <w:adjustRightInd w:val="0"/>
                    <w:snapToGrid w:val="0"/>
                    <w:spacing w:line="360" w:lineRule="exact"/>
                    <w:jc w:val="center"/>
                    <w:rPr>
                      <w:rFonts w:hint="eastAsia" w:ascii="Times New Roman"/>
                      <w:b/>
                      <w:snapToGrid w:val="0"/>
                      <w:kern w:val="0"/>
                      <w:sz w:val="21"/>
                      <w:szCs w:val="21"/>
                    </w:rPr>
                  </w:pPr>
                  <w:r>
                    <w:rPr>
                      <w:rFonts w:hint="eastAsia" w:ascii="Times New Roman"/>
                      <w:b/>
                      <w:snapToGrid w:val="0"/>
                      <w:kern w:val="0"/>
                      <w:sz w:val="21"/>
                      <w:szCs w:val="21"/>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F08E6F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20C3AF5">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CAFF82">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066C835">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9C5600">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7F2120">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7C7EAEF">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21</w:t>
                  </w:r>
                </w:p>
              </w:tc>
            </w:tr>
            <w:tr w14:paraId="1D292678">
              <w:tblPrEx>
                <w:tblCellMar>
                  <w:top w:w="0" w:type="dxa"/>
                  <w:left w:w="108" w:type="dxa"/>
                  <w:bottom w:w="0" w:type="dxa"/>
                  <w:right w:w="108" w:type="dxa"/>
                </w:tblCellMar>
              </w:tblPrEx>
              <w:trPr>
                <w:trHeight w:val="60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7D52EA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B4F997B">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56EC66B">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D285190">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1A86022">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D34A95">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2648B8">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577FFBD">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2.1</w:t>
                  </w:r>
                </w:p>
              </w:tc>
            </w:tr>
          </w:tbl>
          <w:p w14:paraId="2D5A3400">
            <w:pPr>
              <w:adjustRightInd w:val="0"/>
              <w:snapToGrid w:val="0"/>
              <w:spacing w:line="360" w:lineRule="exact"/>
              <w:ind w:firstLine="420" w:firstLineChars="200"/>
              <w:jc w:val="left"/>
              <w:rPr>
                <w:rFonts w:hint="eastAsia" w:asciiTheme="minorEastAsia" w:hAnsiTheme="minorEastAsia" w:eastAsiaTheme="minorEastAsia" w:cstheme="minorEastAsia"/>
                <w:snapToGrid w:val="0"/>
                <w:kern w:val="0"/>
                <w:sz w:val="24"/>
                <w:szCs w:val="24"/>
                <w:highlight w:val="yellow"/>
              </w:rPr>
            </w:pPr>
            <w:r>
              <w:rPr>
                <w:rFonts w:hint="eastAsia" w:ascii="Times New Roman"/>
                <w:snapToGrid w:val="0"/>
                <w:kern w:val="0"/>
                <w:sz w:val="21"/>
                <w:szCs w:val="21"/>
              </w:rPr>
              <w:t>（2）评标基准价D＝最高投标限价×（1－n）</w:t>
            </w:r>
          </w:p>
        </w:tc>
      </w:tr>
      <w:tr w14:paraId="495D5F2D">
        <w:tblPrEx>
          <w:tblCellMar>
            <w:top w:w="0" w:type="dxa"/>
            <w:left w:w="108" w:type="dxa"/>
            <w:bottom w:w="0" w:type="dxa"/>
            <w:right w:w="108" w:type="dxa"/>
          </w:tblCellMar>
        </w:tblPrEx>
        <w:trPr>
          <w:trHeight w:val="802"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48F7BB15">
            <w:pPr>
              <w:pStyle w:val="128"/>
              <w:adjustRightInd w:val="0"/>
              <w:snapToGrid w:val="0"/>
              <w:spacing w:line="360" w:lineRule="exact"/>
              <w:jc w:val="center"/>
              <w:rPr>
                <w:rFonts w:hint="eastAsia" w:eastAsia="宋体"/>
                <w:snapToGrid w:val="0"/>
                <w:kern w:val="0"/>
                <w:szCs w:val="21"/>
              </w:rPr>
            </w:pPr>
            <w:r>
              <w:rPr>
                <w:rFonts w:hint="eastAsia" w:eastAsia="宋体"/>
                <w:snapToGrid w:val="0"/>
                <w:kern w:val="0"/>
                <w:szCs w:val="21"/>
              </w:rPr>
              <w:t>投标报价</w:t>
            </w:r>
          </w:p>
          <w:p w14:paraId="26FCA01E">
            <w:pPr>
              <w:pStyle w:val="128"/>
              <w:adjustRightInd w:val="0"/>
              <w:snapToGrid w:val="0"/>
              <w:spacing w:line="360" w:lineRule="exact"/>
              <w:jc w:val="center"/>
              <w:rPr>
                <w:rFonts w:hint="eastAsia" w:asciiTheme="minorEastAsia" w:hAnsiTheme="minorEastAsia" w:eastAsiaTheme="minorEastAsia" w:cstheme="minorEastAsia"/>
                <w:snapToGrid w:val="0"/>
                <w:kern w:val="0"/>
                <w:sz w:val="24"/>
                <w:szCs w:val="24"/>
                <w:highlight w:val="yellow"/>
              </w:rPr>
            </w:pPr>
            <w:r>
              <w:rPr>
                <w:rFonts w:hint="eastAsia" w:eastAsia="宋体"/>
                <w:snapToGrid w:val="0"/>
                <w:kern w:val="0"/>
                <w:szCs w:val="21"/>
              </w:rPr>
              <w:t>得分M</w:t>
            </w:r>
            <w:r>
              <w:rPr>
                <w:rFonts w:hint="eastAsia" w:eastAsia="宋体"/>
                <w:snapToGrid w:val="0"/>
                <w:kern w:val="0"/>
                <w:szCs w:val="21"/>
                <w:vertAlign w:val="subscript"/>
              </w:rPr>
              <w:t>3</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27C0E775">
            <w:pPr>
              <w:adjustRightInd w:val="0"/>
              <w:snapToGrid w:val="0"/>
              <w:spacing w:line="360" w:lineRule="exact"/>
              <w:ind w:firstLine="420" w:firstLineChars="200"/>
              <w:jc w:val="left"/>
              <w:rPr>
                <w:rFonts w:hint="eastAsia" w:ascii="Times New Roman"/>
                <w:snapToGrid w:val="0"/>
                <w:kern w:val="0"/>
                <w:sz w:val="21"/>
                <w:szCs w:val="21"/>
              </w:rPr>
            </w:pPr>
            <w:r>
              <w:rPr>
                <w:rFonts w:hint="eastAsia" w:ascii="Times New Roman"/>
                <w:snapToGrid w:val="0"/>
                <w:kern w:val="0"/>
                <w:sz w:val="21"/>
                <w:szCs w:val="21"/>
              </w:rPr>
              <w:t>采用内插法计算某投标人的投标报价得分M</w:t>
            </w:r>
            <w:r>
              <w:rPr>
                <w:rFonts w:hint="eastAsia" w:ascii="Times New Roman"/>
                <w:snapToGrid w:val="0"/>
                <w:kern w:val="0"/>
                <w:sz w:val="21"/>
                <w:szCs w:val="21"/>
                <w:vertAlign w:val="subscript"/>
              </w:rPr>
              <w:t>3</w:t>
            </w:r>
            <w:r>
              <w:rPr>
                <w:rFonts w:hint="eastAsia" w:ascii="Times New Roman"/>
                <w:snapToGrid w:val="0"/>
                <w:kern w:val="0"/>
                <w:sz w:val="21"/>
                <w:szCs w:val="21"/>
              </w:rPr>
              <w:t>，即当投标人的投标总价等于评标基准价时得满分，每高于评标基准价一个百分点扣0.2分，每低于评标基准价一个百分点扣0.1分，扣完为止。公式如下：</w:t>
            </w:r>
          </w:p>
          <w:p w14:paraId="6D5CFF7F">
            <w:pPr>
              <w:adjustRightInd w:val="0"/>
              <w:snapToGrid w:val="0"/>
              <w:spacing w:line="360" w:lineRule="exact"/>
              <w:ind w:firstLine="420" w:firstLineChars="200"/>
              <w:jc w:val="left"/>
              <w:rPr>
                <w:rFonts w:hint="eastAsia" w:ascii="Times New Roman"/>
                <w:snapToGrid w:val="0"/>
                <w:kern w:val="0"/>
                <w:sz w:val="21"/>
                <w:szCs w:val="21"/>
              </w:rPr>
            </w:pPr>
            <w:r>
              <w:rPr>
                <w:rFonts w:hint="eastAsia" w:ascii="Times New Roman"/>
                <w:snapToGrid w:val="0"/>
                <w:kern w:val="0"/>
                <w:sz w:val="21"/>
                <w:szCs w:val="21"/>
              </w:rPr>
              <w:t>M</w:t>
            </w:r>
            <w:r>
              <w:rPr>
                <w:rFonts w:hint="eastAsia" w:ascii="Times New Roman"/>
                <w:snapToGrid w:val="0"/>
                <w:kern w:val="0"/>
                <w:sz w:val="21"/>
                <w:szCs w:val="21"/>
                <w:vertAlign w:val="subscript"/>
              </w:rPr>
              <w:t>3</w:t>
            </w:r>
            <w:r>
              <w:rPr>
                <w:rFonts w:hint="eastAsia" w:ascii="Times New Roman"/>
                <w:snapToGrid w:val="0"/>
                <w:kern w:val="0"/>
                <w:sz w:val="21"/>
                <w:szCs w:val="21"/>
              </w:rPr>
              <w:t>＝投标报价满分－（| Di－D | ÷D）×100×E</w:t>
            </w:r>
          </w:p>
          <w:p w14:paraId="2C5E8F50">
            <w:pPr>
              <w:adjustRightInd w:val="0"/>
              <w:snapToGrid w:val="0"/>
              <w:spacing w:line="360" w:lineRule="exact"/>
              <w:ind w:firstLine="420" w:firstLineChars="200"/>
              <w:jc w:val="left"/>
              <w:rPr>
                <w:rFonts w:hint="eastAsia" w:asciiTheme="minorEastAsia" w:hAnsiTheme="minorEastAsia" w:eastAsiaTheme="minorEastAsia" w:cstheme="minorEastAsia"/>
                <w:snapToGrid w:val="0"/>
                <w:kern w:val="0"/>
                <w:sz w:val="24"/>
                <w:szCs w:val="24"/>
                <w:highlight w:val="yellow"/>
              </w:rPr>
            </w:pPr>
            <w:r>
              <w:rPr>
                <w:rFonts w:hint="eastAsia" w:ascii="Times New Roman"/>
                <w:snapToGrid w:val="0"/>
                <w:kern w:val="0"/>
                <w:sz w:val="21"/>
                <w:szCs w:val="21"/>
              </w:rPr>
              <w:t>式中：D为评标基准价，Di为某投标人的投标总价；E为扣分因子。当Di＞D时，E＝0.2；当Di＜D时，E＝0.1。</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注：评分如出现小数点，则保留小数点后两位，第三位四舍五入。</w:t>
      </w:r>
    </w:p>
    <w:p w14:paraId="02D8E841">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50869EF5">
      <w:pPr>
        <w:wordWrap w:val="0"/>
        <w:adjustRightInd w:val="0"/>
        <w:snapToGrid w:val="0"/>
        <w:spacing w:line="440" w:lineRule="exact"/>
        <w:jc w:val="center"/>
        <w:rPr>
          <w:rFonts w:hint="eastAsia" w:ascii="Times New Roman"/>
          <w:b/>
          <w:bCs/>
          <w:snapToGrid w:val="0"/>
          <w:kern w:val="0"/>
        </w:rPr>
      </w:pPr>
      <w:r>
        <w:rPr>
          <w:rFonts w:hint="eastAsia" w:ascii="Times New Roman"/>
          <w:b/>
          <w:bCs/>
          <w:snapToGrid w:val="0"/>
          <w:kern w:val="0"/>
          <w:sz w:val="30"/>
        </w:rPr>
        <w:t>表2 项目监理机构其他人员需求表</w:t>
      </w:r>
    </w:p>
    <w:p w14:paraId="790C30C5">
      <w:pPr>
        <w:wordWrap w:val="0"/>
        <w:adjustRightInd w:val="0"/>
        <w:snapToGrid w:val="0"/>
        <w:spacing w:line="440" w:lineRule="exact"/>
        <w:ind w:firstLine="480" w:firstLineChars="200"/>
        <w:rPr>
          <w:rFonts w:hint="eastAsia" w:ascii="Times New Roman"/>
          <w:snapToGrid w:val="0"/>
          <w:kern w:val="0"/>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366"/>
        <w:gridCol w:w="875"/>
        <w:gridCol w:w="4736"/>
      </w:tblGrid>
      <w:tr w14:paraId="5B11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60" w:type="dxa"/>
            <w:gridSpan w:val="4"/>
            <w:noWrap w:val="0"/>
            <w:vAlign w:val="center"/>
          </w:tcPr>
          <w:p w14:paraId="06E473EB">
            <w:pPr>
              <w:pStyle w:val="90"/>
              <w:wordWrap w:val="0"/>
              <w:adjustRightInd w:val="0"/>
              <w:snapToGrid w:val="0"/>
              <w:spacing w:line="360" w:lineRule="exact"/>
              <w:jc w:val="left"/>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其他监理人员（除总监理工程师外）：共2人</w:t>
            </w:r>
          </w:p>
        </w:tc>
      </w:tr>
      <w:tr w14:paraId="619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trPr>
        <w:tc>
          <w:tcPr>
            <w:tcW w:w="1083" w:type="dxa"/>
            <w:noWrap w:val="0"/>
            <w:vAlign w:val="center"/>
          </w:tcPr>
          <w:p w14:paraId="33C96334">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职务</w:t>
            </w:r>
          </w:p>
        </w:tc>
        <w:tc>
          <w:tcPr>
            <w:tcW w:w="2366" w:type="dxa"/>
            <w:noWrap w:val="0"/>
            <w:vAlign w:val="center"/>
          </w:tcPr>
          <w:p w14:paraId="09A32389">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专业要求</w:t>
            </w:r>
          </w:p>
        </w:tc>
        <w:tc>
          <w:tcPr>
            <w:tcW w:w="875" w:type="dxa"/>
            <w:noWrap w:val="0"/>
            <w:vAlign w:val="center"/>
          </w:tcPr>
          <w:p w14:paraId="1C8AB0DA">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数量</w:t>
            </w:r>
          </w:p>
          <w:p w14:paraId="5B2056A7">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要求</w:t>
            </w:r>
          </w:p>
        </w:tc>
        <w:tc>
          <w:tcPr>
            <w:tcW w:w="4736" w:type="dxa"/>
            <w:noWrap w:val="0"/>
            <w:vAlign w:val="center"/>
          </w:tcPr>
          <w:p w14:paraId="4FE3ED71">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持证要求</w:t>
            </w:r>
          </w:p>
        </w:tc>
      </w:tr>
      <w:tr w14:paraId="2421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9" w:hRule="exact"/>
        </w:trPr>
        <w:tc>
          <w:tcPr>
            <w:tcW w:w="1083" w:type="dxa"/>
            <w:noWrap w:val="0"/>
            <w:vAlign w:val="center"/>
          </w:tcPr>
          <w:p w14:paraId="5F9D7C3A">
            <w:pPr>
              <w:pStyle w:val="90"/>
              <w:wordWrap w:val="0"/>
              <w:adjustRightInd w:val="0"/>
              <w:snapToGrid w:val="0"/>
              <w:spacing w:line="360" w:lineRule="exact"/>
              <w:jc w:val="center"/>
              <w:rPr>
                <w:rFonts w:hint="eastAsia" w:asciiTheme="minorEastAsia" w:hAnsiTheme="minorEastAsia" w:eastAsiaTheme="minorEastAsia" w:cstheme="minorEastAsia"/>
                <w:strike/>
                <w:snapToGrid w:val="0"/>
                <w:kern w:val="0"/>
                <w:sz w:val="24"/>
                <w:szCs w:val="24"/>
                <w:highlight w:val="none"/>
              </w:rPr>
            </w:pPr>
            <w:r>
              <w:rPr>
                <w:rFonts w:hint="eastAsia"/>
                <w:snapToGrid w:val="0"/>
                <w:kern w:val="0"/>
                <w:sz w:val="24"/>
                <w:highlight w:val="none"/>
              </w:rPr>
              <w:t>专业监理工程师</w:t>
            </w:r>
          </w:p>
        </w:tc>
        <w:tc>
          <w:tcPr>
            <w:tcW w:w="2366" w:type="dxa"/>
            <w:noWrap w:val="0"/>
            <w:vAlign w:val="center"/>
          </w:tcPr>
          <w:p w14:paraId="40A4D5B0">
            <w:pPr>
              <w:pStyle w:val="90"/>
              <w:wordWrap w:val="0"/>
              <w:adjustRightInd w:val="0"/>
              <w:snapToGrid w:val="0"/>
              <w:spacing w:line="360" w:lineRule="exact"/>
              <w:jc w:val="center"/>
              <w:rPr>
                <w:rFonts w:hint="eastAsia" w:asciiTheme="minorEastAsia" w:hAnsiTheme="minorEastAsia" w:eastAsiaTheme="minorEastAsia" w:cstheme="minorEastAsia"/>
                <w:strike/>
                <w:snapToGrid w:val="0"/>
                <w:kern w:val="0"/>
                <w:sz w:val="24"/>
                <w:szCs w:val="24"/>
                <w:highlight w:val="none"/>
              </w:rPr>
            </w:pPr>
            <w:r>
              <w:rPr>
                <w:rFonts w:hint="eastAsia" w:ascii="宋体" w:hAnsi="宋体" w:cs="宋体"/>
                <w:snapToGrid w:val="0"/>
                <w:kern w:val="0"/>
                <w:sz w:val="24"/>
                <w:highlight w:val="none"/>
              </w:rPr>
              <w:t>市政公用工程专业</w:t>
            </w:r>
          </w:p>
        </w:tc>
        <w:tc>
          <w:tcPr>
            <w:tcW w:w="875" w:type="dxa"/>
            <w:noWrap w:val="0"/>
            <w:vAlign w:val="center"/>
          </w:tcPr>
          <w:p w14:paraId="474A6A66">
            <w:pPr>
              <w:pStyle w:val="90"/>
              <w:wordWrap w:val="0"/>
              <w:adjustRightInd w:val="0"/>
              <w:snapToGrid w:val="0"/>
              <w:spacing w:line="360" w:lineRule="exact"/>
              <w:jc w:val="center"/>
              <w:rPr>
                <w:rFonts w:hint="eastAsia" w:asciiTheme="minorEastAsia" w:hAnsiTheme="minorEastAsia" w:eastAsiaTheme="minorEastAsia" w:cstheme="minorEastAsia"/>
                <w:strike/>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1</w:t>
            </w:r>
          </w:p>
        </w:tc>
        <w:tc>
          <w:tcPr>
            <w:tcW w:w="4736" w:type="dxa"/>
            <w:noWrap w:val="0"/>
            <w:vAlign w:val="center"/>
          </w:tcPr>
          <w:p w14:paraId="4A96CCA7">
            <w:pPr>
              <w:pStyle w:val="90"/>
              <w:wordWrap w:val="0"/>
              <w:adjustRightInd w:val="0"/>
              <w:snapToGrid w:val="0"/>
              <w:spacing w:line="360" w:lineRule="exact"/>
              <w:rPr>
                <w:rFonts w:hint="eastAsia"/>
                <w:snapToGrid w:val="0"/>
                <w:kern w:val="0"/>
                <w:sz w:val="24"/>
                <w:highlight w:val="none"/>
              </w:rPr>
            </w:pPr>
            <w:r>
              <w:rPr>
                <w:rFonts w:hint="eastAsia"/>
                <w:snapToGrid w:val="0"/>
                <w:kern w:val="0"/>
                <w:sz w:val="24"/>
                <w:highlight w:val="none"/>
              </w:rPr>
              <w:t>符合以下3种情形之一均可：</w:t>
            </w:r>
          </w:p>
          <w:p w14:paraId="20BAB436">
            <w:pPr>
              <w:pStyle w:val="90"/>
              <w:wordWrap w:val="0"/>
              <w:adjustRightInd w:val="0"/>
              <w:snapToGrid w:val="0"/>
              <w:spacing w:line="360" w:lineRule="exact"/>
              <w:rPr>
                <w:rFonts w:hint="eastAsia"/>
                <w:snapToGrid w:val="0"/>
                <w:kern w:val="0"/>
                <w:sz w:val="24"/>
                <w:highlight w:val="none"/>
              </w:rPr>
            </w:pPr>
            <w:r>
              <w:rPr>
                <w:rFonts w:hint="eastAsia"/>
                <w:snapToGrid w:val="0"/>
                <w:kern w:val="0"/>
                <w:sz w:val="24"/>
                <w:highlight w:val="none"/>
              </w:rPr>
              <w:t>1．具备所需专业注册监理工程师执业资格，持有效的注册证书；</w:t>
            </w:r>
          </w:p>
          <w:p w14:paraId="29B81228">
            <w:pPr>
              <w:pStyle w:val="90"/>
              <w:wordWrap w:val="0"/>
              <w:adjustRightInd w:val="0"/>
              <w:snapToGrid w:val="0"/>
              <w:spacing w:line="360" w:lineRule="exact"/>
              <w:rPr>
                <w:rFonts w:hint="eastAsia"/>
                <w:snapToGrid w:val="0"/>
                <w:kern w:val="0"/>
                <w:sz w:val="24"/>
                <w:highlight w:val="none"/>
              </w:rPr>
            </w:pPr>
            <w:r>
              <w:rPr>
                <w:rFonts w:hint="eastAsia"/>
                <w:snapToGrid w:val="0"/>
                <w:kern w:val="0"/>
                <w:sz w:val="24"/>
                <w:highlight w:val="none"/>
              </w:rPr>
              <w:t>2．具备工程类注册执业资格，并经监理业务培训。持有效的注册证书、省级建设行政主管部门或其授权的组织（机构）颁发的岗位证书；</w:t>
            </w:r>
          </w:p>
          <w:p w14:paraId="04900ECA">
            <w:pPr>
              <w:pStyle w:val="90"/>
              <w:wordWrap w:val="0"/>
              <w:adjustRightInd w:val="0"/>
              <w:snapToGrid w:val="0"/>
              <w:spacing w:line="360" w:lineRule="exact"/>
              <w:rPr>
                <w:rFonts w:hint="eastAsia"/>
                <w:snapToGrid w:val="0"/>
                <w:kern w:val="0"/>
                <w:sz w:val="24"/>
                <w:highlight w:val="none"/>
              </w:rPr>
            </w:pPr>
            <w:r>
              <w:rPr>
                <w:rFonts w:hint="eastAsia"/>
                <w:snapToGrid w:val="0"/>
                <w:kern w:val="0"/>
                <w:sz w:val="24"/>
                <w:highlight w:val="none"/>
              </w:rPr>
              <w:t>3．具备中级及以上专业技术职称，并经监理业务培训。持有效的职称证书、省级建设行政主管部门或其授权的组织（机构）颁发的岗位证书。</w:t>
            </w:r>
          </w:p>
          <w:p w14:paraId="7A23B49C">
            <w:pPr>
              <w:pStyle w:val="90"/>
              <w:wordWrap w:val="0"/>
              <w:adjustRightInd w:val="0"/>
              <w:snapToGrid w:val="0"/>
              <w:spacing w:line="360" w:lineRule="exact"/>
              <w:rPr>
                <w:rFonts w:hint="eastAsia" w:asciiTheme="minorEastAsia" w:hAnsiTheme="minorEastAsia" w:eastAsiaTheme="minorEastAsia" w:cstheme="minorEastAsia"/>
                <w:snapToGrid w:val="0"/>
                <w:kern w:val="0"/>
                <w:sz w:val="24"/>
                <w:szCs w:val="24"/>
                <w:highlight w:val="none"/>
              </w:rPr>
            </w:pPr>
            <w:r>
              <w:rPr>
                <w:rFonts w:hint="eastAsia"/>
                <w:snapToGrid w:val="0"/>
                <w:kern w:val="0"/>
                <w:sz w:val="24"/>
                <w:highlight w:val="none"/>
              </w:rPr>
              <w:t>注：专业类别以注册证书或专业监理工程师证书或职称证书或毕业证所列明的专业为准。</w:t>
            </w:r>
          </w:p>
        </w:tc>
      </w:tr>
      <w:tr w14:paraId="5052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trPr>
        <w:tc>
          <w:tcPr>
            <w:tcW w:w="1083" w:type="dxa"/>
            <w:noWrap w:val="0"/>
            <w:vAlign w:val="center"/>
          </w:tcPr>
          <w:p w14:paraId="605696B9">
            <w:pPr>
              <w:pStyle w:val="90"/>
              <w:wordWrap w:val="0"/>
              <w:adjustRightInd w:val="0"/>
              <w:snapToGrid w:val="0"/>
              <w:spacing w:line="360" w:lineRule="exact"/>
              <w:jc w:val="center"/>
              <w:rPr>
                <w:rFonts w:hint="eastAsia"/>
                <w:snapToGrid w:val="0"/>
                <w:kern w:val="0"/>
                <w:sz w:val="24"/>
                <w:highlight w:val="none"/>
              </w:rPr>
            </w:pPr>
            <w:r>
              <w:rPr>
                <w:rFonts w:hint="eastAsia" w:ascii="宋体" w:hAnsi="宋体" w:cs="宋体"/>
                <w:snapToGrid w:val="0"/>
                <w:color w:val="000000" w:themeColor="text1"/>
                <w:kern w:val="0"/>
                <w:sz w:val="24"/>
                <w:highlight w:val="none"/>
                <w14:textFill>
                  <w14:solidFill>
                    <w14:schemeClr w14:val="tx1"/>
                  </w14:solidFill>
                </w14:textFill>
              </w:rPr>
              <w:t>监理员</w:t>
            </w:r>
          </w:p>
        </w:tc>
        <w:tc>
          <w:tcPr>
            <w:tcW w:w="2366" w:type="dxa"/>
            <w:noWrap w:val="0"/>
            <w:vAlign w:val="center"/>
          </w:tcPr>
          <w:p w14:paraId="45ED69CE">
            <w:pPr>
              <w:pStyle w:val="90"/>
              <w:wordWrap w:val="0"/>
              <w:adjustRightInd w:val="0"/>
              <w:snapToGrid w:val="0"/>
              <w:spacing w:line="360" w:lineRule="exact"/>
              <w:jc w:val="center"/>
              <w:rPr>
                <w:rFonts w:hint="eastAsia" w:ascii="宋体" w:hAnsi="宋体" w:cs="宋体"/>
                <w:snapToGrid w:val="0"/>
                <w:kern w:val="0"/>
                <w:sz w:val="24"/>
                <w:highlight w:val="none"/>
              </w:rPr>
            </w:pPr>
            <w:r>
              <w:rPr>
                <w:rFonts w:hint="eastAsia" w:ascii="宋体" w:hAnsi="宋体" w:cs="宋体"/>
                <w:snapToGrid w:val="0"/>
                <w:color w:val="000000" w:themeColor="text1"/>
                <w:kern w:val="0"/>
                <w:sz w:val="24"/>
                <w:highlight w:val="none"/>
                <w14:textFill>
                  <w14:solidFill>
                    <w14:schemeClr w14:val="tx1"/>
                  </w14:solidFill>
                </w14:textFill>
              </w:rPr>
              <w:t>具备有效期内监理员岗位证书</w:t>
            </w:r>
          </w:p>
        </w:tc>
        <w:tc>
          <w:tcPr>
            <w:tcW w:w="875" w:type="dxa"/>
            <w:noWrap w:val="0"/>
            <w:vAlign w:val="center"/>
          </w:tcPr>
          <w:p w14:paraId="3802F4E0">
            <w:pPr>
              <w:pStyle w:val="90"/>
              <w:wordWrap w:val="0"/>
              <w:adjustRightInd w:val="0"/>
              <w:snapToGrid w:val="0"/>
              <w:spacing w:line="360" w:lineRule="exact"/>
              <w:jc w:val="center"/>
              <w:rPr>
                <w:rFonts w:hint="eastAsia" w:asciiTheme="minorEastAsia" w:hAnsiTheme="minorEastAsia" w:eastAsiaTheme="minorEastAsia" w:cstheme="minorEastAsia"/>
                <w:snapToGrid w:val="0"/>
                <w:kern w:val="0"/>
                <w:sz w:val="24"/>
                <w:szCs w:val="24"/>
                <w:highlight w:val="none"/>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1</w:t>
            </w:r>
          </w:p>
        </w:tc>
        <w:tc>
          <w:tcPr>
            <w:tcW w:w="4736" w:type="dxa"/>
            <w:noWrap w:val="0"/>
            <w:vAlign w:val="center"/>
          </w:tcPr>
          <w:p w14:paraId="1BC42845">
            <w:pPr>
              <w:pStyle w:val="90"/>
              <w:wordWrap w:val="0"/>
              <w:adjustRightInd w:val="0"/>
              <w:snapToGrid w:val="0"/>
              <w:spacing w:line="360" w:lineRule="exact"/>
              <w:rPr>
                <w:rFonts w:hint="eastAsia"/>
                <w:snapToGrid w:val="0"/>
                <w:kern w:val="0"/>
                <w:sz w:val="24"/>
                <w:highlight w:val="none"/>
              </w:rPr>
            </w:pPr>
            <w:r>
              <w:rPr>
                <w:rFonts w:hint="eastAsia" w:ascii="宋体" w:hAnsi="宋体" w:cs="宋体"/>
                <w:snapToGrid w:val="0"/>
                <w:color w:val="000000" w:themeColor="text1"/>
                <w:kern w:val="0"/>
                <w:sz w:val="24"/>
                <w:highlight w:val="none"/>
                <w14:textFill>
                  <w14:solidFill>
                    <w14:schemeClr w14:val="tx1"/>
                  </w14:solidFill>
                </w14:textFill>
              </w:rPr>
              <w:t>经监理业务培训，持有效的省级及以上建设行政主管部门或其授权的组织（机构）颁发的岗位证书。</w:t>
            </w:r>
          </w:p>
        </w:tc>
      </w:tr>
      <w:tr w14:paraId="2E6C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49" w:type="dxa"/>
            <w:gridSpan w:val="2"/>
            <w:noWrap w:val="0"/>
            <w:vAlign w:val="center"/>
          </w:tcPr>
          <w:p w14:paraId="444F3228">
            <w:pPr>
              <w:pStyle w:val="90"/>
              <w:wordWrap w:val="0"/>
              <w:adjustRightInd w:val="0"/>
              <w:snapToGrid w:val="0"/>
              <w:spacing w:line="360" w:lineRule="exact"/>
              <w:jc w:val="center"/>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合计</w:t>
            </w:r>
          </w:p>
        </w:tc>
        <w:tc>
          <w:tcPr>
            <w:tcW w:w="875" w:type="dxa"/>
            <w:noWrap w:val="0"/>
            <w:vAlign w:val="center"/>
          </w:tcPr>
          <w:p w14:paraId="685D52DC">
            <w:pPr>
              <w:pStyle w:val="90"/>
              <w:wordWrap w:val="0"/>
              <w:adjustRightInd w:val="0"/>
              <w:snapToGrid w:val="0"/>
              <w:spacing w:line="360" w:lineRule="exact"/>
              <w:jc w:val="center"/>
              <w:rPr>
                <w:rFonts w:hint="eastAsia" w:asciiTheme="minorEastAsia" w:hAnsiTheme="minorEastAsia" w:eastAsiaTheme="minorEastAsia" w:cstheme="minorEastAsia"/>
                <w:snapToGrid w:val="0"/>
                <w:kern w:val="0"/>
                <w:sz w:val="24"/>
                <w:szCs w:val="24"/>
                <w:highlight w:val="none"/>
                <w:lang w:eastAsia="zh-CN"/>
              </w:rPr>
            </w:pPr>
            <w:r>
              <w:rPr>
                <w:rFonts w:hint="eastAsia" w:asciiTheme="minorEastAsia" w:hAnsiTheme="minorEastAsia" w:eastAsiaTheme="minorEastAsia" w:cstheme="minorEastAsia"/>
                <w:snapToGrid w:val="0"/>
                <w:kern w:val="0"/>
                <w:sz w:val="24"/>
                <w:szCs w:val="24"/>
                <w:highlight w:val="none"/>
                <w:lang w:val="en-US" w:eastAsia="zh-CN"/>
              </w:rPr>
              <w:t>2</w:t>
            </w:r>
          </w:p>
        </w:tc>
        <w:tc>
          <w:tcPr>
            <w:tcW w:w="4736" w:type="dxa"/>
            <w:noWrap w:val="0"/>
            <w:vAlign w:val="center"/>
          </w:tcPr>
          <w:p w14:paraId="02E6504A">
            <w:pPr>
              <w:pStyle w:val="90"/>
              <w:wordWrap w:val="0"/>
              <w:adjustRightInd w:val="0"/>
              <w:snapToGrid w:val="0"/>
              <w:spacing w:line="360" w:lineRule="exact"/>
              <w:rPr>
                <w:rFonts w:hint="eastAsia" w:asciiTheme="minorEastAsia" w:hAnsiTheme="minorEastAsia" w:eastAsiaTheme="minorEastAsia" w:cstheme="minorEastAsia"/>
                <w:snapToGrid w:val="0"/>
                <w:kern w:val="0"/>
                <w:sz w:val="24"/>
                <w:szCs w:val="24"/>
                <w:highlight w:val="none"/>
              </w:rPr>
            </w:pPr>
          </w:p>
        </w:tc>
      </w:tr>
    </w:tbl>
    <w:p w14:paraId="3E67B8DA">
      <w:pPr>
        <w:wordWrap w:val="0"/>
        <w:adjustRightInd w:val="0"/>
        <w:snapToGrid w:val="0"/>
        <w:spacing w:line="440" w:lineRule="exact"/>
        <w:ind w:firstLine="480" w:firstLineChars="200"/>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15.</w:t>
      </w: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 xml:space="preserve">.2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73CA2331">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int="eastAsia" w:hAnsi="宋体" w:cs="宋体"/>
          <w:b/>
          <w:snapToGrid w:val="0"/>
          <w:color w:val="auto"/>
          <w:szCs w:val="24"/>
          <w:highlight w:val="none"/>
        </w:rPr>
      </w:pPr>
      <w:bookmarkStart w:id="62" w:name="_Toc23668"/>
      <w:r>
        <w:rPr>
          <w:rFonts w:hint="eastAsia" w:hAnsi="宋体" w:cs="宋体"/>
          <w:b/>
          <w:snapToGrid w:val="0"/>
          <w:color w:val="auto"/>
          <w:szCs w:val="24"/>
          <w:highlight w:val="none"/>
        </w:rPr>
        <w:t>16．推荐中标候选人</w:t>
      </w:r>
      <w:bookmarkEnd w:id="62"/>
    </w:p>
    <w:p w14:paraId="73027949">
      <w:pPr>
        <w:wordWrap w:val="0"/>
        <w:adjustRightInd w:val="0"/>
        <w:snapToGrid w:val="0"/>
        <w:spacing w:line="360" w:lineRule="auto"/>
        <w:ind w:firstLine="482" w:firstLineChars="200"/>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 xml:space="preserve">.1 </w:t>
      </w:r>
      <w:r>
        <w:rPr>
          <w:rFonts w:hint="eastAsia" w:hAnsi="宋体" w:cs="宋体"/>
          <w:b w:val="0"/>
          <w:bCs w:val="0"/>
          <w:snapToGrid w:val="0"/>
          <w:color w:val="auto"/>
          <w:kern w:val="0"/>
          <w:szCs w:val="24"/>
          <w:highlight w:val="none"/>
        </w:rPr>
        <w:t>确定排名</w:t>
      </w:r>
    </w:p>
    <w:p w14:paraId="17101544">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3" w:name="_Toc10038"/>
      <w:bookmarkStart w:id="64" w:name="_Toc28775"/>
      <w:r>
        <w:rPr>
          <w:rFonts w:hint="eastAsia" w:hAnsi="宋体" w:cs="宋体"/>
          <w:b w:val="0"/>
          <w:bCs/>
          <w:snapToGrid w:val="0"/>
          <w:color w:val="auto"/>
          <w:kern w:val="0"/>
          <w:szCs w:val="24"/>
          <w:highlight w:val="none"/>
        </w:rPr>
        <w:t>评标委员会汇总、比较所有投标人的综合得分后，按照综合得分由高到低的次序排列。综合得分相等时，以投标总价低的优先；如果投标总价也相等的，由评标委员会投票确定。</w:t>
      </w:r>
      <w:bookmarkEnd w:id="63"/>
      <w:bookmarkEnd w:id="64"/>
    </w:p>
    <w:p w14:paraId="2DFB7C24">
      <w:pPr>
        <w:wordWrap w:val="0"/>
        <w:adjustRightInd w:val="0"/>
        <w:snapToGrid w:val="0"/>
        <w:spacing w:line="360" w:lineRule="auto"/>
        <w:ind w:firstLine="482" w:firstLineChars="200"/>
        <w:outlineLvl w:val="1"/>
        <w:rPr>
          <w:rFonts w:hint="eastAsia" w:hAnsi="宋体" w:cs="宋体"/>
          <w:b/>
          <w:snapToGrid w:val="0"/>
          <w:color w:val="auto"/>
          <w:kern w:val="0"/>
          <w:szCs w:val="24"/>
          <w:highlight w:val="none"/>
        </w:rPr>
      </w:pPr>
      <w:bookmarkStart w:id="65" w:name="_Toc4420"/>
      <w:bookmarkStart w:id="66" w:name="_Toc28841"/>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6</w:t>
      </w:r>
      <w:r>
        <w:rPr>
          <w:rFonts w:hint="eastAsia" w:hAnsi="宋体" w:cs="宋体"/>
          <w:b/>
          <w:snapToGrid w:val="0"/>
          <w:color w:val="auto"/>
          <w:kern w:val="0"/>
          <w:szCs w:val="24"/>
          <w:highlight w:val="none"/>
        </w:rPr>
        <w:t xml:space="preserve">.2 </w:t>
      </w:r>
      <w:r>
        <w:rPr>
          <w:rFonts w:hint="eastAsia" w:hAnsi="宋体" w:cs="宋体"/>
          <w:b w:val="0"/>
          <w:bCs/>
          <w:snapToGrid w:val="0"/>
          <w:color w:val="auto"/>
          <w:kern w:val="0"/>
          <w:szCs w:val="24"/>
          <w:highlight w:val="none"/>
        </w:rPr>
        <w:t>推荐方法</w:t>
      </w:r>
      <w:bookmarkEnd w:id="65"/>
      <w:bookmarkEnd w:id="66"/>
    </w:p>
    <w:p w14:paraId="51771E02">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7" w:name="_Toc1434"/>
      <w:bookmarkStart w:id="68" w:name="_Toc21828"/>
      <w:r>
        <w:rPr>
          <w:rFonts w:hint="eastAsia" w:hAnsi="宋体" w:cs="宋体"/>
          <w:b w:val="0"/>
          <w:bCs/>
          <w:snapToGrid w:val="0"/>
          <w:color w:val="auto"/>
          <w:kern w:val="0"/>
          <w:szCs w:val="24"/>
          <w:highlight w:val="none"/>
        </w:rPr>
        <w:t>（1）有效投标人数量达到或超过3个的，评标委员会将前三名投标人作为中标候选人向招标人推荐，并标明排列顺序。</w:t>
      </w:r>
      <w:bookmarkEnd w:id="67"/>
      <w:bookmarkEnd w:id="68"/>
    </w:p>
    <w:p w14:paraId="38AE0B13">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9" w:name="_Toc27202"/>
      <w:bookmarkStart w:id="70" w:name="_Toc32512"/>
      <w:r>
        <w:rPr>
          <w:rFonts w:hint="eastAsia" w:hAnsi="宋体" w:cs="宋体"/>
          <w:b w:val="0"/>
          <w:bCs/>
          <w:snapToGrid w:val="0"/>
          <w:color w:val="auto"/>
          <w:kern w:val="0"/>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bookmarkEnd w:id="69"/>
      <w:bookmarkEnd w:id="70"/>
    </w:p>
    <w:p w14:paraId="1E7EFB30">
      <w:pPr>
        <w:wordWrap w:val="0"/>
        <w:adjustRightInd w:val="0"/>
        <w:snapToGrid w:val="0"/>
        <w:spacing w:line="360" w:lineRule="auto"/>
        <w:ind w:firstLine="482" w:firstLineChars="200"/>
        <w:outlineLvl w:val="1"/>
        <w:rPr>
          <w:rFonts w:hint="eastAsia" w:hAnsi="宋体" w:cs="宋体"/>
          <w:b w:val="0"/>
          <w:bCs/>
          <w:snapToGrid w:val="0"/>
          <w:color w:val="auto"/>
          <w:kern w:val="0"/>
          <w:szCs w:val="24"/>
          <w:highlight w:val="none"/>
        </w:rPr>
      </w:pPr>
      <w:bookmarkStart w:id="71" w:name="_Toc18953"/>
      <w:bookmarkStart w:id="72" w:name="_Toc1479"/>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6</w:t>
      </w:r>
      <w:r>
        <w:rPr>
          <w:rFonts w:hint="eastAsia" w:hAnsi="宋体" w:cs="宋体"/>
          <w:b/>
          <w:snapToGrid w:val="0"/>
          <w:color w:val="auto"/>
          <w:kern w:val="0"/>
          <w:szCs w:val="24"/>
          <w:highlight w:val="none"/>
        </w:rPr>
        <w:t xml:space="preserve">.3 </w:t>
      </w:r>
      <w:r>
        <w:rPr>
          <w:rFonts w:hint="eastAsia" w:hAnsi="宋体" w:cs="宋体"/>
          <w:b w:val="0"/>
          <w:bCs/>
          <w:snapToGrid w:val="0"/>
          <w:color w:val="auto"/>
          <w:kern w:val="0"/>
          <w:szCs w:val="24"/>
          <w:highlight w:val="none"/>
        </w:rPr>
        <w:t>评标委员会完成评标后，应向招标人提交由全体评标委员会成员签字的评标报告和中标候选人名单。</w:t>
      </w:r>
      <w:bookmarkEnd w:id="71"/>
      <w:bookmarkEnd w:id="72"/>
    </w:p>
    <w:p w14:paraId="1855C80E">
      <w:pPr>
        <w:keepNext w:val="0"/>
        <w:keepLines w:val="0"/>
        <w:pageBreakBefore w:val="0"/>
        <w:wordWrap w:val="0"/>
        <w:topLinePunct w:val="0"/>
        <w:bidi w:val="0"/>
        <w:adjustRightInd w:val="0"/>
        <w:snapToGrid w:val="0"/>
        <w:spacing w:line="500" w:lineRule="exact"/>
        <w:ind w:firstLine="482" w:firstLineChars="200"/>
        <w:textAlignment w:val="auto"/>
        <w:outlineLvl w:val="2"/>
        <w:rPr>
          <w:rFonts w:hint="eastAsia" w:ascii="宋体" w:hAnsi="宋体" w:eastAsia="宋体" w:cs="宋体"/>
          <w:b/>
          <w:snapToGrid w:val="0"/>
          <w:color w:val="auto"/>
          <w:kern w:val="0"/>
          <w:highlight w:val="none"/>
        </w:rPr>
      </w:pPr>
      <w:bookmarkStart w:id="73" w:name="_Toc22756"/>
      <w:r>
        <w:rPr>
          <w:rFonts w:hint="eastAsia" w:ascii="宋体" w:hAnsi="宋体" w:eastAsia="宋体" w:cs="宋体"/>
          <w:b/>
          <w:snapToGrid w:val="0"/>
          <w:color w:val="auto"/>
          <w:kern w:val="0"/>
          <w:highlight w:val="none"/>
        </w:rPr>
        <w:t>1</w:t>
      </w:r>
      <w:r>
        <w:rPr>
          <w:rFonts w:hint="eastAsia" w:ascii="宋体" w:hAnsi="宋体" w:eastAsia="宋体" w:cs="宋体"/>
          <w:b/>
          <w:snapToGrid w:val="0"/>
          <w:color w:val="auto"/>
          <w:kern w:val="0"/>
          <w:highlight w:val="none"/>
          <w:lang w:val="en-US" w:eastAsia="zh-CN"/>
        </w:rPr>
        <w:t>7</w:t>
      </w:r>
      <w:r>
        <w:rPr>
          <w:rFonts w:hint="eastAsia" w:ascii="宋体" w:hAnsi="宋体" w:eastAsia="宋体" w:cs="宋体"/>
          <w:b/>
          <w:snapToGrid w:val="0"/>
          <w:color w:val="auto"/>
          <w:kern w:val="0"/>
          <w:highlight w:val="none"/>
        </w:rPr>
        <w:t>.中标候选人公示</w:t>
      </w:r>
      <w:bookmarkEnd w:id="73"/>
    </w:p>
    <w:p w14:paraId="49F59228">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b w:val="0"/>
          <w:bCs w:val="0"/>
          <w:snapToGrid w:val="0"/>
          <w:color w:val="auto"/>
          <w:kern w:val="0"/>
          <w:szCs w:val="24"/>
          <w:highlight w:val="none"/>
        </w:rPr>
        <w:t>招标人自收到评标委员会提交的书面评标报告和中标候选人名单之日起3日内，将评标结果（即中标候选人名单）、中标候选人投标文件、评标过程（评标专家姓名用代码标记）一并在广东省招标投标监管网（https://zbtb.gd.gov.cn/#/index）及全国公共资源交易平台（广东省·韶关市）（https://ygp.gdzwfw.gov.cn/ggzy-portal/#/440200/index）进行公示，公示期不得少于3天。</w:t>
      </w:r>
    </w:p>
    <w:p w14:paraId="7BE7EDF1">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 xml:space="preserve">.2 </w:t>
      </w:r>
      <w:r>
        <w:rPr>
          <w:rFonts w:hint="eastAsia" w:hAnsi="宋体" w:cs="宋体"/>
          <w:b w:val="0"/>
          <w:bCs w:val="0"/>
          <w:snapToGrid w:val="0"/>
          <w:color w:val="auto"/>
          <w:kern w:val="0"/>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DC5290B">
      <w:pPr>
        <w:wordWrap w:val="0"/>
        <w:adjustRightInd w:val="0"/>
        <w:snapToGrid w:val="0"/>
        <w:spacing w:line="360" w:lineRule="auto"/>
        <w:ind w:firstLine="482" w:firstLineChars="200"/>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 xml:space="preserve">.3 </w:t>
      </w:r>
      <w:r>
        <w:rPr>
          <w:rFonts w:hint="eastAsia" w:hAnsi="宋体" w:cs="宋体"/>
          <w:b w:val="0"/>
          <w:bCs w:val="0"/>
          <w:snapToGrid w:val="0"/>
          <w:color w:val="auto"/>
          <w:kern w:val="0"/>
          <w:szCs w:val="24"/>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58B9D703">
      <w:pPr>
        <w:wordWrap w:val="0"/>
        <w:adjustRightInd w:val="0"/>
        <w:snapToGrid w:val="0"/>
        <w:spacing w:line="360" w:lineRule="auto"/>
        <w:outlineLvl w:val="1"/>
        <w:rPr>
          <w:rFonts w:hint="eastAsia" w:hAnsi="宋体" w:cs="宋体"/>
          <w:b/>
          <w:bCs/>
          <w:snapToGrid w:val="0"/>
          <w:color w:val="auto"/>
          <w:kern w:val="0"/>
          <w:highlight w:val="none"/>
        </w:rPr>
      </w:pPr>
    </w:p>
    <w:p w14:paraId="7A115FAC">
      <w:pPr>
        <w:wordWrap w:val="0"/>
        <w:adjustRightInd w:val="0"/>
        <w:snapToGrid w:val="0"/>
        <w:spacing w:line="360" w:lineRule="auto"/>
        <w:outlineLvl w:val="1"/>
        <w:rPr>
          <w:rFonts w:hint="eastAsia" w:hAnsi="宋体" w:cs="宋体"/>
          <w:b/>
          <w:bCs/>
          <w:snapToGrid w:val="0"/>
          <w:color w:val="auto"/>
          <w:kern w:val="0"/>
          <w:highlight w:val="none"/>
        </w:rPr>
      </w:pPr>
    </w:p>
    <w:p w14:paraId="28E6F404">
      <w:pPr>
        <w:wordWrap w:val="0"/>
        <w:adjustRightInd w:val="0"/>
        <w:snapToGrid w:val="0"/>
        <w:spacing w:line="360" w:lineRule="auto"/>
        <w:outlineLvl w:val="1"/>
        <w:rPr>
          <w:rFonts w:hint="eastAsia" w:hAnsi="宋体" w:cs="宋体"/>
          <w:b/>
          <w:bCs/>
          <w:snapToGrid w:val="0"/>
          <w:color w:val="auto"/>
          <w:kern w:val="0"/>
          <w:highlight w:val="none"/>
        </w:rPr>
      </w:pPr>
    </w:p>
    <w:p w14:paraId="46D21D91">
      <w:pPr>
        <w:wordWrap w:val="0"/>
        <w:adjustRightInd w:val="0"/>
        <w:snapToGrid w:val="0"/>
        <w:spacing w:line="360" w:lineRule="auto"/>
        <w:outlineLvl w:val="1"/>
        <w:rPr>
          <w:rFonts w:hint="eastAsia" w:hAnsi="宋体" w:cs="宋体"/>
          <w:b/>
          <w:bCs/>
          <w:snapToGrid w:val="0"/>
          <w:color w:val="auto"/>
          <w:kern w:val="0"/>
          <w:highlight w:val="none"/>
        </w:rPr>
      </w:pPr>
    </w:p>
    <w:p w14:paraId="3220DAFD">
      <w:pPr>
        <w:wordWrap w:val="0"/>
        <w:adjustRightInd w:val="0"/>
        <w:snapToGrid w:val="0"/>
        <w:spacing w:line="360" w:lineRule="auto"/>
        <w:outlineLvl w:val="1"/>
        <w:rPr>
          <w:rFonts w:hint="eastAsia" w:hAnsi="宋体" w:cs="宋体"/>
          <w:b/>
          <w:bCs/>
          <w:snapToGrid w:val="0"/>
          <w:color w:val="auto"/>
          <w:kern w:val="0"/>
          <w:highlight w:val="none"/>
        </w:rPr>
      </w:pPr>
    </w:p>
    <w:p w14:paraId="5A282C02">
      <w:pPr>
        <w:wordWrap w:val="0"/>
        <w:adjustRightInd w:val="0"/>
        <w:snapToGrid w:val="0"/>
        <w:spacing w:line="360" w:lineRule="auto"/>
        <w:outlineLvl w:val="1"/>
        <w:rPr>
          <w:rFonts w:hint="eastAsia" w:hAnsi="宋体" w:cs="宋体"/>
          <w:b/>
          <w:bCs/>
          <w:snapToGrid w:val="0"/>
          <w:color w:val="auto"/>
          <w:kern w:val="0"/>
          <w:highlight w:val="none"/>
        </w:rPr>
      </w:pPr>
    </w:p>
    <w:p w14:paraId="23869436">
      <w:pPr>
        <w:wordWrap w:val="0"/>
        <w:adjustRightInd w:val="0"/>
        <w:snapToGrid w:val="0"/>
        <w:spacing w:line="360" w:lineRule="auto"/>
        <w:outlineLvl w:val="1"/>
        <w:rPr>
          <w:rFonts w:hint="eastAsia" w:hAnsi="宋体" w:cs="宋体"/>
          <w:b/>
          <w:bCs/>
          <w:snapToGrid w:val="0"/>
          <w:color w:val="auto"/>
          <w:kern w:val="0"/>
          <w:highlight w:val="none"/>
        </w:rPr>
      </w:pPr>
    </w:p>
    <w:p w14:paraId="44FC2F61">
      <w:pPr>
        <w:wordWrap w:val="0"/>
        <w:adjustRightInd w:val="0"/>
        <w:snapToGrid w:val="0"/>
        <w:spacing w:line="360" w:lineRule="auto"/>
        <w:outlineLvl w:val="1"/>
        <w:rPr>
          <w:rFonts w:hint="eastAsia" w:hAnsi="宋体" w:cs="宋体"/>
          <w:b/>
          <w:bCs/>
          <w:snapToGrid w:val="0"/>
          <w:color w:val="auto"/>
          <w:kern w:val="0"/>
          <w:highlight w:val="none"/>
        </w:rPr>
      </w:pPr>
    </w:p>
    <w:p w14:paraId="0500E3C6">
      <w:pPr>
        <w:wordWrap w:val="0"/>
        <w:adjustRightInd w:val="0"/>
        <w:snapToGrid w:val="0"/>
        <w:spacing w:line="360" w:lineRule="auto"/>
        <w:outlineLvl w:val="1"/>
        <w:rPr>
          <w:rFonts w:hint="eastAsia" w:hAnsi="宋体" w:cs="宋体"/>
          <w:b/>
          <w:bCs/>
          <w:snapToGrid w:val="0"/>
          <w:color w:val="auto"/>
          <w:kern w:val="0"/>
          <w:highlight w:val="none"/>
        </w:rPr>
      </w:pPr>
    </w:p>
    <w:p w14:paraId="56AA8BFD">
      <w:pPr>
        <w:pStyle w:val="16"/>
        <w:rPr>
          <w:rFonts w:hint="eastAsia" w:hAnsi="宋体" w:cs="宋体"/>
          <w:b/>
          <w:bCs/>
          <w:snapToGrid w:val="0"/>
          <w:color w:val="auto"/>
          <w:kern w:val="0"/>
          <w:highlight w:val="none"/>
        </w:rPr>
      </w:pPr>
    </w:p>
    <w:p w14:paraId="7C528FA3">
      <w:pPr>
        <w:pStyle w:val="16"/>
        <w:rPr>
          <w:rFonts w:hint="eastAsia" w:hAnsi="宋体" w:cs="宋体"/>
          <w:b/>
          <w:bCs/>
          <w:snapToGrid w:val="0"/>
          <w:color w:val="auto"/>
          <w:kern w:val="0"/>
          <w:highlight w:val="none"/>
        </w:rPr>
      </w:pPr>
    </w:p>
    <w:p w14:paraId="3BC97034">
      <w:pPr>
        <w:pStyle w:val="16"/>
        <w:rPr>
          <w:rFonts w:hint="eastAsia" w:hAnsi="宋体" w:cs="宋体"/>
          <w:b/>
          <w:bCs/>
          <w:snapToGrid w:val="0"/>
          <w:color w:val="auto"/>
          <w:kern w:val="0"/>
          <w:highlight w:val="none"/>
        </w:rPr>
      </w:pPr>
    </w:p>
    <w:p w14:paraId="45D2047F">
      <w:pPr>
        <w:pStyle w:val="16"/>
        <w:rPr>
          <w:rFonts w:hint="eastAsia" w:hAnsi="宋体" w:cs="宋体"/>
          <w:b/>
          <w:bCs/>
          <w:snapToGrid w:val="0"/>
          <w:color w:val="auto"/>
          <w:kern w:val="0"/>
          <w:highlight w:val="none"/>
        </w:rPr>
      </w:pPr>
    </w:p>
    <w:p w14:paraId="31263F58">
      <w:pPr>
        <w:pStyle w:val="16"/>
        <w:rPr>
          <w:rFonts w:hint="eastAsia" w:hAnsi="宋体" w:cs="宋体"/>
          <w:b/>
          <w:bCs/>
          <w:snapToGrid w:val="0"/>
          <w:color w:val="auto"/>
          <w:kern w:val="0"/>
          <w:highlight w:val="none"/>
        </w:rPr>
      </w:pPr>
    </w:p>
    <w:p w14:paraId="2EDF887A">
      <w:pPr>
        <w:pStyle w:val="16"/>
        <w:rPr>
          <w:rFonts w:hint="eastAsia" w:hAnsi="宋体" w:cs="宋体"/>
          <w:b/>
          <w:bCs/>
          <w:snapToGrid w:val="0"/>
          <w:color w:val="auto"/>
          <w:kern w:val="0"/>
          <w:highlight w:val="none"/>
        </w:rPr>
      </w:pPr>
    </w:p>
    <w:p w14:paraId="2886EB6A">
      <w:pPr>
        <w:pStyle w:val="16"/>
        <w:rPr>
          <w:rFonts w:hint="eastAsia" w:hAnsi="宋体" w:cs="宋体"/>
          <w:b/>
          <w:bCs/>
          <w:snapToGrid w:val="0"/>
          <w:color w:val="auto"/>
          <w:kern w:val="0"/>
          <w:highlight w:val="none"/>
        </w:rPr>
      </w:pPr>
    </w:p>
    <w:p w14:paraId="5140B621">
      <w:pPr>
        <w:pStyle w:val="16"/>
        <w:rPr>
          <w:rFonts w:hint="eastAsia" w:hAnsi="宋体" w:cs="宋体"/>
          <w:b/>
          <w:bCs/>
          <w:snapToGrid w:val="0"/>
          <w:color w:val="auto"/>
          <w:kern w:val="0"/>
          <w:highlight w:val="none"/>
        </w:rPr>
      </w:pPr>
    </w:p>
    <w:p w14:paraId="0A38CC43">
      <w:pPr>
        <w:pStyle w:val="16"/>
        <w:rPr>
          <w:rFonts w:hint="eastAsia" w:hAnsi="宋体" w:cs="宋体"/>
          <w:b/>
          <w:bCs/>
          <w:snapToGrid w:val="0"/>
          <w:color w:val="auto"/>
          <w:kern w:val="0"/>
          <w:highlight w:val="none"/>
        </w:rPr>
      </w:pPr>
    </w:p>
    <w:p w14:paraId="6847D163">
      <w:pPr>
        <w:pStyle w:val="16"/>
        <w:rPr>
          <w:rFonts w:hint="eastAsia" w:hAnsi="宋体" w:cs="宋体"/>
          <w:b/>
          <w:bCs/>
          <w:snapToGrid w:val="0"/>
          <w:color w:val="auto"/>
          <w:kern w:val="0"/>
          <w:highlight w:val="none"/>
        </w:rPr>
      </w:pPr>
    </w:p>
    <w:p w14:paraId="3626C809">
      <w:pPr>
        <w:wordWrap w:val="0"/>
        <w:adjustRightInd w:val="0"/>
        <w:snapToGrid w:val="0"/>
        <w:spacing w:line="360" w:lineRule="auto"/>
        <w:outlineLvl w:val="1"/>
        <w:rPr>
          <w:rFonts w:hint="eastAsia" w:hAnsi="宋体" w:cs="宋体"/>
          <w:b/>
          <w:bCs/>
          <w:snapToGrid w:val="0"/>
          <w:color w:val="auto"/>
          <w:kern w:val="0"/>
          <w:highlight w:val="none"/>
        </w:rPr>
      </w:pPr>
    </w:p>
    <w:p w14:paraId="112C15A1">
      <w:pPr>
        <w:wordWrap w:val="0"/>
        <w:adjustRightInd w:val="0"/>
        <w:snapToGrid w:val="0"/>
        <w:spacing w:line="360" w:lineRule="auto"/>
        <w:outlineLvl w:val="1"/>
        <w:rPr>
          <w:rFonts w:hint="eastAsia" w:hAnsi="宋体" w:cs="宋体"/>
          <w:b/>
          <w:bCs/>
          <w:snapToGrid w:val="0"/>
          <w:color w:val="auto"/>
          <w:kern w:val="0"/>
          <w:highlight w:val="none"/>
        </w:rPr>
      </w:pPr>
    </w:p>
    <w:p w14:paraId="3E4D3842">
      <w:pPr>
        <w:wordWrap w:val="0"/>
        <w:adjustRightInd w:val="0"/>
        <w:snapToGrid w:val="0"/>
        <w:spacing w:line="360" w:lineRule="auto"/>
        <w:jc w:val="center"/>
        <w:outlineLvl w:val="1"/>
        <w:rPr>
          <w:rFonts w:hAnsi="宋体" w:cs="宋体"/>
          <w:snapToGrid w:val="0"/>
          <w:color w:val="auto"/>
          <w:kern w:val="0"/>
          <w:highlight w:val="none"/>
        </w:rPr>
      </w:pPr>
      <w:bookmarkStart w:id="74" w:name="_Toc17009"/>
      <w:r>
        <w:rPr>
          <w:rFonts w:hint="eastAsia" w:hAnsi="宋体" w:cs="宋体"/>
          <w:b/>
          <w:bCs/>
          <w:snapToGrid w:val="0"/>
          <w:color w:val="auto"/>
          <w:kern w:val="0"/>
          <w:highlight w:val="none"/>
        </w:rPr>
        <w:t>第四节 否决投标条件</w:t>
      </w:r>
      <w:bookmarkEnd w:id="74"/>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75" w:name="_Toc8541"/>
      <w:r>
        <w:rPr>
          <w:rFonts w:hint="eastAsia" w:hAnsi="宋体" w:cs="宋体"/>
          <w:b/>
          <w:bCs/>
          <w:snapToGrid w:val="0"/>
          <w:color w:val="auto"/>
          <w:kern w:val="0"/>
          <w:highlight w:val="none"/>
        </w:rPr>
        <w:t>1．资格评审环节</w:t>
      </w:r>
      <w:bookmarkEnd w:id="75"/>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76" w:name="_Toc22542"/>
      <w:r>
        <w:rPr>
          <w:rFonts w:hint="eastAsia" w:hAnsi="宋体" w:cs="宋体"/>
          <w:b/>
          <w:bCs/>
          <w:snapToGrid w:val="0"/>
          <w:color w:val="auto"/>
          <w:kern w:val="0"/>
          <w:highlight w:val="none"/>
        </w:rPr>
        <w:t>2．形式评审环节</w:t>
      </w:r>
      <w:bookmarkEnd w:id="76"/>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77" w:name="_Toc1804"/>
      <w:r>
        <w:rPr>
          <w:rFonts w:hint="eastAsia" w:hAnsi="宋体" w:cs="宋体"/>
          <w:b/>
          <w:bCs/>
          <w:snapToGrid w:val="0"/>
          <w:color w:val="auto"/>
          <w:kern w:val="0"/>
          <w:highlight w:val="none"/>
        </w:rPr>
        <w:t>3．响应性评审环节</w:t>
      </w:r>
      <w:bookmarkEnd w:id="77"/>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78" w:name="_Toc22668"/>
      <w:r>
        <w:rPr>
          <w:rFonts w:hint="eastAsia" w:hAnsi="宋体" w:cs="宋体"/>
          <w:b/>
          <w:bCs/>
          <w:snapToGrid w:val="0"/>
          <w:color w:val="auto"/>
          <w:kern w:val="0"/>
          <w:highlight w:val="none"/>
        </w:rPr>
        <w:t>4．其他</w:t>
      </w:r>
      <w:bookmarkEnd w:id="78"/>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753E11E4">
      <w:pPr>
        <w:pStyle w:val="3"/>
        <w:wordWrap w:val="0"/>
        <w:autoSpaceDE/>
        <w:autoSpaceDN/>
        <w:snapToGrid w:val="0"/>
        <w:spacing w:line="440" w:lineRule="exact"/>
        <w:jc w:val="center"/>
        <w:rPr>
          <w:rFonts w:hAnsi="宋体" w:cs="宋体"/>
          <w:b/>
          <w:snapToGrid w:val="0"/>
          <w:color w:val="auto"/>
          <w:sz w:val="32"/>
          <w:szCs w:val="22"/>
          <w:highlight w:val="none"/>
        </w:rPr>
      </w:pPr>
      <w:bookmarkStart w:id="79" w:name="_Hlt87952408"/>
      <w:bookmarkEnd w:id="79"/>
      <w:bookmarkStart w:id="80" w:name="_Hlt112206772"/>
      <w:bookmarkEnd w:id="80"/>
      <w:bookmarkStart w:id="81" w:name="_Hlt69669771"/>
      <w:bookmarkEnd w:id="81"/>
      <w:bookmarkStart w:id="82" w:name="_Hlt70150994"/>
      <w:bookmarkEnd w:id="82"/>
      <w:bookmarkStart w:id="83" w:name="_Toc401"/>
      <w:bookmarkStart w:id="84" w:name="_Hlt69698741"/>
      <w:bookmarkStart w:id="85" w:name="_Hlt69698769"/>
      <w:bookmarkStart w:id="86" w:name="_Hlt69698722"/>
      <w:r>
        <w:rPr>
          <w:rFonts w:hint="eastAsia" w:hAnsi="宋体" w:cs="宋体"/>
          <w:b/>
          <w:snapToGrid w:val="0"/>
          <w:color w:val="auto"/>
          <w:sz w:val="32"/>
          <w:szCs w:val="22"/>
          <w:highlight w:val="none"/>
        </w:rPr>
        <w:t>第</w:t>
      </w:r>
      <w:bookmarkStart w:id="87" w:name="_Hlt69669171"/>
      <w:bookmarkEnd w:id="87"/>
      <w:r>
        <w:rPr>
          <w:rFonts w:hint="eastAsia" w:hAnsi="宋体" w:cs="宋体"/>
          <w:b/>
          <w:snapToGrid w:val="0"/>
          <w:color w:val="auto"/>
          <w:sz w:val="32"/>
          <w:szCs w:val="22"/>
          <w:highlight w:val="none"/>
        </w:rPr>
        <w:t>二章</w:t>
      </w:r>
      <w:bookmarkStart w:id="88" w:name="_Hlt87793839"/>
      <w:bookmarkEnd w:id="88"/>
      <w:r>
        <w:rPr>
          <w:rFonts w:hint="eastAsia" w:hAnsi="宋体" w:cs="宋体"/>
          <w:b/>
          <w:snapToGrid w:val="0"/>
          <w:color w:val="auto"/>
          <w:sz w:val="32"/>
          <w:szCs w:val="22"/>
          <w:highlight w:val="none"/>
        </w:rPr>
        <w:t xml:space="preserve"> 中标人须知</w:t>
      </w:r>
      <w:bookmarkEnd w:id="83"/>
    </w:p>
    <w:bookmarkEnd w:id="84"/>
    <w:bookmarkEnd w:id="85"/>
    <w:bookmarkEnd w:id="86"/>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89" w:name="_Toc18336"/>
      <w:bookmarkStart w:id="90" w:name="_Toc17192"/>
      <w:bookmarkStart w:id="91" w:name="_Toc31521"/>
      <w:bookmarkStart w:id="92" w:name="_Toc15170"/>
      <w:bookmarkStart w:id="93" w:name="_Toc30174"/>
      <w:bookmarkStart w:id="94" w:name="_Toc8149"/>
      <w:bookmarkStart w:id="95" w:name="_Toc21594"/>
      <w:r>
        <w:rPr>
          <w:rFonts w:hint="eastAsia" w:hAnsi="宋体" w:cs="宋体"/>
          <w:b/>
          <w:snapToGrid w:val="0"/>
          <w:color w:val="auto"/>
          <w:kern w:val="0"/>
          <w:szCs w:val="24"/>
          <w:highlight w:val="none"/>
        </w:rPr>
        <w:t>1．中标通知书</w:t>
      </w:r>
      <w:bookmarkEnd w:id="89"/>
      <w:bookmarkEnd w:id="90"/>
      <w:bookmarkEnd w:id="91"/>
      <w:bookmarkEnd w:id="92"/>
      <w:bookmarkEnd w:id="93"/>
      <w:bookmarkEnd w:id="94"/>
      <w:bookmarkEnd w:id="95"/>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6" w:name="_Toc23133"/>
      <w:bookmarkStart w:id="97" w:name="_Toc1519"/>
      <w:bookmarkStart w:id="98" w:name="_Toc18659"/>
      <w:bookmarkStart w:id="99" w:name="_Toc28601"/>
      <w:bookmarkStart w:id="100" w:name="_Toc10931"/>
      <w:bookmarkStart w:id="101" w:name="_Toc30560"/>
      <w:bookmarkStart w:id="102" w:name="_Toc17251"/>
      <w:r>
        <w:rPr>
          <w:rFonts w:hint="eastAsia" w:hAnsi="宋体" w:cs="宋体"/>
          <w:b/>
          <w:bCs/>
          <w:snapToGrid w:val="0"/>
          <w:color w:val="auto"/>
          <w:kern w:val="0"/>
          <w:szCs w:val="24"/>
          <w:highlight w:val="none"/>
        </w:rPr>
        <w:t>2．中标结果公示</w:t>
      </w:r>
      <w:bookmarkEnd w:id="96"/>
      <w:bookmarkEnd w:id="97"/>
      <w:bookmarkEnd w:id="98"/>
      <w:bookmarkEnd w:id="99"/>
      <w:bookmarkEnd w:id="100"/>
      <w:bookmarkEnd w:id="101"/>
      <w:bookmarkEnd w:id="102"/>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3" w:name="_Toc25367"/>
      <w:bookmarkStart w:id="104" w:name="_Toc20923"/>
      <w:bookmarkStart w:id="105" w:name="_Toc23475"/>
      <w:bookmarkStart w:id="106" w:name="_Toc22628"/>
      <w:bookmarkStart w:id="107" w:name="_Toc16211"/>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08" w:name="_Toc32445"/>
      <w:bookmarkStart w:id="109" w:name="_Toc5857"/>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08"/>
      <w:bookmarkEnd w:id="109"/>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10" w:name="_Toc5474"/>
      <w:bookmarkStart w:id="111" w:name="_Toc4933"/>
      <w:r>
        <w:rPr>
          <w:rFonts w:hint="eastAsia" w:hAnsi="宋体" w:cs="宋体"/>
          <w:b/>
          <w:bCs/>
          <w:snapToGrid w:val="0"/>
          <w:color w:val="auto"/>
          <w:kern w:val="0"/>
          <w:szCs w:val="24"/>
          <w:highlight w:val="none"/>
          <w:lang w:val="en-US" w:eastAsia="zh-CN"/>
        </w:rPr>
        <w:t>4.合同订立</w:t>
      </w:r>
      <w:bookmarkEnd w:id="103"/>
      <w:bookmarkEnd w:id="104"/>
      <w:bookmarkEnd w:id="105"/>
      <w:bookmarkEnd w:id="106"/>
      <w:bookmarkEnd w:id="107"/>
      <w:bookmarkEnd w:id="110"/>
      <w:bookmarkEnd w:id="111"/>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2" w:name="_Toc13450"/>
      <w:bookmarkStart w:id="113" w:name="_Toc3858"/>
      <w:bookmarkStart w:id="114" w:name="_Toc1819"/>
      <w:bookmarkStart w:id="115" w:name="_Toc6741"/>
      <w:bookmarkStart w:id="116" w:name="_Toc7981"/>
      <w:bookmarkStart w:id="117" w:name="_Toc25887"/>
      <w:bookmarkStart w:id="118" w:name="_Toc11598"/>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12"/>
      <w:bookmarkEnd w:id="113"/>
      <w:bookmarkEnd w:id="114"/>
      <w:bookmarkEnd w:id="115"/>
      <w:bookmarkEnd w:id="116"/>
      <w:bookmarkEnd w:id="117"/>
      <w:bookmarkEnd w:id="118"/>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9" w:name="_Toc26352"/>
      <w:bookmarkStart w:id="120" w:name="_Toc500"/>
      <w:bookmarkStart w:id="121" w:name="_Toc15893"/>
      <w:bookmarkStart w:id="122" w:name="_Toc7088"/>
      <w:bookmarkStart w:id="123" w:name="_Toc17549"/>
      <w:bookmarkStart w:id="124" w:name="_Toc1831"/>
      <w:bookmarkStart w:id="125" w:name="_Toc8282"/>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19"/>
      <w:bookmarkEnd w:id="120"/>
      <w:bookmarkEnd w:id="121"/>
      <w:bookmarkEnd w:id="122"/>
      <w:bookmarkEnd w:id="123"/>
      <w:bookmarkEnd w:id="124"/>
      <w:bookmarkEnd w:id="125"/>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26" w:name="_Toc25800"/>
      <w:bookmarkStart w:id="127" w:name="_Toc18249"/>
      <w:bookmarkStart w:id="128" w:name="_Toc19761"/>
      <w:bookmarkStart w:id="129" w:name="_Toc25358"/>
      <w:bookmarkStart w:id="130" w:name="_Toc2527"/>
      <w:bookmarkStart w:id="131" w:name="_Toc6953"/>
      <w:bookmarkStart w:id="132" w:name="_Toc17560"/>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26"/>
      <w:bookmarkEnd w:id="127"/>
      <w:bookmarkEnd w:id="128"/>
      <w:bookmarkEnd w:id="129"/>
      <w:bookmarkEnd w:id="130"/>
      <w:bookmarkEnd w:id="131"/>
      <w:bookmarkEnd w:id="132"/>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33" w:name="_Toc25479"/>
      <w:bookmarkStart w:id="134" w:name="_Toc31907"/>
      <w:bookmarkStart w:id="135" w:name="_Toc13950"/>
      <w:bookmarkStart w:id="136" w:name="_Toc13195"/>
      <w:bookmarkStart w:id="137" w:name="_Toc17664"/>
      <w:bookmarkStart w:id="138" w:name="_Toc23108"/>
      <w:bookmarkStart w:id="139" w:name="_Toc6532"/>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33"/>
      <w:bookmarkEnd w:id="134"/>
      <w:bookmarkEnd w:id="135"/>
      <w:bookmarkEnd w:id="136"/>
      <w:bookmarkEnd w:id="137"/>
      <w:bookmarkEnd w:id="138"/>
      <w:bookmarkEnd w:id="139"/>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0" w:name="_Toc6056"/>
      <w:bookmarkStart w:id="141" w:name="_Toc27412"/>
      <w:bookmarkStart w:id="142" w:name="_Toc23097"/>
      <w:bookmarkStart w:id="143" w:name="_Toc15281"/>
      <w:bookmarkStart w:id="144" w:name="_Toc20861"/>
      <w:bookmarkStart w:id="145" w:name="_Toc20449"/>
      <w:bookmarkStart w:id="146" w:name="_Toc19789"/>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40"/>
      <w:bookmarkEnd w:id="141"/>
      <w:bookmarkEnd w:id="142"/>
      <w:bookmarkEnd w:id="143"/>
      <w:bookmarkEnd w:id="144"/>
      <w:bookmarkEnd w:id="145"/>
      <w:bookmarkEnd w:id="146"/>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7" w:name="_Toc1181"/>
      <w:bookmarkStart w:id="148" w:name="_Toc13413"/>
      <w:bookmarkStart w:id="149" w:name="_Toc16174"/>
      <w:bookmarkStart w:id="150" w:name="_Toc9618"/>
      <w:bookmarkStart w:id="151" w:name="_Toc17881"/>
      <w:bookmarkStart w:id="152" w:name="_Toc27428"/>
      <w:bookmarkStart w:id="153" w:name="_Toc2694"/>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47"/>
      <w:bookmarkEnd w:id="148"/>
      <w:bookmarkEnd w:id="149"/>
      <w:bookmarkEnd w:id="150"/>
      <w:bookmarkEnd w:id="151"/>
      <w:bookmarkEnd w:id="152"/>
      <w:bookmarkEnd w:id="153"/>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54" w:name="_Toc26662"/>
      <w:bookmarkStart w:id="155" w:name="_Toc4730"/>
      <w:bookmarkStart w:id="156" w:name="_Toc18397"/>
      <w:bookmarkStart w:id="157" w:name="_Toc24102"/>
      <w:bookmarkStart w:id="158" w:name="_Toc5818"/>
      <w:bookmarkStart w:id="159" w:name="_Toc14327"/>
      <w:bookmarkStart w:id="160" w:name="_Toc25424"/>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54"/>
      <w:bookmarkEnd w:id="155"/>
      <w:bookmarkEnd w:id="156"/>
      <w:bookmarkEnd w:id="157"/>
      <w:bookmarkEnd w:id="158"/>
      <w:bookmarkEnd w:id="159"/>
      <w:bookmarkEnd w:id="160"/>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61" w:name="_Toc2540"/>
      <w:bookmarkStart w:id="162" w:name="_Toc16612"/>
      <w:bookmarkStart w:id="163" w:name="_Toc19314"/>
      <w:bookmarkStart w:id="164" w:name="_Toc13197"/>
      <w:bookmarkStart w:id="165" w:name="_Toc24329"/>
      <w:bookmarkStart w:id="166" w:name="_Toc6629"/>
      <w:bookmarkStart w:id="167" w:name="_Toc29177"/>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61"/>
      <w:bookmarkEnd w:id="162"/>
      <w:bookmarkEnd w:id="163"/>
      <w:bookmarkEnd w:id="164"/>
      <w:bookmarkEnd w:id="165"/>
      <w:bookmarkEnd w:id="166"/>
      <w:bookmarkEnd w:id="167"/>
    </w:p>
    <w:p w14:paraId="04C55AB1">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68" w:name="_Toc15431"/>
      <w:bookmarkStart w:id="169" w:name="_Toc29467"/>
      <w:bookmarkStart w:id="170" w:name="_Toc25306"/>
      <w:bookmarkStart w:id="171" w:name="_Toc15923"/>
      <w:bookmarkStart w:id="172" w:name="_Toc17537"/>
      <w:bookmarkStart w:id="173" w:name="_Toc28837"/>
      <w:bookmarkStart w:id="174" w:name="_Toc2784"/>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68"/>
      <w:bookmarkEnd w:id="169"/>
      <w:bookmarkEnd w:id="170"/>
      <w:bookmarkEnd w:id="171"/>
      <w:bookmarkEnd w:id="172"/>
      <w:bookmarkEnd w:id="173"/>
      <w:bookmarkEnd w:id="174"/>
    </w:p>
    <w:p w14:paraId="418B847A">
      <w:pPr>
        <w:pStyle w:val="84"/>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4"/>
        <w:wordWrap w:val="0"/>
        <w:adjustRightInd w:val="0"/>
        <w:snapToGrid w:val="0"/>
        <w:spacing w:line="440" w:lineRule="exact"/>
        <w:ind w:firstLine="560"/>
        <w:rPr>
          <w:rFonts w:hAnsi="宋体" w:cs="宋体"/>
          <w:b/>
          <w:bCs/>
          <w:snapToGrid w:val="0"/>
          <w:color w:val="auto"/>
          <w:kern w:val="0"/>
          <w:highlight w:val="none"/>
        </w:rPr>
      </w:pPr>
    </w:p>
    <w:p w14:paraId="6E146C71">
      <w:pPr>
        <w:pStyle w:val="84"/>
        <w:wordWrap w:val="0"/>
        <w:adjustRightInd w:val="0"/>
        <w:snapToGrid w:val="0"/>
        <w:spacing w:line="440" w:lineRule="exact"/>
        <w:ind w:firstLine="560"/>
        <w:rPr>
          <w:rFonts w:hAnsi="宋体" w:cs="宋体"/>
          <w:b/>
          <w:bCs/>
          <w:snapToGrid w:val="0"/>
          <w:color w:val="auto"/>
          <w:kern w:val="0"/>
          <w:highlight w:val="none"/>
        </w:rPr>
      </w:pPr>
    </w:p>
    <w:p w14:paraId="40581986">
      <w:pPr>
        <w:pStyle w:val="84"/>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4B26AC6B">
      <w:pPr>
        <w:pStyle w:val="3"/>
        <w:wordWrap w:val="0"/>
        <w:autoSpaceDE/>
        <w:autoSpaceDN/>
        <w:snapToGrid w:val="0"/>
        <w:spacing w:line="500" w:lineRule="exact"/>
        <w:jc w:val="center"/>
        <w:outlineLvl w:val="0"/>
        <w:rPr>
          <w:rFonts w:hAnsi="宋体" w:cs="宋体"/>
          <w:b/>
          <w:snapToGrid w:val="0"/>
          <w:color w:val="auto"/>
          <w:sz w:val="32"/>
          <w:szCs w:val="32"/>
          <w:highlight w:val="none"/>
        </w:rPr>
      </w:pPr>
      <w:bookmarkStart w:id="175" w:name="_Toc29099"/>
      <w:bookmarkStart w:id="176" w:name="_Toc16840"/>
      <w:bookmarkStart w:id="177" w:name="_Hlt69698765"/>
      <w:bookmarkStart w:id="178" w:name="_Hlt69698713"/>
      <w:bookmarkStart w:id="179" w:name="_Hlt69698776"/>
      <w:r>
        <w:rPr>
          <w:rFonts w:hint="eastAsia" w:hAnsi="宋体" w:cs="宋体"/>
          <w:b/>
          <w:snapToGrid w:val="0"/>
          <w:color w:val="auto"/>
          <w:sz w:val="32"/>
          <w:szCs w:val="32"/>
          <w:highlight w:val="none"/>
        </w:rPr>
        <w:t>第三章</w:t>
      </w:r>
      <w:bookmarkStart w:id="180" w:name="_Hlt87793831"/>
      <w:bookmarkEnd w:id="180"/>
      <w:r>
        <w:rPr>
          <w:rFonts w:hint="eastAsia" w:hAnsi="宋体" w:cs="宋体"/>
          <w:b/>
          <w:snapToGrid w:val="0"/>
          <w:color w:val="auto"/>
          <w:sz w:val="32"/>
          <w:szCs w:val="32"/>
          <w:highlight w:val="none"/>
        </w:rPr>
        <w:t xml:space="preserve"> 拟签订合同的主要条款</w:t>
      </w:r>
      <w:bookmarkEnd w:id="175"/>
      <w:bookmarkEnd w:id="176"/>
    </w:p>
    <w:bookmarkEnd w:id="177"/>
    <w:bookmarkEnd w:id="178"/>
    <w:p w14:paraId="6A4F7FF4">
      <w:pPr>
        <w:bidi w:val="0"/>
        <w:rPr>
          <w:color w:val="auto"/>
          <w:highlight w:val="none"/>
        </w:rPr>
      </w:pPr>
      <w:bookmarkStart w:id="181" w:name="_Toc326916629"/>
      <w:bookmarkStart w:id="182" w:name="_Toc322793288"/>
    </w:p>
    <w:bookmarkEnd w:id="181"/>
    <w:bookmarkEnd w:id="182"/>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83" w:name="_Toc1947"/>
      <w:bookmarkStart w:id="184" w:name="_Toc6392"/>
      <w:bookmarkStart w:id="185" w:name="_Toc11616"/>
      <w:bookmarkStart w:id="186" w:name="_Toc3741"/>
      <w:bookmarkStart w:id="187" w:name="_Toc9210"/>
      <w:bookmarkStart w:id="188" w:name="_Toc4588"/>
      <w:bookmarkStart w:id="189" w:name="_Toc12203"/>
      <w:r>
        <w:rPr>
          <w:rFonts w:hint="eastAsia" w:hAnsi="宋体" w:cs="宋体"/>
          <w:b/>
          <w:bCs/>
          <w:snapToGrid w:val="0"/>
          <w:color w:val="auto"/>
          <w:kern w:val="0"/>
          <w:szCs w:val="24"/>
          <w:highlight w:val="none"/>
        </w:rPr>
        <w:t>1．现场办公条件</w:t>
      </w:r>
      <w:bookmarkEnd w:id="183"/>
      <w:bookmarkEnd w:id="184"/>
      <w:bookmarkEnd w:id="185"/>
      <w:bookmarkEnd w:id="186"/>
      <w:bookmarkEnd w:id="187"/>
      <w:bookmarkEnd w:id="188"/>
      <w:bookmarkEnd w:id="189"/>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90" w:name="_Toc6311"/>
      <w:bookmarkStart w:id="191" w:name="_Toc8261"/>
      <w:bookmarkStart w:id="192" w:name="_Toc14419"/>
      <w:bookmarkStart w:id="193" w:name="_Toc15844"/>
      <w:bookmarkStart w:id="194" w:name="_Toc29914"/>
      <w:bookmarkStart w:id="195" w:name="_Toc1375"/>
      <w:bookmarkStart w:id="196" w:name="_Toc6193"/>
      <w:r>
        <w:rPr>
          <w:rFonts w:hint="eastAsia" w:hAnsi="宋体" w:cs="宋体"/>
          <w:b/>
          <w:bCs/>
          <w:snapToGrid w:val="0"/>
          <w:color w:val="auto"/>
          <w:kern w:val="0"/>
          <w:szCs w:val="24"/>
          <w:highlight w:val="none"/>
        </w:rPr>
        <w:t>2．</w:t>
      </w:r>
      <w:bookmarkEnd w:id="190"/>
      <w:bookmarkEnd w:id="191"/>
      <w:bookmarkEnd w:id="192"/>
      <w:bookmarkEnd w:id="193"/>
      <w:bookmarkEnd w:id="194"/>
      <w:r>
        <w:rPr>
          <w:rFonts w:hint="eastAsia" w:hAnsi="宋体" w:cs="宋体"/>
          <w:b/>
          <w:bCs/>
          <w:snapToGrid w:val="0"/>
          <w:color w:val="auto"/>
          <w:kern w:val="0"/>
          <w:szCs w:val="24"/>
          <w:highlight w:val="none"/>
        </w:rPr>
        <w:t>监理服务费</w:t>
      </w:r>
      <w:bookmarkEnd w:id="195"/>
      <w:bookmarkEnd w:id="196"/>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97" w:name="_Toc17740"/>
      <w:bookmarkStart w:id="198" w:name="_Toc6502"/>
      <w:bookmarkStart w:id="199" w:name="_Toc31653"/>
      <w:bookmarkStart w:id="200" w:name="_Toc18979"/>
      <w:bookmarkStart w:id="201" w:name="_Toc31657"/>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rPr>
        <w:t>监理服务费结算价在项目的合同价范围内按实结算，即：以施工财审</w:t>
      </w:r>
      <w:r>
        <w:rPr>
          <w:rFonts w:hint="eastAsia" w:hAnsi="宋体" w:cs="宋体"/>
          <w:snapToGrid w:val="0"/>
          <w:color w:val="auto"/>
          <w:kern w:val="0"/>
          <w:szCs w:val="24"/>
          <w:highlight w:val="none"/>
          <w:lang w:val="en-US" w:eastAsia="zh-CN"/>
        </w:rPr>
        <w:t>预</w:t>
      </w:r>
      <w:r>
        <w:rPr>
          <w:rFonts w:hint="eastAsia" w:ascii="宋体" w:hAnsi="宋体" w:eastAsia="宋体" w:cs="宋体"/>
          <w:snapToGrid w:val="0"/>
          <w:color w:val="auto"/>
          <w:kern w:val="0"/>
          <w:szCs w:val="24"/>
          <w:highlight w:val="none"/>
        </w:rPr>
        <w:t>算价为基数乘以监理人中标取费费率计算，若监理服务费结算总价超过签约合同价，则按签约合同价包干结算；若监理服务费结算总价未超过签约合同价，则按以施工</w:t>
      </w:r>
      <w:r>
        <w:rPr>
          <w:rFonts w:hint="eastAsia" w:hAnsi="宋体" w:cs="宋体"/>
          <w:snapToGrid w:val="0"/>
          <w:color w:val="auto"/>
          <w:kern w:val="0"/>
          <w:szCs w:val="24"/>
          <w:highlight w:val="none"/>
          <w:lang w:val="en-US" w:eastAsia="zh-CN"/>
        </w:rPr>
        <w:t>预</w:t>
      </w:r>
      <w:r>
        <w:rPr>
          <w:rFonts w:hint="eastAsia" w:ascii="宋体" w:hAnsi="宋体" w:eastAsia="宋体" w:cs="宋体"/>
          <w:snapToGrid w:val="0"/>
          <w:color w:val="auto"/>
          <w:kern w:val="0"/>
          <w:szCs w:val="24"/>
          <w:highlight w:val="none"/>
        </w:rPr>
        <w:t>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（1）本项目支付监理服务费预付款，预付款支付比例为：合同价的30%；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（2）本项目根据施工阶段按施工进度分期支付监理服务费，具体分期支付方式如下：</w:t>
      </w:r>
    </w:p>
    <w:tbl>
      <w:tblPr>
        <w:tblStyle w:val="31"/>
        <w:tblW w:w="9101"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455"/>
        <w:gridCol w:w="3780"/>
      </w:tblGrid>
      <w:tr w14:paraId="29E4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6" w:type="dxa"/>
            <w:noWrap w:val="0"/>
            <w:vAlign w:val="center"/>
          </w:tcPr>
          <w:p w14:paraId="02EF632E">
            <w:pPr>
              <w:wordWrap w:val="0"/>
              <w:adjustRightInd w:val="0"/>
              <w:snapToGrid w:val="0"/>
              <w:spacing w:line="400" w:lineRule="exact"/>
              <w:jc w:val="center"/>
              <w:rPr>
                <w:rFonts w:hint="eastAsia" w:ascii="黑体" w:hAnsi="黑体" w:eastAsia="黑体"/>
                <w:snapToGrid w:val="0"/>
                <w:color w:val="auto"/>
                <w:kern w:val="0"/>
                <w:highlight w:val="none"/>
                <w:lang w:eastAsia="zh-CN"/>
              </w:rPr>
            </w:pPr>
            <w:r>
              <w:rPr>
                <w:rFonts w:hint="eastAsia" w:ascii="黑体" w:hAnsi="黑体" w:eastAsia="黑体"/>
                <w:snapToGrid w:val="0"/>
                <w:color w:val="auto"/>
                <w:kern w:val="0"/>
                <w:highlight w:val="none"/>
                <w:lang w:val="en-US" w:eastAsia="zh-CN"/>
              </w:rPr>
              <w:t>序号</w:t>
            </w:r>
          </w:p>
        </w:tc>
        <w:tc>
          <w:tcPr>
            <w:tcW w:w="4455" w:type="dxa"/>
            <w:noWrap w:val="0"/>
            <w:vAlign w:val="center"/>
          </w:tcPr>
          <w:p w14:paraId="1A8903F7">
            <w:pPr>
              <w:wordWrap w:val="0"/>
              <w:adjustRightInd w:val="0"/>
              <w:snapToGrid w:val="0"/>
              <w:spacing w:line="400" w:lineRule="exact"/>
              <w:jc w:val="center"/>
              <w:rPr>
                <w:rFonts w:hint="eastAsia" w:ascii="黑体" w:hAnsi="黑体" w:eastAsia="黑体"/>
                <w:snapToGrid w:val="0"/>
                <w:color w:val="auto"/>
                <w:kern w:val="0"/>
                <w:highlight w:val="none"/>
                <w:lang w:val="en-US" w:eastAsia="zh-CN"/>
              </w:rPr>
            </w:pPr>
            <w:r>
              <w:rPr>
                <w:rFonts w:hint="eastAsia" w:ascii="黑体" w:hAnsi="黑体" w:eastAsia="黑体"/>
                <w:snapToGrid w:val="0"/>
                <w:color w:val="auto"/>
                <w:kern w:val="0"/>
                <w:highlight w:val="none"/>
              </w:rPr>
              <w:t>支付时间</w:t>
            </w:r>
            <w:r>
              <w:rPr>
                <w:rFonts w:hint="eastAsia" w:ascii="黑体" w:hAnsi="黑体" w:eastAsia="黑体"/>
                <w:snapToGrid w:val="0"/>
                <w:color w:val="auto"/>
                <w:kern w:val="0"/>
                <w:highlight w:val="none"/>
                <w:lang w:val="en-US" w:eastAsia="zh-CN"/>
              </w:rPr>
              <w:t>及</w:t>
            </w:r>
            <w:r>
              <w:rPr>
                <w:rFonts w:hint="eastAsia" w:ascii="黑体" w:hAnsi="黑体" w:eastAsia="黑体"/>
                <w:snapToGrid w:val="0"/>
                <w:color w:val="auto"/>
                <w:kern w:val="0"/>
                <w:highlight w:val="none"/>
              </w:rPr>
              <w:t>支付比例</w:t>
            </w:r>
          </w:p>
        </w:tc>
        <w:tc>
          <w:tcPr>
            <w:tcW w:w="3780" w:type="dxa"/>
            <w:noWrap w:val="0"/>
            <w:vAlign w:val="center"/>
          </w:tcPr>
          <w:p w14:paraId="5FB2DFAD">
            <w:pPr>
              <w:wordWrap w:val="0"/>
              <w:adjustRightInd w:val="0"/>
              <w:snapToGrid w:val="0"/>
              <w:spacing w:line="400" w:lineRule="exact"/>
              <w:jc w:val="center"/>
              <w:rPr>
                <w:rFonts w:hint="eastAsia" w:ascii="黑体" w:hAnsi="黑体" w:eastAsia="黑体"/>
                <w:snapToGrid w:val="0"/>
                <w:color w:val="auto"/>
                <w:kern w:val="0"/>
                <w:highlight w:val="none"/>
              </w:rPr>
            </w:pPr>
          </w:p>
        </w:tc>
      </w:tr>
      <w:tr w14:paraId="0159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866" w:type="dxa"/>
            <w:noWrap w:val="0"/>
            <w:vAlign w:val="center"/>
          </w:tcPr>
          <w:p w14:paraId="71BAC85A">
            <w:pPr>
              <w:wordWrap w:val="0"/>
              <w:adjustRightInd w:val="0"/>
              <w:snapToGrid w:val="0"/>
              <w:spacing w:line="400" w:lineRule="exact"/>
              <w:jc w:val="center"/>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lang w:val="en-US" w:eastAsia="zh-CN"/>
              </w:rPr>
              <w:t>1</w:t>
            </w:r>
          </w:p>
        </w:tc>
        <w:tc>
          <w:tcPr>
            <w:tcW w:w="4455" w:type="dxa"/>
            <w:noWrap w:val="0"/>
            <w:vAlign w:val="center"/>
          </w:tcPr>
          <w:p w14:paraId="45CDE68B">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依据</w:t>
            </w: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比例按月或季度支付。</w:t>
            </w:r>
          </w:p>
        </w:tc>
        <w:tc>
          <w:tcPr>
            <w:tcW w:w="3780" w:type="dxa"/>
            <w:noWrap w:val="0"/>
            <w:vAlign w:val="center"/>
          </w:tcPr>
          <w:p w14:paraId="1F5CBCD3">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合同价总价80%（含预付款）</w:t>
            </w:r>
          </w:p>
        </w:tc>
      </w:tr>
      <w:tr w14:paraId="66FB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866" w:type="dxa"/>
            <w:noWrap w:val="0"/>
            <w:vAlign w:val="center"/>
          </w:tcPr>
          <w:p w14:paraId="40BAE9EE">
            <w:pPr>
              <w:wordWrap w:val="0"/>
              <w:adjustRightInd w:val="0"/>
              <w:snapToGrid w:val="0"/>
              <w:spacing w:line="400" w:lineRule="exact"/>
              <w:jc w:val="center"/>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lang w:val="en-US" w:eastAsia="zh-CN"/>
              </w:rPr>
              <w:t>2</w:t>
            </w:r>
          </w:p>
        </w:tc>
        <w:tc>
          <w:tcPr>
            <w:tcW w:w="4455" w:type="dxa"/>
            <w:noWrap w:val="0"/>
            <w:vAlign w:val="center"/>
          </w:tcPr>
          <w:p w14:paraId="6E8C3F2F">
            <w:pPr>
              <w:wordWrap w:val="0"/>
              <w:adjustRightInd w:val="0"/>
              <w:snapToGrid w:val="0"/>
              <w:spacing w:line="400" w:lineRule="exact"/>
              <w:jc w:val="left"/>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达到100</w:t>
            </w:r>
            <w:r>
              <w:rPr>
                <w:rFonts w:hint="eastAsia" w:ascii="Times New Roman"/>
                <w:snapToGrid w:val="0"/>
                <w:color w:val="auto"/>
                <w:kern w:val="0"/>
                <w:highlight w:val="none"/>
              </w:rPr>
              <w:t>%</w:t>
            </w: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工程完工或竣工</w:t>
            </w:r>
            <w:r>
              <w:rPr>
                <w:rFonts w:hint="eastAsia" w:ascii="Times New Roman"/>
                <w:snapToGrid w:val="0"/>
                <w:color w:val="auto"/>
                <w:kern w:val="0"/>
                <w:highlight w:val="none"/>
              </w:rPr>
              <w:t>验收</w:t>
            </w:r>
            <w:r>
              <w:rPr>
                <w:rFonts w:hint="eastAsia" w:ascii="Times New Roman"/>
                <w:snapToGrid w:val="0"/>
                <w:color w:val="auto"/>
                <w:kern w:val="0"/>
                <w:highlight w:val="none"/>
                <w:lang w:val="en-US" w:eastAsia="zh-CN"/>
              </w:rPr>
              <w:t>合规。</w:t>
            </w:r>
          </w:p>
        </w:tc>
        <w:tc>
          <w:tcPr>
            <w:tcW w:w="3780" w:type="dxa"/>
            <w:noWrap w:val="0"/>
            <w:vAlign w:val="center"/>
          </w:tcPr>
          <w:p w14:paraId="498DA7D7">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合同价20%</w:t>
            </w:r>
          </w:p>
        </w:tc>
      </w:tr>
    </w:tbl>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bookmarkStart w:id="202" w:name="_Toc31344"/>
      <w:bookmarkStart w:id="203" w:name="_Toc12074"/>
      <w:r>
        <w:rPr>
          <w:rFonts w:hint="eastAsia" w:ascii="宋体" w:hAnsi="宋体" w:eastAsia="宋体" w:cs="宋体"/>
          <w:b/>
          <w:bCs/>
          <w:snapToGrid w:val="0"/>
          <w:color w:val="auto"/>
          <w:kern w:val="0"/>
          <w:szCs w:val="24"/>
          <w:highlight w:val="none"/>
        </w:rPr>
        <w:t>3．监理服务费发票</w:t>
      </w:r>
      <w:bookmarkEnd w:id="197"/>
      <w:bookmarkEnd w:id="198"/>
      <w:bookmarkEnd w:id="199"/>
      <w:bookmarkEnd w:id="200"/>
      <w:bookmarkEnd w:id="201"/>
      <w:bookmarkEnd w:id="202"/>
      <w:bookmarkEnd w:id="203"/>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委托人每次支付监理服务费前，监理人均应提供有效的增值税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04" w:name="_Toc22603"/>
      <w:bookmarkStart w:id="205" w:name="_Toc32105"/>
      <w:bookmarkStart w:id="206" w:name="_Toc7557"/>
      <w:bookmarkStart w:id="207" w:name="_Toc2147"/>
      <w:bookmarkStart w:id="208" w:name="_Toc25406"/>
      <w:bookmarkStart w:id="209" w:name="_Toc30294"/>
      <w:bookmarkStart w:id="210" w:name="_Toc31725"/>
      <w:r>
        <w:rPr>
          <w:rFonts w:hint="eastAsia" w:hAnsi="宋体" w:cs="宋体"/>
          <w:b/>
          <w:bCs/>
          <w:snapToGrid w:val="0"/>
          <w:color w:val="auto"/>
          <w:kern w:val="0"/>
          <w:szCs w:val="24"/>
          <w:highlight w:val="none"/>
        </w:rPr>
        <w:t>4．违约责任</w:t>
      </w:r>
      <w:bookmarkEnd w:id="204"/>
      <w:bookmarkEnd w:id="205"/>
      <w:bookmarkEnd w:id="206"/>
      <w:bookmarkEnd w:id="207"/>
      <w:bookmarkEnd w:id="208"/>
      <w:bookmarkEnd w:id="209"/>
      <w:bookmarkEnd w:id="210"/>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highlight w:val="none"/>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highlight w:val="none"/>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color w:val="auto"/>
          <w:highlight w:val="none"/>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11" w:name="_Toc29596"/>
      <w:bookmarkStart w:id="212" w:name="_Toc8823"/>
      <w:bookmarkStart w:id="213" w:name="_Toc4121"/>
      <w:bookmarkStart w:id="214" w:name="_Toc17944"/>
      <w:bookmarkStart w:id="215" w:name="_Toc8777"/>
      <w:bookmarkStart w:id="216" w:name="_Toc27702"/>
      <w:bookmarkStart w:id="217" w:name="_Toc26193"/>
      <w:r>
        <w:rPr>
          <w:rFonts w:hint="eastAsia" w:hAnsi="宋体" w:cs="宋体"/>
          <w:b/>
          <w:bCs/>
          <w:snapToGrid w:val="0"/>
          <w:color w:val="auto"/>
          <w:kern w:val="0"/>
          <w:szCs w:val="24"/>
          <w:highlight w:val="none"/>
        </w:rPr>
        <w:t>5．</w:t>
      </w:r>
      <w:r>
        <w:rPr>
          <w:rFonts w:hint="eastAsia" w:hAnsi="宋体" w:cs="宋体"/>
          <w:b/>
          <w:bCs/>
          <w:snapToGrid w:val="0"/>
          <w:color w:val="auto"/>
          <w:kern w:val="0"/>
          <w:szCs w:val="24"/>
          <w:highlight w:val="none"/>
          <w:lang w:val="en-US" w:eastAsia="zh-CN"/>
        </w:rPr>
        <w:t>监理服务费的</w:t>
      </w:r>
      <w:r>
        <w:rPr>
          <w:rFonts w:hint="eastAsia" w:hAnsi="宋体" w:cs="宋体"/>
          <w:b/>
          <w:bCs/>
          <w:snapToGrid w:val="0"/>
          <w:color w:val="auto"/>
          <w:kern w:val="0"/>
          <w:szCs w:val="24"/>
          <w:highlight w:val="none"/>
        </w:rPr>
        <w:t>支付</w:t>
      </w:r>
      <w:bookmarkEnd w:id="211"/>
      <w:bookmarkEnd w:id="212"/>
      <w:bookmarkEnd w:id="213"/>
      <w:bookmarkEnd w:id="214"/>
      <w:bookmarkEnd w:id="215"/>
      <w:bookmarkEnd w:id="216"/>
      <w:bookmarkEnd w:id="217"/>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18" w:name="_Toc9024"/>
      <w:bookmarkStart w:id="219" w:name="_Toc13619"/>
      <w:bookmarkStart w:id="220" w:name="_Toc624"/>
      <w:bookmarkStart w:id="221" w:name="_Toc26599"/>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18"/>
      <w:bookmarkEnd w:id="219"/>
      <w:bookmarkEnd w:id="220"/>
      <w:bookmarkEnd w:id="221"/>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22" w:name="_Toc3949"/>
      <w:bookmarkStart w:id="223" w:name="_Toc7275"/>
      <w:bookmarkStart w:id="224" w:name="_Toc10949"/>
      <w:bookmarkStart w:id="225" w:name="_Toc22466"/>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22"/>
      <w:bookmarkEnd w:id="223"/>
      <w:bookmarkEnd w:id="224"/>
      <w:bookmarkEnd w:id="225"/>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6" w:name="_Toc25652"/>
      <w:bookmarkStart w:id="227" w:name="_Toc6801"/>
      <w:bookmarkStart w:id="228" w:name="_Toc10664"/>
      <w:bookmarkStart w:id="229" w:name="_Toc17883"/>
      <w:r>
        <w:rPr>
          <w:rFonts w:hint="eastAsia" w:hAnsi="宋体" w:cs="宋体"/>
          <w:b/>
          <w:bCs/>
          <w:snapToGrid w:val="0"/>
          <w:color w:val="auto"/>
          <w:kern w:val="0"/>
          <w:szCs w:val="24"/>
          <w:highlight w:val="none"/>
        </w:rPr>
        <w:t xml:space="preserve">5.3 </w:t>
      </w:r>
      <w:bookmarkEnd w:id="226"/>
      <w:bookmarkEnd w:id="227"/>
      <w:bookmarkEnd w:id="228"/>
      <w:bookmarkEnd w:id="229"/>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0" w:name="_Toc11091"/>
      <w:bookmarkStart w:id="231" w:name="_Toc878"/>
      <w:bookmarkStart w:id="232" w:name="_Toc12317"/>
      <w:bookmarkStart w:id="233" w:name="_Toc8398"/>
      <w:bookmarkStart w:id="234" w:name="_Toc5107"/>
      <w:bookmarkStart w:id="235" w:name="_Toc16162"/>
      <w:bookmarkStart w:id="236" w:name="_Toc6555"/>
      <w:r>
        <w:rPr>
          <w:rFonts w:hint="eastAsia" w:hAnsi="宋体" w:cs="宋体"/>
          <w:b/>
          <w:bCs/>
          <w:snapToGrid w:val="0"/>
          <w:color w:val="auto"/>
          <w:kern w:val="0"/>
          <w:szCs w:val="24"/>
          <w:highlight w:val="none"/>
        </w:rPr>
        <w:t>6．</w:t>
      </w:r>
      <w:bookmarkEnd w:id="230"/>
      <w:bookmarkEnd w:id="231"/>
      <w:bookmarkEnd w:id="232"/>
      <w:bookmarkEnd w:id="233"/>
      <w:bookmarkEnd w:id="234"/>
      <w:r>
        <w:rPr>
          <w:rFonts w:hint="eastAsia" w:ascii="Times New Roman"/>
          <w:b/>
          <w:snapToGrid w:val="0"/>
          <w:color w:val="auto"/>
          <w:szCs w:val="22"/>
          <w:highlight w:val="none"/>
        </w:rPr>
        <w:t>监理人违约及违约责任</w:t>
      </w:r>
      <w:bookmarkEnd w:id="235"/>
      <w:bookmarkEnd w:id="236"/>
    </w:p>
    <w:p w14:paraId="2FAB8060">
      <w:pPr>
        <w:pStyle w:val="134"/>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7"/>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7"/>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7"/>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7"/>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7"/>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7"/>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7"/>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w:t>
      </w:r>
    </w:p>
    <w:p w14:paraId="15E547A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7"/>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7"/>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7"/>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7"/>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7"/>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7"/>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7"/>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7" w:name="_Toc18555"/>
      <w:bookmarkStart w:id="238" w:name="_Toc21519"/>
      <w:bookmarkStart w:id="239" w:name="_Toc15156"/>
      <w:bookmarkStart w:id="240" w:name="_Toc22285"/>
      <w:r>
        <w:rPr>
          <w:rFonts w:hint="eastAsia" w:ascii="Times New Roman"/>
          <w:b/>
          <w:snapToGrid w:val="0"/>
          <w:color w:val="auto"/>
          <w:szCs w:val="22"/>
          <w:highlight w:val="none"/>
        </w:rPr>
        <w:t>7. 工程质量、造价、进度控制及安全生产管理</w:t>
      </w:r>
      <w:bookmarkEnd w:id="237"/>
      <w:bookmarkEnd w:id="238"/>
      <w:bookmarkEnd w:id="239"/>
      <w:bookmarkEnd w:id="240"/>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3FD6459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06BFFCA1">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4094DE">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16FEEB7">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314BF6E">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6DE556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93AF343">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BE3E45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4E128E4">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AB7BD9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296E77F">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83EBD19">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AE5DD62">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DA9969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79"/>
    <w:p w14:paraId="00DFB3FB">
      <w:pPr>
        <w:pStyle w:val="3"/>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41" w:name="_Toc11137"/>
      <w:bookmarkStart w:id="242" w:name="_Toc21669"/>
      <w:bookmarkStart w:id="243" w:name="_Toc12650"/>
      <w:bookmarkStart w:id="244" w:name="_Hlt69698796"/>
      <w:r>
        <w:rPr>
          <w:rFonts w:hint="eastAsia" w:ascii="Times New Roman"/>
          <w:b/>
          <w:snapToGrid w:val="0"/>
          <w:color w:val="auto"/>
          <w:sz w:val="32"/>
          <w:szCs w:val="22"/>
          <w:highlight w:val="none"/>
        </w:rPr>
        <w:t>第四章</w:t>
      </w:r>
      <w:bookmarkStart w:id="245" w:name="_Hlt87793853"/>
      <w:bookmarkEnd w:id="245"/>
      <w:r>
        <w:rPr>
          <w:rFonts w:hint="eastAsia" w:ascii="Times New Roman"/>
          <w:b/>
          <w:snapToGrid w:val="0"/>
          <w:color w:val="auto"/>
          <w:sz w:val="32"/>
          <w:szCs w:val="22"/>
          <w:highlight w:val="none"/>
        </w:rPr>
        <w:t xml:space="preserve"> 技术要求</w:t>
      </w:r>
      <w:bookmarkEnd w:id="241"/>
      <w:bookmarkEnd w:id="242"/>
      <w:bookmarkEnd w:id="243"/>
    </w:p>
    <w:bookmarkEnd w:id="244"/>
    <w:p w14:paraId="69F644B1">
      <w:pPr>
        <w:wordWrap w:val="0"/>
        <w:adjustRightInd w:val="0"/>
        <w:snapToGrid w:val="0"/>
        <w:spacing w:line="440" w:lineRule="exact"/>
        <w:rPr>
          <w:rFonts w:hint="eastAsia" w:hAnsi="宋体" w:cs="宋体"/>
          <w:bCs/>
          <w:snapToGrid w:val="0"/>
          <w:color w:val="auto"/>
          <w:kern w:val="0"/>
          <w:highlight w:val="none"/>
        </w:rPr>
      </w:pPr>
      <w:bookmarkStart w:id="246" w:name="_Hlt69116854"/>
      <w:bookmarkEnd w:id="246"/>
      <w:bookmarkStart w:id="247" w:name="_Hlt87793370"/>
      <w:bookmarkEnd w:id="247"/>
      <w:bookmarkStart w:id="248" w:name="_Hlt66104926"/>
      <w:bookmarkEnd w:id="248"/>
      <w:bookmarkStart w:id="249" w:name="_Hlt80411122"/>
      <w:bookmarkEnd w:id="249"/>
      <w:bookmarkStart w:id="250" w:name="_Hlt69358207"/>
      <w:bookmarkEnd w:id="250"/>
      <w:bookmarkStart w:id="251" w:name="_Hlt69357851"/>
      <w:bookmarkEnd w:id="251"/>
      <w:bookmarkStart w:id="252" w:name="_Hlt68774758"/>
      <w:bookmarkEnd w:id="252"/>
      <w:bookmarkStart w:id="253" w:name="_Hlt69359335"/>
      <w:bookmarkEnd w:id="253"/>
      <w:bookmarkStart w:id="254" w:name="_Hlt87793346"/>
      <w:bookmarkEnd w:id="254"/>
      <w:bookmarkStart w:id="255" w:name="_Hlt69265216"/>
      <w:bookmarkEnd w:id="255"/>
      <w:bookmarkStart w:id="256" w:name="_Hlt75685840"/>
      <w:bookmarkEnd w:id="256"/>
      <w:bookmarkStart w:id="257" w:name="_Toc7515"/>
      <w:bookmarkStart w:id="258" w:name="_Toc2392"/>
    </w:p>
    <w:bookmarkEnd w:id="257"/>
    <w:bookmarkEnd w:id="258"/>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59" w:name="_Hlt69116863"/>
      <w:bookmarkEnd w:id="259"/>
      <w:bookmarkStart w:id="260" w:name="_Hlt69338190"/>
      <w:bookmarkEnd w:id="260"/>
      <w:bookmarkStart w:id="261" w:name="_Hlt69265207"/>
      <w:bookmarkEnd w:id="261"/>
      <w:bookmarkStart w:id="262" w:name="_Hlt66848640"/>
      <w:bookmarkEnd w:id="262"/>
      <w:bookmarkStart w:id="263" w:name="_Hlt69635247"/>
      <w:bookmarkEnd w:id="263"/>
      <w:bookmarkStart w:id="264" w:name="_Hlt69358336"/>
      <w:bookmarkEnd w:id="264"/>
      <w:bookmarkStart w:id="265" w:name="_Toc25992"/>
      <w:bookmarkStart w:id="266" w:name="_Toc29213"/>
      <w:bookmarkStart w:id="267" w:name="_Toc22126"/>
      <w:bookmarkStart w:id="268" w:name="_Toc29899"/>
      <w:bookmarkStart w:id="269" w:name="_Toc16011"/>
      <w:bookmarkStart w:id="270" w:name="_Hlt69698785"/>
      <w:r>
        <w:rPr>
          <w:rFonts w:hint="eastAsia" w:ascii="宋体" w:hAnsi="宋体" w:eastAsia="宋体" w:cs="宋体"/>
          <w:b/>
          <w:snapToGrid w:val="0"/>
          <w:color w:val="auto"/>
          <w:kern w:val="0"/>
          <w:highlight w:val="none"/>
        </w:rPr>
        <w:t>1．房屋建筑工程建设项目</w:t>
      </w:r>
      <w:bookmarkEnd w:id="265"/>
      <w:bookmarkEnd w:id="266"/>
      <w:bookmarkEnd w:id="267"/>
      <w:bookmarkEnd w:id="268"/>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71" w:name="_Hlt78709799"/>
      <w:bookmarkEnd w:id="271"/>
      <w:bookmarkStart w:id="272" w:name="_Hlt69116858"/>
      <w:bookmarkEnd w:id="272"/>
      <w:bookmarkStart w:id="273" w:name="_Hlt69635252"/>
      <w:bookmarkEnd w:id="273"/>
      <w:bookmarkStart w:id="274" w:name="_Hlt69359245"/>
      <w:bookmarkEnd w:id="274"/>
      <w:bookmarkStart w:id="275" w:name="_Hlt69359086"/>
      <w:bookmarkEnd w:id="275"/>
      <w:bookmarkStart w:id="276" w:name="_Hlt69359243"/>
      <w:bookmarkEnd w:id="276"/>
      <w:bookmarkStart w:id="277" w:name="_Hlt69358458"/>
      <w:bookmarkEnd w:id="277"/>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78" w:name="_Hlt78795211"/>
      <w:bookmarkEnd w:id="278"/>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79" w:name="_Toc3631"/>
      <w:bookmarkStart w:id="280" w:name="_Toc16196"/>
      <w:bookmarkStart w:id="281" w:name="_Toc23789"/>
      <w:bookmarkStart w:id="282" w:name="_Toc2706"/>
      <w:r>
        <w:rPr>
          <w:rFonts w:hint="eastAsia" w:ascii="宋体" w:hAnsi="宋体" w:eastAsia="宋体" w:cs="宋体"/>
          <w:b/>
          <w:snapToGrid w:val="0"/>
          <w:color w:val="auto"/>
          <w:kern w:val="0"/>
          <w:highlight w:val="none"/>
        </w:rPr>
        <w:t>2．市政基础设施工程建设项目</w:t>
      </w:r>
      <w:bookmarkEnd w:id="279"/>
      <w:bookmarkEnd w:id="280"/>
      <w:bookmarkEnd w:id="281"/>
      <w:bookmarkEnd w:id="282"/>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3" w:name="_Toc20464"/>
      <w:bookmarkStart w:id="284"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83"/>
      <w:bookmarkEnd w:id="284"/>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85" w:name="_Toc8828"/>
      <w:bookmarkStart w:id="286" w:name="_Toc12769"/>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85"/>
      <w:bookmarkEnd w:id="286"/>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7" w:name="_Toc5338"/>
      <w:bookmarkStart w:id="288" w:name="_Toc1705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87"/>
      <w:bookmarkEnd w:id="288"/>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89" w:name="_Toc15704"/>
      <w:bookmarkStart w:id="290" w:name="_Toc17302"/>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89"/>
      <w:bookmarkEnd w:id="290"/>
    </w:p>
    <w:p w14:paraId="0F08A875">
      <w:pPr>
        <w:pStyle w:val="155"/>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91" w:name="_Toc20571"/>
      <w:bookmarkStart w:id="292" w:name="_Toc5246"/>
      <w:r>
        <w:rPr>
          <w:rFonts w:hint="eastAsia" w:ascii="宋体" w:hAnsi="宋体" w:eastAsia="宋体" w:cs="宋体"/>
          <w:b/>
          <w:snapToGrid w:val="0"/>
          <w:color w:val="auto"/>
          <w:kern w:val="0"/>
          <w:highlight w:val="none"/>
        </w:rPr>
        <w:t>3．备查要求</w:t>
      </w:r>
      <w:bookmarkEnd w:id="291"/>
      <w:bookmarkEnd w:id="292"/>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93" w:name="_Hlt69670335"/>
      <w:bookmarkEnd w:id="293"/>
    </w:p>
    <w:p w14:paraId="2C01AB53">
      <w:pPr>
        <w:pStyle w:val="3"/>
        <w:wordWrap w:val="0"/>
        <w:autoSpaceDE/>
        <w:autoSpaceDN/>
        <w:snapToGrid w:val="0"/>
        <w:spacing w:line="440" w:lineRule="exact"/>
        <w:jc w:val="center"/>
        <w:rPr>
          <w:rFonts w:ascii="Times New Roman"/>
          <w:b/>
          <w:snapToGrid w:val="0"/>
          <w:color w:val="auto"/>
          <w:sz w:val="32"/>
          <w:szCs w:val="22"/>
          <w:highlight w:val="none"/>
        </w:rPr>
      </w:pPr>
      <w:bookmarkStart w:id="294" w:name="_Toc27904"/>
      <w:r>
        <w:rPr>
          <w:rFonts w:hint="eastAsia" w:ascii="Times New Roman"/>
          <w:b/>
          <w:snapToGrid w:val="0"/>
          <w:color w:val="auto"/>
          <w:sz w:val="32"/>
          <w:szCs w:val="22"/>
          <w:highlight w:val="none"/>
        </w:rPr>
        <w:t xml:space="preserve">第五章 </w:t>
      </w:r>
      <w:bookmarkStart w:id="295" w:name="_Hlt75747044"/>
      <w:bookmarkEnd w:id="295"/>
      <w:r>
        <w:rPr>
          <w:rFonts w:hint="eastAsia" w:ascii="Times New Roman"/>
          <w:b/>
          <w:snapToGrid w:val="0"/>
          <w:color w:val="auto"/>
          <w:sz w:val="32"/>
          <w:szCs w:val="22"/>
          <w:highlight w:val="none"/>
        </w:rPr>
        <w:t>投标文件格式</w:t>
      </w:r>
      <w:bookmarkEnd w:id="269"/>
      <w:bookmarkEnd w:id="294"/>
    </w:p>
    <w:bookmarkEnd w:id="270"/>
    <w:p w14:paraId="7A6D8682">
      <w:pPr>
        <w:pStyle w:val="73"/>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96" w:name="_附件一：对招标文件条款自愿接受承诺书"/>
      <w:bookmarkEnd w:id="296"/>
      <w:bookmarkStart w:id="297" w:name="_附件一：投标函"/>
      <w:bookmarkEnd w:id="297"/>
      <w:bookmarkStart w:id="298" w:name="_附件二：工期承诺书"/>
      <w:bookmarkEnd w:id="298"/>
      <w:bookmarkStart w:id="299" w:name="_附件四：工期承诺书"/>
      <w:bookmarkEnd w:id="299"/>
      <w:bookmarkStart w:id="300" w:name="_附件二：近三年度主要施工项目（竣工及在建）一览表"/>
      <w:bookmarkEnd w:id="300"/>
      <w:bookmarkStart w:id="301" w:name="_附件五：综合评审合理低价法"/>
      <w:bookmarkEnd w:id="301"/>
      <w:bookmarkStart w:id="302" w:name="_Toc66849200"/>
      <w:bookmarkStart w:id="303" w:name="_Toc137621693"/>
      <w:bookmarkStart w:id="304" w:name="_Hlt66847557"/>
      <w:bookmarkStart w:id="305" w:name="_Toc200338097"/>
    </w:p>
    <w:p w14:paraId="605BD047">
      <w:pPr>
        <w:pStyle w:val="73"/>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306" w:name="_Toc31809"/>
      <w:bookmarkStart w:id="307" w:name="_Toc63"/>
      <w:r>
        <w:rPr>
          <w:rFonts w:hint="eastAsia" w:ascii="Times New Roman"/>
          <w:b/>
          <w:snapToGrid w:val="0"/>
          <w:color w:val="auto"/>
          <w:highlight w:val="none"/>
        </w:rPr>
        <w:t>格式一 封面</w:t>
      </w:r>
      <w:bookmarkEnd w:id="306"/>
      <w:bookmarkEnd w:id="307"/>
    </w:p>
    <w:p w14:paraId="5DF40F53">
      <w:pPr>
        <w:pStyle w:val="74"/>
        <w:widowControl w:val="0"/>
        <w:wordWrap w:val="0"/>
        <w:adjustRightInd w:val="0"/>
        <w:snapToGrid w:val="0"/>
        <w:spacing w:line="240" w:lineRule="auto"/>
        <w:rPr>
          <w:rFonts w:ascii="Times New Roman"/>
          <w:b/>
          <w:snapToGrid w:val="0"/>
          <w:color w:val="auto"/>
          <w:sz w:val="24"/>
          <w:highlight w:val="none"/>
        </w:rPr>
      </w:pPr>
    </w:p>
    <w:p w14:paraId="6FBB4A80">
      <w:pPr>
        <w:pStyle w:val="74"/>
        <w:widowControl w:val="0"/>
        <w:wordWrap w:val="0"/>
        <w:adjustRightInd w:val="0"/>
        <w:snapToGrid w:val="0"/>
        <w:spacing w:line="240" w:lineRule="auto"/>
        <w:jc w:val="right"/>
        <w:rPr>
          <w:rFonts w:ascii="Times New Roman"/>
          <w:b/>
          <w:snapToGrid w:val="0"/>
          <w:color w:val="auto"/>
          <w:sz w:val="24"/>
          <w:highlight w:val="none"/>
        </w:rPr>
      </w:pPr>
    </w:p>
    <w:p w14:paraId="59746A92">
      <w:pPr>
        <w:pStyle w:val="74"/>
        <w:widowControl w:val="0"/>
        <w:wordWrap w:val="0"/>
        <w:adjustRightInd w:val="0"/>
        <w:snapToGrid w:val="0"/>
        <w:spacing w:line="240" w:lineRule="auto"/>
        <w:rPr>
          <w:rFonts w:ascii="Times New Roman"/>
          <w:b/>
          <w:snapToGrid w:val="0"/>
          <w:color w:val="auto"/>
          <w:sz w:val="24"/>
          <w:highlight w:val="none"/>
        </w:rPr>
      </w:pPr>
    </w:p>
    <w:p w14:paraId="0294BCEE">
      <w:pPr>
        <w:pStyle w:val="74"/>
        <w:widowControl w:val="0"/>
        <w:wordWrap w:val="0"/>
        <w:adjustRightInd w:val="0"/>
        <w:snapToGrid w:val="0"/>
        <w:spacing w:line="240" w:lineRule="auto"/>
        <w:rPr>
          <w:rFonts w:ascii="Times New Roman"/>
          <w:b/>
          <w:snapToGrid w:val="0"/>
          <w:color w:val="auto"/>
          <w:sz w:val="24"/>
          <w:highlight w:val="none"/>
        </w:rPr>
      </w:pPr>
    </w:p>
    <w:p w14:paraId="7513099E">
      <w:pPr>
        <w:pStyle w:val="74"/>
        <w:widowControl w:val="0"/>
        <w:wordWrap w:val="0"/>
        <w:adjustRightInd w:val="0"/>
        <w:snapToGrid w:val="0"/>
        <w:spacing w:line="240" w:lineRule="auto"/>
        <w:rPr>
          <w:rFonts w:ascii="Times New Roman"/>
          <w:b/>
          <w:snapToGrid w:val="0"/>
          <w:color w:val="auto"/>
          <w:sz w:val="24"/>
          <w:highlight w:val="none"/>
        </w:rPr>
      </w:pPr>
    </w:p>
    <w:p w14:paraId="4875FFE9">
      <w:pPr>
        <w:pStyle w:val="74"/>
        <w:widowControl w:val="0"/>
        <w:wordWrap w:val="0"/>
        <w:adjustRightInd w:val="0"/>
        <w:snapToGrid w:val="0"/>
        <w:spacing w:line="240" w:lineRule="auto"/>
        <w:rPr>
          <w:rFonts w:ascii="Times New Roman"/>
          <w:b/>
          <w:snapToGrid w:val="0"/>
          <w:color w:val="auto"/>
          <w:sz w:val="24"/>
          <w:highlight w:val="none"/>
        </w:rPr>
      </w:pPr>
    </w:p>
    <w:p w14:paraId="2D9D39D4">
      <w:pPr>
        <w:pStyle w:val="74"/>
        <w:widowControl w:val="0"/>
        <w:wordWrap w:val="0"/>
        <w:adjustRightInd w:val="0"/>
        <w:snapToGrid w:val="0"/>
        <w:spacing w:line="240" w:lineRule="auto"/>
        <w:rPr>
          <w:rFonts w:ascii="Times New Roman"/>
          <w:b/>
          <w:snapToGrid w:val="0"/>
          <w:color w:val="auto"/>
          <w:sz w:val="24"/>
          <w:highlight w:val="none"/>
        </w:rPr>
      </w:pPr>
    </w:p>
    <w:p w14:paraId="5F4307BB">
      <w:pPr>
        <w:pStyle w:val="74"/>
        <w:widowControl w:val="0"/>
        <w:wordWrap w:val="0"/>
        <w:adjustRightInd w:val="0"/>
        <w:snapToGrid w:val="0"/>
        <w:spacing w:line="240" w:lineRule="auto"/>
        <w:rPr>
          <w:rFonts w:ascii="Times New Roman"/>
          <w:b/>
          <w:snapToGrid w:val="0"/>
          <w:color w:val="auto"/>
          <w:sz w:val="24"/>
          <w:highlight w:val="none"/>
        </w:rPr>
      </w:pPr>
    </w:p>
    <w:p w14:paraId="0005A7BA">
      <w:pPr>
        <w:pStyle w:val="74"/>
        <w:widowControl w:val="0"/>
        <w:wordWrap w:val="0"/>
        <w:adjustRightInd w:val="0"/>
        <w:snapToGrid w:val="0"/>
        <w:spacing w:line="240" w:lineRule="auto"/>
        <w:rPr>
          <w:rFonts w:ascii="Times New Roman"/>
          <w:b/>
          <w:snapToGrid w:val="0"/>
          <w:color w:val="auto"/>
          <w:sz w:val="24"/>
          <w:highlight w:val="none"/>
        </w:rPr>
      </w:pPr>
    </w:p>
    <w:p w14:paraId="38D03B0C">
      <w:pPr>
        <w:pStyle w:val="74"/>
        <w:widowControl w:val="0"/>
        <w:wordWrap w:val="0"/>
        <w:adjustRightInd w:val="0"/>
        <w:snapToGrid w:val="0"/>
        <w:spacing w:line="240" w:lineRule="auto"/>
        <w:rPr>
          <w:rFonts w:ascii="Times New Roman"/>
          <w:b/>
          <w:snapToGrid w:val="0"/>
          <w:color w:val="auto"/>
          <w:sz w:val="24"/>
          <w:highlight w:val="none"/>
        </w:rPr>
      </w:pPr>
    </w:p>
    <w:p w14:paraId="01F56212">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4"/>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p>
    <w:p w14:paraId="21D0A39E">
      <w:pPr>
        <w:pStyle w:val="74"/>
        <w:widowControl w:val="0"/>
        <w:wordWrap w:val="0"/>
        <w:adjustRightInd w:val="0"/>
        <w:snapToGrid w:val="0"/>
        <w:spacing w:line="240" w:lineRule="auto"/>
        <w:rPr>
          <w:rFonts w:ascii="Times New Roman"/>
          <w:b/>
          <w:snapToGrid w:val="0"/>
          <w:color w:val="auto"/>
          <w:highlight w:val="none"/>
        </w:rPr>
      </w:pPr>
    </w:p>
    <w:p w14:paraId="47BA86B9">
      <w:pPr>
        <w:pStyle w:val="74"/>
        <w:widowControl w:val="0"/>
        <w:wordWrap w:val="0"/>
        <w:adjustRightInd w:val="0"/>
        <w:snapToGrid w:val="0"/>
        <w:spacing w:line="240" w:lineRule="auto"/>
        <w:rPr>
          <w:rFonts w:ascii="Times New Roman"/>
          <w:b/>
          <w:snapToGrid w:val="0"/>
          <w:color w:val="auto"/>
          <w:sz w:val="32"/>
          <w:highlight w:val="none"/>
        </w:rPr>
      </w:pPr>
    </w:p>
    <w:p w14:paraId="65C3F1D5">
      <w:pPr>
        <w:pStyle w:val="74"/>
        <w:widowControl w:val="0"/>
        <w:wordWrap w:val="0"/>
        <w:adjustRightInd w:val="0"/>
        <w:snapToGrid w:val="0"/>
        <w:spacing w:line="240" w:lineRule="auto"/>
        <w:rPr>
          <w:rFonts w:ascii="Times New Roman"/>
          <w:b/>
          <w:snapToGrid w:val="0"/>
          <w:color w:val="auto"/>
          <w:sz w:val="32"/>
          <w:highlight w:val="none"/>
        </w:rPr>
      </w:pPr>
    </w:p>
    <w:p w14:paraId="04CF17A0">
      <w:pPr>
        <w:pStyle w:val="74"/>
        <w:widowControl w:val="0"/>
        <w:wordWrap w:val="0"/>
        <w:adjustRightInd w:val="0"/>
        <w:snapToGrid w:val="0"/>
        <w:spacing w:line="240" w:lineRule="auto"/>
        <w:rPr>
          <w:rFonts w:ascii="Times New Roman"/>
          <w:b/>
          <w:snapToGrid w:val="0"/>
          <w:color w:val="auto"/>
          <w:sz w:val="32"/>
          <w:highlight w:val="none"/>
        </w:rPr>
      </w:pPr>
    </w:p>
    <w:p w14:paraId="70B9E93C">
      <w:pPr>
        <w:pStyle w:val="74"/>
        <w:widowControl w:val="0"/>
        <w:wordWrap w:val="0"/>
        <w:adjustRightInd w:val="0"/>
        <w:snapToGrid w:val="0"/>
        <w:spacing w:line="240" w:lineRule="auto"/>
        <w:rPr>
          <w:rFonts w:ascii="Times New Roman"/>
          <w:b/>
          <w:snapToGrid w:val="0"/>
          <w:color w:val="auto"/>
          <w:sz w:val="32"/>
          <w:highlight w:val="none"/>
        </w:rPr>
      </w:pPr>
    </w:p>
    <w:p w14:paraId="1ECCE2FB">
      <w:pPr>
        <w:pStyle w:val="74"/>
        <w:widowControl w:val="0"/>
        <w:wordWrap w:val="0"/>
        <w:adjustRightInd w:val="0"/>
        <w:snapToGrid w:val="0"/>
        <w:spacing w:line="240" w:lineRule="auto"/>
        <w:rPr>
          <w:rFonts w:ascii="Times New Roman"/>
          <w:b/>
          <w:snapToGrid w:val="0"/>
          <w:color w:val="auto"/>
          <w:sz w:val="32"/>
          <w:highlight w:val="none"/>
        </w:rPr>
      </w:pPr>
    </w:p>
    <w:p w14:paraId="1EB2808C">
      <w:pPr>
        <w:pStyle w:val="74"/>
        <w:widowControl w:val="0"/>
        <w:wordWrap w:val="0"/>
        <w:adjustRightInd w:val="0"/>
        <w:snapToGrid w:val="0"/>
        <w:spacing w:line="240" w:lineRule="auto"/>
        <w:rPr>
          <w:rFonts w:ascii="Times New Roman"/>
          <w:b/>
          <w:snapToGrid w:val="0"/>
          <w:color w:val="auto"/>
          <w:sz w:val="32"/>
          <w:highlight w:val="none"/>
        </w:rPr>
      </w:pPr>
    </w:p>
    <w:p w14:paraId="759F596E">
      <w:pPr>
        <w:pStyle w:val="74"/>
        <w:widowControl w:val="0"/>
        <w:wordWrap w:val="0"/>
        <w:adjustRightInd w:val="0"/>
        <w:snapToGrid w:val="0"/>
        <w:spacing w:line="240" w:lineRule="auto"/>
        <w:rPr>
          <w:rFonts w:ascii="Times New Roman"/>
          <w:b/>
          <w:snapToGrid w:val="0"/>
          <w:color w:val="auto"/>
          <w:sz w:val="32"/>
          <w:highlight w:val="none"/>
        </w:rPr>
      </w:pPr>
    </w:p>
    <w:p w14:paraId="146D5E17">
      <w:pPr>
        <w:pStyle w:val="74"/>
        <w:widowControl w:val="0"/>
        <w:wordWrap w:val="0"/>
        <w:adjustRightInd w:val="0"/>
        <w:snapToGrid w:val="0"/>
        <w:spacing w:line="240" w:lineRule="auto"/>
        <w:rPr>
          <w:rFonts w:ascii="Times New Roman"/>
          <w:b/>
          <w:snapToGrid w:val="0"/>
          <w:color w:val="auto"/>
          <w:sz w:val="32"/>
          <w:highlight w:val="none"/>
        </w:rPr>
      </w:pPr>
    </w:p>
    <w:p w14:paraId="6742C860">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4"/>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4"/>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4"/>
        <w:widowControl w:val="0"/>
        <w:wordWrap w:val="0"/>
        <w:adjustRightInd w:val="0"/>
        <w:snapToGrid w:val="0"/>
        <w:rPr>
          <w:rFonts w:ascii="Times New Roman"/>
          <w:b/>
          <w:snapToGrid w:val="0"/>
          <w:color w:val="auto"/>
          <w:highlight w:val="none"/>
        </w:rPr>
      </w:pPr>
    </w:p>
    <w:p w14:paraId="60968DD1">
      <w:pPr>
        <w:pStyle w:val="74"/>
        <w:widowControl w:val="0"/>
        <w:wordWrap w:val="0"/>
        <w:adjustRightInd w:val="0"/>
        <w:snapToGrid w:val="0"/>
        <w:rPr>
          <w:rFonts w:ascii="Times New Roman"/>
          <w:b/>
          <w:snapToGrid w:val="0"/>
          <w:color w:val="auto"/>
          <w:highlight w:val="none"/>
        </w:rPr>
      </w:pPr>
    </w:p>
    <w:p w14:paraId="20B8FB5C">
      <w:pPr>
        <w:pStyle w:val="74"/>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5A266C5">
      <w:pPr>
        <w:pStyle w:val="4"/>
        <w:wordWrap w:val="0"/>
        <w:autoSpaceDE/>
        <w:autoSpaceDN/>
        <w:snapToGrid w:val="0"/>
        <w:spacing w:line="440" w:lineRule="exact"/>
        <w:rPr>
          <w:rFonts w:ascii="Times New Roman"/>
          <w:b/>
          <w:snapToGrid w:val="0"/>
          <w:color w:val="auto"/>
          <w:highlight w:val="none"/>
        </w:rPr>
      </w:pPr>
      <w:bookmarkStart w:id="308" w:name="_Toc21838"/>
      <w:bookmarkStart w:id="309" w:name="_Toc29299"/>
      <w:bookmarkStart w:id="310" w:name="_Toc106418843"/>
      <w:bookmarkStart w:id="311" w:name="_Toc104711098"/>
      <w:r>
        <w:rPr>
          <w:rFonts w:hint="eastAsia" w:ascii="Times New Roman"/>
          <w:b/>
          <w:snapToGrid w:val="0"/>
          <w:color w:val="auto"/>
          <w:highlight w:val="none"/>
        </w:rPr>
        <w:t>格式</w:t>
      </w:r>
      <w:bookmarkStart w:id="312" w:name="_Hlt97526007"/>
      <w:bookmarkEnd w:id="312"/>
      <w:r>
        <w:rPr>
          <w:rFonts w:hint="eastAsia" w:ascii="Times New Roman"/>
          <w:b/>
          <w:snapToGrid w:val="0"/>
          <w:color w:val="auto"/>
          <w:highlight w:val="none"/>
        </w:rPr>
        <w:t>二 投标函</w:t>
      </w:r>
      <w:bookmarkEnd w:id="308"/>
      <w:bookmarkEnd w:id="309"/>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10"/>
      <w:bookmarkEnd w:id="311"/>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13" w:name="_Hlt68771070"/>
      <w:bookmarkEnd w:id="313"/>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4"/>
        <w:widowControl w:val="0"/>
        <w:wordWrap w:val="0"/>
        <w:adjustRightInd w:val="0"/>
        <w:snapToGrid w:val="0"/>
        <w:spacing w:line="400" w:lineRule="exact"/>
        <w:ind w:firstLine="0"/>
        <w:outlineLvl w:val="1"/>
        <w:rPr>
          <w:rFonts w:hAnsi="宋体" w:cs="宋体"/>
          <w:b/>
          <w:snapToGrid w:val="0"/>
          <w:color w:val="auto"/>
          <w:sz w:val="24"/>
          <w:highlight w:val="none"/>
        </w:rPr>
      </w:pPr>
      <w:bookmarkStart w:id="314" w:name="_Toc1644"/>
      <w:r>
        <w:rPr>
          <w:rFonts w:hint="eastAsia" w:hAnsi="宋体" w:cs="宋体"/>
          <w:b/>
          <w:snapToGrid w:val="0"/>
          <w:color w:val="auto"/>
          <w:sz w:val="24"/>
          <w:highlight w:val="none"/>
        </w:rPr>
        <w:t>格式三 各项承诺一览表</w:t>
      </w:r>
      <w:bookmarkEnd w:id="314"/>
    </w:p>
    <w:p w14:paraId="20B05016">
      <w:pPr>
        <w:pStyle w:val="73"/>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15" w:name="_Toc7685"/>
      <w:bookmarkStart w:id="316" w:name="_Toc24548"/>
      <w:bookmarkStart w:id="317" w:name="_Toc18253"/>
      <w:bookmarkStart w:id="318" w:name="_Toc27092"/>
      <w:bookmarkStart w:id="319" w:name="_Toc11270"/>
      <w:r>
        <w:rPr>
          <w:rFonts w:hint="eastAsia" w:hAnsi="宋体" w:cs="宋体"/>
          <w:b/>
          <w:snapToGrid w:val="0"/>
          <w:color w:val="auto"/>
          <w:sz w:val="30"/>
          <w:highlight w:val="none"/>
        </w:rPr>
        <w:t>各项承诺一览表</w:t>
      </w:r>
      <w:bookmarkEnd w:id="315"/>
      <w:bookmarkEnd w:id="316"/>
      <w:bookmarkEnd w:id="317"/>
      <w:bookmarkEnd w:id="318"/>
      <w:bookmarkEnd w:id="319"/>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5"/>
        <w:wordWrap w:val="0"/>
        <w:adjustRightInd w:val="0"/>
        <w:snapToGrid w:val="0"/>
        <w:spacing w:line="420" w:lineRule="exact"/>
        <w:jc w:val="left"/>
        <w:rPr>
          <w:rFonts w:hAnsi="宋体" w:cs="宋体"/>
          <w:snapToGrid w:val="0"/>
          <w:color w:val="auto"/>
          <w:kern w:val="0"/>
          <w:highlight w:val="none"/>
        </w:rPr>
      </w:pPr>
    </w:p>
    <w:p w14:paraId="4B6FF6DB">
      <w:pPr>
        <w:pStyle w:val="75"/>
        <w:wordWrap w:val="0"/>
        <w:adjustRightInd w:val="0"/>
        <w:snapToGrid w:val="0"/>
        <w:spacing w:line="420" w:lineRule="exact"/>
        <w:jc w:val="left"/>
        <w:rPr>
          <w:rFonts w:hAnsi="宋体" w:cs="宋体"/>
          <w:snapToGrid w:val="0"/>
          <w:color w:val="auto"/>
          <w:kern w:val="0"/>
          <w:highlight w:val="none"/>
        </w:rPr>
      </w:pPr>
    </w:p>
    <w:p w14:paraId="148553C2">
      <w:pPr>
        <w:pStyle w:val="18"/>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8"/>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8"/>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8"/>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8"/>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8"/>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20" w:name="_Toc32644"/>
      <w:r>
        <w:rPr>
          <w:rFonts w:hint="eastAsia" w:hAnsi="宋体" w:cs="宋体"/>
          <w:b/>
          <w:bCs/>
          <w:snapToGrid w:val="0"/>
          <w:color w:val="auto"/>
          <w:kern w:val="0"/>
          <w:szCs w:val="24"/>
          <w:highlight w:val="none"/>
        </w:rPr>
        <w:t>格式四 授权委托书</w:t>
      </w:r>
      <w:bookmarkEnd w:id="320"/>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1"/>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21" w:name="_Toc27423"/>
      <w:r>
        <w:rPr>
          <w:rFonts w:hint="eastAsia" w:hAnsi="宋体" w:cs="宋体"/>
          <w:b/>
          <w:snapToGrid w:val="0"/>
          <w:color w:val="auto"/>
          <w:kern w:val="0"/>
          <w:highlight w:val="none"/>
        </w:rPr>
        <w:t>格式五 法定代表人身份证明</w:t>
      </w:r>
      <w:bookmarkEnd w:id="321"/>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60288;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22" w:name="_Toc474"/>
      <w:r>
        <w:rPr>
          <w:rFonts w:hint="eastAsia" w:hAnsi="宋体" w:cs="宋体"/>
          <w:b/>
          <w:bCs/>
          <w:snapToGrid w:val="0"/>
          <w:color w:val="auto"/>
          <w:kern w:val="0"/>
          <w:szCs w:val="24"/>
          <w:highlight w:val="none"/>
        </w:rPr>
        <w:t>格式六 投标人基本情况表</w:t>
      </w:r>
      <w:bookmarkEnd w:id="322"/>
    </w:p>
    <w:p w14:paraId="3C45457B">
      <w:pPr>
        <w:pStyle w:val="74"/>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8"/>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8"/>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8"/>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8"/>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8"/>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8"/>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8"/>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8"/>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8"/>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8"/>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8"/>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8"/>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8"/>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8"/>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8"/>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8"/>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8"/>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8"/>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8"/>
              <w:wordWrap w:val="0"/>
              <w:adjustRightInd w:val="0"/>
              <w:snapToGrid w:val="0"/>
              <w:jc w:val="center"/>
              <w:rPr>
                <w:rFonts w:ascii="宋体" w:hAnsi="宋体" w:cs="宋体"/>
                <w:snapToGrid w:val="0"/>
                <w:color w:val="auto"/>
                <w:kern w:val="0"/>
                <w:szCs w:val="21"/>
                <w:highlight w:val="none"/>
              </w:rPr>
            </w:pPr>
          </w:p>
        </w:tc>
      </w:tr>
    </w:tbl>
    <w:p w14:paraId="31CF04E5">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4"/>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23" w:name="_Toc22135"/>
      <w:r>
        <w:rPr>
          <w:rFonts w:hint="eastAsia" w:hAnsi="宋体" w:cs="宋体"/>
          <w:b/>
          <w:snapToGrid w:val="0"/>
          <w:color w:val="auto"/>
          <w:kern w:val="0"/>
          <w:highlight w:val="none"/>
        </w:rPr>
        <w:t>格式七 总监理工程师任职声明（适用于无任职项目）</w:t>
      </w:r>
      <w:bookmarkEnd w:id="323"/>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24" w:name="_Toc24032"/>
      <w:r>
        <w:rPr>
          <w:rFonts w:hint="eastAsia" w:hAnsi="宋体" w:cs="宋体"/>
          <w:b/>
          <w:snapToGrid w:val="0"/>
          <w:color w:val="auto"/>
          <w:kern w:val="0"/>
          <w:highlight w:val="none"/>
        </w:rPr>
        <w:t>格式八 总监理工程师任职声明（适用于有任职项目）</w:t>
      </w:r>
      <w:bookmarkEnd w:id="324"/>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25" w:name="_Toc2263"/>
      <w:r>
        <w:rPr>
          <w:rFonts w:hint="eastAsia" w:hAnsi="宋体" w:cs="宋体"/>
          <w:b/>
          <w:bCs/>
          <w:snapToGrid w:val="0"/>
          <w:color w:val="auto"/>
          <w:kern w:val="0"/>
          <w:szCs w:val="24"/>
          <w:highlight w:val="none"/>
        </w:rPr>
        <w:t>格式九 总监理工程师任职项目情况表</w:t>
      </w:r>
      <w:bookmarkEnd w:id="325"/>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4"/>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8"/>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8"/>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8"/>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8"/>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8"/>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8"/>
              <w:adjustRightInd w:val="0"/>
              <w:snapToGrid w:val="0"/>
              <w:spacing w:line="360" w:lineRule="auto"/>
              <w:rPr>
                <w:rFonts w:ascii="宋体" w:hAnsi="宋体" w:cs="宋体"/>
                <w:snapToGrid w:val="0"/>
                <w:color w:val="auto"/>
                <w:kern w:val="0"/>
                <w:szCs w:val="21"/>
                <w:highlight w:val="none"/>
              </w:rPr>
            </w:pPr>
          </w:p>
          <w:p w14:paraId="602D8050">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8"/>
              <w:adjustRightInd w:val="0"/>
              <w:snapToGrid w:val="0"/>
              <w:spacing w:line="360" w:lineRule="auto"/>
              <w:rPr>
                <w:rFonts w:ascii="宋体" w:hAnsi="宋体" w:cs="宋体"/>
                <w:snapToGrid w:val="0"/>
                <w:color w:val="auto"/>
                <w:kern w:val="0"/>
                <w:szCs w:val="21"/>
                <w:highlight w:val="none"/>
              </w:rPr>
            </w:pPr>
          </w:p>
          <w:p w14:paraId="2DED7437">
            <w:pPr>
              <w:pStyle w:val="138"/>
              <w:adjustRightInd w:val="0"/>
              <w:snapToGrid w:val="0"/>
              <w:spacing w:line="360" w:lineRule="auto"/>
              <w:rPr>
                <w:rFonts w:ascii="宋体" w:hAnsi="宋体" w:cs="宋体"/>
                <w:snapToGrid w:val="0"/>
                <w:color w:val="auto"/>
                <w:kern w:val="0"/>
                <w:szCs w:val="21"/>
                <w:highlight w:val="none"/>
              </w:rPr>
            </w:pPr>
          </w:p>
          <w:p w14:paraId="599D977E">
            <w:pPr>
              <w:pStyle w:val="138"/>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8"/>
              <w:adjustRightInd w:val="0"/>
              <w:snapToGrid w:val="0"/>
              <w:spacing w:line="360" w:lineRule="auto"/>
              <w:jc w:val="right"/>
              <w:rPr>
                <w:rFonts w:ascii="宋体" w:hAnsi="宋体" w:cs="宋体"/>
                <w:snapToGrid w:val="0"/>
                <w:color w:val="auto"/>
                <w:kern w:val="0"/>
                <w:szCs w:val="21"/>
                <w:highlight w:val="none"/>
              </w:rPr>
            </w:pPr>
          </w:p>
          <w:p w14:paraId="36196D25">
            <w:pPr>
              <w:pStyle w:val="138"/>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26" w:name="_Toc4492"/>
      <w:bookmarkStart w:id="327" w:name="_Toc8264"/>
      <w:bookmarkStart w:id="328" w:name="_Toc200338098"/>
      <w:r>
        <w:rPr>
          <w:rFonts w:hint="eastAsia" w:hAnsi="宋体" w:cs="宋体"/>
          <w:b/>
          <w:snapToGrid w:val="0"/>
          <w:color w:val="auto"/>
          <w:kern w:val="0"/>
          <w:highlight w:val="none"/>
        </w:rPr>
        <w:t>格式</w:t>
      </w:r>
      <w:bookmarkStart w:id="329" w:name="_Hlt287950384"/>
      <w:bookmarkEnd w:id="329"/>
      <w:r>
        <w:rPr>
          <w:rFonts w:hint="eastAsia" w:hAnsi="宋体" w:cs="宋体"/>
          <w:b/>
          <w:bCs/>
          <w:snapToGrid w:val="0"/>
          <w:color w:val="auto"/>
          <w:kern w:val="0"/>
          <w:szCs w:val="24"/>
          <w:highlight w:val="none"/>
        </w:rPr>
        <w:t>十 项目监理机构组成人员汇总表</w:t>
      </w:r>
      <w:bookmarkEnd w:id="326"/>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30" w:name="_Hlt69116778"/>
        <w:bookmarkStart w:id="331" w:name="_附件十：单项工程费汇总表"/>
        <w:bookmarkStart w:id="332" w:name="_附件二十四：技术标提问单"/>
        <w:bookmarkStart w:id="333" w:name="_附件二十五：综合评审合理低价法"/>
        <w:bookmarkStart w:id="334" w:name="_Hlt68774664"/>
      </w:tr>
      <w:bookmarkEnd w:id="327"/>
      <w:bookmarkEnd w:id="328"/>
      <w:bookmarkEnd w:id="330"/>
      <w:bookmarkEnd w:id="331"/>
      <w:bookmarkEnd w:id="332"/>
      <w:bookmarkEnd w:id="333"/>
      <w:bookmarkEnd w:id="334"/>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4"/>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4"/>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pgNumType w:fmt="decimal"/>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302"/>
      <w:bookmarkEnd w:id="303"/>
      <w:bookmarkEnd w:id="304"/>
      <w:bookmarkEnd w:id="305"/>
    </w:p>
    <w:p w14:paraId="63F60130">
      <w:pPr>
        <w:pStyle w:val="150"/>
        <w:keepNext/>
        <w:keepLines/>
        <w:snapToGrid w:val="0"/>
        <w:spacing w:line="400" w:lineRule="exact"/>
        <w:jc w:val="both"/>
        <w:rPr>
          <w:rFonts w:ascii="宋体" w:hAnsi="宋体" w:cs="宋体"/>
          <w:b/>
          <w:bCs/>
          <w:snapToGrid w:val="0"/>
          <w:color w:val="auto"/>
          <w:highlight w:val="none"/>
        </w:rPr>
      </w:pPr>
      <w:bookmarkStart w:id="335" w:name="_Toc13068"/>
      <w:bookmarkStart w:id="336" w:name="_Toc24916"/>
      <w:r>
        <w:rPr>
          <w:rFonts w:hint="eastAsia" w:ascii="宋体" w:hAnsi="宋体" w:cs="宋体"/>
          <w:b/>
          <w:bCs/>
          <w:snapToGrid w:val="0"/>
          <w:color w:val="auto"/>
          <w:highlight w:val="none"/>
        </w:rPr>
        <w:t>格式十一 总监理工程师简历表</w:t>
      </w:r>
      <w:bookmarkEnd w:id="335"/>
      <w:bookmarkEnd w:id="336"/>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5"/>
        <w:wordWrap w:val="0"/>
        <w:adjustRightInd w:val="0"/>
        <w:snapToGrid w:val="0"/>
        <w:spacing w:line="400" w:lineRule="exact"/>
        <w:jc w:val="right"/>
        <w:rPr>
          <w:rFonts w:hAnsi="宋体" w:cs="宋体"/>
          <w:snapToGrid w:val="0"/>
          <w:color w:val="auto"/>
          <w:kern w:val="0"/>
          <w:highlight w:val="none"/>
        </w:rPr>
      </w:pPr>
    </w:p>
    <w:p w14:paraId="5212B167">
      <w:pPr>
        <w:pStyle w:val="75"/>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5"/>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06</w:t>
      </w:r>
      <w:r>
        <w:rPr>
          <w:rFonts w:hint="eastAsia" w:ascii="宋体" w:hAnsi="宋体" w:eastAsia="宋体" w:cs="宋体"/>
          <w:caps w:val="0"/>
          <w:smallCaps w:val="0"/>
          <w:snapToGrid w:val="0"/>
          <w:color w:val="auto"/>
          <w:spacing w:val="0"/>
          <w:kern w:val="0"/>
          <w:sz w:val="21"/>
          <w:szCs w:val="28"/>
          <w:highlight w:val="none"/>
          <w:lang w:val="en-US" w:eastAsia="zh-CN"/>
        </w:rPr>
        <w:t>月）彩色扫描件。</w:t>
      </w:r>
    </w:p>
    <w:p w14:paraId="2DC2A311">
      <w:pPr>
        <w:pStyle w:val="10"/>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10"/>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37" w:name="_Toc19546"/>
      <w:r>
        <w:rPr>
          <w:rFonts w:hint="eastAsia" w:hAnsi="宋体" w:cs="宋体"/>
          <w:b/>
          <w:bCs/>
          <w:snapToGrid w:val="0"/>
          <w:color w:val="auto"/>
          <w:kern w:val="0"/>
          <w:szCs w:val="24"/>
          <w:highlight w:val="none"/>
        </w:rPr>
        <w:br w:type="page"/>
      </w:r>
    </w:p>
    <w:p w14:paraId="32B105E3">
      <w:pPr>
        <w:pStyle w:val="150"/>
        <w:keepNext/>
        <w:keepLines/>
        <w:snapToGrid w:val="0"/>
        <w:spacing w:line="400" w:lineRule="exact"/>
        <w:jc w:val="both"/>
        <w:rPr>
          <w:rFonts w:ascii="宋体" w:hAnsi="宋体" w:cs="宋体"/>
          <w:b/>
          <w:bCs/>
          <w:snapToGrid w:val="0"/>
          <w:color w:val="auto"/>
          <w:highlight w:val="none"/>
        </w:rPr>
      </w:pPr>
      <w:bookmarkStart w:id="338" w:name="_Toc21090"/>
      <w:r>
        <w:rPr>
          <w:rFonts w:hint="eastAsia" w:ascii="宋体" w:hAnsi="宋体" w:cs="宋体"/>
          <w:b/>
          <w:bCs/>
          <w:snapToGrid w:val="0"/>
          <w:color w:val="auto"/>
          <w:highlight w:val="none"/>
        </w:rPr>
        <w:t>格式十二 其他拟派人员简历表</w:t>
      </w:r>
      <w:bookmarkEnd w:id="337"/>
      <w:bookmarkEnd w:id="338"/>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5"/>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06</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highlight w:val="none"/>
        </w:rPr>
        <w:t>彩色扫描件。</w:t>
      </w:r>
    </w:p>
    <w:p w14:paraId="14218DA9">
      <w:pPr>
        <w:pStyle w:val="10"/>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39" w:name="_Toc593"/>
      <w:bookmarkStart w:id="340" w:name="_Toc25312"/>
    </w:p>
    <w:p w14:paraId="4F5701AB">
      <w:pPr>
        <w:rPr>
          <w:color w:val="auto"/>
          <w:highlight w:val="none"/>
        </w:rPr>
      </w:pPr>
    </w:p>
    <w:p w14:paraId="0B0CC3A8">
      <w:pPr>
        <w:rPr>
          <w:color w:val="auto"/>
          <w:highlight w:val="none"/>
        </w:rPr>
      </w:pPr>
    </w:p>
    <w:p w14:paraId="0887FC9D">
      <w:pPr>
        <w:rPr>
          <w:color w:val="auto"/>
          <w:highlight w:val="none"/>
        </w:rPr>
      </w:pPr>
    </w:p>
    <w:p w14:paraId="746FE86D">
      <w:pPr>
        <w:rPr>
          <w:color w:val="auto"/>
          <w:highlight w:val="none"/>
        </w:rPr>
      </w:pPr>
    </w:p>
    <w:p w14:paraId="4A3461BE">
      <w:pPr>
        <w:bidi w:val="0"/>
        <w:rPr>
          <w:color w:val="auto"/>
          <w:highlight w:val="none"/>
        </w:rPr>
      </w:pPr>
    </w:p>
    <w:p w14:paraId="20F0C669">
      <w:pPr>
        <w:pStyle w:val="4"/>
        <w:bidi w:val="0"/>
        <w:rPr>
          <w:rFonts w:hint="default"/>
          <w:b/>
          <w:bCs/>
          <w:color w:val="auto"/>
          <w:highlight w:val="none"/>
          <w:lang w:val="en-US" w:eastAsia="zh-CN"/>
        </w:rPr>
      </w:pPr>
      <w:bookmarkStart w:id="341" w:name="_Toc1230"/>
      <w:r>
        <w:rPr>
          <w:rFonts w:hint="eastAsia"/>
          <w:b/>
          <w:bCs/>
          <w:color w:val="auto"/>
          <w:highlight w:val="none"/>
          <w:lang w:val="en-US" w:eastAsia="zh-CN"/>
        </w:rPr>
        <w:t>格式十三 原件一览表</w:t>
      </w:r>
      <w:bookmarkEnd w:id="341"/>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bidi w:val="0"/>
        <w:rPr>
          <w:color w:val="auto"/>
          <w:highlight w:val="none"/>
        </w:rPr>
      </w:pPr>
    </w:p>
    <w:p w14:paraId="47E51DDB">
      <w:pPr>
        <w:pStyle w:val="16"/>
        <w:rPr>
          <w:color w:val="auto"/>
          <w:highlight w:val="none"/>
        </w:rPr>
      </w:pPr>
    </w:p>
    <w:bookmarkEnd w:id="339"/>
    <w:bookmarkEnd w:id="340"/>
    <w:p w14:paraId="6FEFA5B3">
      <w:pPr>
        <w:pStyle w:val="151"/>
        <w:keepNext/>
        <w:keepLines/>
        <w:snapToGrid w:val="0"/>
        <w:spacing w:line="400" w:lineRule="exact"/>
        <w:jc w:val="center"/>
        <w:rPr>
          <w:rFonts w:ascii="宋体" w:hAnsi="宋体" w:cs="宋体"/>
          <w:b/>
          <w:color w:val="auto"/>
          <w:kern w:val="44"/>
          <w:sz w:val="32"/>
          <w:szCs w:val="22"/>
        </w:rPr>
      </w:pPr>
      <w:bookmarkStart w:id="342" w:name="_Toc10354"/>
      <w:bookmarkStart w:id="343" w:name="_Toc3174"/>
      <w:bookmarkStart w:id="344" w:name="_Toc13722"/>
      <w:bookmarkStart w:id="345" w:name="_Toc137444778"/>
      <w:bookmarkStart w:id="346" w:name="_Toc133160683"/>
      <w:bookmarkStart w:id="347" w:name="_Toc142468134"/>
      <w:bookmarkStart w:id="348" w:name="_Toc132687128"/>
      <w:bookmarkStart w:id="349" w:name="_Toc133815902"/>
      <w:bookmarkStart w:id="350" w:name="_Toc78794873"/>
      <w:r>
        <w:rPr>
          <w:rFonts w:hint="eastAsia" w:ascii="宋体" w:hAnsi="宋体" w:cs="宋体"/>
          <w:b/>
          <w:color w:val="auto"/>
          <w:kern w:val="44"/>
          <w:sz w:val="32"/>
          <w:szCs w:val="22"/>
        </w:rPr>
        <w:t>第六章 建设工程监理合同</w:t>
      </w:r>
      <w:bookmarkEnd w:id="342"/>
      <w:bookmarkEnd w:id="343"/>
      <w:bookmarkEnd w:id="344"/>
      <w:bookmarkEnd w:id="345"/>
      <w:bookmarkEnd w:id="346"/>
      <w:bookmarkEnd w:id="347"/>
      <w:bookmarkEnd w:id="348"/>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49"/>
      <w:bookmarkEnd w:id="350"/>
      <w:r>
        <w:rPr>
          <w:rFonts w:hint="eastAsia" w:hAnsi="宋体" w:cs="宋体"/>
          <w:snapToGrid w:val="0"/>
          <w:color w:val="auto"/>
          <w:kern w:val="0"/>
        </w:rPr>
        <w:t>按照《建设工程监理合同（示范文本）》（GF—2012—0202）执行。</w:t>
      </w:r>
    </w:p>
    <w:p w14:paraId="6CF11764">
      <w:pPr>
        <w:pStyle w:val="10"/>
        <w:snapToGrid w:val="0"/>
        <w:spacing w:line="400" w:lineRule="exact"/>
        <w:rPr>
          <w:rFonts w:hAnsi="宋体" w:cs="宋体"/>
          <w:snapToGrid w:val="0"/>
          <w:color w:val="auto"/>
        </w:rPr>
      </w:pPr>
    </w:p>
    <w:p w14:paraId="15C44C0F">
      <w:pPr>
        <w:pStyle w:val="74"/>
        <w:widowControl w:val="0"/>
        <w:wordWrap w:val="0"/>
        <w:adjustRightInd w:val="0"/>
        <w:snapToGrid w:val="0"/>
        <w:spacing w:line="400" w:lineRule="exact"/>
        <w:ind w:firstLine="0"/>
        <w:rPr>
          <w:rFonts w:hAnsi="宋体" w:cs="宋体"/>
          <w:snapToGrid w:val="0"/>
          <w:color w:val="auto"/>
          <w:sz w:val="21"/>
        </w:rPr>
      </w:pPr>
    </w:p>
    <w:sectPr>
      <w:footerReference r:id="rId9"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11"/>
      <w:pBdr>
        <w:between w:val="none" w:color="auto" w:sz="0" w:space="0"/>
      </w:pBdr>
      <w:tabs>
        <w:tab w:val="left" w:pos="4803"/>
        <w:tab w:val="clear" w:pos="4153"/>
      </w:tabs>
      <w:rPr>
        <w:rFonts w:hint="eastAsia"/>
      </w:rPr>
    </w:pPr>
    <w:r>
      <w:rPr>
        <w:rFonts w:hint="eastAsia"/>
      </w:rPr>
      <w:tab/>
    </w:r>
  </w:p>
  <w:p w14:paraId="3881DEF1">
    <w:pPr>
      <w:pStyle w:val="111"/>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87F0">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EE09">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FFEE09">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382DD">
                          <w:pPr>
                            <w:pStyle w:val="20"/>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8382DD">
                    <w:pPr>
                      <w:pStyle w:val="20"/>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3D34">
    <w:pPr>
      <w:pStyle w:val="11"/>
      <w:spacing w:line="5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D7A8E"/>
    <w:multiLevelType w:val="singleLevel"/>
    <w:tmpl w:val="E0BD7A8E"/>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035935"/>
    <w:rsid w:val="03280EF8"/>
    <w:rsid w:val="032B3195"/>
    <w:rsid w:val="03353615"/>
    <w:rsid w:val="033E56F8"/>
    <w:rsid w:val="03606DA8"/>
    <w:rsid w:val="03826431"/>
    <w:rsid w:val="03AA0611"/>
    <w:rsid w:val="03AE02E8"/>
    <w:rsid w:val="03B83805"/>
    <w:rsid w:val="043F0724"/>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003F6"/>
    <w:rsid w:val="073C1416"/>
    <w:rsid w:val="07626CD1"/>
    <w:rsid w:val="076349FE"/>
    <w:rsid w:val="07F654CB"/>
    <w:rsid w:val="07F90245"/>
    <w:rsid w:val="08077FE9"/>
    <w:rsid w:val="08432B8E"/>
    <w:rsid w:val="085D1A1C"/>
    <w:rsid w:val="0872069D"/>
    <w:rsid w:val="08767FD2"/>
    <w:rsid w:val="087D7F38"/>
    <w:rsid w:val="08970A40"/>
    <w:rsid w:val="09702125"/>
    <w:rsid w:val="09AD2157"/>
    <w:rsid w:val="09B41737"/>
    <w:rsid w:val="09CA2D09"/>
    <w:rsid w:val="09E65669"/>
    <w:rsid w:val="09EA5159"/>
    <w:rsid w:val="09F5235C"/>
    <w:rsid w:val="0A0E69FD"/>
    <w:rsid w:val="0A3E54A5"/>
    <w:rsid w:val="0A570314"/>
    <w:rsid w:val="0A6523F4"/>
    <w:rsid w:val="0A685FB5"/>
    <w:rsid w:val="0A740EC6"/>
    <w:rsid w:val="0A9F6084"/>
    <w:rsid w:val="0B4006EB"/>
    <w:rsid w:val="0B914627"/>
    <w:rsid w:val="0B9B6EF0"/>
    <w:rsid w:val="0B9E10B5"/>
    <w:rsid w:val="0B9E1CB0"/>
    <w:rsid w:val="0BC35C62"/>
    <w:rsid w:val="0BC47C2C"/>
    <w:rsid w:val="0BF6217D"/>
    <w:rsid w:val="0C0D7AE6"/>
    <w:rsid w:val="0CA02447"/>
    <w:rsid w:val="0CA20070"/>
    <w:rsid w:val="0CAA75AD"/>
    <w:rsid w:val="0CC7733C"/>
    <w:rsid w:val="0CC80FED"/>
    <w:rsid w:val="0CD32A34"/>
    <w:rsid w:val="0CF12128"/>
    <w:rsid w:val="0D140105"/>
    <w:rsid w:val="0D364445"/>
    <w:rsid w:val="0D7E1192"/>
    <w:rsid w:val="0DB82B2F"/>
    <w:rsid w:val="0E0322E5"/>
    <w:rsid w:val="0E650489"/>
    <w:rsid w:val="0E8273DD"/>
    <w:rsid w:val="0E954BA0"/>
    <w:rsid w:val="0EAF2288"/>
    <w:rsid w:val="0EC544EB"/>
    <w:rsid w:val="0F177F3C"/>
    <w:rsid w:val="0F287BA3"/>
    <w:rsid w:val="0F3B1552"/>
    <w:rsid w:val="0F823F1F"/>
    <w:rsid w:val="0FA1224B"/>
    <w:rsid w:val="0FAB1B4B"/>
    <w:rsid w:val="0FC147F0"/>
    <w:rsid w:val="0FC83017"/>
    <w:rsid w:val="0FDE143F"/>
    <w:rsid w:val="0FED49BA"/>
    <w:rsid w:val="106F6EDC"/>
    <w:rsid w:val="10BB100E"/>
    <w:rsid w:val="10CF5BBB"/>
    <w:rsid w:val="10E072B6"/>
    <w:rsid w:val="10FB5335"/>
    <w:rsid w:val="10FD39C4"/>
    <w:rsid w:val="112D1D65"/>
    <w:rsid w:val="11303196"/>
    <w:rsid w:val="11360437"/>
    <w:rsid w:val="113B11BA"/>
    <w:rsid w:val="11515ABE"/>
    <w:rsid w:val="116021A5"/>
    <w:rsid w:val="11A42091"/>
    <w:rsid w:val="11AE4F46"/>
    <w:rsid w:val="11D67B34"/>
    <w:rsid w:val="11F70077"/>
    <w:rsid w:val="11FE6FE0"/>
    <w:rsid w:val="121459A3"/>
    <w:rsid w:val="121611D1"/>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B068C"/>
    <w:rsid w:val="13BE434A"/>
    <w:rsid w:val="13C925E9"/>
    <w:rsid w:val="13D87533"/>
    <w:rsid w:val="13E14828"/>
    <w:rsid w:val="13E2760C"/>
    <w:rsid w:val="13E55A7C"/>
    <w:rsid w:val="13ED238A"/>
    <w:rsid w:val="144D28BE"/>
    <w:rsid w:val="14A11363"/>
    <w:rsid w:val="14AD3C82"/>
    <w:rsid w:val="14AD638E"/>
    <w:rsid w:val="14D507B4"/>
    <w:rsid w:val="14E82BDD"/>
    <w:rsid w:val="150717C8"/>
    <w:rsid w:val="15133A63"/>
    <w:rsid w:val="1530421B"/>
    <w:rsid w:val="15335E3C"/>
    <w:rsid w:val="15585425"/>
    <w:rsid w:val="15632821"/>
    <w:rsid w:val="156E0438"/>
    <w:rsid w:val="159710CE"/>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621888"/>
    <w:rsid w:val="17A50E24"/>
    <w:rsid w:val="17DE305B"/>
    <w:rsid w:val="17EB6EF9"/>
    <w:rsid w:val="17EF123E"/>
    <w:rsid w:val="181E2472"/>
    <w:rsid w:val="186F67C2"/>
    <w:rsid w:val="187447AF"/>
    <w:rsid w:val="18AC5722"/>
    <w:rsid w:val="18BA750B"/>
    <w:rsid w:val="18C03544"/>
    <w:rsid w:val="18CB43A7"/>
    <w:rsid w:val="18D45DFC"/>
    <w:rsid w:val="18DD6311"/>
    <w:rsid w:val="19000928"/>
    <w:rsid w:val="192856B3"/>
    <w:rsid w:val="19506374"/>
    <w:rsid w:val="19AB63C4"/>
    <w:rsid w:val="1A0D6313"/>
    <w:rsid w:val="1A3810FE"/>
    <w:rsid w:val="1A3D0F0C"/>
    <w:rsid w:val="1A4A48FF"/>
    <w:rsid w:val="1A501F1B"/>
    <w:rsid w:val="1A7C0E8F"/>
    <w:rsid w:val="1A9A0468"/>
    <w:rsid w:val="1ABE60EB"/>
    <w:rsid w:val="1AC45552"/>
    <w:rsid w:val="1AC74F12"/>
    <w:rsid w:val="1AFB4481"/>
    <w:rsid w:val="1B106078"/>
    <w:rsid w:val="1B3626B5"/>
    <w:rsid w:val="1B544E28"/>
    <w:rsid w:val="1B5938A5"/>
    <w:rsid w:val="1B5D1E9E"/>
    <w:rsid w:val="1B6323E0"/>
    <w:rsid w:val="1B776451"/>
    <w:rsid w:val="1BAE4064"/>
    <w:rsid w:val="1BD16179"/>
    <w:rsid w:val="1BD712B5"/>
    <w:rsid w:val="1BDB2B53"/>
    <w:rsid w:val="1C0D795C"/>
    <w:rsid w:val="1C0F788B"/>
    <w:rsid w:val="1C141501"/>
    <w:rsid w:val="1C1C02A4"/>
    <w:rsid w:val="1C3D55BC"/>
    <w:rsid w:val="1C5E5533"/>
    <w:rsid w:val="1C7726C5"/>
    <w:rsid w:val="1C7F5BD5"/>
    <w:rsid w:val="1C814C75"/>
    <w:rsid w:val="1C8F2794"/>
    <w:rsid w:val="1CAE7812"/>
    <w:rsid w:val="1CB20AFB"/>
    <w:rsid w:val="1CB751D0"/>
    <w:rsid w:val="1CB919A4"/>
    <w:rsid w:val="1CD83537"/>
    <w:rsid w:val="1CEF0DA9"/>
    <w:rsid w:val="1CFC2D19"/>
    <w:rsid w:val="1D105D93"/>
    <w:rsid w:val="1D1E0445"/>
    <w:rsid w:val="1D270AE4"/>
    <w:rsid w:val="1D44283A"/>
    <w:rsid w:val="1D60342F"/>
    <w:rsid w:val="1D78009C"/>
    <w:rsid w:val="1D871C03"/>
    <w:rsid w:val="1D884CF0"/>
    <w:rsid w:val="1D8E0177"/>
    <w:rsid w:val="1DA3413D"/>
    <w:rsid w:val="1E095D84"/>
    <w:rsid w:val="1E545B64"/>
    <w:rsid w:val="1E6D05AB"/>
    <w:rsid w:val="1E7B6870"/>
    <w:rsid w:val="1EC73280"/>
    <w:rsid w:val="1EFF124F"/>
    <w:rsid w:val="1F114792"/>
    <w:rsid w:val="1F1E1F01"/>
    <w:rsid w:val="1F444EB4"/>
    <w:rsid w:val="1F503858"/>
    <w:rsid w:val="1F8E7284"/>
    <w:rsid w:val="1FB360E7"/>
    <w:rsid w:val="1FB873A4"/>
    <w:rsid w:val="1FF232DB"/>
    <w:rsid w:val="1FF45850"/>
    <w:rsid w:val="202D1235"/>
    <w:rsid w:val="203013AA"/>
    <w:rsid w:val="20327A15"/>
    <w:rsid w:val="206E565F"/>
    <w:rsid w:val="20D364EF"/>
    <w:rsid w:val="20E97676"/>
    <w:rsid w:val="21295B5E"/>
    <w:rsid w:val="212D27FA"/>
    <w:rsid w:val="219E373C"/>
    <w:rsid w:val="21A93CF7"/>
    <w:rsid w:val="21AF599B"/>
    <w:rsid w:val="21D0774F"/>
    <w:rsid w:val="21E00039"/>
    <w:rsid w:val="223713D9"/>
    <w:rsid w:val="227B2B13"/>
    <w:rsid w:val="22A461F0"/>
    <w:rsid w:val="22B12CDA"/>
    <w:rsid w:val="22C92E53"/>
    <w:rsid w:val="22FC4CE3"/>
    <w:rsid w:val="23187739"/>
    <w:rsid w:val="23291E8B"/>
    <w:rsid w:val="23437531"/>
    <w:rsid w:val="236457F5"/>
    <w:rsid w:val="236E081B"/>
    <w:rsid w:val="2387194A"/>
    <w:rsid w:val="238C2DA9"/>
    <w:rsid w:val="23E85901"/>
    <w:rsid w:val="241E63E6"/>
    <w:rsid w:val="24213A15"/>
    <w:rsid w:val="24372BE7"/>
    <w:rsid w:val="244C5BBF"/>
    <w:rsid w:val="245105A4"/>
    <w:rsid w:val="245A0AF2"/>
    <w:rsid w:val="245C2F8D"/>
    <w:rsid w:val="249066DD"/>
    <w:rsid w:val="24E707BB"/>
    <w:rsid w:val="251C369C"/>
    <w:rsid w:val="25536401"/>
    <w:rsid w:val="2566287E"/>
    <w:rsid w:val="25FD1164"/>
    <w:rsid w:val="2612287C"/>
    <w:rsid w:val="26196704"/>
    <w:rsid w:val="26217CFD"/>
    <w:rsid w:val="26440673"/>
    <w:rsid w:val="26623C6C"/>
    <w:rsid w:val="26C86BA7"/>
    <w:rsid w:val="26E06C71"/>
    <w:rsid w:val="26EA0CB5"/>
    <w:rsid w:val="26FD55DC"/>
    <w:rsid w:val="27017996"/>
    <w:rsid w:val="273C36E8"/>
    <w:rsid w:val="2744740D"/>
    <w:rsid w:val="274B251F"/>
    <w:rsid w:val="274B5F1C"/>
    <w:rsid w:val="274C5507"/>
    <w:rsid w:val="274E67F3"/>
    <w:rsid w:val="27725362"/>
    <w:rsid w:val="27C923FA"/>
    <w:rsid w:val="281250A7"/>
    <w:rsid w:val="28131DB1"/>
    <w:rsid w:val="28251659"/>
    <w:rsid w:val="283C7070"/>
    <w:rsid w:val="284618DF"/>
    <w:rsid w:val="286F2FA1"/>
    <w:rsid w:val="289531DE"/>
    <w:rsid w:val="28E47B36"/>
    <w:rsid w:val="291C1B2F"/>
    <w:rsid w:val="29234F87"/>
    <w:rsid w:val="29423A60"/>
    <w:rsid w:val="29554B1B"/>
    <w:rsid w:val="29671ECA"/>
    <w:rsid w:val="298A6B2C"/>
    <w:rsid w:val="29B66A0D"/>
    <w:rsid w:val="29F05B24"/>
    <w:rsid w:val="29F179E6"/>
    <w:rsid w:val="2A350D3C"/>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D0A4DD2"/>
    <w:rsid w:val="2D427EAD"/>
    <w:rsid w:val="2D9515C6"/>
    <w:rsid w:val="2DA17172"/>
    <w:rsid w:val="2DC826D3"/>
    <w:rsid w:val="2DEF1607"/>
    <w:rsid w:val="2DF27D49"/>
    <w:rsid w:val="2DF803FC"/>
    <w:rsid w:val="2E0C16EA"/>
    <w:rsid w:val="2E4F3581"/>
    <w:rsid w:val="2E857AA5"/>
    <w:rsid w:val="2E910CDC"/>
    <w:rsid w:val="2EBD1EFD"/>
    <w:rsid w:val="2EC715D4"/>
    <w:rsid w:val="2F0B092E"/>
    <w:rsid w:val="2F1D4D98"/>
    <w:rsid w:val="2F4E3303"/>
    <w:rsid w:val="2F625641"/>
    <w:rsid w:val="2FBF699C"/>
    <w:rsid w:val="301C3E1D"/>
    <w:rsid w:val="303C6E79"/>
    <w:rsid w:val="304479DC"/>
    <w:rsid w:val="306A1172"/>
    <w:rsid w:val="306B0278"/>
    <w:rsid w:val="308E63ED"/>
    <w:rsid w:val="30BF65F3"/>
    <w:rsid w:val="30C47C02"/>
    <w:rsid w:val="315F570D"/>
    <w:rsid w:val="31615422"/>
    <w:rsid w:val="3163741B"/>
    <w:rsid w:val="31E0281A"/>
    <w:rsid w:val="31FE12D4"/>
    <w:rsid w:val="32364B30"/>
    <w:rsid w:val="32B271D3"/>
    <w:rsid w:val="32BA0022"/>
    <w:rsid w:val="332643F5"/>
    <w:rsid w:val="33791178"/>
    <w:rsid w:val="33CB12A8"/>
    <w:rsid w:val="33D267D7"/>
    <w:rsid w:val="33D66E83"/>
    <w:rsid w:val="33E82ECD"/>
    <w:rsid w:val="33F7209D"/>
    <w:rsid w:val="34022441"/>
    <w:rsid w:val="340D366E"/>
    <w:rsid w:val="3428064F"/>
    <w:rsid w:val="3460329E"/>
    <w:rsid w:val="34675E29"/>
    <w:rsid w:val="34864348"/>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2F5B1E"/>
    <w:rsid w:val="36395EE4"/>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7ED7A3F"/>
    <w:rsid w:val="383A4B00"/>
    <w:rsid w:val="38A019C9"/>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006E0"/>
    <w:rsid w:val="3B43221E"/>
    <w:rsid w:val="3B732D74"/>
    <w:rsid w:val="3B8B7F8C"/>
    <w:rsid w:val="3B9A46DD"/>
    <w:rsid w:val="3BA174BE"/>
    <w:rsid w:val="3BA34FDA"/>
    <w:rsid w:val="3BBB7C7B"/>
    <w:rsid w:val="3BBD0245"/>
    <w:rsid w:val="3BC5576C"/>
    <w:rsid w:val="3BCC3E0F"/>
    <w:rsid w:val="3BF5322F"/>
    <w:rsid w:val="3C35213B"/>
    <w:rsid w:val="3C5067EE"/>
    <w:rsid w:val="3C581218"/>
    <w:rsid w:val="3CD218F9"/>
    <w:rsid w:val="3CD704BD"/>
    <w:rsid w:val="3CE75849"/>
    <w:rsid w:val="3D1A6A65"/>
    <w:rsid w:val="3D4B689C"/>
    <w:rsid w:val="3D8F7C9A"/>
    <w:rsid w:val="3E300685"/>
    <w:rsid w:val="3E4A665D"/>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5E34A3"/>
    <w:rsid w:val="40672358"/>
    <w:rsid w:val="407C7161"/>
    <w:rsid w:val="407D5E86"/>
    <w:rsid w:val="40807762"/>
    <w:rsid w:val="409A44DC"/>
    <w:rsid w:val="40A92971"/>
    <w:rsid w:val="40BC08F6"/>
    <w:rsid w:val="40BE0F76"/>
    <w:rsid w:val="40CB718C"/>
    <w:rsid w:val="40DD59C2"/>
    <w:rsid w:val="41610361"/>
    <w:rsid w:val="41A8307D"/>
    <w:rsid w:val="41C06995"/>
    <w:rsid w:val="41DB1250"/>
    <w:rsid w:val="41E2613A"/>
    <w:rsid w:val="41EB6E1E"/>
    <w:rsid w:val="421B6FDC"/>
    <w:rsid w:val="42595C18"/>
    <w:rsid w:val="429E14C7"/>
    <w:rsid w:val="429F2762"/>
    <w:rsid w:val="42AB17FE"/>
    <w:rsid w:val="42B11DCD"/>
    <w:rsid w:val="42E3216A"/>
    <w:rsid w:val="42FF5094"/>
    <w:rsid w:val="436C03B1"/>
    <w:rsid w:val="43C7528C"/>
    <w:rsid w:val="43CB220C"/>
    <w:rsid w:val="445415FA"/>
    <w:rsid w:val="445B3984"/>
    <w:rsid w:val="445B5455"/>
    <w:rsid w:val="44943A7F"/>
    <w:rsid w:val="44DF70BA"/>
    <w:rsid w:val="450F631C"/>
    <w:rsid w:val="453971E4"/>
    <w:rsid w:val="453C54BE"/>
    <w:rsid w:val="45476363"/>
    <w:rsid w:val="456D040C"/>
    <w:rsid w:val="458938E1"/>
    <w:rsid w:val="463F7FFF"/>
    <w:rsid w:val="46484BFF"/>
    <w:rsid w:val="46512233"/>
    <w:rsid w:val="46540D24"/>
    <w:rsid w:val="46A737E8"/>
    <w:rsid w:val="46C14018"/>
    <w:rsid w:val="46C73076"/>
    <w:rsid w:val="46D07EE5"/>
    <w:rsid w:val="46E465A3"/>
    <w:rsid w:val="46F806BD"/>
    <w:rsid w:val="47043CAB"/>
    <w:rsid w:val="472705CE"/>
    <w:rsid w:val="479A2C46"/>
    <w:rsid w:val="479C5136"/>
    <w:rsid w:val="47A264F9"/>
    <w:rsid w:val="47E06018"/>
    <w:rsid w:val="484D17C1"/>
    <w:rsid w:val="48653A64"/>
    <w:rsid w:val="48811B8A"/>
    <w:rsid w:val="48C40B78"/>
    <w:rsid w:val="48C43988"/>
    <w:rsid w:val="48E83E36"/>
    <w:rsid w:val="49345B93"/>
    <w:rsid w:val="494C4B08"/>
    <w:rsid w:val="49951EFC"/>
    <w:rsid w:val="499A26FB"/>
    <w:rsid w:val="49B026D9"/>
    <w:rsid w:val="49B722B7"/>
    <w:rsid w:val="49C15E4A"/>
    <w:rsid w:val="49D955C3"/>
    <w:rsid w:val="49ED65A4"/>
    <w:rsid w:val="49F10AB5"/>
    <w:rsid w:val="4A0319E0"/>
    <w:rsid w:val="4A307756"/>
    <w:rsid w:val="4A6D7DCA"/>
    <w:rsid w:val="4A9910AB"/>
    <w:rsid w:val="4A992597"/>
    <w:rsid w:val="4A9B332A"/>
    <w:rsid w:val="4AD625B4"/>
    <w:rsid w:val="4AFF509B"/>
    <w:rsid w:val="4B4014D1"/>
    <w:rsid w:val="4B5E2E2F"/>
    <w:rsid w:val="4B675E1C"/>
    <w:rsid w:val="4B954801"/>
    <w:rsid w:val="4B9F7C0E"/>
    <w:rsid w:val="4BA9128D"/>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DEB664D"/>
    <w:rsid w:val="4E49490E"/>
    <w:rsid w:val="4E551A8D"/>
    <w:rsid w:val="4EB250E6"/>
    <w:rsid w:val="4EE207BB"/>
    <w:rsid w:val="4EF75916"/>
    <w:rsid w:val="4F1720D5"/>
    <w:rsid w:val="4F1D51EC"/>
    <w:rsid w:val="4F1F0C9F"/>
    <w:rsid w:val="4F244C6A"/>
    <w:rsid w:val="4F2D0B1A"/>
    <w:rsid w:val="4F4026F2"/>
    <w:rsid w:val="4FB00148"/>
    <w:rsid w:val="4FD90EC4"/>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6A7F37"/>
    <w:rsid w:val="51916F53"/>
    <w:rsid w:val="51AA4C59"/>
    <w:rsid w:val="51CB4CC2"/>
    <w:rsid w:val="51D829D5"/>
    <w:rsid w:val="51ED0D38"/>
    <w:rsid w:val="51F31FFB"/>
    <w:rsid w:val="51FA103F"/>
    <w:rsid w:val="520170B1"/>
    <w:rsid w:val="521977DD"/>
    <w:rsid w:val="524428F4"/>
    <w:rsid w:val="5257047F"/>
    <w:rsid w:val="525B5D4E"/>
    <w:rsid w:val="526902F0"/>
    <w:rsid w:val="52693AF2"/>
    <w:rsid w:val="52765BD3"/>
    <w:rsid w:val="52851E0F"/>
    <w:rsid w:val="529B0943"/>
    <w:rsid w:val="52F44E38"/>
    <w:rsid w:val="52FE3AEF"/>
    <w:rsid w:val="53284056"/>
    <w:rsid w:val="536B2B1F"/>
    <w:rsid w:val="537038AC"/>
    <w:rsid w:val="537540CD"/>
    <w:rsid w:val="53911E0A"/>
    <w:rsid w:val="53E13EC3"/>
    <w:rsid w:val="53E415EA"/>
    <w:rsid w:val="54140409"/>
    <w:rsid w:val="546837CB"/>
    <w:rsid w:val="54723DA3"/>
    <w:rsid w:val="547A0454"/>
    <w:rsid w:val="548C2969"/>
    <w:rsid w:val="54934AA7"/>
    <w:rsid w:val="549624AE"/>
    <w:rsid w:val="54CF254E"/>
    <w:rsid w:val="550B7745"/>
    <w:rsid w:val="55194B5B"/>
    <w:rsid w:val="554A42CB"/>
    <w:rsid w:val="55607267"/>
    <w:rsid w:val="556421BF"/>
    <w:rsid w:val="55676BB4"/>
    <w:rsid w:val="55835251"/>
    <w:rsid w:val="55913CA7"/>
    <w:rsid w:val="55CC6A83"/>
    <w:rsid w:val="560E3249"/>
    <w:rsid w:val="56186177"/>
    <w:rsid w:val="561B7A15"/>
    <w:rsid w:val="56532D14"/>
    <w:rsid w:val="56643F7B"/>
    <w:rsid w:val="56821842"/>
    <w:rsid w:val="569F0646"/>
    <w:rsid w:val="56B45E9F"/>
    <w:rsid w:val="56D3302D"/>
    <w:rsid w:val="56D973CF"/>
    <w:rsid w:val="56FC63ED"/>
    <w:rsid w:val="57035F7F"/>
    <w:rsid w:val="570E4942"/>
    <w:rsid w:val="573222F5"/>
    <w:rsid w:val="5737262D"/>
    <w:rsid w:val="579A0B0F"/>
    <w:rsid w:val="57BA102C"/>
    <w:rsid w:val="57D61931"/>
    <w:rsid w:val="57DD6DD0"/>
    <w:rsid w:val="582A366D"/>
    <w:rsid w:val="585169D2"/>
    <w:rsid w:val="58861256"/>
    <w:rsid w:val="588E44CE"/>
    <w:rsid w:val="58906680"/>
    <w:rsid w:val="58D03F93"/>
    <w:rsid w:val="59016B9E"/>
    <w:rsid w:val="595963DC"/>
    <w:rsid w:val="595A456A"/>
    <w:rsid w:val="59607A95"/>
    <w:rsid w:val="59962910"/>
    <w:rsid w:val="59964FFE"/>
    <w:rsid w:val="599C74E8"/>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E73EC9"/>
    <w:rsid w:val="5BFB6474"/>
    <w:rsid w:val="5C0D7037"/>
    <w:rsid w:val="5C2A7DE1"/>
    <w:rsid w:val="5C2F5E74"/>
    <w:rsid w:val="5C323783"/>
    <w:rsid w:val="5C3D06E5"/>
    <w:rsid w:val="5C6829AF"/>
    <w:rsid w:val="5C6D1843"/>
    <w:rsid w:val="5C806B92"/>
    <w:rsid w:val="5C8F1D6F"/>
    <w:rsid w:val="5C9F5B4C"/>
    <w:rsid w:val="5CDC1F44"/>
    <w:rsid w:val="5CF26970"/>
    <w:rsid w:val="5D1860EA"/>
    <w:rsid w:val="5D352289"/>
    <w:rsid w:val="5D5B375C"/>
    <w:rsid w:val="5D5D1495"/>
    <w:rsid w:val="5D634689"/>
    <w:rsid w:val="5D6D26E9"/>
    <w:rsid w:val="5D703886"/>
    <w:rsid w:val="5D814602"/>
    <w:rsid w:val="5D9A4716"/>
    <w:rsid w:val="5E0733DA"/>
    <w:rsid w:val="5E1406C1"/>
    <w:rsid w:val="5E1A1D20"/>
    <w:rsid w:val="5E2759B8"/>
    <w:rsid w:val="5E2F7E48"/>
    <w:rsid w:val="5E602469"/>
    <w:rsid w:val="5E717821"/>
    <w:rsid w:val="5EAB5584"/>
    <w:rsid w:val="5EC52DEA"/>
    <w:rsid w:val="5ECB3D0A"/>
    <w:rsid w:val="5ED510A9"/>
    <w:rsid w:val="5EF263E7"/>
    <w:rsid w:val="5EF75F46"/>
    <w:rsid w:val="5F21609C"/>
    <w:rsid w:val="5F230BEF"/>
    <w:rsid w:val="5F622ECF"/>
    <w:rsid w:val="5FA665A1"/>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44156E"/>
    <w:rsid w:val="615D7134"/>
    <w:rsid w:val="6170205F"/>
    <w:rsid w:val="618F268C"/>
    <w:rsid w:val="61EA23B0"/>
    <w:rsid w:val="620A72BB"/>
    <w:rsid w:val="62287615"/>
    <w:rsid w:val="622F67B3"/>
    <w:rsid w:val="624520A2"/>
    <w:rsid w:val="627D4254"/>
    <w:rsid w:val="62897466"/>
    <w:rsid w:val="62AD3683"/>
    <w:rsid w:val="62AE66F6"/>
    <w:rsid w:val="62B261AF"/>
    <w:rsid w:val="62F57B08"/>
    <w:rsid w:val="6303429D"/>
    <w:rsid w:val="63205356"/>
    <w:rsid w:val="63424833"/>
    <w:rsid w:val="63464D73"/>
    <w:rsid w:val="635822A8"/>
    <w:rsid w:val="63583AEB"/>
    <w:rsid w:val="6373268F"/>
    <w:rsid w:val="63737FC7"/>
    <w:rsid w:val="63C656BB"/>
    <w:rsid w:val="63CE3380"/>
    <w:rsid w:val="63E36016"/>
    <w:rsid w:val="63F21DB5"/>
    <w:rsid w:val="63FF6480"/>
    <w:rsid w:val="640A1EA8"/>
    <w:rsid w:val="642900E6"/>
    <w:rsid w:val="64302590"/>
    <w:rsid w:val="6439089B"/>
    <w:rsid w:val="64495DD6"/>
    <w:rsid w:val="64623809"/>
    <w:rsid w:val="64746C6E"/>
    <w:rsid w:val="647C3D75"/>
    <w:rsid w:val="65080F89"/>
    <w:rsid w:val="651E4E2C"/>
    <w:rsid w:val="655A76A7"/>
    <w:rsid w:val="655C6589"/>
    <w:rsid w:val="66047425"/>
    <w:rsid w:val="661052EF"/>
    <w:rsid w:val="66207331"/>
    <w:rsid w:val="662830CF"/>
    <w:rsid w:val="66747DFB"/>
    <w:rsid w:val="66767F83"/>
    <w:rsid w:val="66D54C1C"/>
    <w:rsid w:val="66F41F1E"/>
    <w:rsid w:val="6701113C"/>
    <w:rsid w:val="671C40AC"/>
    <w:rsid w:val="672D4EE4"/>
    <w:rsid w:val="677658C0"/>
    <w:rsid w:val="6797113A"/>
    <w:rsid w:val="67AF1F51"/>
    <w:rsid w:val="67B01ED6"/>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B26B7"/>
    <w:rsid w:val="6A244C92"/>
    <w:rsid w:val="6A2809FC"/>
    <w:rsid w:val="6A883CBC"/>
    <w:rsid w:val="6A902328"/>
    <w:rsid w:val="6B19056F"/>
    <w:rsid w:val="6B340F05"/>
    <w:rsid w:val="6B345E30"/>
    <w:rsid w:val="6B3A216D"/>
    <w:rsid w:val="6B4A7E40"/>
    <w:rsid w:val="6B505357"/>
    <w:rsid w:val="6B874EAB"/>
    <w:rsid w:val="6B985938"/>
    <w:rsid w:val="6BFB3E5A"/>
    <w:rsid w:val="6BFD3458"/>
    <w:rsid w:val="6C423778"/>
    <w:rsid w:val="6CAF118B"/>
    <w:rsid w:val="6CBB7E1F"/>
    <w:rsid w:val="6CC01E51"/>
    <w:rsid w:val="6CF372CA"/>
    <w:rsid w:val="6D027F59"/>
    <w:rsid w:val="6D2D1C64"/>
    <w:rsid w:val="6D475F5F"/>
    <w:rsid w:val="6D5F78AD"/>
    <w:rsid w:val="6D600E21"/>
    <w:rsid w:val="6D68133A"/>
    <w:rsid w:val="6DA82289"/>
    <w:rsid w:val="6DC03AFE"/>
    <w:rsid w:val="6DE915B6"/>
    <w:rsid w:val="6E061A11"/>
    <w:rsid w:val="6E345B45"/>
    <w:rsid w:val="6E63668A"/>
    <w:rsid w:val="6E671CA5"/>
    <w:rsid w:val="6E741E30"/>
    <w:rsid w:val="6E7E1055"/>
    <w:rsid w:val="6E9A5352"/>
    <w:rsid w:val="6EA0733B"/>
    <w:rsid w:val="6EBB122E"/>
    <w:rsid w:val="6EBB2C83"/>
    <w:rsid w:val="6EC77A48"/>
    <w:rsid w:val="6EC77E06"/>
    <w:rsid w:val="6EC97030"/>
    <w:rsid w:val="6F135451"/>
    <w:rsid w:val="6F2B35AD"/>
    <w:rsid w:val="6F332F4A"/>
    <w:rsid w:val="6F3C2DD2"/>
    <w:rsid w:val="6F8063CA"/>
    <w:rsid w:val="6FB66044"/>
    <w:rsid w:val="6FE25DC9"/>
    <w:rsid w:val="6FE8588F"/>
    <w:rsid w:val="6FF0664D"/>
    <w:rsid w:val="700A492A"/>
    <w:rsid w:val="702529D1"/>
    <w:rsid w:val="703F6602"/>
    <w:rsid w:val="70F34F86"/>
    <w:rsid w:val="70F759D2"/>
    <w:rsid w:val="71211F2C"/>
    <w:rsid w:val="713E329A"/>
    <w:rsid w:val="7146159B"/>
    <w:rsid w:val="714D0321"/>
    <w:rsid w:val="715C7211"/>
    <w:rsid w:val="717E08B2"/>
    <w:rsid w:val="718D73C3"/>
    <w:rsid w:val="71900A0A"/>
    <w:rsid w:val="719A4E18"/>
    <w:rsid w:val="71BC787F"/>
    <w:rsid w:val="71BE3E19"/>
    <w:rsid w:val="72011EEA"/>
    <w:rsid w:val="720A0C12"/>
    <w:rsid w:val="727517BE"/>
    <w:rsid w:val="72BB53F2"/>
    <w:rsid w:val="72D442B8"/>
    <w:rsid w:val="73004C22"/>
    <w:rsid w:val="73011084"/>
    <w:rsid w:val="73555EBD"/>
    <w:rsid w:val="7386317F"/>
    <w:rsid w:val="7395781C"/>
    <w:rsid w:val="73A53748"/>
    <w:rsid w:val="73B01345"/>
    <w:rsid w:val="73F00452"/>
    <w:rsid w:val="73F97D41"/>
    <w:rsid w:val="74A353FC"/>
    <w:rsid w:val="74B55FCA"/>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897474"/>
    <w:rsid w:val="78A64B86"/>
    <w:rsid w:val="78BD078C"/>
    <w:rsid w:val="78DE3D6C"/>
    <w:rsid w:val="78E33867"/>
    <w:rsid w:val="78E52BDC"/>
    <w:rsid w:val="78F11367"/>
    <w:rsid w:val="78F93EFF"/>
    <w:rsid w:val="790776EC"/>
    <w:rsid w:val="798701EE"/>
    <w:rsid w:val="798720C7"/>
    <w:rsid w:val="798B75C8"/>
    <w:rsid w:val="798D230A"/>
    <w:rsid w:val="79A3081B"/>
    <w:rsid w:val="79A8143C"/>
    <w:rsid w:val="7A071D78"/>
    <w:rsid w:val="7A2D742D"/>
    <w:rsid w:val="7A5600FC"/>
    <w:rsid w:val="7A5C06AF"/>
    <w:rsid w:val="7A6447EC"/>
    <w:rsid w:val="7A6E489C"/>
    <w:rsid w:val="7A716D06"/>
    <w:rsid w:val="7AB14A59"/>
    <w:rsid w:val="7AC662B5"/>
    <w:rsid w:val="7B347D8A"/>
    <w:rsid w:val="7B8F4980"/>
    <w:rsid w:val="7B972CB9"/>
    <w:rsid w:val="7BA61501"/>
    <w:rsid w:val="7BAF14B0"/>
    <w:rsid w:val="7BD06448"/>
    <w:rsid w:val="7BE85AB6"/>
    <w:rsid w:val="7C14615E"/>
    <w:rsid w:val="7CA103C5"/>
    <w:rsid w:val="7CA420D7"/>
    <w:rsid w:val="7CC52305"/>
    <w:rsid w:val="7CE922B5"/>
    <w:rsid w:val="7CF0056D"/>
    <w:rsid w:val="7CFD4359"/>
    <w:rsid w:val="7D083FA0"/>
    <w:rsid w:val="7D196F8A"/>
    <w:rsid w:val="7D324E38"/>
    <w:rsid w:val="7D376D09"/>
    <w:rsid w:val="7D3A16E9"/>
    <w:rsid w:val="7D4A2A43"/>
    <w:rsid w:val="7D7B5294"/>
    <w:rsid w:val="7D9D74DD"/>
    <w:rsid w:val="7DA92784"/>
    <w:rsid w:val="7DB2187F"/>
    <w:rsid w:val="7DB37D69"/>
    <w:rsid w:val="7DCA019C"/>
    <w:rsid w:val="7DCA17AE"/>
    <w:rsid w:val="7DE55723"/>
    <w:rsid w:val="7DED451A"/>
    <w:rsid w:val="7E2214CE"/>
    <w:rsid w:val="7E2F24BC"/>
    <w:rsid w:val="7E564EE1"/>
    <w:rsid w:val="7E6D3957"/>
    <w:rsid w:val="7E6D67B0"/>
    <w:rsid w:val="7E8D7C7B"/>
    <w:rsid w:val="7EA83077"/>
    <w:rsid w:val="7ECD0B10"/>
    <w:rsid w:val="7ED53E1B"/>
    <w:rsid w:val="7F1D6A6D"/>
    <w:rsid w:val="7F2554A7"/>
    <w:rsid w:val="7F2A34D9"/>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link w:val="161"/>
    <w:autoRedefine/>
    <w:qFormat/>
    <w:uiPriority w:val="0"/>
    <w:pPr>
      <w:autoSpaceDE w:val="0"/>
      <w:autoSpaceDN w:val="0"/>
      <w:adjustRightInd w:val="0"/>
      <w:jc w:val="left"/>
      <w:outlineLvl w:val="1"/>
    </w:pPr>
    <w:rPr>
      <w:kern w:val="0"/>
    </w:rPr>
  </w:style>
  <w:style w:type="paragraph" w:styleId="5">
    <w:name w:val="heading 3"/>
    <w:basedOn w:val="6"/>
    <w:next w:val="6"/>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toc 7"/>
    <w:basedOn w:val="1"/>
    <w:next w:val="1"/>
    <w:autoRedefine/>
    <w:qFormat/>
    <w:uiPriority w:val="0"/>
    <w:pPr>
      <w:ind w:left="1680"/>
      <w:jc w:val="left"/>
    </w:pPr>
  </w:style>
  <w:style w:type="paragraph" w:styleId="8">
    <w:name w:val="table of authorities"/>
    <w:basedOn w:val="1"/>
    <w:next w:val="1"/>
    <w:autoRedefine/>
    <w:qFormat/>
    <w:uiPriority w:val="0"/>
    <w:pPr>
      <w:ind w:left="420" w:leftChars="200"/>
    </w:pPr>
  </w:style>
  <w:style w:type="paragraph" w:styleId="9">
    <w:name w:val="Document Map"/>
    <w:basedOn w:val="1"/>
    <w:autoRedefine/>
    <w:qFormat/>
    <w:uiPriority w:val="0"/>
    <w:pPr>
      <w:shd w:val="clear" w:color="auto" w:fill="000080"/>
    </w:pPr>
  </w:style>
  <w:style w:type="paragraph" w:styleId="10">
    <w:name w:val="annotation text"/>
    <w:basedOn w:val="1"/>
    <w:next w:val="1"/>
    <w:autoRedefine/>
    <w:qFormat/>
    <w:uiPriority w:val="0"/>
    <w:pPr>
      <w:adjustRightInd w:val="0"/>
      <w:spacing w:line="360" w:lineRule="atLeast"/>
      <w:jc w:val="left"/>
      <w:textAlignment w:val="baseline"/>
    </w:pPr>
    <w:rPr>
      <w:kern w:val="0"/>
    </w:rPr>
  </w:style>
  <w:style w:type="paragraph" w:styleId="11">
    <w:name w:val="Body Text"/>
    <w:basedOn w:val="1"/>
    <w:next w:val="12"/>
    <w:autoRedefine/>
    <w:qFormat/>
    <w:uiPriority w:val="0"/>
    <w:pPr>
      <w:spacing w:after="120"/>
    </w:pPr>
  </w:style>
  <w:style w:type="paragraph" w:styleId="12">
    <w:name w:val="Body Text 2"/>
    <w:basedOn w:val="1"/>
    <w:next w:val="11"/>
    <w:autoRedefine/>
    <w:qFormat/>
    <w:uiPriority w:val="0"/>
    <w:pPr>
      <w:spacing w:line="500" w:lineRule="exact"/>
    </w:pPr>
  </w:style>
  <w:style w:type="paragraph" w:styleId="13">
    <w:name w:val="Body Text Indent"/>
    <w:basedOn w:val="1"/>
    <w:link w:val="46"/>
    <w:autoRedefine/>
    <w:qFormat/>
    <w:uiPriority w:val="0"/>
    <w:pPr>
      <w:ind w:firstLine="560" w:firstLineChars="200"/>
    </w:pPr>
  </w:style>
  <w:style w:type="paragraph" w:styleId="14">
    <w:name w:val="toc 5"/>
    <w:basedOn w:val="1"/>
    <w:next w:val="1"/>
    <w:autoRedefine/>
    <w:qFormat/>
    <w:uiPriority w:val="0"/>
    <w:pPr>
      <w:ind w:left="1120"/>
      <w:jc w:val="left"/>
    </w:pPr>
  </w:style>
  <w:style w:type="paragraph" w:styleId="15">
    <w:name w:val="toc 3"/>
    <w:basedOn w:val="1"/>
    <w:next w:val="1"/>
    <w:autoRedefine/>
    <w:qFormat/>
    <w:uiPriority w:val="0"/>
    <w:pPr>
      <w:ind w:left="561"/>
      <w:jc w:val="left"/>
    </w:pPr>
  </w:style>
  <w:style w:type="paragraph" w:styleId="16">
    <w:name w:val="Plain Text"/>
    <w:basedOn w:val="1"/>
    <w:qFormat/>
    <w:uiPriority w:val="0"/>
    <w:rPr>
      <w:rFonts w:ascii="宋体" w:hAnsi="Courier New" w:eastAsia="宋体" w:cs="Courier New"/>
      <w:szCs w:val="21"/>
    </w:rPr>
  </w:style>
  <w:style w:type="paragraph" w:styleId="17">
    <w:name w:val="toc 8"/>
    <w:basedOn w:val="1"/>
    <w:next w:val="1"/>
    <w:autoRedefine/>
    <w:qFormat/>
    <w:uiPriority w:val="0"/>
    <w:pPr>
      <w:ind w:left="1960"/>
      <w:jc w:val="left"/>
    </w:pPr>
  </w:style>
  <w:style w:type="paragraph" w:styleId="18">
    <w:name w:val="Body Text Indent 2"/>
    <w:basedOn w:val="1"/>
    <w:autoRedefine/>
    <w:qFormat/>
    <w:uiPriority w:val="0"/>
    <w:pPr>
      <w:spacing w:line="480" w:lineRule="auto"/>
      <w:ind w:firstLine="561"/>
    </w:pPr>
  </w:style>
  <w:style w:type="paragraph" w:styleId="19">
    <w:name w:val="Balloon Text"/>
    <w:basedOn w:val="1"/>
    <w:autoRedefine/>
    <w:qFormat/>
    <w:uiPriority w:val="0"/>
    <w:rPr>
      <w:sz w:val="18"/>
      <w:szCs w:val="18"/>
    </w:rPr>
  </w:style>
  <w:style w:type="paragraph" w:styleId="20">
    <w:name w:val="footer"/>
    <w:basedOn w:val="1"/>
    <w:autoRedefine/>
    <w:qFormat/>
    <w:uiPriority w:val="0"/>
    <w:pPr>
      <w:widowControl/>
      <w:tabs>
        <w:tab w:val="center" w:pos="4153"/>
        <w:tab w:val="right" w:pos="8306"/>
      </w:tabs>
      <w:snapToGrid w:val="0"/>
      <w:jc w:val="left"/>
    </w:pPr>
    <w:rPr>
      <w:kern w:val="0"/>
      <w:sz w:val="18"/>
    </w:rPr>
  </w:style>
  <w:style w:type="paragraph" w:styleId="21">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2">
    <w:name w:val="toc 1"/>
    <w:basedOn w:val="1"/>
    <w:next w:val="1"/>
    <w:autoRedefine/>
    <w:qFormat/>
    <w:uiPriority w:val="0"/>
    <w:pPr>
      <w:spacing w:before="120" w:after="120"/>
      <w:jc w:val="left"/>
    </w:pPr>
    <w:rPr>
      <w:caps/>
    </w:rPr>
  </w:style>
  <w:style w:type="paragraph" w:styleId="23">
    <w:name w:val="toc 4"/>
    <w:basedOn w:val="1"/>
    <w:next w:val="1"/>
    <w:autoRedefine/>
    <w:qFormat/>
    <w:uiPriority w:val="0"/>
    <w:pPr>
      <w:ind w:left="840"/>
      <w:jc w:val="left"/>
    </w:pPr>
  </w:style>
  <w:style w:type="paragraph" w:styleId="24">
    <w:name w:val="toc 6"/>
    <w:basedOn w:val="1"/>
    <w:next w:val="1"/>
    <w:autoRedefine/>
    <w:qFormat/>
    <w:uiPriority w:val="0"/>
    <w:pPr>
      <w:ind w:left="1400"/>
      <w:jc w:val="left"/>
    </w:pPr>
  </w:style>
  <w:style w:type="paragraph" w:styleId="25">
    <w:name w:val="Body Text Indent 3"/>
    <w:basedOn w:val="1"/>
    <w:link w:val="47"/>
    <w:autoRedefine/>
    <w:qFormat/>
    <w:uiPriority w:val="0"/>
    <w:pPr>
      <w:ind w:firstLine="560"/>
    </w:pPr>
    <w:rPr>
      <w:color w:val="FF0000"/>
    </w:rPr>
  </w:style>
  <w:style w:type="paragraph" w:styleId="26">
    <w:name w:val="toc 2"/>
    <w:basedOn w:val="1"/>
    <w:next w:val="1"/>
    <w:autoRedefine/>
    <w:qFormat/>
    <w:uiPriority w:val="0"/>
    <w:pPr>
      <w:ind w:left="278"/>
      <w:jc w:val="left"/>
    </w:pPr>
    <w:rPr>
      <w:smallCaps/>
    </w:rPr>
  </w:style>
  <w:style w:type="paragraph" w:styleId="27">
    <w:name w:val="toc 9"/>
    <w:basedOn w:val="1"/>
    <w:next w:val="1"/>
    <w:autoRedefine/>
    <w:qFormat/>
    <w:uiPriority w:val="0"/>
    <w:pPr>
      <w:ind w:left="2240"/>
      <w:jc w:val="left"/>
    </w:pPr>
  </w:style>
  <w:style w:type="paragraph" w:styleId="28">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9">
    <w:name w:val="annotation subject"/>
    <w:basedOn w:val="10"/>
    <w:next w:val="10"/>
    <w:autoRedefine/>
    <w:qFormat/>
    <w:uiPriority w:val="0"/>
    <w:pPr>
      <w:adjustRightInd/>
      <w:spacing w:line="360" w:lineRule="auto"/>
      <w:textAlignment w:val="auto"/>
    </w:pPr>
    <w:rPr>
      <w:b/>
      <w:bCs/>
      <w:kern w:val="2"/>
    </w:rPr>
  </w:style>
  <w:style w:type="paragraph" w:styleId="30">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Emphasis"/>
    <w:basedOn w:val="33"/>
    <w:qFormat/>
    <w:uiPriority w:val="0"/>
    <w:rPr>
      <w:i/>
    </w:rPr>
  </w:style>
  <w:style w:type="character" w:styleId="38">
    <w:name w:val="Hyperlink"/>
    <w:autoRedefine/>
    <w:qFormat/>
    <w:uiPriority w:val="0"/>
    <w:rPr>
      <w:color w:val="0000FF"/>
      <w:u w:val="single"/>
    </w:rPr>
  </w:style>
  <w:style w:type="character" w:styleId="39">
    <w:name w:val="annotation reference"/>
    <w:autoRedefine/>
    <w:qFormat/>
    <w:uiPriority w:val="0"/>
    <w:rPr>
      <w:sz w:val="21"/>
    </w:rPr>
  </w:style>
  <w:style w:type="paragraph" w:customStyle="1" w:styleId="40">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41">
    <w:name w:val="Normal Indent1"/>
    <w:basedOn w:val="1"/>
    <w:autoRedefine/>
    <w:qFormat/>
    <w:uiPriority w:val="0"/>
    <w:pPr>
      <w:widowControl/>
      <w:ind w:firstLine="420"/>
      <w:jc w:val="left"/>
    </w:pPr>
    <w:rPr>
      <w:rFonts w:ascii="Times New Roman"/>
      <w:kern w:val="0"/>
    </w:rPr>
  </w:style>
  <w:style w:type="paragraph" w:customStyle="1" w:styleId="42">
    <w:name w:val="样式 宋体 行距: 1.5 倍行距"/>
    <w:basedOn w:val="43"/>
    <w:next w:val="1"/>
    <w:autoRedefine/>
    <w:qFormat/>
    <w:uiPriority w:val="0"/>
    <w:pPr>
      <w:jc w:val="center"/>
    </w:pPr>
    <w:rPr>
      <w:rFonts w:ascii="Times New Roman"/>
      <w:b/>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2"/>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5">
    <w:name w:val="Char Char2"/>
    <w:basedOn w:val="9"/>
    <w:autoRedefine/>
    <w:qFormat/>
    <w:uiPriority w:val="0"/>
    <w:pPr>
      <w:spacing w:line="240" w:lineRule="auto"/>
    </w:pPr>
  </w:style>
  <w:style w:type="character" w:customStyle="1" w:styleId="46">
    <w:name w:val="正文文本缩进 字符"/>
    <w:link w:val="13"/>
    <w:autoRedefine/>
    <w:qFormat/>
    <w:uiPriority w:val="0"/>
    <w:rPr>
      <w:rFonts w:ascii="宋体"/>
      <w:kern w:val="2"/>
      <w:sz w:val="24"/>
    </w:rPr>
  </w:style>
  <w:style w:type="character" w:customStyle="1" w:styleId="47">
    <w:name w:val="正文文本缩进 3 字符"/>
    <w:link w:val="25"/>
    <w:autoRedefine/>
    <w:qFormat/>
    <w:uiPriority w:val="0"/>
    <w:rPr>
      <w:rFonts w:ascii="宋体" w:eastAsia="宋体"/>
      <w:color w:val="FF0000"/>
      <w:kern w:val="2"/>
      <w:sz w:val="24"/>
      <w:lang w:val="en-US" w:eastAsia="zh-CN" w:bidi="ar-SA"/>
    </w:rPr>
  </w:style>
  <w:style w:type="character" w:customStyle="1" w:styleId="48">
    <w:name w:val="超链接 New New"/>
    <w:autoRedefine/>
    <w:qFormat/>
    <w:uiPriority w:val="0"/>
    <w:rPr>
      <w:color w:val="000000"/>
      <w:sz w:val="18"/>
      <w:szCs w:val="18"/>
      <w:u w:val="none"/>
    </w:rPr>
  </w:style>
  <w:style w:type="character" w:customStyle="1" w:styleId="49">
    <w:name w:val="超链接 New"/>
    <w:autoRedefine/>
    <w:qFormat/>
    <w:uiPriority w:val="0"/>
    <w:rPr>
      <w:color w:val="000000"/>
      <w:sz w:val="18"/>
      <w:szCs w:val="18"/>
      <w:u w:val="none"/>
    </w:rPr>
  </w:style>
  <w:style w:type="character" w:customStyle="1" w:styleId="50">
    <w:name w:val="默认段落字体1"/>
    <w:autoRedefine/>
    <w:qFormat/>
    <w:uiPriority w:val="0"/>
    <w:rPr>
      <w:rFonts w:hint="default"/>
    </w:rPr>
  </w:style>
  <w:style w:type="character" w:customStyle="1" w:styleId="51">
    <w:name w:val="默认段落字体 New New"/>
    <w:link w:val="52"/>
    <w:autoRedefine/>
    <w:qFormat/>
    <w:uiPriority w:val="0"/>
    <w:rPr>
      <w:rFonts w:ascii="Tahoma" w:hAnsi="Tahoma"/>
      <w:szCs w:val="24"/>
    </w:rPr>
  </w:style>
  <w:style w:type="paragraph" w:customStyle="1" w:styleId="52">
    <w:name w:val="Char New New"/>
    <w:basedOn w:val="1"/>
    <w:link w:val="51"/>
    <w:autoRedefine/>
    <w:qFormat/>
    <w:uiPriority w:val="0"/>
    <w:pPr>
      <w:spacing w:line="240" w:lineRule="auto"/>
    </w:pPr>
    <w:rPr>
      <w:rFonts w:ascii="Tahoma" w:hAnsi="Tahoma"/>
      <w:szCs w:val="24"/>
    </w:rPr>
  </w:style>
  <w:style w:type="character" w:customStyle="1" w:styleId="53">
    <w:name w:val="默认段落字体 New"/>
    <w:link w:val="54"/>
    <w:autoRedefine/>
    <w:qFormat/>
    <w:uiPriority w:val="0"/>
    <w:rPr>
      <w:rFonts w:ascii="Tahoma" w:hAnsi="Tahoma"/>
      <w:szCs w:val="24"/>
    </w:rPr>
  </w:style>
  <w:style w:type="paragraph" w:customStyle="1" w:styleId="54">
    <w:name w:val="Char New"/>
    <w:basedOn w:val="1"/>
    <w:link w:val="53"/>
    <w:autoRedefine/>
    <w:qFormat/>
    <w:uiPriority w:val="0"/>
    <w:pPr>
      <w:spacing w:line="240" w:lineRule="auto"/>
    </w:pPr>
    <w:rPr>
      <w:rFonts w:ascii="Tahoma" w:hAnsi="Tahoma"/>
      <w:szCs w:val="24"/>
    </w:rPr>
  </w:style>
  <w:style w:type="character" w:customStyle="1" w:styleId="55">
    <w:name w:val="页码 New New New"/>
    <w:autoRedefine/>
    <w:qFormat/>
    <w:uiPriority w:val="0"/>
    <w:rPr>
      <w:rFonts w:eastAsia="宋体"/>
      <w:kern w:val="2"/>
      <w:sz w:val="24"/>
      <w:szCs w:val="24"/>
      <w:lang w:val="en-US" w:eastAsia="zh-CN" w:bidi="ar-SA"/>
    </w:rPr>
  </w:style>
  <w:style w:type="character" w:customStyle="1" w:styleId="56">
    <w:name w:val="页码 New New"/>
    <w:autoRedefine/>
    <w:qFormat/>
    <w:uiPriority w:val="0"/>
    <w:rPr>
      <w:rFonts w:eastAsia="宋体"/>
      <w:kern w:val="2"/>
      <w:sz w:val="24"/>
      <w:szCs w:val="24"/>
      <w:lang w:val="en-US" w:eastAsia="zh-CN" w:bidi="ar-SA"/>
    </w:rPr>
  </w:style>
  <w:style w:type="character" w:customStyle="1" w:styleId="57">
    <w:name w:val="Char Char1"/>
    <w:autoRedefine/>
    <w:qFormat/>
    <w:uiPriority w:val="0"/>
    <w:rPr>
      <w:rFonts w:ascii="宋体" w:eastAsia="宋体"/>
      <w:color w:val="FF0000"/>
      <w:kern w:val="2"/>
      <w:sz w:val="24"/>
      <w:lang w:val="en-US" w:eastAsia="zh-CN" w:bidi="ar-SA"/>
    </w:rPr>
  </w:style>
  <w:style w:type="character" w:customStyle="1" w:styleId="58">
    <w:name w:val="页码 New"/>
    <w:autoRedefine/>
    <w:qFormat/>
    <w:uiPriority w:val="0"/>
    <w:rPr>
      <w:rFonts w:eastAsia="宋体"/>
      <w:kern w:val="2"/>
      <w:sz w:val="24"/>
      <w:szCs w:val="24"/>
      <w:lang w:val="en-US" w:eastAsia="zh-CN" w:bidi="ar-SA"/>
    </w:rPr>
  </w:style>
  <w:style w:type="paragraph" w:customStyle="1" w:styleId="59">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60">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1">
    <w:name w:val="页脚 New New New New New New New New New New New New New"/>
    <w:basedOn w:val="62"/>
    <w:autoRedefine/>
    <w:qFormat/>
    <w:uiPriority w:val="0"/>
    <w:pPr>
      <w:widowControl/>
      <w:tabs>
        <w:tab w:val="center" w:pos="4153"/>
        <w:tab w:val="right" w:pos="8306"/>
      </w:tabs>
      <w:snapToGrid w:val="0"/>
      <w:jc w:val="left"/>
    </w:pPr>
    <w:rPr>
      <w:sz w:val="18"/>
    </w:rPr>
  </w:style>
  <w:style w:type="paragraph" w:customStyle="1" w:styleId="62">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页脚 New New New New New"/>
    <w:basedOn w:val="67"/>
    <w:autoRedefine/>
    <w:qFormat/>
    <w:uiPriority w:val="0"/>
    <w:pPr>
      <w:tabs>
        <w:tab w:val="center" w:pos="4153"/>
        <w:tab w:val="right" w:pos="8306"/>
      </w:tabs>
      <w:snapToGrid w:val="0"/>
      <w:jc w:val="left"/>
    </w:pPr>
    <w:rPr>
      <w:sz w:val="18"/>
    </w:rPr>
  </w:style>
  <w:style w:type="paragraph" w:customStyle="1" w:styleId="67">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纯文本 New New"/>
    <w:basedOn w:val="69"/>
    <w:autoRedefine/>
    <w:qFormat/>
    <w:uiPriority w:val="0"/>
    <w:rPr>
      <w:rFonts w:ascii="宋体" w:hAnsi="Courier New"/>
      <w:szCs w:val="24"/>
    </w:rPr>
  </w:style>
  <w:style w:type="paragraph" w:customStyle="1" w:styleId="69">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0">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1">
    <w:name w:val="页脚1"/>
    <w:basedOn w:val="70"/>
    <w:autoRedefine/>
    <w:qFormat/>
    <w:uiPriority w:val="0"/>
    <w:pPr>
      <w:widowControl/>
      <w:tabs>
        <w:tab w:val="center" w:pos="4153"/>
        <w:tab w:val="right" w:pos="8306"/>
      </w:tabs>
      <w:snapToGrid w:val="0"/>
      <w:jc w:val="left"/>
    </w:pPr>
    <w:rPr>
      <w:kern w:val="0"/>
      <w:sz w:val="18"/>
    </w:rPr>
  </w:style>
  <w:style w:type="paragraph" w:customStyle="1" w:styleId="72">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3">
    <w:name w:val="标题 3 New New"/>
    <w:basedOn w:val="74"/>
    <w:next w:val="74"/>
    <w:autoRedefine/>
    <w:qFormat/>
    <w:uiPriority w:val="0"/>
    <w:pPr>
      <w:keepNext/>
      <w:keepLines/>
      <w:spacing w:before="120" w:after="120"/>
      <w:jc w:val="center"/>
      <w:outlineLvl w:val="2"/>
    </w:pPr>
    <w:rPr>
      <w:sz w:val="24"/>
    </w:rPr>
  </w:style>
  <w:style w:type="paragraph" w:customStyle="1" w:styleId="74">
    <w:name w:val="正文缩进 New"/>
    <w:basedOn w:val="75"/>
    <w:autoRedefine/>
    <w:qFormat/>
    <w:uiPriority w:val="0"/>
    <w:pPr>
      <w:widowControl/>
      <w:ind w:firstLine="420"/>
      <w:jc w:val="left"/>
    </w:pPr>
    <w:rPr>
      <w:kern w:val="0"/>
      <w:sz w:val="20"/>
    </w:rPr>
  </w:style>
  <w:style w:type="paragraph" w:customStyle="1" w:styleId="75">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6">
    <w:name w:val="普通(网站) New"/>
    <w:basedOn w:val="77"/>
    <w:autoRedefine/>
    <w:qFormat/>
    <w:uiPriority w:val="0"/>
    <w:rPr>
      <w:sz w:val="24"/>
    </w:rPr>
  </w:style>
  <w:style w:type="paragraph" w:customStyle="1" w:styleId="77">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正文文本缩进 New"/>
    <w:basedOn w:val="75"/>
    <w:autoRedefine/>
    <w:qFormat/>
    <w:uiPriority w:val="0"/>
    <w:pPr>
      <w:ind w:firstLine="560" w:firstLineChars="200"/>
    </w:pPr>
  </w:style>
  <w:style w:type="paragraph" w:customStyle="1" w:styleId="79">
    <w:name w:val="Char"/>
    <w:basedOn w:val="9"/>
    <w:autoRedefine/>
    <w:qFormat/>
    <w:uiPriority w:val="0"/>
    <w:pPr>
      <w:spacing w:line="240" w:lineRule="auto"/>
    </w:pPr>
  </w:style>
  <w:style w:type="paragraph" w:customStyle="1" w:styleId="80">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1">
    <w:name w:val="页脚 New New New New"/>
    <w:basedOn w:val="82"/>
    <w:autoRedefine/>
    <w:qFormat/>
    <w:uiPriority w:val="0"/>
    <w:pPr>
      <w:tabs>
        <w:tab w:val="center" w:pos="4153"/>
        <w:tab w:val="right" w:pos="8306"/>
      </w:tabs>
      <w:snapToGrid w:val="0"/>
      <w:jc w:val="left"/>
    </w:pPr>
    <w:rPr>
      <w:sz w:val="18"/>
      <w:szCs w:val="18"/>
    </w:rPr>
  </w:style>
  <w:style w:type="paragraph" w:customStyle="1" w:styleId="82">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5">
    <w:name w:val="页眉 New New New New New New New New New"/>
    <w:basedOn w:val="62"/>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页眉 New New New New New New New New"/>
    <w:basedOn w:val="88"/>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8">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9">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0">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2">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3">
    <w:name w:val="样式2"/>
    <w:basedOn w:val="22"/>
    <w:autoRedefine/>
    <w:qFormat/>
    <w:uiPriority w:val="0"/>
    <w:pPr>
      <w:tabs>
        <w:tab w:val="right" w:leader="dot" w:pos="9345"/>
      </w:tabs>
    </w:pPr>
    <w:rPr>
      <w:rFonts w:hAnsi="宋体"/>
      <w:b/>
      <w:color w:val="0000FF"/>
      <w:u w:val="single"/>
    </w:rPr>
  </w:style>
  <w:style w:type="paragraph" w:customStyle="1" w:styleId="94">
    <w:name w:val="页脚 New New New New New New New New"/>
    <w:basedOn w:val="95"/>
    <w:autoRedefine/>
    <w:qFormat/>
    <w:uiPriority w:val="0"/>
    <w:pPr>
      <w:tabs>
        <w:tab w:val="center" w:pos="4153"/>
        <w:tab w:val="right" w:pos="8306"/>
      </w:tabs>
      <w:snapToGrid w:val="0"/>
      <w:jc w:val="left"/>
    </w:pPr>
    <w:rPr>
      <w:sz w:val="18"/>
      <w:szCs w:val="18"/>
    </w:rPr>
  </w:style>
  <w:style w:type="paragraph" w:customStyle="1" w:styleId="95">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7">
    <w:name w:val="页脚 New New New New New New New New New New"/>
    <w:basedOn w:val="92"/>
    <w:autoRedefine/>
    <w:qFormat/>
    <w:uiPriority w:val="0"/>
    <w:pPr>
      <w:widowControl/>
      <w:tabs>
        <w:tab w:val="center" w:pos="4153"/>
        <w:tab w:val="right" w:pos="8306"/>
      </w:tabs>
      <w:snapToGrid w:val="0"/>
      <w:jc w:val="left"/>
    </w:pPr>
    <w:rPr>
      <w:sz w:val="18"/>
    </w:rPr>
  </w:style>
  <w:style w:type="paragraph" w:customStyle="1" w:styleId="98">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页脚 New New New New New New"/>
    <w:basedOn w:val="77"/>
    <w:autoRedefine/>
    <w:qFormat/>
    <w:uiPriority w:val="0"/>
    <w:pPr>
      <w:tabs>
        <w:tab w:val="center" w:pos="4153"/>
        <w:tab w:val="right" w:pos="8306"/>
      </w:tabs>
      <w:snapToGrid w:val="0"/>
      <w:jc w:val="left"/>
    </w:pPr>
    <w:rPr>
      <w:sz w:val="18"/>
    </w:rPr>
  </w:style>
  <w:style w:type="paragraph" w:customStyle="1" w:styleId="100">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3">
    <w:name w:val="页眉 New New New New New"/>
    <w:basedOn w:val="7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4">
    <w:name w:val="页脚 New New New New New New New New New New New"/>
    <w:basedOn w:val="88"/>
    <w:autoRedefine/>
    <w:qFormat/>
    <w:uiPriority w:val="0"/>
    <w:pPr>
      <w:widowControl/>
      <w:tabs>
        <w:tab w:val="center" w:pos="4153"/>
        <w:tab w:val="right" w:pos="8306"/>
      </w:tabs>
      <w:snapToGrid w:val="0"/>
      <w:jc w:val="left"/>
    </w:pPr>
    <w:rPr>
      <w:sz w:val="18"/>
    </w:rPr>
  </w:style>
  <w:style w:type="paragraph" w:customStyle="1" w:styleId="105">
    <w:name w:val="页眉 New New New New New New"/>
    <w:basedOn w:val="84"/>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6">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页眉 New New"/>
    <w:basedOn w:val="6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8">
    <w:name w:val="页眉 New"/>
    <w:basedOn w:val="10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9">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页脚 New"/>
    <w:basedOn w:val="109"/>
    <w:autoRedefine/>
    <w:qFormat/>
    <w:uiPriority w:val="0"/>
    <w:pPr>
      <w:tabs>
        <w:tab w:val="center" w:pos="4153"/>
        <w:tab w:val="right" w:pos="8306"/>
      </w:tabs>
      <w:snapToGrid w:val="0"/>
      <w:jc w:val="left"/>
    </w:pPr>
    <w:rPr>
      <w:sz w:val="18"/>
      <w:szCs w:val="18"/>
    </w:rPr>
  </w:style>
  <w:style w:type="paragraph" w:customStyle="1" w:styleId="112">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4">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5">
    <w:name w:val="页脚 New New New"/>
    <w:basedOn w:val="69"/>
    <w:autoRedefine/>
    <w:qFormat/>
    <w:uiPriority w:val="0"/>
    <w:pPr>
      <w:tabs>
        <w:tab w:val="center" w:pos="4153"/>
        <w:tab w:val="right" w:pos="8306"/>
      </w:tabs>
      <w:snapToGrid w:val="0"/>
      <w:jc w:val="left"/>
    </w:pPr>
    <w:rPr>
      <w:sz w:val="18"/>
      <w:szCs w:val="18"/>
    </w:rPr>
  </w:style>
  <w:style w:type="paragraph" w:customStyle="1" w:styleId="116">
    <w:name w:val="页眉 New New New New"/>
    <w:basedOn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7">
    <w:name w:val="纯文本 New"/>
    <w:basedOn w:val="64"/>
    <w:autoRedefine/>
    <w:qFormat/>
    <w:uiPriority w:val="0"/>
    <w:rPr>
      <w:rFonts w:ascii="宋体" w:hAnsi="Courier New"/>
      <w:szCs w:val="24"/>
    </w:rPr>
  </w:style>
  <w:style w:type="paragraph" w:customStyle="1" w:styleId="118">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页脚 New New New New New New New New New New New New"/>
    <w:basedOn w:val="124"/>
    <w:autoRedefine/>
    <w:qFormat/>
    <w:uiPriority w:val="0"/>
    <w:pPr>
      <w:tabs>
        <w:tab w:val="center" w:pos="4153"/>
        <w:tab w:val="right" w:pos="8306"/>
      </w:tabs>
      <w:snapToGrid w:val="0"/>
      <w:jc w:val="left"/>
    </w:pPr>
    <w:rPr>
      <w:sz w:val="18"/>
      <w:szCs w:val="18"/>
    </w:rPr>
  </w:style>
  <w:style w:type="paragraph" w:customStyle="1" w:styleId="124">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目录 31"/>
    <w:basedOn w:val="70"/>
    <w:next w:val="70"/>
    <w:autoRedefine/>
    <w:qFormat/>
    <w:uiPriority w:val="0"/>
    <w:pPr>
      <w:ind w:left="561"/>
      <w:jc w:val="left"/>
    </w:pPr>
  </w:style>
  <w:style w:type="paragraph" w:customStyle="1" w:styleId="126">
    <w:name w:val="p0"/>
    <w:basedOn w:val="63"/>
    <w:autoRedefine/>
    <w:qFormat/>
    <w:uiPriority w:val="0"/>
    <w:pPr>
      <w:widowControl/>
      <w:spacing w:line="360" w:lineRule="auto"/>
    </w:pPr>
    <w:rPr>
      <w:rFonts w:ascii="宋体" w:hAnsi="宋体" w:cs="宋体"/>
      <w:kern w:val="0"/>
      <w:sz w:val="24"/>
      <w:szCs w:val="24"/>
    </w:rPr>
  </w:style>
  <w:style w:type="paragraph" w:customStyle="1" w:styleId="127">
    <w:name w:val="页眉 New New New New New New New"/>
    <w:basedOn w:val="92"/>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0">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1">
    <w:name w:val="标题 2 New"/>
    <w:basedOn w:val="90"/>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2">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3">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4">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6">
    <w:name w:val="正文文本缩进 New New New New"/>
    <w:basedOn w:val="129"/>
    <w:autoRedefine/>
    <w:qFormat/>
    <w:uiPriority w:val="0"/>
    <w:pPr>
      <w:ind w:firstLine="560" w:firstLineChars="200"/>
    </w:pPr>
    <w:rPr>
      <w:szCs w:val="28"/>
    </w:rPr>
  </w:style>
  <w:style w:type="paragraph" w:customStyle="1" w:styleId="137">
    <w:name w:val="页脚 New New New New New New New"/>
    <w:basedOn w:val="84"/>
    <w:autoRedefine/>
    <w:qFormat/>
    <w:uiPriority w:val="0"/>
    <w:pPr>
      <w:widowControl/>
      <w:tabs>
        <w:tab w:val="center" w:pos="4153"/>
        <w:tab w:val="right" w:pos="8306"/>
      </w:tabs>
      <w:snapToGrid w:val="0"/>
      <w:jc w:val="left"/>
    </w:pPr>
    <w:rPr>
      <w:kern w:val="0"/>
      <w:sz w:val="18"/>
      <w:szCs w:val="20"/>
    </w:rPr>
  </w:style>
  <w:style w:type="paragraph" w:customStyle="1" w:styleId="138">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页脚 New New New New New New New New New"/>
    <w:basedOn w:val="83"/>
    <w:autoRedefine/>
    <w:qFormat/>
    <w:uiPriority w:val="0"/>
    <w:pPr>
      <w:tabs>
        <w:tab w:val="center" w:pos="4153"/>
        <w:tab w:val="right" w:pos="8306"/>
      </w:tabs>
      <w:snapToGrid w:val="0"/>
      <w:jc w:val="left"/>
    </w:pPr>
    <w:rPr>
      <w:sz w:val="18"/>
      <w:szCs w:val="18"/>
    </w:rPr>
  </w:style>
  <w:style w:type="paragraph" w:customStyle="1" w:styleId="140">
    <w:name w:val="页脚 New New"/>
    <w:basedOn w:val="64"/>
    <w:autoRedefine/>
    <w:qFormat/>
    <w:uiPriority w:val="0"/>
    <w:pPr>
      <w:tabs>
        <w:tab w:val="center" w:pos="4153"/>
        <w:tab w:val="right" w:pos="8306"/>
      </w:tabs>
      <w:snapToGrid w:val="0"/>
      <w:jc w:val="left"/>
    </w:pPr>
    <w:rPr>
      <w:sz w:val="18"/>
      <w:szCs w:val="18"/>
    </w:rPr>
  </w:style>
  <w:style w:type="paragraph" w:customStyle="1" w:styleId="141">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4">
    <w:name w:val="样式1"/>
    <w:basedOn w:val="2"/>
    <w:autoRedefine/>
    <w:qFormat/>
    <w:uiPriority w:val="0"/>
    <w:pPr>
      <w:tabs>
        <w:tab w:val="right" w:leader="dot" w:pos="9345"/>
      </w:tabs>
    </w:pPr>
    <w:rPr>
      <w:rFonts w:ascii="宋体" w:hAnsi="宋体"/>
      <w:b/>
      <w:caps/>
      <w:u w:val="single"/>
    </w:rPr>
  </w:style>
  <w:style w:type="paragraph" w:customStyle="1" w:styleId="145">
    <w:name w:val="页眉 New New New"/>
    <w:basedOn w:val="6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6">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8">
    <w:name w:val="正文正"/>
    <w:basedOn w:val="1"/>
    <w:autoRedefine/>
    <w:qFormat/>
    <w:uiPriority w:val="0"/>
    <w:pPr>
      <w:spacing w:line="560" w:lineRule="exact"/>
      <w:ind w:firstLine="561"/>
    </w:pPr>
    <w:rPr>
      <w:rFonts w:ascii="Calibri" w:hAnsi="Calibri"/>
      <w:sz w:val="28"/>
      <w:szCs w:val="28"/>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50">
    <w:name w:val="标题 2 New New"/>
    <w:basedOn w:val="119"/>
    <w:next w:val="119"/>
    <w:autoRedefine/>
    <w:qFormat/>
    <w:uiPriority w:val="0"/>
    <w:pPr>
      <w:autoSpaceDE w:val="0"/>
      <w:autoSpaceDN w:val="0"/>
      <w:adjustRightInd w:val="0"/>
      <w:jc w:val="left"/>
      <w:outlineLvl w:val="1"/>
    </w:pPr>
    <w:rPr>
      <w:kern w:val="0"/>
      <w:sz w:val="24"/>
    </w:rPr>
  </w:style>
  <w:style w:type="paragraph" w:customStyle="1" w:styleId="151">
    <w:name w:val="标题 1 New"/>
    <w:basedOn w:val="119"/>
    <w:next w:val="119"/>
    <w:autoRedefine/>
    <w:qFormat/>
    <w:uiPriority w:val="0"/>
    <w:pPr>
      <w:autoSpaceDE w:val="0"/>
      <w:autoSpaceDN w:val="0"/>
      <w:adjustRightInd w:val="0"/>
      <w:jc w:val="left"/>
      <w:outlineLvl w:val="0"/>
    </w:pPr>
    <w:rPr>
      <w:kern w:val="0"/>
      <w:sz w:val="30"/>
    </w:rPr>
  </w:style>
  <w:style w:type="paragraph" w:customStyle="1" w:styleId="152">
    <w:name w:val="WPSOffice手动目录 1"/>
    <w:autoRedefine/>
    <w:qFormat/>
    <w:uiPriority w:val="0"/>
    <w:rPr>
      <w:rFonts w:ascii="Times New Roman" w:hAnsi="Times New Roman" w:eastAsia="宋体" w:cs="Times New Roman"/>
      <w:lang w:val="en-US" w:eastAsia="zh-CN" w:bidi="ar-SA"/>
    </w:rPr>
  </w:style>
  <w:style w:type="paragraph" w:customStyle="1" w:styleId="15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5">
    <w:name w:val="正文缩进1"/>
    <w:basedOn w:val="1"/>
    <w:autoRedefine/>
    <w:qFormat/>
    <w:uiPriority w:val="0"/>
    <w:pPr>
      <w:widowControl/>
      <w:ind w:firstLine="420"/>
      <w:jc w:val="left"/>
    </w:pPr>
    <w:rPr>
      <w:kern w:val="0"/>
    </w:rPr>
  </w:style>
  <w:style w:type="character" w:styleId="156">
    <w:name w:val="Placeholder Text"/>
    <w:basedOn w:val="33"/>
    <w:semiHidden/>
    <w:qFormat/>
    <w:uiPriority w:val="99"/>
    <w:rPr>
      <w:color w:val="808080"/>
    </w:rPr>
  </w:style>
  <w:style w:type="paragraph" w:customStyle="1" w:styleId="157">
    <w:name w:val="正文文本1"/>
    <w:basedOn w:val="1"/>
    <w:qFormat/>
    <w:uiPriority w:val="0"/>
    <w:pPr>
      <w:spacing w:after="120"/>
    </w:pPr>
  </w:style>
  <w:style w:type="character" w:customStyle="1" w:styleId="158">
    <w:name w:val="NormalCharacter"/>
    <w:qFormat/>
    <w:uiPriority w:val="99"/>
  </w:style>
  <w:style w:type="paragraph" w:customStyle="1" w:styleId="159">
    <w:name w:val="UserStyle_76"/>
    <w:basedOn w:val="160"/>
    <w:qFormat/>
    <w:uiPriority w:val="99"/>
    <w:pPr>
      <w:ind w:firstLine="420"/>
      <w:jc w:val="left"/>
    </w:pPr>
    <w:rPr>
      <w:kern w:val="0"/>
      <w:sz w:val="20"/>
      <w:szCs w:val="20"/>
    </w:rPr>
  </w:style>
  <w:style w:type="paragraph" w:customStyle="1" w:styleId="160">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61">
    <w:name w:val="标题 2 字符"/>
    <w:link w:val="4"/>
    <w:qFormat/>
    <w:uiPriority w:val="0"/>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74</Pages>
  <Words>9055</Words>
  <Characters>10154</Characters>
  <Lines>1</Lines>
  <Paragraphs>1</Paragraphs>
  <TotalTime>45</TotalTime>
  <ScaleCrop>false</ScaleCrop>
  <LinksUpToDate>false</LinksUpToDate>
  <CharactersWithSpaces>10391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（翁源）汇龙工程咨询13380720065</cp:lastModifiedBy>
  <cp:lastPrinted>2026-03-26T06:20:00Z</cp:lastPrinted>
  <dcterms:modified xsi:type="dcterms:W3CDTF">2026-07-24T01:47:11Z</dcterms:modified>
  <dc:title>广东省韶关学院第三期学生公寓第一、二组团工程施工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ribbonExt">
    <vt:lpwstr>{"WPSExtOfficeTab":{"OnGetEnabled":false,"OnGetVisible":false}}</vt:lpwstr>
  </property>
  <property fmtid="{D5CDD505-2E9C-101B-9397-08002B2CF9AE}" pid="4" name="ICV">
    <vt:lpwstr>A3E6912C2F7E4939B1D347CE391FBF01_13</vt:lpwstr>
  </property>
  <property fmtid="{D5CDD505-2E9C-101B-9397-08002B2CF9AE}" pid="5" name="KSOTemplateDocerSaveRecord">
    <vt:lpwstr>eyJoZGlkIjoiNTNhYTZkNmVjNGViN2E2OTdmNjI2MWYwZTU2MThkNTgiLCJ1c2VySWQiOiIxNzc3NTIyMTE5In0=</vt:lpwstr>
  </property>
</Properties>
</file>