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8B883E8">
      <w:pPr>
        <w:pStyle w:val="141"/>
        <w:wordWrap w:val="0"/>
        <w:adjustRightInd w:val="0"/>
        <w:snapToGrid w:val="0"/>
        <w:spacing w:line="360" w:lineRule="auto"/>
        <w:jc w:val="center"/>
        <w:outlineLvl w:val="9"/>
        <w:rPr>
          <w:rFonts w:hint="eastAsia" w:ascii="宋体" w:hAnsi="宋体" w:eastAsia="宋体" w:cs="宋体"/>
          <w:b/>
          <w:bCs/>
          <w:strike w:val="0"/>
          <w:dstrike w:val="0"/>
          <w:snapToGrid w:val="0"/>
          <w:color w:val="auto"/>
          <w:kern w:val="0"/>
          <w:sz w:val="52"/>
          <w:szCs w:val="52"/>
          <w:highlight w:val="none"/>
        </w:rPr>
      </w:pPr>
      <w:r>
        <w:rPr>
          <w:rFonts w:hint="eastAsia" w:ascii="宋体" w:hAnsi="宋体" w:eastAsia="宋体" w:cs="宋体"/>
          <w:bCs/>
          <w:strike w:val="0"/>
          <w:dstrike w:val="0"/>
          <w:snapToGrid w:val="0"/>
          <w:color w:val="auto"/>
          <w:kern w:val="0"/>
          <w:sz w:val="48"/>
          <w:szCs w:val="24"/>
          <w:highlight w:val="none"/>
          <w:u w:val="single"/>
          <w:lang w:val="en-US" w:eastAsia="zh-CN"/>
        </w:rPr>
        <w:t>翁源县“百千万工程”之全域推进农村人居环境整治建设项目-周陂镇农村生活污水治理建设项目施工监理</w:t>
      </w:r>
    </w:p>
    <w:p w14:paraId="16EE0FA2">
      <w:pPr>
        <w:pStyle w:val="141"/>
        <w:wordWrap w:val="0"/>
        <w:adjustRightInd w:val="0"/>
        <w:snapToGrid w:val="0"/>
        <w:spacing w:line="360" w:lineRule="auto"/>
        <w:jc w:val="both"/>
        <w:outlineLvl w:val="9"/>
        <w:rPr>
          <w:rFonts w:hint="eastAsia" w:ascii="宋体" w:hAnsi="宋体" w:eastAsia="宋体" w:cs="宋体"/>
          <w:b/>
          <w:bCs/>
          <w:strike w:val="0"/>
          <w:dstrike w:val="0"/>
          <w:snapToGrid w:val="0"/>
          <w:color w:val="auto"/>
          <w:kern w:val="0"/>
          <w:sz w:val="72"/>
          <w:szCs w:val="72"/>
          <w:highlight w:val="none"/>
        </w:rPr>
      </w:pPr>
    </w:p>
    <w:p w14:paraId="2EB4FAAA">
      <w:pPr>
        <w:pStyle w:val="141"/>
        <w:wordWrap w:val="0"/>
        <w:adjustRightInd w:val="0"/>
        <w:snapToGrid w:val="0"/>
        <w:spacing w:line="360" w:lineRule="auto"/>
        <w:jc w:val="center"/>
        <w:outlineLvl w:val="9"/>
        <w:rPr>
          <w:rFonts w:hint="eastAsia" w:ascii="宋体" w:hAnsi="宋体" w:eastAsia="宋体" w:cs="宋体"/>
          <w:b/>
          <w:bCs/>
          <w:strike w:val="0"/>
          <w:dstrike w:val="0"/>
          <w:snapToGrid w:val="0"/>
          <w:color w:val="auto"/>
          <w:kern w:val="0"/>
          <w:sz w:val="48"/>
          <w:szCs w:val="48"/>
          <w:highlight w:val="none"/>
        </w:rPr>
      </w:pPr>
      <w:r>
        <w:rPr>
          <w:rFonts w:hint="eastAsia" w:ascii="宋体" w:hAnsi="宋体" w:eastAsia="宋体" w:cs="宋体"/>
          <w:b/>
          <w:bCs/>
          <w:strike w:val="0"/>
          <w:dstrike w:val="0"/>
          <w:snapToGrid w:val="0"/>
          <w:color w:val="auto"/>
          <w:kern w:val="0"/>
          <w:sz w:val="72"/>
          <w:szCs w:val="72"/>
          <w:highlight w:val="none"/>
        </w:rPr>
        <w:t>招标文件</w:t>
      </w:r>
    </w:p>
    <w:p w14:paraId="7D8EA86C">
      <w:pPr>
        <w:pStyle w:val="2"/>
        <w:rPr>
          <w:rFonts w:hint="eastAsia"/>
          <w:color w:val="auto"/>
          <w:highlight w:val="none"/>
        </w:rPr>
      </w:pPr>
    </w:p>
    <w:p w14:paraId="7F51B5BC">
      <w:pPr>
        <w:wordWrap w:val="0"/>
        <w:adjustRightInd w:val="0"/>
        <w:snapToGrid w:val="0"/>
        <w:jc w:val="center"/>
        <w:rPr>
          <w:rFonts w:hint="eastAsia" w:ascii="宋体" w:hAnsi="宋体" w:eastAsia="宋体" w:cs="宋体"/>
          <w:b/>
          <w:bCs/>
          <w:strike w:val="0"/>
          <w:dstrike w:val="0"/>
          <w:snapToGrid w:val="0"/>
          <w:color w:val="auto"/>
          <w:kern w:val="0"/>
          <w:sz w:val="48"/>
          <w:szCs w:val="48"/>
          <w:highlight w:val="none"/>
        </w:rPr>
      </w:pPr>
    </w:p>
    <w:tbl>
      <w:tblPr>
        <w:tblStyle w:val="31"/>
        <w:tblW w:w="9728" w:type="dxa"/>
        <w:tblInd w:w="-100" w:type="dxa"/>
        <w:tblLayout w:type="fixed"/>
        <w:tblCellMar>
          <w:top w:w="0" w:type="dxa"/>
          <w:left w:w="0" w:type="dxa"/>
          <w:bottom w:w="0" w:type="dxa"/>
          <w:right w:w="0" w:type="dxa"/>
        </w:tblCellMar>
      </w:tblPr>
      <w:tblGrid>
        <w:gridCol w:w="4708"/>
        <w:gridCol w:w="5020"/>
      </w:tblGrid>
      <w:tr w14:paraId="5E683703">
        <w:tblPrEx>
          <w:tblCellMar>
            <w:top w:w="0" w:type="dxa"/>
            <w:left w:w="0" w:type="dxa"/>
            <w:bottom w:w="0" w:type="dxa"/>
            <w:right w:w="0" w:type="dxa"/>
          </w:tblCellMar>
        </w:tblPrEx>
        <w:trPr>
          <w:trHeight w:val="1070" w:hRule="atLeast"/>
        </w:trPr>
        <w:tc>
          <w:tcPr>
            <w:tcW w:w="4708" w:type="dxa"/>
            <w:noWrap w:val="0"/>
            <w:vAlign w:val="center"/>
          </w:tcPr>
          <w:p w14:paraId="6CF9629B">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     标     人（盖单位章）：</w:t>
            </w:r>
          </w:p>
        </w:tc>
        <w:tc>
          <w:tcPr>
            <w:tcW w:w="5020" w:type="dxa"/>
            <w:noWrap w:val="0"/>
            <w:vAlign w:val="center"/>
          </w:tcPr>
          <w:p w14:paraId="0063EE7E">
            <w:pPr>
              <w:pStyle w:val="60"/>
              <w:wordWrap w:val="0"/>
              <w:adjustRightInd w:val="0"/>
              <w:snapToGrid w:val="0"/>
              <w:spacing w:line="240" w:lineRule="auto"/>
              <w:rPr>
                <w:rFonts w:hint="default" w:ascii="宋体" w:hAnsi="宋体" w:eastAsia="宋体" w:cs="宋体"/>
                <w:strike w:val="0"/>
                <w:dstrike w:val="0"/>
                <w:snapToGrid w:val="0"/>
                <w:color w:val="auto"/>
                <w:kern w:val="0"/>
                <w:sz w:val="28"/>
                <w:szCs w:val="28"/>
                <w:highlight w:val="none"/>
                <w:lang w:val="en-US" w:eastAsia="zh-CN"/>
              </w:rPr>
            </w:pPr>
            <w:r>
              <w:rPr>
                <w:rFonts w:hint="eastAsia" w:hAnsi="宋体" w:cs="宋体"/>
                <w:strike w:val="0"/>
                <w:dstrike w:val="0"/>
                <w:snapToGrid w:val="0"/>
                <w:color w:val="auto"/>
                <w:kern w:val="0"/>
                <w:sz w:val="28"/>
                <w:szCs w:val="28"/>
                <w:highlight w:val="none"/>
                <w:lang w:val="en-US" w:eastAsia="zh-CN"/>
              </w:rPr>
              <w:t>翁源县周陂镇人民政府</w:t>
            </w:r>
          </w:p>
        </w:tc>
      </w:tr>
      <w:tr w14:paraId="66F93FA2">
        <w:tblPrEx>
          <w:tblCellMar>
            <w:top w:w="0" w:type="dxa"/>
            <w:left w:w="0" w:type="dxa"/>
            <w:bottom w:w="0" w:type="dxa"/>
            <w:right w:w="0" w:type="dxa"/>
          </w:tblCellMar>
        </w:tblPrEx>
        <w:trPr>
          <w:trHeight w:val="1012" w:hRule="atLeast"/>
        </w:trPr>
        <w:tc>
          <w:tcPr>
            <w:tcW w:w="4708" w:type="dxa"/>
            <w:noWrap w:val="0"/>
            <w:vAlign w:val="center"/>
          </w:tcPr>
          <w:p w14:paraId="310A9D46">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招标人工作领导小组负责人（签字）：</w:t>
            </w:r>
          </w:p>
        </w:tc>
        <w:tc>
          <w:tcPr>
            <w:tcW w:w="5020" w:type="dxa"/>
            <w:noWrap w:val="0"/>
            <w:vAlign w:val="center"/>
          </w:tcPr>
          <w:p w14:paraId="627C8E17">
            <w:pPr>
              <w:pStyle w:val="60"/>
              <w:wordWrap w:val="0"/>
              <w:adjustRightInd w:val="0"/>
              <w:snapToGrid w:val="0"/>
              <w:spacing w:line="240" w:lineRule="auto"/>
              <w:rPr>
                <w:rFonts w:hint="eastAsia" w:ascii="宋体" w:hAnsi="宋体" w:eastAsia="宋体" w:cs="宋体"/>
                <w:strike w:val="0"/>
                <w:dstrike w:val="0"/>
                <w:snapToGrid w:val="0"/>
                <w:color w:val="auto"/>
                <w:kern w:val="0"/>
                <w:sz w:val="28"/>
                <w:szCs w:val="28"/>
                <w:highlight w:val="none"/>
              </w:rPr>
            </w:pPr>
          </w:p>
        </w:tc>
      </w:tr>
      <w:tr w14:paraId="6011193D">
        <w:tblPrEx>
          <w:tblCellMar>
            <w:top w:w="0" w:type="dxa"/>
            <w:left w:w="0" w:type="dxa"/>
            <w:bottom w:w="0" w:type="dxa"/>
            <w:right w:w="0" w:type="dxa"/>
          </w:tblCellMar>
        </w:tblPrEx>
        <w:trPr>
          <w:trHeight w:val="1072" w:hRule="atLeast"/>
        </w:trPr>
        <w:tc>
          <w:tcPr>
            <w:tcW w:w="4708" w:type="dxa"/>
            <w:noWrap w:val="0"/>
            <w:vAlign w:val="center"/>
          </w:tcPr>
          <w:p w14:paraId="5A5F6A25">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 标 代 理 机 构 （盖单位章）：</w:t>
            </w:r>
          </w:p>
        </w:tc>
        <w:tc>
          <w:tcPr>
            <w:tcW w:w="5020" w:type="dxa"/>
            <w:noWrap w:val="0"/>
            <w:vAlign w:val="center"/>
          </w:tcPr>
          <w:p w14:paraId="781B3E59">
            <w:pPr>
              <w:pStyle w:val="60"/>
              <w:wordWrap w:val="0"/>
              <w:adjustRightInd w:val="0"/>
              <w:snapToGrid w:val="0"/>
              <w:spacing w:line="240" w:lineRule="auto"/>
              <w:rPr>
                <w:rFonts w:hint="default" w:ascii="宋体" w:hAnsi="宋体" w:eastAsia="宋体" w:cs="宋体"/>
                <w:strike w:val="0"/>
                <w:dstrike w:val="0"/>
                <w:snapToGrid w:val="0"/>
                <w:color w:val="auto"/>
                <w:kern w:val="0"/>
                <w:sz w:val="28"/>
                <w:szCs w:val="28"/>
                <w:highlight w:val="none"/>
                <w:lang w:val="en-US" w:eastAsia="zh-CN"/>
              </w:rPr>
            </w:pPr>
            <w:r>
              <w:rPr>
                <w:rFonts w:hint="eastAsia" w:hAnsi="宋体" w:cs="宋体"/>
                <w:strike w:val="0"/>
                <w:dstrike w:val="0"/>
                <w:snapToGrid w:val="0"/>
                <w:color w:val="auto"/>
                <w:kern w:val="0"/>
                <w:sz w:val="28"/>
                <w:szCs w:val="28"/>
                <w:highlight w:val="none"/>
                <w:lang w:val="en-US" w:eastAsia="zh-CN"/>
              </w:rPr>
              <w:t>汇龙工程咨询有限公司</w:t>
            </w:r>
          </w:p>
        </w:tc>
      </w:tr>
      <w:tr w14:paraId="004DC34E">
        <w:tblPrEx>
          <w:tblCellMar>
            <w:top w:w="0" w:type="dxa"/>
            <w:left w:w="0" w:type="dxa"/>
            <w:bottom w:w="0" w:type="dxa"/>
            <w:right w:w="0" w:type="dxa"/>
          </w:tblCellMar>
        </w:tblPrEx>
        <w:trPr>
          <w:trHeight w:val="1135" w:hRule="atLeast"/>
        </w:trPr>
        <w:tc>
          <w:tcPr>
            <w:tcW w:w="4708" w:type="dxa"/>
            <w:noWrap w:val="0"/>
            <w:vAlign w:val="center"/>
          </w:tcPr>
          <w:p w14:paraId="55D9EDEB">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招标文件编制人（签字）：</w:t>
            </w:r>
          </w:p>
        </w:tc>
        <w:tc>
          <w:tcPr>
            <w:tcW w:w="5020" w:type="dxa"/>
            <w:noWrap w:val="0"/>
            <w:vAlign w:val="center"/>
          </w:tcPr>
          <w:p w14:paraId="168C2309">
            <w:pPr>
              <w:pStyle w:val="60"/>
              <w:wordWrap w:val="0"/>
              <w:adjustRightInd w:val="0"/>
              <w:snapToGrid w:val="0"/>
              <w:spacing w:line="240" w:lineRule="auto"/>
              <w:rPr>
                <w:rFonts w:hint="eastAsia" w:ascii="宋体" w:hAnsi="宋体" w:eastAsia="宋体" w:cs="宋体"/>
                <w:strike w:val="0"/>
                <w:dstrike w:val="0"/>
                <w:snapToGrid w:val="0"/>
                <w:color w:val="auto"/>
                <w:kern w:val="0"/>
                <w:sz w:val="28"/>
                <w:szCs w:val="28"/>
                <w:highlight w:val="none"/>
              </w:rPr>
            </w:pPr>
          </w:p>
        </w:tc>
      </w:tr>
      <w:tr w14:paraId="46880814">
        <w:tblPrEx>
          <w:tblCellMar>
            <w:top w:w="0" w:type="dxa"/>
            <w:left w:w="0" w:type="dxa"/>
            <w:bottom w:w="0" w:type="dxa"/>
            <w:right w:w="0" w:type="dxa"/>
          </w:tblCellMar>
        </w:tblPrEx>
        <w:trPr>
          <w:trHeight w:val="1084" w:hRule="atLeast"/>
        </w:trPr>
        <w:tc>
          <w:tcPr>
            <w:tcW w:w="4708" w:type="dxa"/>
            <w:noWrap w:val="0"/>
            <w:vAlign w:val="center"/>
          </w:tcPr>
          <w:p w14:paraId="5AAEF965">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招标代理机构项目负责人（签字）：</w:t>
            </w:r>
          </w:p>
        </w:tc>
        <w:tc>
          <w:tcPr>
            <w:tcW w:w="5020" w:type="dxa"/>
            <w:noWrap w:val="0"/>
            <w:vAlign w:val="center"/>
          </w:tcPr>
          <w:p w14:paraId="6A653CBC">
            <w:pPr>
              <w:pStyle w:val="60"/>
              <w:wordWrap w:val="0"/>
              <w:adjustRightInd w:val="0"/>
              <w:snapToGrid w:val="0"/>
              <w:spacing w:line="240" w:lineRule="auto"/>
              <w:rPr>
                <w:rFonts w:hint="eastAsia" w:ascii="宋体" w:hAnsi="宋体" w:eastAsia="宋体" w:cs="宋体"/>
                <w:strike w:val="0"/>
                <w:dstrike w:val="0"/>
                <w:snapToGrid w:val="0"/>
                <w:color w:val="auto"/>
                <w:kern w:val="0"/>
                <w:sz w:val="28"/>
                <w:szCs w:val="28"/>
                <w:highlight w:val="none"/>
              </w:rPr>
            </w:pPr>
          </w:p>
        </w:tc>
      </w:tr>
      <w:tr w14:paraId="173CDD84">
        <w:tblPrEx>
          <w:tblCellMar>
            <w:top w:w="0" w:type="dxa"/>
            <w:left w:w="0" w:type="dxa"/>
            <w:bottom w:w="0" w:type="dxa"/>
            <w:right w:w="0" w:type="dxa"/>
          </w:tblCellMar>
        </w:tblPrEx>
        <w:trPr>
          <w:trHeight w:val="892" w:hRule="atLeast"/>
        </w:trPr>
        <w:tc>
          <w:tcPr>
            <w:tcW w:w="4708" w:type="dxa"/>
            <w:noWrap w:val="0"/>
            <w:vAlign w:val="center"/>
          </w:tcPr>
          <w:p w14:paraId="51795990">
            <w:pPr>
              <w:pStyle w:val="60"/>
              <w:wordWrap w:val="0"/>
              <w:adjustRightInd w:val="0"/>
              <w:snapToGrid w:val="0"/>
              <w:spacing w:line="240" w:lineRule="auto"/>
              <w:jc w:val="distribute"/>
              <w:rPr>
                <w:rFonts w:hint="eastAsia" w:ascii="宋体" w:hAnsi="宋体" w:eastAsia="宋体" w:cs="宋体"/>
                <w:strike w:val="0"/>
                <w:dstrike w:val="0"/>
                <w:snapToGrid w:val="0"/>
                <w:color w:val="auto"/>
                <w:kern w:val="0"/>
                <w:sz w:val="28"/>
                <w:highlight w:val="none"/>
              </w:rPr>
            </w:pPr>
            <w:r>
              <w:rPr>
                <w:rFonts w:hint="eastAsia" w:ascii="宋体" w:hAnsi="宋体" w:eastAsia="宋体" w:cs="宋体"/>
                <w:strike w:val="0"/>
                <w:dstrike w:val="0"/>
                <w:snapToGrid w:val="0"/>
                <w:color w:val="auto"/>
                <w:kern w:val="0"/>
                <w:sz w:val="28"/>
                <w:highlight w:val="none"/>
              </w:rPr>
              <w:t xml:space="preserve"> 招标文件编制日期：</w:t>
            </w:r>
          </w:p>
        </w:tc>
        <w:tc>
          <w:tcPr>
            <w:tcW w:w="5020" w:type="dxa"/>
            <w:noWrap w:val="0"/>
            <w:vAlign w:val="center"/>
          </w:tcPr>
          <w:p w14:paraId="134BA1B7">
            <w:pPr>
              <w:pStyle w:val="60"/>
              <w:wordWrap w:val="0"/>
              <w:adjustRightInd w:val="0"/>
              <w:snapToGrid w:val="0"/>
              <w:spacing w:line="240" w:lineRule="auto"/>
              <w:rPr>
                <w:rFonts w:hint="default" w:ascii="宋体" w:hAnsi="宋体" w:eastAsia="宋体" w:cs="宋体"/>
                <w:strike w:val="0"/>
                <w:dstrike w:val="0"/>
                <w:snapToGrid w:val="0"/>
                <w:color w:val="auto"/>
                <w:kern w:val="0"/>
                <w:sz w:val="28"/>
                <w:highlight w:val="none"/>
                <w:lang w:val="en-US" w:eastAsia="zh-CN"/>
              </w:rPr>
            </w:pPr>
            <w:r>
              <w:rPr>
                <w:rFonts w:hint="eastAsia" w:hAnsi="宋体" w:cs="宋体"/>
                <w:strike w:val="0"/>
                <w:dstrike w:val="0"/>
                <w:snapToGrid w:val="0"/>
                <w:color w:val="auto"/>
                <w:kern w:val="0"/>
                <w:sz w:val="28"/>
                <w:highlight w:val="none"/>
                <w:lang w:val="en-US" w:eastAsia="zh-CN"/>
              </w:rPr>
              <w:t xml:space="preserve">  2026年7月  日</w:t>
            </w:r>
          </w:p>
        </w:tc>
      </w:tr>
    </w:tbl>
    <w:p w14:paraId="52DDB548">
      <w:pPr>
        <w:rPr>
          <w:color w:val="auto"/>
          <w:highlight w:val="none"/>
        </w:rPr>
        <w:sectPr>
          <w:head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0B006F5F">
      <w:pPr>
        <w:pStyle w:val="119"/>
        <w:tabs>
          <w:tab w:val="left" w:pos="1890"/>
          <w:tab w:val="left" w:pos="4935"/>
        </w:tabs>
        <w:rPr>
          <w:rFonts w:hint="eastAsia" w:ascii="宋体" w:hAnsi="宋体" w:eastAsia="宋体" w:cs="宋体"/>
          <w:b/>
          <w:color w:val="auto"/>
          <w:sz w:val="28"/>
          <w:szCs w:val="28"/>
          <w:highlight w:val="none"/>
        </w:rPr>
        <w:sectPr>
          <w:footerReference r:id="rId6" w:type="default"/>
          <w:endnotePr>
            <w:numFmt w:val="decimal"/>
          </w:endnotePr>
          <w:pgSz w:w="11905" w:h="16838"/>
          <w:pgMar w:top="1440" w:right="1417" w:bottom="1440" w:left="1417" w:header="850" w:footer="992" w:gutter="0"/>
          <w:pgNumType w:fmt="decimal" w:start="1"/>
          <w:cols w:space="720" w:num="1"/>
          <w:rtlGutter w:val="0"/>
          <w:docGrid w:type="lines" w:linePitch="317" w:charSpace="0"/>
        </w:sectPr>
      </w:pPr>
    </w:p>
    <w:p w14:paraId="65C97C1D">
      <w:pPr>
        <w:spacing w:line="240" w:lineRule="auto"/>
        <w:jc w:val="center"/>
        <w:rPr>
          <w:b/>
          <w:bCs/>
          <w:color w:val="auto"/>
          <w:sz w:val="44"/>
          <w:szCs w:val="32"/>
          <w:highlight w:val="none"/>
        </w:rPr>
      </w:pPr>
      <w:r>
        <w:rPr>
          <w:rFonts w:hAnsi="宋体"/>
          <w:b/>
          <w:bCs/>
          <w:color w:val="auto"/>
          <w:sz w:val="36"/>
          <w:szCs w:val="32"/>
          <w:highlight w:val="none"/>
        </w:rPr>
        <w:t>目</w:t>
      </w:r>
      <w:r>
        <w:rPr>
          <w:rFonts w:hint="eastAsia" w:hAnsi="宋体"/>
          <w:b/>
          <w:bCs/>
          <w:color w:val="auto"/>
          <w:sz w:val="36"/>
          <w:szCs w:val="32"/>
          <w:highlight w:val="none"/>
        </w:rPr>
        <w:t xml:space="preserve">  </w:t>
      </w:r>
      <w:r>
        <w:rPr>
          <w:rFonts w:hAnsi="宋体"/>
          <w:b/>
          <w:bCs/>
          <w:color w:val="auto"/>
          <w:sz w:val="36"/>
          <w:szCs w:val="32"/>
          <w:highlight w:val="none"/>
        </w:rPr>
        <w:t>录</w:t>
      </w:r>
    </w:p>
    <w:p w14:paraId="228A6914">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TOC \o "1-3" \h \u </w:instrText>
      </w:r>
      <w:r>
        <w:rPr>
          <w:rFonts w:hint="eastAsia" w:hAnsi="宋体" w:cs="宋体"/>
          <w:color w:val="auto"/>
          <w:szCs w:val="24"/>
          <w:highlight w:val="none"/>
        </w:rPr>
        <w:fldChar w:fldCharType="separate"/>
      </w: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_Toc28684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_Toc28684 \h </w:instrText>
      </w:r>
      <w:r>
        <w:rPr>
          <w:color w:val="auto"/>
          <w:highlight w:val="none"/>
        </w:rPr>
        <w:fldChar w:fldCharType="separate"/>
      </w:r>
      <w:r>
        <w:rPr>
          <w:color w:val="auto"/>
          <w:highlight w:val="none"/>
        </w:rPr>
        <w:t>1</w:t>
      </w:r>
      <w:r>
        <w:rPr>
          <w:color w:val="auto"/>
          <w:highlight w:val="none"/>
        </w:rPr>
        <w:fldChar w:fldCharType="end"/>
      </w:r>
      <w:r>
        <w:rPr>
          <w:rFonts w:hint="eastAsia" w:hAnsi="宋体" w:cs="宋体"/>
          <w:color w:val="auto"/>
          <w:szCs w:val="24"/>
          <w:highlight w:val="none"/>
        </w:rPr>
        <w:fldChar w:fldCharType="end"/>
      </w:r>
    </w:p>
    <w:p w14:paraId="5D3DC254">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_Toc32446 </w:instrText>
      </w:r>
      <w:r>
        <w:rPr>
          <w:rFonts w:hint="eastAsia" w:hAnsi="宋体" w:cs="宋体"/>
          <w:color w:val="auto"/>
          <w:szCs w:val="24"/>
          <w:highlight w:val="none"/>
        </w:rPr>
        <w:fldChar w:fldCharType="separate"/>
      </w:r>
      <w:r>
        <w:rPr>
          <w:rFonts w:hint="eastAsia" w:ascii="Times New Roman"/>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_Toc32446 \h </w:instrText>
      </w:r>
      <w:r>
        <w:rPr>
          <w:color w:val="auto"/>
          <w:highlight w:val="none"/>
        </w:rPr>
        <w:fldChar w:fldCharType="separate"/>
      </w:r>
      <w:r>
        <w:rPr>
          <w:color w:val="auto"/>
          <w:highlight w:val="none"/>
        </w:rPr>
        <w:t>1</w:t>
      </w:r>
      <w:r>
        <w:rPr>
          <w:color w:val="auto"/>
          <w:highlight w:val="none"/>
        </w:rPr>
        <w:fldChar w:fldCharType="end"/>
      </w:r>
      <w:r>
        <w:rPr>
          <w:rFonts w:hint="eastAsia" w:hAnsi="宋体" w:cs="宋体"/>
          <w:color w:val="auto"/>
          <w:szCs w:val="24"/>
          <w:highlight w:val="none"/>
        </w:rPr>
        <w:fldChar w:fldCharType="end"/>
      </w:r>
    </w:p>
    <w:p w14:paraId="2634A276">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_Toc32522 </w:instrText>
      </w:r>
      <w:r>
        <w:rPr>
          <w:rFonts w:hint="eastAsia" w:hAnsi="宋体" w:cs="宋体"/>
          <w:color w:val="auto"/>
          <w:szCs w:val="24"/>
          <w:highlight w:val="none"/>
        </w:rPr>
        <w:fldChar w:fldCharType="separate"/>
      </w:r>
      <w:r>
        <w:rPr>
          <w:rFonts w:hint="eastAsia" w:ascii="Times New Roman"/>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_Toc32522 \h </w:instrText>
      </w:r>
      <w:r>
        <w:rPr>
          <w:color w:val="auto"/>
          <w:highlight w:val="none"/>
        </w:rPr>
        <w:fldChar w:fldCharType="separate"/>
      </w:r>
      <w:r>
        <w:rPr>
          <w:color w:val="auto"/>
          <w:highlight w:val="none"/>
        </w:rPr>
        <w:t>7</w:t>
      </w:r>
      <w:r>
        <w:rPr>
          <w:color w:val="auto"/>
          <w:highlight w:val="none"/>
        </w:rPr>
        <w:fldChar w:fldCharType="end"/>
      </w:r>
      <w:r>
        <w:rPr>
          <w:rFonts w:hint="eastAsia" w:hAnsi="宋体" w:cs="宋体"/>
          <w:color w:val="auto"/>
          <w:szCs w:val="24"/>
          <w:highlight w:val="none"/>
        </w:rPr>
        <w:fldChar w:fldCharType="end"/>
      </w:r>
    </w:p>
    <w:p w14:paraId="28D7332D">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_Toc16304 </w:instrText>
      </w:r>
      <w:r>
        <w:rPr>
          <w:rFonts w:hint="eastAsia" w:hAnsi="宋体" w:cs="宋体"/>
          <w:color w:val="auto"/>
          <w:szCs w:val="24"/>
          <w:highlight w:val="none"/>
        </w:rPr>
        <w:fldChar w:fldCharType="separate"/>
      </w:r>
      <w:r>
        <w:rPr>
          <w:rFonts w:hint="eastAsia"/>
          <w:bCs/>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_Toc16304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szCs w:val="24"/>
          <w:highlight w:val="none"/>
        </w:rPr>
        <w:fldChar w:fldCharType="end"/>
      </w:r>
    </w:p>
    <w:p w14:paraId="5C4F335A">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_Toc9487 </w:instrText>
      </w:r>
      <w:r>
        <w:rPr>
          <w:rFonts w:hint="eastAsia" w:hAnsi="宋体" w:cs="宋体"/>
          <w:color w:val="auto"/>
          <w:szCs w:val="24"/>
          <w:highlight w:val="none"/>
        </w:rPr>
        <w:fldChar w:fldCharType="separate"/>
      </w:r>
      <w:r>
        <w:rPr>
          <w:rFonts w:hint="eastAsia"/>
          <w:bCs/>
          <w:snapToGrid w:val="0"/>
          <w:color w:val="auto"/>
          <w:kern w:val="0"/>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_Toc9487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szCs w:val="24"/>
          <w:highlight w:val="none"/>
        </w:rPr>
        <w:fldChar w:fldCharType="end"/>
      </w:r>
    </w:p>
    <w:p w14:paraId="69377FD3">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_Toc31535 </w:instrText>
      </w:r>
      <w:r>
        <w:rPr>
          <w:rFonts w:hint="eastAsia" w:hAnsi="宋体" w:cs="宋体"/>
          <w:color w:val="auto"/>
          <w:szCs w:val="24"/>
          <w:highlight w:val="none"/>
        </w:rPr>
        <w:fldChar w:fldCharType="separate"/>
      </w:r>
      <w:r>
        <w:rPr>
          <w:rFonts w:hint="eastAsia"/>
          <w:bCs/>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_Toc31535 \h </w:instrText>
      </w:r>
      <w:r>
        <w:rPr>
          <w:color w:val="auto"/>
          <w:highlight w:val="none"/>
        </w:rPr>
        <w:fldChar w:fldCharType="separate"/>
      </w:r>
      <w:r>
        <w:rPr>
          <w:color w:val="auto"/>
          <w:highlight w:val="none"/>
        </w:rPr>
        <w:t>8</w:t>
      </w:r>
      <w:r>
        <w:rPr>
          <w:color w:val="auto"/>
          <w:highlight w:val="none"/>
        </w:rPr>
        <w:fldChar w:fldCharType="end"/>
      </w:r>
      <w:r>
        <w:rPr>
          <w:rFonts w:hint="eastAsia" w:hAnsi="宋体" w:cs="宋体"/>
          <w:color w:val="auto"/>
          <w:szCs w:val="24"/>
          <w:highlight w:val="none"/>
        </w:rPr>
        <w:fldChar w:fldCharType="end"/>
      </w:r>
    </w:p>
    <w:p w14:paraId="7D4B0FCB">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_Toc12683 </w:instrText>
      </w:r>
      <w:r>
        <w:rPr>
          <w:rFonts w:hint="eastAsia" w:hAnsi="宋体" w:cs="宋体"/>
          <w:color w:val="auto"/>
          <w:szCs w:val="24"/>
          <w:highlight w:val="none"/>
        </w:rPr>
        <w:fldChar w:fldCharType="separate"/>
      </w:r>
      <w:r>
        <w:rPr>
          <w:rFonts w:hint="eastAsia" w:ascii="宋体" w:hAnsi="宋体" w:cs="宋体"/>
          <w:bCs/>
          <w:snapToGrid w:val="0"/>
          <w:color w:val="auto"/>
          <w:kern w:val="0"/>
          <w:highlight w:val="none"/>
        </w:rPr>
        <w:t>3．获取招标文件</w:t>
      </w:r>
      <w:r>
        <w:rPr>
          <w:color w:val="auto"/>
          <w:highlight w:val="none"/>
        </w:rPr>
        <w:tab/>
      </w:r>
      <w:r>
        <w:rPr>
          <w:color w:val="auto"/>
          <w:highlight w:val="none"/>
        </w:rPr>
        <w:fldChar w:fldCharType="begin"/>
      </w:r>
      <w:r>
        <w:rPr>
          <w:color w:val="auto"/>
          <w:highlight w:val="none"/>
        </w:rPr>
        <w:instrText xml:space="preserve"> PAGEREF _Toc12683 \h </w:instrText>
      </w:r>
      <w:r>
        <w:rPr>
          <w:color w:val="auto"/>
          <w:highlight w:val="none"/>
        </w:rPr>
        <w:fldChar w:fldCharType="separate"/>
      </w:r>
      <w:r>
        <w:rPr>
          <w:color w:val="auto"/>
          <w:highlight w:val="none"/>
        </w:rPr>
        <w:t>10</w:t>
      </w:r>
      <w:r>
        <w:rPr>
          <w:color w:val="auto"/>
          <w:highlight w:val="none"/>
        </w:rPr>
        <w:fldChar w:fldCharType="end"/>
      </w:r>
      <w:r>
        <w:rPr>
          <w:rFonts w:hint="eastAsia" w:hAnsi="宋体" w:cs="宋体"/>
          <w:color w:val="auto"/>
          <w:szCs w:val="24"/>
          <w:highlight w:val="none"/>
        </w:rPr>
        <w:fldChar w:fldCharType="end"/>
      </w:r>
    </w:p>
    <w:p w14:paraId="4D955DB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_Toc16883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4．服务期限</w:t>
      </w:r>
      <w:r>
        <w:rPr>
          <w:color w:val="auto"/>
          <w:highlight w:val="none"/>
        </w:rPr>
        <w:tab/>
      </w:r>
      <w:r>
        <w:rPr>
          <w:color w:val="auto"/>
          <w:highlight w:val="none"/>
        </w:rPr>
        <w:fldChar w:fldCharType="begin"/>
      </w:r>
      <w:r>
        <w:rPr>
          <w:color w:val="auto"/>
          <w:highlight w:val="none"/>
        </w:rPr>
        <w:instrText xml:space="preserve"> PAGEREF _Toc16883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2215BC69">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_Toc7476 </w:instrText>
      </w:r>
      <w:r>
        <w:rPr>
          <w:rFonts w:hint="eastAsia" w:hAnsi="宋体" w:cs="宋体"/>
          <w:color w:val="auto"/>
          <w:szCs w:val="24"/>
          <w:highlight w:val="none"/>
        </w:rPr>
        <w:fldChar w:fldCharType="separate"/>
      </w:r>
      <w:r>
        <w:rPr>
          <w:rFonts w:hint="eastAsia" w:hAnsi="宋体" w:cs="宋体"/>
          <w:snapToGrid w:val="0"/>
          <w:color w:val="auto"/>
          <w:highlight w:val="none"/>
        </w:rPr>
        <w:t>5．服务标准</w:t>
      </w:r>
      <w:r>
        <w:rPr>
          <w:color w:val="auto"/>
          <w:highlight w:val="none"/>
        </w:rPr>
        <w:tab/>
      </w:r>
      <w:r>
        <w:rPr>
          <w:color w:val="auto"/>
          <w:highlight w:val="none"/>
        </w:rPr>
        <w:fldChar w:fldCharType="begin"/>
      </w:r>
      <w:r>
        <w:rPr>
          <w:color w:val="auto"/>
          <w:highlight w:val="none"/>
        </w:rPr>
        <w:instrText xml:space="preserve"> PAGEREF _Toc7476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69695AEA">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_Toc12596 </w:instrText>
      </w:r>
      <w:r>
        <w:rPr>
          <w:rFonts w:hint="eastAsia" w:hAnsi="宋体" w:cs="宋体"/>
          <w:color w:val="auto"/>
          <w:szCs w:val="24"/>
          <w:highlight w:val="none"/>
        </w:rPr>
        <w:fldChar w:fldCharType="separate"/>
      </w:r>
      <w:r>
        <w:rPr>
          <w:rFonts w:hint="eastAsia" w:hAnsi="宋体" w:cs="宋体"/>
          <w:snapToGrid w:val="0"/>
          <w:color w:val="auto"/>
          <w:highlight w:val="none"/>
        </w:rPr>
        <w:t>6．现场踏勘</w:t>
      </w:r>
      <w:r>
        <w:rPr>
          <w:color w:val="auto"/>
          <w:highlight w:val="none"/>
        </w:rPr>
        <w:tab/>
      </w:r>
      <w:r>
        <w:rPr>
          <w:color w:val="auto"/>
          <w:highlight w:val="none"/>
        </w:rPr>
        <w:fldChar w:fldCharType="begin"/>
      </w:r>
      <w:r>
        <w:rPr>
          <w:color w:val="auto"/>
          <w:highlight w:val="none"/>
        </w:rPr>
        <w:instrText xml:space="preserve"> PAGEREF _Toc12596 \h </w:instrText>
      </w:r>
      <w:r>
        <w:rPr>
          <w:color w:val="auto"/>
          <w:highlight w:val="none"/>
        </w:rPr>
        <w:fldChar w:fldCharType="separate"/>
      </w:r>
      <w:r>
        <w:rPr>
          <w:color w:val="auto"/>
          <w:highlight w:val="none"/>
        </w:rPr>
        <w:t>12</w:t>
      </w:r>
      <w:r>
        <w:rPr>
          <w:color w:val="auto"/>
          <w:highlight w:val="none"/>
        </w:rPr>
        <w:fldChar w:fldCharType="end"/>
      </w:r>
      <w:r>
        <w:rPr>
          <w:rFonts w:hint="eastAsia" w:hAnsi="宋体" w:cs="宋体"/>
          <w:color w:val="auto"/>
          <w:szCs w:val="24"/>
          <w:highlight w:val="none"/>
        </w:rPr>
        <w:fldChar w:fldCharType="end"/>
      </w:r>
    </w:p>
    <w:p w14:paraId="13525909">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_Toc25173 </w:instrText>
      </w:r>
      <w:r>
        <w:rPr>
          <w:rFonts w:hint="eastAsia" w:hAnsi="宋体" w:cs="宋体"/>
          <w:color w:val="auto"/>
          <w:szCs w:val="24"/>
          <w:highlight w:val="none"/>
        </w:rPr>
        <w:fldChar w:fldCharType="separate"/>
      </w:r>
      <w:r>
        <w:rPr>
          <w:rFonts w:hint="eastAsia" w:hAnsi="宋体" w:cs="宋体"/>
          <w:snapToGrid w:val="0"/>
          <w:color w:val="auto"/>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_Toc25173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45A168FD">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_Toc11326 </w:instrText>
      </w:r>
      <w:r>
        <w:rPr>
          <w:rFonts w:hint="eastAsia" w:hAnsi="宋体" w:cs="宋体"/>
          <w:color w:val="auto"/>
          <w:szCs w:val="24"/>
          <w:highlight w:val="none"/>
        </w:rPr>
        <w:fldChar w:fldCharType="separate"/>
      </w:r>
      <w:r>
        <w:rPr>
          <w:rFonts w:hint="eastAsia" w:hAnsi="宋体" w:cs="宋体"/>
          <w:snapToGrid w:val="0"/>
          <w:color w:val="auto"/>
          <w:highlight w:val="none"/>
        </w:rPr>
        <w:t>8．最高投标限价</w:t>
      </w:r>
      <w:r>
        <w:rPr>
          <w:color w:val="auto"/>
          <w:highlight w:val="none"/>
        </w:rPr>
        <w:tab/>
      </w:r>
      <w:r>
        <w:rPr>
          <w:color w:val="auto"/>
          <w:highlight w:val="none"/>
        </w:rPr>
        <w:fldChar w:fldCharType="begin"/>
      </w:r>
      <w:r>
        <w:rPr>
          <w:color w:val="auto"/>
          <w:highlight w:val="none"/>
        </w:rPr>
        <w:instrText xml:space="preserve"> PAGEREF _Toc11326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60AD7DFA">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_Toc2193 </w:instrText>
      </w:r>
      <w:r>
        <w:rPr>
          <w:rFonts w:hint="eastAsia" w:hAnsi="宋体" w:cs="宋体"/>
          <w:color w:val="auto"/>
          <w:szCs w:val="24"/>
          <w:highlight w:val="none"/>
        </w:rPr>
        <w:fldChar w:fldCharType="separate"/>
      </w:r>
      <w:r>
        <w:rPr>
          <w:rFonts w:hint="eastAsia" w:hAnsi="宋体" w:cs="宋体"/>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_Toc2193 \h </w:instrText>
      </w:r>
      <w:r>
        <w:rPr>
          <w:color w:val="auto"/>
          <w:highlight w:val="none"/>
        </w:rPr>
        <w:fldChar w:fldCharType="separate"/>
      </w:r>
      <w:r>
        <w:rPr>
          <w:color w:val="auto"/>
          <w:highlight w:val="none"/>
        </w:rPr>
        <w:t>13</w:t>
      </w:r>
      <w:r>
        <w:rPr>
          <w:color w:val="auto"/>
          <w:highlight w:val="none"/>
        </w:rPr>
        <w:fldChar w:fldCharType="end"/>
      </w:r>
      <w:r>
        <w:rPr>
          <w:rFonts w:hint="eastAsia" w:hAnsi="宋体" w:cs="宋体"/>
          <w:color w:val="auto"/>
          <w:szCs w:val="24"/>
          <w:highlight w:val="none"/>
        </w:rPr>
        <w:fldChar w:fldCharType="end"/>
      </w:r>
    </w:p>
    <w:p w14:paraId="09F56172">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_Toc4002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_Toc4002 \h </w:instrText>
      </w:r>
      <w:r>
        <w:rPr>
          <w:color w:val="auto"/>
          <w:highlight w:val="none"/>
        </w:rPr>
        <w:fldChar w:fldCharType="separate"/>
      </w:r>
      <w:r>
        <w:rPr>
          <w:color w:val="auto"/>
          <w:highlight w:val="none"/>
        </w:rPr>
        <w:t>14</w:t>
      </w:r>
      <w:r>
        <w:rPr>
          <w:color w:val="auto"/>
          <w:highlight w:val="none"/>
        </w:rPr>
        <w:fldChar w:fldCharType="end"/>
      </w:r>
      <w:r>
        <w:rPr>
          <w:rFonts w:hint="eastAsia" w:hAnsi="宋体" w:cs="宋体"/>
          <w:color w:val="auto"/>
          <w:szCs w:val="24"/>
          <w:highlight w:val="none"/>
        </w:rPr>
        <w:fldChar w:fldCharType="end"/>
      </w:r>
    </w:p>
    <w:p w14:paraId="15C486C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_Toc1986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11．电子投标</w:t>
      </w:r>
      <w:r>
        <w:rPr>
          <w:color w:val="auto"/>
          <w:highlight w:val="none"/>
        </w:rPr>
        <w:tab/>
      </w:r>
      <w:r>
        <w:rPr>
          <w:color w:val="auto"/>
          <w:highlight w:val="none"/>
        </w:rPr>
        <w:fldChar w:fldCharType="begin"/>
      </w:r>
      <w:r>
        <w:rPr>
          <w:color w:val="auto"/>
          <w:highlight w:val="none"/>
        </w:rPr>
        <w:instrText xml:space="preserve"> PAGEREF _Toc1986 \h </w:instrText>
      </w:r>
      <w:r>
        <w:rPr>
          <w:color w:val="auto"/>
          <w:highlight w:val="none"/>
        </w:rPr>
        <w:fldChar w:fldCharType="separate"/>
      </w:r>
      <w:r>
        <w:rPr>
          <w:color w:val="auto"/>
          <w:highlight w:val="none"/>
        </w:rPr>
        <w:t>16</w:t>
      </w:r>
      <w:r>
        <w:rPr>
          <w:color w:val="auto"/>
          <w:highlight w:val="none"/>
        </w:rPr>
        <w:fldChar w:fldCharType="end"/>
      </w:r>
      <w:r>
        <w:rPr>
          <w:rFonts w:hint="eastAsia" w:hAnsi="宋体" w:cs="宋体"/>
          <w:color w:val="auto"/>
          <w:szCs w:val="24"/>
          <w:highlight w:val="none"/>
        </w:rPr>
        <w:fldChar w:fldCharType="end"/>
      </w:r>
    </w:p>
    <w:p w14:paraId="5384DBF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_Toc4888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12. 投标文件的提交</w:t>
      </w:r>
      <w:r>
        <w:rPr>
          <w:color w:val="auto"/>
          <w:highlight w:val="none"/>
        </w:rPr>
        <w:tab/>
      </w:r>
      <w:r>
        <w:rPr>
          <w:color w:val="auto"/>
          <w:highlight w:val="none"/>
        </w:rPr>
        <w:fldChar w:fldCharType="begin"/>
      </w:r>
      <w:r>
        <w:rPr>
          <w:color w:val="auto"/>
          <w:highlight w:val="none"/>
        </w:rPr>
        <w:instrText xml:space="preserve"> PAGEREF _Toc4888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3EA20A99">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_Toc739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13．投标有效期</w:t>
      </w:r>
      <w:r>
        <w:rPr>
          <w:color w:val="auto"/>
          <w:highlight w:val="none"/>
        </w:rPr>
        <w:tab/>
      </w:r>
      <w:r>
        <w:rPr>
          <w:color w:val="auto"/>
          <w:highlight w:val="none"/>
        </w:rPr>
        <w:fldChar w:fldCharType="begin"/>
      </w:r>
      <w:r>
        <w:rPr>
          <w:color w:val="auto"/>
          <w:highlight w:val="none"/>
        </w:rPr>
        <w:instrText xml:space="preserve"> PAGEREF _Toc739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1551660B">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_Toc30542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14．开标</w:t>
      </w:r>
      <w:r>
        <w:rPr>
          <w:color w:val="auto"/>
          <w:highlight w:val="none"/>
        </w:rPr>
        <w:tab/>
      </w:r>
      <w:r>
        <w:rPr>
          <w:color w:val="auto"/>
          <w:highlight w:val="none"/>
        </w:rPr>
        <w:fldChar w:fldCharType="begin"/>
      </w:r>
      <w:r>
        <w:rPr>
          <w:color w:val="auto"/>
          <w:highlight w:val="none"/>
        </w:rPr>
        <w:instrText xml:space="preserve"> PAGEREF _Toc30542 \h </w:instrText>
      </w:r>
      <w:r>
        <w:rPr>
          <w:color w:val="auto"/>
          <w:highlight w:val="none"/>
        </w:rPr>
        <w:fldChar w:fldCharType="separate"/>
      </w:r>
      <w:r>
        <w:rPr>
          <w:color w:val="auto"/>
          <w:highlight w:val="none"/>
        </w:rPr>
        <w:t>18</w:t>
      </w:r>
      <w:r>
        <w:rPr>
          <w:color w:val="auto"/>
          <w:highlight w:val="none"/>
        </w:rPr>
        <w:fldChar w:fldCharType="end"/>
      </w:r>
      <w:r>
        <w:rPr>
          <w:rFonts w:hint="eastAsia" w:hAnsi="宋体" w:cs="宋体"/>
          <w:color w:val="auto"/>
          <w:szCs w:val="24"/>
          <w:highlight w:val="none"/>
        </w:rPr>
        <w:fldChar w:fldCharType="end"/>
      </w:r>
    </w:p>
    <w:p w14:paraId="3D02FAD1">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_Toc8989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15．评标</w:t>
      </w:r>
      <w:r>
        <w:rPr>
          <w:color w:val="auto"/>
          <w:highlight w:val="none"/>
        </w:rPr>
        <w:tab/>
      </w:r>
      <w:r>
        <w:rPr>
          <w:color w:val="auto"/>
          <w:highlight w:val="none"/>
        </w:rPr>
        <w:fldChar w:fldCharType="begin"/>
      </w:r>
      <w:r>
        <w:rPr>
          <w:color w:val="auto"/>
          <w:highlight w:val="none"/>
        </w:rPr>
        <w:instrText xml:space="preserve"> PAGEREF _Toc8989 \h </w:instrText>
      </w:r>
      <w:r>
        <w:rPr>
          <w:color w:val="auto"/>
          <w:highlight w:val="none"/>
        </w:rPr>
        <w:fldChar w:fldCharType="separate"/>
      </w:r>
      <w:r>
        <w:rPr>
          <w:color w:val="auto"/>
          <w:highlight w:val="none"/>
        </w:rPr>
        <w:t>20</w:t>
      </w:r>
      <w:r>
        <w:rPr>
          <w:color w:val="auto"/>
          <w:highlight w:val="none"/>
        </w:rPr>
        <w:fldChar w:fldCharType="end"/>
      </w:r>
      <w:r>
        <w:rPr>
          <w:rFonts w:hint="eastAsia" w:hAnsi="宋体" w:cs="宋体"/>
          <w:color w:val="auto"/>
          <w:szCs w:val="24"/>
          <w:highlight w:val="none"/>
        </w:rPr>
        <w:fldChar w:fldCharType="end"/>
      </w:r>
    </w:p>
    <w:p w14:paraId="4A369EC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_Toc23668 </w:instrText>
      </w:r>
      <w:r>
        <w:rPr>
          <w:rFonts w:hint="eastAsia" w:hAnsi="宋体" w:cs="宋体"/>
          <w:color w:val="auto"/>
          <w:szCs w:val="24"/>
          <w:highlight w:val="none"/>
        </w:rPr>
        <w:fldChar w:fldCharType="separate"/>
      </w:r>
      <w:r>
        <w:rPr>
          <w:rFonts w:hint="eastAsia" w:hAnsi="宋体" w:cs="宋体"/>
          <w:snapToGrid w:val="0"/>
          <w:color w:val="auto"/>
          <w:szCs w:val="24"/>
          <w:highlight w:val="none"/>
        </w:rPr>
        <w:t>16．推荐中标候选人</w:t>
      </w:r>
      <w:r>
        <w:rPr>
          <w:color w:val="auto"/>
          <w:highlight w:val="none"/>
        </w:rPr>
        <w:tab/>
      </w:r>
      <w:r>
        <w:rPr>
          <w:color w:val="auto"/>
          <w:highlight w:val="none"/>
        </w:rPr>
        <w:fldChar w:fldCharType="begin"/>
      </w:r>
      <w:r>
        <w:rPr>
          <w:color w:val="auto"/>
          <w:highlight w:val="none"/>
        </w:rPr>
        <w:instrText xml:space="preserve"> PAGEREF _Toc23668 \h </w:instrText>
      </w:r>
      <w:r>
        <w:rPr>
          <w:color w:val="auto"/>
          <w:highlight w:val="none"/>
        </w:rPr>
        <w:fldChar w:fldCharType="separate"/>
      </w:r>
      <w:r>
        <w:rPr>
          <w:color w:val="auto"/>
          <w:highlight w:val="none"/>
        </w:rPr>
        <w:t>29</w:t>
      </w:r>
      <w:r>
        <w:rPr>
          <w:color w:val="auto"/>
          <w:highlight w:val="none"/>
        </w:rPr>
        <w:fldChar w:fldCharType="end"/>
      </w:r>
      <w:r>
        <w:rPr>
          <w:rFonts w:hint="eastAsia" w:hAnsi="宋体" w:cs="宋体"/>
          <w:color w:val="auto"/>
          <w:szCs w:val="24"/>
          <w:highlight w:val="none"/>
        </w:rPr>
        <w:fldChar w:fldCharType="end"/>
      </w:r>
    </w:p>
    <w:p w14:paraId="2868C0B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_Toc22756 </w:instrText>
      </w:r>
      <w:r>
        <w:rPr>
          <w:rFonts w:hint="eastAsia" w:hAnsi="宋体" w:cs="宋体"/>
          <w:color w:val="auto"/>
          <w:szCs w:val="24"/>
          <w:highlight w:val="none"/>
        </w:rPr>
        <w:fldChar w:fldCharType="separate"/>
      </w:r>
      <w:r>
        <w:rPr>
          <w:rFonts w:hint="eastAsia" w:ascii="宋体" w:hAnsi="宋体" w:eastAsia="宋体" w:cs="宋体"/>
          <w:snapToGrid w:val="0"/>
          <w:color w:val="auto"/>
          <w:kern w:val="0"/>
          <w:highlight w:val="none"/>
        </w:rPr>
        <w:t>1</w:t>
      </w:r>
      <w:r>
        <w:rPr>
          <w:rFonts w:hint="eastAsia" w:ascii="宋体" w:hAnsi="宋体" w:eastAsia="宋体" w:cs="宋体"/>
          <w:snapToGrid w:val="0"/>
          <w:color w:val="auto"/>
          <w:kern w:val="0"/>
          <w:highlight w:val="none"/>
          <w:lang w:val="en-US" w:eastAsia="zh-CN"/>
        </w:rPr>
        <w:t>7</w:t>
      </w:r>
      <w:r>
        <w:rPr>
          <w:rFonts w:hint="eastAsia" w:ascii="宋体" w:hAnsi="宋体" w:eastAsia="宋体" w:cs="宋体"/>
          <w:snapToGrid w:val="0"/>
          <w:color w:val="auto"/>
          <w:kern w:val="0"/>
          <w:highlight w:val="none"/>
        </w:rPr>
        <w:t>.中标候选人公示</w:t>
      </w:r>
      <w:r>
        <w:rPr>
          <w:color w:val="auto"/>
          <w:highlight w:val="none"/>
        </w:rPr>
        <w:tab/>
      </w:r>
      <w:r>
        <w:rPr>
          <w:color w:val="auto"/>
          <w:highlight w:val="none"/>
        </w:rPr>
        <w:fldChar w:fldCharType="begin"/>
      </w:r>
      <w:r>
        <w:rPr>
          <w:color w:val="auto"/>
          <w:highlight w:val="none"/>
        </w:rPr>
        <w:instrText xml:space="preserve"> PAGEREF _Toc22756 \h </w:instrText>
      </w:r>
      <w:r>
        <w:rPr>
          <w:color w:val="auto"/>
          <w:highlight w:val="none"/>
        </w:rPr>
        <w:fldChar w:fldCharType="separate"/>
      </w:r>
      <w:r>
        <w:rPr>
          <w:color w:val="auto"/>
          <w:highlight w:val="none"/>
        </w:rPr>
        <w:t>29</w:t>
      </w:r>
      <w:r>
        <w:rPr>
          <w:color w:val="auto"/>
          <w:highlight w:val="none"/>
        </w:rPr>
        <w:fldChar w:fldCharType="end"/>
      </w:r>
      <w:r>
        <w:rPr>
          <w:rFonts w:hint="eastAsia" w:hAnsi="宋体" w:cs="宋体"/>
          <w:color w:val="auto"/>
          <w:szCs w:val="24"/>
          <w:highlight w:val="none"/>
        </w:rPr>
        <w:fldChar w:fldCharType="end"/>
      </w:r>
    </w:p>
    <w:p w14:paraId="35168E0B">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_Toc17009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_Toc17009 \h </w:instrText>
      </w:r>
      <w:r>
        <w:rPr>
          <w:color w:val="auto"/>
          <w:highlight w:val="none"/>
        </w:rPr>
        <w:fldChar w:fldCharType="separate"/>
      </w:r>
      <w:r>
        <w:rPr>
          <w:color w:val="auto"/>
          <w:highlight w:val="none"/>
        </w:rPr>
        <w:t>31</w:t>
      </w:r>
      <w:r>
        <w:rPr>
          <w:color w:val="auto"/>
          <w:highlight w:val="none"/>
        </w:rPr>
        <w:fldChar w:fldCharType="end"/>
      </w:r>
      <w:r>
        <w:rPr>
          <w:rFonts w:hint="eastAsia" w:hAnsi="宋体" w:cs="宋体"/>
          <w:color w:val="auto"/>
          <w:szCs w:val="24"/>
          <w:highlight w:val="none"/>
        </w:rPr>
        <w:fldChar w:fldCharType="end"/>
      </w:r>
    </w:p>
    <w:p w14:paraId="3A4AB3C0">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_Toc8541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1．资格评审环节</w:t>
      </w:r>
      <w:r>
        <w:rPr>
          <w:color w:val="auto"/>
          <w:highlight w:val="none"/>
        </w:rPr>
        <w:tab/>
      </w:r>
      <w:r>
        <w:rPr>
          <w:color w:val="auto"/>
          <w:highlight w:val="none"/>
        </w:rPr>
        <w:fldChar w:fldCharType="begin"/>
      </w:r>
      <w:r>
        <w:rPr>
          <w:color w:val="auto"/>
          <w:highlight w:val="none"/>
        </w:rPr>
        <w:instrText xml:space="preserve"> PAGEREF _Toc8541 \h </w:instrText>
      </w:r>
      <w:r>
        <w:rPr>
          <w:color w:val="auto"/>
          <w:highlight w:val="none"/>
        </w:rPr>
        <w:fldChar w:fldCharType="separate"/>
      </w:r>
      <w:r>
        <w:rPr>
          <w:color w:val="auto"/>
          <w:highlight w:val="none"/>
        </w:rPr>
        <w:t>31</w:t>
      </w:r>
      <w:r>
        <w:rPr>
          <w:color w:val="auto"/>
          <w:highlight w:val="none"/>
        </w:rPr>
        <w:fldChar w:fldCharType="end"/>
      </w:r>
      <w:r>
        <w:rPr>
          <w:rFonts w:hint="eastAsia" w:hAnsi="宋体" w:cs="宋体"/>
          <w:color w:val="auto"/>
          <w:szCs w:val="24"/>
          <w:highlight w:val="none"/>
        </w:rPr>
        <w:fldChar w:fldCharType="end"/>
      </w:r>
    </w:p>
    <w:p w14:paraId="41A1BB7F">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_Toc22542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2．形式评审环节</w:t>
      </w:r>
      <w:r>
        <w:rPr>
          <w:color w:val="auto"/>
          <w:highlight w:val="none"/>
        </w:rPr>
        <w:tab/>
      </w:r>
      <w:r>
        <w:rPr>
          <w:color w:val="auto"/>
          <w:highlight w:val="none"/>
        </w:rPr>
        <w:fldChar w:fldCharType="begin"/>
      </w:r>
      <w:r>
        <w:rPr>
          <w:color w:val="auto"/>
          <w:highlight w:val="none"/>
        </w:rPr>
        <w:instrText xml:space="preserve"> PAGEREF _Toc22542 \h </w:instrText>
      </w:r>
      <w:r>
        <w:rPr>
          <w:color w:val="auto"/>
          <w:highlight w:val="none"/>
        </w:rPr>
        <w:fldChar w:fldCharType="separate"/>
      </w:r>
      <w:r>
        <w:rPr>
          <w:color w:val="auto"/>
          <w:highlight w:val="none"/>
        </w:rPr>
        <w:t>32</w:t>
      </w:r>
      <w:r>
        <w:rPr>
          <w:color w:val="auto"/>
          <w:highlight w:val="none"/>
        </w:rPr>
        <w:fldChar w:fldCharType="end"/>
      </w:r>
      <w:r>
        <w:rPr>
          <w:rFonts w:hint="eastAsia" w:hAnsi="宋体" w:cs="宋体"/>
          <w:color w:val="auto"/>
          <w:szCs w:val="24"/>
          <w:highlight w:val="none"/>
        </w:rPr>
        <w:fldChar w:fldCharType="end"/>
      </w:r>
    </w:p>
    <w:p w14:paraId="5B6FDA13">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_Toc1804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_Toc1804 \h </w:instrText>
      </w:r>
      <w:r>
        <w:rPr>
          <w:color w:val="auto"/>
          <w:highlight w:val="none"/>
        </w:rPr>
        <w:fldChar w:fldCharType="separate"/>
      </w:r>
      <w:r>
        <w:rPr>
          <w:color w:val="auto"/>
          <w:highlight w:val="none"/>
        </w:rPr>
        <w:t>32</w:t>
      </w:r>
      <w:r>
        <w:rPr>
          <w:color w:val="auto"/>
          <w:highlight w:val="none"/>
        </w:rPr>
        <w:fldChar w:fldCharType="end"/>
      </w:r>
      <w:r>
        <w:rPr>
          <w:rFonts w:hint="eastAsia" w:hAnsi="宋体" w:cs="宋体"/>
          <w:color w:val="auto"/>
          <w:szCs w:val="24"/>
          <w:highlight w:val="none"/>
        </w:rPr>
        <w:fldChar w:fldCharType="end"/>
      </w:r>
    </w:p>
    <w:p w14:paraId="2853B870">
      <w:pPr>
        <w:pStyle w:val="15"/>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_Toc22668 </w:instrText>
      </w:r>
      <w:r>
        <w:rPr>
          <w:rFonts w:hint="eastAsia" w:hAnsi="宋体" w:cs="宋体"/>
          <w:color w:val="auto"/>
          <w:szCs w:val="24"/>
          <w:highlight w:val="none"/>
        </w:rPr>
        <w:fldChar w:fldCharType="separate"/>
      </w:r>
      <w:r>
        <w:rPr>
          <w:rFonts w:hint="eastAsia" w:hAnsi="宋体" w:cs="宋体"/>
          <w:bCs/>
          <w:snapToGrid w:val="0"/>
          <w:color w:val="auto"/>
          <w:kern w:val="0"/>
          <w:highlight w:val="none"/>
        </w:rPr>
        <w:t>4．其他</w:t>
      </w:r>
      <w:r>
        <w:rPr>
          <w:color w:val="auto"/>
          <w:highlight w:val="none"/>
        </w:rPr>
        <w:tab/>
      </w:r>
      <w:r>
        <w:rPr>
          <w:color w:val="auto"/>
          <w:highlight w:val="none"/>
        </w:rPr>
        <w:fldChar w:fldCharType="begin"/>
      </w:r>
      <w:r>
        <w:rPr>
          <w:color w:val="auto"/>
          <w:highlight w:val="none"/>
        </w:rPr>
        <w:instrText xml:space="preserve"> PAGEREF _Toc22668 \h </w:instrText>
      </w:r>
      <w:r>
        <w:rPr>
          <w:color w:val="auto"/>
          <w:highlight w:val="none"/>
        </w:rPr>
        <w:fldChar w:fldCharType="separate"/>
      </w:r>
      <w:r>
        <w:rPr>
          <w:color w:val="auto"/>
          <w:highlight w:val="none"/>
        </w:rPr>
        <w:t>32</w:t>
      </w:r>
      <w:r>
        <w:rPr>
          <w:color w:val="auto"/>
          <w:highlight w:val="none"/>
        </w:rPr>
        <w:fldChar w:fldCharType="end"/>
      </w:r>
      <w:r>
        <w:rPr>
          <w:rFonts w:hint="eastAsia" w:hAnsi="宋体" w:cs="宋体"/>
          <w:color w:val="auto"/>
          <w:szCs w:val="24"/>
          <w:highlight w:val="none"/>
        </w:rPr>
        <w:fldChar w:fldCharType="end"/>
      </w:r>
    </w:p>
    <w:p w14:paraId="44B608E3">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_Toc401 </w:instrText>
      </w:r>
      <w:r>
        <w:rPr>
          <w:rFonts w:hint="eastAsia" w:hAnsi="宋体" w:cs="宋体"/>
          <w:color w:val="auto"/>
          <w:szCs w:val="24"/>
          <w:highlight w:val="none"/>
        </w:rPr>
        <w:fldChar w:fldCharType="separate"/>
      </w:r>
      <w:r>
        <w:rPr>
          <w:rFonts w:hint="eastAsia" w:hAnsi="宋体" w:cs="宋体"/>
          <w:snapToGrid w:val="0"/>
          <w:color w:val="auto"/>
          <w:szCs w:val="22"/>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_Toc401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13810C56">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_Toc17192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1．中标通知书</w:t>
      </w:r>
      <w:r>
        <w:rPr>
          <w:color w:val="auto"/>
          <w:highlight w:val="none"/>
        </w:rPr>
        <w:tab/>
      </w:r>
      <w:r>
        <w:rPr>
          <w:color w:val="auto"/>
          <w:highlight w:val="none"/>
        </w:rPr>
        <w:fldChar w:fldCharType="begin"/>
      </w:r>
      <w:r>
        <w:rPr>
          <w:color w:val="auto"/>
          <w:highlight w:val="none"/>
        </w:rPr>
        <w:instrText xml:space="preserve"> PAGEREF _Toc17192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09285EA5">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_Toc18659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2．中标结果公示</w:t>
      </w:r>
      <w:r>
        <w:rPr>
          <w:color w:val="auto"/>
          <w:highlight w:val="none"/>
        </w:rPr>
        <w:tab/>
      </w:r>
      <w:r>
        <w:rPr>
          <w:color w:val="auto"/>
          <w:highlight w:val="none"/>
        </w:rPr>
        <w:fldChar w:fldCharType="begin"/>
      </w:r>
      <w:r>
        <w:rPr>
          <w:color w:val="auto"/>
          <w:highlight w:val="none"/>
        </w:rPr>
        <w:instrText xml:space="preserve"> PAGEREF _Toc18659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74273051">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_Toc5857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3</w:t>
      </w:r>
      <w:r>
        <w:rPr>
          <w:rFonts w:hint="eastAsia" w:hAnsi="宋体" w:cs="宋体"/>
          <w:bCs/>
          <w:snapToGrid w:val="0"/>
          <w:color w:val="auto"/>
          <w:kern w:val="0"/>
          <w:szCs w:val="24"/>
          <w:highlight w:val="none"/>
        </w:rPr>
        <w:t>．履约保证</w:t>
      </w:r>
      <w:r>
        <w:rPr>
          <w:color w:val="auto"/>
          <w:highlight w:val="none"/>
        </w:rPr>
        <w:tab/>
      </w:r>
      <w:r>
        <w:rPr>
          <w:color w:val="auto"/>
          <w:highlight w:val="none"/>
        </w:rPr>
        <w:fldChar w:fldCharType="begin"/>
      </w:r>
      <w:r>
        <w:rPr>
          <w:color w:val="auto"/>
          <w:highlight w:val="none"/>
        </w:rPr>
        <w:instrText xml:space="preserve"> PAGEREF _Toc5857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75EBF917">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_Toc4933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4.合同订立</w:t>
      </w:r>
      <w:r>
        <w:rPr>
          <w:color w:val="auto"/>
          <w:highlight w:val="none"/>
        </w:rPr>
        <w:tab/>
      </w:r>
      <w:r>
        <w:rPr>
          <w:color w:val="auto"/>
          <w:highlight w:val="none"/>
        </w:rPr>
        <w:fldChar w:fldCharType="begin"/>
      </w:r>
      <w:r>
        <w:rPr>
          <w:color w:val="auto"/>
          <w:highlight w:val="none"/>
        </w:rPr>
        <w:instrText xml:space="preserve"> PAGEREF _Toc4933 \h </w:instrText>
      </w:r>
      <w:r>
        <w:rPr>
          <w:color w:val="auto"/>
          <w:highlight w:val="none"/>
        </w:rPr>
        <w:fldChar w:fldCharType="separate"/>
      </w:r>
      <w:r>
        <w:rPr>
          <w:color w:val="auto"/>
          <w:highlight w:val="none"/>
        </w:rPr>
        <w:t>34</w:t>
      </w:r>
      <w:r>
        <w:rPr>
          <w:color w:val="auto"/>
          <w:highlight w:val="none"/>
        </w:rPr>
        <w:fldChar w:fldCharType="end"/>
      </w:r>
      <w:r>
        <w:rPr>
          <w:rFonts w:hint="eastAsia" w:hAnsi="宋体" w:cs="宋体"/>
          <w:color w:val="auto"/>
          <w:szCs w:val="24"/>
          <w:highlight w:val="none"/>
        </w:rPr>
        <w:fldChar w:fldCharType="end"/>
      </w:r>
    </w:p>
    <w:p w14:paraId="0D7BF367">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_Toc7981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5</w:t>
      </w:r>
      <w:r>
        <w:rPr>
          <w:rFonts w:hint="eastAsia" w:hAnsi="宋体" w:cs="宋体"/>
          <w:bCs/>
          <w:snapToGrid w:val="0"/>
          <w:color w:val="auto"/>
          <w:kern w:val="0"/>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_Toc7981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4DA8DE1A">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_Toc7088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6</w:t>
      </w:r>
      <w:r>
        <w:rPr>
          <w:rFonts w:hint="eastAsia" w:hAnsi="宋体" w:cs="宋体"/>
          <w:bCs/>
          <w:snapToGrid w:val="0"/>
          <w:color w:val="auto"/>
          <w:kern w:val="0"/>
          <w:szCs w:val="24"/>
          <w:highlight w:val="none"/>
        </w:rPr>
        <w:t>．分包</w:t>
      </w:r>
      <w:r>
        <w:rPr>
          <w:color w:val="auto"/>
          <w:highlight w:val="none"/>
        </w:rPr>
        <w:tab/>
      </w:r>
      <w:r>
        <w:rPr>
          <w:color w:val="auto"/>
          <w:highlight w:val="none"/>
        </w:rPr>
        <w:fldChar w:fldCharType="begin"/>
      </w:r>
      <w:r>
        <w:rPr>
          <w:color w:val="auto"/>
          <w:highlight w:val="none"/>
        </w:rPr>
        <w:instrText xml:space="preserve"> PAGEREF _Toc7088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0AAC41D7">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_Toc6953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7</w:t>
      </w:r>
      <w:r>
        <w:rPr>
          <w:rFonts w:hint="eastAsia" w:hAnsi="宋体" w:cs="宋体"/>
          <w:bCs/>
          <w:snapToGrid w:val="0"/>
          <w:color w:val="auto"/>
          <w:kern w:val="0"/>
          <w:szCs w:val="24"/>
          <w:highlight w:val="none"/>
        </w:rPr>
        <w:t>．监理服务期限</w:t>
      </w:r>
      <w:r>
        <w:rPr>
          <w:color w:val="auto"/>
          <w:highlight w:val="none"/>
        </w:rPr>
        <w:tab/>
      </w:r>
      <w:r>
        <w:rPr>
          <w:color w:val="auto"/>
          <w:highlight w:val="none"/>
        </w:rPr>
        <w:fldChar w:fldCharType="begin"/>
      </w:r>
      <w:r>
        <w:rPr>
          <w:color w:val="auto"/>
          <w:highlight w:val="none"/>
        </w:rPr>
        <w:instrText xml:space="preserve"> PAGEREF _Toc6953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olor w:val="auto"/>
          <w:szCs w:val="24"/>
          <w:highlight w:val="none"/>
        </w:rPr>
        <w:fldChar w:fldCharType="end"/>
      </w:r>
    </w:p>
    <w:p w14:paraId="3955497A">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_Toc31907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lang w:val="en-US" w:eastAsia="zh-CN"/>
        </w:rPr>
        <w:t>8</w:t>
      </w:r>
      <w:r>
        <w:rPr>
          <w:rFonts w:hint="eastAsia" w:hAnsi="宋体" w:cs="宋体"/>
          <w:bCs/>
          <w:snapToGrid w:val="0"/>
          <w:color w:val="auto"/>
          <w:kern w:val="0"/>
          <w:szCs w:val="24"/>
          <w:highlight w:val="none"/>
        </w:rPr>
        <w:t>．项目监理机构</w:t>
      </w:r>
      <w:r>
        <w:rPr>
          <w:color w:val="auto"/>
          <w:highlight w:val="none"/>
        </w:rPr>
        <w:tab/>
      </w:r>
      <w:r>
        <w:rPr>
          <w:color w:val="auto"/>
          <w:highlight w:val="none"/>
        </w:rPr>
        <w:fldChar w:fldCharType="begin"/>
      </w:r>
      <w:r>
        <w:rPr>
          <w:color w:val="auto"/>
          <w:highlight w:val="none"/>
        </w:rPr>
        <w:instrText xml:space="preserve"> PAGEREF _Toc31907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3FD75F65">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_Toc15281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9</w:t>
      </w:r>
      <w:r>
        <w:rPr>
          <w:rFonts w:hint="eastAsia" w:hAnsi="宋体" w:cs="宋体"/>
          <w:snapToGrid w:val="0"/>
          <w:color w:val="auto"/>
          <w:kern w:val="0"/>
          <w:szCs w:val="24"/>
          <w:highlight w:val="none"/>
        </w:rPr>
        <w:t>．安全防护</w:t>
      </w:r>
      <w:r>
        <w:rPr>
          <w:color w:val="auto"/>
          <w:highlight w:val="none"/>
        </w:rPr>
        <w:tab/>
      </w:r>
      <w:r>
        <w:rPr>
          <w:color w:val="auto"/>
          <w:highlight w:val="none"/>
        </w:rPr>
        <w:fldChar w:fldCharType="begin"/>
      </w:r>
      <w:r>
        <w:rPr>
          <w:color w:val="auto"/>
          <w:highlight w:val="none"/>
        </w:rPr>
        <w:instrText xml:space="preserve"> PAGEREF _Toc15281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2819528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_Toc2694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lang w:val="en-US" w:eastAsia="zh-CN"/>
        </w:rPr>
        <w:t>10</w:t>
      </w:r>
      <w:r>
        <w:rPr>
          <w:rFonts w:hint="eastAsia" w:hAnsi="宋体" w:cs="宋体"/>
          <w:snapToGrid w:val="0"/>
          <w:color w:val="auto"/>
          <w:kern w:val="0"/>
          <w:szCs w:val="24"/>
          <w:highlight w:val="none"/>
        </w:rPr>
        <w:t>．接受监督</w:t>
      </w:r>
      <w:r>
        <w:rPr>
          <w:color w:val="auto"/>
          <w:highlight w:val="none"/>
        </w:rPr>
        <w:tab/>
      </w:r>
      <w:r>
        <w:rPr>
          <w:color w:val="auto"/>
          <w:highlight w:val="none"/>
        </w:rPr>
        <w:fldChar w:fldCharType="begin"/>
      </w:r>
      <w:r>
        <w:rPr>
          <w:color w:val="auto"/>
          <w:highlight w:val="none"/>
        </w:rPr>
        <w:instrText xml:space="preserve"> PAGEREF _Toc2694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1F210F2B">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_Toc5818 </w:instrText>
      </w:r>
      <w:r>
        <w:rPr>
          <w:rFonts w:hint="eastAsia" w:hAnsi="宋体" w:cs="宋体"/>
          <w:color w:val="auto"/>
          <w:szCs w:val="24"/>
          <w:highlight w:val="none"/>
        </w:rPr>
        <w:fldChar w:fldCharType="separate"/>
      </w:r>
      <w:r>
        <w:rPr>
          <w:rFonts w:hint="eastAsia" w:hAnsi="宋体" w:cs="宋体"/>
          <w:snapToGrid w:val="0"/>
          <w:color w:val="auto"/>
          <w:kern w:val="0"/>
          <w:szCs w:val="24"/>
          <w:highlight w:val="none"/>
        </w:rPr>
        <w:t>1</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rPr>
        <w:t>．监理档案移交</w:t>
      </w:r>
      <w:r>
        <w:rPr>
          <w:color w:val="auto"/>
          <w:highlight w:val="none"/>
        </w:rPr>
        <w:tab/>
      </w:r>
      <w:r>
        <w:rPr>
          <w:color w:val="auto"/>
          <w:highlight w:val="none"/>
        </w:rPr>
        <w:fldChar w:fldCharType="begin"/>
      </w:r>
      <w:r>
        <w:rPr>
          <w:color w:val="auto"/>
          <w:highlight w:val="none"/>
        </w:rPr>
        <w:instrText xml:space="preserve"> PAGEREF _Toc5818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5B6B91AF">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_Toc29177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w:t>
      </w:r>
      <w:r>
        <w:rPr>
          <w:rFonts w:hint="eastAsia" w:hAnsi="宋体" w:cs="宋体"/>
          <w:bCs/>
          <w:snapToGrid w:val="0"/>
          <w:color w:val="auto"/>
          <w:kern w:val="0"/>
          <w:szCs w:val="24"/>
          <w:highlight w:val="none"/>
          <w:lang w:val="en-US" w:eastAsia="zh-CN"/>
        </w:rPr>
        <w:t>2</w:t>
      </w:r>
      <w:r>
        <w:rPr>
          <w:rFonts w:hint="eastAsia" w:hAnsi="宋体" w:cs="宋体"/>
          <w:snapToGrid w:val="0"/>
          <w:color w:val="auto"/>
          <w:kern w:val="0"/>
          <w:szCs w:val="24"/>
          <w:highlight w:val="none"/>
        </w:rPr>
        <w:t>．不良行为处理</w:t>
      </w:r>
      <w:r>
        <w:rPr>
          <w:color w:val="auto"/>
          <w:highlight w:val="none"/>
        </w:rPr>
        <w:tab/>
      </w:r>
      <w:r>
        <w:rPr>
          <w:color w:val="auto"/>
          <w:highlight w:val="none"/>
        </w:rPr>
        <w:fldChar w:fldCharType="begin"/>
      </w:r>
      <w:r>
        <w:rPr>
          <w:color w:val="auto"/>
          <w:highlight w:val="none"/>
        </w:rPr>
        <w:instrText xml:space="preserve"> PAGEREF _Toc29177 \h </w:instrText>
      </w:r>
      <w:r>
        <w:rPr>
          <w:color w:val="auto"/>
          <w:highlight w:val="none"/>
        </w:rPr>
        <w:fldChar w:fldCharType="separate"/>
      </w:r>
      <w:r>
        <w:rPr>
          <w:color w:val="auto"/>
          <w:highlight w:val="none"/>
        </w:rPr>
        <w:t>36</w:t>
      </w:r>
      <w:r>
        <w:rPr>
          <w:color w:val="auto"/>
          <w:highlight w:val="none"/>
        </w:rPr>
        <w:fldChar w:fldCharType="end"/>
      </w:r>
      <w:r>
        <w:rPr>
          <w:rFonts w:hint="eastAsia" w:hAnsi="宋体" w:cs="宋体"/>
          <w:color w:val="auto"/>
          <w:szCs w:val="24"/>
          <w:highlight w:val="none"/>
        </w:rPr>
        <w:fldChar w:fldCharType="end"/>
      </w:r>
    </w:p>
    <w:p w14:paraId="76D0EA0E">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_Toc25306 </w:instrText>
      </w:r>
      <w:r>
        <w:rPr>
          <w:rFonts w:hint="eastAsia" w:hAnsi="宋体" w:cs="宋体"/>
          <w:color w:val="auto"/>
          <w:szCs w:val="24"/>
          <w:highlight w:val="none"/>
        </w:rPr>
        <w:fldChar w:fldCharType="separate"/>
      </w:r>
      <w:r>
        <w:rPr>
          <w:rFonts w:hint="eastAsia" w:ascii="宋体" w:hAnsi="宋体" w:cs="宋体"/>
          <w:bCs/>
          <w:snapToGrid w:val="0"/>
          <w:color w:val="auto"/>
          <w:kern w:val="0"/>
          <w:szCs w:val="24"/>
          <w:highlight w:val="none"/>
        </w:rPr>
        <w:t>1</w:t>
      </w:r>
      <w:r>
        <w:rPr>
          <w:rFonts w:hint="eastAsia" w:ascii="宋体" w:hAnsi="宋体" w:cs="宋体"/>
          <w:bCs/>
          <w:snapToGrid w:val="0"/>
          <w:color w:val="auto"/>
          <w:kern w:val="0"/>
          <w:szCs w:val="24"/>
          <w:highlight w:val="none"/>
          <w:lang w:val="en-US" w:eastAsia="zh-CN"/>
        </w:rPr>
        <w:t>3</w:t>
      </w:r>
      <w:r>
        <w:rPr>
          <w:rFonts w:hint="eastAsia" w:ascii="宋体" w:hAnsi="宋体" w:cs="宋体"/>
          <w:snapToGrid w:val="0"/>
          <w:color w:val="auto"/>
          <w:kern w:val="0"/>
          <w:szCs w:val="24"/>
          <w:highlight w:val="none"/>
        </w:rPr>
        <w:t>．</w:t>
      </w:r>
      <w:r>
        <w:rPr>
          <w:rFonts w:hint="eastAsia" w:ascii="宋体" w:hAnsi="宋体" w:cs="宋体"/>
          <w:bCs/>
          <w:snapToGrid w:val="0"/>
          <w:color w:val="auto"/>
          <w:kern w:val="0"/>
          <w:szCs w:val="24"/>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_Toc25306 \h </w:instrText>
      </w:r>
      <w:r>
        <w:rPr>
          <w:color w:val="auto"/>
          <w:highlight w:val="none"/>
        </w:rPr>
        <w:fldChar w:fldCharType="separate"/>
      </w:r>
      <w:r>
        <w:rPr>
          <w:color w:val="auto"/>
          <w:highlight w:val="none"/>
        </w:rPr>
        <w:t>37</w:t>
      </w:r>
      <w:r>
        <w:rPr>
          <w:color w:val="auto"/>
          <w:highlight w:val="none"/>
        </w:rPr>
        <w:fldChar w:fldCharType="end"/>
      </w:r>
      <w:r>
        <w:rPr>
          <w:rFonts w:hint="eastAsia" w:hAnsi="宋体" w:cs="宋体"/>
          <w:color w:val="auto"/>
          <w:szCs w:val="24"/>
          <w:highlight w:val="none"/>
        </w:rPr>
        <w:fldChar w:fldCharType="end"/>
      </w:r>
    </w:p>
    <w:p w14:paraId="54FEA325">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_Toc16840 </w:instrText>
      </w:r>
      <w:r>
        <w:rPr>
          <w:rFonts w:hint="eastAsia" w:hAnsi="宋体" w:cs="宋体"/>
          <w:color w:val="auto"/>
          <w:szCs w:val="24"/>
          <w:highlight w:val="none"/>
        </w:rPr>
        <w:fldChar w:fldCharType="separate"/>
      </w:r>
      <w:r>
        <w:rPr>
          <w:rFonts w:hint="eastAsia" w:hAnsi="宋体" w:cs="宋体"/>
          <w:snapToGrid w:val="0"/>
          <w:color w:val="auto"/>
          <w:szCs w:val="32"/>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_Toc16840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4CB09E6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_Toc9210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1．现场办公条件</w:t>
      </w:r>
      <w:r>
        <w:rPr>
          <w:color w:val="auto"/>
          <w:highlight w:val="none"/>
        </w:rPr>
        <w:tab/>
      </w:r>
      <w:r>
        <w:rPr>
          <w:color w:val="auto"/>
          <w:highlight w:val="none"/>
        </w:rPr>
        <w:fldChar w:fldCharType="begin"/>
      </w:r>
      <w:r>
        <w:rPr>
          <w:color w:val="auto"/>
          <w:highlight w:val="none"/>
        </w:rPr>
        <w:instrText xml:space="preserve"> PAGEREF _Toc9210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130DB693">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_Toc1375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2．监理服务费</w:t>
      </w:r>
      <w:r>
        <w:rPr>
          <w:color w:val="auto"/>
          <w:highlight w:val="none"/>
        </w:rPr>
        <w:tab/>
      </w:r>
      <w:r>
        <w:rPr>
          <w:color w:val="auto"/>
          <w:highlight w:val="none"/>
        </w:rPr>
        <w:fldChar w:fldCharType="begin"/>
      </w:r>
      <w:r>
        <w:rPr>
          <w:color w:val="auto"/>
          <w:highlight w:val="none"/>
        </w:rPr>
        <w:instrText xml:space="preserve"> PAGEREF _Toc1375 \h </w:instrText>
      </w:r>
      <w:r>
        <w:rPr>
          <w:color w:val="auto"/>
          <w:highlight w:val="none"/>
        </w:rPr>
        <w:fldChar w:fldCharType="separate"/>
      </w:r>
      <w:r>
        <w:rPr>
          <w:color w:val="auto"/>
          <w:highlight w:val="none"/>
        </w:rPr>
        <w:t>38</w:t>
      </w:r>
      <w:r>
        <w:rPr>
          <w:color w:val="auto"/>
          <w:highlight w:val="none"/>
        </w:rPr>
        <w:fldChar w:fldCharType="end"/>
      </w:r>
      <w:r>
        <w:rPr>
          <w:rFonts w:hint="eastAsia" w:hAnsi="宋体" w:cs="宋体"/>
          <w:color w:val="auto"/>
          <w:szCs w:val="24"/>
          <w:highlight w:val="none"/>
        </w:rPr>
        <w:fldChar w:fldCharType="end"/>
      </w:r>
    </w:p>
    <w:p w14:paraId="0BB35D74">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_Toc31344 </w:instrText>
      </w:r>
      <w:r>
        <w:rPr>
          <w:rFonts w:hint="eastAsia" w:hAnsi="宋体" w:cs="宋体"/>
          <w:color w:val="auto"/>
          <w:szCs w:val="24"/>
          <w:highlight w:val="none"/>
        </w:rPr>
        <w:fldChar w:fldCharType="separate"/>
      </w:r>
      <w:r>
        <w:rPr>
          <w:rFonts w:hint="eastAsia" w:ascii="宋体" w:hAnsi="宋体" w:eastAsia="宋体" w:cs="宋体"/>
          <w:bCs/>
          <w:snapToGrid w:val="0"/>
          <w:color w:val="auto"/>
          <w:kern w:val="0"/>
          <w:szCs w:val="24"/>
          <w:highlight w:val="none"/>
        </w:rPr>
        <w:t>3．监理服务费发票</w:t>
      </w:r>
      <w:r>
        <w:rPr>
          <w:color w:val="auto"/>
          <w:highlight w:val="none"/>
        </w:rPr>
        <w:tab/>
      </w:r>
      <w:r>
        <w:rPr>
          <w:color w:val="auto"/>
          <w:highlight w:val="none"/>
        </w:rPr>
        <w:fldChar w:fldCharType="begin"/>
      </w:r>
      <w:r>
        <w:rPr>
          <w:color w:val="auto"/>
          <w:highlight w:val="none"/>
        </w:rPr>
        <w:instrText xml:space="preserve"> PAGEREF _Toc31344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4816AA64">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_Toc31725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4．违约责任</w:t>
      </w:r>
      <w:r>
        <w:rPr>
          <w:color w:val="auto"/>
          <w:highlight w:val="none"/>
        </w:rPr>
        <w:tab/>
      </w:r>
      <w:r>
        <w:rPr>
          <w:color w:val="auto"/>
          <w:highlight w:val="none"/>
        </w:rPr>
        <w:fldChar w:fldCharType="begin"/>
      </w:r>
      <w:r>
        <w:rPr>
          <w:color w:val="auto"/>
          <w:highlight w:val="none"/>
        </w:rPr>
        <w:instrText xml:space="preserve"> PAGEREF _Toc31725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color w:val="auto"/>
          <w:szCs w:val="24"/>
          <w:highlight w:val="none"/>
        </w:rPr>
        <w:fldChar w:fldCharType="end"/>
      </w:r>
    </w:p>
    <w:p w14:paraId="6CE27B2A">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_Toc4121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5．</w:t>
      </w:r>
      <w:r>
        <w:rPr>
          <w:rFonts w:hint="eastAsia" w:hAnsi="宋体" w:cs="宋体"/>
          <w:bCs/>
          <w:snapToGrid w:val="0"/>
          <w:color w:val="auto"/>
          <w:kern w:val="0"/>
          <w:szCs w:val="24"/>
          <w:highlight w:val="none"/>
          <w:lang w:val="en-US" w:eastAsia="zh-CN"/>
        </w:rPr>
        <w:t>监理服务费的</w:t>
      </w:r>
      <w:r>
        <w:rPr>
          <w:rFonts w:hint="eastAsia" w:hAnsi="宋体" w:cs="宋体"/>
          <w:bCs/>
          <w:snapToGrid w:val="0"/>
          <w:color w:val="auto"/>
          <w:kern w:val="0"/>
          <w:szCs w:val="24"/>
          <w:highlight w:val="none"/>
        </w:rPr>
        <w:t>支付</w:t>
      </w:r>
      <w:r>
        <w:rPr>
          <w:color w:val="auto"/>
          <w:highlight w:val="none"/>
        </w:rPr>
        <w:tab/>
      </w:r>
      <w:r>
        <w:rPr>
          <w:color w:val="auto"/>
          <w:highlight w:val="none"/>
        </w:rPr>
        <w:fldChar w:fldCharType="begin"/>
      </w:r>
      <w:r>
        <w:rPr>
          <w:color w:val="auto"/>
          <w:highlight w:val="none"/>
        </w:rPr>
        <w:instrText xml:space="preserve"> PAGEREF _Toc4121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color w:val="auto"/>
          <w:szCs w:val="24"/>
          <w:highlight w:val="none"/>
        </w:rPr>
        <w:fldChar w:fldCharType="end"/>
      </w:r>
    </w:p>
    <w:p w14:paraId="6E8AE961">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_Toc6555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6．</w:t>
      </w:r>
      <w:r>
        <w:rPr>
          <w:rFonts w:hint="eastAsia" w:ascii="Times New Roman"/>
          <w:snapToGrid w:val="0"/>
          <w:color w:val="auto"/>
          <w:szCs w:val="22"/>
          <w:highlight w:val="none"/>
        </w:rPr>
        <w:t>监理人违约及违约责任</w:t>
      </w:r>
      <w:r>
        <w:rPr>
          <w:color w:val="auto"/>
          <w:highlight w:val="none"/>
        </w:rPr>
        <w:tab/>
      </w:r>
      <w:r>
        <w:rPr>
          <w:color w:val="auto"/>
          <w:highlight w:val="none"/>
        </w:rPr>
        <w:fldChar w:fldCharType="begin"/>
      </w:r>
      <w:r>
        <w:rPr>
          <w:color w:val="auto"/>
          <w:highlight w:val="none"/>
        </w:rPr>
        <w:instrText xml:space="preserve"> PAGEREF _Toc6555 \h </w:instrText>
      </w:r>
      <w:r>
        <w:rPr>
          <w:color w:val="auto"/>
          <w:highlight w:val="none"/>
        </w:rPr>
        <w:fldChar w:fldCharType="separate"/>
      </w:r>
      <w:r>
        <w:rPr>
          <w:color w:val="auto"/>
          <w:highlight w:val="none"/>
        </w:rPr>
        <w:t>42</w:t>
      </w:r>
      <w:r>
        <w:rPr>
          <w:color w:val="auto"/>
          <w:highlight w:val="none"/>
        </w:rPr>
        <w:fldChar w:fldCharType="end"/>
      </w:r>
      <w:r>
        <w:rPr>
          <w:rFonts w:hint="eastAsia" w:hAnsi="宋体" w:cs="宋体"/>
          <w:color w:val="auto"/>
          <w:szCs w:val="24"/>
          <w:highlight w:val="none"/>
        </w:rPr>
        <w:fldChar w:fldCharType="end"/>
      </w:r>
    </w:p>
    <w:p w14:paraId="56A6CE35">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_Toc15156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7. 工程质量、造价、进度控制及安全生产管理</w:t>
      </w:r>
      <w:r>
        <w:rPr>
          <w:color w:val="auto"/>
          <w:highlight w:val="none"/>
        </w:rPr>
        <w:tab/>
      </w:r>
      <w:r>
        <w:rPr>
          <w:color w:val="auto"/>
          <w:highlight w:val="none"/>
        </w:rPr>
        <w:fldChar w:fldCharType="begin"/>
      </w:r>
      <w:r>
        <w:rPr>
          <w:color w:val="auto"/>
          <w:highlight w:val="none"/>
        </w:rPr>
        <w:instrText xml:space="preserve"> PAGEREF _Toc15156 \h </w:instrText>
      </w:r>
      <w:r>
        <w:rPr>
          <w:color w:val="auto"/>
          <w:highlight w:val="none"/>
        </w:rPr>
        <w:fldChar w:fldCharType="separate"/>
      </w:r>
      <w:r>
        <w:rPr>
          <w:color w:val="auto"/>
          <w:highlight w:val="none"/>
        </w:rPr>
        <w:t>47</w:t>
      </w:r>
      <w:r>
        <w:rPr>
          <w:color w:val="auto"/>
          <w:highlight w:val="none"/>
        </w:rPr>
        <w:fldChar w:fldCharType="end"/>
      </w:r>
      <w:r>
        <w:rPr>
          <w:rFonts w:hint="eastAsia" w:hAnsi="宋体" w:cs="宋体"/>
          <w:color w:val="auto"/>
          <w:szCs w:val="24"/>
          <w:highlight w:val="none"/>
        </w:rPr>
        <w:fldChar w:fldCharType="end"/>
      </w:r>
    </w:p>
    <w:p w14:paraId="57CB4514">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_Toc11137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_Toc11137 \h </w:instrText>
      </w:r>
      <w:r>
        <w:rPr>
          <w:color w:val="auto"/>
          <w:highlight w:val="none"/>
        </w:rPr>
        <w:fldChar w:fldCharType="separate"/>
      </w:r>
      <w:r>
        <w:rPr>
          <w:color w:val="auto"/>
          <w:highlight w:val="none"/>
        </w:rPr>
        <w:t>52</w:t>
      </w:r>
      <w:r>
        <w:rPr>
          <w:color w:val="auto"/>
          <w:highlight w:val="none"/>
        </w:rPr>
        <w:fldChar w:fldCharType="end"/>
      </w:r>
      <w:r>
        <w:rPr>
          <w:rFonts w:hint="eastAsia" w:hAnsi="宋体" w:cs="宋体"/>
          <w:color w:val="auto"/>
          <w:szCs w:val="24"/>
          <w:highlight w:val="none"/>
        </w:rPr>
        <w:fldChar w:fldCharType="end"/>
      </w:r>
    </w:p>
    <w:p w14:paraId="0ED31A41">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_Toc27904 </w:instrText>
      </w:r>
      <w:r>
        <w:rPr>
          <w:rFonts w:hint="eastAsia" w:hAnsi="宋体" w:cs="宋体"/>
          <w:color w:val="auto"/>
          <w:szCs w:val="24"/>
          <w:highlight w:val="none"/>
        </w:rPr>
        <w:fldChar w:fldCharType="separate"/>
      </w:r>
      <w:r>
        <w:rPr>
          <w:rFonts w:hint="eastAsia" w:ascii="Times New Roman"/>
          <w:snapToGrid w:val="0"/>
          <w:color w:val="auto"/>
          <w:szCs w:val="22"/>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_Toc27904 \h </w:instrText>
      </w:r>
      <w:r>
        <w:rPr>
          <w:color w:val="auto"/>
          <w:highlight w:val="none"/>
        </w:rPr>
        <w:fldChar w:fldCharType="separate"/>
      </w:r>
      <w:r>
        <w:rPr>
          <w:color w:val="auto"/>
          <w:highlight w:val="none"/>
        </w:rPr>
        <w:t>54</w:t>
      </w:r>
      <w:r>
        <w:rPr>
          <w:color w:val="auto"/>
          <w:highlight w:val="none"/>
        </w:rPr>
        <w:fldChar w:fldCharType="end"/>
      </w:r>
      <w:r>
        <w:rPr>
          <w:rFonts w:hint="eastAsia" w:hAnsi="宋体" w:cs="宋体"/>
          <w:color w:val="auto"/>
          <w:szCs w:val="24"/>
          <w:highlight w:val="none"/>
        </w:rPr>
        <w:fldChar w:fldCharType="end"/>
      </w:r>
    </w:p>
    <w:p w14:paraId="3BA92CEE">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_Toc31809 </w:instrText>
      </w:r>
      <w:r>
        <w:rPr>
          <w:rFonts w:hint="eastAsia" w:hAnsi="宋体" w:cs="宋体"/>
          <w:color w:val="auto"/>
          <w:szCs w:val="24"/>
          <w:highlight w:val="none"/>
        </w:rPr>
        <w:fldChar w:fldCharType="separate"/>
      </w:r>
      <w:r>
        <w:rPr>
          <w:rFonts w:hint="eastAsia" w:ascii="Times New Roman"/>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_Toc31809 \h </w:instrText>
      </w:r>
      <w:r>
        <w:rPr>
          <w:color w:val="auto"/>
          <w:highlight w:val="none"/>
        </w:rPr>
        <w:fldChar w:fldCharType="separate"/>
      </w:r>
      <w:r>
        <w:rPr>
          <w:color w:val="auto"/>
          <w:highlight w:val="none"/>
        </w:rPr>
        <w:t>54</w:t>
      </w:r>
      <w:r>
        <w:rPr>
          <w:color w:val="auto"/>
          <w:highlight w:val="none"/>
        </w:rPr>
        <w:fldChar w:fldCharType="end"/>
      </w:r>
      <w:r>
        <w:rPr>
          <w:rFonts w:hint="eastAsia" w:hAnsi="宋体" w:cs="宋体"/>
          <w:color w:val="auto"/>
          <w:szCs w:val="24"/>
          <w:highlight w:val="none"/>
        </w:rPr>
        <w:fldChar w:fldCharType="end"/>
      </w:r>
    </w:p>
    <w:p w14:paraId="59EAEB66">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_Toc29299 </w:instrText>
      </w:r>
      <w:r>
        <w:rPr>
          <w:rFonts w:hint="eastAsia" w:hAnsi="宋体" w:cs="宋体"/>
          <w:color w:val="auto"/>
          <w:szCs w:val="24"/>
          <w:highlight w:val="none"/>
        </w:rPr>
        <w:fldChar w:fldCharType="separate"/>
      </w:r>
      <w:r>
        <w:rPr>
          <w:rFonts w:hint="eastAsia" w:ascii="Times New Roman"/>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_Toc29299 \h </w:instrText>
      </w:r>
      <w:r>
        <w:rPr>
          <w:color w:val="auto"/>
          <w:highlight w:val="none"/>
        </w:rPr>
        <w:fldChar w:fldCharType="separate"/>
      </w:r>
      <w:r>
        <w:rPr>
          <w:color w:val="auto"/>
          <w:highlight w:val="none"/>
        </w:rPr>
        <w:t>55</w:t>
      </w:r>
      <w:r>
        <w:rPr>
          <w:color w:val="auto"/>
          <w:highlight w:val="none"/>
        </w:rPr>
        <w:fldChar w:fldCharType="end"/>
      </w:r>
      <w:r>
        <w:rPr>
          <w:rFonts w:hint="eastAsia" w:hAnsi="宋体" w:cs="宋体"/>
          <w:color w:val="auto"/>
          <w:szCs w:val="24"/>
          <w:highlight w:val="none"/>
        </w:rPr>
        <w:fldChar w:fldCharType="end"/>
      </w:r>
    </w:p>
    <w:p w14:paraId="2786B9EC">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_Toc1644 </w:instrText>
      </w:r>
      <w:r>
        <w:rPr>
          <w:rFonts w:hint="eastAsia" w:hAnsi="宋体" w:cs="宋体"/>
          <w:color w:val="auto"/>
          <w:szCs w:val="24"/>
          <w:highlight w:val="none"/>
        </w:rPr>
        <w:fldChar w:fldCharType="separate"/>
      </w:r>
      <w:r>
        <w:rPr>
          <w:rFonts w:hint="eastAsia"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_Toc1644 \h </w:instrText>
      </w:r>
      <w:r>
        <w:rPr>
          <w:color w:val="auto"/>
          <w:highlight w:val="none"/>
        </w:rPr>
        <w:fldChar w:fldCharType="separate"/>
      </w:r>
      <w:r>
        <w:rPr>
          <w:color w:val="auto"/>
          <w:highlight w:val="none"/>
        </w:rPr>
        <w:t>56</w:t>
      </w:r>
      <w:r>
        <w:rPr>
          <w:color w:val="auto"/>
          <w:highlight w:val="none"/>
        </w:rPr>
        <w:fldChar w:fldCharType="end"/>
      </w:r>
      <w:r>
        <w:rPr>
          <w:rFonts w:hint="eastAsia" w:hAnsi="宋体" w:cs="宋体"/>
          <w:color w:val="auto"/>
          <w:szCs w:val="24"/>
          <w:highlight w:val="none"/>
        </w:rPr>
        <w:fldChar w:fldCharType="end"/>
      </w:r>
    </w:p>
    <w:p w14:paraId="00F16A01">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_Toc32644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_Toc32644 \h </w:instrText>
      </w:r>
      <w:r>
        <w:rPr>
          <w:color w:val="auto"/>
          <w:highlight w:val="none"/>
        </w:rPr>
        <w:fldChar w:fldCharType="separate"/>
      </w:r>
      <w:r>
        <w:rPr>
          <w:color w:val="auto"/>
          <w:highlight w:val="none"/>
        </w:rPr>
        <w:t>58</w:t>
      </w:r>
      <w:r>
        <w:rPr>
          <w:color w:val="auto"/>
          <w:highlight w:val="none"/>
        </w:rPr>
        <w:fldChar w:fldCharType="end"/>
      </w:r>
      <w:r>
        <w:rPr>
          <w:rFonts w:hint="eastAsia" w:hAnsi="宋体" w:cs="宋体"/>
          <w:color w:val="auto"/>
          <w:szCs w:val="24"/>
          <w:highlight w:val="none"/>
        </w:rPr>
        <w:fldChar w:fldCharType="end"/>
      </w:r>
    </w:p>
    <w:p w14:paraId="1942015D">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_Toc27423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_Toc27423 \h </w:instrText>
      </w:r>
      <w:r>
        <w:rPr>
          <w:color w:val="auto"/>
          <w:highlight w:val="none"/>
        </w:rPr>
        <w:fldChar w:fldCharType="separate"/>
      </w:r>
      <w:r>
        <w:rPr>
          <w:color w:val="auto"/>
          <w:highlight w:val="none"/>
        </w:rPr>
        <w:t>59</w:t>
      </w:r>
      <w:r>
        <w:rPr>
          <w:color w:val="auto"/>
          <w:highlight w:val="none"/>
        </w:rPr>
        <w:fldChar w:fldCharType="end"/>
      </w:r>
      <w:r>
        <w:rPr>
          <w:rFonts w:hint="eastAsia" w:hAnsi="宋体" w:cs="宋体"/>
          <w:color w:val="auto"/>
          <w:szCs w:val="24"/>
          <w:highlight w:val="none"/>
        </w:rPr>
        <w:fldChar w:fldCharType="end"/>
      </w:r>
    </w:p>
    <w:p w14:paraId="08194935">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_Toc474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格式六 投标人基本情况表</w:t>
      </w:r>
      <w:r>
        <w:rPr>
          <w:color w:val="auto"/>
          <w:highlight w:val="none"/>
        </w:rPr>
        <w:tab/>
      </w:r>
      <w:r>
        <w:rPr>
          <w:color w:val="auto"/>
          <w:highlight w:val="none"/>
        </w:rPr>
        <w:fldChar w:fldCharType="begin"/>
      </w:r>
      <w:r>
        <w:rPr>
          <w:color w:val="auto"/>
          <w:highlight w:val="none"/>
        </w:rPr>
        <w:instrText xml:space="preserve"> PAGEREF _Toc474 \h </w:instrText>
      </w:r>
      <w:r>
        <w:rPr>
          <w:color w:val="auto"/>
          <w:highlight w:val="none"/>
        </w:rPr>
        <w:fldChar w:fldCharType="separate"/>
      </w:r>
      <w:r>
        <w:rPr>
          <w:color w:val="auto"/>
          <w:highlight w:val="none"/>
        </w:rPr>
        <w:t>60</w:t>
      </w:r>
      <w:r>
        <w:rPr>
          <w:color w:val="auto"/>
          <w:highlight w:val="none"/>
        </w:rPr>
        <w:fldChar w:fldCharType="end"/>
      </w:r>
      <w:r>
        <w:rPr>
          <w:rFonts w:hint="eastAsia" w:hAnsi="宋体" w:cs="宋体"/>
          <w:color w:val="auto"/>
          <w:szCs w:val="24"/>
          <w:highlight w:val="none"/>
        </w:rPr>
        <w:fldChar w:fldCharType="end"/>
      </w:r>
    </w:p>
    <w:p w14:paraId="3C333620">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_Toc22135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格式七 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_Toc22135 \h </w:instrText>
      </w:r>
      <w:r>
        <w:rPr>
          <w:color w:val="auto"/>
          <w:highlight w:val="none"/>
        </w:rPr>
        <w:fldChar w:fldCharType="separate"/>
      </w:r>
      <w:r>
        <w:rPr>
          <w:color w:val="auto"/>
          <w:highlight w:val="none"/>
        </w:rPr>
        <w:t>61</w:t>
      </w:r>
      <w:r>
        <w:rPr>
          <w:color w:val="auto"/>
          <w:highlight w:val="none"/>
        </w:rPr>
        <w:fldChar w:fldCharType="end"/>
      </w:r>
      <w:r>
        <w:rPr>
          <w:rFonts w:hint="eastAsia" w:hAnsi="宋体" w:cs="宋体"/>
          <w:color w:val="auto"/>
          <w:szCs w:val="24"/>
          <w:highlight w:val="none"/>
        </w:rPr>
        <w:fldChar w:fldCharType="end"/>
      </w:r>
    </w:p>
    <w:p w14:paraId="59F91C3B">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_Toc24032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格式八 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_Toc24032 \h </w:instrText>
      </w:r>
      <w:r>
        <w:rPr>
          <w:color w:val="auto"/>
          <w:highlight w:val="none"/>
        </w:rPr>
        <w:fldChar w:fldCharType="separate"/>
      </w:r>
      <w:r>
        <w:rPr>
          <w:color w:val="auto"/>
          <w:highlight w:val="none"/>
        </w:rPr>
        <w:t>62</w:t>
      </w:r>
      <w:r>
        <w:rPr>
          <w:color w:val="auto"/>
          <w:highlight w:val="none"/>
        </w:rPr>
        <w:fldChar w:fldCharType="end"/>
      </w:r>
      <w:r>
        <w:rPr>
          <w:rFonts w:hint="eastAsia" w:hAnsi="宋体" w:cs="宋体"/>
          <w:color w:val="auto"/>
          <w:szCs w:val="24"/>
          <w:highlight w:val="none"/>
        </w:rPr>
        <w:fldChar w:fldCharType="end"/>
      </w:r>
    </w:p>
    <w:p w14:paraId="4CA2EE37">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_Toc2263 </w:instrText>
      </w:r>
      <w:r>
        <w:rPr>
          <w:rFonts w:hint="eastAsia" w:hAnsi="宋体" w:cs="宋体"/>
          <w:color w:val="auto"/>
          <w:szCs w:val="24"/>
          <w:highlight w:val="none"/>
        </w:rPr>
        <w:fldChar w:fldCharType="separate"/>
      </w:r>
      <w:r>
        <w:rPr>
          <w:rFonts w:hint="eastAsia" w:hAnsi="宋体" w:cs="宋体"/>
          <w:bCs/>
          <w:snapToGrid w:val="0"/>
          <w:color w:val="auto"/>
          <w:kern w:val="0"/>
          <w:szCs w:val="24"/>
          <w:highlight w:val="none"/>
        </w:rPr>
        <w:t>格式九 总监理工程师任职项目情况表</w:t>
      </w:r>
      <w:r>
        <w:rPr>
          <w:color w:val="auto"/>
          <w:highlight w:val="none"/>
        </w:rPr>
        <w:tab/>
      </w:r>
      <w:r>
        <w:rPr>
          <w:color w:val="auto"/>
          <w:highlight w:val="none"/>
        </w:rPr>
        <w:fldChar w:fldCharType="begin"/>
      </w:r>
      <w:r>
        <w:rPr>
          <w:color w:val="auto"/>
          <w:highlight w:val="none"/>
        </w:rPr>
        <w:instrText xml:space="preserve"> PAGEREF _Toc2263 \h </w:instrText>
      </w:r>
      <w:r>
        <w:rPr>
          <w:color w:val="auto"/>
          <w:highlight w:val="none"/>
        </w:rPr>
        <w:fldChar w:fldCharType="separate"/>
      </w:r>
      <w:r>
        <w:rPr>
          <w:color w:val="auto"/>
          <w:highlight w:val="none"/>
        </w:rPr>
        <w:t>63</w:t>
      </w:r>
      <w:r>
        <w:rPr>
          <w:color w:val="auto"/>
          <w:highlight w:val="none"/>
        </w:rPr>
        <w:fldChar w:fldCharType="end"/>
      </w:r>
      <w:r>
        <w:rPr>
          <w:rFonts w:hint="eastAsia" w:hAnsi="宋体" w:cs="宋体"/>
          <w:color w:val="auto"/>
          <w:szCs w:val="24"/>
          <w:highlight w:val="none"/>
        </w:rPr>
        <w:fldChar w:fldCharType="end"/>
      </w:r>
    </w:p>
    <w:p w14:paraId="7E7E2184">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_Toc4492 </w:instrText>
      </w:r>
      <w:r>
        <w:rPr>
          <w:rFonts w:hint="eastAsia" w:hAnsi="宋体" w:cs="宋体"/>
          <w:color w:val="auto"/>
          <w:szCs w:val="24"/>
          <w:highlight w:val="none"/>
        </w:rPr>
        <w:fldChar w:fldCharType="separate"/>
      </w:r>
      <w:r>
        <w:rPr>
          <w:rFonts w:hint="eastAsia" w:hAnsi="宋体" w:cs="宋体"/>
          <w:snapToGrid w:val="0"/>
          <w:color w:val="auto"/>
          <w:kern w:val="0"/>
          <w:highlight w:val="none"/>
        </w:rPr>
        <w:t>格式</w:t>
      </w:r>
      <w:r>
        <w:rPr>
          <w:rFonts w:hint="eastAsia" w:hAnsi="宋体" w:cs="宋体"/>
          <w:bCs/>
          <w:snapToGrid w:val="0"/>
          <w:color w:val="auto"/>
          <w:kern w:val="0"/>
          <w:szCs w:val="24"/>
          <w:highlight w:val="none"/>
        </w:rPr>
        <w:t>十 项目监理机构组成人员汇总表</w:t>
      </w:r>
      <w:r>
        <w:rPr>
          <w:color w:val="auto"/>
          <w:highlight w:val="none"/>
        </w:rPr>
        <w:tab/>
      </w:r>
      <w:r>
        <w:rPr>
          <w:color w:val="auto"/>
          <w:highlight w:val="none"/>
        </w:rPr>
        <w:fldChar w:fldCharType="begin"/>
      </w:r>
      <w:r>
        <w:rPr>
          <w:color w:val="auto"/>
          <w:highlight w:val="none"/>
        </w:rPr>
        <w:instrText xml:space="preserve"> PAGEREF _Toc4492 \h </w:instrText>
      </w:r>
      <w:r>
        <w:rPr>
          <w:color w:val="auto"/>
          <w:highlight w:val="none"/>
        </w:rPr>
        <w:fldChar w:fldCharType="separate"/>
      </w:r>
      <w:r>
        <w:rPr>
          <w:color w:val="auto"/>
          <w:highlight w:val="none"/>
        </w:rPr>
        <w:t>64</w:t>
      </w:r>
      <w:r>
        <w:rPr>
          <w:color w:val="auto"/>
          <w:highlight w:val="none"/>
        </w:rPr>
        <w:fldChar w:fldCharType="end"/>
      </w:r>
      <w:r>
        <w:rPr>
          <w:rFonts w:hint="eastAsia" w:hAnsi="宋体" w:cs="宋体"/>
          <w:color w:val="auto"/>
          <w:szCs w:val="24"/>
          <w:highlight w:val="none"/>
        </w:rPr>
        <w:fldChar w:fldCharType="end"/>
      </w:r>
    </w:p>
    <w:p w14:paraId="1C693EA0">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_Toc13068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格式十一 总监理工程师简历表</w:t>
      </w:r>
      <w:r>
        <w:rPr>
          <w:color w:val="auto"/>
          <w:highlight w:val="none"/>
        </w:rPr>
        <w:tab/>
      </w:r>
      <w:r>
        <w:rPr>
          <w:color w:val="auto"/>
          <w:highlight w:val="none"/>
        </w:rPr>
        <w:fldChar w:fldCharType="begin"/>
      </w:r>
      <w:r>
        <w:rPr>
          <w:color w:val="auto"/>
          <w:highlight w:val="none"/>
        </w:rPr>
        <w:instrText xml:space="preserve"> PAGEREF _Toc13068 \h </w:instrText>
      </w:r>
      <w:r>
        <w:rPr>
          <w:color w:val="auto"/>
          <w:highlight w:val="none"/>
        </w:rPr>
        <w:fldChar w:fldCharType="separate"/>
      </w:r>
      <w:r>
        <w:rPr>
          <w:color w:val="auto"/>
          <w:highlight w:val="none"/>
        </w:rPr>
        <w:t>65</w:t>
      </w:r>
      <w:r>
        <w:rPr>
          <w:color w:val="auto"/>
          <w:highlight w:val="none"/>
        </w:rPr>
        <w:fldChar w:fldCharType="end"/>
      </w:r>
      <w:r>
        <w:rPr>
          <w:rFonts w:hint="eastAsia" w:hAnsi="宋体" w:cs="宋体"/>
          <w:color w:val="auto"/>
          <w:szCs w:val="24"/>
          <w:highlight w:val="none"/>
        </w:rPr>
        <w:fldChar w:fldCharType="end"/>
      </w:r>
    </w:p>
    <w:p w14:paraId="31192956">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_Toc21090 </w:instrText>
      </w:r>
      <w:r>
        <w:rPr>
          <w:rFonts w:hint="eastAsia" w:hAnsi="宋体" w:cs="宋体"/>
          <w:color w:val="auto"/>
          <w:szCs w:val="24"/>
          <w:highlight w:val="none"/>
        </w:rPr>
        <w:fldChar w:fldCharType="separate"/>
      </w:r>
      <w:r>
        <w:rPr>
          <w:rFonts w:hint="eastAsia" w:ascii="宋体" w:hAnsi="宋体" w:cs="宋体"/>
          <w:bCs/>
          <w:snapToGrid w:val="0"/>
          <w:color w:val="auto"/>
          <w:highlight w:val="none"/>
        </w:rPr>
        <w:t>格式十二 其他拟派人员简历表</w:t>
      </w:r>
      <w:r>
        <w:rPr>
          <w:color w:val="auto"/>
          <w:highlight w:val="none"/>
        </w:rPr>
        <w:tab/>
      </w:r>
      <w:r>
        <w:rPr>
          <w:color w:val="auto"/>
          <w:highlight w:val="none"/>
        </w:rPr>
        <w:fldChar w:fldCharType="begin"/>
      </w:r>
      <w:r>
        <w:rPr>
          <w:color w:val="auto"/>
          <w:highlight w:val="none"/>
        </w:rPr>
        <w:instrText xml:space="preserve"> PAGEREF _Toc21090 \h </w:instrText>
      </w:r>
      <w:r>
        <w:rPr>
          <w:color w:val="auto"/>
          <w:highlight w:val="none"/>
        </w:rPr>
        <w:fldChar w:fldCharType="separate"/>
      </w:r>
      <w:r>
        <w:rPr>
          <w:color w:val="auto"/>
          <w:highlight w:val="none"/>
        </w:rPr>
        <w:t>66</w:t>
      </w:r>
      <w:r>
        <w:rPr>
          <w:color w:val="auto"/>
          <w:highlight w:val="none"/>
        </w:rPr>
        <w:fldChar w:fldCharType="end"/>
      </w:r>
      <w:r>
        <w:rPr>
          <w:rFonts w:hint="eastAsia" w:hAnsi="宋体" w:cs="宋体"/>
          <w:color w:val="auto"/>
          <w:szCs w:val="24"/>
          <w:highlight w:val="none"/>
        </w:rPr>
        <w:fldChar w:fldCharType="end"/>
      </w:r>
    </w:p>
    <w:p w14:paraId="061617BB">
      <w:pPr>
        <w:pStyle w:val="26"/>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_Toc1230 </w:instrText>
      </w:r>
      <w:r>
        <w:rPr>
          <w:rFonts w:hint="eastAsia" w:hAnsi="宋体" w:cs="宋体"/>
          <w:color w:val="auto"/>
          <w:szCs w:val="24"/>
          <w:highlight w:val="none"/>
        </w:rPr>
        <w:fldChar w:fldCharType="separate"/>
      </w:r>
      <w:r>
        <w:rPr>
          <w:rFonts w:hint="eastAsia"/>
          <w:bCs/>
          <w:color w:val="auto"/>
          <w:highlight w:val="none"/>
          <w:lang w:val="en-US" w:eastAsia="zh-CN"/>
        </w:rPr>
        <w:t>格式十三 原件一览表</w:t>
      </w:r>
      <w:r>
        <w:rPr>
          <w:color w:val="auto"/>
          <w:highlight w:val="none"/>
        </w:rPr>
        <w:tab/>
      </w:r>
      <w:r>
        <w:rPr>
          <w:color w:val="auto"/>
          <w:highlight w:val="none"/>
        </w:rPr>
        <w:fldChar w:fldCharType="begin"/>
      </w:r>
      <w:r>
        <w:rPr>
          <w:color w:val="auto"/>
          <w:highlight w:val="none"/>
        </w:rPr>
        <w:instrText xml:space="preserve"> PAGEREF _Toc1230 \h </w:instrText>
      </w:r>
      <w:r>
        <w:rPr>
          <w:color w:val="auto"/>
          <w:highlight w:val="none"/>
        </w:rPr>
        <w:fldChar w:fldCharType="separate"/>
      </w:r>
      <w:r>
        <w:rPr>
          <w:color w:val="auto"/>
          <w:highlight w:val="none"/>
        </w:rPr>
        <w:t>67</w:t>
      </w:r>
      <w:r>
        <w:rPr>
          <w:color w:val="auto"/>
          <w:highlight w:val="none"/>
        </w:rPr>
        <w:fldChar w:fldCharType="end"/>
      </w:r>
      <w:r>
        <w:rPr>
          <w:rFonts w:hint="eastAsia" w:hAnsi="宋体" w:cs="宋体"/>
          <w:color w:val="auto"/>
          <w:szCs w:val="24"/>
          <w:highlight w:val="none"/>
        </w:rPr>
        <w:fldChar w:fldCharType="end"/>
      </w:r>
    </w:p>
    <w:p w14:paraId="1849A53E">
      <w:pPr>
        <w:pStyle w:val="22"/>
        <w:tabs>
          <w:tab w:val="right" w:leader="dot" w:pos="9072"/>
        </w:tabs>
        <w:rPr>
          <w:color w:val="auto"/>
          <w:highlight w:val="none"/>
        </w:rPr>
      </w:pPr>
      <w:r>
        <w:rPr>
          <w:rFonts w:hint="eastAsia" w:hAnsi="宋体" w:cs="宋体"/>
          <w:color w:val="auto"/>
          <w:szCs w:val="24"/>
          <w:highlight w:val="none"/>
        </w:rPr>
        <w:fldChar w:fldCharType="begin"/>
      </w:r>
      <w:r>
        <w:rPr>
          <w:rFonts w:hint="eastAsia" w:hAnsi="宋体" w:cs="宋体"/>
          <w:color w:val="auto"/>
          <w:szCs w:val="24"/>
          <w:highlight w:val="none"/>
        </w:rPr>
        <w:instrText xml:space="preserve"> HYPERLINK \l _Toc10354 </w:instrText>
      </w:r>
      <w:r>
        <w:rPr>
          <w:rFonts w:hint="eastAsia" w:hAnsi="宋体" w:cs="宋体"/>
          <w:color w:val="auto"/>
          <w:szCs w:val="24"/>
          <w:highlight w:val="none"/>
        </w:rPr>
        <w:fldChar w:fldCharType="separate"/>
      </w:r>
      <w:r>
        <w:rPr>
          <w:rFonts w:hint="eastAsia" w:ascii="宋体" w:hAnsi="宋体" w:cs="宋体"/>
          <w:color w:val="auto"/>
          <w:kern w:val="44"/>
          <w:szCs w:val="22"/>
          <w:highlight w:val="none"/>
        </w:rPr>
        <w:t>第六章 建设工程监理合同</w:t>
      </w:r>
      <w:r>
        <w:rPr>
          <w:color w:val="auto"/>
          <w:highlight w:val="none"/>
        </w:rPr>
        <w:tab/>
      </w:r>
      <w:r>
        <w:rPr>
          <w:color w:val="auto"/>
          <w:highlight w:val="none"/>
        </w:rPr>
        <w:fldChar w:fldCharType="begin"/>
      </w:r>
      <w:r>
        <w:rPr>
          <w:color w:val="auto"/>
          <w:highlight w:val="none"/>
        </w:rPr>
        <w:instrText xml:space="preserve"> PAGEREF _Toc10354 \h </w:instrText>
      </w:r>
      <w:r>
        <w:rPr>
          <w:color w:val="auto"/>
          <w:highlight w:val="none"/>
        </w:rPr>
        <w:fldChar w:fldCharType="separate"/>
      </w:r>
      <w:r>
        <w:rPr>
          <w:color w:val="auto"/>
          <w:highlight w:val="none"/>
        </w:rPr>
        <w:t>68</w:t>
      </w:r>
      <w:r>
        <w:rPr>
          <w:color w:val="auto"/>
          <w:highlight w:val="none"/>
        </w:rPr>
        <w:fldChar w:fldCharType="end"/>
      </w:r>
      <w:r>
        <w:rPr>
          <w:rFonts w:hint="eastAsia" w:hAnsi="宋体" w:cs="宋体"/>
          <w:color w:val="auto"/>
          <w:szCs w:val="24"/>
          <w:highlight w:val="none"/>
        </w:rPr>
        <w:fldChar w:fldCharType="end"/>
      </w:r>
    </w:p>
    <w:p w14:paraId="04AFE2B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hAnsi="宋体" w:cs="宋体"/>
          <w:color w:val="auto"/>
          <w:szCs w:val="24"/>
          <w:highlight w:val="none"/>
        </w:rPr>
      </w:pPr>
      <w:r>
        <w:rPr>
          <w:rFonts w:hint="eastAsia" w:hAnsi="宋体" w:cs="宋体"/>
          <w:color w:val="auto"/>
          <w:szCs w:val="24"/>
          <w:highlight w:val="none"/>
        </w:rPr>
        <w:fldChar w:fldCharType="end"/>
      </w:r>
    </w:p>
    <w:p w14:paraId="72C6CDF7">
      <w:pPr>
        <w:bidi w:val="0"/>
        <w:rPr>
          <w:rFonts w:hint="eastAsia"/>
          <w:color w:val="auto"/>
          <w:highlight w:val="none"/>
        </w:rPr>
      </w:pPr>
    </w:p>
    <w:p w14:paraId="44E278EF">
      <w:pPr>
        <w:bidi w:val="0"/>
        <w:rPr>
          <w:rFonts w:hint="eastAsia"/>
          <w:color w:val="auto"/>
          <w:highlight w:val="none"/>
        </w:rPr>
      </w:pPr>
    </w:p>
    <w:p w14:paraId="4CFFDCA3">
      <w:pPr>
        <w:bidi w:val="0"/>
        <w:rPr>
          <w:rFonts w:hint="eastAsia"/>
          <w:color w:val="auto"/>
          <w:highlight w:val="none"/>
        </w:rPr>
      </w:pPr>
    </w:p>
    <w:p w14:paraId="49FACEF0">
      <w:pPr>
        <w:bidi w:val="0"/>
        <w:rPr>
          <w:rFonts w:hint="eastAsia"/>
          <w:color w:val="auto"/>
          <w:highlight w:val="none"/>
        </w:rPr>
      </w:pPr>
    </w:p>
    <w:p w14:paraId="67D59685">
      <w:pPr>
        <w:bidi w:val="0"/>
        <w:rPr>
          <w:rFonts w:hint="eastAsia"/>
          <w:color w:val="auto"/>
          <w:highlight w:val="none"/>
        </w:rPr>
      </w:pPr>
    </w:p>
    <w:p w14:paraId="3CF29BF7">
      <w:pPr>
        <w:bidi w:val="0"/>
        <w:rPr>
          <w:rFonts w:hint="eastAsia"/>
          <w:color w:val="auto"/>
          <w:highlight w:val="none"/>
        </w:rPr>
      </w:pPr>
    </w:p>
    <w:p w14:paraId="1C6B5B71">
      <w:pPr>
        <w:bidi w:val="0"/>
        <w:rPr>
          <w:rFonts w:hint="eastAsia"/>
          <w:color w:val="auto"/>
          <w:highlight w:val="none"/>
        </w:rPr>
      </w:pPr>
    </w:p>
    <w:p w14:paraId="00CD5A72">
      <w:pPr>
        <w:bidi w:val="0"/>
        <w:rPr>
          <w:rFonts w:hint="eastAsia"/>
          <w:color w:val="auto"/>
          <w:highlight w:val="none"/>
        </w:rPr>
      </w:pPr>
    </w:p>
    <w:p w14:paraId="7906C4F8">
      <w:pPr>
        <w:bidi w:val="0"/>
        <w:rPr>
          <w:rFonts w:hint="eastAsia"/>
          <w:color w:val="auto"/>
          <w:highlight w:val="none"/>
        </w:rPr>
      </w:pPr>
    </w:p>
    <w:p w14:paraId="7FA25707">
      <w:pPr>
        <w:bidi w:val="0"/>
        <w:rPr>
          <w:rFonts w:hint="eastAsia"/>
          <w:color w:val="auto"/>
          <w:highlight w:val="none"/>
        </w:rPr>
      </w:pPr>
    </w:p>
    <w:p w14:paraId="1AC08286">
      <w:pPr>
        <w:bidi w:val="0"/>
        <w:rPr>
          <w:rFonts w:hint="eastAsia"/>
          <w:color w:val="auto"/>
          <w:highlight w:val="none"/>
        </w:rPr>
      </w:pPr>
    </w:p>
    <w:p w14:paraId="31F3C68A">
      <w:pPr>
        <w:pStyle w:val="16"/>
        <w:rPr>
          <w:rFonts w:hint="eastAsia"/>
          <w:color w:val="auto"/>
          <w:highlight w:val="none"/>
        </w:rPr>
      </w:pPr>
    </w:p>
    <w:p w14:paraId="12FDD6C5">
      <w:pPr>
        <w:pStyle w:val="16"/>
        <w:rPr>
          <w:rFonts w:hint="eastAsia"/>
          <w:color w:val="auto"/>
          <w:highlight w:val="none"/>
        </w:rPr>
      </w:pPr>
    </w:p>
    <w:p w14:paraId="4E7A238C">
      <w:pPr>
        <w:pStyle w:val="16"/>
        <w:rPr>
          <w:rFonts w:hint="eastAsia"/>
          <w:color w:val="auto"/>
          <w:highlight w:val="none"/>
        </w:rPr>
      </w:pPr>
    </w:p>
    <w:p w14:paraId="4D4B16C5">
      <w:pPr>
        <w:pStyle w:val="16"/>
        <w:rPr>
          <w:rFonts w:hint="eastAsia"/>
          <w:color w:val="auto"/>
          <w:highlight w:val="none"/>
        </w:rPr>
      </w:pPr>
    </w:p>
    <w:p w14:paraId="4E126C67">
      <w:pPr>
        <w:pStyle w:val="16"/>
        <w:rPr>
          <w:rFonts w:hint="eastAsia"/>
          <w:color w:val="auto"/>
          <w:highlight w:val="none"/>
        </w:rPr>
      </w:pPr>
    </w:p>
    <w:p w14:paraId="79BD6181">
      <w:pPr>
        <w:bidi w:val="0"/>
        <w:rPr>
          <w:rFonts w:hint="eastAsia"/>
          <w:color w:val="auto"/>
          <w:highlight w:val="none"/>
        </w:rPr>
      </w:pPr>
    </w:p>
    <w:p w14:paraId="4FB68F0F">
      <w:pPr>
        <w:bidi w:val="0"/>
        <w:rPr>
          <w:rFonts w:hint="eastAsia"/>
          <w:color w:val="auto"/>
          <w:highlight w:val="none"/>
        </w:rPr>
      </w:pPr>
    </w:p>
    <w:p w14:paraId="1B29D6E3">
      <w:pPr>
        <w:bidi w:val="0"/>
        <w:rPr>
          <w:color w:val="auto"/>
          <w:highlight w:val="none"/>
        </w:rPr>
      </w:pPr>
    </w:p>
    <w:p w14:paraId="4C65F4F3">
      <w:pPr>
        <w:pStyle w:val="3"/>
        <w:wordWrap w:val="0"/>
        <w:autoSpaceDE/>
        <w:autoSpaceDN/>
        <w:snapToGrid w:val="0"/>
        <w:spacing w:line="440" w:lineRule="exact"/>
        <w:jc w:val="center"/>
        <w:rPr>
          <w:rFonts w:hint="eastAsia" w:ascii="Times New Roman"/>
          <w:b/>
          <w:snapToGrid w:val="0"/>
          <w:color w:val="auto"/>
          <w:sz w:val="32"/>
          <w:szCs w:val="22"/>
          <w:highlight w:val="none"/>
        </w:rPr>
        <w:sectPr>
          <w:footerReference r:id="rId7" w:type="default"/>
          <w:endnotePr>
            <w:numFmt w:val="decimal"/>
          </w:endnotePr>
          <w:pgSz w:w="11906" w:h="16838"/>
          <w:pgMar w:top="1417" w:right="1417" w:bottom="1417" w:left="1417" w:header="850" w:footer="992" w:gutter="0"/>
          <w:pgNumType w:start="1"/>
          <w:cols w:space="0" w:num="1"/>
          <w:docGrid w:linePitch="327" w:charSpace="0"/>
        </w:sectPr>
      </w:pPr>
    </w:p>
    <w:p w14:paraId="73AD38DD">
      <w:pPr>
        <w:pStyle w:val="3"/>
        <w:wordWrap w:val="0"/>
        <w:autoSpaceDE/>
        <w:autoSpaceDN/>
        <w:snapToGrid w:val="0"/>
        <w:spacing w:line="440" w:lineRule="exact"/>
        <w:jc w:val="center"/>
        <w:rPr>
          <w:rFonts w:ascii="Times New Roman"/>
          <w:b/>
          <w:snapToGrid w:val="0"/>
          <w:color w:val="auto"/>
          <w:sz w:val="32"/>
          <w:szCs w:val="22"/>
          <w:highlight w:val="none"/>
        </w:rPr>
      </w:pPr>
      <w:bookmarkStart w:id="0" w:name="_Toc28684"/>
      <w:r>
        <w:rPr>
          <w:rFonts w:hint="eastAsia" w:ascii="Times New Roman"/>
          <w:b/>
          <w:snapToGrid w:val="0"/>
          <w:color w:val="auto"/>
          <w:sz w:val="32"/>
          <w:szCs w:val="22"/>
          <w:highlight w:val="none"/>
        </w:rPr>
        <w:t>第一章 投标人须知</w:t>
      </w:r>
      <w:bookmarkEnd w:id="0"/>
    </w:p>
    <w:p w14:paraId="64D39061">
      <w:pPr>
        <w:pStyle w:val="4"/>
        <w:wordWrap w:val="0"/>
        <w:autoSpaceDE/>
        <w:autoSpaceDN/>
        <w:snapToGrid w:val="0"/>
        <w:spacing w:before="260" w:after="260" w:line="440" w:lineRule="exact"/>
        <w:jc w:val="both"/>
        <w:rPr>
          <w:rFonts w:ascii="Times New Roman"/>
          <w:b/>
          <w:snapToGrid w:val="0"/>
          <w:color w:val="auto"/>
          <w:highlight w:val="none"/>
        </w:rPr>
      </w:pPr>
      <w:bookmarkStart w:id="1" w:name="_Hlt127175444"/>
      <w:bookmarkEnd w:id="1"/>
      <w:bookmarkStart w:id="2" w:name="_Toc32446"/>
      <w:bookmarkStart w:id="3" w:name="_Toc4883"/>
      <w:bookmarkStart w:id="4" w:name="_Hlt120077520"/>
      <w:r>
        <w:rPr>
          <w:rFonts w:hint="eastAsia" w:ascii="Times New Roman"/>
          <w:b/>
          <w:snapToGrid w:val="0"/>
          <w:color w:val="auto"/>
          <w:highlight w:val="none"/>
        </w:rPr>
        <w:t>第一节 投标人须知前附表</w:t>
      </w:r>
      <w:bookmarkEnd w:id="2"/>
      <w:bookmarkEnd w:id="3"/>
    </w:p>
    <w:tbl>
      <w:tblPr>
        <w:tblStyle w:val="31"/>
        <w:tblW w:w="9302"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856"/>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内容</w:t>
            </w:r>
          </w:p>
        </w:tc>
        <w:tc>
          <w:tcPr>
            <w:tcW w:w="6856"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68"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项目名称</w:t>
            </w:r>
          </w:p>
        </w:tc>
        <w:tc>
          <w:tcPr>
            <w:tcW w:w="6856"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eastAsia="zh-CN"/>
              </w:rPr>
              <w:t>翁源县“百千万工程”之全域推进农村人居环境整治建设项目-周陂镇农村生活污水治理建设项目施工监理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项目业主</w:t>
            </w:r>
          </w:p>
        </w:tc>
        <w:tc>
          <w:tcPr>
            <w:tcW w:w="6856"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auto"/>
                <w:kern w:val="0"/>
                <w:szCs w:val="24"/>
                <w:highlight w:val="none"/>
                <w:lang w:val="en-US" w:eastAsia="zh-CN"/>
              </w:rPr>
            </w:pPr>
            <w:r>
              <w:rPr>
                <w:rFonts w:hint="default" w:ascii="宋体" w:hAnsi="宋体" w:eastAsia="宋体" w:cs="宋体"/>
                <w:color w:val="auto"/>
                <w:szCs w:val="22"/>
                <w:highlight w:val="none"/>
                <w:lang w:val="en-US" w:eastAsia="zh-CN"/>
              </w:rPr>
              <w:t>翁源县农业农村局</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项目批准部门</w:t>
            </w:r>
          </w:p>
        </w:tc>
        <w:tc>
          <w:tcPr>
            <w:tcW w:w="6856"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翁源县发展和改革局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项目批准文号</w:t>
            </w:r>
          </w:p>
        </w:tc>
        <w:tc>
          <w:tcPr>
            <w:tcW w:w="6856" w:type="dxa"/>
            <w:tcBorders>
              <w:top w:val="single" w:color="auto" w:sz="4" w:space="0"/>
              <w:left w:val="single" w:color="auto" w:sz="4" w:space="0"/>
              <w:bottom w:val="single" w:color="auto" w:sz="4" w:space="0"/>
              <w:right w:val="single" w:color="auto" w:sz="4" w:space="0"/>
            </w:tcBorders>
            <w:vAlign w:val="center"/>
          </w:tcPr>
          <w:p w14:paraId="52204F50">
            <w:pPr>
              <w:pStyle w:val="119"/>
              <w:keepNext w:val="0"/>
              <w:keepLines w:val="0"/>
              <w:pageBreakBefore w:val="0"/>
              <w:widowControl w:val="0"/>
              <w:kinsoku/>
              <w:overflowPunct/>
              <w:topLinePunct w:val="0"/>
              <w:autoSpaceDE/>
              <w:autoSpaceDN/>
              <w:bidi w:val="0"/>
              <w:spacing w:line="500" w:lineRule="exact"/>
              <w:ind w:firstLine="480" w:firstLineChars="200"/>
              <w:jc w:val="left"/>
              <w:rPr>
                <w:rFonts w:hint="default" w:ascii="宋体" w:hAnsi="宋体" w:eastAsia="宋体" w:cs="宋体"/>
                <w:snapToGrid w:val="0"/>
                <w:color w:val="auto"/>
                <w:kern w:val="0"/>
                <w:sz w:val="24"/>
                <w:highlight w:val="none"/>
                <w:lang w:val="en-US" w:eastAsia="zh-CN"/>
              </w:rPr>
            </w:pPr>
            <w:r>
              <w:rPr>
                <w:rFonts w:hint="eastAsia" w:ascii="宋体" w:hAnsi="宋体" w:cs="宋体"/>
                <w:snapToGrid w:val="0"/>
                <w:color w:val="auto"/>
                <w:kern w:val="0"/>
                <w:sz w:val="24"/>
                <w:highlight w:val="none"/>
                <w:lang w:val="en-US" w:eastAsia="zh-CN"/>
              </w:rPr>
              <w:t>翁发改投审〔2025〕25号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项目代码</w:t>
            </w:r>
          </w:p>
        </w:tc>
        <w:tc>
          <w:tcPr>
            <w:tcW w:w="6856" w:type="dxa"/>
            <w:tcBorders>
              <w:top w:val="single" w:color="auto" w:sz="4" w:space="0"/>
              <w:left w:val="single" w:color="auto" w:sz="4" w:space="0"/>
              <w:bottom w:val="single" w:color="auto" w:sz="4" w:space="0"/>
              <w:right w:val="single" w:color="auto" w:sz="4" w:space="0"/>
            </w:tcBorders>
            <w:vAlign w:val="center"/>
          </w:tcPr>
          <w:p w14:paraId="2BAFF47C">
            <w:pPr>
              <w:pStyle w:val="119"/>
              <w:keepNext w:val="0"/>
              <w:keepLines w:val="0"/>
              <w:pageBreakBefore w:val="0"/>
              <w:widowControl w:val="0"/>
              <w:kinsoku/>
              <w:overflowPunct/>
              <w:topLinePunct w:val="0"/>
              <w:autoSpaceDE/>
              <w:autoSpaceDN/>
              <w:bidi w:val="0"/>
              <w:spacing w:line="500" w:lineRule="exact"/>
              <w:ind w:firstLine="480" w:firstLineChars="200"/>
              <w:jc w:val="left"/>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2412-440229-04-01-525170</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color w:val="auto"/>
                <w:kern w:val="0"/>
                <w:szCs w:val="24"/>
                <w:highlight w:val="none"/>
              </w:rPr>
            </w:pPr>
            <w:r>
              <w:rPr>
                <w:rFonts w:hint="eastAsia" w:hAnsi="宋体" w:cs="宋体"/>
                <w:color w:val="auto"/>
                <w:kern w:val="0"/>
                <w:szCs w:val="24"/>
                <w:highlight w:val="none"/>
              </w:rPr>
              <w:t>及出资比例</w:t>
            </w:r>
          </w:p>
        </w:tc>
        <w:tc>
          <w:tcPr>
            <w:tcW w:w="6856"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tabs>
                <w:tab w:val="left" w:pos="5679"/>
              </w:tabs>
              <w:kinsoku/>
              <w:wordWrap w:val="0"/>
              <w:overflowPunct/>
              <w:topLinePunct w:val="0"/>
              <w:autoSpaceDE/>
              <w:autoSpaceDN/>
              <w:bidi w:val="0"/>
              <w:adjustRightInd w:val="0"/>
              <w:snapToGrid w:val="0"/>
              <w:spacing w:line="240" w:lineRule="auto"/>
              <w:ind w:firstLine="480" w:firstLineChars="200"/>
              <w:jc w:val="left"/>
              <w:textAlignment w:val="auto"/>
              <w:rPr>
                <w:rFonts w:hint="default" w:hAnsi="宋体" w:eastAsia="宋体" w:cs="宋体"/>
                <w:color w:val="auto"/>
                <w:kern w:val="0"/>
                <w:szCs w:val="24"/>
                <w:highlight w:val="none"/>
                <w:lang w:val="en-US" w:eastAsia="zh-CN"/>
              </w:rPr>
            </w:pPr>
            <w:r>
              <w:rPr>
                <w:rFonts w:hint="eastAsia" w:hAnsi="宋体" w:cs="宋体"/>
                <w:color w:val="auto"/>
                <w:kern w:val="0"/>
                <w:szCs w:val="24"/>
                <w:highlight w:val="none"/>
                <w:lang w:eastAsia="zh-CN"/>
              </w:rPr>
              <w:t>争取地方政府专项债券资金及上级专项资金解决，不足部分由县级财政统筹解决，100%</w:t>
            </w:r>
            <w:r>
              <w:rPr>
                <w:rFonts w:hint="eastAsia" w:hAnsi="宋体" w:cs="宋体"/>
                <w:color w:val="auto"/>
                <w:kern w:val="0"/>
                <w:szCs w:val="24"/>
                <w:highlight w:val="none"/>
                <w:lang w:eastAsia="zh-CN"/>
              </w:rPr>
              <w:tab/>
            </w:r>
            <w:r>
              <w:rPr>
                <w:rFonts w:hint="eastAsia" w:hAnsi="宋体" w:cs="宋体"/>
                <w:color w:val="auto"/>
                <w:kern w:val="0"/>
                <w:szCs w:val="24"/>
                <w:highlight w:val="none"/>
                <w:lang w:val="en-US" w:eastAsia="zh-CN"/>
              </w:rPr>
              <w:t xml:space="preserve">   </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招标人</w:t>
            </w:r>
          </w:p>
        </w:tc>
        <w:tc>
          <w:tcPr>
            <w:tcW w:w="6856" w:type="dxa"/>
            <w:tcBorders>
              <w:top w:val="single" w:color="auto" w:sz="4" w:space="0"/>
              <w:left w:val="single" w:color="auto" w:sz="4" w:space="0"/>
              <w:bottom w:val="single" w:color="auto" w:sz="4" w:space="0"/>
              <w:right w:val="single" w:color="auto" w:sz="4" w:space="0"/>
            </w:tcBorders>
            <w:vAlign w:val="center"/>
          </w:tcPr>
          <w:p w14:paraId="2B78CE37">
            <w:pPr>
              <w:pStyle w:val="119"/>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2"/>
                <w:sz w:val="24"/>
                <w:szCs w:val="22"/>
                <w:highlight w:val="none"/>
                <w:lang w:val="en-US" w:eastAsia="zh-CN" w:bidi="ar-SA"/>
              </w:rPr>
              <w:t>翁源县周陂镇人民政府</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招标代理机构</w:t>
            </w:r>
          </w:p>
        </w:tc>
        <w:tc>
          <w:tcPr>
            <w:tcW w:w="6856" w:type="dxa"/>
            <w:tcBorders>
              <w:top w:val="single" w:color="auto" w:sz="4" w:space="0"/>
              <w:left w:val="single" w:color="auto" w:sz="4" w:space="0"/>
              <w:bottom w:val="single" w:color="auto" w:sz="4" w:space="0"/>
              <w:right w:val="single" w:color="auto" w:sz="4" w:space="0"/>
            </w:tcBorders>
            <w:vAlign w:val="center"/>
          </w:tcPr>
          <w:p w14:paraId="247F9F6F">
            <w:pPr>
              <w:pStyle w:val="119"/>
              <w:keepNext w:val="0"/>
              <w:keepLines w:val="0"/>
              <w:pageBreakBefore w:val="0"/>
              <w:tabs>
                <w:tab w:val="left" w:pos="1890"/>
              </w:tabs>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color w:val="auto"/>
                <w:kern w:val="2"/>
                <w:sz w:val="24"/>
                <w:szCs w:val="22"/>
                <w:highlight w:val="none"/>
                <w:lang w:val="en-US" w:eastAsia="zh-CN" w:bidi="ar-SA"/>
              </w:rPr>
            </w:pPr>
            <w:r>
              <w:rPr>
                <w:rFonts w:hint="eastAsia" w:ascii="宋体" w:hAnsi="宋体" w:cs="宋体"/>
                <w:color w:val="auto"/>
                <w:kern w:val="2"/>
                <w:sz w:val="24"/>
                <w:szCs w:val="22"/>
                <w:highlight w:val="none"/>
                <w:lang w:val="en-US" w:eastAsia="zh-CN" w:bidi="ar-SA"/>
              </w:rPr>
              <w:t>汇龙工程咨询有限公司</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施工单位</w:t>
            </w:r>
          </w:p>
        </w:tc>
        <w:tc>
          <w:tcPr>
            <w:tcW w:w="6856"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hAnsi="宋体" w:eastAsia="宋体" w:cs="宋体"/>
                <w:bCs/>
                <w:snapToGrid w:val="0"/>
                <w:color w:val="auto"/>
                <w:kern w:val="0"/>
                <w:szCs w:val="24"/>
                <w:highlight w:val="none"/>
                <w:lang w:val="en-US" w:eastAsia="zh-CN"/>
              </w:rPr>
            </w:pPr>
            <w:r>
              <w:rPr>
                <w:rFonts w:hint="eastAsia" w:hAnsi="宋体" w:cs="宋体"/>
                <w:bCs/>
                <w:snapToGrid w:val="0"/>
                <w:color w:val="auto"/>
                <w:kern w:val="0"/>
                <w:szCs w:val="24"/>
                <w:highlight w:val="none"/>
                <w:lang w:val="en-US" w:eastAsia="zh-CN"/>
              </w:rPr>
              <w:t>待定</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建设地点</w:t>
            </w:r>
          </w:p>
        </w:tc>
        <w:tc>
          <w:tcPr>
            <w:tcW w:w="6856"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default" w:hAnsi="宋体" w:eastAsia="宋体" w:cs="宋体"/>
                <w:bCs/>
                <w:snapToGrid w:val="0"/>
                <w:color w:val="auto"/>
                <w:kern w:val="0"/>
                <w:szCs w:val="24"/>
                <w:highlight w:val="none"/>
                <w:lang w:val="en-US" w:eastAsia="zh-CN"/>
              </w:rPr>
            </w:pPr>
            <w:r>
              <w:rPr>
                <w:rFonts w:hint="default" w:hAnsi="宋体" w:eastAsia="宋体" w:cs="宋体"/>
                <w:bCs/>
                <w:snapToGrid w:val="0"/>
                <w:color w:val="auto"/>
                <w:kern w:val="0"/>
                <w:szCs w:val="24"/>
                <w:highlight w:val="none"/>
                <w:lang w:val="en-US" w:eastAsia="zh-CN"/>
              </w:rPr>
              <w:t>韶关市翁源县周陂镇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99"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建设内容和规模</w:t>
            </w:r>
          </w:p>
        </w:tc>
        <w:tc>
          <w:tcPr>
            <w:tcW w:w="6856" w:type="dxa"/>
            <w:tcBorders>
              <w:top w:val="single" w:color="auto" w:sz="4" w:space="0"/>
              <w:left w:val="single" w:color="auto" w:sz="4" w:space="0"/>
              <w:bottom w:val="single" w:color="auto" w:sz="4" w:space="0"/>
              <w:right w:val="single" w:color="auto" w:sz="4" w:space="0"/>
            </w:tcBorders>
            <w:vAlign w:val="center"/>
          </w:tcPr>
          <w:p w14:paraId="11797206">
            <w:pPr>
              <w:pStyle w:val="119"/>
              <w:keepNext w:val="0"/>
              <w:keepLines w:val="0"/>
              <w:pageBreakBefore w:val="0"/>
              <w:tabs>
                <w:tab w:val="left" w:pos="1890"/>
              </w:tabs>
              <w:kinsoku/>
              <w:wordWrap/>
              <w:overflowPunct/>
              <w:topLinePunct w:val="0"/>
              <w:autoSpaceDE/>
              <w:autoSpaceDN/>
              <w:bidi w:val="0"/>
              <w:adjustRightInd/>
              <w:snapToGrid/>
              <w:spacing w:line="420" w:lineRule="exact"/>
              <w:ind w:firstLine="210" w:firstLineChars="100"/>
              <w:jc w:val="left"/>
              <w:textAlignment w:val="auto"/>
              <w:rPr>
                <w:rFonts w:hint="default" w:ascii="宋体" w:hAnsi="宋体" w:eastAsia="宋体" w:cs="宋体"/>
                <w:color w:val="auto"/>
                <w:szCs w:val="24"/>
                <w:highlight w:val="none"/>
                <w:lang w:val="en-US" w:eastAsia="zh-CN"/>
              </w:rPr>
            </w:pPr>
            <w:r>
              <w:rPr>
                <w:rFonts w:hint="default" w:ascii="宋体" w:hAnsi="宋体" w:eastAsia="宋体" w:cs="宋体"/>
                <w:color w:val="auto"/>
                <w:szCs w:val="24"/>
                <w:highlight w:val="none"/>
                <w:lang w:val="en-US" w:eastAsia="zh-CN"/>
              </w:rPr>
              <w:t>1、对现有87个自然村未达标</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主要是接户管</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支管不完善</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主管毁坏或淤塞</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检査井被覆盖</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位置不合理以及部分设施损坏等</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需要进行完善、提升或者改造。新建 DN200-DN300污水管道长度约3191.80m</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新建DN100-160入户管约19878.50m</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并设置塑料检査井2771座</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破除及修复路面29726.95平方米</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新建厌氧强化预处理罐136座</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规模为1.0m3/d-10.0m3/d。</w:t>
            </w:r>
          </w:p>
          <w:p w14:paraId="13953056">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textAlignment w:val="auto"/>
              <w:rPr>
                <w:rFonts w:hAnsi="宋体" w:cs="宋体"/>
                <w:snapToGrid w:val="0"/>
                <w:color w:val="auto"/>
                <w:kern w:val="0"/>
                <w:szCs w:val="24"/>
                <w:highlight w:val="none"/>
              </w:rPr>
            </w:pPr>
            <w:r>
              <w:rPr>
                <w:rFonts w:hint="default" w:ascii="宋体" w:hAnsi="宋体" w:eastAsia="宋体" w:cs="宋体"/>
                <w:color w:val="auto"/>
                <w:szCs w:val="24"/>
                <w:highlight w:val="none"/>
                <w:lang w:val="en-US" w:eastAsia="zh-CN"/>
              </w:rPr>
              <w:t>2、对48个村资源化利用提升改造现有污水管网、设施未</w:t>
            </w:r>
            <w:r>
              <w:rPr>
                <w:rFonts w:hint="eastAsia" w:ascii="宋体" w:hAnsi="宋体" w:eastAsia="宋体" w:cs="宋体"/>
                <w:color w:val="auto"/>
                <w:szCs w:val="24"/>
                <w:highlight w:val="none"/>
                <w:lang w:val="en-US" w:eastAsia="zh-CN"/>
              </w:rPr>
              <w:t>覆盖</w:t>
            </w:r>
            <w:r>
              <w:rPr>
                <w:rFonts w:hint="default" w:ascii="宋体" w:hAnsi="宋体" w:eastAsia="宋体" w:cs="宋体"/>
                <w:color w:val="auto"/>
                <w:szCs w:val="24"/>
                <w:highlight w:val="none"/>
                <w:lang w:val="en-US" w:eastAsia="zh-CN"/>
              </w:rPr>
              <w:t>的空白村及存在短板的48个自然村</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主要以资源化利用为主</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新建DN200-DN300污水管道长度约1127.30m</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新建DN100-160入户管约9813m</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并设置塑料检査井201座</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破除及修复路面6597.45平方米</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新建厌氧强化预处理罐149座</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规模为1.0m3/d-3.0m3/d</w:t>
            </w:r>
            <w:r>
              <w:rPr>
                <w:rFonts w:hint="eastAsia" w:ascii="宋体" w:hAnsi="宋体" w:eastAsia="宋体" w:cs="宋体"/>
                <w:color w:val="auto"/>
                <w:szCs w:val="24"/>
                <w:highlight w:val="none"/>
                <w:lang w:val="en-US" w:eastAsia="zh-CN"/>
              </w:rPr>
              <w:t>，</w:t>
            </w:r>
            <w:r>
              <w:rPr>
                <w:rFonts w:hint="default" w:ascii="宋体" w:hAnsi="宋体" w:eastAsia="宋体" w:cs="宋体"/>
                <w:color w:val="auto"/>
                <w:szCs w:val="24"/>
                <w:highlight w:val="none"/>
                <w:lang w:val="en-US" w:eastAsia="zh-CN"/>
              </w:rPr>
              <w:t>补充现状化粪池增设手摇泵6处</w:t>
            </w:r>
            <w:r>
              <w:rPr>
                <w:rFonts w:hint="eastAsia" w:ascii="宋体" w:hAnsi="宋体" w:eastAsia="宋体" w:cs="宋体"/>
                <w:color w:val="auto"/>
                <w:szCs w:val="24"/>
                <w:highlight w:val="none"/>
                <w:lang w:val="en-US" w:eastAsia="zh-CN"/>
              </w:rPr>
              <w:t>。</w:t>
            </w:r>
            <w:r>
              <w:rPr>
                <w:rFonts w:hint="eastAsia" w:ascii="宋体" w:hAnsi="宋体" w:eastAsia="宋体" w:cs="宋体"/>
                <w:color w:val="auto"/>
                <w:szCs w:val="24"/>
                <w:highlight w:val="none"/>
                <w:lang w:val="en-US" w:eastAsia="zh-CN"/>
              </w:rPr>
              <w:br w:type="textWrapping"/>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0"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项目总投资</w:t>
            </w:r>
          </w:p>
        </w:tc>
        <w:tc>
          <w:tcPr>
            <w:tcW w:w="6856"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本项目建安费2450.94万元，本次招标监理费45.45万元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4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招标范围</w:t>
            </w:r>
          </w:p>
        </w:tc>
        <w:tc>
          <w:tcPr>
            <w:tcW w:w="6856"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项目建设范围内的施工监理（含施工准备阶段、施工阶段、工程竣工验收阶段、工程结算阶段及缺陷责任保修期阶段的监理服务）。</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标段划分</w:t>
            </w:r>
          </w:p>
        </w:tc>
        <w:tc>
          <w:tcPr>
            <w:tcW w:w="6856"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投标人资格要求</w:t>
            </w:r>
          </w:p>
        </w:tc>
        <w:tc>
          <w:tcPr>
            <w:tcW w:w="6856"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auto"/>
                <w:szCs w:val="24"/>
                <w:highlight w:val="none"/>
              </w:rPr>
            </w:pPr>
            <w:r>
              <w:rPr>
                <w:rFonts w:hint="eastAsia" w:hAnsi="宋体" w:cs="宋体"/>
                <w:color w:val="auto"/>
                <w:szCs w:val="24"/>
                <w:highlight w:val="none"/>
              </w:rPr>
              <w:t xml:space="preserve">2.2 </w:t>
            </w:r>
            <w:r>
              <w:rPr>
                <w:rFonts w:hint="eastAsia" w:ascii="宋体" w:hAnsi="宋体" w:eastAsia="宋体" w:cs="宋体"/>
                <w:color w:val="auto"/>
                <w:szCs w:val="24"/>
                <w:highlight w:val="none"/>
              </w:rPr>
              <w:t>投标人须具备以下资质之一：①工程监理综合资质；②</w:t>
            </w:r>
            <w:r>
              <w:rPr>
                <w:rFonts w:hint="eastAsia" w:hAnsi="宋体" w:cs="宋体"/>
                <w:color w:val="auto"/>
                <w:szCs w:val="24"/>
                <w:highlight w:val="none"/>
                <w:lang w:val="en-US" w:eastAsia="zh-CN"/>
              </w:rPr>
              <w:t>市政公用</w:t>
            </w:r>
            <w:r>
              <w:rPr>
                <w:rFonts w:hint="eastAsia" w:ascii="宋体" w:hAnsi="宋体" w:eastAsia="宋体" w:cs="宋体"/>
                <w:color w:val="auto"/>
                <w:szCs w:val="24"/>
                <w:highlight w:val="none"/>
              </w:rPr>
              <w:t>工程监理乙级资质及以上（含</w:t>
            </w:r>
            <w:r>
              <w:rPr>
                <w:rFonts w:hint="eastAsia" w:hAnsi="宋体" w:cs="宋体"/>
                <w:color w:val="auto"/>
                <w:szCs w:val="24"/>
                <w:highlight w:val="none"/>
                <w:lang w:val="en-US" w:eastAsia="zh-CN"/>
              </w:rPr>
              <w:t>乙</w:t>
            </w:r>
            <w:r>
              <w:rPr>
                <w:rFonts w:hint="eastAsia" w:ascii="宋体" w:hAnsi="宋体" w:eastAsia="宋体" w:cs="宋体"/>
                <w:color w:val="auto"/>
                <w:szCs w:val="24"/>
                <w:highlight w:val="none"/>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2.3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3.1 拟派总监理工程师为</w:t>
            </w:r>
            <w:r>
              <w:rPr>
                <w:rFonts w:hint="eastAsia" w:hAnsi="宋体" w:cs="宋体"/>
                <w:color w:val="auto"/>
                <w:szCs w:val="24"/>
                <w:highlight w:val="none"/>
                <w:lang w:val="en-US" w:eastAsia="zh-CN"/>
              </w:rPr>
              <w:t>市政公用</w:t>
            </w:r>
            <w:r>
              <w:rPr>
                <w:rFonts w:hint="eastAsia" w:hAnsi="宋体" w:cs="宋体"/>
                <w:color w:val="auto"/>
                <w:szCs w:val="24"/>
                <w:highlight w:val="none"/>
              </w:rPr>
              <w:t>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（14）</w:t>
            </w:r>
            <w:r>
              <w:rPr>
                <w:rFonts w:hint="eastAsia" w:hAnsi="宋体" w:cs="宋体"/>
                <w:color w:val="auto"/>
                <w:kern w:val="0"/>
                <w:highlight w:val="none"/>
              </w:rPr>
              <w:t>被“信用中国”网站（https://www.creditchina.gov.cn）发布的《法人和非法人组织公共信用信息报告》列为严重失信主体名单的</w:t>
            </w:r>
            <w:r>
              <w:rPr>
                <w:rFonts w:hint="eastAsia" w:hAnsi="宋体" w:cs="宋体"/>
                <w:color w:val="auto"/>
                <w:szCs w:val="24"/>
                <w:highlight w:val="none"/>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auto"/>
                <w:szCs w:val="24"/>
                <w:highlight w:val="none"/>
              </w:rPr>
            </w:pPr>
            <w:r>
              <w:rPr>
                <w:rFonts w:hint="eastAsia" w:hAnsi="宋体" w:cs="宋体"/>
                <w:color w:val="auto"/>
                <w:szCs w:val="24"/>
                <w:highlight w:val="none"/>
              </w:rPr>
              <w:t>4.2 招标人拒绝以下名单中的单位参加本次投标：</w:t>
            </w:r>
          </w:p>
          <w:tbl>
            <w:tblPr>
              <w:tblStyle w:val="31"/>
              <w:tblW w:w="6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2880"/>
              <w:gridCol w:w="2966"/>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3"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2880"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6"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3" w:type="dxa"/>
                  <w:noWrap w:val="0"/>
                  <w:vAlign w:val="center"/>
                </w:tcPr>
                <w:p w14:paraId="5B757AB9">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2880" w:type="dxa"/>
                  <w:noWrap w:val="0"/>
                  <w:vAlign w:val="center"/>
                </w:tcPr>
                <w:p w14:paraId="33309A4E">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翁源县周陂镇人民政府</w:t>
                  </w:r>
                </w:p>
              </w:tc>
              <w:tc>
                <w:tcPr>
                  <w:tcW w:w="2966" w:type="dxa"/>
                  <w:noWrap w:val="0"/>
                  <w:vAlign w:val="center"/>
                </w:tcPr>
                <w:p w14:paraId="3109F4A9">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kern w:val="2"/>
                      <w:sz w:val="24"/>
                      <w:szCs w:val="24"/>
                      <w:highlight w:val="none"/>
                      <w:lang w:val="en-US" w:eastAsia="zh-CN" w:bidi="ar-SA"/>
                    </w:rPr>
                    <w:t>本项目的</w:t>
                  </w:r>
                  <w:r>
                    <w:rPr>
                      <w:rFonts w:hint="eastAsia" w:ascii="宋体" w:hAnsi="宋体" w:eastAsia="宋体" w:cs="宋体"/>
                      <w:color w:val="auto"/>
                      <w:sz w:val="24"/>
                      <w:szCs w:val="24"/>
                      <w:highlight w:val="none"/>
                    </w:rPr>
                    <w:t>招标人</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3" w:type="dxa"/>
                  <w:noWrap w:val="0"/>
                  <w:vAlign w:val="center"/>
                </w:tcPr>
                <w:p w14:paraId="28FEDDA3">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2880" w:type="dxa"/>
                  <w:noWrap w:val="0"/>
                  <w:vAlign w:val="center"/>
                </w:tcPr>
                <w:p w14:paraId="22B974FA">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汇龙工程咨询有限公司</w:t>
                  </w:r>
                </w:p>
              </w:tc>
              <w:tc>
                <w:tcPr>
                  <w:tcW w:w="2966" w:type="dxa"/>
                  <w:noWrap w:val="0"/>
                  <w:vAlign w:val="center"/>
                </w:tcPr>
                <w:p w14:paraId="3A221F21">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为本项目的招标代理机构</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3" w:type="dxa"/>
                  <w:noWrap w:val="0"/>
                  <w:vAlign w:val="center"/>
                </w:tcPr>
                <w:p w14:paraId="74118216">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2880" w:type="dxa"/>
                  <w:noWrap w:val="0"/>
                  <w:vAlign w:val="center"/>
                </w:tcPr>
                <w:p w14:paraId="0A3FF80A">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both"/>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广东省国际工程咨询有限公司</w:t>
                  </w:r>
                </w:p>
              </w:tc>
              <w:tc>
                <w:tcPr>
                  <w:tcW w:w="2966" w:type="dxa"/>
                  <w:noWrap w:val="0"/>
                  <w:vAlign w:val="center"/>
                </w:tcPr>
                <w:p w14:paraId="5C95264F">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为本项目的可研编制单位</w:t>
                  </w:r>
                </w:p>
              </w:tc>
            </w:tr>
            <w:tr w14:paraId="7673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3" w:type="dxa"/>
                  <w:noWrap w:val="0"/>
                  <w:vAlign w:val="center"/>
                </w:tcPr>
                <w:p w14:paraId="3A394F50">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4</w:t>
                  </w:r>
                </w:p>
              </w:tc>
              <w:tc>
                <w:tcPr>
                  <w:tcW w:w="2880" w:type="dxa"/>
                  <w:noWrap w:val="0"/>
                  <w:vAlign w:val="center"/>
                </w:tcPr>
                <w:p w14:paraId="0A1FA3FC">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国昇设计有限责任公司</w:t>
                  </w:r>
                </w:p>
              </w:tc>
              <w:tc>
                <w:tcPr>
                  <w:tcW w:w="2966" w:type="dxa"/>
                  <w:noWrap w:val="0"/>
                  <w:vAlign w:val="center"/>
                </w:tcPr>
                <w:p w14:paraId="16B69C97">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为本项目的</w:t>
                  </w:r>
                  <w:r>
                    <w:rPr>
                      <w:rFonts w:hint="eastAsia" w:ascii="宋体" w:hAnsi="宋体" w:cs="宋体"/>
                      <w:color w:val="auto"/>
                      <w:sz w:val="24"/>
                      <w:szCs w:val="24"/>
                      <w:highlight w:val="none"/>
                      <w:lang w:val="en-US" w:eastAsia="zh-CN"/>
                    </w:rPr>
                    <w:t>勘察设计</w:t>
                  </w:r>
                  <w:r>
                    <w:rPr>
                      <w:rFonts w:hint="eastAsia" w:ascii="宋体" w:hAnsi="宋体" w:eastAsia="宋体" w:cs="宋体"/>
                      <w:color w:val="auto"/>
                      <w:sz w:val="24"/>
                      <w:szCs w:val="24"/>
                      <w:highlight w:val="none"/>
                    </w:rPr>
                    <w:t>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auto"/>
                <w:szCs w:val="24"/>
                <w:highlight w:val="none"/>
              </w:rPr>
            </w:pPr>
            <w:r>
              <w:rPr>
                <w:rFonts w:hint="eastAsia" w:hAnsi="宋体" w:cs="宋体"/>
                <w:color w:val="auto"/>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服务期限</w:t>
            </w:r>
          </w:p>
        </w:tc>
        <w:tc>
          <w:tcPr>
            <w:tcW w:w="6856"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本项目施工工期：</w:t>
            </w:r>
            <w:r>
              <w:rPr>
                <w:rFonts w:hint="eastAsia" w:hAnsi="宋体" w:cs="宋体"/>
                <w:snapToGrid w:val="0"/>
                <w:color w:val="auto"/>
                <w:kern w:val="0"/>
                <w:szCs w:val="24"/>
                <w:highlight w:val="none"/>
                <w:lang w:val="en-US" w:eastAsia="zh-CN"/>
              </w:rPr>
              <w:t>180</w:t>
            </w:r>
            <w:r>
              <w:rPr>
                <w:rFonts w:hint="eastAsia" w:hAnsi="宋体" w:cs="宋体"/>
                <w:snapToGrid w:val="0"/>
                <w:color w:val="auto"/>
                <w:kern w:val="0"/>
                <w:szCs w:val="24"/>
                <w:highlight w:val="none"/>
              </w:rPr>
              <w:t>日历天；监理服务期从监理合同签订之日起计，至本工程缺陷责任保修期结束且本工程结算金额经政府主管部门审定且双方的责任义务履行完毕时止。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服务标准</w:t>
            </w:r>
          </w:p>
        </w:tc>
        <w:tc>
          <w:tcPr>
            <w:tcW w:w="6856"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工程质量达到合格或以上标准。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最高投标限价</w:t>
            </w:r>
          </w:p>
        </w:tc>
        <w:tc>
          <w:tcPr>
            <w:tcW w:w="6856"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bCs/>
                <w:color w:val="auto"/>
                <w:szCs w:val="24"/>
                <w:highlight w:val="none"/>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投标保证金</w:t>
            </w:r>
          </w:p>
        </w:tc>
        <w:tc>
          <w:tcPr>
            <w:tcW w:w="6856"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eastAsia="宋体" w:cs="宋体"/>
                <w:color w:val="auto"/>
                <w:highlight w:val="none"/>
                <w:lang w:eastAsia="zh-CN"/>
              </w:rPr>
            </w:pPr>
            <w:r>
              <w:rPr>
                <w:rFonts w:hint="eastAsia" w:hAnsi="宋体" w:cs="宋体"/>
                <w:color w:val="auto"/>
                <w:highlight w:val="none"/>
              </w:rPr>
              <w:t>1.投标人须缴纳金额为人民币</w:t>
            </w:r>
            <w:r>
              <w:rPr>
                <w:rFonts w:hint="eastAsia" w:hAnsi="宋体" w:cs="宋体"/>
                <w:color w:val="auto"/>
                <w:highlight w:val="none"/>
                <w:u w:val="single"/>
                <w:lang w:val="en-US" w:eastAsia="zh-CN"/>
              </w:rPr>
              <w:t xml:space="preserve">  8000.00  </w:t>
            </w:r>
            <w:r>
              <w:rPr>
                <w:rFonts w:hint="eastAsia" w:hAnsi="宋体" w:cs="宋体"/>
                <w:color w:val="auto"/>
                <w:highlight w:val="none"/>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textAlignment w:val="auto"/>
              <w:rPr>
                <w:rFonts w:hAnsi="宋体" w:cs="宋体"/>
                <w:color w:val="auto"/>
                <w:highlight w:val="none"/>
              </w:rPr>
            </w:pPr>
            <w:r>
              <w:rPr>
                <w:rFonts w:hint="eastAsia" w:hAnsi="宋体" w:cs="宋体"/>
                <w:color w:val="auto"/>
                <w:highlight w:val="none"/>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投标有效期</w:t>
            </w:r>
          </w:p>
        </w:tc>
        <w:tc>
          <w:tcPr>
            <w:tcW w:w="6856"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本次招标的投标有效期为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投标文件组成</w:t>
            </w:r>
          </w:p>
        </w:tc>
        <w:tc>
          <w:tcPr>
            <w:tcW w:w="6856"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投标文件包括商务标书、监理大纲</w:t>
            </w:r>
            <w:r>
              <w:rPr>
                <w:rFonts w:hint="eastAsia" w:hAnsi="宋体" w:cs="宋体"/>
                <w:snapToGrid w:val="0"/>
                <w:color w:val="auto"/>
                <w:kern w:val="0"/>
                <w:szCs w:val="24"/>
                <w:highlight w:val="none"/>
                <w:lang w:val="en-US" w:eastAsia="zh-CN"/>
              </w:rPr>
              <w:t>两</w:t>
            </w:r>
            <w:r>
              <w:rPr>
                <w:rFonts w:hint="eastAsia" w:hAnsi="宋体" w:cs="宋体"/>
                <w:snapToGrid w:val="0"/>
                <w:color w:val="auto"/>
                <w:kern w:val="0"/>
                <w:szCs w:val="24"/>
                <w:highlight w:val="none"/>
              </w:rPr>
              <w:t>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评标方法</w:t>
            </w:r>
          </w:p>
        </w:tc>
        <w:tc>
          <w:tcPr>
            <w:tcW w:w="6856"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综合评估法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23</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方式</w:t>
            </w:r>
          </w:p>
        </w:tc>
        <w:tc>
          <w:tcPr>
            <w:tcW w:w="6856"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24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本次招标监理大纲</w:t>
            </w:r>
            <w:r>
              <w:rPr>
                <w:rFonts w:hint="eastAsia" w:hAnsi="宋体" w:cs="宋体"/>
                <w:snapToGrid w:val="0"/>
                <w:color w:val="auto"/>
                <w:kern w:val="0"/>
                <w:szCs w:val="24"/>
                <w:highlight w:val="none"/>
                <w:u w:val="single"/>
              </w:rPr>
              <w:t xml:space="preserve"> 不采用 </w:t>
            </w:r>
            <w:r>
              <w:rPr>
                <w:rFonts w:hint="eastAsia" w:hAnsi="宋体" w:cs="宋体"/>
                <w:snapToGrid w:val="0"/>
                <w:color w:val="auto"/>
                <w:kern w:val="0"/>
                <w:szCs w:val="24"/>
                <w:highlight w:val="none"/>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4</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评标委员会由</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人组成，其中招标人代表</w:t>
            </w:r>
            <w:r>
              <w:rPr>
                <w:rFonts w:hint="eastAsia" w:hAnsi="宋体" w:cs="宋体"/>
                <w:snapToGrid w:val="0"/>
                <w:color w:val="auto"/>
                <w:kern w:val="0"/>
                <w:szCs w:val="24"/>
                <w:highlight w:val="none"/>
                <w:u w:val="single"/>
              </w:rPr>
              <w:t xml:space="preserve"> 0 </w:t>
            </w:r>
            <w:r>
              <w:rPr>
                <w:rFonts w:hint="eastAsia" w:hAnsi="宋体" w:cs="宋体"/>
                <w:snapToGrid w:val="0"/>
                <w:color w:val="auto"/>
                <w:kern w:val="0"/>
                <w:szCs w:val="24"/>
                <w:highlight w:val="none"/>
              </w:rPr>
              <w:t>人，专家</w:t>
            </w:r>
            <w:r>
              <w:rPr>
                <w:rFonts w:hint="eastAsia" w:hAnsi="宋体" w:cs="宋体"/>
                <w:snapToGrid w:val="0"/>
                <w:color w:val="auto"/>
                <w:kern w:val="0"/>
                <w:szCs w:val="24"/>
                <w:highlight w:val="none"/>
                <w:u w:val="single"/>
              </w:rPr>
              <w:t xml:space="preserve"> 5 </w:t>
            </w:r>
            <w:r>
              <w:rPr>
                <w:rFonts w:hint="eastAsia" w:hAnsi="宋体" w:cs="宋体"/>
                <w:snapToGrid w:val="0"/>
                <w:color w:val="auto"/>
                <w:kern w:val="0"/>
                <w:szCs w:val="24"/>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szCs w:val="24"/>
                <w:highlight w:val="none"/>
              </w:rPr>
              <w:t>中随机抽取，其中技术类专家</w:t>
            </w:r>
            <w:r>
              <w:rPr>
                <w:rFonts w:hint="eastAsia" w:hAnsi="宋体" w:cs="宋体"/>
                <w:snapToGrid w:val="0"/>
                <w:color w:val="auto"/>
                <w:kern w:val="0"/>
                <w:szCs w:val="24"/>
                <w:highlight w:val="none"/>
                <w:u w:val="single"/>
              </w:rPr>
              <w:t xml:space="preserve"> 3 </w:t>
            </w:r>
            <w:r>
              <w:rPr>
                <w:rFonts w:hint="eastAsia" w:hAnsi="宋体" w:cs="宋体"/>
                <w:snapToGrid w:val="0"/>
                <w:color w:val="auto"/>
                <w:kern w:val="0"/>
                <w:szCs w:val="24"/>
                <w:highlight w:val="none"/>
              </w:rPr>
              <w:t>人，经济类专家</w:t>
            </w:r>
            <w:r>
              <w:rPr>
                <w:rFonts w:hint="eastAsia" w:hAnsi="宋体" w:cs="宋体"/>
                <w:snapToGrid w:val="0"/>
                <w:color w:val="auto"/>
                <w:kern w:val="0"/>
                <w:szCs w:val="24"/>
                <w:highlight w:val="none"/>
                <w:u w:val="single"/>
              </w:rPr>
              <w:t xml:space="preserve"> 2 </w:t>
            </w:r>
            <w:r>
              <w:rPr>
                <w:rFonts w:hint="eastAsia" w:hAnsi="宋体" w:cs="宋体"/>
                <w:snapToGrid w:val="0"/>
                <w:color w:val="auto"/>
                <w:kern w:val="0"/>
                <w:szCs w:val="24"/>
                <w:highlight w:val="none"/>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5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hAnsi="宋体" w:cs="宋体"/>
                <w:snapToGrid w:val="0"/>
                <w:color w:val="auto"/>
                <w:kern w:val="0"/>
                <w:szCs w:val="24"/>
                <w:highlight w:val="none"/>
              </w:rPr>
              <w:t>2</w:t>
            </w:r>
            <w:r>
              <w:rPr>
                <w:rFonts w:hint="eastAsia" w:hAnsi="宋体" w:cs="宋体"/>
                <w:snapToGrid w:val="0"/>
                <w:color w:val="auto"/>
                <w:kern w:val="0"/>
                <w:szCs w:val="24"/>
                <w:highlight w:val="none"/>
                <w:lang w:val="en-US" w:eastAsia="zh-CN"/>
              </w:rPr>
              <w:t>5</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6856"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hAnsi="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26</w:t>
            </w:r>
          </w:p>
        </w:tc>
        <w:tc>
          <w:tcPr>
            <w:tcW w:w="1725" w:type="dxa"/>
            <w:tcBorders>
              <w:top w:val="single" w:color="auto" w:sz="4" w:space="0"/>
              <w:left w:val="single" w:color="auto" w:sz="4" w:space="0"/>
              <w:bottom w:val="single" w:color="auto" w:sz="4" w:space="0"/>
              <w:right w:val="single" w:color="auto" w:sz="4" w:space="0"/>
            </w:tcBorders>
            <w:vAlign w:val="center"/>
          </w:tcPr>
          <w:p w14:paraId="7CA2CE30">
            <w:pPr>
              <w:pStyle w:val="28"/>
              <w:keepNext w:val="0"/>
              <w:keepLines w:val="0"/>
              <w:widowControl/>
              <w:suppressLineNumbers w:val="0"/>
              <w:wordWrap/>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招标人联系方式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1511AD60">
            <w:pPr>
              <w:pStyle w:val="28"/>
              <w:keepNext w:val="0"/>
              <w:keepLines w:val="0"/>
              <w:widowControl/>
              <w:suppressLineNumbers w:val="0"/>
              <w:wordWrap/>
              <w:ind w:left="240" w:leftChars="100"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单位名称：</w:t>
            </w:r>
            <w:r>
              <w:rPr>
                <w:rFonts w:hint="eastAsia" w:cs="宋体"/>
                <w:snapToGrid w:val="0"/>
                <w:color w:val="auto"/>
                <w:kern w:val="0"/>
                <w:sz w:val="24"/>
                <w:szCs w:val="24"/>
                <w:highlight w:val="none"/>
                <w:lang w:val="en-US" w:eastAsia="zh-CN" w:bidi="ar-SA"/>
              </w:rPr>
              <w:t>翁源县周陂镇人民政府</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地址：</w:t>
            </w:r>
            <w:r>
              <w:rPr>
                <w:rFonts w:hint="eastAsia" w:ascii="宋体" w:hAnsi="宋体" w:eastAsia="宋体" w:cs="宋体"/>
                <w:color w:val="auto"/>
                <w:highlight w:val="none"/>
                <w:lang w:val="en-US" w:eastAsia="zh-CN"/>
              </w:rPr>
              <w:t>韶关市翁源县周陂镇康乐路一号</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联系人：</w:t>
            </w:r>
            <w:r>
              <w:rPr>
                <w:rFonts w:hint="eastAsia" w:ascii="宋体" w:hAnsi="宋体" w:eastAsia="宋体" w:cs="宋体"/>
                <w:color w:val="auto"/>
                <w:highlight w:val="none"/>
                <w:lang w:val="en-US" w:eastAsia="zh-CN"/>
              </w:rPr>
              <w:t>丘主任</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联系电话：</w:t>
            </w:r>
            <w:r>
              <w:rPr>
                <w:rFonts w:hint="eastAsia" w:ascii="宋体" w:hAnsi="宋体" w:eastAsia="宋体" w:cs="宋体"/>
                <w:color w:val="auto"/>
                <w:highlight w:val="none"/>
                <w:lang w:val="en-US" w:eastAsia="zh-CN"/>
              </w:rPr>
              <w:t>0751-2798686</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7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top"/>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cs="宋体"/>
                <w:snapToGrid w:val="0"/>
                <w:color w:val="auto"/>
                <w:kern w:val="0"/>
                <w:szCs w:val="24"/>
                <w:highlight w:val="none"/>
                <w:lang w:val="en-US" w:eastAsia="zh-CN"/>
              </w:rPr>
            </w:pPr>
            <w:r>
              <w:rPr>
                <w:rFonts w:hint="eastAsia" w:hAnsi="宋体" w:cs="宋体"/>
                <w:snapToGrid w:val="0"/>
                <w:color w:val="auto"/>
                <w:kern w:val="0"/>
                <w:szCs w:val="24"/>
                <w:highlight w:val="none"/>
              </w:rPr>
              <w:t>27</w:t>
            </w:r>
          </w:p>
        </w:tc>
        <w:tc>
          <w:tcPr>
            <w:tcW w:w="1725" w:type="dxa"/>
            <w:tcBorders>
              <w:top w:val="single" w:color="auto" w:sz="4" w:space="0"/>
              <w:left w:val="single" w:color="auto" w:sz="4" w:space="0"/>
              <w:bottom w:val="single" w:color="auto" w:sz="4" w:space="0"/>
              <w:right w:val="single" w:color="auto" w:sz="4" w:space="0"/>
            </w:tcBorders>
            <w:vAlign w:val="center"/>
          </w:tcPr>
          <w:p w14:paraId="61EAB285">
            <w:pPr>
              <w:pStyle w:val="28"/>
              <w:keepNext w:val="0"/>
              <w:keepLines w:val="0"/>
              <w:widowControl/>
              <w:suppressLineNumbers w:val="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招标代理机构联系方式</w:t>
            </w:r>
          </w:p>
        </w:tc>
        <w:tc>
          <w:tcPr>
            <w:tcW w:w="6856" w:type="dxa"/>
            <w:tcBorders>
              <w:top w:val="single" w:color="auto" w:sz="4" w:space="0"/>
              <w:left w:val="single" w:color="auto" w:sz="4" w:space="0"/>
              <w:bottom w:val="single" w:color="auto" w:sz="4" w:space="0"/>
              <w:right w:val="single" w:color="auto" w:sz="4" w:space="0"/>
            </w:tcBorders>
            <w:vAlign w:val="top"/>
          </w:tcPr>
          <w:p w14:paraId="455FD8F5">
            <w:pPr>
              <w:pStyle w:val="28"/>
              <w:keepNext w:val="0"/>
              <w:keepLines w:val="0"/>
              <w:widowControl/>
              <w:suppressLineNumbers w:val="0"/>
              <w:ind w:left="240" w:leftChars="100" w:firstLine="0" w:firstLineChars="0"/>
              <w:jc w:val="left"/>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单位名称：汇龙工程咨询有限公司</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办公地址：韶关市翁源县龙仙镇河口村日光小组文化室201房</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联系人：李</w:t>
            </w:r>
            <w:r>
              <w:rPr>
                <w:rFonts w:hint="eastAsia" w:cs="宋体"/>
                <w:snapToGrid w:val="0"/>
                <w:color w:val="auto"/>
                <w:kern w:val="0"/>
                <w:sz w:val="24"/>
                <w:szCs w:val="24"/>
                <w:highlight w:val="none"/>
                <w:lang w:val="en-US" w:eastAsia="zh-CN" w:bidi="ar-SA"/>
              </w:rPr>
              <w:t>媚</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电话：0751-2828218</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top"/>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cs="宋体"/>
                <w:snapToGrid w:val="0"/>
                <w:color w:val="auto"/>
                <w:kern w:val="0"/>
                <w:szCs w:val="24"/>
                <w:highlight w:val="none"/>
                <w:lang w:val="en-US" w:eastAsia="zh-CN"/>
              </w:rPr>
            </w:pPr>
            <w:r>
              <w:rPr>
                <w:rFonts w:hint="eastAsia" w:hAnsi="宋体" w:cs="宋体"/>
                <w:snapToGrid w:val="0"/>
                <w:color w:val="auto"/>
                <w:kern w:val="0"/>
                <w:szCs w:val="24"/>
                <w:highlight w:val="none"/>
              </w:rPr>
              <w:t>28</w:t>
            </w:r>
          </w:p>
        </w:tc>
        <w:tc>
          <w:tcPr>
            <w:tcW w:w="1725" w:type="dxa"/>
            <w:tcBorders>
              <w:top w:val="single" w:color="auto" w:sz="4" w:space="0"/>
              <w:left w:val="single" w:color="auto" w:sz="4" w:space="0"/>
              <w:bottom w:val="single" w:color="auto" w:sz="4" w:space="0"/>
              <w:right w:val="single" w:color="auto" w:sz="4" w:space="0"/>
            </w:tcBorders>
            <w:vAlign w:val="center"/>
          </w:tcPr>
          <w:p w14:paraId="39E802A2">
            <w:pPr>
              <w:pStyle w:val="28"/>
              <w:keepNext w:val="0"/>
              <w:keepLines w:val="0"/>
              <w:widowControl/>
              <w:suppressLineNumbers w:val="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交易场所联系方式</w:t>
            </w:r>
          </w:p>
        </w:tc>
        <w:tc>
          <w:tcPr>
            <w:tcW w:w="6856" w:type="dxa"/>
            <w:tcBorders>
              <w:top w:val="single" w:color="auto" w:sz="4" w:space="0"/>
              <w:left w:val="single" w:color="auto" w:sz="4" w:space="0"/>
              <w:bottom w:val="single" w:color="auto" w:sz="4" w:space="0"/>
              <w:right w:val="single" w:color="auto" w:sz="4" w:space="0"/>
            </w:tcBorders>
            <w:vAlign w:val="top"/>
          </w:tcPr>
          <w:p w14:paraId="52A159D9">
            <w:pPr>
              <w:pStyle w:val="28"/>
              <w:keepNext w:val="0"/>
              <w:keepLines w:val="0"/>
              <w:widowControl/>
              <w:suppressLineNumbers w:val="0"/>
              <w:ind w:left="240" w:leftChars="100"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单位名称：韶关市公共资源交易中心</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办公地址：翁源县龙仙镇朝阳路63号韶关市公共资源交易中心翁源分中心</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联系人（部门）：工程交易股</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联系电话：0751-2815819</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top"/>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cs="宋体"/>
                <w:snapToGrid w:val="0"/>
                <w:color w:val="auto"/>
                <w:kern w:val="0"/>
                <w:szCs w:val="24"/>
                <w:highlight w:val="none"/>
                <w:lang w:val="en-US" w:eastAsia="zh-CN"/>
              </w:rPr>
            </w:pPr>
            <w:r>
              <w:rPr>
                <w:rFonts w:hint="eastAsia" w:hAnsi="宋体" w:cs="宋体"/>
                <w:snapToGrid w:val="0"/>
                <w:color w:val="auto"/>
                <w:kern w:val="0"/>
                <w:szCs w:val="24"/>
                <w:highlight w:val="none"/>
              </w:rPr>
              <w:t>29</w:t>
            </w:r>
          </w:p>
        </w:tc>
        <w:tc>
          <w:tcPr>
            <w:tcW w:w="1725" w:type="dxa"/>
            <w:tcBorders>
              <w:top w:val="single" w:color="auto" w:sz="4" w:space="0"/>
              <w:left w:val="single" w:color="auto" w:sz="4" w:space="0"/>
              <w:bottom w:val="single" w:color="auto" w:sz="4" w:space="0"/>
              <w:right w:val="single" w:color="auto" w:sz="4" w:space="0"/>
            </w:tcBorders>
            <w:vAlign w:val="center"/>
          </w:tcPr>
          <w:p w14:paraId="7D06EA50">
            <w:pPr>
              <w:pStyle w:val="28"/>
              <w:keepNext w:val="0"/>
              <w:keepLines w:val="0"/>
              <w:widowControl/>
              <w:suppressLineNumbers w:val="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行政监督部门联系方式</w:t>
            </w:r>
          </w:p>
        </w:tc>
        <w:tc>
          <w:tcPr>
            <w:tcW w:w="6856" w:type="dxa"/>
            <w:tcBorders>
              <w:top w:val="single" w:color="auto" w:sz="4" w:space="0"/>
              <w:left w:val="single" w:color="auto" w:sz="4" w:space="0"/>
              <w:bottom w:val="single" w:color="auto" w:sz="4" w:space="0"/>
              <w:right w:val="single" w:color="auto" w:sz="4" w:space="0"/>
            </w:tcBorders>
            <w:vAlign w:val="top"/>
          </w:tcPr>
          <w:p w14:paraId="38D48A3B">
            <w:pPr>
              <w:pStyle w:val="28"/>
              <w:keepNext w:val="0"/>
              <w:keepLines w:val="0"/>
              <w:widowControl/>
              <w:suppressLineNumbers w:val="0"/>
              <w:ind w:left="240" w:leftChars="100"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单位名称：翁源县农业农村局</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办公地址：翁源县龙仙镇建设一路253号</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联系人（部门）：农促股</w:t>
            </w:r>
            <w:r>
              <w:rPr>
                <w:rFonts w:hint="eastAsia" w:ascii="宋体" w:hAnsi="宋体" w:eastAsia="宋体" w:cs="宋体"/>
                <w:snapToGrid w:val="0"/>
                <w:color w:val="auto"/>
                <w:kern w:val="0"/>
                <w:sz w:val="24"/>
                <w:szCs w:val="24"/>
                <w:highlight w:val="none"/>
                <w:lang w:val="en-US" w:eastAsia="zh-CN" w:bidi="ar-SA"/>
              </w:rPr>
              <w:br w:type="textWrapping"/>
            </w:r>
            <w:r>
              <w:rPr>
                <w:rFonts w:hint="eastAsia" w:ascii="宋体" w:hAnsi="宋体" w:eastAsia="宋体" w:cs="宋体"/>
                <w:snapToGrid w:val="0"/>
                <w:color w:val="auto"/>
                <w:kern w:val="0"/>
                <w:sz w:val="24"/>
                <w:szCs w:val="24"/>
                <w:highlight w:val="none"/>
                <w:lang w:val="en-US" w:eastAsia="zh-CN" w:bidi="ar-SA"/>
              </w:rPr>
              <w:t>联系电话：0751-2873197</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62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auto"/>
                <w:kern w:val="0"/>
                <w:sz w:val="24"/>
                <w:szCs w:val="24"/>
                <w:highlight w:val="none"/>
                <w:lang w:val="en-US" w:eastAsia="zh-CN" w:bidi="ar-SA"/>
              </w:rPr>
            </w:pPr>
            <w:bookmarkStart w:id="5" w:name="_Toc122859103"/>
            <w:bookmarkStart w:id="6" w:name="_Toc122671103"/>
            <w:bookmarkStart w:id="7" w:name="_Toc122769943"/>
            <w:r>
              <w:rPr>
                <w:rFonts w:hint="eastAsia" w:hAnsi="宋体" w:cs="宋体"/>
                <w:snapToGrid w:val="0"/>
                <w:color w:val="auto"/>
                <w:kern w:val="0"/>
                <w:szCs w:val="24"/>
                <w:highlight w:val="none"/>
              </w:rPr>
              <w:t>3</w:t>
            </w:r>
            <w:r>
              <w:rPr>
                <w:rFonts w:hint="eastAsia" w:hAnsi="宋体" w:cs="宋体"/>
                <w:snapToGrid w:val="0"/>
                <w:color w:val="auto"/>
                <w:kern w:val="0"/>
                <w:szCs w:val="24"/>
                <w:highlight w:val="none"/>
                <w:lang w:val="en-US" w:eastAsia="zh-CN"/>
              </w:rPr>
              <w:t>0</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术语</w:t>
            </w:r>
          </w:p>
        </w:tc>
        <w:tc>
          <w:tcPr>
            <w:tcW w:w="6856"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31</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hAnsi="宋体" w:eastAsia="宋体" w:cs="宋体"/>
                <w:snapToGrid w:val="0"/>
                <w:color w:val="auto"/>
                <w:kern w:val="0"/>
                <w:szCs w:val="24"/>
                <w:highlight w:val="none"/>
                <w:lang w:val="en-US" w:eastAsia="zh-CN"/>
              </w:rPr>
            </w:pPr>
            <w:r>
              <w:rPr>
                <w:rFonts w:hint="eastAsia" w:hAnsi="宋体" w:cs="宋体"/>
                <w:snapToGrid w:val="0"/>
                <w:color w:val="auto"/>
                <w:kern w:val="0"/>
                <w:szCs w:val="24"/>
                <w:highlight w:val="none"/>
                <w:lang w:val="en-US" w:eastAsia="zh-CN"/>
              </w:rPr>
              <w:t>其他费用</w:t>
            </w:r>
          </w:p>
        </w:tc>
        <w:tc>
          <w:tcPr>
            <w:tcW w:w="6856" w:type="dxa"/>
            <w:tcBorders>
              <w:top w:val="single" w:color="auto" w:sz="4" w:space="0"/>
              <w:left w:val="single" w:color="auto" w:sz="4" w:space="0"/>
              <w:bottom w:val="single" w:color="auto" w:sz="4" w:space="0"/>
              <w:right w:val="single" w:color="auto" w:sz="4" w:space="0"/>
            </w:tcBorders>
            <w:vAlign w:val="center"/>
          </w:tcPr>
          <w:p w14:paraId="7DC1CEF4">
            <w:pPr>
              <w:keepNext w:val="0"/>
              <w:keepLines w:val="0"/>
              <w:pageBreakBefore w:val="0"/>
              <w:widowControl w:val="0"/>
              <w:tabs>
                <w:tab w:val="left" w:pos="1890"/>
              </w:tabs>
              <w:kinsoku/>
              <w:wordWrap/>
              <w:overflowPunct/>
              <w:topLinePunct w:val="0"/>
              <w:autoSpaceDE/>
              <w:autoSpaceDN/>
              <w:bidi w:val="0"/>
              <w:adjustRightInd/>
              <w:snapToGrid w:val="0"/>
              <w:spacing w:line="460" w:lineRule="exact"/>
              <w:ind w:firstLine="480" w:firstLineChars="200"/>
              <w:textAlignment w:val="auto"/>
              <w:rPr>
                <w:rFonts w:hAnsi="宋体" w:cs="宋体"/>
                <w:snapToGrid w:val="0"/>
                <w:color w:val="auto"/>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本工程的招标代理服务费由中标人支付，该费用不再另行报价，由投标人在投标报价时综合考虑在内。中标人须向招标代理机构一次性支付（招标代理服务费：参照《关于印发&lt;招标代理服务收费管理暂行办法&gt;通知》[2002]1980号文以中标价为基数，</w:t>
            </w:r>
            <w:r>
              <w:rPr>
                <w:rFonts w:hint="eastAsia" w:ascii="宋体" w:hAnsi="宋体" w:eastAsia="宋体" w:cs="宋体"/>
                <w:snapToGrid w:val="0"/>
                <w:color w:val="auto"/>
                <w:kern w:val="0"/>
                <w:sz w:val="24"/>
                <w:szCs w:val="24"/>
                <w:highlight w:val="none"/>
                <w:lang w:val="en-US" w:eastAsia="zh-CN"/>
              </w:rPr>
              <w:t>中标人在领取中标通知书前须向招标代理机构一次性支付本项目的招标代理服务费。</w:t>
            </w:r>
            <w:r>
              <w:rPr>
                <w:rFonts w:hint="eastAsia" w:asciiTheme="minorEastAsia" w:hAnsiTheme="minorEastAsia" w:eastAsiaTheme="minorEastAsia" w:cstheme="minorEastAsia"/>
                <w:snapToGrid w:val="0"/>
                <w:color w:val="auto"/>
                <w:kern w:val="0"/>
                <w:sz w:val="24"/>
                <w:szCs w:val="24"/>
                <w:highlight w:val="none"/>
                <w:lang w:val="en-US" w:eastAsia="zh-CN"/>
              </w:rPr>
              <w:t>具体以签订的合同为准。</w:t>
            </w:r>
          </w:p>
        </w:tc>
      </w:tr>
    </w:tbl>
    <w:p w14:paraId="4F29BA6C">
      <w:pPr>
        <w:pStyle w:val="4"/>
        <w:wordWrap w:val="0"/>
        <w:autoSpaceDE/>
        <w:autoSpaceDN/>
        <w:snapToGrid w:val="0"/>
        <w:spacing w:before="260" w:after="260" w:line="440" w:lineRule="exact"/>
        <w:jc w:val="both"/>
        <w:rPr>
          <w:rFonts w:ascii="Times New Roman"/>
          <w:b/>
          <w:snapToGrid w:val="0"/>
          <w:color w:val="auto"/>
          <w:highlight w:val="none"/>
        </w:rPr>
        <w:sectPr>
          <w:footerReference r:id="rId8" w:type="default"/>
          <w:endnotePr>
            <w:numFmt w:val="decimal"/>
          </w:endnotePr>
          <w:pgSz w:w="11906" w:h="16838"/>
          <w:pgMar w:top="1417" w:right="1417" w:bottom="1417" w:left="1417" w:header="850" w:footer="992" w:gutter="0"/>
          <w:pgNumType w:fmt="decimal" w:start="1"/>
          <w:cols w:space="0" w:num="1"/>
          <w:docGrid w:linePitch="327" w:charSpace="0"/>
        </w:sectPr>
      </w:pPr>
    </w:p>
    <w:p w14:paraId="21CE9C32">
      <w:pPr>
        <w:pStyle w:val="4"/>
        <w:wordWrap w:val="0"/>
        <w:autoSpaceDE/>
        <w:autoSpaceDN/>
        <w:snapToGrid w:val="0"/>
        <w:spacing w:after="120" w:afterLines="50" w:line="440" w:lineRule="exact"/>
        <w:jc w:val="both"/>
        <w:rPr>
          <w:rFonts w:ascii="Times New Roman"/>
          <w:snapToGrid w:val="0"/>
          <w:color w:val="auto"/>
          <w:highlight w:val="none"/>
        </w:rPr>
      </w:pPr>
      <w:bookmarkStart w:id="8" w:name="_Toc714"/>
      <w:bookmarkStart w:id="9" w:name="_Toc32522"/>
      <w:r>
        <w:rPr>
          <w:rFonts w:hint="eastAsia" w:ascii="Times New Roman"/>
          <w:b/>
          <w:snapToGrid w:val="0"/>
          <w:color w:val="auto"/>
          <w:highlight w:val="none"/>
        </w:rPr>
        <w:t>第二节 重要事项时间地点一览表</w:t>
      </w:r>
      <w:bookmarkEnd w:id="8"/>
      <w:bookmarkEnd w:id="9"/>
    </w:p>
    <w:tbl>
      <w:tblPr>
        <w:tblStyle w:val="31"/>
        <w:tblW w:w="10179"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57" w:type="dxa"/>
          <w:bottom w:w="0" w:type="dxa"/>
          <w:right w:w="57" w:type="dxa"/>
        </w:tblCellMar>
      </w:tblPr>
      <w:tblGrid>
        <w:gridCol w:w="491"/>
        <w:gridCol w:w="1756"/>
        <w:gridCol w:w="7932"/>
      </w:tblGrid>
      <w:tr w14:paraId="673165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4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1B6C0CD">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56" w:type="dxa"/>
            <w:tcBorders>
              <w:top w:val="single" w:color="080000" w:sz="4" w:space="0"/>
              <w:left w:val="single" w:color="080000" w:sz="4" w:space="0"/>
              <w:bottom w:val="single" w:color="080000" w:sz="4" w:space="0"/>
              <w:right w:val="single" w:color="080000" w:sz="4" w:space="0"/>
            </w:tcBorders>
            <w:vAlign w:val="center"/>
          </w:tcPr>
          <w:p w14:paraId="0797CB9C">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招标公告</w:t>
            </w:r>
          </w:p>
          <w:p w14:paraId="13F62A2A">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发布时间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2F4E5CEF">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24</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17</w:t>
            </w:r>
            <w:bookmarkStart w:id="351" w:name="_GoBack"/>
            <w:bookmarkEnd w:id="351"/>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tc>
      </w:tr>
      <w:tr w14:paraId="5A0D20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2"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61FD2847">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56" w:type="dxa"/>
            <w:tcBorders>
              <w:top w:val="single" w:color="080000" w:sz="4" w:space="0"/>
              <w:left w:val="single" w:color="080000" w:sz="4" w:space="0"/>
              <w:bottom w:val="single" w:color="080000" w:sz="4" w:space="0"/>
              <w:right w:val="single" w:color="080000" w:sz="4" w:space="0"/>
            </w:tcBorders>
            <w:vAlign w:val="center"/>
          </w:tcPr>
          <w:p w14:paraId="6D4969C3">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获取招标文件截止时间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78D661A0">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8</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14</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tc>
      </w:tr>
      <w:tr w14:paraId="7B0509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8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BDAC1CA">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56" w:type="dxa"/>
            <w:tcBorders>
              <w:top w:val="single" w:color="080000" w:sz="4" w:space="0"/>
              <w:left w:val="single" w:color="080000" w:sz="4" w:space="0"/>
              <w:bottom w:val="single" w:color="080000" w:sz="4" w:space="0"/>
              <w:right w:val="single" w:color="080000" w:sz="4" w:space="0"/>
            </w:tcBorders>
            <w:vAlign w:val="center"/>
          </w:tcPr>
          <w:p w14:paraId="62596278">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网上提问</w:t>
            </w:r>
          </w:p>
          <w:p w14:paraId="57C3AED6">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5370E150">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8</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w:t>
            </w:r>
          </w:p>
        </w:tc>
      </w:tr>
      <w:tr w14:paraId="101064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1"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A03DB83">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56" w:type="dxa"/>
            <w:tcBorders>
              <w:top w:val="single" w:color="080000" w:sz="4" w:space="0"/>
              <w:left w:val="single" w:color="080000" w:sz="4" w:space="0"/>
              <w:bottom w:val="single" w:color="080000" w:sz="4" w:space="0"/>
              <w:right w:val="single" w:color="080000" w:sz="4" w:space="0"/>
            </w:tcBorders>
            <w:vAlign w:val="center"/>
          </w:tcPr>
          <w:p w14:paraId="4D015354">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网上答疑</w:t>
            </w:r>
          </w:p>
          <w:p w14:paraId="2D7C8154">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58246610">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8</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4</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分至</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8</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7</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0</w:t>
            </w:r>
            <w:r>
              <w:rPr>
                <w:rFonts w:hint="eastAsia" w:ascii="宋体" w:hAnsi="宋体" w:eastAsia="宋体" w:cs="宋体"/>
                <w:color w:val="auto"/>
                <w:kern w:val="0"/>
                <w:sz w:val="24"/>
                <w:szCs w:val="24"/>
                <w:highlight w:val="none"/>
                <w:u w:val="single"/>
                <w:lang w:val="en-US" w:eastAsia="zh-CN" w:bidi="ar-SA"/>
              </w:rPr>
              <w:t>0</w:t>
            </w:r>
            <w:r>
              <w:rPr>
                <w:rFonts w:hint="eastAsia" w:ascii="宋体" w:hAnsi="宋体" w:eastAsia="宋体" w:cs="宋体"/>
                <w:color w:val="auto"/>
                <w:kern w:val="0"/>
                <w:sz w:val="24"/>
                <w:szCs w:val="24"/>
                <w:highlight w:val="none"/>
                <w:lang w:val="en-US" w:eastAsia="zh-CN" w:bidi="ar-SA"/>
              </w:rPr>
              <w:t>分</w:t>
            </w:r>
          </w:p>
        </w:tc>
      </w:tr>
      <w:tr w14:paraId="38C9A3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638"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085E5DA">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56" w:type="dxa"/>
            <w:tcBorders>
              <w:top w:val="single" w:color="080000" w:sz="4" w:space="0"/>
              <w:left w:val="single" w:color="080000" w:sz="4" w:space="0"/>
              <w:bottom w:val="single" w:color="080000" w:sz="4" w:space="0"/>
              <w:right w:val="single" w:color="080000" w:sz="4" w:space="0"/>
            </w:tcBorders>
            <w:vAlign w:val="center"/>
          </w:tcPr>
          <w:p w14:paraId="4FE4E15B">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投标保证缴</w:t>
            </w:r>
          </w:p>
          <w:p w14:paraId="534BCB01">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纳截止时间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5C00812F">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投标保证金到账截止时间：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8</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13</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p w14:paraId="4FD62677">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投标保证担保上传截止时间：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8</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13</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p w14:paraId="02A26BBC">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投标保证保险投保截止时间：</w:t>
            </w:r>
            <w:r>
              <w:rPr>
                <w:rFonts w:hint="eastAsia" w:ascii="宋体" w:hAnsi="宋体" w:eastAsia="宋体" w:cs="宋体"/>
                <w:color w:val="auto"/>
                <w:kern w:val="0"/>
                <w:sz w:val="24"/>
                <w:szCs w:val="24"/>
                <w:highlight w:val="none"/>
                <w:u w:val="single"/>
                <w:lang w:val="en-US" w:eastAsia="zh-CN" w:bidi="ar-SA"/>
              </w:rPr>
              <w:t xml:space="preserve"> </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8</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13</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tc>
      </w:tr>
      <w:tr w14:paraId="19C78D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9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3AED9F60">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56" w:type="dxa"/>
            <w:tcBorders>
              <w:top w:val="single" w:color="080000" w:sz="4" w:space="0"/>
              <w:left w:val="single" w:color="080000" w:sz="4" w:space="0"/>
              <w:bottom w:val="single" w:color="080000" w:sz="4" w:space="0"/>
              <w:right w:val="single" w:color="080000" w:sz="4" w:space="0"/>
            </w:tcBorders>
            <w:vAlign w:val="center"/>
          </w:tcPr>
          <w:p w14:paraId="35292E2C">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电子投标</w:t>
            </w:r>
          </w:p>
          <w:p w14:paraId="083CEE58">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17827926">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8</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14</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tc>
      </w:tr>
      <w:tr w14:paraId="2E7EDE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2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AE7DCF3">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56" w:type="dxa"/>
            <w:tcBorders>
              <w:top w:val="single" w:color="080000" w:sz="4" w:space="0"/>
              <w:left w:val="single" w:color="080000" w:sz="4" w:space="0"/>
              <w:bottom w:val="single" w:color="080000" w:sz="4" w:space="0"/>
              <w:right w:val="single" w:color="080000" w:sz="4" w:space="0"/>
            </w:tcBorders>
            <w:vAlign w:val="center"/>
          </w:tcPr>
          <w:p w14:paraId="16535467">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投标相关资料（如有）</w:t>
            </w:r>
          </w:p>
          <w:p w14:paraId="326B11F8">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2B87C0CA">
            <w:pPr>
              <w:keepNext w:val="0"/>
              <w:keepLines w:val="0"/>
              <w:pageBreakBefore w:val="0"/>
              <w:widowControl w:val="0"/>
              <w:kinsoku/>
              <w:wordWrap w:val="0"/>
              <w:overflowPunct/>
              <w:topLinePunct/>
              <w:autoSpaceDE/>
              <w:autoSpaceDN/>
              <w:bidi w:val="0"/>
              <w:adjustRightInd w:val="0"/>
              <w:snapToGrid w:val="0"/>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8</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14</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00</w:t>
            </w:r>
            <w:r>
              <w:rPr>
                <w:rFonts w:hint="eastAsia" w:ascii="宋体" w:hAnsi="宋体" w:eastAsia="宋体" w:cs="宋体"/>
                <w:color w:val="auto"/>
                <w:kern w:val="0"/>
                <w:sz w:val="24"/>
                <w:szCs w:val="24"/>
                <w:highlight w:val="none"/>
                <w:lang w:val="en-US" w:eastAsia="zh-CN" w:bidi="ar-SA"/>
              </w:rPr>
              <w:t>分至</w:t>
            </w: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8</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14</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tc>
      </w:tr>
      <w:tr w14:paraId="588584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2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5E5C405">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56" w:type="dxa"/>
            <w:tcBorders>
              <w:top w:val="single" w:color="080000" w:sz="4" w:space="0"/>
              <w:left w:val="single" w:color="080000" w:sz="4" w:space="0"/>
              <w:bottom w:val="single" w:color="080000" w:sz="4" w:space="0"/>
              <w:right w:val="single" w:color="080000" w:sz="4" w:space="0"/>
            </w:tcBorders>
            <w:vAlign w:val="center"/>
          </w:tcPr>
          <w:p w14:paraId="382D945C">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投标相关资料（如有）</w:t>
            </w:r>
          </w:p>
          <w:p w14:paraId="7752393B">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递交地点</w:t>
            </w:r>
          </w:p>
        </w:tc>
        <w:tc>
          <w:tcPr>
            <w:tcW w:w="7932" w:type="dxa"/>
            <w:tcBorders>
              <w:top w:val="single" w:color="080000" w:sz="4" w:space="0"/>
              <w:left w:val="single" w:color="080000" w:sz="4" w:space="0"/>
              <w:bottom w:val="single" w:color="080000" w:sz="4" w:space="0"/>
              <w:right w:val="single" w:color="080000" w:sz="4" w:space="0"/>
            </w:tcBorders>
            <w:vAlign w:val="center"/>
          </w:tcPr>
          <w:p w14:paraId="4046774B">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递交场所： 韶关市公共资源交易中心</w:t>
            </w:r>
            <w:r>
              <w:rPr>
                <w:rFonts w:hint="eastAsia" w:asciiTheme="minorEastAsia" w:hAnsiTheme="minorEastAsia" w:eastAsiaTheme="minorEastAsia" w:cstheme="minorEastAsia"/>
                <w:snapToGrid w:val="0"/>
                <w:color w:val="auto"/>
                <w:kern w:val="0"/>
                <w:sz w:val="24"/>
                <w:szCs w:val="24"/>
                <w:highlight w:val="none"/>
                <w:lang w:val="en-US" w:eastAsia="zh-CN"/>
              </w:rPr>
              <w:t>翁源分中心</w:t>
            </w:r>
            <w:r>
              <w:rPr>
                <w:rFonts w:hint="eastAsia" w:ascii="宋体" w:hAnsi="宋体" w:eastAsia="宋体" w:cs="宋体"/>
                <w:snapToGrid w:val="0"/>
                <w:color w:val="auto"/>
                <w:kern w:val="0"/>
                <w:sz w:val="24"/>
                <w:szCs w:val="24"/>
                <w:highlight w:val="none"/>
                <w:lang w:val="en-US" w:eastAsia="zh-CN" w:bidi="ar-SA"/>
              </w:rPr>
              <w:t>，地址：</w:t>
            </w:r>
            <w:r>
              <w:rPr>
                <w:rFonts w:hint="eastAsia" w:asciiTheme="minorEastAsia" w:hAnsiTheme="minorEastAsia" w:eastAsiaTheme="minorEastAsia" w:cstheme="minorEastAsia"/>
                <w:snapToGrid w:val="0"/>
                <w:color w:val="auto"/>
                <w:kern w:val="0"/>
                <w:sz w:val="24"/>
                <w:szCs w:val="24"/>
                <w:highlight w:val="none"/>
                <w:lang w:val="en-US" w:eastAsia="zh-CN"/>
              </w:rPr>
              <w:t>翁源县龙仙镇朝阳路63号韶关市公共资源交易中心翁源分中心</w:t>
            </w:r>
            <w:r>
              <w:rPr>
                <w:rFonts w:hint="eastAsia" w:ascii="宋体" w:hAnsi="宋体" w:eastAsia="宋体" w:cs="宋体"/>
                <w:snapToGrid w:val="0"/>
                <w:color w:val="auto"/>
                <w:kern w:val="0"/>
                <w:sz w:val="24"/>
                <w:szCs w:val="24"/>
                <w:highlight w:val="none"/>
                <w:lang w:val="en-US" w:eastAsia="zh-CN" w:bidi="ar-SA"/>
              </w:rPr>
              <w:t>，具体房间号以当日现场通知为准。</w:t>
            </w:r>
          </w:p>
        </w:tc>
      </w:tr>
      <w:tr w14:paraId="3AE67C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2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5A26C4B5">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56" w:type="dxa"/>
            <w:tcBorders>
              <w:top w:val="single" w:color="080000" w:sz="4" w:space="0"/>
              <w:left w:val="single" w:color="080000" w:sz="4" w:space="0"/>
              <w:bottom w:val="single" w:color="080000" w:sz="4" w:space="0"/>
              <w:right w:val="single" w:color="080000" w:sz="4" w:space="0"/>
            </w:tcBorders>
            <w:vAlign w:val="center"/>
          </w:tcPr>
          <w:p w14:paraId="25C68903">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开标时间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2ED0604D">
            <w:pPr>
              <w:keepNext w:val="0"/>
              <w:keepLines w:val="0"/>
              <w:pageBreakBefore w:val="0"/>
              <w:widowControl w:val="0"/>
              <w:kinsoku/>
              <w:wordWrap w:val="0"/>
              <w:overflowPunct/>
              <w:topLinePunct/>
              <w:autoSpaceDE/>
              <w:autoSpaceDN/>
              <w:bidi w:val="0"/>
              <w:adjustRightInd w:val="0"/>
              <w:snapToGrid w:val="0"/>
              <w:spacing w:line="400" w:lineRule="exact"/>
              <w:ind w:right="96" w:rightChars="40"/>
              <w:jc w:val="left"/>
              <w:rPr>
                <w:rFonts w:hint="eastAsia" w:ascii="宋体" w:hAnsi="宋体" w:eastAsia="宋体" w:cs="宋体"/>
                <w:b w:val="0"/>
                <w:bCs w:val="0"/>
                <w:snapToGrid w:val="0"/>
                <w:color w:val="auto"/>
                <w:kern w:val="0"/>
                <w:sz w:val="24"/>
                <w:szCs w:val="24"/>
                <w:highlight w:val="none"/>
              </w:rPr>
            </w:pPr>
            <w:r>
              <w:rPr>
                <w:rFonts w:hint="eastAsia" w:hAnsi="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hAnsi="宋体" w:cs="宋体"/>
                <w:color w:val="auto"/>
                <w:kern w:val="0"/>
                <w:sz w:val="24"/>
                <w:szCs w:val="24"/>
                <w:highlight w:val="none"/>
                <w:u w:val="single"/>
                <w:lang w:val="en-US" w:eastAsia="zh-CN" w:bidi="ar-SA"/>
              </w:rPr>
              <w:t>8</w:t>
            </w:r>
            <w:r>
              <w:rPr>
                <w:rFonts w:hint="eastAsia" w:ascii="宋体" w:hAnsi="宋体" w:eastAsia="宋体" w:cs="宋体"/>
                <w:color w:val="auto"/>
                <w:kern w:val="0"/>
                <w:sz w:val="24"/>
                <w:szCs w:val="24"/>
                <w:highlight w:val="none"/>
                <w:lang w:val="en-US" w:eastAsia="zh-CN" w:bidi="ar-SA"/>
              </w:rPr>
              <w:t>月</w:t>
            </w:r>
            <w:r>
              <w:rPr>
                <w:rFonts w:hint="eastAsia" w:hAnsi="宋体" w:cs="宋体"/>
                <w:color w:val="auto"/>
                <w:kern w:val="0"/>
                <w:sz w:val="24"/>
                <w:szCs w:val="24"/>
                <w:highlight w:val="none"/>
                <w:u w:val="single"/>
                <w:lang w:val="en-US" w:eastAsia="zh-CN" w:bidi="ar-SA"/>
              </w:rPr>
              <w:t>14</w:t>
            </w:r>
            <w:r>
              <w:rPr>
                <w:rFonts w:hint="eastAsia" w:ascii="宋体" w:hAnsi="宋体" w:eastAsia="宋体" w:cs="宋体"/>
                <w:color w:val="auto"/>
                <w:kern w:val="0"/>
                <w:sz w:val="24"/>
                <w:szCs w:val="24"/>
                <w:highlight w:val="none"/>
                <w:lang w:val="en-US" w:eastAsia="zh-CN" w:bidi="ar-SA"/>
              </w:rPr>
              <w:t>日</w:t>
            </w:r>
            <w:r>
              <w:rPr>
                <w:rFonts w:hint="eastAsia" w:hAnsi="宋体" w:cs="宋体"/>
                <w:color w:val="auto"/>
                <w:kern w:val="0"/>
                <w:sz w:val="24"/>
                <w:szCs w:val="24"/>
                <w:highlight w:val="none"/>
                <w:u w:val="single"/>
                <w:lang w:val="en-US" w:eastAsia="zh-CN" w:bidi="ar-SA"/>
              </w:rPr>
              <w:t>9</w:t>
            </w:r>
            <w:r>
              <w:rPr>
                <w:rFonts w:hint="eastAsia" w:ascii="宋体" w:hAnsi="宋体" w:eastAsia="宋体" w:cs="宋体"/>
                <w:color w:val="auto"/>
                <w:kern w:val="0"/>
                <w:sz w:val="24"/>
                <w:szCs w:val="24"/>
                <w:highlight w:val="none"/>
                <w:lang w:val="en-US" w:eastAsia="zh-CN" w:bidi="ar-SA"/>
              </w:rPr>
              <w:t>时</w:t>
            </w:r>
            <w:r>
              <w:rPr>
                <w:rFonts w:hint="eastAsia" w:hAnsi="宋体" w:cs="宋体"/>
                <w:color w:val="auto"/>
                <w:kern w:val="0"/>
                <w:sz w:val="24"/>
                <w:szCs w:val="24"/>
                <w:highlight w:val="none"/>
                <w:u w:val="single"/>
                <w:lang w:val="en-US" w:eastAsia="zh-CN" w:bidi="ar-SA"/>
              </w:rPr>
              <w:t>30</w:t>
            </w:r>
            <w:r>
              <w:rPr>
                <w:rFonts w:hint="eastAsia" w:ascii="宋体" w:hAnsi="宋体" w:eastAsia="宋体" w:cs="宋体"/>
                <w:color w:val="auto"/>
                <w:kern w:val="0"/>
                <w:sz w:val="24"/>
                <w:szCs w:val="24"/>
                <w:highlight w:val="none"/>
                <w:lang w:val="en-US" w:eastAsia="zh-CN" w:bidi="ar-SA"/>
              </w:rPr>
              <w:t>分</w:t>
            </w:r>
          </w:p>
        </w:tc>
      </w:tr>
      <w:tr w14:paraId="15756B7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1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1C43D769">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756" w:type="dxa"/>
            <w:tcBorders>
              <w:top w:val="single" w:color="080000" w:sz="4" w:space="0"/>
              <w:left w:val="single" w:color="080000" w:sz="4" w:space="0"/>
              <w:bottom w:val="single" w:color="080000" w:sz="4" w:space="0"/>
              <w:right w:val="single" w:color="080000" w:sz="4" w:space="0"/>
            </w:tcBorders>
            <w:vAlign w:val="center"/>
          </w:tcPr>
          <w:p w14:paraId="17EE823E">
            <w:pPr>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开标地点 </w:t>
            </w:r>
          </w:p>
        </w:tc>
        <w:tc>
          <w:tcPr>
            <w:tcW w:w="7932" w:type="dxa"/>
            <w:tcBorders>
              <w:top w:val="single" w:color="080000" w:sz="4" w:space="0"/>
              <w:left w:val="single" w:color="080000" w:sz="4" w:space="0"/>
              <w:bottom w:val="single" w:color="080000" w:sz="4" w:space="0"/>
              <w:right w:val="single" w:color="080000" w:sz="4" w:space="0"/>
            </w:tcBorders>
            <w:vAlign w:val="center"/>
          </w:tcPr>
          <w:p w14:paraId="1FC1AD23">
            <w:pPr>
              <w:keepNext w:val="0"/>
              <w:keepLines w:val="0"/>
              <w:pageBreakBefore w:val="0"/>
              <w:widowControl w:val="0"/>
              <w:kinsoku/>
              <w:wordWrap w:val="0"/>
              <w:overflowPunct/>
              <w:topLinePunct/>
              <w:autoSpaceDE/>
              <w:autoSpaceDN/>
              <w:bidi w:val="0"/>
              <w:adjustRightInd w:val="0"/>
              <w:snapToGrid w:val="0"/>
              <w:spacing w:line="360" w:lineRule="exact"/>
              <w:ind w:right="96" w:rightChars="40" w:firstLine="273" w:firstLineChars="114"/>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开标地点： 韶关市公共资源交易中心</w:t>
            </w:r>
            <w:r>
              <w:rPr>
                <w:rFonts w:hint="eastAsia" w:asciiTheme="minorEastAsia" w:hAnsiTheme="minorEastAsia" w:eastAsiaTheme="minorEastAsia" w:cstheme="minorEastAsia"/>
                <w:snapToGrid w:val="0"/>
                <w:color w:val="auto"/>
                <w:kern w:val="0"/>
                <w:sz w:val="24"/>
                <w:szCs w:val="24"/>
                <w:highlight w:val="none"/>
                <w:lang w:val="en-US" w:eastAsia="zh-CN"/>
              </w:rPr>
              <w:t>翁源</w:t>
            </w:r>
            <w:r>
              <w:rPr>
                <w:rFonts w:hint="eastAsia" w:ascii="宋体" w:hAnsi="宋体" w:eastAsia="宋体" w:cs="宋体"/>
                <w:snapToGrid w:val="0"/>
                <w:color w:val="auto"/>
                <w:kern w:val="0"/>
                <w:sz w:val="24"/>
                <w:szCs w:val="24"/>
                <w:highlight w:val="none"/>
                <w:lang w:val="en-US" w:eastAsia="zh-CN" w:bidi="ar-SA"/>
              </w:rPr>
              <w:t>分中心，地址：</w:t>
            </w:r>
            <w:r>
              <w:rPr>
                <w:rFonts w:hint="eastAsia" w:asciiTheme="minorEastAsia" w:hAnsiTheme="minorEastAsia" w:eastAsiaTheme="minorEastAsia" w:cstheme="minorEastAsia"/>
                <w:snapToGrid w:val="0"/>
                <w:color w:val="auto"/>
                <w:kern w:val="0"/>
                <w:sz w:val="24"/>
                <w:szCs w:val="24"/>
                <w:highlight w:val="none"/>
                <w:lang w:val="en-US" w:eastAsia="zh-CN"/>
              </w:rPr>
              <w:t>翁源县龙仙镇朝阳路63号韶关市公共资源交易中心翁源分中心</w:t>
            </w:r>
            <w:r>
              <w:rPr>
                <w:rFonts w:hint="eastAsia" w:ascii="宋体" w:hAnsi="宋体" w:eastAsia="宋体" w:cs="宋体"/>
                <w:snapToGrid w:val="0"/>
                <w:color w:val="auto"/>
                <w:kern w:val="0"/>
                <w:sz w:val="24"/>
                <w:szCs w:val="24"/>
                <w:highlight w:val="none"/>
                <w:lang w:val="en-US" w:eastAsia="zh-CN" w:bidi="ar-SA"/>
              </w:rPr>
              <w:t>，具体房间号以当日现场通知为准。</w:t>
            </w:r>
          </w:p>
        </w:tc>
      </w:tr>
      <w:tr w14:paraId="3B00E9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732" w:hRule="atLeast"/>
        </w:trPr>
        <w:tc>
          <w:tcPr>
            <w:tcW w:w="2247" w:type="dxa"/>
            <w:gridSpan w:val="2"/>
            <w:tcBorders>
              <w:top w:val="single" w:color="080000" w:sz="4" w:space="0"/>
              <w:left w:val="single" w:color="080000" w:sz="4" w:space="0"/>
              <w:bottom w:val="single" w:color="080000" w:sz="4" w:space="0"/>
              <w:right w:val="single" w:color="080000" w:sz="4" w:space="0"/>
            </w:tcBorders>
            <w:vAlign w:val="center"/>
          </w:tcPr>
          <w:p w14:paraId="1338FC7C">
            <w:pPr>
              <w:pStyle w:val="90"/>
              <w:keepNext w:val="0"/>
              <w:keepLines w:val="0"/>
              <w:pageBreakBefore w:val="0"/>
              <w:widowControl w:val="0"/>
              <w:kinsoku/>
              <w:wordWrap w:val="0"/>
              <w:overflowPunct/>
              <w:topLinePunct/>
              <w:autoSpaceDE/>
              <w:autoSpaceDN/>
              <w:bidi w:val="0"/>
              <w:adjustRightInd w:val="0"/>
              <w:snapToGrid w:val="0"/>
              <w:spacing w:line="360" w:lineRule="exact"/>
              <w:ind w:right="96"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7932" w:type="dxa"/>
            <w:tcBorders>
              <w:top w:val="single" w:color="080000" w:sz="4" w:space="0"/>
              <w:left w:val="single" w:color="080000" w:sz="4" w:space="0"/>
              <w:bottom w:val="single" w:color="080000" w:sz="4" w:space="0"/>
              <w:right w:val="single" w:color="080000" w:sz="4" w:space="0"/>
            </w:tcBorders>
            <w:vAlign w:val="center"/>
          </w:tcPr>
          <w:p w14:paraId="09CD714A">
            <w:pPr>
              <w:pStyle w:val="90"/>
              <w:keepNext w:val="0"/>
              <w:keepLines w:val="0"/>
              <w:pageBreakBefore w:val="0"/>
              <w:widowControl w:val="0"/>
              <w:kinsoku/>
              <w:wordWrap w:val="0"/>
              <w:overflowPunct/>
              <w:topLinePunct/>
              <w:autoSpaceDE/>
              <w:autoSpaceDN/>
              <w:bidi w:val="0"/>
              <w:adjustRightInd w:val="0"/>
              <w:snapToGrid w:val="0"/>
              <w:spacing w:line="400" w:lineRule="exact"/>
              <w:ind w:right="96" w:rightChars="40" w:firstLine="240" w:firstLineChars="1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2ED65E25">
      <w:pPr>
        <w:pStyle w:val="42"/>
        <w:rPr>
          <w:color w:val="auto"/>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59BCED9A">
      <w:pPr>
        <w:pStyle w:val="4"/>
        <w:keepNext w:val="0"/>
        <w:keepLines w:val="0"/>
        <w:pageBreakBefore w:val="0"/>
        <w:topLinePunct w:val="0"/>
        <w:bidi w:val="0"/>
        <w:spacing w:line="500" w:lineRule="exact"/>
        <w:textAlignment w:val="auto"/>
        <w:rPr>
          <w:b/>
          <w:bCs/>
          <w:color w:val="auto"/>
          <w:highlight w:val="none"/>
        </w:rPr>
      </w:pPr>
      <w:bookmarkStart w:id="10" w:name="_Hlt87793819"/>
      <w:bookmarkEnd w:id="10"/>
      <w:bookmarkStart w:id="11" w:name="_Toc29916"/>
      <w:bookmarkStart w:id="12" w:name="_Toc16304"/>
      <w:bookmarkStart w:id="13" w:name="_Hlt69698705"/>
      <w:bookmarkStart w:id="14" w:name="_Hlt69698754"/>
      <w:r>
        <w:rPr>
          <w:rFonts w:hint="eastAsia"/>
          <w:b/>
          <w:bCs/>
          <w:color w:val="auto"/>
          <w:highlight w:val="none"/>
        </w:rPr>
        <w:t>第三节 投标人须知</w:t>
      </w:r>
      <w:bookmarkStart w:id="15" w:name="_Hlt69669159"/>
      <w:bookmarkEnd w:id="15"/>
      <w:r>
        <w:rPr>
          <w:rFonts w:hint="eastAsia"/>
          <w:b/>
          <w:bCs/>
          <w:color w:val="auto"/>
          <w:highlight w:val="none"/>
        </w:rPr>
        <w:t>正文</w:t>
      </w:r>
      <w:bookmarkEnd w:id="11"/>
      <w:bookmarkEnd w:id="12"/>
    </w:p>
    <w:bookmarkEnd w:id="13"/>
    <w:bookmarkEnd w:id="14"/>
    <w:p w14:paraId="1CAD0699">
      <w:pPr>
        <w:pStyle w:val="10"/>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auto"/>
          <w:sz w:val="24"/>
          <w:highlight w:val="none"/>
        </w:rPr>
      </w:pPr>
      <w:r>
        <w:rPr>
          <w:rFonts w:hint="eastAsia" w:hAnsi="宋体" w:cs="宋体"/>
          <w:color w:val="auto"/>
          <w:sz w:val="24"/>
          <w:szCs w:val="24"/>
          <w:highlight w:val="none"/>
          <w:u w:val="single"/>
          <w:lang w:val="en-US" w:eastAsia="zh-CN"/>
        </w:rPr>
        <w:t>翁源县“百千万工程”之全域推进农村人居环境整治建设项目-周陂镇农村生活污水治理建设项目施工监理</w:t>
      </w:r>
      <w:r>
        <w:rPr>
          <w:rFonts w:hint="eastAsia" w:ascii="宋体" w:hAnsi="宋体" w:eastAsia="宋体" w:cs="宋体"/>
          <w:color w:val="auto"/>
          <w:sz w:val="24"/>
          <w:szCs w:val="24"/>
          <w:highlight w:val="none"/>
          <w:u w:val="none"/>
          <w:lang w:val="en-US" w:eastAsia="zh-CN"/>
        </w:rPr>
        <w:t>业</w:t>
      </w:r>
      <w:r>
        <w:rPr>
          <w:rFonts w:hint="eastAsia" w:ascii="宋体" w:hAnsi="宋体" w:eastAsia="宋体" w:cs="宋体"/>
          <w:color w:val="auto"/>
          <w:kern w:val="0"/>
          <w:sz w:val="24"/>
          <w:szCs w:val="22"/>
          <w:highlight w:val="none"/>
        </w:rPr>
        <w:t>经</w:t>
      </w:r>
      <w:r>
        <w:rPr>
          <w:rFonts w:hint="eastAsia" w:hAnsi="宋体" w:cs="宋体"/>
          <w:b w:val="0"/>
          <w:bCs w:val="0"/>
          <w:color w:val="auto"/>
          <w:kern w:val="0"/>
          <w:sz w:val="24"/>
          <w:szCs w:val="22"/>
          <w:highlight w:val="none"/>
          <w:u w:val="single"/>
          <w:lang w:val="en-US" w:eastAsia="zh-CN"/>
        </w:rPr>
        <w:t>翁源县发展和改革局</w:t>
      </w:r>
      <w:r>
        <w:rPr>
          <w:rFonts w:hint="eastAsia" w:ascii="宋体" w:hAnsi="宋体" w:eastAsia="宋体" w:cs="宋体"/>
          <w:color w:val="auto"/>
          <w:kern w:val="0"/>
          <w:sz w:val="24"/>
          <w:szCs w:val="22"/>
          <w:highlight w:val="none"/>
        </w:rPr>
        <w:t>以</w:t>
      </w:r>
      <w:r>
        <w:rPr>
          <w:rFonts w:hint="eastAsia" w:ascii="宋体" w:hAnsi="宋体" w:eastAsia="宋体" w:cs="宋体"/>
          <w:color w:val="auto"/>
          <w:kern w:val="0"/>
          <w:sz w:val="24"/>
          <w:szCs w:val="22"/>
          <w:highlight w:val="none"/>
          <w:u w:val="single"/>
          <w:lang w:eastAsia="zh-CN"/>
        </w:rPr>
        <w:t>《翁源县发展和改革局关于翁源县“百千万工程”之全域推进农村人居环境整治建设项目可行性研究报告的批复》（翁发改投审〔2025〕25号）</w:t>
      </w:r>
      <w:r>
        <w:rPr>
          <w:rFonts w:hint="eastAsia" w:ascii="宋体" w:hAnsi="宋体" w:eastAsia="宋体" w:cs="宋体"/>
          <w:color w:val="auto"/>
          <w:kern w:val="0"/>
          <w:sz w:val="24"/>
          <w:szCs w:val="22"/>
          <w:highlight w:val="none"/>
        </w:rPr>
        <w:t>文批准建设，项目代码为</w:t>
      </w:r>
      <w:r>
        <w:rPr>
          <w:rFonts w:hint="eastAsia" w:ascii="宋体" w:hAnsi="宋体" w:eastAsia="宋体" w:cs="宋体"/>
          <w:color w:val="auto"/>
          <w:kern w:val="0"/>
          <w:sz w:val="24"/>
          <w:szCs w:val="22"/>
          <w:highlight w:val="none"/>
          <w:u w:val="single"/>
          <w:lang w:val="en-US" w:eastAsia="zh-CN"/>
        </w:rPr>
        <w:t>2412-440229-04-01-525170</w:t>
      </w:r>
      <w:r>
        <w:rPr>
          <w:rFonts w:hint="eastAsia" w:ascii="宋体" w:hAnsi="宋体" w:eastAsia="宋体" w:cs="宋体"/>
          <w:color w:val="auto"/>
          <w:kern w:val="0"/>
          <w:sz w:val="24"/>
          <w:szCs w:val="22"/>
          <w:highlight w:val="none"/>
        </w:rPr>
        <w:t>。本项目业主为</w:t>
      </w:r>
      <w:r>
        <w:rPr>
          <w:rFonts w:hint="eastAsia" w:hAnsi="宋体" w:cs="宋体"/>
          <w:color w:val="auto"/>
          <w:kern w:val="0"/>
          <w:sz w:val="24"/>
          <w:szCs w:val="22"/>
          <w:highlight w:val="none"/>
          <w:u w:val="single"/>
          <w:lang w:val="en-US" w:eastAsia="zh-CN"/>
        </w:rPr>
        <w:t>翁源县农业农村局</w:t>
      </w:r>
      <w:r>
        <w:rPr>
          <w:rFonts w:hint="eastAsia" w:ascii="宋体" w:hAnsi="宋体" w:eastAsia="宋体" w:cs="宋体"/>
          <w:color w:val="auto"/>
          <w:kern w:val="0"/>
          <w:sz w:val="24"/>
          <w:szCs w:val="22"/>
          <w:highlight w:val="none"/>
        </w:rPr>
        <w:t>，建设资金来自</w:t>
      </w:r>
      <w:r>
        <w:rPr>
          <w:rFonts w:hint="eastAsia" w:hAnsi="宋体" w:cs="宋体"/>
          <w:color w:val="auto"/>
          <w:kern w:val="0"/>
          <w:sz w:val="24"/>
          <w:szCs w:val="22"/>
          <w:highlight w:val="none"/>
          <w:u w:val="single"/>
          <w:lang w:val="en-US" w:eastAsia="zh-CN"/>
        </w:rPr>
        <w:t>争取地方政府专项债券资金及上级专项资金解决，不足部分由县级财政统筹解决</w:t>
      </w:r>
      <w:r>
        <w:rPr>
          <w:rFonts w:hint="eastAsia" w:ascii="宋体" w:hAnsi="宋体" w:eastAsia="宋体" w:cs="宋体"/>
          <w:color w:val="auto"/>
          <w:kern w:val="0"/>
          <w:sz w:val="24"/>
          <w:szCs w:val="22"/>
          <w:highlight w:val="none"/>
        </w:rPr>
        <w:t>，招标人为</w:t>
      </w:r>
      <w:r>
        <w:rPr>
          <w:rFonts w:hint="eastAsia" w:ascii="宋体" w:hAnsi="宋体" w:eastAsia="宋体" w:cs="宋体"/>
          <w:color w:val="auto"/>
          <w:kern w:val="0"/>
          <w:sz w:val="24"/>
          <w:szCs w:val="22"/>
          <w:highlight w:val="none"/>
          <w:u w:val="single"/>
        </w:rPr>
        <w:t>翁源县周陂镇人民政府</w:t>
      </w:r>
      <w:r>
        <w:rPr>
          <w:rFonts w:hint="eastAsia" w:ascii="宋体" w:hAnsi="宋体" w:eastAsia="宋体" w:cs="宋体"/>
          <w:color w:val="auto"/>
          <w:kern w:val="0"/>
          <w:sz w:val="24"/>
          <w:szCs w:val="22"/>
          <w:highlight w:val="none"/>
        </w:rPr>
        <w:t>，招标代理机构为</w:t>
      </w:r>
      <w:r>
        <w:rPr>
          <w:rFonts w:hint="eastAsia" w:hAnsi="宋体" w:cs="宋体"/>
          <w:color w:val="auto"/>
          <w:kern w:val="0"/>
          <w:sz w:val="24"/>
          <w:szCs w:val="22"/>
          <w:highlight w:val="none"/>
          <w:u w:val="single"/>
          <w:lang w:val="en-US" w:eastAsia="zh-CN"/>
        </w:rPr>
        <w:t>汇龙工程咨询有限公司</w:t>
      </w:r>
      <w:r>
        <w:rPr>
          <w:rFonts w:hint="eastAsia" w:ascii="宋体" w:hAnsi="宋体" w:eastAsia="宋体" w:cs="宋体"/>
          <w:color w:val="auto"/>
          <w:kern w:val="0"/>
          <w:sz w:val="24"/>
          <w:szCs w:val="22"/>
          <w:highlight w:val="none"/>
        </w:rPr>
        <w:t>。项目已具备招标条件，现对该项目</w:t>
      </w:r>
      <w:r>
        <w:rPr>
          <w:rFonts w:hint="eastAsia" w:ascii="宋体" w:hAnsi="宋体" w:eastAsia="宋体" w:cs="宋体"/>
          <w:color w:val="auto"/>
          <w:kern w:val="0"/>
          <w:sz w:val="24"/>
          <w:szCs w:val="22"/>
          <w:highlight w:val="none"/>
          <w:lang w:val="en-US" w:eastAsia="zh-CN"/>
        </w:rPr>
        <w:t>的</w:t>
      </w:r>
      <w:r>
        <w:rPr>
          <w:rFonts w:hint="eastAsia" w:hAnsi="宋体" w:cs="宋体"/>
          <w:color w:val="auto"/>
          <w:sz w:val="24"/>
          <w:szCs w:val="24"/>
          <w:highlight w:val="none"/>
          <w:u w:val="single"/>
          <w:lang w:val="en-US" w:eastAsia="zh-CN"/>
        </w:rPr>
        <w:t>施工监理服务</w:t>
      </w:r>
      <w:r>
        <w:rPr>
          <w:rFonts w:hint="eastAsia" w:ascii="宋体" w:hAnsi="宋体" w:eastAsia="宋体" w:cs="宋体"/>
          <w:color w:val="auto"/>
          <w:kern w:val="0"/>
          <w:sz w:val="24"/>
          <w:szCs w:val="22"/>
          <w:highlight w:val="none"/>
        </w:rPr>
        <w:t>进行公开招标。</w:t>
      </w:r>
    </w:p>
    <w:p w14:paraId="6E939B6A">
      <w:pPr>
        <w:pStyle w:val="90"/>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auto"/>
          <w:kern w:val="0"/>
          <w:sz w:val="24"/>
          <w:highlight w:val="none"/>
        </w:rPr>
      </w:pPr>
      <w:bookmarkStart w:id="16" w:name="_Toc9487"/>
      <w:r>
        <w:rPr>
          <w:rFonts w:hint="eastAsia"/>
          <w:b/>
          <w:bCs/>
          <w:snapToGrid w:val="0"/>
          <w:color w:val="auto"/>
          <w:kern w:val="0"/>
          <w:sz w:val="24"/>
          <w:highlight w:val="none"/>
        </w:rPr>
        <w:t>1．项目概况、招标范围和标段划分、投标费用</w:t>
      </w:r>
      <w:bookmarkEnd w:id="16"/>
    </w:p>
    <w:p w14:paraId="5A9B532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w:t>
      </w:r>
      <w:r>
        <w:rPr>
          <w:rFonts w:hint="eastAsia" w:ascii="宋体" w:hAnsi="宋体" w:cs="宋体"/>
          <w:snapToGrid w:val="0"/>
          <w:color w:val="auto"/>
          <w:kern w:val="0"/>
          <w:sz w:val="24"/>
          <w:highlight w:val="none"/>
        </w:rPr>
        <w:t xml:space="preserve"> 项目概况</w:t>
      </w:r>
    </w:p>
    <w:p w14:paraId="457EF3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 xml:space="preserve"> 建设地点：</w:t>
      </w:r>
      <w:r>
        <w:rPr>
          <w:rFonts w:hint="eastAsia" w:hAnsi="宋体" w:eastAsia="宋体" w:cs="宋体"/>
          <w:snapToGrid w:val="0"/>
          <w:color w:val="auto"/>
          <w:kern w:val="0"/>
          <w:sz w:val="24"/>
          <w:szCs w:val="24"/>
          <w:highlight w:val="none"/>
          <w:lang w:eastAsia="zh-CN"/>
        </w:rPr>
        <w:t>韶关市翁源县</w:t>
      </w:r>
      <w:r>
        <w:rPr>
          <w:rFonts w:hint="eastAsia" w:hAnsi="宋体" w:eastAsia="宋体" w:cs="宋体"/>
          <w:color w:val="auto"/>
          <w:szCs w:val="24"/>
          <w:highlight w:val="none"/>
          <w:lang w:eastAsia="zh-CN"/>
        </w:rPr>
        <w:t>周陂镇</w:t>
      </w:r>
    </w:p>
    <w:p w14:paraId="6DB261C8">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before="0" w:beforeLines="0" w:after="0" w:afterLines="0" w:line="460" w:lineRule="exact"/>
        <w:ind w:left="0" w:leftChars="0" w:right="0" w:rightChars="0" w:firstLine="480" w:firstLineChars="0"/>
        <w:jc w:val="left"/>
        <w:textAlignment w:val="auto"/>
        <w:outlineLvl w:val="9"/>
        <w:rPr>
          <w:rFonts w:hint="eastAsia" w:ascii="宋体" w:hAnsi="宋体" w:eastAsia="宋体" w:cs="宋体"/>
          <w:snapToGrid w:val="0"/>
          <w:color w:val="auto"/>
          <w:kern w:val="0"/>
          <w:sz w:val="24"/>
          <w:szCs w:val="24"/>
          <w:highlight w:val="none"/>
          <w:u w:val="single"/>
          <w:lang w:val="en-US" w:eastAsia="zh-CN" w:bidi="ar-SA"/>
        </w:rPr>
      </w:pPr>
      <w:r>
        <w:rPr>
          <w:rFonts w:hint="eastAsia" w:ascii="宋体" w:hAnsi="宋体" w:cs="宋体"/>
          <w:b/>
          <w:bCs/>
          <w:snapToGrid w:val="0"/>
          <w:color w:val="auto"/>
          <w:kern w:val="0"/>
          <w:sz w:val="24"/>
          <w:highlight w:val="none"/>
          <w:lang w:val="en-US" w:eastAsia="zh-CN"/>
        </w:rPr>
        <w:t xml:space="preserve">1.1.2 </w:t>
      </w:r>
      <w:r>
        <w:rPr>
          <w:rFonts w:hint="eastAsia" w:ascii="宋体" w:hAnsi="宋体" w:cs="宋体"/>
          <w:b w:val="0"/>
          <w:bCs w:val="0"/>
          <w:snapToGrid w:val="0"/>
          <w:color w:val="auto"/>
          <w:kern w:val="0"/>
          <w:sz w:val="24"/>
          <w:highlight w:val="none"/>
          <w:lang w:val="en-US" w:eastAsia="zh-CN"/>
        </w:rPr>
        <w:t>建设内容：</w:t>
      </w:r>
      <w:r>
        <w:rPr>
          <w:rFonts w:hint="eastAsia" w:ascii="宋体" w:hAnsi="宋体" w:eastAsia="宋体" w:cs="宋体"/>
          <w:snapToGrid w:val="0"/>
          <w:color w:val="auto"/>
          <w:kern w:val="0"/>
          <w:sz w:val="24"/>
          <w:szCs w:val="24"/>
          <w:highlight w:val="none"/>
          <w:u w:val="single"/>
          <w:lang w:val="en-US" w:eastAsia="zh-CN" w:bidi="ar-SA"/>
        </w:rPr>
        <w:t>1、对现有87个自然村未达标，主要是接户管、支管不完善、主管毁坏或淤塞、检査井被覆盖、位置不合理以及部分设施损坏等，需要进行完善、提升或者改造。新建 DN200-DN300污水管道长度约3191.80m；新建DN100-160入户管约19878.50m，并设置塑料检査井2771座，破除及修复路面29726.95平方米，新建厌氧强化预处理罐136座，规模为1.0m3/d-10.0m3/d。</w:t>
      </w:r>
    </w:p>
    <w:p w14:paraId="09F67571">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before="0" w:beforeLines="0" w:after="0" w:afterLines="0" w:line="460" w:lineRule="exact"/>
        <w:ind w:left="0" w:leftChars="0" w:right="0" w:rightChars="0" w:firstLine="480" w:firstLineChars="0"/>
        <w:jc w:val="left"/>
        <w:textAlignment w:val="auto"/>
        <w:outlineLvl w:val="9"/>
        <w:rPr>
          <w:rFonts w:hint="eastAsia" w:ascii="宋体" w:hAnsi="宋体" w:eastAsia="宋体" w:cs="宋体"/>
          <w:color w:val="auto"/>
          <w:szCs w:val="22"/>
          <w:highlight w:val="none"/>
          <w:lang w:val="en-US" w:eastAsia="zh-CN"/>
        </w:rPr>
      </w:pPr>
      <w:r>
        <w:rPr>
          <w:rFonts w:hint="eastAsia" w:ascii="宋体" w:hAnsi="宋体" w:eastAsia="宋体" w:cs="宋体"/>
          <w:snapToGrid w:val="0"/>
          <w:color w:val="auto"/>
          <w:kern w:val="0"/>
          <w:sz w:val="24"/>
          <w:szCs w:val="24"/>
          <w:highlight w:val="none"/>
          <w:u w:val="single"/>
          <w:lang w:val="en-US" w:eastAsia="zh-CN" w:bidi="ar-SA"/>
        </w:rPr>
        <w:t>2、对48个村资源化利用提升改造现有污水管网、设施未覆盖的空白村及存在短板的48个自然村。主要以资源化利用为主，新建DN200-DN300污水管道长度约1127.30m；新建DN100-160入户管约9813m，并设置塑料检査井201座，破除及修复路面6597.45平方米，新建厌氧强化预处理罐149座，规模为1.0m3/d-3.0m3/d，补充现状化粪池增设手摇泵6处。</w:t>
      </w:r>
    </w:p>
    <w:p w14:paraId="051152AF">
      <w:pPr>
        <w:pStyle w:val="90"/>
        <w:keepNext w:val="0"/>
        <w:keepLines w:val="0"/>
        <w:pageBreakBefore w:val="0"/>
        <w:wordWrap w:val="0"/>
        <w:topLinePunct w:val="0"/>
        <w:bidi w:val="0"/>
        <w:adjustRightInd w:val="0"/>
        <w:snapToGrid w:val="0"/>
        <w:spacing w:line="500" w:lineRule="exact"/>
        <w:ind w:left="480" w:leftChars="200" w:firstLine="0" w:firstLineChars="0"/>
        <w:jc w:val="left"/>
        <w:textAlignment w:val="auto"/>
        <w:rPr>
          <w:rFonts w:hint="eastAsia" w:ascii="宋体" w:hAnsi="宋体" w:cs="宋体"/>
          <w:snapToGrid w:val="0"/>
          <w:color w:val="auto"/>
          <w:kern w:val="0"/>
          <w:sz w:val="24"/>
          <w:szCs w:val="24"/>
          <w:highlight w:val="none"/>
          <w:lang w:val="en-US" w:eastAsia="zh-CN"/>
        </w:rPr>
      </w:pPr>
      <w:r>
        <w:rPr>
          <w:rFonts w:hint="eastAsia" w:ascii="宋体" w:hAnsi="宋体" w:cs="宋体"/>
          <w:b/>
          <w:bCs/>
          <w:snapToGrid w:val="0"/>
          <w:color w:val="auto"/>
          <w:kern w:val="0"/>
          <w:sz w:val="24"/>
          <w:highlight w:val="none"/>
        </w:rPr>
        <w:t xml:space="preserve">1.1.3 </w:t>
      </w:r>
      <w:r>
        <w:rPr>
          <w:rFonts w:hint="eastAsia" w:ascii="宋体" w:hAnsi="宋体" w:eastAsia="宋体" w:cs="宋体"/>
          <w:snapToGrid w:val="0"/>
          <w:color w:val="auto"/>
          <w:kern w:val="0"/>
          <w:sz w:val="24"/>
          <w:szCs w:val="24"/>
          <w:highlight w:val="none"/>
          <w:lang w:val="en-US" w:eastAsia="zh-CN"/>
        </w:rPr>
        <w:t>项目总投资：</w:t>
      </w:r>
      <w:r>
        <w:rPr>
          <w:rFonts w:hint="eastAsia" w:ascii="宋体" w:hAnsi="宋体" w:eastAsia="宋体" w:cs="宋体"/>
          <w:b w:val="0"/>
          <w:bCs w:val="0"/>
          <w:color w:val="auto"/>
          <w:sz w:val="24"/>
          <w:szCs w:val="24"/>
          <w:highlight w:val="none"/>
          <w:lang w:val="en-US" w:eastAsia="zh-CN"/>
        </w:rPr>
        <w:t>本项目建安费2450.94万元，</w:t>
      </w:r>
      <w:r>
        <w:rPr>
          <w:rFonts w:hint="eastAsia" w:ascii="宋体" w:hAnsi="宋体" w:cs="宋体"/>
          <w:snapToGrid w:val="0"/>
          <w:color w:val="auto"/>
          <w:kern w:val="0"/>
          <w:sz w:val="24"/>
          <w:szCs w:val="24"/>
          <w:highlight w:val="none"/>
          <w:lang w:val="en-US" w:eastAsia="zh-CN"/>
        </w:rPr>
        <w:t>本次招标监理费45.45万元。</w:t>
      </w:r>
    </w:p>
    <w:p w14:paraId="737B5441">
      <w:pPr>
        <w:pStyle w:val="90"/>
        <w:keepNext w:val="0"/>
        <w:keepLines w:val="0"/>
        <w:pageBreakBefore w:val="0"/>
        <w:wordWrap w:val="0"/>
        <w:topLinePunct w:val="0"/>
        <w:bidi w:val="0"/>
        <w:adjustRightInd w:val="0"/>
        <w:snapToGrid w:val="0"/>
        <w:spacing w:line="500" w:lineRule="exact"/>
        <w:ind w:left="480" w:leftChars="200" w:firstLine="0" w:firstLineChars="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 xml:space="preserve">1.2 </w:t>
      </w:r>
      <w:r>
        <w:rPr>
          <w:rFonts w:hint="eastAsia" w:ascii="宋体" w:hAnsi="宋体" w:cs="宋体"/>
          <w:snapToGrid w:val="0"/>
          <w:color w:val="auto"/>
          <w:kern w:val="0"/>
          <w:sz w:val="24"/>
          <w:highlight w:val="none"/>
        </w:rPr>
        <w:t>招标范围和标段划分</w:t>
      </w:r>
    </w:p>
    <w:p w14:paraId="5C8BB66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 xml:space="preserve"> 招标范围</w:t>
      </w:r>
    </w:p>
    <w:p w14:paraId="0F812CFE">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监理：项目建设范围内的施工监理（含施工准备阶段、施工阶段、工程竣工验收阶段、工程结算阶段及缺陷责任保修期阶段的监理服务）。</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1.2.2</w:t>
      </w:r>
      <w:r>
        <w:rPr>
          <w:rFonts w:hint="eastAsia" w:hAnsi="宋体" w:cs="宋体"/>
          <w:snapToGrid w:val="0"/>
          <w:color w:val="auto"/>
          <w:kern w:val="0"/>
          <w:szCs w:val="24"/>
          <w:highlight w:val="none"/>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1.3</w:t>
      </w:r>
      <w:r>
        <w:rPr>
          <w:rFonts w:hint="eastAsia" w:hAnsi="宋体" w:cs="宋体"/>
          <w:snapToGrid w:val="0"/>
          <w:color w:val="auto"/>
          <w:kern w:val="0"/>
          <w:szCs w:val="24"/>
          <w:highlight w:val="none"/>
        </w:rPr>
        <w:t xml:space="preserve"> 投标费用：投标人应承担所有准备和参加投标的相关费用，不论投标结果如何，招标人均无义务和责任承担这些费用。</w:t>
      </w:r>
    </w:p>
    <w:p w14:paraId="6BE91A1C">
      <w:pPr>
        <w:pStyle w:val="90"/>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auto"/>
          <w:kern w:val="0"/>
          <w:sz w:val="24"/>
          <w:highlight w:val="none"/>
        </w:rPr>
      </w:pPr>
      <w:bookmarkStart w:id="17" w:name="_Toc31795"/>
      <w:bookmarkStart w:id="18" w:name="_Toc31535"/>
      <w:r>
        <w:rPr>
          <w:rFonts w:hint="eastAsia"/>
          <w:b/>
          <w:bCs/>
          <w:snapToGrid w:val="0"/>
          <w:color w:val="auto"/>
          <w:kern w:val="0"/>
          <w:sz w:val="24"/>
          <w:highlight w:val="none"/>
        </w:rPr>
        <w:t>2．投标人资格要求</w:t>
      </w:r>
      <w:bookmarkEnd w:id="17"/>
      <w:bookmarkEnd w:id="18"/>
      <w:bookmarkStart w:id="19" w:name="_Hlt74496495"/>
      <w:bookmarkEnd w:id="19"/>
    </w:p>
    <w:p w14:paraId="229AFBAA">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2.1</w:t>
      </w:r>
      <w:r>
        <w:rPr>
          <w:rFonts w:hint="eastAsia" w:ascii="宋体" w:hAnsi="宋体" w:cs="宋体"/>
          <w:snapToGrid w:val="0"/>
          <w:color w:val="auto"/>
          <w:kern w:val="0"/>
          <w:sz w:val="24"/>
          <w:highlight w:val="none"/>
        </w:rPr>
        <w:t xml:space="preserve"> 本次招标不接受联合体投标。</w:t>
      </w:r>
    </w:p>
    <w:p w14:paraId="376870E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w:t>
      </w:r>
      <w:r>
        <w:rPr>
          <w:rFonts w:hint="eastAsia" w:ascii="宋体" w:hAnsi="宋体" w:cs="宋体"/>
          <w:snapToGrid w:val="0"/>
          <w:color w:val="auto"/>
          <w:kern w:val="0"/>
          <w:sz w:val="24"/>
          <w:highlight w:val="none"/>
        </w:rPr>
        <w:t xml:space="preserve"> 资格资质要求</w:t>
      </w:r>
    </w:p>
    <w:p w14:paraId="296608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2.2.1</w:t>
      </w:r>
      <w:r>
        <w:rPr>
          <w:rFonts w:hint="eastAsia" w:ascii="宋体" w:hAnsi="宋体" w:cs="宋体"/>
          <w:snapToGrid w:val="0"/>
          <w:color w:val="auto"/>
          <w:kern w:val="0"/>
          <w:sz w:val="24"/>
          <w:highlight w:val="none"/>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2.2.2</w:t>
      </w:r>
      <w:r>
        <w:rPr>
          <w:rFonts w:hint="eastAsia" w:hAnsi="宋体" w:cs="宋体"/>
          <w:snapToGrid w:val="0"/>
          <w:color w:val="auto"/>
          <w:kern w:val="0"/>
          <w:szCs w:val="24"/>
          <w:highlight w:val="none"/>
        </w:rPr>
        <w:t xml:space="preserve"> </w:t>
      </w:r>
      <w:r>
        <w:rPr>
          <w:rFonts w:hint="eastAsia" w:ascii="宋体" w:hAnsi="宋体" w:eastAsia="宋体" w:cs="宋体"/>
          <w:color w:val="auto"/>
          <w:szCs w:val="24"/>
          <w:highlight w:val="none"/>
        </w:rPr>
        <w:t>投标人须具备以下资质之一：①工程监理综合资质；②</w:t>
      </w:r>
      <w:r>
        <w:rPr>
          <w:rFonts w:hint="eastAsia" w:hAnsi="宋体" w:cs="宋体"/>
          <w:color w:val="auto"/>
          <w:szCs w:val="24"/>
          <w:highlight w:val="none"/>
          <w:lang w:val="en-US" w:eastAsia="zh-CN"/>
        </w:rPr>
        <w:t>市政公用</w:t>
      </w:r>
      <w:r>
        <w:rPr>
          <w:rFonts w:hint="eastAsia" w:ascii="宋体" w:hAnsi="宋体" w:eastAsia="宋体" w:cs="宋体"/>
          <w:color w:val="auto"/>
          <w:szCs w:val="24"/>
          <w:highlight w:val="none"/>
        </w:rPr>
        <w:t>工程监理乙级资质及以上（含</w:t>
      </w:r>
      <w:r>
        <w:rPr>
          <w:rFonts w:hint="eastAsia" w:hAnsi="宋体" w:cs="宋体"/>
          <w:color w:val="auto"/>
          <w:szCs w:val="24"/>
          <w:highlight w:val="none"/>
          <w:lang w:val="en-US" w:eastAsia="zh-CN"/>
        </w:rPr>
        <w:t>乙</w:t>
      </w:r>
      <w:r>
        <w:rPr>
          <w:rFonts w:hint="eastAsia" w:ascii="宋体" w:hAnsi="宋体" w:eastAsia="宋体" w:cs="宋体"/>
          <w:color w:val="auto"/>
          <w:szCs w:val="24"/>
          <w:highlight w:val="none"/>
        </w:rPr>
        <w:t>级）资质</w:t>
      </w:r>
      <w:r>
        <w:rPr>
          <w:rFonts w:hint="eastAsia" w:hAnsi="宋体" w:cs="宋体"/>
          <w:snapToGrid w:val="0"/>
          <w:color w:val="auto"/>
          <w:kern w:val="0"/>
          <w:szCs w:val="24"/>
          <w:highlight w:val="none"/>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hAnsi="宋体" w:cs="宋体"/>
          <w:b/>
          <w:bCs/>
          <w:snapToGrid w:val="0"/>
          <w:color w:val="auto"/>
          <w:kern w:val="0"/>
          <w:szCs w:val="24"/>
          <w:highlight w:val="none"/>
        </w:rPr>
        <w:t>2.2.3</w:t>
      </w:r>
      <w:r>
        <w:rPr>
          <w:rFonts w:hint="eastAsia" w:hAnsi="宋体" w:cs="宋体"/>
          <w:snapToGrid w:val="0"/>
          <w:color w:val="auto"/>
          <w:kern w:val="0"/>
          <w:szCs w:val="24"/>
          <w:highlight w:val="none"/>
        </w:rPr>
        <w:t xml:space="preserve"> </w:t>
      </w:r>
      <w:r>
        <w:rPr>
          <w:rFonts w:hint="eastAsia" w:hAnsi="宋体" w:cs="宋体"/>
          <w:color w:val="auto"/>
          <w:szCs w:val="24"/>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53EE323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w:t>
      </w:r>
      <w:r>
        <w:rPr>
          <w:rFonts w:hint="eastAsia" w:ascii="宋体" w:hAnsi="宋体" w:cs="宋体"/>
          <w:snapToGrid w:val="0"/>
          <w:color w:val="auto"/>
          <w:kern w:val="0"/>
          <w:sz w:val="24"/>
          <w:highlight w:val="none"/>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auto"/>
          <w:szCs w:val="24"/>
          <w:highlight w:val="none"/>
        </w:rPr>
      </w:pPr>
      <w:r>
        <w:rPr>
          <w:rFonts w:hint="eastAsia" w:ascii="宋体" w:hAnsi="宋体" w:cs="宋体"/>
          <w:b/>
          <w:bCs/>
          <w:snapToGrid w:val="0"/>
          <w:color w:val="auto"/>
          <w:kern w:val="0"/>
          <w:sz w:val="24"/>
          <w:highlight w:val="none"/>
        </w:rPr>
        <w:t>2.3.1</w:t>
      </w:r>
      <w:r>
        <w:rPr>
          <w:rFonts w:hint="eastAsia" w:ascii="宋体" w:hAnsi="宋体" w:cs="宋体"/>
          <w:snapToGrid w:val="0"/>
          <w:color w:val="auto"/>
          <w:kern w:val="0"/>
          <w:sz w:val="24"/>
          <w:highlight w:val="none"/>
        </w:rPr>
        <w:t xml:space="preserve"> </w:t>
      </w:r>
      <w:r>
        <w:rPr>
          <w:rFonts w:hint="eastAsia" w:hAnsi="宋体" w:cs="宋体"/>
          <w:color w:val="auto"/>
          <w:szCs w:val="24"/>
          <w:highlight w:val="none"/>
        </w:rPr>
        <w:t>拟派总监理工程师为</w:t>
      </w:r>
      <w:r>
        <w:rPr>
          <w:rFonts w:hint="eastAsia" w:hAnsi="宋体" w:cs="宋体"/>
          <w:color w:val="auto"/>
          <w:szCs w:val="24"/>
          <w:highlight w:val="none"/>
          <w:lang w:val="en-US" w:eastAsia="zh-CN"/>
        </w:rPr>
        <w:t>市政公用</w:t>
      </w:r>
      <w:r>
        <w:rPr>
          <w:rFonts w:hint="eastAsia" w:hAnsi="宋体" w:cs="宋体"/>
          <w:color w:val="auto"/>
          <w:szCs w:val="24"/>
          <w:highlight w:val="none"/>
        </w:rPr>
        <w:t>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Cs w:val="24"/>
          <w:highlight w:val="none"/>
          <w:u w:val="single"/>
        </w:rPr>
        <w:t xml:space="preserve"> 2 </w:t>
      </w:r>
      <w:r>
        <w:rPr>
          <w:rFonts w:hint="eastAsia" w:hAnsi="宋体" w:cs="宋体"/>
          <w:color w:val="auto"/>
          <w:szCs w:val="24"/>
          <w:highlight w:val="none"/>
        </w:rPr>
        <w:t>个。</w:t>
      </w:r>
    </w:p>
    <w:p w14:paraId="1B937DB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729B3FCF">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2.3.2</w:t>
      </w:r>
      <w:r>
        <w:rPr>
          <w:rFonts w:hint="eastAsia" w:ascii="宋体" w:hAnsi="宋体" w:cs="宋体"/>
          <w:snapToGrid w:val="0"/>
          <w:color w:val="auto"/>
          <w:kern w:val="0"/>
          <w:sz w:val="24"/>
          <w:highlight w:val="none"/>
        </w:rPr>
        <w:t xml:space="preserve"> 投标人与其拟派往本项目监理机构的所有人员之间必须具备合法、唯一的劳动聘用关系。拟派人员中具备注册执业资格的，其注册单位须与投标人保持一致。</w:t>
      </w:r>
    </w:p>
    <w:p w14:paraId="51D5C150">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w:t>
      </w:r>
      <w:r>
        <w:rPr>
          <w:rFonts w:hint="eastAsia" w:ascii="宋体" w:hAnsi="宋体" w:cs="宋体"/>
          <w:snapToGrid w:val="0"/>
          <w:color w:val="auto"/>
          <w:kern w:val="0"/>
          <w:sz w:val="24"/>
          <w:highlight w:val="none"/>
        </w:rPr>
        <w:t xml:space="preserve"> 禁止投标条款</w:t>
      </w:r>
    </w:p>
    <w:p w14:paraId="7D7AD0E4">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2.4.1</w:t>
      </w:r>
      <w:r>
        <w:rPr>
          <w:rFonts w:hint="eastAsia" w:ascii="宋体" w:hAnsi="宋体" w:cs="宋体"/>
          <w:snapToGrid w:val="0"/>
          <w:color w:val="auto"/>
          <w:kern w:val="0"/>
          <w:sz w:val="24"/>
          <w:highlight w:val="none"/>
        </w:rPr>
        <w:t xml:space="preserve"> 投标人不得存在下列情形之一：</w:t>
      </w:r>
    </w:p>
    <w:p w14:paraId="23B2DC3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（1）为招标人不具有独立法人资格的附属机构（单位）；</w:t>
      </w:r>
    </w:p>
    <w:p w14:paraId="7B77E29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（2）与招标人存在利害关系且可能影响招标公正性；</w:t>
      </w:r>
    </w:p>
    <w:p w14:paraId="66A8637F">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（3）与本招标项目的其他投标人为同一个单位负责人；</w:t>
      </w:r>
    </w:p>
    <w:p w14:paraId="6445557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（4）与本招标项目的其他投标人存在控股、管理关系；</w:t>
      </w:r>
    </w:p>
    <w:p w14:paraId="66EBD7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（5）为本招标项目的代建人；</w:t>
      </w:r>
    </w:p>
    <w:p w14:paraId="2102A470">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（6）为本招标项目的招标代理机构；</w:t>
      </w:r>
    </w:p>
    <w:p w14:paraId="22A7EB6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（7）与本招标项目的代建人或招标代理机构同为一个法定代表人；</w:t>
      </w:r>
    </w:p>
    <w:p w14:paraId="3FC11BF5">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（8）与本招标项目的代建人或招标代理机构存在控股或参股关系；</w:t>
      </w:r>
    </w:p>
    <w:p w14:paraId="12857A0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（9）与本招标项目的施工承包人以及建筑材料、建筑构配件和设备供应商有隶属关系或者其他利害关系；</w:t>
      </w:r>
    </w:p>
    <w:p w14:paraId="4A6FC44A">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（10）被依法暂停或者取消投标资格；</w:t>
      </w:r>
    </w:p>
    <w:p w14:paraId="68E70B2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（11）被责令停产停业、暂扣或者吊销许可证、暂扣或者吊销执照；</w:t>
      </w:r>
    </w:p>
    <w:p w14:paraId="75517A3D">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（12）进入清算程序，或被宣告破产，或其他丧失履约能力的情形；</w:t>
      </w:r>
    </w:p>
    <w:p w14:paraId="40C303D7">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（13）在最近三年内发生重大监理质量问题（以相关行业主管部门的行政处罚决定或司法机关出具的有关法律文书为准）；</w:t>
      </w:r>
    </w:p>
    <w:p w14:paraId="331A83DA">
      <w:pPr>
        <w:pStyle w:val="90"/>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lang w:val="en-US" w:eastAsia="zh-CN"/>
        </w:rPr>
        <w:t xml:space="preserve"> </w:t>
      </w:r>
      <w:r>
        <w:rPr>
          <w:rFonts w:hint="eastAsia" w:ascii="宋体" w:hAnsi="宋体" w:cs="宋体"/>
          <w:snapToGrid w:val="0"/>
          <w:color w:val="auto"/>
          <w:kern w:val="0"/>
          <w:sz w:val="24"/>
          <w:highlight w:val="none"/>
        </w:rPr>
        <w:t xml:space="preserve"> （14）</w:t>
      </w:r>
      <w:r>
        <w:rPr>
          <w:rFonts w:hint="eastAsia" w:ascii="宋体" w:hAnsi="宋体" w:cs="宋体"/>
          <w:color w:val="auto"/>
          <w:kern w:val="0"/>
          <w:sz w:val="24"/>
          <w:highlight w:val="none"/>
        </w:rPr>
        <w:t>被“信用中国”网站（https://www.creditchina.gov.cn）发布的《法人和非法人组织公共信用信息报告》列为严重失信主体名单的</w:t>
      </w:r>
      <w:r>
        <w:rPr>
          <w:rFonts w:hint="eastAsia" w:ascii="宋体" w:hAnsi="宋体" w:cs="宋体"/>
          <w:snapToGrid w:val="0"/>
          <w:color w:val="auto"/>
          <w:kern w:val="0"/>
          <w:sz w:val="24"/>
          <w:highlight w:val="none"/>
        </w:rPr>
        <w:t>。</w:t>
      </w:r>
    </w:p>
    <w:p w14:paraId="6D2A9BC1">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2.4.2</w:t>
      </w:r>
      <w:r>
        <w:rPr>
          <w:rFonts w:hint="eastAsia" w:ascii="宋体" w:hAnsi="宋体" w:cs="宋体"/>
          <w:snapToGrid w:val="0"/>
          <w:color w:val="auto"/>
          <w:kern w:val="0"/>
          <w:sz w:val="24"/>
          <w:highlight w:val="none"/>
        </w:rPr>
        <w:t xml:space="preserve"> 招标人拒绝以下名单中的单位参加本次投标：</w:t>
      </w:r>
    </w:p>
    <w:tbl>
      <w:tblPr>
        <w:tblStyle w:val="31"/>
        <w:tblW w:w="7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3788"/>
        <w:gridCol w:w="2966"/>
      </w:tblGrid>
      <w:tr w14:paraId="7B93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5" w:type="dxa"/>
            <w:noWrap w:val="0"/>
            <w:vAlign w:val="center"/>
          </w:tcPr>
          <w:p w14:paraId="7C4E5093">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788" w:type="dxa"/>
            <w:noWrap w:val="0"/>
            <w:vAlign w:val="center"/>
          </w:tcPr>
          <w:p w14:paraId="748980DE">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966" w:type="dxa"/>
            <w:noWrap w:val="0"/>
            <w:vAlign w:val="center"/>
          </w:tcPr>
          <w:p w14:paraId="16C0E44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157B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5" w:type="dxa"/>
            <w:noWrap w:val="0"/>
            <w:vAlign w:val="center"/>
          </w:tcPr>
          <w:p w14:paraId="63115B68">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3788" w:type="dxa"/>
            <w:noWrap w:val="0"/>
            <w:vAlign w:val="center"/>
          </w:tcPr>
          <w:p w14:paraId="0789885E">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翁源县周陂镇人民政府</w:t>
            </w:r>
          </w:p>
        </w:tc>
        <w:tc>
          <w:tcPr>
            <w:tcW w:w="2966" w:type="dxa"/>
            <w:noWrap w:val="0"/>
            <w:vAlign w:val="center"/>
          </w:tcPr>
          <w:p w14:paraId="2EA5670A">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w:t>
            </w:r>
            <w:r>
              <w:rPr>
                <w:rFonts w:hint="eastAsia" w:ascii="宋体" w:hAnsi="宋体" w:eastAsia="宋体" w:cs="宋体"/>
                <w:color w:val="auto"/>
                <w:kern w:val="2"/>
                <w:sz w:val="24"/>
                <w:szCs w:val="24"/>
                <w:highlight w:val="none"/>
                <w:lang w:val="en-US" w:eastAsia="zh-CN" w:bidi="ar-SA"/>
              </w:rPr>
              <w:t>本项目的</w:t>
            </w:r>
            <w:r>
              <w:rPr>
                <w:rFonts w:hint="eastAsia" w:ascii="宋体" w:hAnsi="宋体" w:eastAsia="宋体" w:cs="宋体"/>
                <w:color w:val="auto"/>
                <w:sz w:val="24"/>
                <w:szCs w:val="24"/>
                <w:highlight w:val="none"/>
              </w:rPr>
              <w:t>招标人</w:t>
            </w:r>
          </w:p>
        </w:tc>
      </w:tr>
      <w:tr w14:paraId="3897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5" w:type="dxa"/>
            <w:noWrap w:val="0"/>
            <w:vAlign w:val="center"/>
          </w:tcPr>
          <w:p w14:paraId="1FEAC9D2">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3788" w:type="dxa"/>
            <w:noWrap w:val="0"/>
            <w:vAlign w:val="center"/>
          </w:tcPr>
          <w:p w14:paraId="11646BD1">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汇龙工程咨询有限公司</w:t>
            </w:r>
          </w:p>
        </w:tc>
        <w:tc>
          <w:tcPr>
            <w:tcW w:w="2966" w:type="dxa"/>
            <w:noWrap w:val="0"/>
            <w:vAlign w:val="center"/>
          </w:tcPr>
          <w:p w14:paraId="19E0BDE6">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为本项目的招标代理机构</w:t>
            </w:r>
          </w:p>
        </w:tc>
      </w:tr>
      <w:tr w14:paraId="5145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5" w:type="dxa"/>
            <w:noWrap w:val="0"/>
            <w:vAlign w:val="center"/>
          </w:tcPr>
          <w:p w14:paraId="323AC5AD">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3788" w:type="dxa"/>
            <w:noWrap w:val="0"/>
            <w:vAlign w:val="center"/>
          </w:tcPr>
          <w:p w14:paraId="4F2D5F8B">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ind w:firstLine="240" w:firstLineChars="100"/>
              <w:jc w:val="both"/>
              <w:textAlignment w:val="auto"/>
              <w:rPr>
                <w:rFonts w:hint="default"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广东省国际工程咨询有限公司</w:t>
            </w:r>
          </w:p>
        </w:tc>
        <w:tc>
          <w:tcPr>
            <w:tcW w:w="2966" w:type="dxa"/>
            <w:noWrap w:val="0"/>
            <w:vAlign w:val="center"/>
          </w:tcPr>
          <w:p w14:paraId="294ADFF8">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为本项目的可研编制单位</w:t>
            </w:r>
          </w:p>
        </w:tc>
      </w:tr>
      <w:tr w14:paraId="525E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5" w:type="dxa"/>
            <w:noWrap w:val="0"/>
            <w:vAlign w:val="center"/>
          </w:tcPr>
          <w:p w14:paraId="22FBC389">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4</w:t>
            </w:r>
          </w:p>
        </w:tc>
        <w:tc>
          <w:tcPr>
            <w:tcW w:w="3788" w:type="dxa"/>
            <w:noWrap w:val="0"/>
            <w:vAlign w:val="center"/>
          </w:tcPr>
          <w:p w14:paraId="36F39B63">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国昇设计有限责任公司</w:t>
            </w:r>
          </w:p>
        </w:tc>
        <w:tc>
          <w:tcPr>
            <w:tcW w:w="2966" w:type="dxa"/>
            <w:noWrap w:val="0"/>
            <w:vAlign w:val="center"/>
          </w:tcPr>
          <w:p w14:paraId="2A5BB720">
            <w:pPr>
              <w:pStyle w:val="90"/>
              <w:keepNext w:val="0"/>
              <w:keepLines w:val="0"/>
              <w:pageBreakBefore w:val="0"/>
              <w:widowControl w:val="0"/>
              <w:tabs>
                <w:tab w:val="left" w:pos="1890"/>
              </w:tabs>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为本项目的</w:t>
            </w:r>
            <w:r>
              <w:rPr>
                <w:rFonts w:hint="eastAsia" w:ascii="宋体" w:hAnsi="宋体" w:cs="宋体"/>
                <w:color w:val="auto"/>
                <w:sz w:val="24"/>
                <w:szCs w:val="24"/>
                <w:highlight w:val="none"/>
                <w:lang w:val="en-US" w:eastAsia="zh-CN"/>
              </w:rPr>
              <w:t>勘察设计</w:t>
            </w:r>
            <w:r>
              <w:rPr>
                <w:rFonts w:hint="eastAsia" w:ascii="宋体" w:hAnsi="宋体" w:eastAsia="宋体" w:cs="宋体"/>
                <w:color w:val="auto"/>
                <w:sz w:val="24"/>
                <w:szCs w:val="24"/>
                <w:highlight w:val="none"/>
              </w:rPr>
              <w:t>单位</w:t>
            </w:r>
          </w:p>
        </w:tc>
      </w:tr>
    </w:tbl>
    <w:p w14:paraId="436A391F">
      <w:pPr>
        <w:pStyle w:val="90"/>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2.5</w:t>
      </w:r>
      <w:r>
        <w:rPr>
          <w:rFonts w:hint="eastAsia" w:ascii="宋体" w:hAnsi="宋体" w:cs="宋体"/>
          <w:snapToGrid w:val="0"/>
          <w:color w:val="auto"/>
          <w:kern w:val="0"/>
          <w:sz w:val="24"/>
          <w:highlight w:val="none"/>
        </w:rPr>
        <w:t xml:space="preserve"> 其他要求</w:t>
      </w:r>
    </w:p>
    <w:p w14:paraId="574A12A8">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90"/>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auto"/>
          <w:kern w:val="0"/>
          <w:sz w:val="24"/>
          <w:highlight w:val="none"/>
        </w:rPr>
      </w:pPr>
      <w:bookmarkStart w:id="20" w:name="_Toc12683"/>
      <w:r>
        <w:rPr>
          <w:rFonts w:hint="eastAsia" w:ascii="宋体" w:hAnsi="宋体" w:cs="宋体"/>
          <w:b/>
          <w:bCs/>
          <w:snapToGrid w:val="0"/>
          <w:color w:val="auto"/>
          <w:kern w:val="0"/>
          <w:sz w:val="24"/>
          <w:highlight w:val="none"/>
        </w:rPr>
        <w:t>3．获取招标文件</w:t>
      </w:r>
      <w:bookmarkEnd w:id="20"/>
    </w:p>
    <w:p w14:paraId="1DF04FBD">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auto"/>
          <w:sz w:val="24"/>
          <w:highlight w:val="none"/>
          <w:shd w:val="clear" w:color="auto" w:fill="FFFFFF"/>
        </w:rPr>
      </w:pPr>
      <w:r>
        <w:rPr>
          <w:rFonts w:hint="eastAsia" w:ascii="宋体" w:hAnsi="宋体" w:cs="宋体"/>
          <w:snapToGrid w:val="0"/>
          <w:color w:val="auto"/>
          <w:kern w:val="0"/>
          <w:sz w:val="24"/>
          <w:highlight w:val="none"/>
        </w:rPr>
        <w:t xml:space="preserve">3.1 </w:t>
      </w:r>
      <w:r>
        <w:rPr>
          <w:rFonts w:hint="eastAsia" w:ascii="宋体" w:hAnsi="宋体" w:cs="宋体"/>
          <w:color w:val="auto"/>
          <w:sz w:val="24"/>
          <w:highlight w:val="none"/>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color w:val="auto"/>
          <w:sz w:val="24"/>
          <w:highlight w:val="none"/>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8"/>
        <w:keepNext w:val="0"/>
        <w:keepLines w:val="0"/>
        <w:pageBreakBefore w:val="0"/>
        <w:topLinePunct w:val="0"/>
        <w:bidi w:val="0"/>
        <w:spacing w:before="0" w:beforeAutospacing="0" w:after="0" w:afterAutospacing="0" w:line="500" w:lineRule="exact"/>
        <w:ind w:firstLine="480" w:firstLineChars="200"/>
        <w:textAlignment w:val="auto"/>
        <w:rPr>
          <w:snapToGrid w:val="0"/>
          <w:color w:val="auto"/>
          <w:highlight w:val="none"/>
        </w:rPr>
      </w:pPr>
      <w:r>
        <w:rPr>
          <w:rFonts w:hint="eastAsia"/>
          <w:snapToGrid w:val="0"/>
          <w:color w:val="auto"/>
          <w:highlight w:val="none"/>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8"/>
        <w:keepNext w:val="0"/>
        <w:keepLines w:val="0"/>
        <w:pageBreakBefore w:val="0"/>
        <w:topLinePunct w:val="0"/>
        <w:bidi w:val="0"/>
        <w:spacing w:before="0" w:beforeAutospacing="0" w:after="0" w:afterAutospacing="0" w:line="500" w:lineRule="exact"/>
        <w:ind w:firstLine="480" w:firstLineChars="200"/>
        <w:textAlignment w:val="auto"/>
        <w:rPr>
          <w:bCs/>
          <w:color w:val="auto"/>
          <w:highlight w:val="none"/>
        </w:rPr>
      </w:pPr>
      <w:r>
        <w:rPr>
          <w:rFonts w:hint="eastAsia"/>
          <w:snapToGrid w:val="0"/>
          <w:color w:val="auto"/>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highlight w:val="none"/>
        </w:rPr>
        <w:t xml:space="preserve"> </w:t>
      </w:r>
    </w:p>
    <w:p w14:paraId="3710C64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kern w:val="0"/>
          <w:sz w:val="24"/>
          <w:highlight w:val="none"/>
        </w:rPr>
        <w:t>已入库企业的有关信息（如单位名称、基本账号、资质、人员等）发生变化的，应及时在建设工程交易系统进行相应变更。投标人未及时变更而造成的损失和后果，由投标人自行承担。</w:t>
      </w:r>
    </w:p>
    <w:p w14:paraId="5349E3D5">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 投标保证</w:t>
      </w:r>
    </w:p>
    <w:p w14:paraId="71FD51AC">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3.3.1 投标人须缴纳金额为人民币</w:t>
      </w:r>
      <w:r>
        <w:rPr>
          <w:rFonts w:hint="eastAsia" w:ascii="宋体" w:hAnsi="宋体" w:cs="宋体"/>
          <w:color w:val="auto"/>
          <w:sz w:val="24"/>
          <w:highlight w:val="none"/>
          <w:u w:val="single"/>
          <w:shd w:val="clear" w:color="auto" w:fill="FFFFFF"/>
          <w:lang w:val="en-US" w:eastAsia="zh-CN"/>
        </w:rPr>
        <w:t>捌仟</w:t>
      </w:r>
      <w:r>
        <w:rPr>
          <w:rFonts w:hint="eastAsia" w:ascii="宋体" w:hAnsi="宋体" w:cs="宋体"/>
          <w:color w:val="auto"/>
          <w:sz w:val="24"/>
          <w:highlight w:val="none"/>
          <w:shd w:val="clear" w:color="auto" w:fill="FFFFFF"/>
        </w:rPr>
        <w:t xml:space="preserve">元的投标保证。 </w:t>
      </w:r>
    </w:p>
    <w:p w14:paraId="081C9AA3">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auto"/>
          <w:highlight w:val="none"/>
          <w:lang w:val="en-US" w:eastAsia="zh-CN"/>
        </w:rPr>
        <w:t>见</w:t>
      </w:r>
      <w:r>
        <w:rPr>
          <w:rFonts w:hint="eastAsia" w:hAnsi="宋体" w:cs="宋体"/>
          <w:color w:val="auto"/>
          <w:highlight w:val="none"/>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auto"/>
          <w:highlight w:val="none"/>
        </w:rPr>
      </w:pPr>
      <w:r>
        <w:rPr>
          <w:rFonts w:hint="eastAsia" w:hAnsi="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auto"/>
          <w:sz w:val="24"/>
          <w:highlight w:val="none"/>
          <w:shd w:val="clear" w:color="auto" w:fill="FFFFFF"/>
        </w:rPr>
      </w:pPr>
      <w:r>
        <w:rPr>
          <w:rFonts w:hint="eastAsia" w:ascii="宋体" w:hAnsi="宋体" w:cs="宋体"/>
          <w:color w:val="auto"/>
          <w:sz w:val="24"/>
          <w:highlight w:val="none"/>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auto"/>
          <w:sz w:val="24"/>
          <w:highlight w:val="none"/>
        </w:rPr>
        <w:t>延长</w:t>
      </w:r>
      <w:r>
        <w:rPr>
          <w:rFonts w:hint="eastAsia" w:ascii="宋体" w:hAnsi="宋体" w:cs="宋体"/>
          <w:color w:val="auto"/>
          <w:sz w:val="24"/>
          <w:highlight w:val="none"/>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3.4</w:t>
      </w:r>
      <w:r>
        <w:rPr>
          <w:rFonts w:hint="eastAsia" w:hAnsi="宋体" w:cs="宋体"/>
          <w:snapToGrid w:val="0"/>
          <w:color w:val="auto"/>
          <w:kern w:val="0"/>
          <w:highlight w:val="none"/>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highlight w:val="none"/>
        </w:rPr>
      </w:pPr>
      <w:bookmarkStart w:id="21" w:name="_Toc16883"/>
      <w:r>
        <w:rPr>
          <w:rFonts w:hint="eastAsia" w:hAnsi="宋体" w:cs="宋体"/>
          <w:b/>
          <w:bCs/>
          <w:snapToGrid w:val="0"/>
          <w:color w:val="auto"/>
          <w:kern w:val="0"/>
          <w:highlight w:val="none"/>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4.1</w:t>
      </w:r>
      <w:r>
        <w:rPr>
          <w:rFonts w:hint="eastAsia" w:hAnsi="宋体" w:cs="宋体"/>
          <w:snapToGrid w:val="0"/>
          <w:color w:val="auto"/>
          <w:kern w:val="0"/>
          <w:highlight w:val="none"/>
        </w:rPr>
        <w:t xml:space="preserve"> 监理：本项目施工工期：</w:t>
      </w:r>
      <w:r>
        <w:rPr>
          <w:rFonts w:hint="eastAsia" w:hAnsi="宋体" w:cs="宋体"/>
          <w:snapToGrid w:val="0"/>
          <w:color w:val="auto"/>
          <w:kern w:val="0"/>
          <w:highlight w:val="none"/>
          <w:lang w:val="en-US" w:eastAsia="zh-CN"/>
        </w:rPr>
        <w:t>180</w:t>
      </w:r>
      <w:r>
        <w:rPr>
          <w:rFonts w:hint="eastAsia" w:hAnsi="宋体" w:cs="宋体"/>
          <w:snapToGrid w:val="0"/>
          <w:color w:val="auto"/>
          <w:kern w:val="0"/>
          <w:highlight w:val="none"/>
        </w:rPr>
        <w:t>日历天；监理服务期从监理合同签订之日起计，至本工程缺陷责任保修期结束且本工程结算金额经政府主管部门审定且双方的责任义务履行完毕时止。</w:t>
      </w:r>
    </w:p>
    <w:p w14:paraId="4006A3C3">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2" w:name="_Toc7476"/>
      <w:bookmarkStart w:id="23" w:name="_Toc10746"/>
      <w:r>
        <w:rPr>
          <w:rFonts w:hint="eastAsia" w:hAnsi="宋体" w:cs="宋体"/>
          <w:b/>
          <w:snapToGrid w:val="0"/>
          <w:color w:val="auto"/>
          <w:highlight w:val="none"/>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5.1</w:t>
      </w:r>
      <w:r>
        <w:rPr>
          <w:rFonts w:hint="eastAsia" w:hAnsi="宋体" w:cs="宋体"/>
          <w:snapToGrid w:val="0"/>
          <w:color w:val="auto"/>
          <w:kern w:val="0"/>
          <w:highlight w:val="none"/>
        </w:rPr>
        <w:t xml:space="preserve"> 监理：</w:t>
      </w:r>
      <w:r>
        <w:rPr>
          <w:rFonts w:hint="eastAsia" w:hAnsi="宋体" w:cs="宋体"/>
          <w:color w:val="auto"/>
          <w:szCs w:val="24"/>
          <w:highlight w:val="none"/>
        </w:rPr>
        <w:t>工程质量达到合格或以上标准。</w:t>
      </w:r>
      <w:r>
        <w:rPr>
          <w:rFonts w:hint="eastAsia" w:hAnsi="宋体" w:cs="宋体"/>
          <w:snapToGrid w:val="0"/>
          <w:color w:val="auto"/>
          <w:kern w:val="0"/>
          <w:highlight w:val="none"/>
        </w:rPr>
        <w:t xml:space="preserve"> </w:t>
      </w:r>
    </w:p>
    <w:p w14:paraId="4CCCF34C">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4" w:name="_Toc32757"/>
      <w:bookmarkStart w:id="25" w:name="_Toc12596"/>
      <w:r>
        <w:rPr>
          <w:rFonts w:hint="eastAsia" w:hAnsi="宋体" w:cs="宋体"/>
          <w:b/>
          <w:snapToGrid w:val="0"/>
          <w:color w:val="auto"/>
          <w:highlight w:val="none"/>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6.1</w:t>
      </w:r>
      <w:r>
        <w:rPr>
          <w:rFonts w:hint="eastAsia" w:hAnsi="宋体" w:cs="宋体"/>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6.2</w:t>
      </w:r>
      <w:r>
        <w:rPr>
          <w:rFonts w:hint="eastAsia" w:hAnsi="宋体" w:cs="宋体"/>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highlight w:val="none"/>
        </w:rPr>
      </w:pPr>
      <w:r>
        <w:rPr>
          <w:rFonts w:hint="eastAsia" w:hAnsi="宋体" w:cs="宋体"/>
          <w:b/>
          <w:bCs/>
          <w:snapToGrid w:val="0"/>
          <w:color w:val="auto"/>
          <w:kern w:val="0"/>
          <w:highlight w:val="none"/>
        </w:rPr>
        <w:t>6.3</w:t>
      </w:r>
      <w:r>
        <w:rPr>
          <w:rFonts w:hint="eastAsia" w:hAnsi="宋体" w:cs="宋体"/>
          <w:snapToGrid w:val="0"/>
          <w:color w:val="auto"/>
          <w:kern w:val="0"/>
          <w:highlight w:val="none"/>
        </w:rPr>
        <w:t xml:space="preserve"> 现场踏勘期间的交通、食宿由投标人自行安排，费用自理。</w:t>
      </w:r>
    </w:p>
    <w:p w14:paraId="7ACE9C36">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26" w:name="_Toc25173"/>
      <w:bookmarkStart w:id="27" w:name="_Toc8198"/>
      <w:r>
        <w:rPr>
          <w:rFonts w:hint="eastAsia" w:hAnsi="宋体" w:cs="宋体"/>
          <w:b/>
          <w:snapToGrid w:val="0"/>
          <w:color w:val="auto"/>
          <w:highlight w:val="none"/>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lang w:bidi="ar"/>
        </w:rPr>
      </w:pPr>
      <w:r>
        <w:rPr>
          <w:rFonts w:hint="eastAsia" w:hAnsi="宋体" w:cs="宋体"/>
          <w:b/>
          <w:bCs/>
          <w:snapToGrid w:val="0"/>
          <w:color w:val="auto"/>
          <w:kern w:val="0"/>
          <w:highlight w:val="none"/>
        </w:rPr>
        <w:t>7.1</w:t>
      </w:r>
      <w:r>
        <w:rPr>
          <w:rFonts w:hint="eastAsia" w:hAnsi="宋体" w:cs="宋体"/>
          <w:snapToGrid w:val="0"/>
          <w:color w:val="auto"/>
          <w:kern w:val="0"/>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highlight w:val="none"/>
          <w:lang w:bidi="ar"/>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7.2 </w:t>
      </w:r>
      <w:r>
        <w:rPr>
          <w:rFonts w:hint="eastAsia" w:hAnsi="宋体" w:cs="宋体"/>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auto"/>
          <w:kern w:val="0"/>
          <w:highlight w:val="none"/>
        </w:rPr>
      </w:pPr>
      <w:r>
        <w:rPr>
          <w:rFonts w:hint="eastAsia" w:hAnsi="宋体" w:cs="宋体"/>
          <w:b/>
          <w:bCs/>
          <w:snapToGrid w:val="0"/>
          <w:color w:val="auto"/>
          <w:kern w:val="0"/>
          <w:highlight w:val="none"/>
        </w:rPr>
        <w:t>7.3</w:t>
      </w:r>
      <w:r>
        <w:rPr>
          <w:rFonts w:hint="eastAsia" w:hAnsi="宋体" w:cs="宋体"/>
          <w:snapToGrid w:val="0"/>
          <w:color w:val="auto"/>
          <w:kern w:val="0"/>
          <w:highlight w:val="none"/>
        </w:rPr>
        <w:t xml:space="preserve"> 招标人对招标文件所作的答疑（或修改）公告，构成招标文件的组成部分。</w:t>
      </w:r>
    </w:p>
    <w:p w14:paraId="3906303B">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highlight w:val="none"/>
        </w:rPr>
      </w:pPr>
      <w:bookmarkStart w:id="29" w:name="_Hlt69699188"/>
      <w:bookmarkEnd w:id="29"/>
      <w:bookmarkStart w:id="30" w:name="_Hlt92513711"/>
      <w:bookmarkEnd w:id="30"/>
      <w:bookmarkStart w:id="31" w:name="_Hlt92513715"/>
      <w:bookmarkEnd w:id="31"/>
      <w:bookmarkStart w:id="32" w:name="_Toc11326"/>
      <w:bookmarkStart w:id="33" w:name="_Toc23036"/>
      <w:r>
        <w:rPr>
          <w:rFonts w:hint="eastAsia" w:hAnsi="宋体" w:cs="宋体"/>
          <w:b/>
          <w:snapToGrid w:val="0"/>
          <w:color w:val="auto"/>
          <w:highlight w:val="none"/>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8.1</w:t>
      </w:r>
      <w:r>
        <w:rPr>
          <w:rFonts w:hint="eastAsia" w:hAnsi="宋体" w:cs="宋体"/>
          <w:snapToGrid w:val="0"/>
          <w:color w:val="auto"/>
          <w:kern w:val="0"/>
          <w:highlight w:val="none"/>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（5）项目所在地市场价格。</w:t>
      </w:r>
    </w:p>
    <w:p w14:paraId="729BA8FC">
      <w:pPr>
        <w:pStyle w:val="42"/>
        <w:keepNext w:val="0"/>
        <w:keepLines w:val="0"/>
        <w:pageBreakBefore w:val="0"/>
        <w:topLinePunct w:val="0"/>
        <w:bidi w:val="0"/>
        <w:spacing w:line="500" w:lineRule="exact"/>
        <w:jc w:val="left"/>
        <w:textAlignment w:val="auto"/>
        <w:rPr>
          <w:rFonts w:hint="eastAsia" w:ascii="宋体" w:hAnsi="宋体" w:eastAsia="宋体" w:cs="宋体"/>
          <w:b w:val="0"/>
          <w:bCs/>
          <w:color w:val="auto"/>
          <w:sz w:val="24"/>
          <w:highlight w:val="none"/>
          <w:u w:val="none"/>
        </w:rPr>
      </w:pPr>
      <w:r>
        <w:rPr>
          <w:rFonts w:hint="eastAsia" w:ascii="宋体" w:hAnsi="宋体" w:cs="宋体"/>
          <w:bCs/>
          <w:snapToGrid w:val="0"/>
          <w:color w:val="auto"/>
          <w:kern w:val="0"/>
          <w:sz w:val="24"/>
          <w:highlight w:val="none"/>
        </w:rPr>
        <w:t xml:space="preserve">   8.2</w:t>
      </w:r>
      <w:r>
        <w:rPr>
          <w:rFonts w:hint="eastAsia" w:ascii="宋体" w:hAnsi="宋体" w:cs="宋体"/>
          <w:snapToGrid w:val="0"/>
          <w:color w:val="auto"/>
          <w:kern w:val="0"/>
          <w:sz w:val="24"/>
          <w:highlight w:val="none"/>
        </w:rPr>
        <w:t xml:space="preserve"> </w:t>
      </w:r>
      <w:r>
        <w:rPr>
          <w:rFonts w:hint="eastAsia" w:ascii="宋体" w:hAnsi="宋体" w:cs="宋体"/>
          <w:b w:val="0"/>
          <w:bCs/>
          <w:snapToGrid w:val="0"/>
          <w:color w:val="auto"/>
          <w:kern w:val="0"/>
          <w:sz w:val="24"/>
          <w:highlight w:val="none"/>
        </w:rPr>
        <w:t>本次招标最高投标限价为人民币（大写）：肆拾伍万肆仟伍佰元整</w:t>
      </w:r>
      <w:r>
        <w:rPr>
          <w:rFonts w:hint="eastAsia" w:hAnsi="宋体" w:cs="宋体"/>
          <w:b w:val="0"/>
          <w:bCs/>
          <w:snapToGrid w:val="0"/>
          <w:color w:val="auto"/>
          <w:kern w:val="0"/>
          <w:sz w:val="24"/>
          <w:highlight w:val="none"/>
          <w:u w:val="none"/>
          <w:lang w:val="en-US" w:eastAsia="zh-CN"/>
        </w:rPr>
        <w:t>（小写：</w:t>
      </w:r>
      <w:r>
        <w:rPr>
          <w:rFonts w:hint="eastAsia" w:ascii="宋体" w:hAnsi="宋体" w:eastAsia="宋体" w:cs="宋体"/>
          <w:b w:val="0"/>
          <w:bCs/>
          <w:snapToGrid w:val="0"/>
          <w:color w:val="auto"/>
          <w:kern w:val="0"/>
          <w:sz w:val="24"/>
          <w:highlight w:val="none"/>
          <w:u w:val="none"/>
          <w:lang w:val="en-US" w:eastAsia="zh-CN"/>
        </w:rPr>
        <w:t>￥</w:t>
      </w:r>
      <w:r>
        <w:rPr>
          <w:rFonts w:hint="eastAsia" w:ascii="宋体" w:hAnsi="宋体" w:cs="宋体"/>
          <w:b w:val="0"/>
          <w:bCs/>
          <w:snapToGrid w:val="0"/>
          <w:color w:val="auto"/>
          <w:kern w:val="0"/>
          <w:sz w:val="24"/>
          <w:highlight w:val="none"/>
          <w:u w:val="single"/>
          <w:lang w:val="en-US" w:eastAsia="zh-CN"/>
        </w:rPr>
        <w:t>454500.00</w:t>
      </w:r>
      <w:r>
        <w:rPr>
          <w:rFonts w:hint="eastAsia" w:ascii="宋体" w:hAnsi="宋体" w:eastAsia="宋体" w:cs="宋体"/>
          <w:b w:val="0"/>
          <w:bCs/>
          <w:snapToGrid w:val="0"/>
          <w:color w:val="auto"/>
          <w:kern w:val="0"/>
          <w:sz w:val="24"/>
          <w:highlight w:val="none"/>
          <w:u w:val="none"/>
          <w:lang w:val="en-US" w:eastAsia="zh-CN"/>
        </w:rPr>
        <w:t>元）</w:t>
      </w:r>
      <w:r>
        <w:rPr>
          <w:rFonts w:hint="eastAsia" w:ascii="宋体" w:hAnsi="宋体" w:eastAsia="宋体" w:cs="宋体"/>
          <w:b w:val="0"/>
          <w:bCs/>
          <w:snapToGrid w:val="0"/>
          <w:color w:val="auto"/>
          <w:kern w:val="0"/>
          <w:sz w:val="24"/>
          <w:highlight w:val="none"/>
          <w:u w:val="none"/>
          <w:lang w:eastAsia="zh-CN"/>
        </w:rPr>
        <w:t>，监理服务费投标取费费率上限为</w:t>
      </w:r>
      <w:r>
        <w:rPr>
          <w:rFonts w:hint="eastAsia" w:ascii="宋体" w:hAnsi="宋体" w:cs="宋体"/>
          <w:b w:val="0"/>
          <w:bCs/>
          <w:snapToGrid w:val="0"/>
          <w:color w:val="auto"/>
          <w:kern w:val="0"/>
          <w:sz w:val="24"/>
          <w:highlight w:val="none"/>
          <w:u w:val="single"/>
          <w:lang w:val="en-US" w:eastAsia="zh-CN"/>
        </w:rPr>
        <w:t>1.854%</w:t>
      </w:r>
      <w:r>
        <w:rPr>
          <w:rFonts w:hint="eastAsia" w:ascii="宋体" w:hAnsi="宋体" w:eastAsia="宋体" w:cs="宋体"/>
          <w:b w:val="0"/>
          <w:bCs/>
          <w:snapToGrid w:val="0"/>
          <w:color w:val="auto"/>
          <w:kern w:val="0"/>
          <w:sz w:val="24"/>
          <w:highlight w:val="none"/>
          <w:u w:val="none"/>
        </w:rPr>
        <w:t>。</w:t>
      </w:r>
    </w:p>
    <w:p w14:paraId="08F85732">
      <w:pPr>
        <w:pStyle w:val="5"/>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Ansi="宋体" w:cs="宋体"/>
          <w:b/>
          <w:snapToGrid w:val="0"/>
          <w:color w:val="auto"/>
          <w:highlight w:val="none"/>
        </w:rPr>
      </w:pPr>
      <w:bookmarkStart w:id="34" w:name="_Toc2193"/>
      <w:bookmarkStart w:id="35" w:name="_Toc7437"/>
      <w:r>
        <w:rPr>
          <w:rFonts w:hint="eastAsia" w:hAnsi="宋体" w:cs="宋体"/>
          <w:b/>
          <w:snapToGrid w:val="0"/>
          <w:color w:val="auto"/>
          <w:highlight w:val="none"/>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9.1</w:t>
      </w:r>
      <w:r>
        <w:rPr>
          <w:rFonts w:hint="eastAsia" w:hAnsi="宋体" w:cs="宋体"/>
          <w:snapToGrid w:val="0"/>
          <w:color w:val="auto"/>
          <w:kern w:val="0"/>
          <w:highlight w:val="none"/>
        </w:rPr>
        <w:t xml:space="preserve"> 本次招标采用填报</w:t>
      </w:r>
      <w:r>
        <w:rPr>
          <w:rFonts w:hint="eastAsia" w:hAnsi="宋体" w:cs="宋体"/>
          <w:snapToGrid w:val="0"/>
          <w:color w:val="auto"/>
          <w:kern w:val="0"/>
          <w:highlight w:val="none"/>
          <w:u w:val="single"/>
        </w:rPr>
        <w:t xml:space="preserve"> 投标报价及取费费率 </w:t>
      </w:r>
      <w:r>
        <w:rPr>
          <w:rFonts w:hint="eastAsia" w:hAnsi="宋体" w:cs="宋体"/>
          <w:snapToGrid w:val="0"/>
          <w:color w:val="auto"/>
          <w:kern w:val="0"/>
          <w:highlight w:val="none"/>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9.2</w:t>
      </w:r>
      <w:r>
        <w:rPr>
          <w:rFonts w:hint="eastAsia" w:hAnsi="宋体" w:cs="宋体"/>
          <w:snapToGrid w:val="0"/>
          <w:color w:val="auto"/>
          <w:kern w:val="0"/>
          <w:highlight w:val="none"/>
        </w:rPr>
        <w:t xml:space="preserve"> 所有报价均以人民币“元”为单位，并保留两位小数。投标取费费率=投标总价÷建安工程费暂定价×100%，并保留</w:t>
      </w:r>
      <w:r>
        <w:rPr>
          <w:rFonts w:hint="eastAsia" w:hAnsi="宋体" w:cs="宋体"/>
          <w:snapToGrid w:val="0"/>
          <w:color w:val="auto"/>
          <w:kern w:val="0"/>
          <w:highlight w:val="none"/>
          <w:lang w:val="en-US" w:eastAsia="zh-CN"/>
        </w:rPr>
        <w:t>三</w:t>
      </w:r>
      <w:r>
        <w:rPr>
          <w:rFonts w:hint="eastAsia" w:hAnsi="宋体" w:cs="宋体"/>
          <w:snapToGrid w:val="0"/>
          <w:color w:val="auto"/>
          <w:kern w:val="0"/>
          <w:highlight w:val="none"/>
        </w:rPr>
        <w:t>位小数。</w:t>
      </w:r>
      <w:r>
        <w:rPr>
          <w:rFonts w:hint="eastAsia" w:hAnsi="宋体" w:cs="宋体"/>
          <w:b w:val="0"/>
          <w:bCs w:val="0"/>
          <w:snapToGrid w:val="0"/>
          <w:color w:val="auto"/>
          <w:kern w:val="0"/>
          <w:highlight w:val="none"/>
        </w:rPr>
        <w:t>本项目的建安工程费暂定价为人民币</w:t>
      </w:r>
      <w:r>
        <w:rPr>
          <w:rFonts w:hint="eastAsia" w:hAnsi="宋体" w:cs="宋体"/>
          <w:b w:val="0"/>
          <w:bCs w:val="0"/>
          <w:snapToGrid w:val="0"/>
          <w:color w:val="auto"/>
          <w:kern w:val="0"/>
          <w:highlight w:val="none"/>
          <w:u w:val="single"/>
        </w:rPr>
        <w:t>2450.94</w:t>
      </w:r>
      <w:r>
        <w:rPr>
          <w:rFonts w:hint="eastAsia" w:hAnsi="宋体" w:cs="宋体"/>
          <w:b w:val="0"/>
          <w:bCs w:val="0"/>
          <w:snapToGrid w:val="0"/>
          <w:color w:val="auto"/>
          <w:kern w:val="0"/>
          <w:highlight w:val="none"/>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auto"/>
          <w:kern w:val="0"/>
          <w:highlight w:val="none"/>
        </w:rPr>
      </w:pPr>
      <w:r>
        <w:rPr>
          <w:rFonts w:hint="eastAsia" w:hAnsi="宋体" w:cs="宋体"/>
          <w:b/>
          <w:bCs/>
          <w:snapToGrid w:val="0"/>
          <w:color w:val="auto"/>
          <w:kern w:val="0"/>
          <w:highlight w:val="none"/>
        </w:rPr>
        <w:t xml:space="preserve">9.3 </w:t>
      </w:r>
      <w:r>
        <w:rPr>
          <w:rFonts w:hint="eastAsia" w:hAnsi="宋体" w:cs="宋体"/>
          <w:b w:val="0"/>
          <w:bCs w:val="0"/>
          <w:snapToGrid w:val="0"/>
          <w:color w:val="auto"/>
          <w:kern w:val="0"/>
          <w:highlight w:val="none"/>
        </w:rPr>
        <w:t>监理服务费结算价在项目的合同价范围内按实结算，即：以施工</w:t>
      </w:r>
      <w:r>
        <w:rPr>
          <w:rFonts w:hint="eastAsia" w:hAnsi="宋体" w:cs="宋体"/>
          <w:b w:val="0"/>
          <w:bCs w:val="0"/>
          <w:snapToGrid w:val="0"/>
          <w:color w:val="auto"/>
          <w:kern w:val="0"/>
          <w:highlight w:val="none"/>
          <w:lang w:val="en-US" w:eastAsia="zh-CN"/>
        </w:rPr>
        <w:t>财审预</w:t>
      </w:r>
      <w:r>
        <w:rPr>
          <w:rFonts w:hint="eastAsia" w:hAnsi="宋体" w:cs="宋体"/>
          <w:b w:val="0"/>
          <w:bCs w:val="0"/>
          <w:snapToGrid w:val="0"/>
          <w:color w:val="auto"/>
          <w:kern w:val="0"/>
          <w:highlight w:val="none"/>
        </w:rPr>
        <w:t>算价为基数乘以监理人中标取费费率计算，若监理服务费结算总价超过签约合同价，则按签约合同价包干结算；若监理服务费结算总价未超过签约合同价，则按以施工</w:t>
      </w:r>
      <w:r>
        <w:rPr>
          <w:rFonts w:hint="eastAsia" w:hAnsi="宋体" w:cs="宋体"/>
          <w:b w:val="0"/>
          <w:bCs w:val="0"/>
          <w:snapToGrid w:val="0"/>
          <w:color w:val="auto"/>
          <w:kern w:val="0"/>
          <w:highlight w:val="none"/>
          <w:lang w:val="en-US" w:eastAsia="zh-CN"/>
        </w:rPr>
        <w:t>预</w:t>
      </w:r>
      <w:r>
        <w:rPr>
          <w:rFonts w:hint="eastAsia" w:hAnsi="宋体" w:cs="宋体"/>
          <w:b w:val="0"/>
          <w:bCs w:val="0"/>
          <w:snapToGrid w:val="0"/>
          <w:color w:val="auto"/>
          <w:kern w:val="0"/>
          <w:highlight w:val="none"/>
        </w:rPr>
        <w:t>算价为基数乘以监理人中标取费费率计算的结算价进行结算。</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ascii="宋体" w:hAnsi="宋体" w:eastAsia="宋体" w:cs="宋体"/>
          <w:b/>
          <w:bCs/>
          <w:snapToGrid w:val="0"/>
          <w:color w:val="auto"/>
          <w:kern w:val="0"/>
          <w:highlight w:val="none"/>
          <w:lang w:val="en-US" w:eastAsia="zh-CN"/>
        </w:rPr>
        <w:t>9.4</w:t>
      </w:r>
      <w:r>
        <w:rPr>
          <w:rFonts w:hint="eastAsia" w:hAnsi="宋体" w:cs="宋体"/>
          <w:snapToGrid w:val="0"/>
          <w:color w:val="auto"/>
          <w:kern w:val="0"/>
          <w:szCs w:val="24"/>
          <w:highlight w:val="none"/>
          <w:lang w:val="en-US" w:eastAsia="zh-CN"/>
        </w:rPr>
        <w:t xml:space="preserve"> </w:t>
      </w:r>
      <w:r>
        <w:rPr>
          <w:rFonts w:hint="eastAsia" w:hAnsi="宋体" w:cs="宋体"/>
          <w:snapToGrid w:val="0"/>
          <w:color w:val="auto"/>
          <w:kern w:val="0"/>
          <w:szCs w:val="24"/>
          <w:highlight w:val="none"/>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5 </w:t>
      </w:r>
      <w:r>
        <w:rPr>
          <w:rFonts w:hint="eastAsia" w:hAnsi="宋体" w:cs="宋体"/>
          <w:snapToGrid w:val="0"/>
          <w:color w:val="auto"/>
          <w:kern w:val="0"/>
          <w:szCs w:val="24"/>
          <w:highlight w:val="none"/>
        </w:rPr>
        <w:t>投标总价应包括国家规定的增值税税金。本次招标增值税税金按</w:t>
      </w:r>
      <w:r>
        <w:rPr>
          <w:rFonts w:hint="eastAsia" w:hAnsi="宋体" w:cs="宋体"/>
          <w:snapToGrid w:val="0"/>
          <w:color w:val="auto"/>
          <w:kern w:val="0"/>
          <w:szCs w:val="24"/>
          <w:highlight w:val="none"/>
          <w:u w:val="single"/>
        </w:rPr>
        <w:t xml:space="preserve"> 一般 </w:t>
      </w:r>
      <w:r>
        <w:rPr>
          <w:rFonts w:hint="eastAsia" w:hAnsi="宋体" w:cs="宋体"/>
          <w:snapToGrid w:val="0"/>
          <w:color w:val="auto"/>
          <w:kern w:val="0"/>
          <w:szCs w:val="24"/>
          <w:highlight w:val="none"/>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6 </w:t>
      </w:r>
      <w:r>
        <w:rPr>
          <w:rFonts w:hint="eastAsia" w:ascii="Times New Roman"/>
          <w:snapToGrid w:val="0"/>
          <w:color w:val="auto"/>
          <w:kern w:val="0"/>
          <w:highlight w:val="none"/>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highlight w:val="none"/>
        </w:rPr>
      </w:pPr>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7 </w:t>
      </w:r>
      <w:r>
        <w:rPr>
          <w:rFonts w:hint="eastAsia" w:hAnsi="宋体" w:cs="宋体"/>
          <w:snapToGrid w:val="0"/>
          <w:color w:val="auto"/>
          <w:kern w:val="0"/>
          <w:szCs w:val="24"/>
          <w:highlight w:val="none"/>
        </w:rPr>
        <w:t>投标人应充分了解招标项目的总体情况以及影响投标报价的其他要素。</w:t>
      </w:r>
      <w:bookmarkStart w:id="37" w:name="_（十）投标文件的编制、包装、密封"/>
      <w:bookmarkEnd w:id="37"/>
    </w:p>
    <w:p w14:paraId="182D9B17">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trike/>
          <w:snapToGrid w:val="0"/>
          <w:color w:val="auto"/>
          <w:szCs w:val="24"/>
          <w:highlight w:val="none"/>
        </w:rPr>
      </w:pPr>
      <w:bookmarkStart w:id="38" w:name="_Toc4002"/>
      <w:bookmarkStart w:id="39" w:name="_Toc684"/>
      <w:r>
        <w:rPr>
          <w:rFonts w:hint="eastAsia" w:hAnsi="宋体" w:cs="宋体"/>
          <w:b/>
          <w:snapToGrid w:val="0"/>
          <w:color w:val="auto"/>
          <w:szCs w:val="24"/>
          <w:highlight w:val="none"/>
        </w:rPr>
        <w:t>10．投标文件的编制</w:t>
      </w:r>
      <w:bookmarkStart w:id="40" w:name="_Hlt69208262"/>
      <w:bookmarkEnd w:id="40"/>
      <w:bookmarkStart w:id="41" w:name="_Hlt69332370"/>
      <w:bookmarkEnd w:id="41"/>
      <w:r>
        <w:rPr>
          <w:rFonts w:hint="eastAsia" w:hAnsi="宋体" w:cs="宋体"/>
          <w:b/>
          <w:snapToGrid w:val="0"/>
          <w:color w:val="auto"/>
          <w:szCs w:val="24"/>
          <w:highlight w:val="none"/>
        </w:rPr>
        <w:t>要求</w:t>
      </w:r>
      <w:bookmarkEnd w:id="38"/>
      <w:bookmarkEnd w:id="39"/>
      <w:bookmarkStart w:id="42" w:name="_Hlt74495594"/>
      <w:bookmarkEnd w:id="42"/>
      <w:bookmarkStart w:id="43" w:name="_Hlt78768224"/>
      <w:bookmarkEnd w:id="43"/>
      <w:bookmarkStart w:id="44" w:name="_Hlt74497202"/>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kern w:val="0"/>
          <w:szCs w:val="24"/>
          <w:highlight w:val="none"/>
        </w:rPr>
      </w:pPr>
      <w:r>
        <w:rPr>
          <w:rFonts w:hint="eastAsia" w:hAnsi="宋体" w:cs="宋体"/>
          <w:b/>
          <w:bCs/>
          <w:snapToGrid w:val="0"/>
          <w:color w:val="auto"/>
          <w:kern w:val="0"/>
          <w:szCs w:val="24"/>
          <w:highlight w:val="none"/>
        </w:rPr>
        <w:t>10.1</w:t>
      </w:r>
      <w:r>
        <w:rPr>
          <w:rFonts w:hint="eastAsia" w:hAnsi="宋体" w:cs="宋体"/>
          <w:bCs/>
          <w:snapToGrid w:val="0"/>
          <w:color w:val="auto"/>
          <w:kern w:val="0"/>
          <w:szCs w:val="24"/>
          <w:highlight w:val="none"/>
        </w:rPr>
        <w:t xml:space="preserve"> 一般要求</w:t>
      </w:r>
    </w:p>
    <w:p w14:paraId="35DD415F">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bookmarkStart w:id="45" w:name="_Hlt74496890"/>
      <w:bookmarkEnd w:id="45"/>
      <w:r>
        <w:rPr>
          <w:rFonts w:hint="eastAsia" w:hAnsi="宋体" w:cs="宋体"/>
          <w:snapToGrid w:val="0"/>
          <w:color w:val="auto"/>
          <w:kern w:val="0"/>
          <w:szCs w:val="24"/>
          <w:highlight w:val="none"/>
        </w:rPr>
        <w:t>投标文件应按第五章 投标文件格式规定的内容，投标人提交的投标文件应当使用招标文件所提供的投标文件全部格式。</w:t>
      </w:r>
    </w:p>
    <w:p w14:paraId="467E50B9">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10.1.1</w:t>
      </w:r>
      <w:r>
        <w:rPr>
          <w:rFonts w:hint="eastAsia" w:hAnsi="宋体" w:cs="宋体"/>
          <w:snapToGrid w:val="0"/>
          <w:color w:val="auto"/>
          <w:kern w:val="0"/>
          <w:szCs w:val="24"/>
          <w:highlight w:val="none"/>
        </w:rPr>
        <w:t>投标人必须响应招标文件，并在充分理解招标文件的基础上编制投标文件。因投标文件不符合招标文件的要求而造成的损失和后果，由投标人自行承担。</w:t>
      </w:r>
    </w:p>
    <w:p w14:paraId="59E34259">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szCs w:val="24"/>
          <w:highlight w:val="none"/>
        </w:rPr>
        <w:t xml:space="preserve"> 投标文件需按以下要求签字、盖章：</w:t>
      </w:r>
    </w:p>
    <w:p w14:paraId="756F2778">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10.1.3.1</w:t>
      </w:r>
      <w:r>
        <w:rPr>
          <w:rFonts w:hint="eastAsia" w:hAnsi="宋体" w:cs="宋体"/>
          <w:snapToGrid w:val="0"/>
          <w:color w:val="auto"/>
          <w:kern w:val="0"/>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10.1.3.2</w:t>
      </w:r>
      <w:r>
        <w:rPr>
          <w:rFonts w:hint="eastAsia" w:hAnsi="宋体" w:cs="宋体"/>
          <w:snapToGrid w:val="0"/>
          <w:color w:val="auto"/>
          <w:kern w:val="0"/>
          <w:szCs w:val="24"/>
          <w:highlight w:val="none"/>
        </w:rPr>
        <w:t xml:space="preserve"> 投标文件封套、封面、组成内容中凡要求录入投标人名称且注明“盖单位章”处盖单位法人公章（电子印章）。</w:t>
      </w:r>
    </w:p>
    <w:p w14:paraId="02444178">
      <w:pPr>
        <w:pStyle w:val="13"/>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10.1.3.3</w:t>
      </w:r>
      <w:r>
        <w:rPr>
          <w:rFonts w:hint="eastAsia" w:hAnsi="宋体" w:cs="宋体"/>
          <w:snapToGrid w:val="0"/>
          <w:color w:val="auto"/>
          <w:kern w:val="0"/>
          <w:szCs w:val="24"/>
          <w:highlight w:val="none"/>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auto"/>
          <w:kern w:val="0"/>
          <w:szCs w:val="24"/>
          <w:highlight w:val="none"/>
        </w:rPr>
      </w:pPr>
      <w:bookmarkStart w:id="46" w:name="_Toc274313880"/>
      <w:bookmarkStart w:id="47" w:name="_Toc257031159"/>
      <w:r>
        <w:rPr>
          <w:rFonts w:hint="eastAsia" w:hAnsi="宋体" w:cs="宋体"/>
          <w:b/>
          <w:bCs/>
          <w:snapToGrid w:val="0"/>
          <w:color w:val="auto"/>
          <w:kern w:val="0"/>
          <w:szCs w:val="24"/>
          <w:highlight w:val="none"/>
        </w:rPr>
        <w:t>10.2</w:t>
      </w:r>
      <w:r>
        <w:rPr>
          <w:rFonts w:hint="eastAsia" w:hAnsi="宋体" w:cs="宋体"/>
          <w:bCs/>
          <w:snapToGrid w:val="0"/>
          <w:color w:val="auto"/>
          <w:kern w:val="0"/>
          <w:szCs w:val="24"/>
          <w:highlight w:val="none"/>
        </w:rPr>
        <w:t xml:space="preserve">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auto"/>
          <w:kern w:val="0"/>
          <w:szCs w:val="24"/>
          <w:highlight w:val="none"/>
          <w:u w:val="single"/>
        </w:rPr>
      </w:pP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商务标书</w:t>
      </w:r>
      <w:r>
        <w:rPr>
          <w:rFonts w:hint="eastAsia" w:hAnsi="宋体" w:cs="宋体"/>
          <w:snapToGrid w:val="0"/>
          <w:color w:val="auto"/>
          <w:kern w:val="0"/>
          <w:szCs w:val="24"/>
          <w:highlight w:val="none"/>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（14）详细评审阶段要求提供的评审资料（详见本节第</w:t>
      </w:r>
      <w:r>
        <w:rPr>
          <w:rFonts w:hint="eastAsia" w:hAnsi="宋体" w:cs="宋体"/>
          <w:b/>
          <w:bCs/>
          <w:snapToGrid w:val="0"/>
          <w:color w:val="auto"/>
          <w:kern w:val="0"/>
          <w:szCs w:val="24"/>
          <w:highlight w:val="none"/>
        </w:rPr>
        <w:t>15.5.1</w:t>
      </w:r>
      <w:r>
        <w:rPr>
          <w:rFonts w:hint="eastAsia" w:hAnsi="宋体" w:cs="宋体"/>
          <w:snapToGrid w:val="0"/>
          <w:color w:val="auto"/>
          <w:kern w:val="0"/>
          <w:szCs w:val="24"/>
          <w:highlight w:val="none"/>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10.2.2</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目中所列出的商务标书组成内容中，第（1）至第（13）项所有投标人均应提供。</w:t>
      </w:r>
      <w:r>
        <w:rPr>
          <w:rFonts w:hint="eastAsia" w:hAnsi="宋体" w:cs="宋体"/>
          <w:b/>
          <w:bCs/>
          <w:snapToGrid w:val="0"/>
          <w:color w:val="auto"/>
          <w:kern w:val="0"/>
          <w:szCs w:val="24"/>
          <w:highlight w:val="none"/>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10.2.3</w:t>
      </w:r>
      <w:r>
        <w:rPr>
          <w:rFonts w:hint="eastAsia" w:hAnsi="宋体" w:cs="宋体"/>
          <w:snapToGrid w:val="0"/>
          <w:color w:val="auto"/>
          <w:kern w:val="0"/>
          <w:szCs w:val="24"/>
          <w:highlight w:val="none"/>
        </w:rPr>
        <w:t xml:space="preserve"> 商务标书的组成内容按本节第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bCs/>
          <w:snapToGrid w:val="0"/>
          <w:color w:val="auto"/>
          <w:kern w:val="0"/>
          <w:szCs w:val="24"/>
          <w:highlight w:val="none"/>
        </w:rPr>
        <w:t>10.3</w:t>
      </w:r>
      <w:r>
        <w:rPr>
          <w:rFonts w:hint="eastAsia" w:hAnsi="宋体" w:cs="宋体"/>
          <w:bCs/>
          <w:snapToGrid w:val="0"/>
          <w:color w:val="auto"/>
          <w:kern w:val="0"/>
          <w:szCs w:val="24"/>
          <w:highlight w:val="none"/>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
          <w:snapToGrid w:val="0"/>
          <w:color w:val="auto"/>
          <w:kern w:val="0"/>
          <w:szCs w:val="24"/>
          <w:highlight w:val="none"/>
        </w:rPr>
        <w:t>10.3.1</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的编制依据包括且不限于</w:t>
      </w:r>
      <w:r>
        <w:rPr>
          <w:rFonts w:hint="eastAsia" w:hAnsi="宋体" w:cs="宋体"/>
          <w:bCs/>
          <w:snapToGrid w:val="0"/>
          <w:color w:val="auto"/>
          <w:kern w:val="0"/>
          <w:szCs w:val="24"/>
          <w:highlight w:val="none"/>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（1）招标文件及</w:t>
      </w:r>
      <w:r>
        <w:rPr>
          <w:rFonts w:hint="eastAsia" w:hAnsi="宋体" w:cs="宋体"/>
          <w:snapToGrid w:val="0"/>
          <w:color w:val="auto"/>
          <w:kern w:val="0"/>
          <w:szCs w:val="24"/>
          <w:highlight w:val="none"/>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snapToGrid w:val="0"/>
          <w:color w:val="auto"/>
          <w:kern w:val="0"/>
          <w:szCs w:val="24"/>
          <w:highlight w:val="none"/>
        </w:rPr>
        <w:t>10.3.2</w:t>
      </w:r>
      <w:r>
        <w:rPr>
          <w:rFonts w:hint="eastAsia" w:hAnsi="宋体" w:cs="宋体"/>
          <w:bCs/>
          <w:snapToGrid w:val="0"/>
          <w:color w:val="auto"/>
          <w:kern w:val="0"/>
          <w:szCs w:val="24"/>
          <w:highlight w:val="none"/>
        </w:rPr>
        <w:t xml:space="preserve"> 监理大纲</w:t>
      </w:r>
      <w:r>
        <w:rPr>
          <w:rFonts w:hint="eastAsia" w:hAnsi="宋体" w:cs="宋体"/>
          <w:snapToGrid w:val="0"/>
          <w:color w:val="auto"/>
          <w:kern w:val="0"/>
          <w:szCs w:val="24"/>
          <w:highlight w:val="none"/>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10.3.3</w:t>
      </w:r>
      <w:r>
        <w:rPr>
          <w:rFonts w:hint="eastAsia" w:hAnsi="宋体" w:cs="宋体"/>
          <w:snapToGrid w:val="0"/>
          <w:color w:val="auto"/>
          <w:kern w:val="0"/>
          <w:szCs w:val="24"/>
          <w:highlight w:val="none"/>
        </w:rPr>
        <w:t xml:space="preserve"> 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目中所列出的</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10.3.4</w:t>
      </w:r>
      <w:r>
        <w:rPr>
          <w:rFonts w:hint="eastAsia" w:hAnsi="宋体" w:cs="宋体"/>
          <w:snapToGrid w:val="0"/>
          <w:color w:val="auto"/>
          <w:kern w:val="0"/>
          <w:szCs w:val="24"/>
          <w:highlight w:val="none"/>
        </w:rPr>
        <w:t xml:space="preserve"> </w:t>
      </w:r>
      <w:r>
        <w:rPr>
          <w:rFonts w:hint="eastAsia" w:hAnsi="宋体" w:cs="宋体"/>
          <w:bCs/>
          <w:snapToGrid w:val="0"/>
          <w:color w:val="auto"/>
          <w:kern w:val="0"/>
          <w:szCs w:val="24"/>
          <w:highlight w:val="none"/>
        </w:rPr>
        <w:t>监理大纲</w:t>
      </w:r>
      <w:r>
        <w:rPr>
          <w:rFonts w:hint="eastAsia" w:hAnsi="宋体" w:cs="宋体"/>
          <w:snapToGrid w:val="0"/>
          <w:color w:val="auto"/>
          <w:kern w:val="0"/>
          <w:szCs w:val="24"/>
          <w:highlight w:val="none"/>
        </w:rPr>
        <w:t>的组成内容按本节第</w:t>
      </w:r>
      <w:r>
        <w:rPr>
          <w:rFonts w:hint="eastAsia" w:hAnsi="宋体" w:cs="宋体"/>
          <w:b/>
          <w:bCs/>
          <w:snapToGrid w:val="0"/>
          <w:color w:val="auto"/>
          <w:kern w:val="0"/>
          <w:szCs w:val="24"/>
          <w:highlight w:val="none"/>
        </w:rPr>
        <w:t>10.3.2</w:t>
      </w:r>
      <w:r>
        <w:rPr>
          <w:rFonts w:hint="eastAsia" w:hAnsi="宋体" w:cs="宋体"/>
          <w:snapToGrid w:val="0"/>
          <w:color w:val="auto"/>
          <w:kern w:val="0"/>
          <w:szCs w:val="24"/>
          <w:highlight w:val="none"/>
        </w:rPr>
        <w:t>目规定的顺序整理、编排后，逐页（页码起始从封面开始）连续标记页码。</w:t>
      </w:r>
    </w:p>
    <w:p w14:paraId="79A97868">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48" w:name="_Toc2864"/>
      <w:bookmarkStart w:id="49" w:name="_Toc1986"/>
      <w:r>
        <w:rPr>
          <w:rFonts w:hint="eastAsia" w:hAnsi="宋体" w:cs="宋体"/>
          <w:b/>
          <w:snapToGrid w:val="0"/>
          <w:color w:val="auto"/>
          <w:szCs w:val="24"/>
          <w:highlight w:val="none"/>
        </w:rPr>
        <w:t>11．</w:t>
      </w:r>
      <w:bookmarkEnd w:id="48"/>
      <w:r>
        <w:rPr>
          <w:rFonts w:hint="eastAsia" w:hAnsi="宋体" w:cs="宋体"/>
          <w:b/>
          <w:snapToGrid w:val="0"/>
          <w:color w:val="auto"/>
          <w:szCs w:val="24"/>
          <w:highlight w:val="none"/>
        </w:rPr>
        <w:t>电子投标</w:t>
      </w:r>
      <w:bookmarkEnd w:id="49"/>
    </w:p>
    <w:p w14:paraId="72F1BB7A">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cs="宋体"/>
          <w:b/>
          <w:bCs/>
          <w:snapToGrid w:val="0"/>
          <w:color w:val="auto"/>
          <w:kern w:val="0"/>
          <w:sz w:val="24"/>
          <w:highlight w:val="none"/>
        </w:rPr>
        <w:t>11.1</w:t>
      </w:r>
      <w:r>
        <w:rPr>
          <w:rFonts w:hint="eastAsia" w:ascii="宋体" w:hAnsi="宋体" w:cs="宋体"/>
          <w:snapToGrid w:val="0"/>
          <w:color w:val="auto"/>
          <w:kern w:val="0"/>
          <w:sz w:val="24"/>
          <w:highlight w:val="none"/>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auto"/>
          <w:kern w:val="0"/>
          <w:sz w:val="24"/>
          <w:highlight w:val="none"/>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11.2</w:t>
      </w:r>
      <w:r>
        <w:rPr>
          <w:rFonts w:hint="eastAsia" w:ascii="宋体" w:hAnsi="宋体" w:cs="宋体"/>
          <w:snapToGrid w:val="0"/>
          <w:color w:val="auto"/>
          <w:kern w:val="0"/>
          <w:sz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 xml:space="preserve">11.3 </w:t>
      </w:r>
      <w:r>
        <w:rPr>
          <w:rFonts w:hint="eastAsia" w:hAnsi="宋体" w:cs="宋体"/>
          <w:snapToGrid w:val="0"/>
          <w:color w:val="auto"/>
          <w:kern w:val="0"/>
          <w:szCs w:val="24"/>
          <w:highlight w:val="none"/>
        </w:rPr>
        <w:t>电子投标解密失败及突发情况的补救</w:t>
      </w:r>
    </w:p>
    <w:p w14:paraId="55067ABC">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11.3.1</w:t>
      </w:r>
      <w:r>
        <w:rPr>
          <w:rFonts w:hint="eastAsia" w:ascii="宋体" w:hAnsi="宋体" w:cs="宋体"/>
          <w:snapToGrid w:val="0"/>
          <w:color w:val="auto"/>
          <w:kern w:val="0"/>
          <w:sz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11.3.2</w:t>
      </w:r>
      <w:r>
        <w:rPr>
          <w:rFonts w:hint="eastAsia" w:ascii="宋体" w:hAnsi="宋体" w:cs="宋体"/>
          <w:snapToGrid w:val="0"/>
          <w:color w:val="auto"/>
          <w:kern w:val="0"/>
          <w:sz w:val="24"/>
          <w:highlight w:val="none"/>
        </w:rPr>
        <w:t>补救方案：</w:t>
      </w:r>
    </w:p>
    <w:p w14:paraId="0B52C661">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（3）除发生上述情况外，开标评标均以投标人通过交易平台网上提交的电子投标文件为准。</w:t>
      </w:r>
    </w:p>
    <w:p w14:paraId="07C6E646">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Ansi="宋体" w:cs="宋体"/>
          <w:b/>
          <w:snapToGrid w:val="0"/>
          <w:color w:val="auto"/>
          <w:szCs w:val="24"/>
          <w:highlight w:val="none"/>
        </w:rPr>
      </w:pPr>
      <w:bookmarkStart w:id="50" w:name="_Toc4888"/>
      <w:r>
        <w:rPr>
          <w:rFonts w:hint="eastAsia" w:hAnsi="宋体" w:cs="宋体"/>
          <w:b/>
          <w:snapToGrid w:val="0"/>
          <w:color w:val="auto"/>
          <w:szCs w:val="24"/>
          <w:highlight w:val="none"/>
        </w:rPr>
        <w:t>12. 投标文件的提交</w:t>
      </w:r>
      <w:bookmarkEnd w:id="50"/>
    </w:p>
    <w:p w14:paraId="63A3794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在电子投标截止时间前，投标人通过全国公共资源交易平台（广东省·韶关市）提交已加密投标文件。逾期提交的电子投标文件，全国公共资源交易平台（广东省·韶关市）将予以拒收。</w:t>
      </w:r>
    </w:p>
    <w:p w14:paraId="7CF91D7D">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12.2</w:t>
      </w:r>
      <w:r>
        <w:rPr>
          <w:rFonts w:hint="eastAsia" w:ascii="宋体" w:hAnsi="宋体" w:cs="宋体"/>
          <w:snapToGrid w:val="0"/>
          <w:color w:val="auto"/>
          <w:kern w:val="0"/>
          <w:sz w:val="24"/>
          <w:highlight w:val="none"/>
        </w:rPr>
        <w:t>投标文件提交截止时间（同电子投标截止时间）：见本章第二节“重要事项时间地点一览表”。</w:t>
      </w:r>
    </w:p>
    <w:p w14:paraId="348B16E2">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12.3</w:t>
      </w:r>
      <w:r>
        <w:rPr>
          <w:rFonts w:hint="eastAsia" w:ascii="宋体" w:hAnsi="宋体" w:cs="宋体"/>
          <w:snapToGrid w:val="0"/>
          <w:color w:val="auto"/>
          <w:kern w:val="0"/>
          <w:sz w:val="24"/>
          <w:highlight w:val="none"/>
        </w:rPr>
        <w:t>代理机构对因不可抗力事件造成的投标文件的损坏、丢失的，不承担责任。</w:t>
      </w:r>
      <w:r>
        <w:rPr>
          <w:rFonts w:hint="eastAsia" w:ascii="宋体" w:hAnsi="宋体" w:cs="宋体"/>
          <w:b/>
          <w:bCs/>
          <w:snapToGrid w:val="0"/>
          <w:color w:val="auto"/>
          <w:kern w:val="0"/>
          <w:sz w:val="24"/>
          <w:highlight w:val="none"/>
        </w:rPr>
        <w:t xml:space="preserve">  </w:t>
      </w:r>
    </w:p>
    <w:p w14:paraId="16456DE3">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 xml:space="preserve">12.4 </w:t>
      </w:r>
      <w:r>
        <w:rPr>
          <w:rFonts w:hint="eastAsia" w:ascii="宋体" w:hAnsi="宋体" w:cs="宋体"/>
          <w:snapToGrid w:val="0"/>
          <w:color w:val="auto"/>
          <w:kern w:val="0"/>
          <w:sz w:val="24"/>
          <w:highlight w:val="none"/>
        </w:rPr>
        <w:t>投标人法定代表人或其委托代理人（以下简称“投标人代表”）应在指定的时间和地点递交以下的资料</w:t>
      </w:r>
      <w:r>
        <w:rPr>
          <w:rFonts w:hint="eastAsia" w:ascii="宋体" w:hAnsi="宋体" w:cs="宋体"/>
          <w:b/>
          <w:bCs/>
          <w:snapToGrid w:val="0"/>
          <w:color w:val="auto"/>
          <w:kern w:val="0"/>
          <w:sz w:val="24"/>
          <w:highlight w:val="none"/>
        </w:rPr>
        <w:t>（如有）</w:t>
      </w:r>
      <w:r>
        <w:rPr>
          <w:rFonts w:hint="eastAsia" w:ascii="宋体" w:hAnsi="宋体" w:cs="宋体"/>
          <w:snapToGrid w:val="0"/>
          <w:color w:val="auto"/>
          <w:kern w:val="0"/>
          <w:sz w:val="24"/>
          <w:highlight w:val="none"/>
        </w:rPr>
        <w:t>：招标文件要求提交的用于评审的证书、证件、证明原件（附一式</w:t>
      </w:r>
      <w:r>
        <w:rPr>
          <w:rFonts w:hint="eastAsia" w:ascii="宋体" w:hAnsi="宋体" w:cs="宋体"/>
          <w:snapToGrid w:val="0"/>
          <w:color w:val="auto"/>
          <w:kern w:val="0"/>
          <w:sz w:val="24"/>
          <w:highlight w:val="none"/>
          <w:u w:val="single"/>
        </w:rPr>
        <w:t xml:space="preserve"> 两 </w:t>
      </w:r>
      <w:r>
        <w:rPr>
          <w:rFonts w:hint="eastAsia" w:ascii="宋体" w:hAnsi="宋体" w:cs="宋体"/>
          <w:snapToGrid w:val="0"/>
          <w:color w:val="auto"/>
          <w:kern w:val="0"/>
          <w:sz w:val="24"/>
          <w:highlight w:val="none"/>
        </w:rPr>
        <w:t>份清单）。</w:t>
      </w:r>
    </w:p>
    <w:p w14:paraId="513CE89F">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12.5</w:t>
      </w:r>
      <w:r>
        <w:rPr>
          <w:rFonts w:hint="eastAsia" w:ascii="宋体" w:hAnsi="宋体" w:cs="宋体"/>
          <w:snapToGrid w:val="0"/>
          <w:color w:val="auto"/>
          <w:kern w:val="0"/>
          <w:sz w:val="24"/>
          <w:highlight w:val="none"/>
        </w:rPr>
        <w:t>出现下述情形之一，属于未成功提交投标文件，按无效投标处理：</w:t>
      </w:r>
    </w:p>
    <w:p w14:paraId="06E3DFD5">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rPr>
        <w:t>（1）至电子投标截止时间时，投标文件未完整上传或未提交投标</w:t>
      </w:r>
      <w:r>
        <w:rPr>
          <w:rFonts w:hint="eastAsia" w:ascii="宋体" w:hAnsi="宋体" w:cs="宋体"/>
          <w:snapToGrid w:val="0"/>
          <w:color w:val="auto"/>
          <w:kern w:val="0"/>
          <w:sz w:val="24"/>
          <w:highlight w:val="none"/>
          <w:lang w:eastAsia="zh-CN"/>
        </w:rPr>
        <w:t>；</w:t>
      </w:r>
    </w:p>
    <w:p w14:paraId="393C44A8">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（2）解密失败且在规定时间内未重新提交投标文件的；</w:t>
      </w:r>
    </w:p>
    <w:p w14:paraId="1C2ECEAF">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w:t>
      </w:r>
      <w:r>
        <w:rPr>
          <w:rFonts w:hint="eastAsia" w:ascii="宋体" w:hAnsi="宋体" w:cs="宋体"/>
          <w:snapToGrid w:val="0"/>
          <w:color w:val="auto"/>
          <w:kern w:val="0"/>
          <w:sz w:val="24"/>
          <w:highlight w:val="none"/>
          <w:lang w:val="en-US" w:eastAsia="zh-CN"/>
        </w:rPr>
        <w:t>3</w:t>
      </w:r>
      <w:r>
        <w:rPr>
          <w:rFonts w:hint="eastAsia" w:ascii="宋体" w:hAnsi="宋体" w:cs="宋体"/>
          <w:snapToGrid w:val="0"/>
          <w:color w:val="auto"/>
          <w:kern w:val="0"/>
          <w:sz w:val="24"/>
          <w:highlight w:val="none"/>
        </w:rPr>
        <w:t>）投标文件损坏或格式不正确的。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1" w:name="_Toc739"/>
      <w:r>
        <w:rPr>
          <w:rFonts w:hint="eastAsia" w:hAnsi="宋体" w:cs="宋体"/>
          <w:b/>
          <w:snapToGrid w:val="0"/>
          <w:color w:val="auto"/>
          <w:kern w:val="0"/>
          <w:szCs w:val="24"/>
          <w:highlight w:val="none"/>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本次招标投标有效期为</w:t>
      </w:r>
      <w:r>
        <w:rPr>
          <w:rFonts w:hint="eastAsia" w:hAnsi="宋体" w:cs="宋体"/>
          <w:snapToGrid w:val="0"/>
          <w:color w:val="auto"/>
          <w:kern w:val="0"/>
          <w:szCs w:val="24"/>
          <w:highlight w:val="none"/>
          <w:u w:val="single"/>
        </w:rPr>
        <w:t xml:space="preserve">  90  </w:t>
      </w:r>
      <w:r>
        <w:rPr>
          <w:rFonts w:hint="eastAsia" w:hAnsi="宋体" w:cs="宋体"/>
          <w:snapToGrid w:val="0"/>
          <w:color w:val="auto"/>
          <w:kern w:val="0"/>
          <w:szCs w:val="24"/>
          <w:highlight w:val="none"/>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auto"/>
          <w:kern w:val="0"/>
          <w:szCs w:val="24"/>
          <w:highlight w:val="none"/>
        </w:rPr>
      </w:pPr>
      <w:bookmarkStart w:id="52" w:name="_Toc30542"/>
      <w:r>
        <w:rPr>
          <w:rFonts w:hint="eastAsia" w:hAnsi="宋体" w:cs="宋体"/>
          <w:b/>
          <w:snapToGrid w:val="0"/>
          <w:color w:val="auto"/>
          <w:kern w:val="0"/>
          <w:szCs w:val="24"/>
          <w:highlight w:val="none"/>
        </w:rPr>
        <w:t>14．开标</w:t>
      </w:r>
      <w:bookmarkEnd w:id="52"/>
    </w:p>
    <w:p w14:paraId="36A9A778">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w:t>
      </w:r>
      <w:r>
        <w:rPr>
          <w:rFonts w:hint="eastAsia" w:ascii="宋体" w:hAnsi="宋体" w:cs="宋体"/>
          <w:snapToGrid w:val="0"/>
          <w:color w:val="auto"/>
          <w:kern w:val="0"/>
          <w:sz w:val="24"/>
          <w:highlight w:val="none"/>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14.1.1</w:t>
      </w:r>
      <w:r>
        <w:rPr>
          <w:rFonts w:hint="eastAsia" w:ascii="宋体" w:hAnsi="宋体" w:cs="宋体"/>
          <w:snapToGrid w:val="0"/>
          <w:color w:val="auto"/>
          <w:kern w:val="0"/>
          <w:sz w:val="24"/>
          <w:highlight w:val="none"/>
        </w:rPr>
        <w:t xml:space="preserve"> 开标时间和地点：见本章第二节“重要事项时间地点一览表”。</w:t>
      </w:r>
    </w:p>
    <w:p w14:paraId="4500A2D1">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14.1.2</w:t>
      </w:r>
      <w:r>
        <w:rPr>
          <w:rFonts w:hint="eastAsia" w:ascii="宋体" w:hAnsi="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90"/>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14.2</w:t>
      </w:r>
      <w:r>
        <w:rPr>
          <w:rFonts w:hint="eastAsia" w:hAnsi="宋体" w:cs="宋体"/>
          <w:snapToGrid w:val="0"/>
          <w:color w:val="auto"/>
          <w:kern w:val="0"/>
          <w:szCs w:val="24"/>
          <w:highlight w:val="none"/>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auto"/>
          <w:kern w:val="0"/>
          <w:highlight w:val="none"/>
        </w:rPr>
      </w:pPr>
      <w:r>
        <w:rPr>
          <w:rFonts w:hint="eastAsia" w:hAnsi="宋体" w:cs="宋体"/>
          <w:b/>
          <w:bCs/>
          <w:snapToGrid w:val="0"/>
          <w:color w:val="auto"/>
          <w:kern w:val="0"/>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14.3</w:t>
      </w: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14.4</w:t>
      </w:r>
      <w:r>
        <w:rPr>
          <w:rFonts w:hint="eastAsia" w:hAnsi="宋体" w:cs="宋体"/>
          <w:snapToGrid w:val="0"/>
          <w:color w:val="auto"/>
          <w:kern w:val="0"/>
          <w:highlight w:val="none"/>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auto"/>
          <w:kern w:val="0"/>
          <w:highlight w:val="none"/>
        </w:rPr>
      </w:pPr>
      <w:bookmarkStart w:id="53" w:name="_Hlt127093805"/>
      <w:bookmarkEnd w:id="53"/>
      <w:bookmarkStart w:id="54" w:name="_Toc8989"/>
      <w:r>
        <w:rPr>
          <w:rFonts w:hint="eastAsia" w:hAnsi="宋体" w:cs="宋体"/>
          <w:b/>
          <w:snapToGrid w:val="0"/>
          <w:color w:val="auto"/>
          <w:kern w:val="0"/>
          <w:highlight w:val="none"/>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15.1</w:t>
      </w:r>
      <w:r>
        <w:rPr>
          <w:rFonts w:hint="eastAsia" w:hAnsi="宋体" w:cs="宋体"/>
          <w:bCs/>
          <w:snapToGrid w:val="0"/>
          <w:color w:val="auto"/>
          <w:kern w:val="0"/>
          <w:highlight w:val="none"/>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b/>
          <w:bCs/>
          <w:snapToGrid w:val="0"/>
          <w:color w:val="auto"/>
          <w:kern w:val="0"/>
          <w:highlight w:val="none"/>
        </w:rPr>
        <w:t>15.1.1</w:t>
      </w:r>
      <w:r>
        <w:rPr>
          <w:rFonts w:hint="eastAsia" w:hAnsi="宋体" w:cs="宋体"/>
          <w:snapToGrid w:val="0"/>
          <w:color w:val="auto"/>
          <w:kern w:val="0"/>
          <w:highlight w:val="none"/>
        </w:rPr>
        <w:t xml:space="preserve"> 评标委员会由</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人组成，其中招标人代表</w:t>
      </w:r>
      <w:r>
        <w:rPr>
          <w:rFonts w:hint="eastAsia" w:hAnsi="宋体" w:cs="宋体"/>
          <w:snapToGrid w:val="0"/>
          <w:color w:val="auto"/>
          <w:kern w:val="0"/>
          <w:highlight w:val="none"/>
          <w:u w:val="single"/>
          <w:lang w:val="en-US" w:eastAsia="zh-CN"/>
        </w:rPr>
        <w:t>0</w:t>
      </w:r>
      <w:r>
        <w:rPr>
          <w:rFonts w:hint="eastAsia" w:hAnsi="宋体" w:cs="宋体"/>
          <w:snapToGrid w:val="0"/>
          <w:color w:val="auto"/>
          <w:kern w:val="0"/>
          <w:highlight w:val="none"/>
        </w:rPr>
        <w:t>人，专家</w:t>
      </w:r>
      <w:r>
        <w:rPr>
          <w:rFonts w:hint="eastAsia" w:hAnsi="宋体" w:cs="宋体"/>
          <w:snapToGrid w:val="0"/>
          <w:color w:val="auto"/>
          <w:kern w:val="0"/>
          <w:highlight w:val="none"/>
          <w:u w:val="single"/>
        </w:rPr>
        <w:t xml:space="preserve"> 5 </w:t>
      </w:r>
      <w:r>
        <w:rPr>
          <w:rFonts w:hint="eastAsia" w:hAnsi="宋体" w:cs="宋体"/>
          <w:snapToGrid w:val="0"/>
          <w:color w:val="auto"/>
          <w:kern w:val="0"/>
          <w:highlight w:val="none"/>
        </w:rPr>
        <w:t>人。专家从广东省综合评标评审专家库</w:t>
      </w:r>
      <w:r>
        <w:rPr>
          <w:rFonts w:hint="eastAsia" w:hAnsi="宋体" w:cs="宋体"/>
          <w:snapToGrid w:val="0"/>
          <w:color w:val="auto"/>
          <w:kern w:val="0"/>
          <w:szCs w:val="24"/>
          <w:highlight w:val="none"/>
          <w:lang w:val="en-US" w:eastAsia="zh-CN"/>
        </w:rPr>
        <w:t>-韶关区域</w:t>
      </w:r>
      <w:r>
        <w:rPr>
          <w:rFonts w:hint="eastAsia" w:hAnsi="宋体" w:cs="宋体"/>
          <w:snapToGrid w:val="0"/>
          <w:color w:val="auto"/>
          <w:kern w:val="0"/>
          <w:highlight w:val="none"/>
        </w:rPr>
        <w:t>中随机抽取，其中技术类专家</w:t>
      </w:r>
      <w:r>
        <w:rPr>
          <w:rFonts w:hint="eastAsia" w:hAnsi="宋体" w:cs="宋体"/>
          <w:snapToGrid w:val="0"/>
          <w:color w:val="auto"/>
          <w:kern w:val="0"/>
          <w:highlight w:val="none"/>
          <w:u w:val="single"/>
        </w:rPr>
        <w:t xml:space="preserve">3 </w:t>
      </w:r>
      <w:r>
        <w:rPr>
          <w:rFonts w:hint="eastAsia" w:hAnsi="宋体" w:cs="宋体"/>
          <w:snapToGrid w:val="0"/>
          <w:color w:val="auto"/>
          <w:kern w:val="0"/>
          <w:highlight w:val="none"/>
        </w:rPr>
        <w:t>人，经济类专家</w:t>
      </w:r>
      <w:r>
        <w:rPr>
          <w:rFonts w:hint="eastAsia" w:hAnsi="宋体" w:cs="宋体"/>
          <w:snapToGrid w:val="0"/>
          <w:color w:val="auto"/>
          <w:kern w:val="0"/>
          <w:highlight w:val="none"/>
          <w:u w:val="single"/>
        </w:rPr>
        <w:t xml:space="preserve"> 2</w:t>
      </w:r>
      <w:r>
        <w:rPr>
          <w:rFonts w:hint="eastAsia" w:hAnsi="宋体" w:cs="宋体"/>
          <w:snapToGrid w:val="0"/>
          <w:color w:val="auto"/>
          <w:kern w:val="0"/>
          <w:highlight w:val="none"/>
        </w:rPr>
        <w:t>人。评标委员会设负责人，由评标委员会成员推举产生。评标委员会负责人与评标委员会的其他成员有同等的表决权。</w:t>
      </w:r>
    </w:p>
    <w:p w14:paraId="67907CE9">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highlight w:val="none"/>
        </w:rPr>
        <w:t>15.1.2</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sz w:val="24"/>
          <w:szCs w:val="24"/>
          <w:highlight w:val="none"/>
        </w:rPr>
        <w:t>评标委员会应认真、公正、诚实、廉洁地履行职责。有下列情形之一的，不得担任评标委员会成员：</w:t>
      </w:r>
    </w:p>
    <w:p w14:paraId="27E80291">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34708A36">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2AE6C8FB">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508B469C">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3B95A3BD">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272B304C">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hAnsi="宋体" w:cs="宋体"/>
          <w:b/>
          <w:bCs/>
          <w:snapToGrid w:val="0"/>
          <w:color w:val="auto"/>
          <w:kern w:val="0"/>
          <w:sz w:val="24"/>
          <w:szCs w:val="24"/>
          <w:highlight w:val="none"/>
          <w:lang w:val="en-US" w:eastAsia="zh-CN"/>
        </w:rPr>
        <w:t>5</w:t>
      </w: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08BA1F03">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hAnsi="宋体" w:cs="宋体"/>
          <w:b/>
          <w:bCs/>
          <w:snapToGrid w:val="0"/>
          <w:color w:val="auto"/>
          <w:kern w:val="0"/>
          <w:sz w:val="24"/>
          <w:szCs w:val="24"/>
          <w:highlight w:val="none"/>
          <w:lang w:val="en-US" w:eastAsia="zh-CN"/>
        </w:rPr>
        <w:t>5</w:t>
      </w:r>
      <w:r>
        <w:rPr>
          <w:rFonts w:hint="eastAsia" w:ascii="宋体" w:hAnsi="宋体" w:eastAsia="宋体" w:cs="宋体"/>
          <w:b/>
          <w:bCs/>
          <w:snapToGrid w:val="0"/>
          <w:color w:val="auto"/>
          <w:kern w:val="0"/>
          <w:sz w:val="24"/>
          <w:szCs w:val="24"/>
          <w:highlight w:val="none"/>
        </w:rPr>
        <w:t>.1.4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3E2AB94B">
      <w:pPr>
        <w:keepNext w:val="0"/>
        <w:keepLines w:val="0"/>
        <w:pageBreakBefore w:val="0"/>
        <w:widowControl w:val="0"/>
        <w:tabs>
          <w:tab w:val="left" w:pos="1890"/>
        </w:tabs>
        <w:kinsoku/>
        <w:wordWrap w:val="0"/>
        <w:overflowPunct/>
        <w:topLinePunct w:val="0"/>
        <w:autoSpaceDE/>
        <w:autoSpaceDN/>
        <w:bidi w:val="0"/>
        <w:adjustRightInd w:val="0"/>
        <w:snapToGrid w:val="0"/>
        <w:spacing w:line="45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hAnsi="宋体" w:cs="宋体"/>
          <w:b/>
          <w:bCs/>
          <w:snapToGrid w:val="0"/>
          <w:color w:val="auto"/>
          <w:kern w:val="0"/>
          <w:sz w:val="24"/>
          <w:szCs w:val="24"/>
          <w:highlight w:val="none"/>
          <w:lang w:val="en-US" w:eastAsia="zh-CN"/>
        </w:rPr>
        <w:t>5</w:t>
      </w:r>
      <w:r>
        <w:rPr>
          <w:rFonts w:hint="eastAsia" w:ascii="宋体" w:hAnsi="宋体" w:eastAsia="宋体" w:cs="宋体"/>
          <w:b/>
          <w:bCs/>
          <w:snapToGrid w:val="0"/>
          <w:color w:val="auto"/>
          <w:kern w:val="0"/>
          <w:sz w:val="24"/>
          <w:szCs w:val="24"/>
          <w:highlight w:val="none"/>
        </w:rPr>
        <w:t>.1.5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2</w:t>
      </w:r>
      <w:r>
        <w:rPr>
          <w:rFonts w:hint="eastAsia" w:hAnsi="宋体" w:cs="宋体"/>
          <w:bCs/>
          <w:snapToGrid w:val="0"/>
          <w:color w:val="auto"/>
          <w:kern w:val="0"/>
          <w:szCs w:val="22"/>
          <w:highlight w:val="none"/>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auto"/>
          <w:kern w:val="0"/>
          <w:highlight w:val="none"/>
        </w:rPr>
      </w:pPr>
      <w:r>
        <w:rPr>
          <w:rFonts w:hint="eastAsia" w:hAnsi="宋体" w:cs="宋体"/>
          <w:snapToGrid w:val="0"/>
          <w:color w:val="auto"/>
          <w:kern w:val="0"/>
          <w:highlight w:val="none"/>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3</w:t>
      </w:r>
      <w:r>
        <w:rPr>
          <w:rFonts w:hint="eastAsia" w:hAnsi="宋体" w:cs="宋体"/>
          <w:bCs/>
          <w:snapToGrid w:val="0"/>
          <w:color w:val="auto"/>
          <w:kern w:val="0"/>
          <w:szCs w:val="22"/>
          <w:highlight w:val="none"/>
        </w:rPr>
        <w:t xml:space="preserve"> 评审范围：</w:t>
      </w:r>
      <w:r>
        <w:rPr>
          <w:rFonts w:hint="eastAsia" w:hAnsi="宋体" w:cs="宋体"/>
          <w:snapToGrid w:val="0"/>
          <w:color w:val="auto"/>
          <w:kern w:val="0"/>
          <w:highlight w:val="none"/>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snapToGrid w:val="0"/>
          <w:color w:val="auto"/>
          <w:kern w:val="0"/>
          <w:highlight w:val="none"/>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.1</w:t>
      </w:r>
      <w:r>
        <w:rPr>
          <w:rFonts w:hint="eastAsia" w:hAnsi="宋体" w:cs="宋体"/>
          <w:snapToGrid w:val="0"/>
          <w:color w:val="auto"/>
          <w:kern w:val="0"/>
          <w:highlight w:val="none"/>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w:t>
      </w:r>
      <w:r>
        <w:rPr>
          <w:rFonts w:hint="eastAsia" w:ascii="宋体" w:hAnsi="宋体" w:eastAsia="宋体" w:cs="宋体"/>
          <w:snapToGrid w:val="0"/>
          <w:color w:val="auto"/>
          <w:kern w:val="0"/>
          <w:sz w:val="24"/>
          <w:szCs w:val="24"/>
          <w:highlight w:val="none"/>
        </w:rPr>
        <w:t>投标人是否符合本章第三节第</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.4条“禁止投标条款”规定。如果“禁止投标条款”包括失信惩戒的，投标人信用信息的获取采用现场实时查询的方式实施。由评标委员会成员登录信用中国网站（https://www.creditchina.gov.cn）进行查询。</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.2</w:t>
      </w:r>
      <w:r>
        <w:rPr>
          <w:rFonts w:hint="eastAsia" w:hAnsi="宋体" w:cs="宋体"/>
          <w:snapToGrid w:val="0"/>
          <w:color w:val="auto"/>
          <w:kern w:val="0"/>
          <w:highlight w:val="none"/>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（2）本节第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.3</w:t>
      </w:r>
      <w:r>
        <w:rPr>
          <w:rFonts w:hint="eastAsia" w:hAnsi="宋体" w:cs="宋体"/>
          <w:snapToGrid w:val="0"/>
          <w:color w:val="auto"/>
          <w:kern w:val="0"/>
          <w:highlight w:val="none"/>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b/>
          <w:bCs/>
          <w:snapToGrid w:val="0"/>
          <w:color w:val="auto"/>
          <w:kern w:val="0"/>
          <w:highlight w:val="none"/>
        </w:rPr>
        <w:t>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.4</w:t>
      </w:r>
      <w:r>
        <w:rPr>
          <w:rFonts w:hint="eastAsia" w:hAnsi="宋体" w:cs="宋体"/>
          <w:snapToGrid w:val="0"/>
          <w:color w:val="auto"/>
          <w:kern w:val="0"/>
          <w:highlight w:val="none"/>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auto"/>
          <w:kern w:val="0"/>
          <w:highlight w:val="none"/>
        </w:rPr>
      </w:pPr>
      <w:r>
        <w:rPr>
          <w:rFonts w:hint="eastAsia" w:hAnsi="宋体" w:cs="宋体"/>
          <w:snapToGrid w:val="0"/>
          <w:color w:val="auto"/>
          <w:kern w:val="0"/>
          <w:highlight w:val="none"/>
        </w:rPr>
        <w:t>初步评审阶段各个环节否决投标的全部条件，在本章第四节“否决投标条件”第</w:t>
      </w:r>
      <w:r>
        <w:rPr>
          <w:rFonts w:hint="eastAsia" w:hAnsi="宋体" w:cs="宋体"/>
          <w:b/>
          <w:bCs/>
          <w:snapToGrid w:val="0"/>
          <w:color w:val="auto"/>
          <w:kern w:val="0"/>
          <w:highlight w:val="none"/>
        </w:rPr>
        <w:t>1</w:t>
      </w:r>
      <w:r>
        <w:rPr>
          <w:rFonts w:hint="eastAsia" w:hAnsi="宋体" w:cs="宋体"/>
          <w:snapToGrid w:val="0"/>
          <w:color w:val="auto"/>
          <w:kern w:val="0"/>
          <w:highlight w:val="none"/>
        </w:rPr>
        <w:t>条至第</w:t>
      </w:r>
      <w:r>
        <w:rPr>
          <w:rFonts w:hint="eastAsia" w:hAnsi="宋体" w:cs="宋体"/>
          <w:b/>
          <w:bCs/>
          <w:snapToGrid w:val="0"/>
          <w:color w:val="auto"/>
          <w:kern w:val="0"/>
          <w:highlight w:val="none"/>
        </w:rPr>
        <w:t>4</w:t>
      </w:r>
      <w:r>
        <w:rPr>
          <w:rFonts w:hint="eastAsia" w:hAnsi="宋体" w:cs="宋体"/>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w:t>
      </w:r>
      <w:r>
        <w:rPr>
          <w:rFonts w:hint="eastAsia" w:hAnsi="宋体" w:cs="宋体"/>
          <w:b/>
          <w:bCs/>
          <w:snapToGrid w:val="0"/>
          <w:color w:val="auto"/>
          <w:kern w:val="0"/>
          <w:highlight w:val="none"/>
          <w:lang w:val="en-US" w:eastAsia="zh-CN"/>
        </w:rPr>
        <w:t>5</w:t>
      </w:r>
      <w:r>
        <w:rPr>
          <w:rFonts w:hint="eastAsia" w:hAnsi="宋体" w:cs="宋体"/>
          <w:snapToGrid w:val="0"/>
          <w:color w:val="auto"/>
          <w:kern w:val="0"/>
          <w:highlight w:val="none"/>
        </w:rPr>
        <w:t xml:space="preserve"> 详细评审</w:t>
      </w:r>
      <w:bookmarkStart w:id="55" w:name="_Hlt121629839"/>
      <w:r>
        <w:rPr>
          <w:rFonts w:hint="eastAsia" w:hAnsi="宋体" w:cs="宋体"/>
          <w:snapToGrid w:val="0"/>
          <w:color w:val="auto"/>
          <w:kern w:val="0"/>
          <w:highlight w:val="none"/>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auto"/>
          <w:kern w:val="0"/>
          <w:highlight w:val="none"/>
        </w:rPr>
      </w:pPr>
      <w:r>
        <w:rPr>
          <w:rFonts w:hint="eastAsia" w:hAnsi="宋体" w:cs="宋体"/>
          <w:b/>
          <w:bCs/>
          <w:snapToGrid w:val="0"/>
          <w:color w:val="auto"/>
          <w:kern w:val="0"/>
          <w:highlight w:val="none"/>
        </w:rPr>
        <w:t xml:space="preserve">    15.</w:t>
      </w:r>
      <w:r>
        <w:rPr>
          <w:rFonts w:hint="eastAsia" w:hAnsi="宋体" w:cs="宋体"/>
          <w:b/>
          <w:bCs/>
          <w:snapToGrid w:val="0"/>
          <w:color w:val="auto"/>
          <w:kern w:val="0"/>
          <w:highlight w:val="none"/>
          <w:lang w:val="en-US" w:eastAsia="zh-CN"/>
        </w:rPr>
        <w:t>4</w:t>
      </w:r>
      <w:r>
        <w:rPr>
          <w:rFonts w:hint="eastAsia" w:hAnsi="宋体" w:cs="宋体"/>
          <w:b/>
          <w:bCs/>
          <w:snapToGrid w:val="0"/>
          <w:color w:val="auto"/>
          <w:kern w:val="0"/>
          <w:highlight w:val="none"/>
        </w:rPr>
        <w:t>.1</w:t>
      </w:r>
      <w:r>
        <w:rPr>
          <w:rFonts w:hint="eastAsia" w:hAnsi="宋体" w:cs="宋体"/>
          <w:bCs/>
          <w:snapToGrid w:val="0"/>
          <w:color w:val="auto"/>
          <w:kern w:val="0"/>
          <w:highlight w:val="none"/>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评审内容分为商务、技术和投标报价三大部分，综合得分满分为100分。其中，商务满分为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50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分，技术满分为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30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分，投标报价部分满分为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2</w:t>
      </w:r>
      <w:r>
        <w:rPr>
          <w:rFonts w:hint="eastAsia" w:hAnsi="宋体" w:cs="宋体"/>
          <w:snapToGrid w:val="0"/>
          <w:color w:val="auto"/>
          <w:kern w:val="0"/>
          <w:highlight w:val="none"/>
          <w:u w:val="single"/>
        </w:rPr>
        <w:t xml:space="preserve">0 </w:t>
      </w:r>
      <w:r>
        <w:rPr>
          <w:rFonts w:hint="eastAsia" w:hAnsi="宋体" w:cs="宋体"/>
          <w:snapToGrid w:val="0"/>
          <w:color w:val="auto"/>
          <w:kern w:val="0"/>
          <w:highlight w:val="none"/>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auto"/>
          <w:kern w:val="0"/>
          <w:highlight w:val="none"/>
        </w:rPr>
      </w:pPr>
      <w:r>
        <w:rPr>
          <w:rFonts w:hint="eastAsia" w:hAnsi="宋体" w:cs="宋体"/>
          <w:snapToGrid w:val="0"/>
          <w:color w:val="auto"/>
          <w:kern w:val="0"/>
          <w:highlight w:val="none"/>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（1）商务得分M</w:t>
      </w:r>
      <w:r>
        <w:rPr>
          <w:rFonts w:hint="eastAsia" w:hAnsi="宋体" w:cs="宋体"/>
          <w:snapToGrid w:val="0"/>
          <w:color w:val="auto"/>
          <w:kern w:val="0"/>
          <w:highlight w:val="none"/>
          <w:vertAlign w:val="subscript"/>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（2）技术得分M</w:t>
      </w:r>
      <w:r>
        <w:rPr>
          <w:rFonts w:hint="eastAsia" w:hAnsi="宋体" w:cs="宋体"/>
          <w:snapToGrid w:val="0"/>
          <w:color w:val="auto"/>
          <w:kern w:val="0"/>
          <w:highlight w:val="none"/>
          <w:vertAlign w:val="subscript"/>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（3）投标报价得分M</w:t>
      </w:r>
      <w:r>
        <w:rPr>
          <w:rFonts w:hint="eastAsia" w:hAnsi="宋体" w:cs="宋体"/>
          <w:snapToGrid w:val="0"/>
          <w:color w:val="auto"/>
          <w:kern w:val="0"/>
          <w:highlight w:val="none"/>
          <w:vertAlign w:val="subscript"/>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b．采用内插法计算某投标人的投标报价得分M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，即当投标人的投标总价等于评标基准价时得满分，每高于评标基准价一个百分点扣</w:t>
      </w:r>
      <w:r>
        <w:rPr>
          <w:rFonts w:hint="eastAsia" w:hAnsi="宋体" w:cs="宋体"/>
          <w:snapToGrid w:val="0"/>
          <w:color w:val="auto"/>
          <w:kern w:val="0"/>
          <w:highlight w:val="none"/>
          <w:lang w:val="en-US" w:eastAsia="zh-CN"/>
        </w:rPr>
        <w:t>0.2</w:t>
      </w:r>
      <w:r>
        <w:rPr>
          <w:rFonts w:hint="eastAsia" w:hAnsi="宋体" w:cs="宋体"/>
          <w:snapToGrid w:val="0"/>
          <w:color w:val="auto"/>
          <w:kern w:val="0"/>
          <w:highlight w:val="none"/>
        </w:rPr>
        <w:t>分, 每低于评标基准价一个百分点扣0.</w:t>
      </w:r>
      <w:r>
        <w:rPr>
          <w:rFonts w:hint="eastAsia" w:hAnsi="宋体" w:cs="宋体"/>
          <w:snapToGrid w:val="0"/>
          <w:color w:val="auto"/>
          <w:kern w:val="0"/>
          <w:highlight w:val="none"/>
          <w:lang w:val="en-US" w:eastAsia="zh-CN"/>
        </w:rPr>
        <w:t>1</w:t>
      </w:r>
      <w:r>
        <w:rPr>
          <w:rFonts w:hint="eastAsia" w:hAnsi="宋体" w:cs="宋体"/>
          <w:snapToGrid w:val="0"/>
          <w:color w:val="auto"/>
          <w:kern w:val="0"/>
          <w:highlight w:val="none"/>
        </w:rPr>
        <w:t>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auto"/>
          <w:kern w:val="0"/>
          <w:highlight w:val="none"/>
        </w:rPr>
      </w:pP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E为扣分因子。当Di＞D时，E＝</w:t>
      </w:r>
      <w:r>
        <w:rPr>
          <w:rFonts w:hint="eastAsia" w:hAnsi="宋体" w:cs="宋体"/>
          <w:snapToGrid w:val="0"/>
          <w:color w:val="auto"/>
          <w:kern w:val="0"/>
          <w:highlight w:val="none"/>
          <w:lang w:val="en-US" w:eastAsia="zh-CN"/>
        </w:rPr>
        <w:t>0.2</w:t>
      </w:r>
      <w:r>
        <w:rPr>
          <w:rFonts w:hint="eastAsia" w:hAnsi="宋体" w:cs="宋体"/>
          <w:snapToGrid w:val="0"/>
          <w:color w:val="auto"/>
          <w:kern w:val="0"/>
          <w:highlight w:val="none"/>
        </w:rPr>
        <w:t>；当Di＜D时，E＝</w:t>
      </w:r>
      <w:r>
        <w:rPr>
          <w:rFonts w:hint="eastAsia" w:hAnsi="宋体" w:cs="宋体"/>
          <w:snapToGrid w:val="0"/>
          <w:color w:val="auto"/>
          <w:kern w:val="0"/>
          <w:highlight w:val="none"/>
          <w:lang w:val="en-US" w:eastAsia="zh-CN"/>
        </w:rPr>
        <w:t>0.1</w:t>
      </w:r>
      <w:r>
        <w:rPr>
          <w:rFonts w:hint="eastAsia" w:hAnsi="宋体" w:cs="宋体"/>
          <w:snapToGrid w:val="0"/>
          <w:color w:val="auto"/>
          <w:kern w:val="0"/>
          <w:highlight w:val="none"/>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auto"/>
          <w:kern w:val="0"/>
          <w:highlight w:val="none"/>
        </w:rPr>
      </w:pPr>
      <w:r>
        <w:rPr>
          <w:rFonts w:hint="eastAsia" w:hAnsi="宋体" w:cs="宋体"/>
          <w:snapToGrid w:val="0"/>
          <w:color w:val="auto"/>
          <w:kern w:val="0"/>
          <w:highlight w:val="none"/>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auto"/>
          <w:kern w:val="0"/>
          <w:highlight w:val="none"/>
        </w:rPr>
      </w:pPr>
      <w:r>
        <w:rPr>
          <w:rFonts w:hint="eastAsia" w:hAnsi="宋体" w:cs="宋体"/>
          <w:snapToGrid w:val="0"/>
          <w:color w:val="auto"/>
          <w:kern w:val="0"/>
          <w:highlight w:val="none"/>
        </w:rPr>
        <w:t>M＝M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auto"/>
          <w:kern w:val="0"/>
          <w:highlight w:val="none"/>
        </w:rPr>
      </w:pPr>
      <w:r>
        <w:rPr>
          <w:rFonts w:hint="eastAsia" w:hAnsi="宋体" w:cs="宋体"/>
          <w:snapToGrid w:val="0"/>
          <w:color w:val="auto"/>
          <w:kern w:val="0"/>
          <w:highlight w:val="none"/>
        </w:rPr>
        <w:t>式中：M为综合得分，M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为商务得分，M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为技术得分，M</w:t>
      </w:r>
      <w:r>
        <w:rPr>
          <w:rFonts w:hint="eastAsia" w:hAnsi="宋体" w:cs="宋体"/>
          <w:snapToGrid w:val="0"/>
          <w:color w:val="auto"/>
          <w:kern w:val="0"/>
          <w:highlight w:val="none"/>
          <w:vertAlign w:val="subscript"/>
        </w:rPr>
        <w:t>3</w:t>
      </w:r>
      <w:r>
        <w:rPr>
          <w:rFonts w:hint="eastAsia" w:ascii="Times New Roman"/>
          <w:snapToGrid w:val="0"/>
          <w:color w:val="auto"/>
          <w:kern w:val="0"/>
          <w:highlight w:val="none"/>
        </w:rPr>
        <w:t>为投标报价得分。</w:t>
      </w:r>
    </w:p>
    <w:p w14:paraId="54DFCA09">
      <w:pPr>
        <w:bidi w:val="0"/>
        <w:rPr>
          <w:rFonts w:hint="eastAsia"/>
          <w:color w:val="auto"/>
          <w:highlight w:val="none"/>
          <w:lang w:val="en-US" w:eastAsia="zh-CN"/>
        </w:rPr>
      </w:pPr>
      <w:bookmarkStart w:id="56" w:name="_Toc31548"/>
      <w:bookmarkStart w:id="57" w:name="_Toc6276"/>
    </w:p>
    <w:p w14:paraId="17C17EA4">
      <w:pPr>
        <w:bidi w:val="0"/>
        <w:rPr>
          <w:rFonts w:hint="eastAsia"/>
          <w:color w:val="auto"/>
          <w:highlight w:val="none"/>
          <w:lang w:val="en-US" w:eastAsia="zh-CN"/>
        </w:rPr>
      </w:pPr>
    </w:p>
    <w:p w14:paraId="427AFC8D">
      <w:pPr>
        <w:pStyle w:val="16"/>
        <w:rPr>
          <w:rFonts w:hint="eastAsia"/>
          <w:color w:val="auto"/>
          <w:highlight w:val="none"/>
          <w:lang w:val="en-US" w:eastAsia="zh-CN"/>
        </w:rPr>
      </w:pPr>
    </w:p>
    <w:p w14:paraId="54D8FB5C">
      <w:pPr>
        <w:pStyle w:val="16"/>
        <w:rPr>
          <w:rFonts w:hint="eastAsia"/>
          <w:color w:val="auto"/>
          <w:highlight w:val="none"/>
          <w:lang w:val="en-US" w:eastAsia="zh-CN"/>
        </w:rPr>
      </w:pPr>
    </w:p>
    <w:p w14:paraId="1BACE770">
      <w:pPr>
        <w:pStyle w:val="16"/>
        <w:rPr>
          <w:rFonts w:hint="eastAsia"/>
          <w:color w:val="auto"/>
          <w:highlight w:val="none"/>
          <w:lang w:val="en-US" w:eastAsia="zh-CN"/>
        </w:rPr>
      </w:pPr>
    </w:p>
    <w:p w14:paraId="2D341B2A">
      <w:pPr>
        <w:pStyle w:val="16"/>
        <w:rPr>
          <w:rFonts w:hint="eastAsia"/>
          <w:color w:val="auto"/>
          <w:highlight w:val="none"/>
          <w:lang w:val="en-US" w:eastAsia="zh-CN"/>
        </w:rPr>
      </w:pPr>
    </w:p>
    <w:p w14:paraId="2A926E05">
      <w:pPr>
        <w:pStyle w:val="16"/>
        <w:rPr>
          <w:rFonts w:hint="eastAsia"/>
          <w:color w:val="auto"/>
          <w:highlight w:val="none"/>
          <w:lang w:val="en-US" w:eastAsia="zh-CN"/>
        </w:rPr>
      </w:pPr>
    </w:p>
    <w:p w14:paraId="3EE47724">
      <w:pPr>
        <w:pStyle w:val="16"/>
        <w:rPr>
          <w:rFonts w:hint="eastAsia"/>
          <w:color w:val="auto"/>
          <w:highlight w:val="none"/>
          <w:lang w:val="en-US" w:eastAsia="zh-CN"/>
        </w:rPr>
      </w:pPr>
    </w:p>
    <w:p w14:paraId="31B39A5A">
      <w:pPr>
        <w:pStyle w:val="16"/>
        <w:rPr>
          <w:rFonts w:hint="eastAsia"/>
          <w:color w:val="auto"/>
          <w:highlight w:val="none"/>
          <w:lang w:val="en-US" w:eastAsia="zh-CN"/>
        </w:rPr>
      </w:pPr>
    </w:p>
    <w:p w14:paraId="35B0C4BF">
      <w:pPr>
        <w:pStyle w:val="16"/>
        <w:rPr>
          <w:rFonts w:hint="eastAsia"/>
          <w:color w:val="auto"/>
          <w:highlight w:val="none"/>
          <w:lang w:val="en-US" w:eastAsia="zh-CN"/>
        </w:rPr>
      </w:pPr>
    </w:p>
    <w:p w14:paraId="1EA72311">
      <w:pPr>
        <w:pStyle w:val="16"/>
        <w:rPr>
          <w:rFonts w:hint="eastAsia"/>
          <w:color w:val="auto"/>
          <w:highlight w:val="none"/>
          <w:lang w:val="en-US" w:eastAsia="zh-CN"/>
        </w:rPr>
      </w:pPr>
    </w:p>
    <w:p w14:paraId="50AF885B">
      <w:pPr>
        <w:pStyle w:val="16"/>
        <w:rPr>
          <w:rFonts w:hint="eastAsia"/>
          <w:color w:val="auto"/>
          <w:highlight w:val="none"/>
          <w:lang w:val="en-US" w:eastAsia="zh-CN"/>
        </w:rPr>
      </w:pPr>
    </w:p>
    <w:p w14:paraId="7314E11C">
      <w:pPr>
        <w:pStyle w:val="16"/>
        <w:rPr>
          <w:rFonts w:hint="eastAsia"/>
          <w:color w:val="auto"/>
          <w:highlight w:val="none"/>
          <w:lang w:val="en-US" w:eastAsia="zh-CN"/>
        </w:rPr>
      </w:pPr>
    </w:p>
    <w:p w14:paraId="7F0B3434">
      <w:pPr>
        <w:pStyle w:val="16"/>
        <w:rPr>
          <w:rFonts w:hint="eastAsia"/>
          <w:color w:val="auto"/>
          <w:highlight w:val="none"/>
          <w:lang w:val="en-US" w:eastAsia="zh-CN"/>
        </w:rPr>
      </w:pPr>
    </w:p>
    <w:p w14:paraId="3AB2D6D2">
      <w:pPr>
        <w:pStyle w:val="16"/>
        <w:rPr>
          <w:rFonts w:hint="eastAsia"/>
          <w:color w:val="auto"/>
          <w:highlight w:val="none"/>
          <w:lang w:val="en-US" w:eastAsia="zh-CN"/>
        </w:rPr>
      </w:pPr>
    </w:p>
    <w:p w14:paraId="62789936">
      <w:pPr>
        <w:pStyle w:val="16"/>
        <w:rPr>
          <w:rFonts w:hint="eastAsia"/>
          <w:color w:val="auto"/>
          <w:highlight w:val="none"/>
          <w:lang w:val="en-US" w:eastAsia="zh-CN"/>
        </w:rPr>
      </w:pPr>
    </w:p>
    <w:p w14:paraId="76829804">
      <w:pPr>
        <w:pStyle w:val="16"/>
        <w:rPr>
          <w:rFonts w:hint="eastAsia"/>
          <w:color w:val="auto"/>
          <w:highlight w:val="none"/>
          <w:lang w:val="en-US" w:eastAsia="zh-CN"/>
        </w:rPr>
      </w:pPr>
    </w:p>
    <w:p w14:paraId="442A2ABB">
      <w:pPr>
        <w:pStyle w:val="16"/>
        <w:rPr>
          <w:rFonts w:hint="eastAsia"/>
          <w:color w:val="auto"/>
          <w:highlight w:val="none"/>
          <w:lang w:val="en-US" w:eastAsia="zh-CN"/>
        </w:rPr>
      </w:pPr>
    </w:p>
    <w:p w14:paraId="086905B1">
      <w:pPr>
        <w:pStyle w:val="5"/>
        <w:rPr>
          <w:rFonts w:ascii="宋体" w:hAnsi="宋体" w:cs="宋体"/>
          <w:color w:val="auto"/>
          <w:sz w:val="24"/>
          <w:highlight w:val="none"/>
        </w:rPr>
      </w:pPr>
      <w:bookmarkStart w:id="58" w:name="_Toc31720"/>
      <w:bookmarkStart w:id="59" w:name="_Toc18221"/>
      <w:bookmarkStart w:id="60" w:name="_Toc29993"/>
      <w:bookmarkStart w:id="61" w:name="_Toc30952"/>
      <w:r>
        <w:rPr>
          <w:rFonts w:hint="eastAsia" w:ascii="宋体" w:hAnsi="宋体" w:eastAsia="宋体" w:cs="宋体"/>
          <w:b/>
          <w:bCs/>
          <w:color w:val="auto"/>
          <w:sz w:val="32"/>
          <w:szCs w:val="22"/>
          <w:highlight w:val="none"/>
        </w:rPr>
        <w:t>表1 综合评分表</w:t>
      </w:r>
      <w:bookmarkEnd w:id="56"/>
      <w:bookmarkEnd w:id="57"/>
      <w:bookmarkEnd w:id="58"/>
      <w:bookmarkEnd w:id="59"/>
      <w:bookmarkEnd w:id="60"/>
      <w:bookmarkEnd w:id="61"/>
    </w:p>
    <w:tbl>
      <w:tblPr>
        <w:tblStyle w:val="31"/>
        <w:tblW w:w="9362" w:type="dxa"/>
        <w:jc w:val="center"/>
        <w:tblLayout w:type="fixed"/>
        <w:tblCellMar>
          <w:top w:w="0" w:type="dxa"/>
          <w:left w:w="108" w:type="dxa"/>
          <w:bottom w:w="0" w:type="dxa"/>
          <w:right w:w="108" w:type="dxa"/>
        </w:tblCellMar>
      </w:tblPr>
      <w:tblGrid>
        <w:gridCol w:w="1404"/>
        <w:gridCol w:w="4480"/>
        <w:gridCol w:w="3478"/>
      </w:tblGrid>
      <w:tr w14:paraId="68A7A069">
        <w:tblPrEx>
          <w:tblCellMar>
            <w:top w:w="0" w:type="dxa"/>
            <w:left w:w="108" w:type="dxa"/>
            <w:bottom w:w="0" w:type="dxa"/>
            <w:right w:w="108" w:type="dxa"/>
          </w:tblCellMar>
        </w:tblPrEx>
        <w:trPr>
          <w:trHeight w:val="62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09064003">
            <w:pPr>
              <w:pStyle w:val="11"/>
              <w:tabs>
                <w:tab w:val="left" w:pos="1354"/>
                <w:tab w:val="left" w:pos="1459"/>
                <w:tab w:val="center" w:pos="3902"/>
                <w:tab w:val="right" w:pos="7805"/>
              </w:tabs>
              <w:adjustRightInd w:val="0"/>
              <w:snapToGrid w:val="0"/>
              <w:spacing w:after="0" w:line="360" w:lineRule="exact"/>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商务部分，满分：</w:t>
            </w:r>
            <w:r>
              <w:rPr>
                <w:rFonts w:hint="eastAsia" w:asciiTheme="minorEastAsia" w:hAnsiTheme="minorEastAsia" w:eastAsiaTheme="minorEastAsia" w:cstheme="minorEastAsia"/>
                <w:snapToGrid w:val="0"/>
                <w:kern w:val="0"/>
                <w:sz w:val="24"/>
                <w:szCs w:val="24"/>
                <w:highlight w:val="none"/>
                <w:u w:val="single"/>
              </w:rPr>
              <w:t>50</w:t>
            </w:r>
            <w:r>
              <w:rPr>
                <w:rFonts w:hint="eastAsia" w:asciiTheme="minorEastAsia" w:hAnsiTheme="minorEastAsia" w:eastAsiaTheme="minorEastAsia" w:cstheme="minorEastAsia"/>
                <w:snapToGrid w:val="0"/>
                <w:kern w:val="0"/>
                <w:sz w:val="24"/>
                <w:szCs w:val="24"/>
                <w:highlight w:val="none"/>
              </w:rPr>
              <w:t>分。</w:t>
            </w:r>
          </w:p>
        </w:tc>
      </w:tr>
      <w:tr w14:paraId="2952462D">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A714148">
            <w:pPr>
              <w:pStyle w:val="11"/>
              <w:tabs>
                <w:tab w:val="left" w:pos="1354"/>
                <w:tab w:val="left" w:pos="1459"/>
                <w:tab w:val="center" w:pos="3902"/>
                <w:tab w:val="right" w:pos="7805"/>
              </w:tabs>
              <w:adjustRightInd w:val="0"/>
              <w:snapToGrid w:val="0"/>
              <w:spacing w:after="0" w:line="360" w:lineRule="exact"/>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评分因素</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791146B">
            <w:pPr>
              <w:pStyle w:val="11"/>
              <w:tabs>
                <w:tab w:val="left" w:pos="1354"/>
                <w:tab w:val="left" w:pos="1459"/>
                <w:tab w:val="center" w:pos="3902"/>
                <w:tab w:val="right" w:pos="7805"/>
              </w:tabs>
              <w:adjustRightInd w:val="0"/>
              <w:snapToGrid w:val="0"/>
              <w:spacing w:after="0" w:line="360" w:lineRule="exact"/>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评分标准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77181E5B">
            <w:pPr>
              <w:pStyle w:val="11"/>
              <w:tabs>
                <w:tab w:val="left" w:pos="1354"/>
                <w:tab w:val="left" w:pos="1459"/>
                <w:tab w:val="center" w:pos="3902"/>
                <w:tab w:val="right" w:pos="7805"/>
              </w:tabs>
              <w:adjustRightInd w:val="0"/>
              <w:snapToGrid w:val="0"/>
              <w:spacing w:after="0" w:line="360" w:lineRule="exact"/>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备注</w:t>
            </w:r>
          </w:p>
        </w:tc>
      </w:tr>
      <w:tr w14:paraId="550EB92D">
        <w:tblPrEx>
          <w:tblCellMar>
            <w:top w:w="0" w:type="dxa"/>
            <w:left w:w="108" w:type="dxa"/>
            <w:bottom w:w="0" w:type="dxa"/>
            <w:right w:w="108" w:type="dxa"/>
          </w:tblCellMar>
        </w:tblPrEx>
        <w:trPr>
          <w:trHeight w:val="79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0C412DBE">
            <w:pPr>
              <w:pStyle w:val="11"/>
              <w:adjustRightInd w:val="0"/>
              <w:snapToGrid w:val="0"/>
              <w:spacing w:after="0" w:line="360" w:lineRule="exact"/>
              <w:jc w:val="center"/>
              <w:rPr>
                <w:rFonts w:hint="eastAsia" w:hAnsi="宋体" w:cs="宋体"/>
                <w:sz w:val="21"/>
                <w:szCs w:val="21"/>
                <w:highlight w:val="none"/>
              </w:rPr>
            </w:pPr>
            <w:r>
              <w:rPr>
                <w:rFonts w:hint="eastAsia" w:hAnsi="宋体" w:cs="宋体"/>
                <w:sz w:val="21"/>
                <w:szCs w:val="21"/>
                <w:highlight w:val="none"/>
              </w:rPr>
              <w:t>监理业绩</w:t>
            </w:r>
          </w:p>
          <w:p w14:paraId="5AB6F4DD">
            <w:pPr>
              <w:pStyle w:val="11"/>
              <w:adjustRightInd w:val="0"/>
              <w:snapToGrid w:val="0"/>
              <w:spacing w:after="0" w:line="360" w:lineRule="exact"/>
              <w:jc w:val="center"/>
              <w:rPr>
                <w:rFonts w:hint="eastAsia" w:asciiTheme="minorEastAsia" w:hAnsiTheme="minorEastAsia" w:eastAsiaTheme="minorEastAsia" w:cstheme="minorEastAsia"/>
                <w:snapToGrid w:val="0"/>
                <w:kern w:val="0"/>
                <w:sz w:val="24"/>
                <w:szCs w:val="24"/>
                <w:highlight w:val="none"/>
              </w:rPr>
            </w:pPr>
            <w:r>
              <w:rPr>
                <w:rFonts w:hint="eastAsia" w:hAnsi="宋体" w:cs="宋体"/>
                <w:sz w:val="21"/>
                <w:szCs w:val="21"/>
                <w:highlight w:val="none"/>
              </w:rPr>
              <w:t>（15分）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7A22D50F">
            <w:pPr>
              <w:spacing w:line="360" w:lineRule="exact"/>
              <w:ind w:firstLine="420" w:firstLineChars="200"/>
              <w:rPr>
                <w:rFonts w:hAnsi="宋体" w:cs="宋体"/>
                <w:sz w:val="21"/>
                <w:szCs w:val="21"/>
                <w:highlight w:val="none"/>
              </w:rPr>
            </w:pPr>
            <w:r>
              <w:rPr>
                <w:rFonts w:hint="eastAsia" w:hAnsi="宋体" w:cs="宋体"/>
                <w:sz w:val="21"/>
                <w:szCs w:val="21"/>
                <w:highlight w:val="none"/>
              </w:rPr>
              <w:t>1、</w:t>
            </w:r>
            <w:r>
              <w:rPr>
                <w:rFonts w:hint="eastAsia" w:hAnsi="宋体" w:cs="宋体"/>
                <w:color w:val="000000"/>
                <w:sz w:val="21"/>
                <w:szCs w:val="21"/>
                <w:highlight w:val="none"/>
              </w:rPr>
              <w:t>投标人</w:t>
            </w:r>
            <w:r>
              <w:rPr>
                <w:rFonts w:hint="eastAsia" w:hAnsi="宋体" w:cs="宋体"/>
                <w:sz w:val="21"/>
                <w:szCs w:val="21"/>
                <w:highlight w:val="none"/>
              </w:rPr>
              <w:t>202</w:t>
            </w:r>
            <w:r>
              <w:rPr>
                <w:rFonts w:hint="eastAsia" w:hAnsi="宋体" w:cs="宋体"/>
                <w:sz w:val="21"/>
                <w:szCs w:val="21"/>
                <w:highlight w:val="none"/>
                <w:lang w:val="en-US" w:eastAsia="zh-CN"/>
              </w:rPr>
              <w:t>3</w:t>
            </w:r>
            <w:r>
              <w:rPr>
                <w:rFonts w:hint="eastAsia" w:hAnsi="宋体" w:cs="宋体"/>
                <w:sz w:val="21"/>
                <w:szCs w:val="21"/>
                <w:highlight w:val="none"/>
              </w:rPr>
              <w:t>年1月1日至今</w:t>
            </w:r>
            <w:r>
              <w:rPr>
                <w:rFonts w:hint="eastAsia" w:hAnsi="宋体" w:cs="宋体"/>
                <w:sz w:val="21"/>
                <w:szCs w:val="21"/>
                <w:highlight w:val="none"/>
                <w:lang w:val="en-US" w:eastAsia="zh-CN"/>
              </w:rPr>
              <w:t>承担</w:t>
            </w:r>
            <w:r>
              <w:rPr>
                <w:rFonts w:hint="eastAsia" w:hAnsi="宋体" w:cs="宋体"/>
                <w:sz w:val="21"/>
                <w:szCs w:val="21"/>
                <w:highlight w:val="none"/>
              </w:rPr>
              <w:t>过总投资</w:t>
            </w:r>
            <w:r>
              <w:rPr>
                <w:rFonts w:hint="eastAsia" w:hAnsi="宋体" w:cs="宋体"/>
                <w:sz w:val="21"/>
                <w:szCs w:val="21"/>
                <w:highlight w:val="none"/>
                <w:lang w:val="en-US" w:eastAsia="zh-CN"/>
              </w:rPr>
              <w:t>2</w:t>
            </w:r>
            <w:r>
              <w:rPr>
                <w:rFonts w:hint="eastAsia" w:hAnsi="宋体" w:cs="宋体"/>
                <w:sz w:val="21"/>
                <w:szCs w:val="21"/>
                <w:highlight w:val="none"/>
              </w:rPr>
              <w:t>0</w:t>
            </w:r>
            <w:r>
              <w:rPr>
                <w:rFonts w:hint="eastAsia" w:hAnsi="宋体" w:cs="宋体"/>
                <w:sz w:val="21"/>
                <w:szCs w:val="21"/>
                <w:highlight w:val="none"/>
                <w:lang w:val="en-US" w:eastAsia="zh-CN"/>
              </w:rPr>
              <w:t>0</w:t>
            </w:r>
            <w:r>
              <w:rPr>
                <w:rFonts w:hint="eastAsia" w:hAnsi="宋体" w:cs="宋体"/>
                <w:sz w:val="21"/>
                <w:szCs w:val="21"/>
                <w:highlight w:val="none"/>
              </w:rPr>
              <w:t>0万元及以上的市政工程监理项目的，每个得5分，本项最高得15分。</w:t>
            </w:r>
          </w:p>
          <w:p w14:paraId="3D7F0B1A">
            <w:pPr>
              <w:spacing w:line="360" w:lineRule="exact"/>
              <w:ind w:firstLine="420" w:firstLineChars="200"/>
              <w:jc w:val="left"/>
              <w:rPr>
                <w:rFonts w:hAnsi="宋体" w:cs="宋体"/>
                <w:sz w:val="21"/>
                <w:szCs w:val="21"/>
                <w:highlight w:val="none"/>
              </w:rPr>
            </w:pPr>
            <w:r>
              <w:rPr>
                <w:rFonts w:hint="eastAsia" w:hAnsi="宋体" w:cs="宋体"/>
                <w:sz w:val="21"/>
                <w:szCs w:val="21"/>
                <w:highlight w:val="none"/>
              </w:rPr>
              <w:t>2、其他情形的，不予计分。</w:t>
            </w:r>
          </w:p>
          <w:p w14:paraId="3F938F0A">
            <w:pPr>
              <w:pStyle w:val="30"/>
              <w:spacing w:line="360" w:lineRule="exact"/>
              <w:ind w:firstLineChars="200"/>
              <w:jc w:val="left"/>
              <w:rPr>
                <w:rFonts w:hint="eastAsia" w:asciiTheme="minorEastAsia" w:hAnsiTheme="minorEastAsia" w:eastAsiaTheme="minorEastAsia" w:cstheme="minorEastAsia"/>
                <w:sz w:val="24"/>
                <w:szCs w:val="24"/>
                <w:highlight w:val="none"/>
              </w:rPr>
            </w:pPr>
            <w:r>
              <w:rPr>
                <w:rFonts w:hint="eastAsia" w:cs="宋体"/>
                <w:sz w:val="21"/>
                <w:szCs w:val="21"/>
                <w:highlight w:val="none"/>
              </w:rPr>
              <w:t>说明：本项最高得15分。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2755A8C3">
            <w:pPr>
              <w:spacing w:line="360" w:lineRule="exact"/>
              <w:jc w:val="left"/>
              <w:rPr>
                <w:rFonts w:hAnsi="宋体" w:cs="宋体"/>
                <w:sz w:val="21"/>
                <w:szCs w:val="21"/>
                <w:highlight w:val="none"/>
              </w:rPr>
            </w:pPr>
            <w:r>
              <w:rPr>
                <w:rFonts w:hint="eastAsia" w:hAnsi="宋体" w:cs="宋体"/>
                <w:sz w:val="21"/>
                <w:szCs w:val="21"/>
                <w:highlight w:val="none"/>
              </w:rPr>
              <w:t>1.须提供中标通知书、监理合同彩色扫描件并加盖单位公章。</w:t>
            </w:r>
          </w:p>
          <w:p w14:paraId="6DFF7B6F">
            <w:pPr>
              <w:spacing w:line="360" w:lineRule="exact"/>
              <w:jc w:val="left"/>
              <w:rPr>
                <w:rFonts w:hAnsi="宋体" w:cs="宋体"/>
                <w:sz w:val="21"/>
                <w:szCs w:val="21"/>
                <w:highlight w:val="none"/>
              </w:rPr>
            </w:pPr>
            <w:r>
              <w:rPr>
                <w:rFonts w:hint="eastAsia" w:hAnsi="宋体" w:cs="宋体"/>
                <w:sz w:val="21"/>
                <w:szCs w:val="21"/>
                <w:highlight w:val="none"/>
              </w:rPr>
              <w:t>2.项目业绩认定时间以</w:t>
            </w:r>
            <w:r>
              <w:rPr>
                <w:rFonts w:hint="eastAsia" w:hAnsi="宋体" w:cs="宋体"/>
                <w:sz w:val="21"/>
                <w:szCs w:val="21"/>
                <w:highlight w:val="none"/>
                <w:lang w:val="en-US" w:eastAsia="zh-CN"/>
              </w:rPr>
              <w:t>合同签订</w:t>
            </w:r>
            <w:r>
              <w:rPr>
                <w:rFonts w:hint="eastAsia" w:hAnsi="宋体" w:cs="宋体"/>
                <w:sz w:val="21"/>
                <w:szCs w:val="21"/>
                <w:highlight w:val="none"/>
              </w:rPr>
              <w:t>时间为准。</w:t>
            </w:r>
          </w:p>
          <w:p w14:paraId="5B0B945D">
            <w:pPr>
              <w:spacing w:line="360" w:lineRule="exact"/>
              <w:jc w:val="left"/>
              <w:rPr>
                <w:rFonts w:hint="eastAsia" w:asciiTheme="minorEastAsia" w:hAnsiTheme="minorEastAsia" w:eastAsiaTheme="minorEastAsia" w:cstheme="minorEastAsia"/>
                <w:sz w:val="24"/>
                <w:szCs w:val="24"/>
                <w:highlight w:val="none"/>
              </w:rPr>
            </w:pPr>
            <w:r>
              <w:rPr>
                <w:rFonts w:hint="eastAsia" w:hAnsi="宋体" w:cs="宋体"/>
                <w:sz w:val="21"/>
                <w:szCs w:val="21"/>
                <w:highlight w:val="none"/>
              </w:rPr>
              <w:t>3.未提供证明材料或材料不齐全，业绩不符合评分标准和备注规定的，不予计分。</w:t>
            </w:r>
          </w:p>
        </w:tc>
      </w:tr>
      <w:tr w14:paraId="17C921F8">
        <w:tblPrEx>
          <w:tblCellMar>
            <w:top w:w="0" w:type="dxa"/>
            <w:left w:w="108" w:type="dxa"/>
            <w:bottom w:w="0" w:type="dxa"/>
            <w:right w:w="108" w:type="dxa"/>
          </w:tblCellMar>
        </w:tblPrEx>
        <w:trPr>
          <w:trHeight w:val="847" w:hRule="atLeast"/>
          <w:jc w:val="center"/>
        </w:trPr>
        <w:tc>
          <w:tcPr>
            <w:tcW w:w="1404" w:type="dxa"/>
            <w:tcBorders>
              <w:top w:val="single" w:color="auto" w:sz="4" w:space="0"/>
              <w:left w:val="single" w:color="auto" w:sz="4" w:space="0"/>
              <w:right w:val="single" w:color="auto" w:sz="4" w:space="0"/>
            </w:tcBorders>
            <w:noWrap w:val="0"/>
            <w:vAlign w:val="center"/>
          </w:tcPr>
          <w:p w14:paraId="69B269C7">
            <w:pPr>
              <w:spacing w:line="360" w:lineRule="exact"/>
              <w:jc w:val="center"/>
              <w:rPr>
                <w:rFonts w:hAnsi="宋体" w:cs="宋体"/>
                <w:color w:val="000000"/>
                <w:sz w:val="21"/>
                <w:szCs w:val="21"/>
              </w:rPr>
            </w:pPr>
            <w:r>
              <w:rPr>
                <w:rFonts w:hint="eastAsia" w:hAnsi="宋体" w:cs="宋体"/>
                <w:color w:val="000000"/>
                <w:sz w:val="21"/>
                <w:szCs w:val="21"/>
              </w:rPr>
              <w:t>其他监理</w:t>
            </w:r>
          </w:p>
          <w:p w14:paraId="5A1C604B">
            <w:pPr>
              <w:spacing w:line="360" w:lineRule="exact"/>
              <w:jc w:val="center"/>
              <w:rPr>
                <w:rFonts w:hAnsi="宋体" w:cs="宋体"/>
                <w:color w:val="000000"/>
                <w:sz w:val="21"/>
                <w:szCs w:val="21"/>
              </w:rPr>
            </w:pPr>
            <w:r>
              <w:rPr>
                <w:rFonts w:hint="eastAsia" w:hAnsi="宋体" w:cs="宋体"/>
                <w:color w:val="000000"/>
                <w:sz w:val="21"/>
                <w:szCs w:val="21"/>
              </w:rPr>
              <w:t>人员配备</w:t>
            </w:r>
          </w:p>
          <w:p w14:paraId="22F58FC9">
            <w:pPr>
              <w:spacing w:line="360" w:lineRule="exact"/>
              <w:jc w:val="center"/>
              <w:rPr>
                <w:rFonts w:hint="eastAsia" w:asciiTheme="minorEastAsia" w:hAnsiTheme="minorEastAsia" w:eastAsiaTheme="minorEastAsia" w:cstheme="minorEastAsia"/>
                <w:color w:val="000000"/>
                <w:sz w:val="24"/>
                <w:szCs w:val="24"/>
                <w:highlight w:val="yellow"/>
              </w:rPr>
            </w:pPr>
            <w:r>
              <w:rPr>
                <w:rFonts w:hint="eastAsia" w:hAnsi="宋体" w:cs="宋体"/>
                <w:color w:val="000000"/>
                <w:sz w:val="21"/>
                <w:szCs w:val="21"/>
              </w:rPr>
              <w:t>（</w:t>
            </w:r>
            <w:r>
              <w:rPr>
                <w:rFonts w:hint="eastAsia" w:hAnsi="宋体" w:cs="宋体"/>
                <w:color w:val="000000"/>
                <w:sz w:val="21"/>
                <w:szCs w:val="21"/>
                <w:lang w:val="en-US" w:eastAsia="zh-CN"/>
              </w:rPr>
              <w:t>20</w:t>
            </w:r>
            <w:r>
              <w:rPr>
                <w:rFonts w:hint="eastAsia" w:hAnsi="宋体" w:cs="宋体"/>
                <w:color w:val="000000"/>
                <w:sz w:val="21"/>
                <w:szCs w:val="21"/>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45233A25">
            <w:pPr>
              <w:spacing w:line="360" w:lineRule="exact"/>
              <w:ind w:firstLine="420" w:firstLineChars="200"/>
              <w:jc w:val="left"/>
              <w:rPr>
                <w:rFonts w:hint="eastAsia" w:hAnsi="宋体" w:cs="宋体"/>
                <w:sz w:val="21"/>
                <w:szCs w:val="21"/>
              </w:rPr>
            </w:pPr>
            <w:r>
              <w:rPr>
                <w:rFonts w:hint="eastAsia" w:hAnsi="宋体" w:cs="宋体"/>
                <w:sz w:val="21"/>
                <w:szCs w:val="21"/>
              </w:rPr>
              <w:t>1、拟委派本项目的监理人员，数量和专业完全满足表2《项目监理机构其他人员需求表》要求的得</w:t>
            </w:r>
            <w:r>
              <w:rPr>
                <w:rFonts w:hint="eastAsia" w:hAnsi="宋体" w:cs="宋体"/>
                <w:sz w:val="21"/>
                <w:szCs w:val="21"/>
                <w:lang w:val="en-US" w:eastAsia="zh-CN"/>
              </w:rPr>
              <w:t>4</w:t>
            </w:r>
            <w:r>
              <w:rPr>
                <w:rFonts w:hint="eastAsia" w:hAnsi="宋体" w:cs="宋体"/>
                <w:sz w:val="21"/>
                <w:szCs w:val="21"/>
              </w:rPr>
              <w:t>分；本</w:t>
            </w:r>
            <w:r>
              <w:rPr>
                <w:rFonts w:hint="eastAsia" w:hAnsi="宋体" w:cs="宋体"/>
                <w:sz w:val="21"/>
                <w:szCs w:val="21"/>
                <w:lang w:eastAsia="zh-CN"/>
              </w:rPr>
              <w:t>小</w:t>
            </w:r>
            <w:r>
              <w:rPr>
                <w:rFonts w:hint="eastAsia" w:hAnsi="宋体" w:cs="宋体"/>
                <w:sz w:val="21"/>
                <w:szCs w:val="21"/>
              </w:rPr>
              <w:t>项最高得</w:t>
            </w:r>
            <w:r>
              <w:rPr>
                <w:rFonts w:hint="eastAsia" w:hAnsi="宋体" w:cs="宋体"/>
                <w:sz w:val="21"/>
                <w:szCs w:val="21"/>
                <w:lang w:val="en-US" w:eastAsia="zh-CN"/>
              </w:rPr>
              <w:t>4</w:t>
            </w:r>
            <w:r>
              <w:rPr>
                <w:rFonts w:hint="eastAsia" w:hAnsi="宋体" w:cs="宋体"/>
                <w:sz w:val="21"/>
                <w:szCs w:val="21"/>
              </w:rPr>
              <w:t>分。</w:t>
            </w:r>
          </w:p>
          <w:p w14:paraId="70D1DAA0">
            <w:pPr>
              <w:spacing w:line="360" w:lineRule="exact"/>
              <w:ind w:firstLine="420" w:firstLineChars="200"/>
              <w:jc w:val="left"/>
              <w:rPr>
                <w:rFonts w:hint="eastAsia" w:hAnsi="宋体" w:cs="宋体"/>
                <w:sz w:val="21"/>
                <w:szCs w:val="21"/>
              </w:rPr>
            </w:pPr>
            <w:r>
              <w:rPr>
                <w:rFonts w:hint="eastAsia" w:hAnsi="宋体" w:cs="宋体"/>
                <w:sz w:val="21"/>
                <w:szCs w:val="21"/>
              </w:rPr>
              <w:t>2、</w:t>
            </w:r>
            <w:r>
              <w:rPr>
                <w:rFonts w:hint="eastAsia" w:hAnsi="宋体" w:cs="宋体"/>
                <w:sz w:val="21"/>
                <w:szCs w:val="21"/>
                <w:lang w:val="en-US" w:eastAsia="zh-CN"/>
              </w:rPr>
              <w:t>除</w:t>
            </w:r>
            <w:r>
              <w:rPr>
                <w:rFonts w:hint="eastAsia" w:hAnsi="宋体" w:cs="宋体"/>
                <w:sz w:val="21"/>
                <w:szCs w:val="21"/>
              </w:rPr>
              <w:t>满足表2《项目监理机构其他人员需求表》的人员</w:t>
            </w:r>
            <w:r>
              <w:rPr>
                <w:rFonts w:hint="eastAsia" w:hAnsi="宋体" w:cs="宋体"/>
                <w:sz w:val="21"/>
                <w:szCs w:val="21"/>
                <w:lang w:val="en-US" w:eastAsia="zh-CN"/>
              </w:rPr>
              <w:t>外</w:t>
            </w:r>
            <w:r>
              <w:rPr>
                <w:rFonts w:hint="eastAsia" w:hAnsi="宋体" w:cs="宋体"/>
                <w:sz w:val="21"/>
                <w:szCs w:val="21"/>
              </w:rPr>
              <w:t>，</w:t>
            </w:r>
            <w:r>
              <w:rPr>
                <w:rFonts w:hint="eastAsia" w:hAnsi="宋体" w:cs="宋体"/>
                <w:sz w:val="21"/>
                <w:szCs w:val="21"/>
                <w:lang w:val="en-US" w:eastAsia="zh-CN"/>
              </w:rPr>
              <w:t>又</w:t>
            </w:r>
            <w:r>
              <w:rPr>
                <w:rFonts w:hint="eastAsia" w:hAnsi="宋体" w:cs="宋体"/>
                <w:sz w:val="21"/>
                <w:szCs w:val="21"/>
              </w:rPr>
              <w:t>满足以下条件的作为加分，具体如下：</w:t>
            </w:r>
          </w:p>
          <w:p w14:paraId="04A05749">
            <w:pPr>
              <w:spacing w:line="360" w:lineRule="exact"/>
              <w:ind w:firstLine="420" w:firstLineChars="200"/>
              <w:jc w:val="left"/>
              <w:rPr>
                <w:rFonts w:hint="eastAsia" w:ascii="宋体" w:hAnsi="宋体" w:eastAsia="宋体" w:cs="宋体"/>
                <w:color w:val="000000"/>
                <w:sz w:val="21"/>
                <w:szCs w:val="21"/>
              </w:rPr>
            </w:pPr>
            <w:r>
              <w:rPr>
                <w:rFonts w:hint="eastAsia" w:hAnsi="宋体" w:cs="宋体"/>
                <w:sz w:val="21"/>
                <w:szCs w:val="21"/>
                <w:lang w:val="en-US" w:eastAsia="zh-CN"/>
              </w:rPr>
              <w:t>1、市政</w:t>
            </w:r>
            <w:r>
              <w:rPr>
                <w:rFonts w:hint="eastAsia" w:ascii="宋体" w:hAnsi="宋体" w:eastAsia="宋体" w:cs="宋体"/>
                <w:color w:val="000000"/>
                <w:sz w:val="21"/>
                <w:szCs w:val="21"/>
              </w:rPr>
              <w:t>专业监理工程师：具有全国注册监理工程师（</w:t>
            </w:r>
            <w:r>
              <w:rPr>
                <w:rFonts w:hint="eastAsia" w:ascii="宋体" w:hAnsi="宋体" w:eastAsia="宋体" w:cs="宋体"/>
                <w:color w:val="000000"/>
                <w:sz w:val="21"/>
                <w:szCs w:val="21"/>
                <w:lang w:val="en-US" w:eastAsia="zh-CN"/>
              </w:rPr>
              <w:t>市政公用</w:t>
            </w:r>
            <w:r>
              <w:rPr>
                <w:rFonts w:hint="eastAsia" w:ascii="宋体" w:hAnsi="宋体" w:eastAsia="宋体" w:cs="宋体"/>
                <w:color w:val="000000"/>
                <w:sz w:val="21"/>
                <w:szCs w:val="21"/>
              </w:rPr>
              <w:t xml:space="preserve">工程）得 </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 xml:space="preserve"> 分；</w:t>
            </w:r>
            <w:r>
              <w:rPr>
                <w:rFonts w:hint="eastAsia" w:ascii="宋体" w:hAnsi="宋体" w:eastAsia="宋体" w:cs="宋体"/>
                <w:color w:val="000000"/>
                <w:sz w:val="21"/>
                <w:szCs w:val="21"/>
                <w:lang w:val="en-US" w:eastAsia="zh-CN"/>
              </w:rPr>
              <w:t>市政类高级及以上职称加2分</w:t>
            </w:r>
            <w:r>
              <w:rPr>
                <w:rFonts w:hint="eastAsia" w:ascii="宋体" w:hAnsi="宋体" w:eastAsia="宋体" w:cs="宋体"/>
                <w:color w:val="000000"/>
                <w:sz w:val="21"/>
                <w:szCs w:val="21"/>
              </w:rPr>
              <w:t xml:space="preserve">。本项最高得 </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分。</w:t>
            </w:r>
          </w:p>
          <w:p w14:paraId="1437AF37">
            <w:pPr>
              <w:spacing w:line="360" w:lineRule="exact"/>
              <w:ind w:firstLine="420" w:firstLineChars="200"/>
              <w:rPr>
                <w:rFonts w:hint="eastAsia" w:ascii="宋体" w:hAnsi="宋体" w:eastAsia="宋体" w:cs="宋体"/>
                <w:color w:val="000000"/>
                <w:sz w:val="21"/>
                <w:szCs w:val="21"/>
              </w:rPr>
            </w:pPr>
            <w:r>
              <w:rPr>
                <w:rFonts w:hint="eastAsia" w:hAnsi="宋体" w:cs="宋体"/>
                <w:color w:val="000000"/>
                <w:sz w:val="21"/>
                <w:szCs w:val="21"/>
                <w:lang w:val="en-US" w:eastAsia="zh-CN"/>
              </w:rPr>
              <w:t>2</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安全专业监理工程师：具有全国注册安全工程师执业证书（建筑施工安全</w:t>
            </w:r>
            <w:r>
              <w:rPr>
                <w:rFonts w:hint="eastAsia" w:ascii="宋体" w:hAnsi="宋体" w:eastAsia="宋体" w:cs="宋体"/>
                <w:color w:val="000000"/>
                <w:sz w:val="21"/>
                <w:szCs w:val="21"/>
                <w:lang w:val="en-US" w:eastAsia="zh-CN"/>
              </w:rPr>
              <w:t>专业</w:t>
            </w:r>
            <w:r>
              <w:rPr>
                <w:rFonts w:hint="eastAsia" w:ascii="宋体" w:hAnsi="宋体" w:eastAsia="宋体" w:cs="宋体"/>
                <w:color w:val="000000"/>
                <w:sz w:val="21"/>
                <w:szCs w:val="21"/>
              </w:rPr>
              <w:t xml:space="preserve">）得 </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 xml:space="preserve"> 分；同时具有全国注册监理工程师（</w:t>
            </w:r>
            <w:r>
              <w:rPr>
                <w:rFonts w:hint="eastAsia" w:ascii="宋体" w:hAnsi="宋体" w:eastAsia="宋体" w:cs="宋体"/>
                <w:color w:val="000000"/>
                <w:sz w:val="21"/>
                <w:szCs w:val="21"/>
                <w:lang w:val="en-US" w:eastAsia="zh-CN"/>
              </w:rPr>
              <w:t>市政公用</w:t>
            </w:r>
            <w:r>
              <w:rPr>
                <w:rFonts w:hint="eastAsia" w:ascii="宋体" w:hAnsi="宋体" w:eastAsia="宋体" w:cs="宋体"/>
                <w:color w:val="000000"/>
                <w:sz w:val="21"/>
                <w:szCs w:val="21"/>
              </w:rPr>
              <w:t>工程</w:t>
            </w:r>
            <w:r>
              <w:rPr>
                <w:rFonts w:hint="eastAsia" w:ascii="宋体" w:hAnsi="宋体" w:eastAsia="宋体" w:cs="宋体"/>
                <w:color w:val="000000"/>
                <w:sz w:val="21"/>
                <w:szCs w:val="21"/>
                <w:lang w:val="en-US" w:eastAsia="zh-CN"/>
              </w:rPr>
              <w:t>专业</w:t>
            </w:r>
            <w:r>
              <w:rPr>
                <w:rFonts w:hint="eastAsia" w:ascii="宋体" w:hAnsi="宋体" w:eastAsia="宋体" w:cs="宋体"/>
                <w:color w:val="000000"/>
                <w:sz w:val="21"/>
                <w:szCs w:val="21"/>
              </w:rPr>
              <w:t xml:space="preserve">）加 </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 xml:space="preserve"> 分，</w:t>
            </w:r>
            <w:r>
              <w:rPr>
                <w:rFonts w:hint="eastAsia" w:ascii="宋体" w:hAnsi="宋体" w:eastAsia="宋体" w:cs="宋体"/>
                <w:color w:val="000000"/>
                <w:sz w:val="21"/>
                <w:szCs w:val="21"/>
                <w:lang w:val="en-US" w:eastAsia="zh-CN"/>
              </w:rPr>
              <w:t>具有市政类高级及以上职称加2分</w:t>
            </w:r>
            <w:r>
              <w:rPr>
                <w:rFonts w:hint="eastAsia" w:ascii="宋体" w:hAnsi="宋体" w:eastAsia="宋体" w:cs="宋体"/>
                <w:color w:val="000000"/>
                <w:sz w:val="21"/>
                <w:szCs w:val="21"/>
              </w:rPr>
              <w:t xml:space="preserve">。本项最高得 </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分。</w:t>
            </w:r>
          </w:p>
          <w:p w14:paraId="3B081725">
            <w:pPr>
              <w:spacing w:line="360" w:lineRule="exact"/>
              <w:ind w:firstLine="420" w:firstLineChars="200"/>
              <w:rPr>
                <w:rFonts w:hint="eastAsia" w:ascii="宋体" w:hAnsi="宋体" w:eastAsia="宋体" w:cs="宋体"/>
                <w:color w:val="000000"/>
                <w:sz w:val="21"/>
                <w:szCs w:val="21"/>
              </w:rPr>
            </w:pPr>
            <w:r>
              <w:rPr>
                <w:rFonts w:hint="eastAsia" w:hAnsi="宋体" w:cs="宋体"/>
                <w:color w:val="000000"/>
                <w:sz w:val="21"/>
                <w:szCs w:val="21"/>
                <w:lang w:val="en-US" w:eastAsia="zh-CN"/>
              </w:rPr>
              <w:t>3</w:t>
            </w:r>
            <w:r>
              <w:rPr>
                <w:rFonts w:hint="eastAsia" w:ascii="宋体" w:hAnsi="宋体" w:eastAsia="宋体" w:cs="宋体"/>
                <w:color w:val="000000"/>
                <w:sz w:val="21"/>
                <w:szCs w:val="21"/>
                <w:lang w:val="en-US" w:eastAsia="zh-CN"/>
              </w:rPr>
              <w:t>、造价</w:t>
            </w:r>
            <w:r>
              <w:rPr>
                <w:rFonts w:hint="eastAsia" w:ascii="宋体" w:hAnsi="宋体" w:eastAsia="宋体" w:cs="宋体"/>
                <w:color w:val="000000"/>
                <w:sz w:val="21"/>
                <w:szCs w:val="21"/>
              </w:rPr>
              <w:t>专业监理工程师：具有一名全国注册造价工程师或一级注册造价工程师</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土建或土木建筑工程专业</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 xml:space="preserve">得 </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 xml:space="preserve"> 分，同时具有全国注册监理工程师（</w:t>
            </w:r>
            <w:r>
              <w:rPr>
                <w:rFonts w:hint="eastAsia" w:ascii="宋体" w:hAnsi="宋体" w:eastAsia="宋体" w:cs="宋体"/>
                <w:color w:val="000000"/>
                <w:sz w:val="21"/>
                <w:szCs w:val="21"/>
                <w:lang w:val="en-US" w:eastAsia="zh-CN"/>
              </w:rPr>
              <w:t>市政公用</w:t>
            </w:r>
            <w:r>
              <w:rPr>
                <w:rFonts w:hint="eastAsia" w:ascii="宋体" w:hAnsi="宋体" w:eastAsia="宋体" w:cs="宋体"/>
                <w:color w:val="000000"/>
                <w:sz w:val="21"/>
                <w:szCs w:val="21"/>
              </w:rPr>
              <w:t>工程</w:t>
            </w:r>
            <w:r>
              <w:rPr>
                <w:rFonts w:hint="eastAsia" w:ascii="宋体" w:hAnsi="宋体" w:eastAsia="宋体" w:cs="宋体"/>
                <w:color w:val="000000"/>
                <w:sz w:val="21"/>
                <w:szCs w:val="21"/>
                <w:lang w:val="en-US" w:eastAsia="zh-CN"/>
              </w:rPr>
              <w:t>专业</w:t>
            </w:r>
            <w:r>
              <w:rPr>
                <w:rFonts w:hint="eastAsia" w:ascii="宋体" w:hAnsi="宋体" w:eastAsia="宋体" w:cs="宋体"/>
                <w:color w:val="000000"/>
                <w:sz w:val="21"/>
                <w:szCs w:val="21"/>
              </w:rPr>
              <w:t xml:space="preserve">）加 </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 xml:space="preserve"> 分；</w:t>
            </w:r>
            <w:r>
              <w:rPr>
                <w:rFonts w:hint="eastAsia" w:ascii="宋体" w:hAnsi="宋体" w:eastAsia="宋体" w:cs="宋体"/>
                <w:color w:val="000000"/>
                <w:sz w:val="21"/>
                <w:szCs w:val="21"/>
                <w:lang w:val="en-US" w:eastAsia="zh-CN"/>
              </w:rPr>
              <w:t>造价类或经济类高级及以上职称加2分</w:t>
            </w:r>
            <w:r>
              <w:rPr>
                <w:rFonts w:hint="eastAsia" w:ascii="宋体" w:hAnsi="宋体" w:eastAsia="宋体" w:cs="宋体"/>
                <w:color w:val="000000"/>
                <w:sz w:val="21"/>
                <w:szCs w:val="21"/>
              </w:rPr>
              <w:t xml:space="preserve">。本项最高得 </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 xml:space="preserve"> 分。</w:t>
            </w:r>
          </w:p>
          <w:p w14:paraId="36D678FB">
            <w:pPr>
              <w:spacing w:line="360" w:lineRule="exact"/>
              <w:ind w:firstLine="420" w:firstLineChars="200"/>
              <w:rPr>
                <w:rFonts w:hint="eastAsia" w:ascii="宋体" w:hAnsi="宋体" w:eastAsia="宋体" w:cs="宋体"/>
                <w:color w:val="000000"/>
                <w:sz w:val="21"/>
                <w:szCs w:val="21"/>
              </w:rPr>
            </w:pPr>
            <w:r>
              <w:rPr>
                <w:rFonts w:hint="eastAsia" w:hAnsi="宋体" w:cs="宋体"/>
                <w:color w:val="000000"/>
                <w:sz w:val="21"/>
                <w:szCs w:val="21"/>
                <w:lang w:val="en-US" w:eastAsia="zh-CN"/>
              </w:rPr>
              <w:t>4</w:t>
            </w:r>
            <w:r>
              <w:rPr>
                <w:rFonts w:hint="eastAsia" w:ascii="宋体" w:hAnsi="宋体" w:eastAsia="宋体" w:cs="宋体"/>
                <w:color w:val="000000"/>
                <w:sz w:val="21"/>
                <w:szCs w:val="21"/>
              </w:rPr>
              <w:t>、以上配备人员，不可重复得分。</w:t>
            </w:r>
          </w:p>
          <w:p w14:paraId="6219CD4D">
            <w:pPr>
              <w:spacing w:line="360" w:lineRule="exact"/>
              <w:ind w:firstLine="420" w:firstLineChars="200"/>
              <w:rPr>
                <w:rFonts w:hAnsi="宋体" w:cs="宋体"/>
                <w:color w:val="000000"/>
                <w:sz w:val="21"/>
                <w:szCs w:val="21"/>
              </w:rPr>
            </w:pPr>
            <w:r>
              <w:rPr>
                <w:rFonts w:hint="eastAsia" w:hAnsi="宋体" w:cs="宋体"/>
                <w:color w:val="000000"/>
                <w:sz w:val="21"/>
                <w:szCs w:val="21"/>
                <w:lang w:val="en-US" w:eastAsia="zh-CN"/>
              </w:rPr>
              <w:t>5</w:t>
            </w:r>
            <w:r>
              <w:rPr>
                <w:rFonts w:hint="eastAsia" w:ascii="宋体" w:hAnsi="宋体" w:eastAsia="宋体" w:cs="宋体"/>
                <w:color w:val="000000"/>
                <w:sz w:val="21"/>
                <w:szCs w:val="21"/>
              </w:rPr>
              <w:t>、其</w:t>
            </w:r>
            <w:r>
              <w:rPr>
                <w:rFonts w:hint="eastAsia" w:hAnsi="宋体" w:cs="宋体"/>
                <w:color w:val="000000"/>
                <w:sz w:val="21"/>
                <w:szCs w:val="21"/>
              </w:rPr>
              <w:t>他情形的，不予计分。</w:t>
            </w:r>
          </w:p>
          <w:p w14:paraId="394559D6">
            <w:pPr>
              <w:spacing w:line="360" w:lineRule="exact"/>
              <w:ind w:firstLine="420" w:firstLineChars="200"/>
              <w:jc w:val="left"/>
              <w:rPr>
                <w:rFonts w:hint="eastAsia" w:asciiTheme="minorEastAsia" w:hAnsiTheme="minorEastAsia" w:eastAsiaTheme="minorEastAsia" w:cstheme="minorEastAsia"/>
                <w:color w:val="000000"/>
                <w:sz w:val="24"/>
                <w:szCs w:val="24"/>
                <w:highlight w:val="yellow"/>
              </w:rPr>
            </w:pPr>
            <w:r>
              <w:rPr>
                <w:rFonts w:hint="eastAsia" w:hAnsi="宋体" w:cs="宋体"/>
                <w:color w:val="000000"/>
                <w:sz w:val="21"/>
                <w:szCs w:val="21"/>
              </w:rPr>
              <w:t>说明：本项最高得</w:t>
            </w:r>
            <w:r>
              <w:rPr>
                <w:rFonts w:hint="eastAsia" w:hAnsi="宋体" w:cs="宋体"/>
                <w:color w:val="000000"/>
                <w:sz w:val="21"/>
                <w:szCs w:val="21"/>
                <w:lang w:val="en-US" w:eastAsia="zh-CN"/>
              </w:rPr>
              <w:t>20</w:t>
            </w:r>
            <w:r>
              <w:rPr>
                <w:rFonts w:hint="eastAsia" w:hAnsi="宋体" w:cs="宋体"/>
                <w:color w:val="000000"/>
                <w:sz w:val="21"/>
                <w:szCs w:val="21"/>
              </w:rPr>
              <w:t>分</w:t>
            </w:r>
          </w:p>
        </w:tc>
        <w:tc>
          <w:tcPr>
            <w:tcW w:w="3478" w:type="dxa"/>
            <w:tcBorders>
              <w:top w:val="single" w:color="auto" w:sz="4" w:space="0"/>
              <w:left w:val="single" w:color="auto" w:sz="4" w:space="0"/>
              <w:right w:val="single" w:color="auto" w:sz="4" w:space="0"/>
            </w:tcBorders>
            <w:noWrap w:val="0"/>
            <w:vAlign w:val="center"/>
          </w:tcPr>
          <w:p w14:paraId="7671FAA3">
            <w:pPr>
              <w:numPr>
                <w:ilvl w:val="0"/>
                <w:numId w:val="0"/>
              </w:numPr>
              <w:spacing w:line="360" w:lineRule="exact"/>
              <w:jc w:val="left"/>
              <w:rPr>
                <w:rFonts w:hint="eastAsia" w:hAnsi="宋体" w:cs="宋体"/>
                <w:color w:val="000000"/>
                <w:sz w:val="21"/>
                <w:szCs w:val="21"/>
                <w:lang w:eastAsia="zh-CN"/>
              </w:rPr>
            </w:pPr>
            <w:r>
              <w:rPr>
                <w:rFonts w:hint="eastAsia" w:hAnsi="宋体" w:cs="宋体"/>
                <w:color w:val="000000"/>
                <w:sz w:val="21"/>
                <w:szCs w:val="21"/>
                <w:lang w:val="en-US" w:eastAsia="zh-CN"/>
              </w:rPr>
              <w:t>1.</w:t>
            </w:r>
            <w:r>
              <w:rPr>
                <w:rFonts w:hint="eastAsia" w:hAnsi="宋体" w:cs="宋体"/>
                <w:color w:val="000000"/>
                <w:sz w:val="21"/>
                <w:szCs w:val="21"/>
              </w:rPr>
              <w:t>须提供相关证书彩色扫描件并加盖单位公章。</w:t>
            </w:r>
          </w:p>
          <w:p w14:paraId="61914348">
            <w:pPr>
              <w:numPr>
                <w:ilvl w:val="0"/>
                <w:numId w:val="0"/>
              </w:numPr>
              <w:spacing w:line="360" w:lineRule="exact"/>
              <w:jc w:val="left"/>
              <w:rPr>
                <w:rFonts w:hAnsi="宋体" w:cs="宋体"/>
                <w:color w:val="000000"/>
                <w:sz w:val="21"/>
                <w:szCs w:val="21"/>
              </w:rPr>
            </w:pPr>
            <w:r>
              <w:rPr>
                <w:rFonts w:hint="eastAsia" w:ascii="Times New Roman"/>
                <w:snapToGrid w:val="0"/>
                <w:color w:val="auto"/>
                <w:kern w:val="0"/>
                <w:sz w:val="21"/>
                <w:szCs w:val="28"/>
                <w:highlight w:val="none"/>
                <w:lang w:val="en-US" w:eastAsia="zh-CN"/>
              </w:rPr>
              <w:t>2.</w:t>
            </w:r>
            <w:r>
              <w:rPr>
                <w:rFonts w:hint="eastAsia" w:ascii="Times New Roman"/>
                <w:snapToGrid w:val="0"/>
                <w:color w:val="auto"/>
                <w:kern w:val="0"/>
                <w:sz w:val="21"/>
                <w:szCs w:val="28"/>
                <w:highlight w:val="none"/>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06</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highlight w:val="none"/>
              </w:rPr>
              <w:t>彩色扫描件。</w:t>
            </w:r>
          </w:p>
          <w:p w14:paraId="5351267B">
            <w:pPr>
              <w:spacing w:line="360" w:lineRule="exact"/>
              <w:jc w:val="left"/>
              <w:rPr>
                <w:rFonts w:hint="default" w:eastAsiaTheme="minorEastAsia"/>
                <w:highlight w:val="yellow"/>
                <w:lang w:val="en-US" w:eastAsia="zh-CN"/>
              </w:rPr>
            </w:pPr>
            <w:r>
              <w:rPr>
                <w:rFonts w:hint="eastAsia" w:hAnsi="宋体" w:cs="宋体"/>
                <w:color w:val="000000"/>
                <w:sz w:val="21"/>
                <w:szCs w:val="21"/>
                <w:lang w:val="en-US" w:eastAsia="zh-CN"/>
              </w:rPr>
              <w:t>3.</w:t>
            </w:r>
            <w:r>
              <w:rPr>
                <w:rFonts w:hint="eastAsia" w:hAnsi="宋体" w:cs="宋体"/>
                <w:color w:val="000000"/>
                <w:sz w:val="21"/>
                <w:szCs w:val="21"/>
              </w:rPr>
              <w:t>证书不在有效期内的，不予计分。</w:t>
            </w:r>
          </w:p>
        </w:tc>
      </w:tr>
      <w:tr w14:paraId="49A282CF">
        <w:tblPrEx>
          <w:tblCellMar>
            <w:top w:w="0" w:type="dxa"/>
            <w:left w:w="108" w:type="dxa"/>
            <w:bottom w:w="0" w:type="dxa"/>
            <w:right w:w="108" w:type="dxa"/>
          </w:tblCellMar>
        </w:tblPrEx>
        <w:trPr>
          <w:trHeight w:val="1260" w:hRule="atLeast"/>
          <w:jc w:val="center"/>
        </w:trPr>
        <w:tc>
          <w:tcPr>
            <w:tcW w:w="1404" w:type="dxa"/>
            <w:vMerge w:val="restart"/>
            <w:tcBorders>
              <w:top w:val="single" w:color="auto" w:sz="4" w:space="0"/>
              <w:left w:val="single" w:color="auto" w:sz="4" w:space="0"/>
              <w:right w:val="single" w:color="auto" w:sz="4" w:space="0"/>
            </w:tcBorders>
            <w:noWrap w:val="0"/>
            <w:vAlign w:val="center"/>
          </w:tcPr>
          <w:p w14:paraId="067BCFDC">
            <w:pPr>
              <w:spacing w:line="360" w:lineRule="exact"/>
              <w:ind w:left="24" w:leftChars="10" w:right="24" w:rightChars="10"/>
              <w:jc w:val="center"/>
              <w:rPr>
                <w:rFonts w:hint="eastAsia" w:hAnsi="宋体" w:cs="宋体"/>
                <w:color w:val="000000"/>
                <w:sz w:val="21"/>
                <w:szCs w:val="21"/>
                <w:highlight w:val="none"/>
              </w:rPr>
            </w:pPr>
            <w:r>
              <w:rPr>
                <w:rFonts w:hint="eastAsia" w:hAnsi="宋体" w:cs="宋体"/>
                <w:color w:val="000000"/>
                <w:sz w:val="21"/>
                <w:szCs w:val="21"/>
                <w:highlight w:val="none"/>
              </w:rPr>
              <w:t>企业信用综合情况</w:t>
            </w:r>
          </w:p>
          <w:p w14:paraId="7EEE03A8">
            <w:pPr>
              <w:spacing w:line="360" w:lineRule="exact"/>
              <w:ind w:left="24" w:leftChars="10" w:right="24" w:rightChars="10"/>
              <w:jc w:val="center"/>
              <w:rPr>
                <w:rFonts w:hint="eastAsia" w:asciiTheme="minorEastAsia" w:hAnsiTheme="minorEastAsia" w:eastAsiaTheme="minorEastAsia" w:cstheme="minorEastAsia"/>
                <w:snapToGrid w:val="0"/>
                <w:kern w:val="0"/>
                <w:sz w:val="24"/>
                <w:szCs w:val="24"/>
                <w:highlight w:val="none"/>
              </w:rPr>
            </w:pPr>
            <w:r>
              <w:rPr>
                <w:rFonts w:hint="eastAsia" w:hAnsi="宋体" w:cs="宋体"/>
                <w:color w:val="000000"/>
                <w:sz w:val="21"/>
                <w:szCs w:val="21"/>
                <w:highlight w:val="none"/>
              </w:rPr>
              <w:t>（10分）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9642BC4">
            <w:pPr>
              <w:widowControl/>
              <w:spacing w:line="360" w:lineRule="exact"/>
              <w:ind w:firstLine="420" w:firstLineChars="200"/>
              <w:jc w:val="left"/>
              <w:rPr>
                <w:rFonts w:hAnsi="宋体" w:cs="宋体"/>
                <w:color w:val="000000"/>
                <w:sz w:val="21"/>
                <w:szCs w:val="21"/>
                <w:highlight w:val="none"/>
              </w:rPr>
            </w:pPr>
            <w:r>
              <w:rPr>
                <w:rFonts w:hint="eastAsia" w:hAnsi="宋体" w:cs="宋体"/>
                <w:color w:val="000000"/>
                <w:sz w:val="21"/>
                <w:szCs w:val="21"/>
                <w:highlight w:val="none"/>
              </w:rPr>
              <w:t>1、投标人202</w:t>
            </w:r>
            <w:r>
              <w:rPr>
                <w:rFonts w:hint="eastAsia" w:hAnsi="宋体" w:cs="宋体"/>
                <w:color w:val="000000"/>
                <w:sz w:val="21"/>
                <w:szCs w:val="21"/>
                <w:highlight w:val="none"/>
                <w:lang w:val="en-US" w:eastAsia="zh-CN"/>
              </w:rPr>
              <w:t>3</w:t>
            </w:r>
            <w:r>
              <w:rPr>
                <w:rFonts w:hint="eastAsia" w:hAnsi="宋体" w:cs="宋体"/>
                <w:color w:val="000000"/>
                <w:sz w:val="21"/>
                <w:szCs w:val="21"/>
                <w:highlight w:val="none"/>
              </w:rPr>
              <w:t>年1月1日至今获得过地市级或以上税务行政主管部门评为“A级纳税人”称号的，得</w:t>
            </w:r>
            <w:r>
              <w:rPr>
                <w:rFonts w:hint="eastAsia" w:hAnsi="宋体" w:cs="宋体"/>
                <w:color w:val="000000"/>
                <w:sz w:val="21"/>
                <w:szCs w:val="21"/>
                <w:highlight w:val="none"/>
                <w:u w:val="single"/>
              </w:rPr>
              <w:t>5</w:t>
            </w:r>
            <w:r>
              <w:rPr>
                <w:rFonts w:hint="eastAsia" w:hAnsi="宋体" w:cs="宋体"/>
                <w:color w:val="000000"/>
                <w:sz w:val="21"/>
                <w:szCs w:val="21"/>
                <w:highlight w:val="none"/>
              </w:rPr>
              <w:t>分。</w:t>
            </w:r>
          </w:p>
          <w:p w14:paraId="209EFAE3">
            <w:pPr>
              <w:widowControl/>
              <w:spacing w:line="360" w:lineRule="exact"/>
              <w:ind w:firstLine="420" w:firstLineChars="200"/>
              <w:jc w:val="left"/>
              <w:rPr>
                <w:rFonts w:hAnsi="宋体" w:cs="宋体"/>
                <w:color w:val="000000"/>
                <w:sz w:val="21"/>
                <w:szCs w:val="21"/>
                <w:highlight w:val="none"/>
              </w:rPr>
            </w:pPr>
            <w:r>
              <w:rPr>
                <w:rFonts w:hint="eastAsia" w:hAnsi="宋体" w:cs="宋体"/>
                <w:color w:val="000000"/>
                <w:sz w:val="21"/>
                <w:szCs w:val="21"/>
                <w:highlight w:val="none"/>
              </w:rPr>
              <w:t>2、其他情形的，不予计分。</w:t>
            </w:r>
          </w:p>
          <w:p w14:paraId="403F9D48">
            <w:pPr>
              <w:spacing w:line="360" w:lineRule="exact"/>
              <w:ind w:firstLine="420" w:firstLineChars="200"/>
              <w:jc w:val="left"/>
              <w:rPr>
                <w:rFonts w:hint="eastAsia" w:asciiTheme="minorEastAsia" w:hAnsiTheme="minorEastAsia" w:eastAsiaTheme="minorEastAsia" w:cstheme="minorEastAsia"/>
                <w:color w:val="000000"/>
                <w:sz w:val="24"/>
                <w:szCs w:val="24"/>
                <w:highlight w:val="none"/>
              </w:rPr>
            </w:pPr>
            <w:r>
              <w:rPr>
                <w:rFonts w:hint="eastAsia" w:hAnsi="宋体" w:cs="宋体"/>
                <w:color w:val="000000"/>
                <w:sz w:val="21"/>
                <w:szCs w:val="21"/>
                <w:highlight w:val="none"/>
              </w:rPr>
              <w:t>说明：本项最高得5分。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1CF718DF">
            <w:pPr>
              <w:spacing w:line="360" w:lineRule="exact"/>
              <w:jc w:val="left"/>
              <w:rPr>
                <w:rFonts w:hAnsi="宋体" w:cs="宋体"/>
                <w:color w:val="000000"/>
                <w:sz w:val="21"/>
                <w:szCs w:val="21"/>
                <w:highlight w:val="none"/>
              </w:rPr>
            </w:pPr>
            <w:r>
              <w:rPr>
                <w:rFonts w:hint="eastAsia" w:hAnsi="宋体" w:cs="宋体"/>
                <w:color w:val="000000"/>
                <w:sz w:val="21"/>
                <w:szCs w:val="21"/>
                <w:highlight w:val="none"/>
              </w:rPr>
              <w:t>1.须提供企业纳税信用A级纳税人相应证书或证明材料彩色扫描件或提供国家税务总局纳税信用A级纳税人查询截图并加盖单位公章，否则不得分。</w:t>
            </w:r>
          </w:p>
          <w:p w14:paraId="5BBEC758">
            <w:pPr>
              <w:spacing w:line="360" w:lineRule="exact"/>
              <w:jc w:val="left"/>
              <w:rPr>
                <w:rFonts w:hint="eastAsia" w:asciiTheme="minorEastAsia" w:hAnsiTheme="minorEastAsia" w:eastAsiaTheme="minorEastAsia" w:cstheme="minorEastAsia"/>
                <w:color w:val="000000"/>
                <w:sz w:val="24"/>
                <w:szCs w:val="24"/>
                <w:highlight w:val="none"/>
              </w:rPr>
            </w:pPr>
            <w:r>
              <w:rPr>
                <w:rFonts w:hint="eastAsia" w:hAnsi="宋体" w:cs="宋体"/>
                <w:color w:val="000000"/>
                <w:sz w:val="21"/>
                <w:szCs w:val="21"/>
                <w:highlight w:val="none"/>
              </w:rPr>
              <w:t>2.只计算投标人自身（不计算投标人的分公司、子公司及分支机构）。</w:t>
            </w:r>
          </w:p>
        </w:tc>
      </w:tr>
      <w:tr w14:paraId="35C4E632">
        <w:tblPrEx>
          <w:tblCellMar>
            <w:top w:w="0" w:type="dxa"/>
            <w:left w:w="108" w:type="dxa"/>
            <w:bottom w:w="0" w:type="dxa"/>
            <w:right w:w="108" w:type="dxa"/>
          </w:tblCellMar>
        </w:tblPrEx>
        <w:trPr>
          <w:trHeight w:val="1260" w:hRule="atLeast"/>
          <w:jc w:val="center"/>
        </w:trPr>
        <w:tc>
          <w:tcPr>
            <w:tcW w:w="1404" w:type="dxa"/>
            <w:vMerge w:val="continue"/>
            <w:tcBorders>
              <w:left w:val="single" w:color="auto" w:sz="4" w:space="0"/>
              <w:bottom w:val="single" w:color="auto" w:sz="4" w:space="0"/>
              <w:right w:val="single" w:color="auto" w:sz="4" w:space="0"/>
            </w:tcBorders>
            <w:noWrap w:val="0"/>
            <w:vAlign w:val="center"/>
          </w:tcPr>
          <w:p w14:paraId="464E2D1C">
            <w:pPr>
              <w:spacing w:line="360" w:lineRule="exact"/>
              <w:ind w:left="24" w:leftChars="10" w:right="24" w:rightChars="10"/>
              <w:jc w:val="center"/>
              <w:rPr>
                <w:rFonts w:hint="eastAsia" w:asciiTheme="minorEastAsia" w:hAnsiTheme="minorEastAsia" w:eastAsiaTheme="minorEastAsia" w:cstheme="minorEastAsia"/>
                <w:snapToGrid w:val="0"/>
                <w:kern w:val="0"/>
                <w:sz w:val="24"/>
                <w:szCs w:val="24"/>
                <w:highlight w:val="none"/>
              </w:rPr>
            </w:pPr>
          </w:p>
        </w:tc>
        <w:tc>
          <w:tcPr>
            <w:tcW w:w="4480" w:type="dxa"/>
            <w:tcBorders>
              <w:top w:val="single" w:color="auto" w:sz="4" w:space="0"/>
              <w:left w:val="single" w:color="auto" w:sz="4" w:space="0"/>
              <w:bottom w:val="single" w:color="auto" w:sz="4" w:space="0"/>
              <w:right w:val="single" w:color="auto" w:sz="4" w:space="0"/>
            </w:tcBorders>
            <w:noWrap w:val="0"/>
            <w:vAlign w:val="center"/>
          </w:tcPr>
          <w:p w14:paraId="442CB380">
            <w:pPr>
              <w:spacing w:line="360" w:lineRule="exact"/>
              <w:ind w:firstLine="420" w:firstLineChars="200"/>
              <w:jc w:val="left"/>
              <w:rPr>
                <w:rFonts w:hAnsi="宋体" w:cs="宋体"/>
                <w:color w:val="000000"/>
                <w:sz w:val="21"/>
                <w:szCs w:val="21"/>
                <w:highlight w:val="none"/>
              </w:rPr>
            </w:pPr>
            <w:r>
              <w:rPr>
                <w:rFonts w:hint="eastAsia" w:hAnsi="宋体" w:cs="宋体"/>
                <w:color w:val="000000"/>
                <w:sz w:val="21"/>
                <w:szCs w:val="21"/>
                <w:highlight w:val="none"/>
              </w:rPr>
              <w:t>投标人202</w:t>
            </w:r>
            <w:r>
              <w:rPr>
                <w:rFonts w:hint="eastAsia" w:hAnsi="宋体" w:cs="宋体"/>
                <w:color w:val="000000"/>
                <w:sz w:val="21"/>
                <w:szCs w:val="21"/>
                <w:highlight w:val="none"/>
                <w:lang w:val="en-US" w:eastAsia="zh-CN"/>
              </w:rPr>
              <w:t>3</w:t>
            </w:r>
            <w:r>
              <w:rPr>
                <w:rFonts w:hint="eastAsia" w:hAnsi="宋体" w:cs="宋体"/>
                <w:color w:val="000000"/>
                <w:sz w:val="21"/>
                <w:szCs w:val="21"/>
                <w:highlight w:val="none"/>
              </w:rPr>
              <w:t>年1月1日至今，投标人获得过企业信用等级证书并在有效期内的：</w:t>
            </w:r>
          </w:p>
          <w:p w14:paraId="2609D145">
            <w:pPr>
              <w:spacing w:line="360" w:lineRule="exact"/>
              <w:ind w:firstLine="420" w:firstLineChars="200"/>
              <w:jc w:val="left"/>
              <w:rPr>
                <w:rFonts w:hAnsi="宋体" w:cs="宋体"/>
                <w:color w:val="000000"/>
                <w:sz w:val="21"/>
                <w:szCs w:val="21"/>
                <w:highlight w:val="none"/>
              </w:rPr>
            </w:pPr>
            <w:r>
              <w:rPr>
                <w:rFonts w:hint="eastAsia" w:hAnsi="宋体" w:cs="宋体"/>
                <w:color w:val="000000"/>
                <w:sz w:val="21"/>
                <w:szCs w:val="21"/>
                <w:highlight w:val="none"/>
              </w:rPr>
              <w:t>1、AAA级的得5分；</w:t>
            </w:r>
          </w:p>
          <w:p w14:paraId="0CD0166C">
            <w:pPr>
              <w:spacing w:line="360" w:lineRule="exact"/>
              <w:ind w:firstLine="420" w:firstLineChars="200"/>
              <w:jc w:val="left"/>
              <w:rPr>
                <w:rFonts w:hAnsi="宋体" w:cs="宋体"/>
                <w:color w:val="000000"/>
                <w:sz w:val="21"/>
                <w:szCs w:val="21"/>
                <w:highlight w:val="none"/>
              </w:rPr>
            </w:pPr>
            <w:r>
              <w:rPr>
                <w:rFonts w:hint="eastAsia" w:hAnsi="宋体" w:cs="宋体"/>
                <w:color w:val="000000"/>
                <w:sz w:val="21"/>
                <w:szCs w:val="21"/>
                <w:highlight w:val="none"/>
              </w:rPr>
              <w:t>2、AA级的得3分；</w:t>
            </w:r>
          </w:p>
          <w:p w14:paraId="0F309BCE">
            <w:pPr>
              <w:spacing w:line="360" w:lineRule="exact"/>
              <w:ind w:firstLine="420" w:firstLineChars="200"/>
              <w:jc w:val="left"/>
              <w:rPr>
                <w:rFonts w:hAnsi="宋体" w:cs="宋体"/>
                <w:color w:val="000000"/>
                <w:sz w:val="21"/>
                <w:szCs w:val="21"/>
                <w:highlight w:val="none"/>
              </w:rPr>
            </w:pPr>
            <w:r>
              <w:rPr>
                <w:rFonts w:hint="eastAsia" w:hAnsi="宋体" w:cs="宋体"/>
                <w:color w:val="000000"/>
                <w:sz w:val="21"/>
                <w:szCs w:val="21"/>
                <w:highlight w:val="none"/>
              </w:rPr>
              <w:t>3、A级的得1分。</w:t>
            </w:r>
          </w:p>
          <w:p w14:paraId="577F5D64">
            <w:pPr>
              <w:spacing w:line="360" w:lineRule="exact"/>
              <w:ind w:firstLine="420" w:firstLineChars="200"/>
              <w:jc w:val="left"/>
              <w:rPr>
                <w:rFonts w:hint="eastAsia" w:asciiTheme="minorEastAsia" w:hAnsiTheme="minorEastAsia" w:eastAsiaTheme="minorEastAsia" w:cstheme="minorEastAsia"/>
                <w:color w:val="000000"/>
                <w:sz w:val="24"/>
                <w:szCs w:val="24"/>
                <w:highlight w:val="none"/>
              </w:rPr>
            </w:pPr>
            <w:r>
              <w:rPr>
                <w:rFonts w:hint="eastAsia" w:hAnsi="宋体" w:cs="宋体"/>
                <w:color w:val="000000"/>
                <w:sz w:val="21"/>
                <w:szCs w:val="21"/>
                <w:highlight w:val="none"/>
              </w:rPr>
              <w:t>说明：本项最高得5分。</w:t>
            </w:r>
          </w:p>
        </w:tc>
        <w:tc>
          <w:tcPr>
            <w:tcW w:w="34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09CA17">
            <w:pPr>
              <w:spacing w:line="360" w:lineRule="exact"/>
              <w:jc w:val="left"/>
              <w:rPr>
                <w:rFonts w:hAnsi="宋体" w:cs="宋体"/>
                <w:color w:val="000000"/>
                <w:sz w:val="21"/>
                <w:szCs w:val="21"/>
                <w:highlight w:val="none"/>
              </w:rPr>
            </w:pPr>
            <w:r>
              <w:rPr>
                <w:rFonts w:hint="eastAsia" w:hAnsi="宋体" w:cs="宋体"/>
                <w:color w:val="000000"/>
                <w:sz w:val="21"/>
                <w:szCs w:val="21"/>
                <w:highlight w:val="none"/>
              </w:rPr>
              <w:t>1.须提供有效期内的认证证书彩色扫描件并加盖单位公章。</w:t>
            </w:r>
          </w:p>
          <w:p w14:paraId="11BCE2D8">
            <w:pPr>
              <w:pStyle w:val="42"/>
              <w:spacing w:line="360" w:lineRule="exact"/>
              <w:jc w:val="left"/>
              <w:rPr>
                <w:rFonts w:hint="eastAsia" w:ascii="宋体" w:hAnsi="宋体" w:eastAsia="宋体" w:cs="宋体"/>
                <w:b/>
                <w:color w:val="000000"/>
                <w:kern w:val="2"/>
                <w:sz w:val="21"/>
                <w:szCs w:val="21"/>
                <w:highlight w:val="none"/>
                <w:lang w:val="en-US" w:eastAsia="zh-CN" w:bidi="ar-SA"/>
              </w:rPr>
            </w:pPr>
            <w:r>
              <w:rPr>
                <w:rFonts w:hint="eastAsia" w:ascii="宋体" w:hAnsi="宋体" w:cs="宋体"/>
                <w:b w:val="0"/>
                <w:color w:val="000000"/>
                <w:szCs w:val="21"/>
                <w:highlight w:val="none"/>
              </w:rPr>
              <w:t>2.证书不在有效期内的，不予计分。</w:t>
            </w:r>
          </w:p>
        </w:tc>
      </w:tr>
      <w:tr w14:paraId="3E0287D3">
        <w:tblPrEx>
          <w:tblCellMar>
            <w:top w:w="0" w:type="dxa"/>
            <w:left w:w="108" w:type="dxa"/>
            <w:bottom w:w="0" w:type="dxa"/>
            <w:right w:w="108" w:type="dxa"/>
          </w:tblCellMar>
        </w:tblPrEx>
        <w:trPr>
          <w:trHeight w:val="2826" w:hRule="atLeast"/>
          <w:jc w:val="center"/>
        </w:trPr>
        <w:tc>
          <w:tcPr>
            <w:tcW w:w="14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366968">
            <w:pPr>
              <w:pStyle w:val="11"/>
              <w:adjustRightInd w:val="0"/>
              <w:snapToGrid w:val="0"/>
              <w:spacing w:after="0" w:line="360" w:lineRule="exact"/>
              <w:jc w:val="center"/>
              <w:rPr>
                <w:rFonts w:hint="eastAsia" w:ascii="Times New Roman"/>
                <w:snapToGrid w:val="0"/>
                <w:kern w:val="0"/>
                <w:sz w:val="21"/>
                <w:szCs w:val="21"/>
                <w:lang w:bidi="ar"/>
              </w:rPr>
            </w:pPr>
            <w:r>
              <w:rPr>
                <w:rFonts w:hint="eastAsia" w:ascii="Times New Roman"/>
                <w:snapToGrid w:val="0"/>
                <w:kern w:val="0"/>
                <w:sz w:val="21"/>
                <w:szCs w:val="21"/>
                <w:lang w:bidi="ar"/>
              </w:rPr>
              <w:t>企业管理</w:t>
            </w:r>
          </w:p>
          <w:p w14:paraId="326B53F8">
            <w:pPr>
              <w:pStyle w:val="11"/>
              <w:adjustRightInd w:val="0"/>
              <w:snapToGrid w:val="0"/>
              <w:spacing w:after="0" w:line="360" w:lineRule="exact"/>
              <w:jc w:val="center"/>
              <w:rPr>
                <w:rFonts w:hint="eastAsia" w:ascii="Times New Roman"/>
                <w:snapToGrid w:val="0"/>
                <w:kern w:val="0"/>
                <w:sz w:val="21"/>
                <w:szCs w:val="21"/>
                <w:lang w:bidi="ar"/>
              </w:rPr>
            </w:pPr>
            <w:r>
              <w:rPr>
                <w:rFonts w:hint="eastAsia" w:ascii="Times New Roman"/>
                <w:snapToGrid w:val="0"/>
                <w:kern w:val="0"/>
                <w:sz w:val="21"/>
                <w:szCs w:val="21"/>
                <w:lang w:bidi="ar"/>
              </w:rPr>
              <w:t>体系认证</w:t>
            </w:r>
          </w:p>
          <w:p w14:paraId="56BFAEFC">
            <w:pPr>
              <w:adjustRightInd w:val="0"/>
              <w:snapToGrid w:val="0"/>
              <w:spacing w:line="360" w:lineRule="exact"/>
              <w:jc w:val="center"/>
              <w:rPr>
                <w:rFonts w:hint="eastAsia" w:ascii="宋体" w:hAnsi="Times New Roman" w:eastAsia="宋体" w:cs="Times New Roman"/>
                <w:b/>
                <w:bCs/>
                <w:snapToGrid w:val="0"/>
                <w:kern w:val="0"/>
                <w:sz w:val="21"/>
                <w:szCs w:val="21"/>
                <w:lang w:val="en-US" w:eastAsia="zh-CN" w:bidi="ar"/>
              </w:rPr>
            </w:pPr>
            <w:r>
              <w:rPr>
                <w:rFonts w:hint="eastAsia" w:hAnsi="宋体"/>
                <w:sz w:val="21"/>
                <w:szCs w:val="21"/>
              </w:rPr>
              <w:t>（5分）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23EB206E">
            <w:pPr>
              <w:spacing w:line="360" w:lineRule="exact"/>
              <w:ind w:firstLine="420" w:firstLineChars="200"/>
              <w:jc w:val="left"/>
              <w:rPr>
                <w:rFonts w:hAnsi="宋体" w:cs="宋体"/>
                <w:color w:val="000000"/>
                <w:sz w:val="21"/>
                <w:szCs w:val="21"/>
              </w:rPr>
            </w:pPr>
            <w:r>
              <w:rPr>
                <w:rFonts w:hint="eastAsia" w:hAnsi="宋体" w:cs="宋体"/>
                <w:color w:val="000000"/>
                <w:sz w:val="21"/>
                <w:szCs w:val="21"/>
              </w:rPr>
              <w:t>质量管理体系认证证书、职业健康安全管理体系认证证书、环境管理体系认证证书中：</w:t>
            </w:r>
          </w:p>
          <w:p w14:paraId="18D81E3E">
            <w:pPr>
              <w:spacing w:line="360" w:lineRule="exact"/>
              <w:ind w:firstLine="420" w:firstLineChars="200"/>
              <w:jc w:val="left"/>
              <w:rPr>
                <w:rFonts w:hAnsi="宋体" w:cs="宋体"/>
                <w:color w:val="000000"/>
                <w:sz w:val="21"/>
                <w:szCs w:val="21"/>
              </w:rPr>
            </w:pPr>
            <w:r>
              <w:rPr>
                <w:rFonts w:hint="eastAsia" w:hAnsi="宋体" w:cs="宋体"/>
                <w:color w:val="000000"/>
                <w:sz w:val="21"/>
                <w:szCs w:val="21"/>
              </w:rPr>
              <w:t>1、企业获得3项证书的得5分；</w:t>
            </w:r>
          </w:p>
          <w:p w14:paraId="0C415383">
            <w:pPr>
              <w:spacing w:line="360" w:lineRule="exact"/>
              <w:ind w:firstLine="420" w:firstLineChars="200"/>
              <w:jc w:val="left"/>
              <w:rPr>
                <w:rFonts w:hAnsi="宋体" w:cs="宋体"/>
                <w:color w:val="000000"/>
                <w:sz w:val="21"/>
                <w:szCs w:val="21"/>
              </w:rPr>
            </w:pPr>
            <w:r>
              <w:rPr>
                <w:rFonts w:hint="eastAsia" w:hAnsi="宋体" w:cs="宋体"/>
                <w:color w:val="000000"/>
                <w:sz w:val="21"/>
                <w:szCs w:val="21"/>
              </w:rPr>
              <w:t>2、企业获得其中2项证书的得3分；</w:t>
            </w:r>
          </w:p>
          <w:p w14:paraId="7BD0670F">
            <w:pPr>
              <w:spacing w:line="360" w:lineRule="exact"/>
              <w:ind w:firstLine="420" w:firstLineChars="200"/>
              <w:jc w:val="left"/>
              <w:rPr>
                <w:rFonts w:hAnsi="宋体" w:cs="宋体"/>
                <w:color w:val="000000"/>
                <w:sz w:val="21"/>
                <w:szCs w:val="21"/>
              </w:rPr>
            </w:pPr>
            <w:r>
              <w:rPr>
                <w:rFonts w:hint="eastAsia" w:hAnsi="宋体" w:cs="宋体"/>
                <w:color w:val="000000"/>
                <w:sz w:val="21"/>
                <w:szCs w:val="21"/>
              </w:rPr>
              <w:t>3、企业获得其中1项证书的得1分；</w:t>
            </w:r>
          </w:p>
          <w:p w14:paraId="040D4CB5">
            <w:pPr>
              <w:spacing w:line="360" w:lineRule="exact"/>
              <w:ind w:firstLine="420" w:firstLineChars="200"/>
              <w:jc w:val="left"/>
              <w:rPr>
                <w:rFonts w:hAnsi="宋体" w:cs="宋体"/>
                <w:color w:val="000000"/>
                <w:sz w:val="21"/>
                <w:szCs w:val="21"/>
              </w:rPr>
            </w:pPr>
            <w:r>
              <w:rPr>
                <w:rFonts w:hint="eastAsia" w:hAnsi="宋体" w:cs="宋体"/>
                <w:color w:val="000000"/>
                <w:sz w:val="21"/>
                <w:szCs w:val="21"/>
              </w:rPr>
              <w:t>4、以上认证证书均未获得的，不予计分。</w:t>
            </w:r>
          </w:p>
          <w:p w14:paraId="76FF5B2B">
            <w:pPr>
              <w:spacing w:line="360" w:lineRule="exact"/>
              <w:ind w:firstLine="420" w:firstLineChars="200"/>
              <w:jc w:val="left"/>
              <w:rPr>
                <w:rFonts w:hint="eastAsia" w:asciiTheme="minorEastAsia" w:hAnsiTheme="minorEastAsia" w:eastAsiaTheme="minorEastAsia" w:cstheme="minorEastAsia"/>
                <w:color w:val="000000"/>
                <w:kern w:val="2"/>
                <w:sz w:val="24"/>
                <w:szCs w:val="24"/>
                <w:highlight w:val="yellow"/>
                <w:lang w:val="en-US" w:eastAsia="zh-CN" w:bidi="ar-SA"/>
              </w:rPr>
            </w:pPr>
            <w:r>
              <w:rPr>
                <w:rFonts w:hint="eastAsia" w:hAnsi="宋体" w:cs="宋体"/>
                <w:color w:val="000000"/>
                <w:sz w:val="21"/>
                <w:szCs w:val="21"/>
              </w:rPr>
              <w:t>说明：本项最高得5分。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0607817F">
            <w:pPr>
              <w:spacing w:line="360" w:lineRule="exact"/>
              <w:jc w:val="left"/>
              <w:rPr>
                <w:rFonts w:hint="eastAsia" w:asciiTheme="minorEastAsia" w:hAnsiTheme="minorEastAsia" w:eastAsiaTheme="minorEastAsia" w:cstheme="minorEastAsia"/>
                <w:color w:val="000000"/>
                <w:kern w:val="2"/>
                <w:sz w:val="24"/>
                <w:szCs w:val="24"/>
                <w:highlight w:val="yellow"/>
                <w:lang w:val="en-US" w:eastAsia="zh-CN" w:bidi="ar-SA"/>
              </w:rPr>
            </w:pPr>
            <w:r>
              <w:rPr>
                <w:rFonts w:hint="eastAsia" w:hAnsi="宋体" w:cs="宋体"/>
                <w:color w:val="000000"/>
                <w:sz w:val="21"/>
                <w:szCs w:val="21"/>
              </w:rPr>
              <w:t>须附在有效期内的认证证书彩色扫描件，管理体系认证证明须同时提供认证证书以及国家认证认可监督管理委员会信息中心认证认可业务信息统一查询平台(http://cx.cnca.cn/）查询结果网页截图，否则不得分。</w:t>
            </w:r>
          </w:p>
        </w:tc>
      </w:tr>
      <w:tr w14:paraId="112C21C7">
        <w:tblPrEx>
          <w:tblCellMar>
            <w:top w:w="0" w:type="dxa"/>
            <w:left w:w="108" w:type="dxa"/>
            <w:bottom w:w="0" w:type="dxa"/>
            <w:right w:w="108" w:type="dxa"/>
          </w:tblCellMar>
        </w:tblPrEx>
        <w:trPr>
          <w:trHeight w:val="96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BDF3E6D">
            <w:pPr>
              <w:pStyle w:val="11"/>
              <w:adjustRightInd w:val="0"/>
              <w:snapToGrid w:val="0"/>
              <w:spacing w:after="0" w:line="240" w:lineRule="auto"/>
              <w:jc w:val="left"/>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技术部分（监理大纲），满分：</w:t>
            </w:r>
            <w:r>
              <w:rPr>
                <w:rFonts w:hint="eastAsia" w:asciiTheme="minorEastAsia" w:hAnsiTheme="minorEastAsia" w:eastAsiaTheme="minorEastAsia" w:cstheme="minorEastAsia"/>
                <w:snapToGrid w:val="0"/>
                <w:kern w:val="0"/>
                <w:sz w:val="24"/>
                <w:szCs w:val="24"/>
                <w:highlight w:val="none"/>
                <w:u w:val="single"/>
                <w:lang w:val="en-US" w:eastAsia="zh-CN"/>
              </w:rPr>
              <w:t>3</w:t>
            </w:r>
            <w:r>
              <w:rPr>
                <w:rFonts w:hint="eastAsia" w:asciiTheme="minorEastAsia" w:hAnsiTheme="minorEastAsia" w:eastAsiaTheme="minorEastAsia" w:cstheme="minorEastAsia"/>
                <w:snapToGrid w:val="0"/>
                <w:kern w:val="0"/>
                <w:sz w:val="24"/>
                <w:szCs w:val="24"/>
                <w:highlight w:val="none"/>
                <w:u w:val="single"/>
              </w:rPr>
              <w:t>0</w:t>
            </w:r>
            <w:r>
              <w:rPr>
                <w:rFonts w:hint="eastAsia" w:asciiTheme="minorEastAsia" w:hAnsiTheme="minorEastAsia" w:eastAsiaTheme="minorEastAsia" w:cstheme="minorEastAsia"/>
                <w:snapToGrid w:val="0"/>
                <w:kern w:val="0"/>
                <w:sz w:val="24"/>
                <w:szCs w:val="24"/>
                <w:highlight w:val="none"/>
              </w:rPr>
              <w:t>分。</w:t>
            </w:r>
          </w:p>
        </w:tc>
      </w:tr>
      <w:tr w14:paraId="132DB810">
        <w:tblPrEx>
          <w:tblCellMar>
            <w:top w:w="0" w:type="dxa"/>
            <w:left w:w="108" w:type="dxa"/>
            <w:bottom w:w="0" w:type="dxa"/>
            <w:right w:w="108" w:type="dxa"/>
          </w:tblCellMar>
        </w:tblPrEx>
        <w:trPr>
          <w:trHeight w:val="829"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7F28BEF">
            <w:pPr>
              <w:pStyle w:val="11"/>
              <w:adjustRightInd w:val="0"/>
              <w:snapToGrid w:val="0"/>
              <w:spacing w:after="0" w:line="240" w:lineRule="auto"/>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评分因素</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4D760616">
            <w:pPr>
              <w:pStyle w:val="11"/>
              <w:adjustRightInd w:val="0"/>
              <w:snapToGrid w:val="0"/>
              <w:spacing w:after="0" w:line="240" w:lineRule="auto"/>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评分标准</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532E20C0">
            <w:pPr>
              <w:pStyle w:val="11"/>
              <w:adjustRightInd w:val="0"/>
              <w:snapToGrid w:val="0"/>
              <w:spacing w:after="0" w:line="240" w:lineRule="auto"/>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备注</w:t>
            </w:r>
          </w:p>
        </w:tc>
      </w:tr>
      <w:tr w14:paraId="7E8BD116">
        <w:tblPrEx>
          <w:tblCellMar>
            <w:top w:w="0" w:type="dxa"/>
            <w:left w:w="108" w:type="dxa"/>
            <w:bottom w:w="0" w:type="dxa"/>
            <w:right w:w="108" w:type="dxa"/>
          </w:tblCellMar>
        </w:tblPrEx>
        <w:trPr>
          <w:trHeight w:val="1875"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7142C44">
            <w:pPr>
              <w:pStyle w:val="100"/>
              <w:jc w:val="center"/>
              <w:rPr>
                <w:rFonts w:ascii="宋体" w:hAnsi="宋体" w:eastAsia="宋体" w:cs="宋体"/>
                <w:color w:val="000000"/>
                <w:szCs w:val="21"/>
              </w:rPr>
            </w:pPr>
            <w:r>
              <w:rPr>
                <w:rFonts w:hint="eastAsia" w:ascii="宋体" w:hAnsi="宋体" w:eastAsia="宋体" w:cs="宋体"/>
                <w:color w:val="000000"/>
                <w:szCs w:val="21"/>
              </w:rPr>
              <w:t>监理依据</w:t>
            </w:r>
          </w:p>
          <w:p w14:paraId="2A25EEBA">
            <w:pPr>
              <w:pStyle w:val="100"/>
              <w:jc w:val="center"/>
              <w:rPr>
                <w:rFonts w:ascii="宋体" w:hAnsi="宋体" w:eastAsia="宋体" w:cs="宋体"/>
                <w:color w:val="000000"/>
                <w:szCs w:val="21"/>
              </w:rPr>
            </w:pPr>
            <w:r>
              <w:rPr>
                <w:rFonts w:hint="eastAsia" w:ascii="宋体" w:hAnsi="宋体" w:eastAsia="宋体" w:cs="宋体"/>
                <w:color w:val="000000"/>
                <w:szCs w:val="21"/>
              </w:rPr>
              <w:t>及工作目标</w:t>
            </w:r>
          </w:p>
          <w:p w14:paraId="70AED10B">
            <w:pPr>
              <w:spacing w:line="240" w:lineRule="auto"/>
              <w:jc w:val="center"/>
              <w:rPr>
                <w:rFonts w:hint="eastAsia" w:asciiTheme="minorEastAsia" w:hAnsiTheme="minorEastAsia" w:eastAsiaTheme="minorEastAsia" w:cstheme="minorEastAsia"/>
                <w:color w:val="000000"/>
                <w:sz w:val="24"/>
                <w:szCs w:val="24"/>
                <w:highlight w:val="yellow"/>
              </w:rPr>
            </w:pPr>
            <w:r>
              <w:rPr>
                <w:rFonts w:hint="eastAsia" w:hAnsi="宋体" w:cs="宋体"/>
                <w:color w:val="000000"/>
                <w:sz w:val="21"/>
                <w:szCs w:val="21"/>
              </w:rPr>
              <w:t>（</w:t>
            </w:r>
            <w:r>
              <w:rPr>
                <w:rFonts w:hint="eastAsia" w:hAnsi="宋体" w:cs="宋体"/>
                <w:color w:val="000000"/>
                <w:sz w:val="21"/>
                <w:szCs w:val="21"/>
                <w:lang w:val="en-US" w:eastAsia="zh-CN"/>
              </w:rPr>
              <w:t>3</w:t>
            </w:r>
            <w:r>
              <w:rPr>
                <w:rFonts w:hint="eastAsia" w:hAnsi="宋体" w:cs="宋体"/>
                <w:color w:val="000000"/>
                <w:sz w:val="21"/>
                <w:szCs w:val="21"/>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09BE9AD5">
            <w:pPr>
              <w:spacing w:line="240" w:lineRule="auto"/>
              <w:jc w:val="left"/>
              <w:rPr>
                <w:rFonts w:hAnsi="宋体" w:cs="宋体"/>
                <w:color w:val="000000"/>
                <w:sz w:val="21"/>
                <w:szCs w:val="21"/>
              </w:rPr>
            </w:pPr>
            <w:r>
              <w:rPr>
                <w:rFonts w:hint="eastAsia" w:hAnsi="宋体" w:cs="宋体"/>
                <w:color w:val="000000"/>
                <w:sz w:val="21"/>
                <w:szCs w:val="21"/>
              </w:rPr>
              <w:t>【优】得该项评分因素分值的90%～100%（含90%）。</w:t>
            </w:r>
          </w:p>
          <w:p w14:paraId="285FDA75">
            <w:pPr>
              <w:spacing w:line="240" w:lineRule="auto"/>
              <w:jc w:val="left"/>
              <w:rPr>
                <w:rFonts w:hAnsi="宋体" w:cs="宋体"/>
                <w:color w:val="000000"/>
                <w:sz w:val="21"/>
                <w:szCs w:val="21"/>
              </w:rPr>
            </w:pPr>
            <w:r>
              <w:rPr>
                <w:rFonts w:hint="eastAsia" w:hAnsi="宋体" w:cs="宋体"/>
                <w:color w:val="000000"/>
                <w:sz w:val="21"/>
                <w:szCs w:val="21"/>
              </w:rPr>
              <w:t>【良】得该项评分因素分值的80%～90%（含80%）。</w:t>
            </w:r>
          </w:p>
          <w:p w14:paraId="6AB5AD22">
            <w:pPr>
              <w:spacing w:line="240" w:lineRule="auto"/>
              <w:jc w:val="left"/>
              <w:rPr>
                <w:rFonts w:hAnsi="宋体" w:cs="宋体"/>
                <w:color w:val="000000"/>
                <w:sz w:val="21"/>
                <w:szCs w:val="21"/>
              </w:rPr>
            </w:pPr>
            <w:r>
              <w:rPr>
                <w:rFonts w:hint="eastAsia" w:hAnsi="宋体" w:cs="宋体"/>
                <w:color w:val="000000"/>
                <w:sz w:val="21"/>
                <w:szCs w:val="21"/>
              </w:rPr>
              <w:t>【中】得该项评分因素分值的70%～80%（含70%）。</w:t>
            </w:r>
          </w:p>
          <w:p w14:paraId="28C545C2">
            <w:pPr>
              <w:spacing w:line="240" w:lineRule="auto"/>
              <w:jc w:val="left"/>
              <w:rPr>
                <w:rFonts w:hint="eastAsia" w:asciiTheme="minorEastAsia" w:hAnsiTheme="minorEastAsia" w:eastAsiaTheme="minorEastAsia" w:cstheme="minorEastAsia"/>
                <w:color w:val="000000"/>
                <w:sz w:val="24"/>
                <w:szCs w:val="24"/>
                <w:highlight w:val="yellow"/>
              </w:rPr>
            </w:pPr>
            <w:r>
              <w:rPr>
                <w:rFonts w:hint="eastAsia" w:hAnsi="宋体" w:cs="宋体"/>
                <w:color w:val="000000"/>
                <w:sz w:val="21"/>
                <w:szCs w:val="21"/>
              </w:rPr>
              <w:t>【差】得该项评分因素分值的60%～70%（含60%）。</w:t>
            </w:r>
          </w:p>
        </w:tc>
        <w:tc>
          <w:tcPr>
            <w:tcW w:w="34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52E935">
            <w:pPr>
              <w:pStyle w:val="112"/>
              <w:adjustRightInd w:val="0"/>
              <w:snapToGrid w:val="0"/>
              <w:rPr>
                <w:rFonts w:hint="eastAsia" w:ascii="Times New Roman" w:hAnsi="Times New Roman" w:eastAsia="宋体" w:cs="Times New Roman"/>
                <w:snapToGrid w:val="0"/>
                <w:kern w:val="0"/>
                <w:sz w:val="21"/>
                <w:szCs w:val="21"/>
                <w:lang w:val="en-US" w:eastAsia="zh-CN" w:bidi="ar-SA"/>
              </w:rPr>
            </w:pPr>
            <w:r>
              <w:rPr>
                <w:rFonts w:hint="eastAsia" w:eastAsia="宋体"/>
                <w:snapToGrid w:val="0"/>
                <w:kern w:val="0"/>
                <w:szCs w:val="21"/>
              </w:rPr>
              <w:t>要求依据全面、适用；目标清晰、正确；针对性强。</w:t>
            </w:r>
          </w:p>
        </w:tc>
      </w:tr>
      <w:tr w14:paraId="3C26808C">
        <w:tblPrEx>
          <w:tblCellMar>
            <w:top w:w="0" w:type="dxa"/>
            <w:left w:w="108" w:type="dxa"/>
            <w:bottom w:w="0" w:type="dxa"/>
            <w:right w:w="108" w:type="dxa"/>
          </w:tblCellMar>
        </w:tblPrEx>
        <w:trPr>
          <w:trHeight w:val="104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8392FCB">
            <w:pPr>
              <w:pStyle w:val="128"/>
              <w:jc w:val="center"/>
              <w:rPr>
                <w:rFonts w:ascii="宋体" w:hAnsi="宋体" w:eastAsia="宋体" w:cs="宋体"/>
                <w:color w:val="000000"/>
                <w:szCs w:val="21"/>
              </w:rPr>
            </w:pPr>
            <w:r>
              <w:rPr>
                <w:rFonts w:hint="eastAsia" w:ascii="宋体" w:hAnsi="宋体" w:eastAsia="宋体" w:cs="宋体"/>
                <w:color w:val="000000"/>
                <w:szCs w:val="21"/>
              </w:rPr>
              <w:t>工程质量</w:t>
            </w:r>
          </w:p>
          <w:p w14:paraId="486DA880">
            <w:pPr>
              <w:pStyle w:val="128"/>
              <w:jc w:val="center"/>
              <w:rPr>
                <w:rFonts w:ascii="宋体" w:hAnsi="宋体" w:eastAsia="宋体" w:cs="宋体"/>
                <w:color w:val="000000"/>
                <w:szCs w:val="21"/>
              </w:rPr>
            </w:pPr>
            <w:r>
              <w:rPr>
                <w:rFonts w:hint="eastAsia" w:ascii="宋体" w:hAnsi="宋体" w:eastAsia="宋体" w:cs="宋体"/>
                <w:color w:val="000000"/>
                <w:szCs w:val="21"/>
              </w:rPr>
              <w:t>监理措施</w:t>
            </w:r>
          </w:p>
          <w:p w14:paraId="78C2E5A0">
            <w:pPr>
              <w:pStyle w:val="128"/>
              <w:jc w:val="center"/>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6D006844">
            <w:pPr>
              <w:pStyle w:val="130"/>
              <w:rPr>
                <w:rFonts w:ascii="宋体" w:hAnsi="宋体" w:eastAsia="宋体" w:cs="宋体"/>
                <w:color w:val="000000"/>
                <w:szCs w:val="21"/>
              </w:rPr>
            </w:pPr>
            <w:r>
              <w:rPr>
                <w:rFonts w:hint="eastAsia" w:ascii="宋体" w:hAnsi="宋体" w:eastAsia="宋体" w:cs="宋体"/>
                <w:color w:val="000000"/>
                <w:szCs w:val="21"/>
              </w:rPr>
              <w:t>【优】得该项评分因素分值的90%～100%（含90%）。</w:t>
            </w:r>
          </w:p>
          <w:p w14:paraId="40160833">
            <w:pPr>
              <w:pStyle w:val="130"/>
              <w:rPr>
                <w:rFonts w:ascii="宋体" w:hAnsi="宋体" w:eastAsia="宋体" w:cs="宋体"/>
                <w:color w:val="000000"/>
                <w:szCs w:val="21"/>
              </w:rPr>
            </w:pPr>
            <w:r>
              <w:rPr>
                <w:rFonts w:hint="eastAsia" w:ascii="宋体" w:hAnsi="宋体" w:eastAsia="宋体" w:cs="宋体"/>
                <w:color w:val="000000"/>
                <w:szCs w:val="21"/>
              </w:rPr>
              <w:t>【良】得该项评分因素分值的80%～90%（含80%）。</w:t>
            </w:r>
          </w:p>
          <w:p w14:paraId="5BFE6F0B">
            <w:pPr>
              <w:pStyle w:val="130"/>
              <w:rPr>
                <w:rFonts w:ascii="宋体" w:hAnsi="宋体" w:eastAsia="宋体" w:cs="宋体"/>
                <w:color w:val="000000"/>
                <w:szCs w:val="21"/>
              </w:rPr>
            </w:pPr>
            <w:r>
              <w:rPr>
                <w:rFonts w:hint="eastAsia" w:ascii="宋体" w:hAnsi="宋体" w:eastAsia="宋体" w:cs="宋体"/>
                <w:color w:val="000000"/>
                <w:szCs w:val="21"/>
              </w:rPr>
              <w:t>【中】得该项评分因素分值的70%～80%（含70%）。</w:t>
            </w:r>
          </w:p>
          <w:p w14:paraId="3FCDC8C4">
            <w:pPr>
              <w:pStyle w:val="112"/>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【差】得该项评分因素分值的60</w:t>
            </w:r>
            <w:r>
              <w:rPr>
                <w:rFonts w:hint="eastAsia" w:hAnsi="宋体" w:cs="宋体"/>
                <w:color w:val="000000"/>
                <w:szCs w:val="21"/>
              </w:rPr>
              <w:t>%</w:t>
            </w:r>
            <w:r>
              <w:rPr>
                <w:rFonts w:hint="eastAsia" w:ascii="宋体" w:hAnsi="宋体" w:eastAsia="宋体" w:cs="宋体"/>
                <w:color w:val="000000"/>
                <w:szCs w:val="21"/>
              </w:rPr>
              <w:t>～70%（含60%）。</w:t>
            </w:r>
          </w:p>
        </w:tc>
        <w:tc>
          <w:tcPr>
            <w:tcW w:w="3478" w:type="dxa"/>
            <w:vMerge w:val="restart"/>
            <w:tcBorders>
              <w:top w:val="single" w:color="auto" w:sz="4" w:space="0"/>
              <w:left w:val="single" w:color="auto" w:sz="4" w:space="0"/>
              <w:right w:val="single" w:color="auto" w:sz="4" w:space="0"/>
            </w:tcBorders>
            <w:noWrap w:val="0"/>
            <w:vAlign w:val="center"/>
          </w:tcPr>
          <w:p w14:paraId="05DDC00F">
            <w:pPr>
              <w:pStyle w:val="112"/>
              <w:adjustRightInd w:val="0"/>
              <w:snapToGrid w:val="0"/>
              <w:jc w:val="left"/>
              <w:rPr>
                <w:rFonts w:hint="eastAsia" w:asciiTheme="minorEastAsia" w:hAnsiTheme="minorEastAsia" w:eastAsiaTheme="minorEastAsia" w:cstheme="minorEastAsia"/>
                <w:snapToGrid w:val="0"/>
                <w:kern w:val="0"/>
                <w:sz w:val="24"/>
                <w:szCs w:val="24"/>
                <w:highlight w:val="yellow"/>
              </w:rPr>
            </w:pPr>
            <w:r>
              <w:rPr>
                <w:rFonts w:hint="eastAsia" w:eastAsia="宋体"/>
                <w:snapToGrid w:val="0"/>
                <w:kern w:val="0"/>
                <w:szCs w:val="21"/>
              </w:rPr>
              <w:t>要求目标正确、方法可行、预控和动态管理措施具体、针对性强。脱离本工程实际、机械照搬照抄规范和技术标准的，不能得满分。</w:t>
            </w:r>
          </w:p>
        </w:tc>
      </w:tr>
      <w:tr w14:paraId="5FADA294">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132302C2">
            <w:pPr>
              <w:pStyle w:val="128"/>
              <w:jc w:val="center"/>
              <w:rPr>
                <w:rFonts w:ascii="宋体" w:hAnsi="宋体" w:eastAsia="宋体" w:cs="宋体"/>
                <w:color w:val="000000"/>
                <w:szCs w:val="21"/>
              </w:rPr>
            </w:pPr>
            <w:r>
              <w:rPr>
                <w:rFonts w:hint="eastAsia" w:ascii="宋体" w:hAnsi="宋体" w:eastAsia="宋体" w:cs="宋体"/>
                <w:color w:val="000000"/>
                <w:szCs w:val="21"/>
              </w:rPr>
              <w:t>工程进度</w:t>
            </w:r>
          </w:p>
          <w:p w14:paraId="40532BFA">
            <w:pPr>
              <w:pStyle w:val="128"/>
              <w:jc w:val="center"/>
              <w:rPr>
                <w:rFonts w:ascii="宋体" w:hAnsi="宋体" w:eastAsia="宋体" w:cs="宋体"/>
                <w:color w:val="000000"/>
                <w:szCs w:val="21"/>
              </w:rPr>
            </w:pPr>
            <w:r>
              <w:rPr>
                <w:rFonts w:hint="eastAsia" w:ascii="宋体" w:hAnsi="宋体" w:eastAsia="宋体" w:cs="宋体"/>
                <w:color w:val="000000"/>
                <w:szCs w:val="21"/>
              </w:rPr>
              <w:t>监理措施</w:t>
            </w:r>
          </w:p>
          <w:p w14:paraId="6EB18F23">
            <w:pPr>
              <w:pStyle w:val="128"/>
              <w:jc w:val="center"/>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07665AB1">
            <w:pPr>
              <w:pStyle w:val="130"/>
              <w:rPr>
                <w:rFonts w:ascii="宋体" w:hAnsi="宋体" w:eastAsia="宋体" w:cs="宋体"/>
                <w:color w:val="000000"/>
                <w:szCs w:val="21"/>
              </w:rPr>
            </w:pPr>
            <w:r>
              <w:rPr>
                <w:rFonts w:hint="eastAsia" w:ascii="宋体" w:hAnsi="宋体" w:eastAsia="宋体" w:cs="宋体"/>
                <w:color w:val="000000"/>
                <w:szCs w:val="21"/>
              </w:rPr>
              <w:t>【优】得该项评分因素分值的90%～100%（含90%）。</w:t>
            </w:r>
          </w:p>
          <w:p w14:paraId="46DF8667">
            <w:pPr>
              <w:pStyle w:val="130"/>
              <w:rPr>
                <w:rFonts w:ascii="宋体" w:hAnsi="宋体" w:eastAsia="宋体" w:cs="宋体"/>
                <w:color w:val="000000"/>
                <w:szCs w:val="21"/>
              </w:rPr>
            </w:pPr>
            <w:r>
              <w:rPr>
                <w:rFonts w:hint="eastAsia" w:ascii="宋体" w:hAnsi="宋体" w:eastAsia="宋体" w:cs="宋体"/>
                <w:color w:val="000000"/>
                <w:szCs w:val="21"/>
              </w:rPr>
              <w:t>【良】得该项评分因素分值的80%～90%（含80%）。</w:t>
            </w:r>
          </w:p>
          <w:p w14:paraId="7DA94F7D">
            <w:pPr>
              <w:pStyle w:val="130"/>
              <w:rPr>
                <w:rFonts w:ascii="宋体" w:hAnsi="宋体" w:eastAsia="宋体" w:cs="宋体"/>
                <w:color w:val="000000"/>
                <w:szCs w:val="21"/>
              </w:rPr>
            </w:pPr>
            <w:r>
              <w:rPr>
                <w:rFonts w:hint="eastAsia" w:ascii="宋体" w:hAnsi="宋体" w:eastAsia="宋体" w:cs="宋体"/>
                <w:color w:val="000000"/>
                <w:szCs w:val="21"/>
              </w:rPr>
              <w:t>【中】得该项评分因素分值的70%～80%（含70%）。</w:t>
            </w:r>
          </w:p>
          <w:p w14:paraId="1910797B">
            <w:pPr>
              <w:pStyle w:val="112"/>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【差】得该项评分因素分值的60</w:t>
            </w:r>
            <w:r>
              <w:rPr>
                <w:rFonts w:hint="eastAsia" w:hAnsi="宋体" w:cs="宋体"/>
                <w:color w:val="000000"/>
                <w:szCs w:val="21"/>
              </w:rPr>
              <w:t>%</w:t>
            </w:r>
            <w:r>
              <w:rPr>
                <w:rFonts w:hint="eastAsia" w:ascii="宋体" w:hAnsi="宋体" w:eastAsia="宋体" w:cs="宋体"/>
                <w:color w:val="000000"/>
                <w:szCs w:val="21"/>
              </w:rPr>
              <w:t>～70%（含60%）。</w:t>
            </w:r>
          </w:p>
        </w:tc>
        <w:tc>
          <w:tcPr>
            <w:tcW w:w="3478" w:type="dxa"/>
            <w:vMerge w:val="continue"/>
            <w:tcBorders>
              <w:left w:val="single" w:color="auto" w:sz="4" w:space="0"/>
              <w:right w:val="single" w:color="auto" w:sz="4" w:space="0"/>
            </w:tcBorders>
            <w:noWrap w:val="0"/>
            <w:vAlign w:val="center"/>
          </w:tcPr>
          <w:p w14:paraId="011FE867">
            <w:pPr>
              <w:pStyle w:val="112"/>
              <w:adjustRightInd w:val="0"/>
              <w:snapToGrid w:val="0"/>
              <w:rPr>
                <w:rFonts w:hint="eastAsia" w:asciiTheme="minorEastAsia" w:hAnsiTheme="minorEastAsia" w:eastAsiaTheme="minorEastAsia" w:cstheme="minorEastAsia"/>
                <w:snapToGrid w:val="0"/>
                <w:kern w:val="0"/>
                <w:sz w:val="24"/>
                <w:szCs w:val="24"/>
                <w:highlight w:val="yellow"/>
              </w:rPr>
            </w:pPr>
          </w:p>
        </w:tc>
      </w:tr>
      <w:tr w14:paraId="0F40243F">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6044E269">
            <w:pPr>
              <w:pStyle w:val="128"/>
              <w:jc w:val="center"/>
              <w:rPr>
                <w:rFonts w:ascii="宋体" w:hAnsi="宋体" w:eastAsia="宋体" w:cs="宋体"/>
                <w:color w:val="000000"/>
                <w:szCs w:val="21"/>
              </w:rPr>
            </w:pPr>
            <w:r>
              <w:rPr>
                <w:rFonts w:hint="eastAsia" w:ascii="宋体" w:hAnsi="宋体" w:eastAsia="宋体" w:cs="宋体"/>
                <w:color w:val="000000"/>
                <w:szCs w:val="21"/>
              </w:rPr>
              <w:t>工程造价</w:t>
            </w:r>
          </w:p>
          <w:p w14:paraId="76580869">
            <w:pPr>
              <w:pStyle w:val="128"/>
              <w:jc w:val="center"/>
              <w:rPr>
                <w:rFonts w:ascii="宋体" w:hAnsi="宋体" w:eastAsia="宋体" w:cs="宋体"/>
                <w:color w:val="000000"/>
                <w:szCs w:val="21"/>
              </w:rPr>
            </w:pPr>
            <w:r>
              <w:rPr>
                <w:rFonts w:hint="eastAsia" w:ascii="宋体" w:hAnsi="宋体" w:eastAsia="宋体" w:cs="宋体"/>
                <w:color w:val="000000"/>
                <w:szCs w:val="21"/>
              </w:rPr>
              <w:t>监理措施</w:t>
            </w:r>
          </w:p>
          <w:p w14:paraId="61C95408">
            <w:pPr>
              <w:pStyle w:val="128"/>
              <w:jc w:val="center"/>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1CED4F89">
            <w:pPr>
              <w:pStyle w:val="130"/>
              <w:rPr>
                <w:rFonts w:ascii="宋体" w:hAnsi="宋体" w:eastAsia="宋体" w:cs="宋体"/>
                <w:color w:val="000000"/>
                <w:szCs w:val="21"/>
              </w:rPr>
            </w:pPr>
            <w:r>
              <w:rPr>
                <w:rFonts w:hint="eastAsia" w:ascii="宋体" w:hAnsi="宋体" w:eastAsia="宋体" w:cs="宋体"/>
                <w:color w:val="000000"/>
                <w:szCs w:val="21"/>
              </w:rPr>
              <w:t>【优】得该项评分因素分值的90%～100%（含90%）。</w:t>
            </w:r>
          </w:p>
          <w:p w14:paraId="039B867A">
            <w:pPr>
              <w:pStyle w:val="130"/>
              <w:rPr>
                <w:rFonts w:ascii="宋体" w:hAnsi="宋体" w:eastAsia="宋体" w:cs="宋体"/>
                <w:color w:val="000000"/>
                <w:szCs w:val="21"/>
              </w:rPr>
            </w:pPr>
            <w:r>
              <w:rPr>
                <w:rFonts w:hint="eastAsia" w:ascii="宋体" w:hAnsi="宋体" w:eastAsia="宋体" w:cs="宋体"/>
                <w:color w:val="000000"/>
                <w:szCs w:val="21"/>
              </w:rPr>
              <w:t>【良】得该项评分因素分值的80%～90%（含80%）。</w:t>
            </w:r>
          </w:p>
          <w:p w14:paraId="4B49C877">
            <w:pPr>
              <w:pStyle w:val="130"/>
              <w:rPr>
                <w:rFonts w:ascii="宋体" w:hAnsi="宋体" w:eastAsia="宋体" w:cs="宋体"/>
                <w:color w:val="000000"/>
                <w:szCs w:val="21"/>
              </w:rPr>
            </w:pPr>
            <w:r>
              <w:rPr>
                <w:rFonts w:hint="eastAsia" w:ascii="宋体" w:hAnsi="宋体" w:eastAsia="宋体" w:cs="宋体"/>
                <w:color w:val="000000"/>
                <w:szCs w:val="21"/>
              </w:rPr>
              <w:t>【中】得该项评分因素分值的70%～80%（含70%）。</w:t>
            </w:r>
          </w:p>
          <w:p w14:paraId="4602B549">
            <w:pPr>
              <w:pStyle w:val="112"/>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【差】得该项评分因素分值的60</w:t>
            </w:r>
            <w:r>
              <w:rPr>
                <w:rFonts w:hint="eastAsia" w:hAnsi="宋体" w:cs="宋体"/>
                <w:color w:val="000000"/>
                <w:szCs w:val="21"/>
              </w:rPr>
              <w:t>%</w:t>
            </w:r>
            <w:r>
              <w:rPr>
                <w:rFonts w:hint="eastAsia" w:ascii="宋体" w:hAnsi="宋体" w:eastAsia="宋体" w:cs="宋体"/>
                <w:color w:val="000000"/>
                <w:szCs w:val="21"/>
              </w:rPr>
              <w:t>～70%（含60%）。</w:t>
            </w:r>
          </w:p>
        </w:tc>
        <w:tc>
          <w:tcPr>
            <w:tcW w:w="3478" w:type="dxa"/>
            <w:vMerge w:val="continue"/>
            <w:tcBorders>
              <w:left w:val="single" w:color="auto" w:sz="4" w:space="0"/>
              <w:right w:val="single" w:color="auto" w:sz="4" w:space="0"/>
            </w:tcBorders>
            <w:noWrap w:val="0"/>
            <w:vAlign w:val="center"/>
          </w:tcPr>
          <w:p w14:paraId="66CAA682">
            <w:pPr>
              <w:pStyle w:val="112"/>
              <w:adjustRightInd w:val="0"/>
              <w:snapToGrid w:val="0"/>
              <w:rPr>
                <w:rFonts w:hint="eastAsia" w:asciiTheme="minorEastAsia" w:hAnsiTheme="minorEastAsia" w:eastAsiaTheme="minorEastAsia" w:cstheme="minorEastAsia"/>
                <w:snapToGrid w:val="0"/>
                <w:kern w:val="0"/>
                <w:sz w:val="24"/>
                <w:szCs w:val="24"/>
                <w:highlight w:val="yellow"/>
              </w:rPr>
            </w:pPr>
          </w:p>
        </w:tc>
      </w:tr>
      <w:tr w14:paraId="4ACBF1AC">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A0752B">
            <w:pPr>
              <w:pStyle w:val="128"/>
              <w:jc w:val="center"/>
              <w:rPr>
                <w:rFonts w:ascii="宋体" w:hAnsi="宋体" w:eastAsia="宋体" w:cs="宋体"/>
                <w:color w:val="000000"/>
                <w:szCs w:val="21"/>
              </w:rPr>
            </w:pPr>
            <w:r>
              <w:rPr>
                <w:rFonts w:hint="eastAsia" w:ascii="宋体" w:hAnsi="宋体" w:eastAsia="宋体" w:cs="宋体"/>
                <w:color w:val="000000"/>
                <w:szCs w:val="21"/>
              </w:rPr>
              <w:t>安全防护</w:t>
            </w:r>
          </w:p>
          <w:p w14:paraId="4009196D">
            <w:pPr>
              <w:pStyle w:val="128"/>
              <w:jc w:val="center"/>
              <w:rPr>
                <w:rFonts w:ascii="宋体" w:hAnsi="宋体" w:eastAsia="宋体" w:cs="宋体"/>
                <w:color w:val="000000"/>
                <w:szCs w:val="21"/>
              </w:rPr>
            </w:pPr>
            <w:r>
              <w:rPr>
                <w:rFonts w:hint="eastAsia" w:ascii="宋体" w:hAnsi="宋体" w:eastAsia="宋体" w:cs="宋体"/>
                <w:color w:val="000000"/>
                <w:szCs w:val="21"/>
              </w:rPr>
              <w:t>监理措施</w:t>
            </w:r>
          </w:p>
          <w:p w14:paraId="1B13A159">
            <w:pPr>
              <w:pStyle w:val="128"/>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分）</w:t>
            </w:r>
          </w:p>
        </w:tc>
        <w:tc>
          <w:tcPr>
            <w:tcW w:w="44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F8C484">
            <w:pPr>
              <w:pStyle w:val="130"/>
              <w:rPr>
                <w:rFonts w:ascii="宋体" w:hAnsi="宋体" w:eastAsia="宋体" w:cs="宋体"/>
                <w:color w:val="000000"/>
                <w:szCs w:val="21"/>
              </w:rPr>
            </w:pPr>
            <w:r>
              <w:rPr>
                <w:rFonts w:hint="eastAsia" w:ascii="宋体" w:hAnsi="宋体" w:eastAsia="宋体" w:cs="宋体"/>
                <w:color w:val="000000"/>
                <w:szCs w:val="21"/>
              </w:rPr>
              <w:t>【优】得该项评分因素分值的90%～100%（含90%）。</w:t>
            </w:r>
          </w:p>
          <w:p w14:paraId="5F6D7E27">
            <w:pPr>
              <w:pStyle w:val="130"/>
              <w:rPr>
                <w:rFonts w:ascii="宋体" w:hAnsi="宋体" w:eastAsia="宋体" w:cs="宋体"/>
                <w:color w:val="000000"/>
                <w:szCs w:val="21"/>
              </w:rPr>
            </w:pPr>
            <w:r>
              <w:rPr>
                <w:rFonts w:hint="eastAsia" w:ascii="宋体" w:hAnsi="宋体" w:eastAsia="宋体" w:cs="宋体"/>
                <w:color w:val="000000"/>
                <w:szCs w:val="21"/>
              </w:rPr>
              <w:t>【良】得该项评分因素分值的80%～90%（含80%）。</w:t>
            </w:r>
          </w:p>
          <w:p w14:paraId="2DFE4256">
            <w:pPr>
              <w:pStyle w:val="130"/>
              <w:rPr>
                <w:rFonts w:ascii="宋体" w:hAnsi="宋体" w:eastAsia="宋体" w:cs="宋体"/>
                <w:color w:val="000000"/>
                <w:szCs w:val="21"/>
              </w:rPr>
            </w:pPr>
            <w:r>
              <w:rPr>
                <w:rFonts w:hint="eastAsia" w:ascii="宋体" w:hAnsi="宋体" w:eastAsia="宋体" w:cs="宋体"/>
                <w:color w:val="000000"/>
                <w:szCs w:val="21"/>
              </w:rPr>
              <w:t>【中】得该项评分因素分值的70%～80%（含70%）。</w:t>
            </w:r>
          </w:p>
          <w:p w14:paraId="053E21EB">
            <w:pPr>
              <w:pStyle w:val="112"/>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【差】得该项评分因素分值的60</w:t>
            </w:r>
            <w:r>
              <w:rPr>
                <w:rFonts w:hint="eastAsia" w:hAnsi="宋体" w:cs="宋体"/>
                <w:color w:val="000000"/>
                <w:szCs w:val="21"/>
              </w:rPr>
              <w:t>%</w:t>
            </w:r>
            <w:r>
              <w:rPr>
                <w:rFonts w:hint="eastAsia" w:ascii="宋体" w:hAnsi="宋体" w:eastAsia="宋体" w:cs="宋体"/>
                <w:color w:val="000000"/>
                <w:szCs w:val="21"/>
              </w:rPr>
              <w:t>～70%（含60%）。</w:t>
            </w:r>
          </w:p>
        </w:tc>
        <w:tc>
          <w:tcPr>
            <w:tcW w:w="3478" w:type="dxa"/>
            <w:vMerge w:val="continue"/>
            <w:tcBorders>
              <w:left w:val="single" w:color="auto" w:sz="4" w:space="0"/>
              <w:right w:val="single" w:color="auto" w:sz="4" w:space="0"/>
            </w:tcBorders>
            <w:noWrap w:val="0"/>
            <w:vAlign w:val="center"/>
          </w:tcPr>
          <w:p w14:paraId="52140825">
            <w:pPr>
              <w:pStyle w:val="112"/>
              <w:adjustRightInd w:val="0"/>
              <w:snapToGrid w:val="0"/>
              <w:rPr>
                <w:rFonts w:hint="eastAsia" w:asciiTheme="minorEastAsia" w:hAnsiTheme="minorEastAsia" w:eastAsiaTheme="minorEastAsia" w:cstheme="minorEastAsia"/>
                <w:snapToGrid w:val="0"/>
                <w:kern w:val="0"/>
                <w:sz w:val="24"/>
                <w:szCs w:val="24"/>
                <w:highlight w:val="yellow"/>
              </w:rPr>
            </w:pPr>
          </w:p>
        </w:tc>
      </w:tr>
      <w:tr w14:paraId="40CFFF3D">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DE7D64">
            <w:pPr>
              <w:pStyle w:val="128"/>
              <w:jc w:val="center"/>
              <w:rPr>
                <w:rFonts w:ascii="宋体" w:hAnsi="宋体" w:eastAsia="宋体" w:cs="宋体"/>
                <w:color w:val="000000"/>
                <w:szCs w:val="21"/>
              </w:rPr>
            </w:pPr>
            <w:r>
              <w:rPr>
                <w:rFonts w:hint="eastAsia" w:ascii="宋体" w:hAnsi="宋体" w:eastAsia="宋体" w:cs="宋体"/>
                <w:color w:val="000000"/>
                <w:szCs w:val="21"/>
              </w:rPr>
              <w:t>绿色施工、文明施工监理措施</w:t>
            </w:r>
          </w:p>
          <w:p w14:paraId="41652894">
            <w:pPr>
              <w:pStyle w:val="128"/>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Cs w:val="21"/>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35223BA7">
            <w:pPr>
              <w:pStyle w:val="130"/>
              <w:rPr>
                <w:rFonts w:ascii="宋体" w:hAnsi="宋体" w:eastAsia="宋体" w:cs="宋体"/>
                <w:color w:val="000000"/>
                <w:szCs w:val="21"/>
              </w:rPr>
            </w:pPr>
            <w:r>
              <w:rPr>
                <w:rFonts w:hint="eastAsia" w:ascii="宋体" w:hAnsi="宋体" w:eastAsia="宋体" w:cs="宋体"/>
                <w:color w:val="000000"/>
                <w:szCs w:val="21"/>
              </w:rPr>
              <w:t>【优】得该项评分因素分值的90%～100%（含90%）。</w:t>
            </w:r>
          </w:p>
          <w:p w14:paraId="58FC4856">
            <w:pPr>
              <w:pStyle w:val="130"/>
              <w:rPr>
                <w:rFonts w:ascii="宋体" w:hAnsi="宋体" w:eastAsia="宋体" w:cs="宋体"/>
                <w:color w:val="000000"/>
                <w:szCs w:val="21"/>
              </w:rPr>
            </w:pPr>
            <w:r>
              <w:rPr>
                <w:rFonts w:hint="eastAsia" w:ascii="宋体" w:hAnsi="宋体" w:eastAsia="宋体" w:cs="宋体"/>
                <w:color w:val="000000"/>
                <w:szCs w:val="21"/>
              </w:rPr>
              <w:t>【良】得该项评分因素分值的80%～90%（含80%）。</w:t>
            </w:r>
          </w:p>
          <w:p w14:paraId="0ECAC179">
            <w:pPr>
              <w:pStyle w:val="130"/>
              <w:rPr>
                <w:rFonts w:ascii="宋体" w:hAnsi="宋体" w:eastAsia="宋体" w:cs="宋体"/>
                <w:color w:val="000000"/>
                <w:szCs w:val="21"/>
              </w:rPr>
            </w:pPr>
            <w:r>
              <w:rPr>
                <w:rFonts w:hint="eastAsia" w:ascii="宋体" w:hAnsi="宋体" w:eastAsia="宋体" w:cs="宋体"/>
                <w:color w:val="000000"/>
                <w:szCs w:val="21"/>
              </w:rPr>
              <w:t>【中】得该项评分因素分值的70%～80%（含70%）。</w:t>
            </w:r>
          </w:p>
          <w:p w14:paraId="07717E10">
            <w:pPr>
              <w:pStyle w:val="112"/>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【差】得该项评分因素分值的60</w:t>
            </w:r>
            <w:r>
              <w:rPr>
                <w:rFonts w:hint="eastAsia" w:hAnsi="宋体" w:cs="宋体"/>
                <w:color w:val="000000"/>
                <w:szCs w:val="21"/>
              </w:rPr>
              <w:t>%</w:t>
            </w:r>
            <w:r>
              <w:rPr>
                <w:rFonts w:hint="eastAsia" w:ascii="宋体" w:hAnsi="宋体" w:eastAsia="宋体" w:cs="宋体"/>
                <w:color w:val="000000"/>
                <w:szCs w:val="21"/>
              </w:rPr>
              <w:t>～70%（含60%）。</w:t>
            </w:r>
          </w:p>
        </w:tc>
        <w:tc>
          <w:tcPr>
            <w:tcW w:w="3478" w:type="dxa"/>
            <w:vMerge w:val="continue"/>
            <w:tcBorders>
              <w:left w:val="single" w:color="auto" w:sz="4" w:space="0"/>
              <w:bottom w:val="single" w:color="auto" w:sz="4" w:space="0"/>
              <w:right w:val="single" w:color="auto" w:sz="4" w:space="0"/>
            </w:tcBorders>
            <w:noWrap w:val="0"/>
            <w:vAlign w:val="center"/>
          </w:tcPr>
          <w:p w14:paraId="4443F6BC">
            <w:pPr>
              <w:pStyle w:val="112"/>
              <w:adjustRightInd w:val="0"/>
              <w:snapToGrid w:val="0"/>
              <w:rPr>
                <w:rFonts w:hint="eastAsia" w:asciiTheme="minorEastAsia" w:hAnsiTheme="minorEastAsia" w:eastAsiaTheme="minorEastAsia" w:cstheme="minorEastAsia"/>
                <w:snapToGrid w:val="0"/>
                <w:kern w:val="0"/>
                <w:sz w:val="24"/>
                <w:szCs w:val="24"/>
                <w:highlight w:val="yellow"/>
              </w:rPr>
            </w:pPr>
          </w:p>
        </w:tc>
      </w:tr>
      <w:tr w14:paraId="7E216E33">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7EE59A56">
            <w:pPr>
              <w:pStyle w:val="128"/>
              <w:jc w:val="center"/>
              <w:rPr>
                <w:rFonts w:ascii="宋体" w:hAnsi="宋体" w:eastAsia="宋体" w:cs="宋体"/>
                <w:color w:val="000000"/>
                <w:szCs w:val="21"/>
              </w:rPr>
            </w:pPr>
            <w:r>
              <w:rPr>
                <w:rFonts w:hint="eastAsia" w:ascii="宋体" w:hAnsi="宋体" w:eastAsia="宋体" w:cs="宋体"/>
                <w:color w:val="000000"/>
                <w:szCs w:val="21"/>
              </w:rPr>
              <w:t>合同、信息</w:t>
            </w:r>
          </w:p>
          <w:p w14:paraId="443F7DD2">
            <w:pPr>
              <w:pStyle w:val="128"/>
              <w:jc w:val="center"/>
              <w:rPr>
                <w:rFonts w:ascii="宋体" w:hAnsi="宋体" w:eastAsia="宋体" w:cs="宋体"/>
                <w:color w:val="000000"/>
                <w:szCs w:val="21"/>
              </w:rPr>
            </w:pPr>
            <w:r>
              <w:rPr>
                <w:rFonts w:hint="eastAsia" w:ascii="宋体" w:hAnsi="宋体" w:eastAsia="宋体" w:cs="宋体"/>
                <w:color w:val="000000"/>
                <w:szCs w:val="21"/>
              </w:rPr>
              <w:t>管理方案</w:t>
            </w:r>
          </w:p>
          <w:p w14:paraId="64884AAC">
            <w:pPr>
              <w:pStyle w:val="128"/>
              <w:jc w:val="center"/>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72B3BF9D">
            <w:pPr>
              <w:pStyle w:val="130"/>
              <w:rPr>
                <w:rFonts w:ascii="宋体" w:hAnsi="宋体" w:eastAsia="宋体" w:cs="宋体"/>
                <w:color w:val="000000"/>
                <w:szCs w:val="21"/>
              </w:rPr>
            </w:pPr>
            <w:r>
              <w:rPr>
                <w:rFonts w:hint="eastAsia" w:ascii="宋体" w:hAnsi="宋体" w:eastAsia="宋体" w:cs="宋体"/>
                <w:color w:val="000000"/>
                <w:szCs w:val="21"/>
              </w:rPr>
              <w:t>【优】得该项评分因素分值的90%～100%（含90%）。</w:t>
            </w:r>
          </w:p>
          <w:p w14:paraId="4EB3B14E">
            <w:pPr>
              <w:pStyle w:val="130"/>
              <w:rPr>
                <w:rFonts w:ascii="宋体" w:hAnsi="宋体" w:eastAsia="宋体" w:cs="宋体"/>
                <w:color w:val="000000"/>
                <w:szCs w:val="21"/>
              </w:rPr>
            </w:pPr>
            <w:r>
              <w:rPr>
                <w:rFonts w:hint="eastAsia" w:ascii="宋体" w:hAnsi="宋体" w:eastAsia="宋体" w:cs="宋体"/>
                <w:color w:val="000000"/>
                <w:szCs w:val="21"/>
              </w:rPr>
              <w:t>【良】得该项评分因素分值的80%～90%（含80%）。</w:t>
            </w:r>
          </w:p>
          <w:p w14:paraId="4992AFCA">
            <w:pPr>
              <w:pStyle w:val="130"/>
              <w:rPr>
                <w:rFonts w:ascii="宋体" w:hAnsi="宋体" w:eastAsia="宋体" w:cs="宋体"/>
                <w:color w:val="000000"/>
                <w:szCs w:val="21"/>
              </w:rPr>
            </w:pPr>
            <w:r>
              <w:rPr>
                <w:rFonts w:hint="eastAsia" w:ascii="宋体" w:hAnsi="宋体" w:eastAsia="宋体" w:cs="宋体"/>
                <w:color w:val="000000"/>
                <w:szCs w:val="21"/>
              </w:rPr>
              <w:t>【中】得该项评分因素分值的70%～80%（含70%）。</w:t>
            </w:r>
          </w:p>
          <w:p w14:paraId="151DBA32">
            <w:pPr>
              <w:pStyle w:val="112"/>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【差】得该项评分因素分值的60</w:t>
            </w:r>
            <w:r>
              <w:rPr>
                <w:rFonts w:hint="eastAsia" w:hAnsi="宋体" w:cs="宋体"/>
                <w:color w:val="000000"/>
                <w:szCs w:val="21"/>
              </w:rPr>
              <w:t>%</w:t>
            </w:r>
            <w:r>
              <w:rPr>
                <w:rFonts w:hint="eastAsia" w:ascii="宋体" w:hAnsi="宋体" w:eastAsia="宋体" w:cs="宋体"/>
                <w:color w:val="000000"/>
                <w:szCs w:val="21"/>
              </w:rPr>
              <w:t>～70%（含60%）。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430003AF">
            <w:pPr>
              <w:pStyle w:val="112"/>
              <w:adjustRightInd w:val="0"/>
              <w:snapToGrid w:val="0"/>
              <w:rPr>
                <w:rFonts w:hint="eastAsia" w:asciiTheme="minorEastAsia" w:hAnsiTheme="minorEastAsia" w:eastAsiaTheme="minorEastAsia" w:cstheme="minorEastAsia"/>
                <w:snapToGrid w:val="0"/>
                <w:kern w:val="0"/>
                <w:sz w:val="24"/>
                <w:szCs w:val="24"/>
                <w:highlight w:val="yellow"/>
              </w:rPr>
            </w:pPr>
            <w:r>
              <w:rPr>
                <w:rFonts w:hint="eastAsia" w:eastAsia="宋体"/>
                <w:snapToGrid w:val="0"/>
                <w:kern w:val="0"/>
                <w:szCs w:val="21"/>
              </w:rPr>
              <w:t>要求各项制度规范清晰，方法科学合理，措施及时有效，针对性强。能够切实防范和处理合同纠纷，提升监理工作效能。</w:t>
            </w:r>
          </w:p>
        </w:tc>
      </w:tr>
      <w:tr w14:paraId="38E9F190">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303BCB83">
            <w:pPr>
              <w:pStyle w:val="128"/>
              <w:jc w:val="center"/>
              <w:rPr>
                <w:rFonts w:ascii="宋体" w:hAnsi="宋体" w:eastAsia="宋体" w:cs="宋体"/>
                <w:color w:val="000000"/>
                <w:szCs w:val="21"/>
              </w:rPr>
            </w:pPr>
            <w:r>
              <w:rPr>
                <w:rFonts w:hint="eastAsia" w:ascii="宋体" w:hAnsi="宋体" w:eastAsia="宋体" w:cs="宋体"/>
                <w:color w:val="000000"/>
                <w:szCs w:val="21"/>
              </w:rPr>
              <w:t>组织协调</w:t>
            </w:r>
          </w:p>
          <w:p w14:paraId="131A1731">
            <w:pPr>
              <w:pStyle w:val="128"/>
              <w:jc w:val="center"/>
              <w:rPr>
                <w:rFonts w:ascii="宋体" w:hAnsi="宋体" w:eastAsia="宋体" w:cs="宋体"/>
                <w:color w:val="000000"/>
                <w:szCs w:val="21"/>
              </w:rPr>
            </w:pPr>
            <w:r>
              <w:rPr>
                <w:rFonts w:hint="eastAsia" w:ascii="宋体" w:hAnsi="宋体" w:eastAsia="宋体" w:cs="宋体"/>
                <w:color w:val="000000"/>
                <w:szCs w:val="21"/>
              </w:rPr>
              <w:t>内容及措施</w:t>
            </w:r>
          </w:p>
          <w:p w14:paraId="01509CAC">
            <w:pPr>
              <w:pStyle w:val="128"/>
              <w:jc w:val="center"/>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766A08AF">
            <w:pPr>
              <w:pStyle w:val="130"/>
              <w:rPr>
                <w:rFonts w:ascii="宋体" w:hAnsi="宋体" w:eastAsia="宋体" w:cs="宋体"/>
                <w:color w:val="000000"/>
                <w:szCs w:val="21"/>
              </w:rPr>
            </w:pPr>
            <w:r>
              <w:rPr>
                <w:rFonts w:hint="eastAsia" w:ascii="宋体" w:hAnsi="宋体" w:eastAsia="宋体" w:cs="宋体"/>
                <w:color w:val="000000"/>
                <w:szCs w:val="21"/>
              </w:rPr>
              <w:t>【优】得该项评分因素分值的90%～100%（含90%）。</w:t>
            </w:r>
          </w:p>
          <w:p w14:paraId="507669B3">
            <w:pPr>
              <w:pStyle w:val="130"/>
              <w:rPr>
                <w:rFonts w:ascii="宋体" w:hAnsi="宋体" w:eastAsia="宋体" w:cs="宋体"/>
                <w:color w:val="000000"/>
                <w:szCs w:val="21"/>
              </w:rPr>
            </w:pPr>
            <w:r>
              <w:rPr>
                <w:rFonts w:hint="eastAsia" w:ascii="宋体" w:hAnsi="宋体" w:eastAsia="宋体" w:cs="宋体"/>
                <w:color w:val="000000"/>
                <w:szCs w:val="21"/>
              </w:rPr>
              <w:t>【良】得该项评分因素分值的80%～90%（含80%）。</w:t>
            </w:r>
          </w:p>
          <w:p w14:paraId="7A52EE62">
            <w:pPr>
              <w:pStyle w:val="130"/>
              <w:rPr>
                <w:rFonts w:ascii="宋体" w:hAnsi="宋体" w:eastAsia="宋体" w:cs="宋体"/>
                <w:color w:val="000000"/>
                <w:szCs w:val="21"/>
              </w:rPr>
            </w:pPr>
            <w:r>
              <w:rPr>
                <w:rFonts w:hint="eastAsia" w:ascii="宋体" w:hAnsi="宋体" w:eastAsia="宋体" w:cs="宋体"/>
                <w:color w:val="000000"/>
                <w:szCs w:val="21"/>
              </w:rPr>
              <w:t>【中】得该项评分因素分值的70%～80%（含70%）。</w:t>
            </w:r>
          </w:p>
          <w:p w14:paraId="15E181A8">
            <w:pPr>
              <w:pStyle w:val="112"/>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【差】得该项评分因素分值的60</w:t>
            </w:r>
            <w:r>
              <w:rPr>
                <w:rFonts w:hint="eastAsia" w:hAnsi="宋体" w:cs="宋体"/>
                <w:color w:val="000000"/>
                <w:szCs w:val="21"/>
              </w:rPr>
              <w:t>%</w:t>
            </w:r>
            <w:r>
              <w:rPr>
                <w:rFonts w:hint="eastAsia" w:ascii="宋体" w:hAnsi="宋体" w:eastAsia="宋体" w:cs="宋体"/>
                <w:color w:val="000000"/>
                <w:szCs w:val="21"/>
              </w:rPr>
              <w:t>～70%（含60%）。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0A3357AF">
            <w:pPr>
              <w:pStyle w:val="112"/>
              <w:adjustRightInd w:val="0"/>
              <w:snapToGrid w:val="0"/>
              <w:rPr>
                <w:rFonts w:hint="eastAsia" w:asciiTheme="minorEastAsia" w:hAnsiTheme="minorEastAsia" w:eastAsiaTheme="minorEastAsia" w:cstheme="minorEastAsia"/>
                <w:snapToGrid w:val="0"/>
                <w:kern w:val="0"/>
                <w:sz w:val="24"/>
                <w:szCs w:val="24"/>
                <w:highlight w:val="yellow"/>
              </w:rPr>
            </w:pPr>
            <w:r>
              <w:rPr>
                <w:rFonts w:hint="eastAsia" w:eastAsia="宋体"/>
                <w:snapToGrid w:val="0"/>
                <w:kern w:val="0"/>
                <w:szCs w:val="21"/>
              </w:rPr>
              <w:t>要求各项制度规范清晰，方法科学合理，措施及时有效，针对性强。能够高效收集、协调、处理、反馈各方各类问题。</w:t>
            </w:r>
          </w:p>
        </w:tc>
      </w:tr>
      <w:tr w14:paraId="391FE3D6">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DD8A340">
            <w:pPr>
              <w:pStyle w:val="128"/>
              <w:jc w:val="center"/>
              <w:rPr>
                <w:rFonts w:ascii="宋体" w:hAnsi="宋体" w:eastAsia="宋体" w:cs="宋体"/>
                <w:color w:val="000000"/>
                <w:szCs w:val="21"/>
              </w:rPr>
            </w:pPr>
            <w:r>
              <w:rPr>
                <w:rFonts w:hint="eastAsia" w:ascii="宋体" w:hAnsi="宋体" w:eastAsia="宋体" w:cs="宋体"/>
                <w:color w:val="000000"/>
                <w:szCs w:val="21"/>
              </w:rPr>
              <w:t>监理工作重点、难点分析</w:t>
            </w:r>
          </w:p>
          <w:p w14:paraId="7D18DD92">
            <w:pPr>
              <w:pStyle w:val="128"/>
              <w:jc w:val="center"/>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7659829C">
            <w:pPr>
              <w:pStyle w:val="130"/>
              <w:rPr>
                <w:rFonts w:ascii="宋体" w:hAnsi="宋体" w:eastAsia="宋体" w:cs="宋体"/>
                <w:color w:val="000000"/>
                <w:szCs w:val="21"/>
              </w:rPr>
            </w:pPr>
            <w:r>
              <w:rPr>
                <w:rFonts w:hint="eastAsia" w:ascii="宋体" w:hAnsi="宋体" w:eastAsia="宋体" w:cs="宋体"/>
                <w:color w:val="000000"/>
                <w:szCs w:val="21"/>
              </w:rPr>
              <w:t>【优】得该项评分因素分值的90%～100%（含90%）。</w:t>
            </w:r>
          </w:p>
          <w:p w14:paraId="1F1C697D">
            <w:pPr>
              <w:pStyle w:val="130"/>
              <w:rPr>
                <w:rFonts w:ascii="宋体" w:hAnsi="宋体" w:eastAsia="宋体" w:cs="宋体"/>
                <w:color w:val="000000"/>
                <w:szCs w:val="21"/>
              </w:rPr>
            </w:pPr>
            <w:r>
              <w:rPr>
                <w:rFonts w:hint="eastAsia" w:ascii="宋体" w:hAnsi="宋体" w:eastAsia="宋体" w:cs="宋体"/>
                <w:color w:val="000000"/>
                <w:szCs w:val="21"/>
              </w:rPr>
              <w:t>【良】得该项评分因素分值的80%～90%（含80%）。</w:t>
            </w:r>
          </w:p>
          <w:p w14:paraId="239D37E6">
            <w:pPr>
              <w:pStyle w:val="130"/>
              <w:rPr>
                <w:rFonts w:ascii="宋体" w:hAnsi="宋体" w:eastAsia="宋体" w:cs="宋体"/>
                <w:color w:val="000000"/>
                <w:szCs w:val="21"/>
              </w:rPr>
            </w:pPr>
            <w:r>
              <w:rPr>
                <w:rFonts w:hint="eastAsia" w:ascii="宋体" w:hAnsi="宋体" w:eastAsia="宋体" w:cs="宋体"/>
                <w:color w:val="000000"/>
                <w:szCs w:val="21"/>
              </w:rPr>
              <w:t>【中】得该项评分因素分值的70%～80%（含70%）。</w:t>
            </w:r>
          </w:p>
          <w:p w14:paraId="23EDD71F">
            <w:pPr>
              <w:pStyle w:val="112"/>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【差】得该项评分因素分值的60</w:t>
            </w:r>
            <w:r>
              <w:rPr>
                <w:rFonts w:hint="eastAsia" w:hAnsi="宋体" w:cs="宋体"/>
                <w:color w:val="000000"/>
                <w:szCs w:val="21"/>
              </w:rPr>
              <w:t>%</w:t>
            </w:r>
            <w:r>
              <w:rPr>
                <w:rFonts w:hint="eastAsia" w:ascii="宋体" w:hAnsi="宋体" w:eastAsia="宋体" w:cs="宋体"/>
                <w:color w:val="000000"/>
                <w:szCs w:val="21"/>
              </w:rPr>
              <w:t>～70%（含60%）。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15FF0F43">
            <w:pPr>
              <w:pStyle w:val="112"/>
              <w:adjustRightInd w:val="0"/>
              <w:snapToGrid w:val="0"/>
              <w:rPr>
                <w:rFonts w:hint="eastAsia" w:asciiTheme="minorEastAsia" w:hAnsiTheme="minorEastAsia" w:eastAsiaTheme="minorEastAsia" w:cstheme="minorEastAsia"/>
                <w:snapToGrid w:val="0"/>
                <w:kern w:val="0"/>
                <w:sz w:val="24"/>
                <w:szCs w:val="24"/>
                <w:highlight w:val="yellow"/>
              </w:rPr>
            </w:pPr>
            <w:r>
              <w:rPr>
                <w:rFonts w:hint="eastAsia" w:eastAsia="宋体"/>
                <w:snapToGrid w:val="0"/>
                <w:kern w:val="0"/>
                <w:szCs w:val="21"/>
              </w:rPr>
              <w:t>要求方法可行、措施具体、针对性强。</w:t>
            </w:r>
          </w:p>
        </w:tc>
      </w:tr>
      <w:tr w14:paraId="22A0A75C">
        <w:tblPrEx>
          <w:tblCellMar>
            <w:top w:w="0" w:type="dxa"/>
            <w:left w:w="108" w:type="dxa"/>
            <w:bottom w:w="0" w:type="dxa"/>
            <w:right w:w="108" w:type="dxa"/>
          </w:tblCellMar>
        </w:tblPrEx>
        <w:trPr>
          <w:trHeight w:val="457"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CD0D956">
            <w:pPr>
              <w:pStyle w:val="128"/>
              <w:jc w:val="center"/>
              <w:rPr>
                <w:rFonts w:ascii="宋体" w:hAnsi="宋体" w:eastAsia="宋体" w:cs="宋体"/>
                <w:color w:val="000000"/>
                <w:szCs w:val="21"/>
              </w:rPr>
            </w:pPr>
            <w:r>
              <w:rPr>
                <w:rFonts w:hint="eastAsia" w:ascii="宋体" w:hAnsi="宋体" w:eastAsia="宋体" w:cs="宋体"/>
                <w:color w:val="000000"/>
                <w:szCs w:val="21"/>
              </w:rPr>
              <w:t>合理化建议</w:t>
            </w:r>
          </w:p>
          <w:p w14:paraId="75E9AD58">
            <w:pPr>
              <w:pStyle w:val="128"/>
              <w:jc w:val="center"/>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分）</w:t>
            </w:r>
          </w:p>
        </w:tc>
        <w:tc>
          <w:tcPr>
            <w:tcW w:w="4480" w:type="dxa"/>
            <w:tcBorders>
              <w:top w:val="single" w:color="auto" w:sz="4" w:space="0"/>
              <w:left w:val="single" w:color="auto" w:sz="4" w:space="0"/>
              <w:bottom w:val="single" w:color="auto" w:sz="4" w:space="0"/>
              <w:right w:val="single" w:color="auto" w:sz="4" w:space="0"/>
            </w:tcBorders>
            <w:noWrap w:val="0"/>
            <w:vAlign w:val="center"/>
          </w:tcPr>
          <w:p w14:paraId="253688D3">
            <w:pPr>
              <w:pStyle w:val="130"/>
              <w:rPr>
                <w:rFonts w:ascii="宋体" w:hAnsi="宋体" w:eastAsia="宋体" w:cs="宋体"/>
                <w:color w:val="000000"/>
                <w:szCs w:val="21"/>
              </w:rPr>
            </w:pPr>
            <w:r>
              <w:rPr>
                <w:rFonts w:hint="eastAsia" w:ascii="宋体" w:hAnsi="宋体" w:eastAsia="宋体" w:cs="宋体"/>
                <w:color w:val="000000"/>
                <w:szCs w:val="21"/>
              </w:rPr>
              <w:t>【优】得该项评分因素分值的90%～100%（含90%）。</w:t>
            </w:r>
          </w:p>
          <w:p w14:paraId="57BCF32B">
            <w:pPr>
              <w:pStyle w:val="130"/>
              <w:rPr>
                <w:rFonts w:ascii="宋体" w:hAnsi="宋体" w:eastAsia="宋体" w:cs="宋体"/>
                <w:color w:val="000000"/>
                <w:szCs w:val="21"/>
              </w:rPr>
            </w:pPr>
            <w:r>
              <w:rPr>
                <w:rFonts w:hint="eastAsia" w:ascii="宋体" w:hAnsi="宋体" w:eastAsia="宋体" w:cs="宋体"/>
                <w:color w:val="000000"/>
                <w:szCs w:val="21"/>
              </w:rPr>
              <w:t>【良】得该项评分因素分值的80%～90%（含80%）。</w:t>
            </w:r>
          </w:p>
          <w:p w14:paraId="00BD9DEB">
            <w:pPr>
              <w:pStyle w:val="130"/>
              <w:rPr>
                <w:rFonts w:ascii="宋体" w:hAnsi="宋体" w:eastAsia="宋体" w:cs="宋体"/>
                <w:color w:val="000000"/>
                <w:szCs w:val="21"/>
              </w:rPr>
            </w:pPr>
            <w:r>
              <w:rPr>
                <w:rFonts w:hint="eastAsia" w:ascii="宋体" w:hAnsi="宋体" w:eastAsia="宋体" w:cs="宋体"/>
                <w:color w:val="000000"/>
                <w:szCs w:val="21"/>
              </w:rPr>
              <w:t>【中】得该项评分因素分值的70%～80%（含70%）。</w:t>
            </w:r>
          </w:p>
          <w:p w14:paraId="076D05DF">
            <w:pPr>
              <w:pStyle w:val="112"/>
              <w:rPr>
                <w:rFonts w:hint="eastAsia" w:asciiTheme="minorEastAsia" w:hAnsiTheme="minorEastAsia" w:eastAsiaTheme="minorEastAsia" w:cstheme="minorEastAsia"/>
                <w:color w:val="000000"/>
                <w:sz w:val="24"/>
                <w:szCs w:val="24"/>
                <w:highlight w:val="yellow"/>
              </w:rPr>
            </w:pPr>
            <w:r>
              <w:rPr>
                <w:rFonts w:hint="eastAsia" w:ascii="宋体" w:hAnsi="宋体" w:eastAsia="宋体" w:cs="宋体"/>
                <w:color w:val="000000"/>
                <w:szCs w:val="21"/>
              </w:rPr>
              <w:t>【差】得该项评分因素分值的60</w:t>
            </w:r>
            <w:r>
              <w:rPr>
                <w:rFonts w:hint="eastAsia" w:hAnsi="宋体" w:cs="宋体"/>
                <w:color w:val="000000"/>
                <w:szCs w:val="21"/>
              </w:rPr>
              <w:t>%</w:t>
            </w:r>
            <w:r>
              <w:rPr>
                <w:rFonts w:hint="eastAsia" w:ascii="宋体" w:hAnsi="宋体" w:eastAsia="宋体" w:cs="宋体"/>
                <w:color w:val="000000"/>
                <w:szCs w:val="21"/>
              </w:rPr>
              <w:t>～70%（含60%）。</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7244E1E0">
            <w:pPr>
              <w:pStyle w:val="112"/>
              <w:adjustRightInd w:val="0"/>
              <w:snapToGrid w:val="0"/>
              <w:rPr>
                <w:rFonts w:hint="eastAsia" w:asciiTheme="minorEastAsia" w:hAnsiTheme="minorEastAsia" w:eastAsiaTheme="minorEastAsia" w:cstheme="minorEastAsia"/>
                <w:snapToGrid w:val="0"/>
                <w:kern w:val="0"/>
                <w:sz w:val="24"/>
                <w:szCs w:val="24"/>
                <w:highlight w:val="yellow"/>
              </w:rPr>
            </w:pPr>
            <w:r>
              <w:rPr>
                <w:rFonts w:hint="eastAsia" w:eastAsia="宋体"/>
                <w:snapToGrid w:val="0"/>
                <w:kern w:val="0"/>
                <w:szCs w:val="21"/>
              </w:rPr>
              <w:t>要求方法可行、措施具体、针对性强。</w:t>
            </w:r>
          </w:p>
        </w:tc>
      </w:tr>
      <w:tr w14:paraId="30A03639">
        <w:tblPrEx>
          <w:tblCellMar>
            <w:top w:w="0" w:type="dxa"/>
            <w:left w:w="108" w:type="dxa"/>
            <w:bottom w:w="0" w:type="dxa"/>
            <w:right w:w="108" w:type="dxa"/>
          </w:tblCellMar>
        </w:tblPrEx>
        <w:trPr>
          <w:trHeight w:val="624" w:hRule="exact"/>
          <w:jc w:val="center"/>
        </w:trPr>
        <w:tc>
          <w:tcPr>
            <w:tcW w:w="936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201BA1A5">
            <w:pPr>
              <w:pStyle w:val="112"/>
              <w:adjustRightInd w:val="0"/>
              <w:snapToGrid w:val="0"/>
              <w:spacing w:line="360" w:lineRule="exact"/>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投标报价部分，满分：</w:t>
            </w:r>
            <w:r>
              <w:rPr>
                <w:rFonts w:hint="eastAsia" w:asciiTheme="minorEastAsia" w:hAnsiTheme="minorEastAsia" w:eastAsiaTheme="minorEastAsia" w:cstheme="minorEastAsia"/>
                <w:snapToGrid w:val="0"/>
                <w:kern w:val="0"/>
                <w:sz w:val="24"/>
                <w:szCs w:val="24"/>
                <w:highlight w:val="none"/>
                <w:u w:val="single"/>
                <w:lang w:val="en-US" w:eastAsia="zh-CN"/>
              </w:rPr>
              <w:t>2</w:t>
            </w:r>
            <w:r>
              <w:rPr>
                <w:rFonts w:hint="eastAsia" w:asciiTheme="minorEastAsia" w:hAnsiTheme="minorEastAsia" w:eastAsiaTheme="minorEastAsia" w:cstheme="minorEastAsia"/>
                <w:snapToGrid w:val="0"/>
                <w:kern w:val="0"/>
                <w:sz w:val="24"/>
                <w:szCs w:val="24"/>
                <w:highlight w:val="none"/>
                <w:u w:val="single"/>
              </w:rPr>
              <w:t>0</w:t>
            </w:r>
            <w:r>
              <w:rPr>
                <w:rFonts w:hint="eastAsia" w:asciiTheme="minorEastAsia" w:hAnsiTheme="minorEastAsia" w:eastAsiaTheme="minorEastAsia" w:cstheme="minorEastAsia"/>
                <w:snapToGrid w:val="0"/>
                <w:kern w:val="0"/>
                <w:sz w:val="24"/>
                <w:szCs w:val="24"/>
                <w:highlight w:val="none"/>
              </w:rPr>
              <w:t>分。</w:t>
            </w:r>
          </w:p>
        </w:tc>
      </w:tr>
      <w:tr w14:paraId="28838CDC">
        <w:tblPrEx>
          <w:tblCellMar>
            <w:top w:w="0" w:type="dxa"/>
            <w:left w:w="108" w:type="dxa"/>
            <w:bottom w:w="0" w:type="dxa"/>
            <w:right w:w="108" w:type="dxa"/>
          </w:tblCellMar>
        </w:tblPrEx>
        <w:trPr>
          <w:trHeight w:val="624" w:hRule="exac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2CC3AE37">
            <w:pPr>
              <w:pStyle w:val="11"/>
              <w:adjustRightInd w:val="0"/>
              <w:snapToGrid w:val="0"/>
              <w:spacing w:after="0" w:line="360" w:lineRule="exact"/>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评分事项</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26D71145">
            <w:pPr>
              <w:pStyle w:val="11"/>
              <w:adjustRightInd w:val="0"/>
              <w:snapToGrid w:val="0"/>
              <w:spacing w:after="0" w:line="360" w:lineRule="exact"/>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评分方法</w:t>
            </w:r>
          </w:p>
        </w:tc>
      </w:tr>
      <w:tr w14:paraId="09F56F79">
        <w:tblPrEx>
          <w:tblCellMar>
            <w:top w:w="0" w:type="dxa"/>
            <w:left w:w="108" w:type="dxa"/>
            <w:bottom w:w="0" w:type="dxa"/>
            <w:right w:w="108" w:type="dxa"/>
          </w:tblCellMar>
        </w:tblPrEx>
        <w:trPr>
          <w:trHeight w:val="90"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4D062F44">
            <w:pPr>
              <w:pStyle w:val="128"/>
              <w:adjustRightInd w:val="0"/>
              <w:snapToGrid w:val="0"/>
              <w:spacing w:line="360" w:lineRule="exact"/>
              <w:jc w:val="center"/>
              <w:rPr>
                <w:rFonts w:hint="eastAsia" w:asciiTheme="minorEastAsia" w:hAnsiTheme="minorEastAsia" w:eastAsiaTheme="minorEastAsia" w:cstheme="minorEastAsia"/>
                <w:snapToGrid w:val="0"/>
                <w:kern w:val="0"/>
                <w:sz w:val="24"/>
                <w:szCs w:val="24"/>
                <w:highlight w:val="yellow"/>
              </w:rPr>
            </w:pPr>
            <w:r>
              <w:rPr>
                <w:rFonts w:hint="eastAsia" w:eastAsia="宋体"/>
                <w:snapToGrid w:val="0"/>
                <w:kern w:val="0"/>
                <w:szCs w:val="21"/>
              </w:rPr>
              <w:t>评标基准价D</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1D70ADD2">
            <w:pPr>
              <w:numPr>
                <w:ilvl w:val="0"/>
                <w:numId w:val="1"/>
              </w:numPr>
              <w:adjustRightInd w:val="0"/>
              <w:snapToGrid w:val="0"/>
              <w:spacing w:line="360" w:lineRule="exact"/>
              <w:ind w:firstLine="420" w:firstLineChars="200"/>
              <w:jc w:val="left"/>
              <w:rPr>
                <w:rFonts w:hint="eastAsia" w:ascii="Times New Roman"/>
                <w:snapToGrid w:val="0"/>
                <w:kern w:val="0"/>
                <w:sz w:val="21"/>
                <w:szCs w:val="21"/>
              </w:rPr>
            </w:pPr>
            <w:r>
              <w:rPr>
                <w:rFonts w:hint="eastAsia" w:ascii="Times New Roman"/>
                <w:snapToGrid w:val="0"/>
                <w:kern w:val="0"/>
                <w:sz w:val="21"/>
                <w:szCs w:val="21"/>
              </w:rPr>
              <w:t>确定最高投标限价下浮系数n：用1～21号球分别代表一个下浮系数，由评委代表从这21个号码中随机抽取</w:t>
            </w:r>
            <w:r>
              <w:rPr>
                <w:rFonts w:hint="eastAsia" w:ascii="Times New Roman"/>
                <w:snapToGrid w:val="0"/>
                <w:kern w:val="0"/>
                <w:sz w:val="21"/>
                <w:szCs w:val="21"/>
                <w:u w:val="single"/>
              </w:rPr>
              <w:t xml:space="preserve"> 3 </w:t>
            </w:r>
            <w:r>
              <w:rPr>
                <w:rFonts w:hint="eastAsia" w:ascii="Times New Roman"/>
                <w:snapToGrid w:val="0"/>
                <w:kern w:val="0"/>
                <w:sz w:val="21"/>
                <w:szCs w:val="21"/>
              </w:rPr>
              <w:t>次，抽出的号球不参与下次抽取，每次抽取1个号码，所抽取的3个号码对应下浮系数的算术平均值作为最高投标限价下浮系数n。具体号码对应的下浮系数可参考下表。</w:t>
            </w:r>
          </w:p>
          <w:p w14:paraId="19DD6209">
            <w:pPr>
              <w:pStyle w:val="42"/>
              <w:spacing w:line="360" w:lineRule="exact"/>
              <w:jc w:val="both"/>
              <w:rPr>
                <w:rFonts w:hint="eastAsia"/>
                <w:szCs w:val="21"/>
              </w:rPr>
            </w:pPr>
          </w:p>
          <w:tbl>
            <w:tblPr>
              <w:tblStyle w:val="31"/>
              <w:tblW w:w="0" w:type="auto"/>
              <w:tblInd w:w="113" w:type="dxa"/>
              <w:tblLayout w:type="fixed"/>
              <w:tblCellMar>
                <w:top w:w="0" w:type="dxa"/>
                <w:left w:w="108" w:type="dxa"/>
                <w:bottom w:w="0" w:type="dxa"/>
                <w:right w:w="108" w:type="dxa"/>
              </w:tblCellMar>
            </w:tblPr>
            <w:tblGrid>
              <w:gridCol w:w="1316"/>
              <w:gridCol w:w="747"/>
              <w:gridCol w:w="903"/>
              <w:gridCol w:w="900"/>
              <w:gridCol w:w="990"/>
              <w:gridCol w:w="750"/>
              <w:gridCol w:w="870"/>
              <w:gridCol w:w="855"/>
            </w:tblGrid>
            <w:tr w14:paraId="309369F2">
              <w:tblPrEx>
                <w:tblCellMar>
                  <w:top w:w="0" w:type="dxa"/>
                  <w:left w:w="108" w:type="dxa"/>
                  <w:bottom w:w="0" w:type="dxa"/>
                  <w:right w:w="108" w:type="dxa"/>
                </w:tblCellMar>
              </w:tblPrEx>
              <w:trPr>
                <w:trHeight w:val="50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561CA246">
                  <w:pPr>
                    <w:adjustRightInd w:val="0"/>
                    <w:snapToGrid w:val="0"/>
                    <w:spacing w:line="360" w:lineRule="exact"/>
                    <w:jc w:val="center"/>
                    <w:rPr>
                      <w:rFonts w:hint="eastAsia" w:ascii="Times New Roman"/>
                      <w:b/>
                      <w:snapToGrid w:val="0"/>
                      <w:kern w:val="0"/>
                      <w:sz w:val="21"/>
                      <w:szCs w:val="21"/>
                    </w:rPr>
                  </w:pPr>
                  <w:r>
                    <w:rPr>
                      <w:rFonts w:hint="eastAsia" w:ascii="Times New Roman"/>
                      <w:b/>
                      <w:snapToGrid w:val="0"/>
                      <w:kern w:val="0"/>
                      <w:sz w:val="21"/>
                      <w:szCs w:val="21"/>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6AC18C72">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1</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6638090B">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F1EAAD3">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3</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0F35629">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593DDB">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356332F">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267E4A41">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7</w:t>
                  </w:r>
                </w:p>
              </w:tc>
            </w:tr>
            <w:tr w14:paraId="28E0A6C4">
              <w:tblPrEx>
                <w:tblCellMar>
                  <w:top w:w="0" w:type="dxa"/>
                  <w:left w:w="108" w:type="dxa"/>
                  <w:bottom w:w="0" w:type="dxa"/>
                  <w:right w:w="108" w:type="dxa"/>
                </w:tblCellMar>
              </w:tblPrEx>
              <w:trPr>
                <w:trHeight w:val="562"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6F74893A">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6F1D08D7">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0.1</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027A6BDB">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0.2</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0A76AE6">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0.3</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E0FF84E">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0.4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66E02A">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0.5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D29EB6F">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0.6</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40AD2164">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0.7</w:t>
                  </w:r>
                </w:p>
              </w:tc>
            </w:tr>
            <w:tr w14:paraId="3CADAC2D">
              <w:tblPrEx>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6C17DFF9">
                  <w:pPr>
                    <w:adjustRightInd w:val="0"/>
                    <w:snapToGrid w:val="0"/>
                    <w:spacing w:line="360" w:lineRule="exact"/>
                    <w:jc w:val="center"/>
                    <w:rPr>
                      <w:rFonts w:hint="eastAsia" w:ascii="Times New Roman"/>
                      <w:b/>
                      <w:snapToGrid w:val="0"/>
                      <w:kern w:val="0"/>
                      <w:sz w:val="21"/>
                      <w:szCs w:val="21"/>
                    </w:rPr>
                  </w:pPr>
                  <w:r>
                    <w:rPr>
                      <w:rFonts w:hint="eastAsia" w:ascii="Times New Roman"/>
                      <w:b/>
                      <w:snapToGrid w:val="0"/>
                      <w:kern w:val="0"/>
                      <w:sz w:val="21"/>
                      <w:szCs w:val="21"/>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13AD0909">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8</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65D8E10D">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EBDBE7D">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10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201807C">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11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F428FC">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12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ECD018D">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13</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392878B2">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14</w:t>
                  </w:r>
                </w:p>
              </w:tc>
            </w:tr>
            <w:tr w14:paraId="1464E00B">
              <w:tblPrEx>
                <w:tblCellMar>
                  <w:top w:w="0" w:type="dxa"/>
                  <w:left w:w="108" w:type="dxa"/>
                  <w:bottom w:w="0" w:type="dxa"/>
                  <w:right w:w="108" w:type="dxa"/>
                </w:tblCellMar>
              </w:tblPrEx>
              <w:trPr>
                <w:trHeight w:val="515"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1E74D43E">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119CA6FE">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0.8</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5672D6BB">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0.9</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76DB344">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1.0</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080692B">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1.1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2A34E91">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1.2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6D98B47">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1.3</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F2E2DC4">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1.4</w:t>
                  </w:r>
                </w:p>
              </w:tc>
            </w:tr>
            <w:tr w14:paraId="3D2DEA8F">
              <w:tblPrEx>
                <w:tblCellMar>
                  <w:top w:w="0" w:type="dxa"/>
                  <w:left w:w="108" w:type="dxa"/>
                  <w:bottom w:w="0" w:type="dxa"/>
                  <w:right w:w="108" w:type="dxa"/>
                </w:tblCellMar>
              </w:tblPrEx>
              <w:trPr>
                <w:trHeight w:val="47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459E453E">
                  <w:pPr>
                    <w:adjustRightInd w:val="0"/>
                    <w:snapToGrid w:val="0"/>
                    <w:spacing w:line="360" w:lineRule="exact"/>
                    <w:jc w:val="center"/>
                    <w:rPr>
                      <w:rFonts w:hint="eastAsia" w:ascii="Times New Roman"/>
                      <w:b/>
                      <w:snapToGrid w:val="0"/>
                      <w:kern w:val="0"/>
                      <w:sz w:val="21"/>
                      <w:szCs w:val="21"/>
                    </w:rPr>
                  </w:pPr>
                  <w:r>
                    <w:rPr>
                      <w:rFonts w:hint="eastAsia" w:ascii="Times New Roman"/>
                      <w:b/>
                      <w:snapToGrid w:val="0"/>
                      <w:kern w:val="0"/>
                      <w:sz w:val="21"/>
                      <w:szCs w:val="21"/>
                    </w:rPr>
                    <w:t>号球</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0F08E6FB">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15</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320C3AF5">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16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ECAFF82">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17</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066C835">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18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59C5600">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19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97F2120">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20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77C7EAEF">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21</w:t>
                  </w:r>
                </w:p>
              </w:tc>
            </w:tr>
            <w:tr w14:paraId="1D292678">
              <w:tblPrEx>
                <w:tblCellMar>
                  <w:top w:w="0" w:type="dxa"/>
                  <w:left w:w="108" w:type="dxa"/>
                  <w:bottom w:w="0" w:type="dxa"/>
                  <w:right w:w="108" w:type="dxa"/>
                </w:tblCellMar>
              </w:tblPrEx>
              <w:trPr>
                <w:trHeight w:val="600" w:hRule="atLeast"/>
              </w:trPr>
              <w:tc>
                <w:tcPr>
                  <w:tcW w:w="1316" w:type="dxa"/>
                  <w:tcBorders>
                    <w:top w:val="single" w:color="000000" w:sz="4" w:space="0"/>
                    <w:left w:val="single" w:color="000000" w:sz="4" w:space="0"/>
                    <w:bottom w:val="single" w:color="000000" w:sz="4" w:space="0"/>
                    <w:right w:val="single" w:color="000000" w:sz="4" w:space="0"/>
                  </w:tcBorders>
                  <w:noWrap w:val="0"/>
                  <w:vAlign w:val="center"/>
                </w:tcPr>
                <w:p w14:paraId="67D52EAB">
                  <w:pPr>
                    <w:adjustRightInd w:val="0"/>
                    <w:snapToGrid w:val="0"/>
                    <w:spacing w:line="360" w:lineRule="exact"/>
                    <w:jc w:val="center"/>
                    <w:rPr>
                      <w:rFonts w:hint="eastAsia" w:ascii="Times New Roman"/>
                      <w:snapToGrid w:val="0"/>
                      <w:kern w:val="0"/>
                      <w:sz w:val="21"/>
                      <w:szCs w:val="21"/>
                    </w:rPr>
                  </w:pPr>
                  <w:r>
                    <w:rPr>
                      <w:rFonts w:hint="eastAsia" w:ascii="Times New Roman"/>
                      <w:snapToGrid w:val="0"/>
                      <w:kern w:val="0"/>
                      <w:sz w:val="21"/>
                      <w:szCs w:val="21"/>
                    </w:rPr>
                    <w:t>下浮系数（%）</w:t>
                  </w:r>
                </w:p>
              </w:tc>
              <w:tc>
                <w:tcPr>
                  <w:tcW w:w="747" w:type="dxa"/>
                  <w:tcBorders>
                    <w:top w:val="single" w:color="000000" w:sz="4" w:space="0"/>
                    <w:left w:val="single" w:color="000000" w:sz="4" w:space="0"/>
                    <w:bottom w:val="single" w:color="000000" w:sz="4" w:space="0"/>
                    <w:right w:val="single" w:color="000000" w:sz="4" w:space="0"/>
                  </w:tcBorders>
                  <w:noWrap w:val="0"/>
                  <w:vAlign w:val="center"/>
                </w:tcPr>
                <w:p w14:paraId="2B4F997B">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1.5</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256EC66B">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1.6</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D285190">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1.7</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1A86022">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1.8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D34A95">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1.9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A2648B8">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2.0</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14:paraId="0577FFBD">
                  <w:pPr>
                    <w:adjustRightInd w:val="0"/>
                    <w:snapToGrid w:val="0"/>
                    <w:spacing w:line="360" w:lineRule="exact"/>
                    <w:jc w:val="center"/>
                    <w:rPr>
                      <w:rFonts w:ascii="Times New Roman"/>
                      <w:snapToGrid w:val="0"/>
                      <w:kern w:val="0"/>
                      <w:sz w:val="21"/>
                      <w:szCs w:val="21"/>
                    </w:rPr>
                  </w:pPr>
                  <w:r>
                    <w:rPr>
                      <w:rFonts w:hint="eastAsia" w:ascii="黑体" w:hAnsi="黑体" w:eastAsia="黑体" w:cs="黑体"/>
                      <w:snapToGrid w:val="0"/>
                      <w:kern w:val="0"/>
                      <w:sz w:val="21"/>
                      <w:szCs w:val="21"/>
                    </w:rPr>
                    <w:t>2.1</w:t>
                  </w:r>
                </w:p>
              </w:tc>
            </w:tr>
          </w:tbl>
          <w:p w14:paraId="2D5A3400">
            <w:pPr>
              <w:adjustRightInd w:val="0"/>
              <w:snapToGrid w:val="0"/>
              <w:spacing w:line="360" w:lineRule="exact"/>
              <w:ind w:firstLine="420" w:firstLineChars="200"/>
              <w:jc w:val="left"/>
              <w:rPr>
                <w:rFonts w:hint="eastAsia" w:asciiTheme="minorEastAsia" w:hAnsiTheme="minorEastAsia" w:eastAsiaTheme="minorEastAsia" w:cstheme="minorEastAsia"/>
                <w:snapToGrid w:val="0"/>
                <w:kern w:val="0"/>
                <w:sz w:val="24"/>
                <w:szCs w:val="24"/>
                <w:highlight w:val="yellow"/>
              </w:rPr>
            </w:pPr>
            <w:r>
              <w:rPr>
                <w:rFonts w:hint="eastAsia" w:ascii="Times New Roman"/>
                <w:snapToGrid w:val="0"/>
                <w:kern w:val="0"/>
                <w:sz w:val="21"/>
                <w:szCs w:val="21"/>
              </w:rPr>
              <w:t>（2）评标基准价D＝最高投标限价×（1－n）</w:t>
            </w:r>
          </w:p>
        </w:tc>
      </w:tr>
      <w:tr w14:paraId="495D5F2D">
        <w:tblPrEx>
          <w:tblCellMar>
            <w:top w:w="0" w:type="dxa"/>
            <w:left w:w="108" w:type="dxa"/>
            <w:bottom w:w="0" w:type="dxa"/>
            <w:right w:w="108" w:type="dxa"/>
          </w:tblCellMar>
        </w:tblPrEx>
        <w:trPr>
          <w:trHeight w:val="802" w:hRule="atLeast"/>
          <w:jc w:val="center"/>
        </w:trPr>
        <w:tc>
          <w:tcPr>
            <w:tcW w:w="1404" w:type="dxa"/>
            <w:tcBorders>
              <w:top w:val="single" w:color="auto" w:sz="4" w:space="0"/>
              <w:left w:val="single" w:color="auto" w:sz="4" w:space="0"/>
              <w:bottom w:val="single" w:color="auto" w:sz="4" w:space="0"/>
              <w:right w:val="single" w:color="auto" w:sz="4" w:space="0"/>
            </w:tcBorders>
            <w:noWrap w:val="0"/>
            <w:vAlign w:val="center"/>
          </w:tcPr>
          <w:p w14:paraId="48F7BB15">
            <w:pPr>
              <w:pStyle w:val="128"/>
              <w:adjustRightInd w:val="0"/>
              <w:snapToGrid w:val="0"/>
              <w:spacing w:line="360" w:lineRule="exact"/>
              <w:jc w:val="center"/>
              <w:rPr>
                <w:rFonts w:hint="eastAsia" w:eastAsia="宋体"/>
                <w:snapToGrid w:val="0"/>
                <w:kern w:val="0"/>
                <w:szCs w:val="21"/>
              </w:rPr>
            </w:pPr>
            <w:r>
              <w:rPr>
                <w:rFonts w:hint="eastAsia" w:eastAsia="宋体"/>
                <w:snapToGrid w:val="0"/>
                <w:kern w:val="0"/>
                <w:szCs w:val="21"/>
              </w:rPr>
              <w:t>投标报价</w:t>
            </w:r>
          </w:p>
          <w:p w14:paraId="26FCA01E">
            <w:pPr>
              <w:pStyle w:val="128"/>
              <w:adjustRightInd w:val="0"/>
              <w:snapToGrid w:val="0"/>
              <w:spacing w:line="360" w:lineRule="exact"/>
              <w:jc w:val="center"/>
              <w:rPr>
                <w:rFonts w:hint="eastAsia" w:asciiTheme="minorEastAsia" w:hAnsiTheme="minorEastAsia" w:eastAsiaTheme="minorEastAsia" w:cstheme="minorEastAsia"/>
                <w:snapToGrid w:val="0"/>
                <w:kern w:val="0"/>
                <w:sz w:val="24"/>
                <w:szCs w:val="24"/>
                <w:highlight w:val="yellow"/>
              </w:rPr>
            </w:pPr>
            <w:r>
              <w:rPr>
                <w:rFonts w:hint="eastAsia" w:eastAsia="宋体"/>
                <w:snapToGrid w:val="0"/>
                <w:kern w:val="0"/>
                <w:szCs w:val="21"/>
              </w:rPr>
              <w:t>得分M</w:t>
            </w:r>
            <w:r>
              <w:rPr>
                <w:rFonts w:hint="eastAsia" w:eastAsia="宋体"/>
                <w:snapToGrid w:val="0"/>
                <w:kern w:val="0"/>
                <w:szCs w:val="21"/>
                <w:vertAlign w:val="subscript"/>
              </w:rPr>
              <w:t>3</w:t>
            </w:r>
          </w:p>
        </w:tc>
        <w:tc>
          <w:tcPr>
            <w:tcW w:w="7958" w:type="dxa"/>
            <w:gridSpan w:val="2"/>
            <w:tcBorders>
              <w:top w:val="single" w:color="auto" w:sz="4" w:space="0"/>
              <w:left w:val="single" w:color="auto" w:sz="4" w:space="0"/>
              <w:bottom w:val="single" w:color="auto" w:sz="4" w:space="0"/>
              <w:right w:val="single" w:color="auto" w:sz="4" w:space="0"/>
            </w:tcBorders>
            <w:noWrap w:val="0"/>
            <w:vAlign w:val="center"/>
          </w:tcPr>
          <w:p w14:paraId="27C0E775">
            <w:pPr>
              <w:adjustRightInd w:val="0"/>
              <w:snapToGrid w:val="0"/>
              <w:spacing w:line="360" w:lineRule="exact"/>
              <w:ind w:firstLine="420" w:firstLineChars="200"/>
              <w:jc w:val="left"/>
              <w:rPr>
                <w:rFonts w:hint="eastAsia" w:ascii="Times New Roman"/>
                <w:snapToGrid w:val="0"/>
                <w:kern w:val="0"/>
                <w:sz w:val="21"/>
                <w:szCs w:val="21"/>
              </w:rPr>
            </w:pPr>
            <w:r>
              <w:rPr>
                <w:rFonts w:hint="eastAsia" w:ascii="Times New Roman"/>
                <w:snapToGrid w:val="0"/>
                <w:kern w:val="0"/>
                <w:sz w:val="21"/>
                <w:szCs w:val="21"/>
              </w:rPr>
              <w:t>采用内插法计算某投标人的投标报价得分M</w:t>
            </w:r>
            <w:r>
              <w:rPr>
                <w:rFonts w:hint="eastAsia" w:ascii="Times New Roman"/>
                <w:snapToGrid w:val="0"/>
                <w:kern w:val="0"/>
                <w:sz w:val="21"/>
                <w:szCs w:val="21"/>
                <w:vertAlign w:val="subscript"/>
              </w:rPr>
              <w:t>3</w:t>
            </w:r>
            <w:r>
              <w:rPr>
                <w:rFonts w:hint="eastAsia" w:ascii="Times New Roman"/>
                <w:snapToGrid w:val="0"/>
                <w:kern w:val="0"/>
                <w:sz w:val="21"/>
                <w:szCs w:val="21"/>
              </w:rPr>
              <w:t>，即当投标人的投标总价等于评标基准价时得满分，每高于评标基准价一个百分点扣0.2分，每低于评标基准价一个百分点扣0.1分，扣完为止。公式如下：</w:t>
            </w:r>
          </w:p>
          <w:p w14:paraId="6D5CFF7F">
            <w:pPr>
              <w:adjustRightInd w:val="0"/>
              <w:snapToGrid w:val="0"/>
              <w:spacing w:line="360" w:lineRule="exact"/>
              <w:ind w:firstLine="420" w:firstLineChars="200"/>
              <w:jc w:val="left"/>
              <w:rPr>
                <w:rFonts w:hint="eastAsia" w:ascii="Times New Roman"/>
                <w:snapToGrid w:val="0"/>
                <w:kern w:val="0"/>
                <w:sz w:val="21"/>
                <w:szCs w:val="21"/>
              </w:rPr>
            </w:pPr>
            <w:r>
              <w:rPr>
                <w:rFonts w:hint="eastAsia" w:ascii="Times New Roman"/>
                <w:snapToGrid w:val="0"/>
                <w:kern w:val="0"/>
                <w:sz w:val="21"/>
                <w:szCs w:val="21"/>
              </w:rPr>
              <w:t>M</w:t>
            </w:r>
            <w:r>
              <w:rPr>
                <w:rFonts w:hint="eastAsia" w:ascii="Times New Roman"/>
                <w:snapToGrid w:val="0"/>
                <w:kern w:val="0"/>
                <w:sz w:val="21"/>
                <w:szCs w:val="21"/>
                <w:vertAlign w:val="subscript"/>
              </w:rPr>
              <w:t>3</w:t>
            </w:r>
            <w:r>
              <w:rPr>
                <w:rFonts w:hint="eastAsia" w:ascii="Times New Roman"/>
                <w:snapToGrid w:val="0"/>
                <w:kern w:val="0"/>
                <w:sz w:val="21"/>
                <w:szCs w:val="21"/>
              </w:rPr>
              <w:t>＝投标报价满分－（| Di－D | ÷D）×100×E</w:t>
            </w:r>
          </w:p>
          <w:p w14:paraId="2C5E8F50">
            <w:pPr>
              <w:adjustRightInd w:val="0"/>
              <w:snapToGrid w:val="0"/>
              <w:spacing w:line="360" w:lineRule="exact"/>
              <w:ind w:firstLine="420" w:firstLineChars="200"/>
              <w:jc w:val="left"/>
              <w:rPr>
                <w:rFonts w:hint="eastAsia" w:asciiTheme="minorEastAsia" w:hAnsiTheme="minorEastAsia" w:eastAsiaTheme="minorEastAsia" w:cstheme="minorEastAsia"/>
                <w:snapToGrid w:val="0"/>
                <w:kern w:val="0"/>
                <w:sz w:val="24"/>
                <w:szCs w:val="24"/>
                <w:highlight w:val="yellow"/>
              </w:rPr>
            </w:pPr>
            <w:r>
              <w:rPr>
                <w:rFonts w:hint="eastAsia" w:ascii="Times New Roman"/>
                <w:snapToGrid w:val="0"/>
                <w:kern w:val="0"/>
                <w:sz w:val="21"/>
                <w:szCs w:val="21"/>
              </w:rPr>
              <w:t>式中：D为评标基准价，Di为某投标人的投标总价；E为扣分因子。当Di＞D时，E＝0.2；当Di＜D时，E＝0.1。</w:t>
            </w:r>
          </w:p>
        </w:tc>
      </w:tr>
    </w:tbl>
    <w:p w14:paraId="5A884232">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注：评分如出现小数点，则保留小数点后两位，第三位四舍五入。</w:t>
      </w:r>
    </w:p>
    <w:p w14:paraId="02D8E841">
      <w:pPr>
        <w:wordWrap w:val="0"/>
        <w:adjustRightInd w:val="0"/>
        <w:snapToGrid w:val="0"/>
        <w:spacing w:after="240" w:afterLines="100" w:line="440" w:lineRule="exact"/>
        <w:jc w:val="center"/>
        <w:rPr>
          <w:rFonts w:hint="eastAsia" w:hAnsi="宋体" w:cs="宋体"/>
          <w:b/>
          <w:bCs/>
          <w:snapToGrid w:val="0"/>
          <w:color w:val="auto"/>
          <w:kern w:val="0"/>
          <w:sz w:val="28"/>
          <w:szCs w:val="28"/>
          <w:highlight w:val="none"/>
        </w:rPr>
      </w:pPr>
    </w:p>
    <w:p w14:paraId="50869EF5">
      <w:pPr>
        <w:wordWrap w:val="0"/>
        <w:adjustRightInd w:val="0"/>
        <w:snapToGrid w:val="0"/>
        <w:spacing w:line="440" w:lineRule="exact"/>
        <w:jc w:val="center"/>
        <w:rPr>
          <w:rFonts w:hint="eastAsia" w:ascii="Times New Roman"/>
          <w:b/>
          <w:bCs/>
          <w:snapToGrid w:val="0"/>
          <w:kern w:val="0"/>
        </w:rPr>
      </w:pPr>
      <w:r>
        <w:rPr>
          <w:rFonts w:hint="eastAsia" w:ascii="Times New Roman"/>
          <w:b/>
          <w:bCs/>
          <w:snapToGrid w:val="0"/>
          <w:kern w:val="0"/>
          <w:sz w:val="30"/>
        </w:rPr>
        <w:t>表2 项目监理机构其他人员需求表</w:t>
      </w:r>
    </w:p>
    <w:p w14:paraId="790C30C5">
      <w:pPr>
        <w:wordWrap w:val="0"/>
        <w:adjustRightInd w:val="0"/>
        <w:snapToGrid w:val="0"/>
        <w:spacing w:line="440" w:lineRule="exact"/>
        <w:ind w:firstLine="480" w:firstLineChars="200"/>
        <w:rPr>
          <w:rFonts w:hint="eastAsia" w:ascii="Times New Roman"/>
          <w:snapToGrid w:val="0"/>
          <w:kern w:val="0"/>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2366"/>
        <w:gridCol w:w="875"/>
        <w:gridCol w:w="4736"/>
      </w:tblGrid>
      <w:tr w14:paraId="5B11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060" w:type="dxa"/>
            <w:gridSpan w:val="4"/>
            <w:noWrap w:val="0"/>
            <w:vAlign w:val="center"/>
          </w:tcPr>
          <w:p w14:paraId="06E473EB">
            <w:pPr>
              <w:pStyle w:val="90"/>
              <w:wordWrap w:val="0"/>
              <w:adjustRightInd w:val="0"/>
              <w:snapToGrid w:val="0"/>
              <w:spacing w:line="360" w:lineRule="exact"/>
              <w:jc w:val="left"/>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其他监理人员（除总监理工程师外）：共2人</w:t>
            </w:r>
          </w:p>
        </w:tc>
      </w:tr>
      <w:tr w14:paraId="6199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exact"/>
        </w:trPr>
        <w:tc>
          <w:tcPr>
            <w:tcW w:w="1083" w:type="dxa"/>
            <w:noWrap w:val="0"/>
            <w:vAlign w:val="center"/>
          </w:tcPr>
          <w:p w14:paraId="33C96334">
            <w:pPr>
              <w:pStyle w:val="90"/>
              <w:wordWrap w:val="0"/>
              <w:adjustRightInd w:val="0"/>
              <w:snapToGrid w:val="0"/>
              <w:spacing w:line="300" w:lineRule="exact"/>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职务</w:t>
            </w:r>
          </w:p>
        </w:tc>
        <w:tc>
          <w:tcPr>
            <w:tcW w:w="2366" w:type="dxa"/>
            <w:noWrap w:val="0"/>
            <w:vAlign w:val="center"/>
          </w:tcPr>
          <w:p w14:paraId="09A32389">
            <w:pPr>
              <w:pStyle w:val="90"/>
              <w:wordWrap w:val="0"/>
              <w:adjustRightInd w:val="0"/>
              <w:snapToGrid w:val="0"/>
              <w:spacing w:line="300" w:lineRule="exact"/>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专业要求</w:t>
            </w:r>
          </w:p>
        </w:tc>
        <w:tc>
          <w:tcPr>
            <w:tcW w:w="875" w:type="dxa"/>
            <w:noWrap w:val="0"/>
            <w:vAlign w:val="center"/>
          </w:tcPr>
          <w:p w14:paraId="1C8AB0DA">
            <w:pPr>
              <w:pStyle w:val="90"/>
              <w:wordWrap w:val="0"/>
              <w:adjustRightInd w:val="0"/>
              <w:snapToGrid w:val="0"/>
              <w:spacing w:line="300" w:lineRule="exact"/>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数量</w:t>
            </w:r>
          </w:p>
          <w:p w14:paraId="5B2056A7">
            <w:pPr>
              <w:pStyle w:val="90"/>
              <w:wordWrap w:val="0"/>
              <w:adjustRightInd w:val="0"/>
              <w:snapToGrid w:val="0"/>
              <w:spacing w:line="300" w:lineRule="exact"/>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要求</w:t>
            </w:r>
          </w:p>
        </w:tc>
        <w:tc>
          <w:tcPr>
            <w:tcW w:w="4736" w:type="dxa"/>
            <w:noWrap w:val="0"/>
            <w:vAlign w:val="center"/>
          </w:tcPr>
          <w:p w14:paraId="4FE3ED71">
            <w:pPr>
              <w:pStyle w:val="90"/>
              <w:wordWrap w:val="0"/>
              <w:adjustRightInd w:val="0"/>
              <w:snapToGrid w:val="0"/>
              <w:spacing w:line="300" w:lineRule="exact"/>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持证要求</w:t>
            </w:r>
          </w:p>
        </w:tc>
      </w:tr>
      <w:tr w14:paraId="2421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9" w:hRule="exact"/>
        </w:trPr>
        <w:tc>
          <w:tcPr>
            <w:tcW w:w="1083" w:type="dxa"/>
            <w:noWrap w:val="0"/>
            <w:vAlign w:val="center"/>
          </w:tcPr>
          <w:p w14:paraId="5F9D7C3A">
            <w:pPr>
              <w:pStyle w:val="90"/>
              <w:wordWrap w:val="0"/>
              <w:adjustRightInd w:val="0"/>
              <w:snapToGrid w:val="0"/>
              <w:spacing w:line="360" w:lineRule="exact"/>
              <w:jc w:val="center"/>
              <w:rPr>
                <w:rFonts w:hint="eastAsia" w:asciiTheme="minorEastAsia" w:hAnsiTheme="minorEastAsia" w:eastAsiaTheme="minorEastAsia" w:cstheme="minorEastAsia"/>
                <w:strike/>
                <w:snapToGrid w:val="0"/>
                <w:kern w:val="0"/>
                <w:sz w:val="24"/>
                <w:szCs w:val="24"/>
                <w:highlight w:val="none"/>
              </w:rPr>
            </w:pPr>
            <w:r>
              <w:rPr>
                <w:rFonts w:hint="eastAsia"/>
                <w:snapToGrid w:val="0"/>
                <w:kern w:val="0"/>
                <w:sz w:val="24"/>
                <w:highlight w:val="none"/>
              </w:rPr>
              <w:t>专业监理工程师</w:t>
            </w:r>
          </w:p>
        </w:tc>
        <w:tc>
          <w:tcPr>
            <w:tcW w:w="2366" w:type="dxa"/>
            <w:noWrap w:val="0"/>
            <w:vAlign w:val="center"/>
          </w:tcPr>
          <w:p w14:paraId="40A4D5B0">
            <w:pPr>
              <w:pStyle w:val="90"/>
              <w:wordWrap w:val="0"/>
              <w:adjustRightInd w:val="0"/>
              <w:snapToGrid w:val="0"/>
              <w:spacing w:line="360" w:lineRule="exact"/>
              <w:jc w:val="center"/>
              <w:rPr>
                <w:rFonts w:hint="eastAsia" w:asciiTheme="minorEastAsia" w:hAnsiTheme="minorEastAsia" w:eastAsiaTheme="minorEastAsia" w:cstheme="minorEastAsia"/>
                <w:strike/>
                <w:snapToGrid w:val="0"/>
                <w:kern w:val="0"/>
                <w:sz w:val="24"/>
                <w:szCs w:val="24"/>
                <w:highlight w:val="none"/>
              </w:rPr>
            </w:pPr>
            <w:r>
              <w:rPr>
                <w:rFonts w:hint="eastAsia" w:ascii="宋体" w:hAnsi="宋体" w:cs="宋体"/>
                <w:snapToGrid w:val="0"/>
                <w:kern w:val="0"/>
                <w:sz w:val="24"/>
                <w:highlight w:val="none"/>
              </w:rPr>
              <w:t>市政公用工程专业</w:t>
            </w:r>
          </w:p>
        </w:tc>
        <w:tc>
          <w:tcPr>
            <w:tcW w:w="875" w:type="dxa"/>
            <w:noWrap w:val="0"/>
            <w:vAlign w:val="center"/>
          </w:tcPr>
          <w:p w14:paraId="474A6A66">
            <w:pPr>
              <w:pStyle w:val="90"/>
              <w:wordWrap w:val="0"/>
              <w:adjustRightInd w:val="0"/>
              <w:snapToGrid w:val="0"/>
              <w:spacing w:line="360" w:lineRule="exact"/>
              <w:jc w:val="center"/>
              <w:rPr>
                <w:rFonts w:hint="eastAsia" w:asciiTheme="minorEastAsia" w:hAnsiTheme="minorEastAsia" w:eastAsiaTheme="minorEastAsia" w:cstheme="minorEastAsia"/>
                <w:strike/>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1</w:t>
            </w:r>
          </w:p>
        </w:tc>
        <w:tc>
          <w:tcPr>
            <w:tcW w:w="4736" w:type="dxa"/>
            <w:noWrap w:val="0"/>
            <w:vAlign w:val="center"/>
          </w:tcPr>
          <w:p w14:paraId="4A96CCA7">
            <w:pPr>
              <w:pStyle w:val="90"/>
              <w:wordWrap w:val="0"/>
              <w:adjustRightInd w:val="0"/>
              <w:snapToGrid w:val="0"/>
              <w:spacing w:line="360" w:lineRule="exact"/>
              <w:rPr>
                <w:rFonts w:hint="eastAsia"/>
                <w:snapToGrid w:val="0"/>
                <w:kern w:val="0"/>
                <w:sz w:val="24"/>
                <w:highlight w:val="none"/>
              </w:rPr>
            </w:pPr>
            <w:r>
              <w:rPr>
                <w:rFonts w:hint="eastAsia"/>
                <w:snapToGrid w:val="0"/>
                <w:kern w:val="0"/>
                <w:sz w:val="24"/>
                <w:highlight w:val="none"/>
              </w:rPr>
              <w:t>符合以下3种情形之一均可：</w:t>
            </w:r>
          </w:p>
          <w:p w14:paraId="20BAB436">
            <w:pPr>
              <w:pStyle w:val="90"/>
              <w:wordWrap w:val="0"/>
              <w:adjustRightInd w:val="0"/>
              <w:snapToGrid w:val="0"/>
              <w:spacing w:line="360" w:lineRule="exact"/>
              <w:rPr>
                <w:rFonts w:hint="eastAsia"/>
                <w:snapToGrid w:val="0"/>
                <w:kern w:val="0"/>
                <w:sz w:val="24"/>
                <w:highlight w:val="none"/>
              </w:rPr>
            </w:pPr>
            <w:r>
              <w:rPr>
                <w:rFonts w:hint="eastAsia"/>
                <w:snapToGrid w:val="0"/>
                <w:kern w:val="0"/>
                <w:sz w:val="24"/>
                <w:highlight w:val="none"/>
              </w:rPr>
              <w:t>1．具备所需专业注册监理工程师执业资格，持有效的注册证书；</w:t>
            </w:r>
          </w:p>
          <w:p w14:paraId="29B81228">
            <w:pPr>
              <w:pStyle w:val="90"/>
              <w:wordWrap w:val="0"/>
              <w:adjustRightInd w:val="0"/>
              <w:snapToGrid w:val="0"/>
              <w:spacing w:line="360" w:lineRule="exact"/>
              <w:rPr>
                <w:rFonts w:hint="eastAsia"/>
                <w:snapToGrid w:val="0"/>
                <w:kern w:val="0"/>
                <w:sz w:val="24"/>
                <w:highlight w:val="none"/>
              </w:rPr>
            </w:pPr>
            <w:r>
              <w:rPr>
                <w:rFonts w:hint="eastAsia"/>
                <w:snapToGrid w:val="0"/>
                <w:kern w:val="0"/>
                <w:sz w:val="24"/>
                <w:highlight w:val="none"/>
              </w:rPr>
              <w:t>2．具备工程类注册执业资格，并经监理业务培训。持有效的注册证书、省级建设行政主管部门或其授权的组织（机构）颁发的岗位证书；</w:t>
            </w:r>
          </w:p>
          <w:p w14:paraId="04900ECA">
            <w:pPr>
              <w:pStyle w:val="90"/>
              <w:wordWrap w:val="0"/>
              <w:adjustRightInd w:val="0"/>
              <w:snapToGrid w:val="0"/>
              <w:spacing w:line="360" w:lineRule="exact"/>
              <w:rPr>
                <w:rFonts w:hint="eastAsia"/>
                <w:snapToGrid w:val="0"/>
                <w:kern w:val="0"/>
                <w:sz w:val="24"/>
                <w:highlight w:val="none"/>
              </w:rPr>
            </w:pPr>
            <w:r>
              <w:rPr>
                <w:rFonts w:hint="eastAsia"/>
                <w:snapToGrid w:val="0"/>
                <w:kern w:val="0"/>
                <w:sz w:val="24"/>
                <w:highlight w:val="none"/>
              </w:rPr>
              <w:t>3．具备中级及以上专业技术职称，并经监理业务培训。持有效的职称证书、省级建设行政主管部门或其授权的组织（机构）颁发的岗位证书。</w:t>
            </w:r>
          </w:p>
          <w:p w14:paraId="7A23B49C">
            <w:pPr>
              <w:pStyle w:val="90"/>
              <w:wordWrap w:val="0"/>
              <w:adjustRightInd w:val="0"/>
              <w:snapToGrid w:val="0"/>
              <w:spacing w:line="360" w:lineRule="exact"/>
              <w:rPr>
                <w:rFonts w:hint="eastAsia" w:asciiTheme="minorEastAsia" w:hAnsiTheme="minorEastAsia" w:eastAsiaTheme="minorEastAsia" w:cstheme="minorEastAsia"/>
                <w:snapToGrid w:val="0"/>
                <w:kern w:val="0"/>
                <w:sz w:val="24"/>
                <w:szCs w:val="24"/>
                <w:highlight w:val="none"/>
              </w:rPr>
            </w:pPr>
            <w:r>
              <w:rPr>
                <w:rFonts w:hint="eastAsia"/>
                <w:snapToGrid w:val="0"/>
                <w:kern w:val="0"/>
                <w:sz w:val="24"/>
                <w:highlight w:val="none"/>
              </w:rPr>
              <w:t>注：专业类别以注册证书或专业监理工程师证书或职称证书或毕业证所列明的专业为准。</w:t>
            </w:r>
          </w:p>
        </w:tc>
      </w:tr>
      <w:tr w14:paraId="5052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exact"/>
        </w:trPr>
        <w:tc>
          <w:tcPr>
            <w:tcW w:w="1083" w:type="dxa"/>
            <w:noWrap w:val="0"/>
            <w:vAlign w:val="center"/>
          </w:tcPr>
          <w:p w14:paraId="605696B9">
            <w:pPr>
              <w:pStyle w:val="90"/>
              <w:wordWrap w:val="0"/>
              <w:adjustRightInd w:val="0"/>
              <w:snapToGrid w:val="0"/>
              <w:spacing w:line="360" w:lineRule="exact"/>
              <w:jc w:val="center"/>
              <w:rPr>
                <w:rFonts w:hint="eastAsia"/>
                <w:snapToGrid w:val="0"/>
                <w:kern w:val="0"/>
                <w:sz w:val="24"/>
                <w:highlight w:val="none"/>
              </w:rPr>
            </w:pPr>
            <w:r>
              <w:rPr>
                <w:rFonts w:hint="eastAsia" w:ascii="宋体" w:hAnsi="宋体" w:cs="宋体"/>
                <w:snapToGrid w:val="0"/>
                <w:color w:val="000000" w:themeColor="text1"/>
                <w:kern w:val="0"/>
                <w:sz w:val="24"/>
                <w:highlight w:val="none"/>
                <w14:textFill>
                  <w14:solidFill>
                    <w14:schemeClr w14:val="tx1"/>
                  </w14:solidFill>
                </w14:textFill>
              </w:rPr>
              <w:t>监理员</w:t>
            </w:r>
          </w:p>
        </w:tc>
        <w:tc>
          <w:tcPr>
            <w:tcW w:w="2366" w:type="dxa"/>
            <w:noWrap w:val="0"/>
            <w:vAlign w:val="center"/>
          </w:tcPr>
          <w:p w14:paraId="45ED69CE">
            <w:pPr>
              <w:pStyle w:val="90"/>
              <w:wordWrap w:val="0"/>
              <w:adjustRightInd w:val="0"/>
              <w:snapToGrid w:val="0"/>
              <w:spacing w:line="360" w:lineRule="exact"/>
              <w:jc w:val="center"/>
              <w:rPr>
                <w:rFonts w:hint="eastAsia" w:ascii="宋体" w:hAnsi="宋体" w:cs="宋体"/>
                <w:snapToGrid w:val="0"/>
                <w:kern w:val="0"/>
                <w:sz w:val="24"/>
                <w:highlight w:val="none"/>
              </w:rPr>
            </w:pPr>
            <w:r>
              <w:rPr>
                <w:rFonts w:hint="eastAsia" w:ascii="宋体" w:hAnsi="宋体" w:cs="宋体"/>
                <w:snapToGrid w:val="0"/>
                <w:color w:val="000000" w:themeColor="text1"/>
                <w:kern w:val="0"/>
                <w:sz w:val="24"/>
                <w:highlight w:val="none"/>
                <w14:textFill>
                  <w14:solidFill>
                    <w14:schemeClr w14:val="tx1"/>
                  </w14:solidFill>
                </w14:textFill>
              </w:rPr>
              <w:t>具备有效期内监理员岗位证书</w:t>
            </w:r>
          </w:p>
        </w:tc>
        <w:tc>
          <w:tcPr>
            <w:tcW w:w="875" w:type="dxa"/>
            <w:noWrap w:val="0"/>
            <w:vAlign w:val="center"/>
          </w:tcPr>
          <w:p w14:paraId="3802F4E0">
            <w:pPr>
              <w:pStyle w:val="90"/>
              <w:wordWrap w:val="0"/>
              <w:adjustRightInd w:val="0"/>
              <w:snapToGrid w:val="0"/>
              <w:spacing w:line="360" w:lineRule="exact"/>
              <w:jc w:val="center"/>
              <w:rPr>
                <w:rFonts w:hint="eastAsia" w:asciiTheme="minorEastAsia" w:hAnsiTheme="minorEastAsia" w:eastAsiaTheme="minorEastAsia" w:cstheme="minorEastAsia"/>
                <w:snapToGrid w:val="0"/>
                <w:kern w:val="0"/>
                <w:sz w:val="24"/>
                <w:szCs w:val="24"/>
                <w:highlight w:val="none"/>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1</w:t>
            </w:r>
          </w:p>
        </w:tc>
        <w:tc>
          <w:tcPr>
            <w:tcW w:w="4736" w:type="dxa"/>
            <w:noWrap w:val="0"/>
            <w:vAlign w:val="center"/>
          </w:tcPr>
          <w:p w14:paraId="1BC42845">
            <w:pPr>
              <w:pStyle w:val="90"/>
              <w:wordWrap w:val="0"/>
              <w:adjustRightInd w:val="0"/>
              <w:snapToGrid w:val="0"/>
              <w:spacing w:line="360" w:lineRule="exact"/>
              <w:rPr>
                <w:rFonts w:hint="eastAsia"/>
                <w:snapToGrid w:val="0"/>
                <w:kern w:val="0"/>
                <w:sz w:val="24"/>
                <w:highlight w:val="none"/>
              </w:rPr>
            </w:pPr>
            <w:r>
              <w:rPr>
                <w:rFonts w:hint="eastAsia" w:ascii="宋体" w:hAnsi="宋体" w:cs="宋体"/>
                <w:snapToGrid w:val="0"/>
                <w:color w:val="000000" w:themeColor="text1"/>
                <w:kern w:val="0"/>
                <w:sz w:val="24"/>
                <w:highlight w:val="none"/>
                <w14:textFill>
                  <w14:solidFill>
                    <w14:schemeClr w14:val="tx1"/>
                  </w14:solidFill>
                </w14:textFill>
              </w:rPr>
              <w:t>经监理业务培训，持有效的省级及以上建设行政主管部门或其授权的组织（机构）颁发的岗位证书。</w:t>
            </w:r>
          </w:p>
        </w:tc>
      </w:tr>
      <w:tr w14:paraId="2E6C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49" w:type="dxa"/>
            <w:gridSpan w:val="2"/>
            <w:noWrap w:val="0"/>
            <w:vAlign w:val="center"/>
          </w:tcPr>
          <w:p w14:paraId="444F3228">
            <w:pPr>
              <w:pStyle w:val="90"/>
              <w:wordWrap w:val="0"/>
              <w:adjustRightInd w:val="0"/>
              <w:snapToGrid w:val="0"/>
              <w:spacing w:line="360" w:lineRule="exact"/>
              <w:jc w:val="center"/>
              <w:rPr>
                <w:rFonts w:hint="eastAsia" w:asciiTheme="minorEastAsia" w:hAnsiTheme="minorEastAsia" w:eastAsiaTheme="minorEastAsia" w:cstheme="minorEastAsia"/>
                <w:snapToGrid w:val="0"/>
                <w:kern w:val="0"/>
                <w:sz w:val="24"/>
                <w:szCs w:val="24"/>
                <w:highlight w:val="none"/>
              </w:rPr>
            </w:pPr>
            <w:r>
              <w:rPr>
                <w:rFonts w:hint="eastAsia" w:asciiTheme="minorEastAsia" w:hAnsiTheme="minorEastAsia" w:eastAsiaTheme="minorEastAsia" w:cstheme="minorEastAsia"/>
                <w:snapToGrid w:val="0"/>
                <w:kern w:val="0"/>
                <w:sz w:val="24"/>
                <w:szCs w:val="24"/>
                <w:highlight w:val="none"/>
              </w:rPr>
              <w:t>合计</w:t>
            </w:r>
          </w:p>
        </w:tc>
        <w:tc>
          <w:tcPr>
            <w:tcW w:w="875" w:type="dxa"/>
            <w:noWrap w:val="0"/>
            <w:vAlign w:val="center"/>
          </w:tcPr>
          <w:p w14:paraId="685D52DC">
            <w:pPr>
              <w:pStyle w:val="90"/>
              <w:wordWrap w:val="0"/>
              <w:adjustRightInd w:val="0"/>
              <w:snapToGrid w:val="0"/>
              <w:spacing w:line="360" w:lineRule="exact"/>
              <w:jc w:val="center"/>
              <w:rPr>
                <w:rFonts w:hint="eastAsia" w:asciiTheme="minorEastAsia" w:hAnsiTheme="minorEastAsia" w:eastAsiaTheme="minorEastAsia" w:cstheme="minorEastAsia"/>
                <w:snapToGrid w:val="0"/>
                <w:kern w:val="0"/>
                <w:sz w:val="24"/>
                <w:szCs w:val="24"/>
                <w:highlight w:val="none"/>
                <w:lang w:eastAsia="zh-CN"/>
              </w:rPr>
            </w:pPr>
            <w:r>
              <w:rPr>
                <w:rFonts w:hint="eastAsia" w:asciiTheme="minorEastAsia" w:hAnsiTheme="minorEastAsia" w:eastAsiaTheme="minorEastAsia" w:cstheme="minorEastAsia"/>
                <w:snapToGrid w:val="0"/>
                <w:kern w:val="0"/>
                <w:sz w:val="24"/>
                <w:szCs w:val="24"/>
                <w:highlight w:val="none"/>
                <w:lang w:val="en-US" w:eastAsia="zh-CN"/>
              </w:rPr>
              <w:t>2</w:t>
            </w:r>
          </w:p>
        </w:tc>
        <w:tc>
          <w:tcPr>
            <w:tcW w:w="4736" w:type="dxa"/>
            <w:noWrap w:val="0"/>
            <w:vAlign w:val="center"/>
          </w:tcPr>
          <w:p w14:paraId="02E6504A">
            <w:pPr>
              <w:pStyle w:val="90"/>
              <w:wordWrap w:val="0"/>
              <w:adjustRightInd w:val="0"/>
              <w:snapToGrid w:val="0"/>
              <w:spacing w:line="360" w:lineRule="exact"/>
              <w:rPr>
                <w:rFonts w:hint="eastAsia" w:asciiTheme="minorEastAsia" w:hAnsiTheme="minorEastAsia" w:eastAsiaTheme="minorEastAsia" w:cstheme="minorEastAsia"/>
                <w:snapToGrid w:val="0"/>
                <w:kern w:val="0"/>
                <w:sz w:val="24"/>
                <w:szCs w:val="24"/>
                <w:highlight w:val="none"/>
              </w:rPr>
            </w:pPr>
          </w:p>
        </w:tc>
      </w:tr>
    </w:tbl>
    <w:p w14:paraId="3E67B8DA">
      <w:pPr>
        <w:wordWrap w:val="0"/>
        <w:adjustRightInd w:val="0"/>
        <w:snapToGrid w:val="0"/>
        <w:spacing w:line="440" w:lineRule="exact"/>
        <w:ind w:firstLine="480" w:firstLineChars="200"/>
        <w:rPr>
          <w:rFonts w:ascii="Times New Roman"/>
          <w:snapToGrid w:val="0"/>
          <w:color w:val="auto"/>
          <w:kern w:val="0"/>
          <w:highlight w:val="none"/>
        </w:rPr>
      </w:pPr>
      <w:r>
        <w:rPr>
          <w:rFonts w:hint="eastAsia" w:hAnsi="宋体" w:cs="宋体"/>
          <w:color w:val="auto"/>
          <w:kern w:val="0"/>
          <w:szCs w:val="24"/>
          <w:highlight w:val="none"/>
        </w:rPr>
        <w:t>注：</w:t>
      </w:r>
      <w:r>
        <w:rPr>
          <w:rFonts w:hint="eastAsia" w:ascii="宋体" w:hAnsi="宋体" w:eastAsia="宋体" w:cs="宋体"/>
          <w:color w:val="auto"/>
          <w:kern w:val="0"/>
          <w:sz w:val="24"/>
          <w:szCs w:val="24"/>
          <w:highlight w:val="none"/>
          <w:lang w:val="en-US" w:eastAsia="zh-CN" w:bidi="ar"/>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auto"/>
          <w:highlight w:val="none"/>
        </w:rPr>
      </w:pPr>
    </w:p>
    <w:p w14:paraId="07D9C16A">
      <w:pPr>
        <w:adjustRightInd w:val="0"/>
        <w:snapToGrid w:val="0"/>
        <w:spacing w:line="440" w:lineRule="exact"/>
        <w:ind w:firstLine="480" w:firstLineChars="200"/>
        <w:rPr>
          <w:rFonts w:hAnsi="宋体" w:cs="宋体"/>
          <w:snapToGrid w:val="0"/>
          <w:color w:val="auto"/>
          <w:kern w:val="0"/>
          <w:highlight w:val="none"/>
        </w:rPr>
      </w:pPr>
      <w:r>
        <w:rPr>
          <w:rFonts w:hint="eastAsia" w:hAnsi="宋体" w:cs="宋体"/>
          <w:snapToGrid w:val="0"/>
          <w:color w:val="auto"/>
          <w:kern w:val="0"/>
          <w:highlight w:val="none"/>
        </w:rPr>
        <w:br w:type="page"/>
      </w:r>
    </w:p>
    <w:p w14:paraId="499742D9">
      <w:pPr>
        <w:wordWrap w:val="0"/>
        <w:adjustRightInd w:val="0"/>
        <w:snapToGrid w:val="0"/>
        <w:spacing w:line="440" w:lineRule="exact"/>
        <w:ind w:firstLine="482" w:firstLineChars="200"/>
        <w:rPr>
          <w:rFonts w:hAnsi="宋体" w:cs="宋体"/>
          <w:b/>
          <w:bCs/>
          <w:snapToGrid w:val="0"/>
          <w:color w:val="auto"/>
          <w:kern w:val="0"/>
          <w:szCs w:val="24"/>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15.</w:t>
      </w: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 xml:space="preserve">.2 </w:t>
      </w:r>
      <w:r>
        <w:rPr>
          <w:rFonts w:hint="eastAsia" w:hAnsi="宋体" w:cs="宋体"/>
          <w:snapToGrid w:val="0"/>
          <w:color w:val="auto"/>
          <w:kern w:val="0"/>
          <w:szCs w:val="24"/>
          <w:highlight w:val="none"/>
        </w:rPr>
        <w:t>否决投标说明</w:t>
      </w:r>
    </w:p>
    <w:p w14:paraId="4CADBCAA">
      <w:pPr>
        <w:wordWrap w:val="0"/>
        <w:adjustRightInd w:val="0"/>
        <w:snapToGrid w:val="0"/>
        <w:spacing w:line="360" w:lineRule="auto"/>
        <w:ind w:firstLine="562"/>
        <w:rPr>
          <w:rFonts w:hAnsi="宋体" w:cs="宋体"/>
          <w:snapToGrid w:val="0"/>
          <w:color w:val="auto"/>
          <w:kern w:val="0"/>
          <w:szCs w:val="24"/>
          <w:highlight w:val="none"/>
        </w:rPr>
      </w:pPr>
      <w:r>
        <w:rPr>
          <w:rFonts w:hint="eastAsia" w:hAnsi="宋体" w:cs="宋体"/>
          <w:snapToGrid w:val="0"/>
          <w:color w:val="auto"/>
          <w:kern w:val="0"/>
          <w:szCs w:val="24"/>
          <w:highlight w:val="none"/>
        </w:rPr>
        <w:t>详细评审阶段否决投标的全部条件，在本章第四节“否决投标条件”第</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auto"/>
          <w:kern w:val="0"/>
          <w:szCs w:val="24"/>
          <w:highlight w:val="none"/>
        </w:rPr>
      </w:pPr>
      <w:r>
        <w:rPr>
          <w:rFonts w:hint="eastAsia" w:hAnsi="宋体" w:cs="宋体"/>
          <w:b/>
          <w:bCs/>
          <w:snapToGrid w:val="0"/>
          <w:color w:val="auto"/>
          <w:kern w:val="0"/>
          <w:szCs w:val="24"/>
          <w:highlight w:val="none"/>
        </w:rPr>
        <w:t>注：投标人在详细评审阶段根据评分方法提供的佐证材料，其合法性、有效性和准确性不符合要求的，有关评分因素的评分按相应评分标准处理，但不否决投标。</w:t>
      </w:r>
    </w:p>
    <w:p w14:paraId="73CA2331">
      <w:pPr>
        <w:pStyle w:val="5"/>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hAnsi="宋体" w:cs="宋体"/>
          <w:b/>
          <w:snapToGrid w:val="0"/>
          <w:color w:val="auto"/>
          <w:szCs w:val="24"/>
          <w:highlight w:val="none"/>
        </w:rPr>
      </w:pPr>
      <w:bookmarkStart w:id="62" w:name="_Toc23668"/>
      <w:r>
        <w:rPr>
          <w:rFonts w:hint="eastAsia" w:hAnsi="宋体" w:cs="宋体"/>
          <w:b/>
          <w:snapToGrid w:val="0"/>
          <w:color w:val="auto"/>
          <w:szCs w:val="24"/>
          <w:highlight w:val="none"/>
        </w:rPr>
        <w:t>16．推荐中标候选人</w:t>
      </w:r>
      <w:bookmarkEnd w:id="62"/>
    </w:p>
    <w:p w14:paraId="73027949">
      <w:pPr>
        <w:wordWrap w:val="0"/>
        <w:adjustRightInd w:val="0"/>
        <w:snapToGrid w:val="0"/>
        <w:spacing w:line="360" w:lineRule="auto"/>
        <w:ind w:firstLine="482" w:firstLineChars="200"/>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 xml:space="preserve">.1 </w:t>
      </w:r>
      <w:r>
        <w:rPr>
          <w:rFonts w:hint="eastAsia" w:hAnsi="宋体" w:cs="宋体"/>
          <w:b w:val="0"/>
          <w:bCs w:val="0"/>
          <w:snapToGrid w:val="0"/>
          <w:color w:val="auto"/>
          <w:kern w:val="0"/>
          <w:szCs w:val="24"/>
          <w:highlight w:val="none"/>
        </w:rPr>
        <w:t>确定排名</w:t>
      </w:r>
    </w:p>
    <w:p w14:paraId="17101544">
      <w:pPr>
        <w:wordWrap w:val="0"/>
        <w:adjustRightInd w:val="0"/>
        <w:snapToGrid w:val="0"/>
        <w:spacing w:line="360" w:lineRule="auto"/>
        <w:ind w:firstLine="480" w:firstLineChars="200"/>
        <w:outlineLvl w:val="1"/>
        <w:rPr>
          <w:rFonts w:hint="eastAsia" w:hAnsi="宋体" w:cs="宋体"/>
          <w:b w:val="0"/>
          <w:bCs/>
          <w:snapToGrid w:val="0"/>
          <w:color w:val="auto"/>
          <w:kern w:val="0"/>
          <w:szCs w:val="24"/>
          <w:highlight w:val="none"/>
        </w:rPr>
      </w:pPr>
      <w:bookmarkStart w:id="63" w:name="_Toc10038"/>
      <w:bookmarkStart w:id="64" w:name="_Toc28775"/>
      <w:r>
        <w:rPr>
          <w:rFonts w:hint="eastAsia" w:hAnsi="宋体" w:cs="宋体"/>
          <w:b w:val="0"/>
          <w:bCs/>
          <w:snapToGrid w:val="0"/>
          <w:color w:val="auto"/>
          <w:kern w:val="0"/>
          <w:szCs w:val="24"/>
          <w:highlight w:val="none"/>
        </w:rPr>
        <w:t>评标委员会汇总、比较所有投标人的综合得分后，按照综合得分由高到低的次序排列。综合得分相等时，以投标总价低的优先；如果投标总价也相等的，由评标委员会投票确定。</w:t>
      </w:r>
      <w:bookmarkEnd w:id="63"/>
      <w:bookmarkEnd w:id="64"/>
    </w:p>
    <w:p w14:paraId="2DFB7C24">
      <w:pPr>
        <w:wordWrap w:val="0"/>
        <w:adjustRightInd w:val="0"/>
        <w:snapToGrid w:val="0"/>
        <w:spacing w:line="360" w:lineRule="auto"/>
        <w:ind w:firstLine="482" w:firstLineChars="200"/>
        <w:outlineLvl w:val="1"/>
        <w:rPr>
          <w:rFonts w:hint="eastAsia" w:hAnsi="宋体" w:cs="宋体"/>
          <w:b/>
          <w:snapToGrid w:val="0"/>
          <w:color w:val="auto"/>
          <w:kern w:val="0"/>
          <w:szCs w:val="24"/>
          <w:highlight w:val="none"/>
        </w:rPr>
      </w:pPr>
      <w:bookmarkStart w:id="65" w:name="_Toc4420"/>
      <w:bookmarkStart w:id="66" w:name="_Toc28841"/>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6</w:t>
      </w:r>
      <w:r>
        <w:rPr>
          <w:rFonts w:hint="eastAsia" w:hAnsi="宋体" w:cs="宋体"/>
          <w:b/>
          <w:snapToGrid w:val="0"/>
          <w:color w:val="auto"/>
          <w:kern w:val="0"/>
          <w:szCs w:val="24"/>
          <w:highlight w:val="none"/>
        </w:rPr>
        <w:t xml:space="preserve">.2 </w:t>
      </w:r>
      <w:r>
        <w:rPr>
          <w:rFonts w:hint="eastAsia" w:hAnsi="宋体" w:cs="宋体"/>
          <w:b w:val="0"/>
          <w:bCs/>
          <w:snapToGrid w:val="0"/>
          <w:color w:val="auto"/>
          <w:kern w:val="0"/>
          <w:szCs w:val="24"/>
          <w:highlight w:val="none"/>
        </w:rPr>
        <w:t>推荐方法</w:t>
      </w:r>
      <w:bookmarkEnd w:id="65"/>
      <w:bookmarkEnd w:id="66"/>
    </w:p>
    <w:p w14:paraId="51771E02">
      <w:pPr>
        <w:wordWrap w:val="0"/>
        <w:adjustRightInd w:val="0"/>
        <w:snapToGrid w:val="0"/>
        <w:spacing w:line="360" w:lineRule="auto"/>
        <w:ind w:firstLine="480" w:firstLineChars="200"/>
        <w:outlineLvl w:val="1"/>
        <w:rPr>
          <w:rFonts w:hint="eastAsia" w:hAnsi="宋体" w:cs="宋体"/>
          <w:b w:val="0"/>
          <w:bCs/>
          <w:snapToGrid w:val="0"/>
          <w:color w:val="auto"/>
          <w:kern w:val="0"/>
          <w:szCs w:val="24"/>
          <w:highlight w:val="none"/>
        </w:rPr>
      </w:pPr>
      <w:bookmarkStart w:id="67" w:name="_Toc1434"/>
      <w:bookmarkStart w:id="68" w:name="_Toc21828"/>
      <w:r>
        <w:rPr>
          <w:rFonts w:hint="eastAsia" w:hAnsi="宋体" w:cs="宋体"/>
          <w:b w:val="0"/>
          <w:bCs/>
          <w:snapToGrid w:val="0"/>
          <w:color w:val="auto"/>
          <w:kern w:val="0"/>
          <w:szCs w:val="24"/>
          <w:highlight w:val="none"/>
        </w:rPr>
        <w:t>（1）有效投标人数量达到或超过3个的，评标委员会将前三名投标人作为中标候选人向招标人推荐，并标明排列顺序。</w:t>
      </w:r>
      <w:bookmarkEnd w:id="67"/>
      <w:bookmarkEnd w:id="68"/>
    </w:p>
    <w:p w14:paraId="38AE0B13">
      <w:pPr>
        <w:wordWrap w:val="0"/>
        <w:adjustRightInd w:val="0"/>
        <w:snapToGrid w:val="0"/>
        <w:spacing w:line="360" w:lineRule="auto"/>
        <w:ind w:firstLine="480" w:firstLineChars="200"/>
        <w:outlineLvl w:val="1"/>
        <w:rPr>
          <w:rFonts w:hint="eastAsia" w:hAnsi="宋体" w:cs="宋体"/>
          <w:b w:val="0"/>
          <w:bCs/>
          <w:snapToGrid w:val="0"/>
          <w:color w:val="auto"/>
          <w:kern w:val="0"/>
          <w:szCs w:val="24"/>
          <w:highlight w:val="none"/>
        </w:rPr>
      </w:pPr>
      <w:bookmarkStart w:id="69" w:name="_Toc27202"/>
      <w:bookmarkStart w:id="70" w:name="_Toc32512"/>
      <w:r>
        <w:rPr>
          <w:rFonts w:hint="eastAsia" w:hAnsi="宋体" w:cs="宋体"/>
          <w:b w:val="0"/>
          <w:bCs/>
          <w:snapToGrid w:val="0"/>
          <w:color w:val="auto"/>
          <w:kern w:val="0"/>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bookmarkEnd w:id="69"/>
      <w:bookmarkEnd w:id="70"/>
    </w:p>
    <w:p w14:paraId="1E7EFB30">
      <w:pPr>
        <w:wordWrap w:val="0"/>
        <w:adjustRightInd w:val="0"/>
        <w:snapToGrid w:val="0"/>
        <w:spacing w:line="360" w:lineRule="auto"/>
        <w:ind w:firstLine="482" w:firstLineChars="200"/>
        <w:outlineLvl w:val="1"/>
        <w:rPr>
          <w:rFonts w:hint="eastAsia" w:hAnsi="宋体" w:cs="宋体"/>
          <w:b w:val="0"/>
          <w:bCs/>
          <w:snapToGrid w:val="0"/>
          <w:color w:val="auto"/>
          <w:kern w:val="0"/>
          <w:szCs w:val="24"/>
          <w:highlight w:val="none"/>
        </w:rPr>
      </w:pPr>
      <w:bookmarkStart w:id="71" w:name="_Toc18953"/>
      <w:bookmarkStart w:id="72" w:name="_Toc1479"/>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6</w:t>
      </w:r>
      <w:r>
        <w:rPr>
          <w:rFonts w:hint="eastAsia" w:hAnsi="宋体" w:cs="宋体"/>
          <w:b/>
          <w:snapToGrid w:val="0"/>
          <w:color w:val="auto"/>
          <w:kern w:val="0"/>
          <w:szCs w:val="24"/>
          <w:highlight w:val="none"/>
        </w:rPr>
        <w:t xml:space="preserve">.3 </w:t>
      </w:r>
      <w:r>
        <w:rPr>
          <w:rFonts w:hint="eastAsia" w:hAnsi="宋体" w:cs="宋体"/>
          <w:b w:val="0"/>
          <w:bCs/>
          <w:snapToGrid w:val="0"/>
          <w:color w:val="auto"/>
          <w:kern w:val="0"/>
          <w:szCs w:val="24"/>
          <w:highlight w:val="none"/>
        </w:rPr>
        <w:t>评标委员会完成评标后，应向招标人提交由全体评标委员会成员签字的评标报告和中标候选人名单。</w:t>
      </w:r>
      <w:bookmarkEnd w:id="71"/>
      <w:bookmarkEnd w:id="72"/>
    </w:p>
    <w:p w14:paraId="1855C80E">
      <w:pPr>
        <w:keepNext w:val="0"/>
        <w:keepLines w:val="0"/>
        <w:pageBreakBefore w:val="0"/>
        <w:wordWrap w:val="0"/>
        <w:topLinePunct w:val="0"/>
        <w:bidi w:val="0"/>
        <w:adjustRightInd w:val="0"/>
        <w:snapToGrid w:val="0"/>
        <w:spacing w:line="500" w:lineRule="exact"/>
        <w:ind w:firstLine="482" w:firstLineChars="200"/>
        <w:textAlignment w:val="auto"/>
        <w:outlineLvl w:val="2"/>
        <w:rPr>
          <w:rFonts w:hint="eastAsia" w:ascii="宋体" w:hAnsi="宋体" w:eastAsia="宋体" w:cs="宋体"/>
          <w:b/>
          <w:snapToGrid w:val="0"/>
          <w:color w:val="auto"/>
          <w:kern w:val="0"/>
          <w:highlight w:val="none"/>
        </w:rPr>
      </w:pPr>
      <w:bookmarkStart w:id="73" w:name="_Toc22756"/>
      <w:r>
        <w:rPr>
          <w:rFonts w:hint="eastAsia" w:ascii="宋体" w:hAnsi="宋体" w:eastAsia="宋体" w:cs="宋体"/>
          <w:b/>
          <w:snapToGrid w:val="0"/>
          <w:color w:val="auto"/>
          <w:kern w:val="0"/>
          <w:highlight w:val="none"/>
        </w:rPr>
        <w:t>1</w:t>
      </w:r>
      <w:r>
        <w:rPr>
          <w:rFonts w:hint="eastAsia" w:ascii="宋体" w:hAnsi="宋体" w:eastAsia="宋体" w:cs="宋体"/>
          <w:b/>
          <w:snapToGrid w:val="0"/>
          <w:color w:val="auto"/>
          <w:kern w:val="0"/>
          <w:highlight w:val="none"/>
          <w:lang w:val="en-US" w:eastAsia="zh-CN"/>
        </w:rPr>
        <w:t>7</w:t>
      </w:r>
      <w:r>
        <w:rPr>
          <w:rFonts w:hint="eastAsia" w:ascii="宋体" w:hAnsi="宋体" w:eastAsia="宋体" w:cs="宋体"/>
          <w:b/>
          <w:snapToGrid w:val="0"/>
          <w:color w:val="auto"/>
          <w:kern w:val="0"/>
          <w:highlight w:val="none"/>
        </w:rPr>
        <w:t>.中标候选人公示</w:t>
      </w:r>
      <w:bookmarkEnd w:id="73"/>
    </w:p>
    <w:p w14:paraId="49F59228">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b w:val="0"/>
          <w:bCs w:val="0"/>
          <w:snapToGrid w:val="0"/>
          <w:color w:val="auto"/>
          <w:kern w:val="0"/>
          <w:szCs w:val="24"/>
          <w:highlight w:val="none"/>
        </w:rPr>
        <w:t>招标人自收到评标委员会提交的书面评标报告和中标候选人名单之日起3日内，将评标结果（即中标候选人名单）、中标候选人投标文件、评标过程（评标专家姓名用代码标记）一并在广东省招标投标监管网（https://zbtb.gd.gov.cn/#/index）及全国公共资源交易平台（广东省·韶关市）（https://ygp.gdzwfw.gov.cn/ggzy-portal/#/440200/index）进行公示，公示期不得少于3天。</w:t>
      </w:r>
    </w:p>
    <w:p w14:paraId="7BE7EDF1">
      <w:pPr>
        <w:wordWrap w:val="0"/>
        <w:adjustRightInd w:val="0"/>
        <w:snapToGrid w:val="0"/>
        <w:spacing w:line="360" w:lineRule="auto"/>
        <w:ind w:firstLine="482" w:firstLineChars="200"/>
        <w:rPr>
          <w:rFonts w:hint="eastAsia" w:hAnsi="宋体" w:cs="宋体"/>
          <w:b w:val="0"/>
          <w:bCs w:val="0"/>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 xml:space="preserve">.2 </w:t>
      </w:r>
      <w:r>
        <w:rPr>
          <w:rFonts w:hint="eastAsia" w:hAnsi="宋体" w:cs="宋体"/>
          <w:b w:val="0"/>
          <w:bCs w:val="0"/>
          <w:snapToGrid w:val="0"/>
          <w:color w:val="auto"/>
          <w:kern w:val="0"/>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DC5290B">
      <w:pPr>
        <w:wordWrap w:val="0"/>
        <w:adjustRightInd w:val="0"/>
        <w:snapToGrid w:val="0"/>
        <w:spacing w:line="360" w:lineRule="auto"/>
        <w:ind w:firstLine="482" w:firstLineChars="200"/>
        <w:rPr>
          <w:rFonts w:hint="eastAsia" w:hAnsi="宋体" w:cs="宋体"/>
          <w:b/>
          <w:bCs/>
          <w:snapToGrid w:val="0"/>
          <w:color w:val="auto"/>
          <w:kern w:val="0"/>
          <w:szCs w:val="24"/>
          <w:highlight w:val="none"/>
        </w:rPr>
      </w:pPr>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 xml:space="preserve">.3 </w:t>
      </w:r>
      <w:r>
        <w:rPr>
          <w:rFonts w:hint="eastAsia" w:hAnsi="宋体" w:cs="宋体"/>
          <w:b w:val="0"/>
          <w:bCs w:val="0"/>
          <w:snapToGrid w:val="0"/>
          <w:color w:val="auto"/>
          <w:kern w:val="0"/>
          <w:szCs w:val="24"/>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58B9D703">
      <w:pPr>
        <w:wordWrap w:val="0"/>
        <w:adjustRightInd w:val="0"/>
        <w:snapToGrid w:val="0"/>
        <w:spacing w:line="360" w:lineRule="auto"/>
        <w:outlineLvl w:val="1"/>
        <w:rPr>
          <w:rFonts w:hint="eastAsia" w:hAnsi="宋体" w:cs="宋体"/>
          <w:b/>
          <w:bCs/>
          <w:snapToGrid w:val="0"/>
          <w:color w:val="auto"/>
          <w:kern w:val="0"/>
          <w:highlight w:val="none"/>
        </w:rPr>
      </w:pPr>
    </w:p>
    <w:p w14:paraId="7A115FAC">
      <w:pPr>
        <w:wordWrap w:val="0"/>
        <w:adjustRightInd w:val="0"/>
        <w:snapToGrid w:val="0"/>
        <w:spacing w:line="360" w:lineRule="auto"/>
        <w:outlineLvl w:val="1"/>
        <w:rPr>
          <w:rFonts w:hint="eastAsia" w:hAnsi="宋体" w:cs="宋体"/>
          <w:b/>
          <w:bCs/>
          <w:snapToGrid w:val="0"/>
          <w:color w:val="auto"/>
          <w:kern w:val="0"/>
          <w:highlight w:val="none"/>
        </w:rPr>
      </w:pPr>
    </w:p>
    <w:p w14:paraId="28E6F404">
      <w:pPr>
        <w:wordWrap w:val="0"/>
        <w:adjustRightInd w:val="0"/>
        <w:snapToGrid w:val="0"/>
        <w:spacing w:line="360" w:lineRule="auto"/>
        <w:outlineLvl w:val="1"/>
        <w:rPr>
          <w:rFonts w:hint="eastAsia" w:hAnsi="宋体" w:cs="宋体"/>
          <w:b/>
          <w:bCs/>
          <w:snapToGrid w:val="0"/>
          <w:color w:val="auto"/>
          <w:kern w:val="0"/>
          <w:highlight w:val="none"/>
        </w:rPr>
      </w:pPr>
    </w:p>
    <w:p w14:paraId="46D21D91">
      <w:pPr>
        <w:wordWrap w:val="0"/>
        <w:adjustRightInd w:val="0"/>
        <w:snapToGrid w:val="0"/>
        <w:spacing w:line="360" w:lineRule="auto"/>
        <w:outlineLvl w:val="1"/>
        <w:rPr>
          <w:rFonts w:hint="eastAsia" w:hAnsi="宋体" w:cs="宋体"/>
          <w:b/>
          <w:bCs/>
          <w:snapToGrid w:val="0"/>
          <w:color w:val="auto"/>
          <w:kern w:val="0"/>
          <w:highlight w:val="none"/>
        </w:rPr>
      </w:pPr>
    </w:p>
    <w:p w14:paraId="3220DAFD">
      <w:pPr>
        <w:wordWrap w:val="0"/>
        <w:adjustRightInd w:val="0"/>
        <w:snapToGrid w:val="0"/>
        <w:spacing w:line="360" w:lineRule="auto"/>
        <w:outlineLvl w:val="1"/>
        <w:rPr>
          <w:rFonts w:hint="eastAsia" w:hAnsi="宋体" w:cs="宋体"/>
          <w:b/>
          <w:bCs/>
          <w:snapToGrid w:val="0"/>
          <w:color w:val="auto"/>
          <w:kern w:val="0"/>
          <w:highlight w:val="none"/>
        </w:rPr>
      </w:pPr>
    </w:p>
    <w:p w14:paraId="5A282C02">
      <w:pPr>
        <w:wordWrap w:val="0"/>
        <w:adjustRightInd w:val="0"/>
        <w:snapToGrid w:val="0"/>
        <w:spacing w:line="360" w:lineRule="auto"/>
        <w:outlineLvl w:val="1"/>
        <w:rPr>
          <w:rFonts w:hint="eastAsia" w:hAnsi="宋体" w:cs="宋体"/>
          <w:b/>
          <w:bCs/>
          <w:snapToGrid w:val="0"/>
          <w:color w:val="auto"/>
          <w:kern w:val="0"/>
          <w:highlight w:val="none"/>
        </w:rPr>
      </w:pPr>
    </w:p>
    <w:p w14:paraId="23869436">
      <w:pPr>
        <w:wordWrap w:val="0"/>
        <w:adjustRightInd w:val="0"/>
        <w:snapToGrid w:val="0"/>
        <w:spacing w:line="360" w:lineRule="auto"/>
        <w:outlineLvl w:val="1"/>
        <w:rPr>
          <w:rFonts w:hint="eastAsia" w:hAnsi="宋体" w:cs="宋体"/>
          <w:b/>
          <w:bCs/>
          <w:snapToGrid w:val="0"/>
          <w:color w:val="auto"/>
          <w:kern w:val="0"/>
          <w:highlight w:val="none"/>
        </w:rPr>
      </w:pPr>
    </w:p>
    <w:p w14:paraId="44FC2F61">
      <w:pPr>
        <w:wordWrap w:val="0"/>
        <w:adjustRightInd w:val="0"/>
        <w:snapToGrid w:val="0"/>
        <w:spacing w:line="360" w:lineRule="auto"/>
        <w:outlineLvl w:val="1"/>
        <w:rPr>
          <w:rFonts w:hint="eastAsia" w:hAnsi="宋体" w:cs="宋体"/>
          <w:b/>
          <w:bCs/>
          <w:snapToGrid w:val="0"/>
          <w:color w:val="auto"/>
          <w:kern w:val="0"/>
          <w:highlight w:val="none"/>
        </w:rPr>
      </w:pPr>
    </w:p>
    <w:p w14:paraId="0500E3C6">
      <w:pPr>
        <w:wordWrap w:val="0"/>
        <w:adjustRightInd w:val="0"/>
        <w:snapToGrid w:val="0"/>
        <w:spacing w:line="360" w:lineRule="auto"/>
        <w:outlineLvl w:val="1"/>
        <w:rPr>
          <w:rFonts w:hint="eastAsia" w:hAnsi="宋体" w:cs="宋体"/>
          <w:b/>
          <w:bCs/>
          <w:snapToGrid w:val="0"/>
          <w:color w:val="auto"/>
          <w:kern w:val="0"/>
          <w:highlight w:val="none"/>
        </w:rPr>
      </w:pPr>
    </w:p>
    <w:p w14:paraId="56AA8BFD">
      <w:pPr>
        <w:pStyle w:val="16"/>
        <w:rPr>
          <w:rFonts w:hint="eastAsia" w:hAnsi="宋体" w:cs="宋体"/>
          <w:b/>
          <w:bCs/>
          <w:snapToGrid w:val="0"/>
          <w:color w:val="auto"/>
          <w:kern w:val="0"/>
          <w:highlight w:val="none"/>
        </w:rPr>
      </w:pPr>
    </w:p>
    <w:p w14:paraId="7C528FA3">
      <w:pPr>
        <w:pStyle w:val="16"/>
        <w:rPr>
          <w:rFonts w:hint="eastAsia" w:hAnsi="宋体" w:cs="宋体"/>
          <w:b/>
          <w:bCs/>
          <w:snapToGrid w:val="0"/>
          <w:color w:val="auto"/>
          <w:kern w:val="0"/>
          <w:highlight w:val="none"/>
        </w:rPr>
      </w:pPr>
    </w:p>
    <w:p w14:paraId="3BC97034">
      <w:pPr>
        <w:pStyle w:val="16"/>
        <w:rPr>
          <w:rFonts w:hint="eastAsia" w:hAnsi="宋体" w:cs="宋体"/>
          <w:b/>
          <w:bCs/>
          <w:snapToGrid w:val="0"/>
          <w:color w:val="auto"/>
          <w:kern w:val="0"/>
          <w:highlight w:val="none"/>
        </w:rPr>
      </w:pPr>
    </w:p>
    <w:p w14:paraId="45D2047F">
      <w:pPr>
        <w:pStyle w:val="16"/>
        <w:rPr>
          <w:rFonts w:hint="eastAsia" w:hAnsi="宋体" w:cs="宋体"/>
          <w:b/>
          <w:bCs/>
          <w:snapToGrid w:val="0"/>
          <w:color w:val="auto"/>
          <w:kern w:val="0"/>
          <w:highlight w:val="none"/>
        </w:rPr>
      </w:pPr>
    </w:p>
    <w:p w14:paraId="31263F58">
      <w:pPr>
        <w:pStyle w:val="16"/>
        <w:rPr>
          <w:rFonts w:hint="eastAsia" w:hAnsi="宋体" w:cs="宋体"/>
          <w:b/>
          <w:bCs/>
          <w:snapToGrid w:val="0"/>
          <w:color w:val="auto"/>
          <w:kern w:val="0"/>
          <w:highlight w:val="none"/>
        </w:rPr>
      </w:pPr>
    </w:p>
    <w:p w14:paraId="2EDF887A">
      <w:pPr>
        <w:pStyle w:val="16"/>
        <w:rPr>
          <w:rFonts w:hint="eastAsia" w:hAnsi="宋体" w:cs="宋体"/>
          <w:b/>
          <w:bCs/>
          <w:snapToGrid w:val="0"/>
          <w:color w:val="auto"/>
          <w:kern w:val="0"/>
          <w:highlight w:val="none"/>
        </w:rPr>
      </w:pPr>
    </w:p>
    <w:p w14:paraId="2886EB6A">
      <w:pPr>
        <w:pStyle w:val="16"/>
        <w:rPr>
          <w:rFonts w:hint="eastAsia" w:hAnsi="宋体" w:cs="宋体"/>
          <w:b/>
          <w:bCs/>
          <w:snapToGrid w:val="0"/>
          <w:color w:val="auto"/>
          <w:kern w:val="0"/>
          <w:highlight w:val="none"/>
        </w:rPr>
      </w:pPr>
    </w:p>
    <w:p w14:paraId="5140B621">
      <w:pPr>
        <w:pStyle w:val="16"/>
        <w:rPr>
          <w:rFonts w:hint="eastAsia" w:hAnsi="宋体" w:cs="宋体"/>
          <w:b/>
          <w:bCs/>
          <w:snapToGrid w:val="0"/>
          <w:color w:val="auto"/>
          <w:kern w:val="0"/>
          <w:highlight w:val="none"/>
        </w:rPr>
      </w:pPr>
    </w:p>
    <w:p w14:paraId="0A38CC43">
      <w:pPr>
        <w:pStyle w:val="16"/>
        <w:rPr>
          <w:rFonts w:hint="eastAsia" w:hAnsi="宋体" w:cs="宋体"/>
          <w:b/>
          <w:bCs/>
          <w:snapToGrid w:val="0"/>
          <w:color w:val="auto"/>
          <w:kern w:val="0"/>
          <w:highlight w:val="none"/>
        </w:rPr>
      </w:pPr>
    </w:p>
    <w:p w14:paraId="6847D163">
      <w:pPr>
        <w:pStyle w:val="16"/>
        <w:rPr>
          <w:rFonts w:hint="eastAsia" w:hAnsi="宋体" w:cs="宋体"/>
          <w:b/>
          <w:bCs/>
          <w:snapToGrid w:val="0"/>
          <w:color w:val="auto"/>
          <w:kern w:val="0"/>
          <w:highlight w:val="none"/>
        </w:rPr>
      </w:pPr>
    </w:p>
    <w:p w14:paraId="3626C809">
      <w:pPr>
        <w:wordWrap w:val="0"/>
        <w:adjustRightInd w:val="0"/>
        <w:snapToGrid w:val="0"/>
        <w:spacing w:line="360" w:lineRule="auto"/>
        <w:outlineLvl w:val="1"/>
        <w:rPr>
          <w:rFonts w:hint="eastAsia" w:hAnsi="宋体" w:cs="宋体"/>
          <w:b/>
          <w:bCs/>
          <w:snapToGrid w:val="0"/>
          <w:color w:val="auto"/>
          <w:kern w:val="0"/>
          <w:highlight w:val="none"/>
        </w:rPr>
      </w:pPr>
    </w:p>
    <w:p w14:paraId="112C15A1">
      <w:pPr>
        <w:wordWrap w:val="0"/>
        <w:adjustRightInd w:val="0"/>
        <w:snapToGrid w:val="0"/>
        <w:spacing w:line="360" w:lineRule="auto"/>
        <w:outlineLvl w:val="1"/>
        <w:rPr>
          <w:rFonts w:hint="eastAsia" w:hAnsi="宋体" w:cs="宋体"/>
          <w:b/>
          <w:bCs/>
          <w:snapToGrid w:val="0"/>
          <w:color w:val="auto"/>
          <w:kern w:val="0"/>
          <w:highlight w:val="none"/>
        </w:rPr>
      </w:pPr>
    </w:p>
    <w:p w14:paraId="3E4D3842">
      <w:pPr>
        <w:wordWrap w:val="0"/>
        <w:adjustRightInd w:val="0"/>
        <w:snapToGrid w:val="0"/>
        <w:spacing w:line="360" w:lineRule="auto"/>
        <w:jc w:val="center"/>
        <w:outlineLvl w:val="1"/>
        <w:rPr>
          <w:rFonts w:hAnsi="宋体" w:cs="宋体"/>
          <w:snapToGrid w:val="0"/>
          <w:color w:val="auto"/>
          <w:kern w:val="0"/>
          <w:highlight w:val="none"/>
        </w:rPr>
      </w:pPr>
      <w:bookmarkStart w:id="74" w:name="_Toc17009"/>
      <w:r>
        <w:rPr>
          <w:rFonts w:hint="eastAsia" w:hAnsi="宋体" w:cs="宋体"/>
          <w:b/>
          <w:bCs/>
          <w:snapToGrid w:val="0"/>
          <w:color w:val="auto"/>
          <w:kern w:val="0"/>
          <w:highlight w:val="none"/>
        </w:rPr>
        <w:t>第四节 否决投标条件</w:t>
      </w:r>
      <w:bookmarkEnd w:id="74"/>
    </w:p>
    <w:p w14:paraId="1217DA6A">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highlight w:val="none"/>
        </w:rPr>
        <w:t>投标人未有列入本节情形的，评标时一律不得否决其投标。</w:t>
      </w:r>
      <w:r>
        <w:rPr>
          <w:rFonts w:hint="eastAsia" w:hAnsi="宋体" w:cs="宋体"/>
          <w:snapToGrid w:val="0"/>
          <w:color w:val="auto"/>
          <w:kern w:val="0"/>
          <w:highlight w:val="none"/>
        </w:rPr>
        <w:t>本节所称“规定”均指招标文件的规定。</w:t>
      </w:r>
    </w:p>
    <w:p w14:paraId="487AC297">
      <w:pPr>
        <w:wordWrap w:val="0"/>
        <w:adjustRightInd w:val="0"/>
        <w:snapToGrid w:val="0"/>
        <w:spacing w:line="360" w:lineRule="auto"/>
        <w:ind w:firstLine="480"/>
        <w:outlineLvl w:val="2"/>
        <w:rPr>
          <w:rFonts w:hAnsi="宋体" w:cs="宋体"/>
          <w:snapToGrid w:val="0"/>
          <w:color w:val="auto"/>
          <w:kern w:val="0"/>
          <w:highlight w:val="none"/>
        </w:rPr>
      </w:pPr>
      <w:bookmarkStart w:id="75" w:name="_Toc8541"/>
      <w:r>
        <w:rPr>
          <w:rFonts w:hint="eastAsia" w:hAnsi="宋体" w:cs="宋体"/>
          <w:b/>
          <w:bCs/>
          <w:snapToGrid w:val="0"/>
          <w:color w:val="auto"/>
          <w:kern w:val="0"/>
          <w:highlight w:val="none"/>
        </w:rPr>
        <w:t>1．资格评审环节</w:t>
      </w:r>
      <w:bookmarkEnd w:id="75"/>
    </w:p>
    <w:p w14:paraId="3AA2319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（1）有本章第三节第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条“禁止投标条款”规定的任何一种情形；</w:t>
      </w:r>
    </w:p>
    <w:p w14:paraId="6367D39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（2）投标人资质不符合</w:t>
      </w:r>
      <w:r>
        <w:rPr>
          <w:rFonts w:hint="eastAsia" w:hAnsi="宋体" w:cs="宋体"/>
          <w:snapToGrid w:val="0"/>
          <w:color w:val="auto"/>
          <w:kern w:val="0"/>
          <w:szCs w:val="18"/>
          <w:highlight w:val="none"/>
        </w:rPr>
        <w:t>规定的；</w:t>
      </w:r>
    </w:p>
    <w:p w14:paraId="199BFDE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auto"/>
          <w:kern w:val="0"/>
          <w:szCs w:val="22"/>
          <w:highlight w:val="none"/>
        </w:rPr>
      </w:pPr>
      <w:r>
        <w:rPr>
          <w:rFonts w:hint="eastAsia" w:hAnsi="宋体" w:cs="宋体"/>
          <w:b/>
          <w:bCs/>
          <w:snapToGrid w:val="0"/>
          <w:color w:val="auto"/>
          <w:kern w:val="0"/>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hAnsi="宋体" w:cs="宋体"/>
          <w:b/>
          <w:bCs/>
          <w:snapToGrid w:val="0"/>
          <w:color w:val="auto"/>
          <w:kern w:val="0"/>
          <w:szCs w:val="22"/>
          <w:highlight w:val="none"/>
        </w:rPr>
        <w:t xml:space="preserve">  </w:t>
      </w:r>
    </w:p>
    <w:p w14:paraId="0A6B74E3">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auto"/>
          <w:kern w:val="0"/>
          <w:highlight w:val="none"/>
        </w:rPr>
      </w:pPr>
      <w:r>
        <w:rPr>
          <w:rFonts w:hint="eastAsia" w:hAnsi="宋体" w:cs="宋体"/>
          <w:b/>
          <w:bCs/>
          <w:snapToGrid w:val="0"/>
          <w:color w:val="auto"/>
          <w:kern w:val="0"/>
          <w:highlight w:val="none"/>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auto"/>
          <w:kern w:val="0"/>
          <w:highlight w:val="none"/>
        </w:rPr>
      </w:pPr>
      <w:bookmarkStart w:id="76" w:name="_Toc22542"/>
      <w:r>
        <w:rPr>
          <w:rFonts w:hint="eastAsia" w:hAnsi="宋体" w:cs="宋体"/>
          <w:b/>
          <w:bCs/>
          <w:snapToGrid w:val="0"/>
          <w:color w:val="auto"/>
          <w:kern w:val="0"/>
          <w:highlight w:val="none"/>
        </w:rPr>
        <w:t>2．形式评审环节</w:t>
      </w:r>
      <w:bookmarkEnd w:id="76"/>
    </w:p>
    <w:p w14:paraId="0BEB281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auto"/>
          <w:kern w:val="0"/>
          <w:highlight w:val="none"/>
        </w:rPr>
      </w:pPr>
      <w:bookmarkStart w:id="77" w:name="_Toc1804"/>
      <w:r>
        <w:rPr>
          <w:rFonts w:hint="eastAsia" w:hAnsi="宋体" w:cs="宋体"/>
          <w:b/>
          <w:bCs/>
          <w:snapToGrid w:val="0"/>
          <w:color w:val="auto"/>
          <w:kern w:val="0"/>
          <w:highlight w:val="none"/>
        </w:rPr>
        <w:t>3．响应性评审环节</w:t>
      </w:r>
      <w:bookmarkEnd w:id="77"/>
    </w:p>
    <w:p w14:paraId="1D351E7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highlight w:val="none"/>
        </w:rPr>
        <w:t>且该种过错将导致“三控制”目标无法实现的</w:t>
      </w:r>
      <w:r>
        <w:rPr>
          <w:rFonts w:hint="eastAsia" w:hAnsi="宋体" w:cs="宋体"/>
          <w:snapToGrid w:val="0"/>
          <w:color w:val="auto"/>
          <w:kern w:val="0"/>
          <w:highlight w:val="none"/>
        </w:rPr>
        <w:t>。</w:t>
      </w:r>
    </w:p>
    <w:p w14:paraId="5BE2B7EB">
      <w:pPr>
        <w:wordWrap w:val="0"/>
        <w:adjustRightInd w:val="0"/>
        <w:snapToGrid w:val="0"/>
        <w:spacing w:line="360" w:lineRule="auto"/>
        <w:ind w:firstLine="480"/>
        <w:outlineLvl w:val="2"/>
        <w:rPr>
          <w:rFonts w:hAnsi="宋体" w:cs="宋体"/>
          <w:b/>
          <w:bCs/>
          <w:snapToGrid w:val="0"/>
          <w:color w:val="auto"/>
          <w:kern w:val="0"/>
          <w:highlight w:val="none"/>
        </w:rPr>
      </w:pPr>
      <w:bookmarkStart w:id="78" w:name="_Toc22668"/>
      <w:r>
        <w:rPr>
          <w:rFonts w:hint="eastAsia" w:hAnsi="宋体" w:cs="宋体"/>
          <w:b/>
          <w:bCs/>
          <w:snapToGrid w:val="0"/>
          <w:color w:val="auto"/>
          <w:kern w:val="0"/>
          <w:highlight w:val="none"/>
        </w:rPr>
        <w:t>4．其他</w:t>
      </w:r>
      <w:bookmarkEnd w:id="78"/>
    </w:p>
    <w:p w14:paraId="33D6B34F">
      <w:pPr>
        <w:wordWrap w:val="0"/>
        <w:adjustRightInd w:val="0"/>
        <w:snapToGrid w:val="0"/>
        <w:spacing w:line="360" w:lineRule="auto"/>
        <w:ind w:firstLine="480"/>
        <w:rPr>
          <w:rFonts w:hAnsi="宋体" w:cs="宋体"/>
          <w:snapToGrid w:val="0"/>
          <w:color w:val="auto"/>
          <w:kern w:val="0"/>
          <w:szCs w:val="22"/>
          <w:highlight w:val="none"/>
        </w:rPr>
      </w:pPr>
      <w:r>
        <w:rPr>
          <w:rFonts w:hint="eastAsia" w:hAnsi="宋体" w:cs="宋体"/>
          <w:snapToGrid w:val="0"/>
          <w:color w:val="auto"/>
          <w:kern w:val="0"/>
          <w:highlight w:val="none"/>
        </w:rPr>
        <w:t>在任何评标环节（或阶段），投标人有下列情形之一的，评标委员会应否决其投标。</w:t>
      </w:r>
      <w:r>
        <w:rPr>
          <w:rFonts w:hint="eastAsia" w:hAnsi="宋体" w:cs="宋体"/>
          <w:snapToGrid w:val="0"/>
          <w:color w:val="auto"/>
          <w:kern w:val="0"/>
          <w:szCs w:val="22"/>
          <w:highlight w:val="none"/>
        </w:rPr>
        <w:t>被否决的投标，不进入下一环节（或阶段）。</w:t>
      </w:r>
    </w:p>
    <w:p w14:paraId="44A9DAF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（15）不按评标委员会要求澄清、说明或补正的；</w:t>
      </w:r>
    </w:p>
    <w:p w14:paraId="73919888">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（16）有下列情形之一，被评标委员会认定属于串通投标的：</w:t>
      </w:r>
    </w:p>
    <w:p w14:paraId="163A4EC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auto"/>
          <w:kern w:val="0"/>
          <w:highlight w:val="none"/>
        </w:rPr>
      </w:pPr>
      <w:r>
        <w:rPr>
          <w:rFonts w:hint="eastAsia" w:hAnsi="宋体" w:cs="宋体"/>
          <w:snapToGrid w:val="0"/>
          <w:color w:val="auto"/>
          <w:kern w:val="0"/>
          <w:highlight w:val="none"/>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auto"/>
          <w:kern w:val="0"/>
          <w:highlight w:val="none"/>
        </w:rPr>
      </w:pPr>
      <w:r>
        <w:rPr>
          <w:rFonts w:hint="eastAsia" w:hAnsi="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753E11E4">
      <w:pPr>
        <w:pStyle w:val="3"/>
        <w:wordWrap w:val="0"/>
        <w:autoSpaceDE/>
        <w:autoSpaceDN/>
        <w:snapToGrid w:val="0"/>
        <w:spacing w:line="440" w:lineRule="exact"/>
        <w:jc w:val="center"/>
        <w:rPr>
          <w:rFonts w:hAnsi="宋体" w:cs="宋体"/>
          <w:b/>
          <w:snapToGrid w:val="0"/>
          <w:color w:val="auto"/>
          <w:sz w:val="32"/>
          <w:szCs w:val="22"/>
          <w:highlight w:val="none"/>
        </w:rPr>
      </w:pPr>
      <w:bookmarkStart w:id="79" w:name="_Hlt87952408"/>
      <w:bookmarkEnd w:id="79"/>
      <w:bookmarkStart w:id="80" w:name="_Hlt112206772"/>
      <w:bookmarkEnd w:id="80"/>
      <w:bookmarkStart w:id="81" w:name="_Hlt69669771"/>
      <w:bookmarkEnd w:id="81"/>
      <w:bookmarkStart w:id="82" w:name="_Hlt70150994"/>
      <w:bookmarkEnd w:id="82"/>
      <w:bookmarkStart w:id="83" w:name="_Toc401"/>
      <w:bookmarkStart w:id="84" w:name="_Hlt69698741"/>
      <w:bookmarkStart w:id="85" w:name="_Hlt69698769"/>
      <w:bookmarkStart w:id="86" w:name="_Hlt69698722"/>
      <w:r>
        <w:rPr>
          <w:rFonts w:hint="eastAsia" w:hAnsi="宋体" w:cs="宋体"/>
          <w:b/>
          <w:snapToGrid w:val="0"/>
          <w:color w:val="auto"/>
          <w:sz w:val="32"/>
          <w:szCs w:val="22"/>
          <w:highlight w:val="none"/>
        </w:rPr>
        <w:t>第</w:t>
      </w:r>
      <w:bookmarkStart w:id="87" w:name="_Hlt69669171"/>
      <w:bookmarkEnd w:id="87"/>
      <w:r>
        <w:rPr>
          <w:rFonts w:hint="eastAsia" w:hAnsi="宋体" w:cs="宋体"/>
          <w:b/>
          <w:snapToGrid w:val="0"/>
          <w:color w:val="auto"/>
          <w:sz w:val="32"/>
          <w:szCs w:val="22"/>
          <w:highlight w:val="none"/>
        </w:rPr>
        <w:t>二章</w:t>
      </w:r>
      <w:bookmarkStart w:id="88" w:name="_Hlt87793839"/>
      <w:bookmarkEnd w:id="88"/>
      <w:r>
        <w:rPr>
          <w:rFonts w:hint="eastAsia" w:hAnsi="宋体" w:cs="宋体"/>
          <w:b/>
          <w:snapToGrid w:val="0"/>
          <w:color w:val="auto"/>
          <w:sz w:val="32"/>
          <w:szCs w:val="22"/>
          <w:highlight w:val="none"/>
        </w:rPr>
        <w:t xml:space="preserve"> 中标人须知</w:t>
      </w:r>
      <w:bookmarkEnd w:id="83"/>
    </w:p>
    <w:bookmarkEnd w:id="84"/>
    <w:bookmarkEnd w:id="85"/>
    <w:bookmarkEnd w:id="86"/>
    <w:p w14:paraId="38AEC5D6">
      <w:pPr>
        <w:bidi w:val="0"/>
        <w:rPr>
          <w:color w:val="auto"/>
          <w:highlight w:val="none"/>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89" w:name="_Toc18336"/>
      <w:bookmarkStart w:id="90" w:name="_Toc17192"/>
      <w:bookmarkStart w:id="91" w:name="_Toc31521"/>
      <w:bookmarkStart w:id="92" w:name="_Toc15170"/>
      <w:bookmarkStart w:id="93" w:name="_Toc30174"/>
      <w:bookmarkStart w:id="94" w:name="_Toc8149"/>
      <w:bookmarkStart w:id="95" w:name="_Toc21594"/>
      <w:r>
        <w:rPr>
          <w:rFonts w:hint="eastAsia" w:hAnsi="宋体" w:cs="宋体"/>
          <w:b/>
          <w:snapToGrid w:val="0"/>
          <w:color w:val="auto"/>
          <w:kern w:val="0"/>
          <w:szCs w:val="24"/>
          <w:highlight w:val="none"/>
        </w:rPr>
        <w:t>1．中标通知书</w:t>
      </w:r>
      <w:bookmarkEnd w:id="89"/>
      <w:bookmarkEnd w:id="90"/>
      <w:bookmarkEnd w:id="91"/>
      <w:bookmarkEnd w:id="92"/>
      <w:bookmarkEnd w:id="93"/>
      <w:bookmarkEnd w:id="94"/>
      <w:bookmarkEnd w:id="95"/>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auto"/>
          <w:kern w:val="0"/>
          <w:szCs w:val="24"/>
          <w:highlight w:val="none"/>
        </w:rPr>
      </w:pPr>
      <w:bookmarkStart w:id="96" w:name="_Toc23133"/>
      <w:bookmarkStart w:id="97" w:name="_Toc1519"/>
      <w:bookmarkStart w:id="98" w:name="_Toc18659"/>
      <w:bookmarkStart w:id="99" w:name="_Toc28601"/>
      <w:bookmarkStart w:id="100" w:name="_Toc10931"/>
      <w:bookmarkStart w:id="101" w:name="_Toc30560"/>
      <w:bookmarkStart w:id="102" w:name="_Toc17251"/>
      <w:r>
        <w:rPr>
          <w:rFonts w:hint="eastAsia" w:hAnsi="宋体" w:cs="宋体"/>
          <w:b/>
          <w:bCs/>
          <w:snapToGrid w:val="0"/>
          <w:color w:val="auto"/>
          <w:kern w:val="0"/>
          <w:szCs w:val="24"/>
          <w:highlight w:val="none"/>
        </w:rPr>
        <w:t>2．中标结果公示</w:t>
      </w:r>
      <w:bookmarkEnd w:id="96"/>
      <w:bookmarkEnd w:id="97"/>
      <w:bookmarkEnd w:id="98"/>
      <w:bookmarkEnd w:id="99"/>
      <w:bookmarkEnd w:id="100"/>
      <w:bookmarkEnd w:id="101"/>
      <w:bookmarkEnd w:id="102"/>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103" w:name="_Toc25367"/>
      <w:bookmarkStart w:id="104" w:name="_Toc20923"/>
      <w:bookmarkStart w:id="105" w:name="_Toc23475"/>
      <w:bookmarkStart w:id="106" w:name="_Toc22628"/>
      <w:bookmarkStart w:id="107" w:name="_Toc16211"/>
    </w:p>
    <w:p w14:paraId="7573F4F2">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rPr>
      </w:pPr>
      <w:bookmarkStart w:id="108" w:name="_Toc32445"/>
      <w:bookmarkStart w:id="109" w:name="_Toc5857"/>
      <w:r>
        <w:rPr>
          <w:rFonts w:hint="eastAsia" w:hAnsi="宋体" w:cs="宋体"/>
          <w:b/>
          <w:bCs/>
          <w:snapToGrid w:val="0"/>
          <w:color w:val="auto"/>
          <w:kern w:val="0"/>
          <w:szCs w:val="24"/>
          <w:highlight w:val="none"/>
          <w:lang w:val="en-US" w:eastAsia="zh-CN"/>
        </w:rPr>
        <w:t>3</w:t>
      </w:r>
      <w:r>
        <w:rPr>
          <w:rFonts w:hint="eastAsia" w:hAnsi="宋体" w:cs="宋体"/>
          <w:b/>
          <w:bCs/>
          <w:snapToGrid w:val="0"/>
          <w:color w:val="auto"/>
          <w:kern w:val="0"/>
          <w:szCs w:val="24"/>
          <w:highlight w:val="none"/>
        </w:rPr>
        <w:t>．履约保证</w:t>
      </w:r>
      <w:bookmarkEnd w:id="108"/>
      <w:bookmarkEnd w:id="109"/>
    </w:p>
    <w:p w14:paraId="3C0B5C83">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2" w:firstLineChars="200"/>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29BD7206">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0517450E">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191AA2C0">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71E06F02">
      <w:pPr>
        <w:bidi w:val="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bCs/>
          <w:snapToGrid w:val="0"/>
          <w:color w:val="auto"/>
          <w:kern w:val="0"/>
          <w:szCs w:val="24"/>
          <w:highlight w:val="none"/>
          <w:lang w:val="en-US" w:eastAsia="zh-CN"/>
        </w:rPr>
      </w:pPr>
      <w:bookmarkStart w:id="110" w:name="_Toc5474"/>
      <w:bookmarkStart w:id="111" w:name="_Toc4933"/>
      <w:r>
        <w:rPr>
          <w:rFonts w:hint="eastAsia" w:hAnsi="宋体" w:cs="宋体"/>
          <w:b/>
          <w:bCs/>
          <w:snapToGrid w:val="0"/>
          <w:color w:val="auto"/>
          <w:kern w:val="0"/>
          <w:szCs w:val="24"/>
          <w:highlight w:val="none"/>
          <w:lang w:val="en-US" w:eastAsia="zh-CN"/>
        </w:rPr>
        <w:t>4.合同订立</w:t>
      </w:r>
      <w:bookmarkEnd w:id="103"/>
      <w:bookmarkEnd w:id="104"/>
      <w:bookmarkEnd w:id="105"/>
      <w:bookmarkEnd w:id="106"/>
      <w:bookmarkEnd w:id="107"/>
      <w:bookmarkEnd w:id="110"/>
      <w:bookmarkEnd w:id="111"/>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招标人应当自中标通知书发出之日起</w:t>
      </w:r>
      <w:r>
        <w:rPr>
          <w:rFonts w:hint="eastAsia" w:hAnsi="宋体" w:cs="宋体"/>
          <w:snapToGrid w:val="0"/>
          <w:color w:val="auto"/>
          <w:kern w:val="0"/>
          <w:szCs w:val="24"/>
          <w:highlight w:val="none"/>
          <w:u w:val="single"/>
        </w:rPr>
        <w:t xml:space="preserve"> 30 </w:t>
      </w:r>
      <w:r>
        <w:rPr>
          <w:rFonts w:hint="eastAsia" w:hAnsi="宋体" w:cs="宋体"/>
          <w:snapToGrid w:val="0"/>
          <w:color w:val="auto"/>
          <w:kern w:val="0"/>
          <w:szCs w:val="24"/>
          <w:highlight w:val="none"/>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.3</w:t>
      </w:r>
      <w:r>
        <w:rPr>
          <w:rFonts w:hint="eastAsia" w:hAnsi="宋体" w:cs="宋体"/>
          <w:snapToGrid w:val="0"/>
          <w:color w:val="auto"/>
          <w:kern w:val="0"/>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4</w:t>
      </w:r>
      <w:r>
        <w:rPr>
          <w:rFonts w:hint="eastAsia" w:hAnsi="宋体" w:cs="宋体"/>
          <w:b/>
          <w:bCs/>
          <w:snapToGrid w:val="0"/>
          <w:color w:val="auto"/>
          <w:kern w:val="0"/>
          <w:szCs w:val="24"/>
          <w:highlight w:val="none"/>
        </w:rPr>
        <w:t>.4</w:t>
      </w:r>
      <w:r>
        <w:rPr>
          <w:rFonts w:hint="eastAsia" w:hAnsi="宋体" w:cs="宋体"/>
          <w:snapToGrid w:val="0"/>
          <w:color w:val="auto"/>
          <w:kern w:val="0"/>
          <w:szCs w:val="24"/>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2" w:name="_Toc13450"/>
      <w:bookmarkStart w:id="113" w:name="_Toc3858"/>
      <w:bookmarkStart w:id="114" w:name="_Toc1819"/>
      <w:bookmarkStart w:id="115" w:name="_Toc6741"/>
      <w:bookmarkStart w:id="116" w:name="_Toc7981"/>
      <w:bookmarkStart w:id="117" w:name="_Toc25887"/>
      <w:bookmarkStart w:id="118" w:name="_Toc11598"/>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．放弃中标的处理</w:t>
      </w:r>
      <w:bookmarkEnd w:id="112"/>
      <w:bookmarkEnd w:id="113"/>
      <w:bookmarkEnd w:id="114"/>
      <w:bookmarkEnd w:id="115"/>
      <w:bookmarkEnd w:id="116"/>
      <w:bookmarkEnd w:id="117"/>
      <w:bookmarkEnd w:id="118"/>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5</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19" w:name="_Toc26352"/>
      <w:bookmarkStart w:id="120" w:name="_Toc500"/>
      <w:bookmarkStart w:id="121" w:name="_Toc15893"/>
      <w:bookmarkStart w:id="122" w:name="_Toc7088"/>
      <w:bookmarkStart w:id="123" w:name="_Toc17549"/>
      <w:bookmarkStart w:id="124" w:name="_Toc1831"/>
      <w:bookmarkStart w:id="125" w:name="_Toc8282"/>
      <w:r>
        <w:rPr>
          <w:rFonts w:hint="eastAsia" w:hAnsi="宋体" w:cs="宋体"/>
          <w:b/>
          <w:bCs/>
          <w:snapToGrid w:val="0"/>
          <w:color w:val="auto"/>
          <w:kern w:val="0"/>
          <w:szCs w:val="24"/>
          <w:highlight w:val="none"/>
          <w:lang w:val="en-US" w:eastAsia="zh-CN"/>
        </w:rPr>
        <w:t>6</w:t>
      </w:r>
      <w:r>
        <w:rPr>
          <w:rFonts w:hint="eastAsia" w:hAnsi="宋体" w:cs="宋体"/>
          <w:b/>
          <w:bCs/>
          <w:snapToGrid w:val="0"/>
          <w:color w:val="auto"/>
          <w:kern w:val="0"/>
          <w:szCs w:val="24"/>
          <w:highlight w:val="none"/>
        </w:rPr>
        <w:t>．分包</w:t>
      </w:r>
      <w:bookmarkEnd w:id="119"/>
      <w:bookmarkEnd w:id="120"/>
      <w:bookmarkEnd w:id="121"/>
      <w:bookmarkEnd w:id="122"/>
      <w:bookmarkEnd w:id="123"/>
      <w:bookmarkEnd w:id="124"/>
      <w:bookmarkEnd w:id="125"/>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26" w:name="_Toc25800"/>
      <w:bookmarkStart w:id="127" w:name="_Toc18249"/>
      <w:bookmarkStart w:id="128" w:name="_Toc19761"/>
      <w:bookmarkStart w:id="129" w:name="_Toc25358"/>
      <w:bookmarkStart w:id="130" w:name="_Toc2527"/>
      <w:bookmarkStart w:id="131" w:name="_Toc6953"/>
      <w:bookmarkStart w:id="132" w:name="_Toc17560"/>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．监理服务期限</w:t>
      </w:r>
      <w:bookmarkEnd w:id="126"/>
      <w:bookmarkEnd w:id="127"/>
      <w:bookmarkEnd w:id="128"/>
      <w:bookmarkEnd w:id="129"/>
      <w:bookmarkEnd w:id="130"/>
      <w:bookmarkEnd w:id="131"/>
      <w:bookmarkEnd w:id="132"/>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7</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33" w:name="_Toc25479"/>
      <w:bookmarkStart w:id="134" w:name="_Toc31907"/>
      <w:bookmarkStart w:id="135" w:name="_Toc13950"/>
      <w:bookmarkStart w:id="136" w:name="_Toc13195"/>
      <w:bookmarkStart w:id="137" w:name="_Toc17664"/>
      <w:bookmarkStart w:id="138" w:name="_Toc23108"/>
      <w:bookmarkStart w:id="139" w:name="_Toc6532"/>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．项目监理机构</w:t>
      </w:r>
      <w:bookmarkEnd w:id="133"/>
      <w:bookmarkEnd w:id="134"/>
      <w:bookmarkEnd w:id="135"/>
      <w:bookmarkEnd w:id="136"/>
      <w:bookmarkEnd w:id="137"/>
      <w:bookmarkEnd w:id="138"/>
      <w:bookmarkEnd w:id="139"/>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.1</w:t>
      </w:r>
      <w:r>
        <w:rPr>
          <w:rFonts w:hint="eastAsia" w:hAnsi="宋体" w:cs="宋体"/>
          <w:snapToGrid w:val="0"/>
          <w:color w:val="auto"/>
          <w:kern w:val="0"/>
          <w:szCs w:val="24"/>
          <w:highlight w:val="none"/>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lang w:val="en-US" w:eastAsia="zh-CN"/>
        </w:rPr>
        <w:t>8</w:t>
      </w:r>
      <w:r>
        <w:rPr>
          <w:rFonts w:hint="eastAsia" w:hAnsi="宋体" w:cs="宋体"/>
          <w:b/>
          <w:bCs/>
          <w:snapToGrid w:val="0"/>
          <w:color w:val="auto"/>
          <w:kern w:val="0"/>
          <w:szCs w:val="24"/>
          <w:highlight w:val="none"/>
        </w:rPr>
        <w:t>.2</w:t>
      </w:r>
      <w:r>
        <w:rPr>
          <w:rFonts w:hint="eastAsia" w:hAnsi="宋体" w:cs="宋体"/>
          <w:snapToGrid w:val="0"/>
          <w:color w:val="auto"/>
          <w:kern w:val="0"/>
          <w:szCs w:val="24"/>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0" w:name="_Toc6056"/>
      <w:bookmarkStart w:id="141" w:name="_Toc27412"/>
      <w:bookmarkStart w:id="142" w:name="_Toc23097"/>
      <w:bookmarkStart w:id="143" w:name="_Toc15281"/>
      <w:bookmarkStart w:id="144" w:name="_Toc20861"/>
      <w:bookmarkStart w:id="145" w:name="_Toc20449"/>
      <w:bookmarkStart w:id="146" w:name="_Toc19789"/>
      <w:r>
        <w:rPr>
          <w:rFonts w:hint="eastAsia" w:hAnsi="宋体" w:cs="宋体"/>
          <w:b/>
          <w:snapToGrid w:val="0"/>
          <w:color w:val="auto"/>
          <w:kern w:val="0"/>
          <w:szCs w:val="24"/>
          <w:highlight w:val="none"/>
          <w:lang w:val="en-US" w:eastAsia="zh-CN"/>
        </w:rPr>
        <w:t>9</w:t>
      </w:r>
      <w:r>
        <w:rPr>
          <w:rFonts w:hint="eastAsia" w:hAnsi="宋体" w:cs="宋体"/>
          <w:b/>
          <w:snapToGrid w:val="0"/>
          <w:color w:val="auto"/>
          <w:kern w:val="0"/>
          <w:szCs w:val="24"/>
          <w:highlight w:val="none"/>
        </w:rPr>
        <w:t>．安全防护</w:t>
      </w:r>
      <w:bookmarkEnd w:id="140"/>
      <w:bookmarkEnd w:id="141"/>
      <w:bookmarkEnd w:id="142"/>
      <w:bookmarkEnd w:id="143"/>
      <w:bookmarkEnd w:id="144"/>
      <w:bookmarkEnd w:id="145"/>
      <w:bookmarkEnd w:id="146"/>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auto"/>
          <w:kern w:val="0"/>
          <w:szCs w:val="24"/>
          <w:highlight w:val="none"/>
        </w:rPr>
      </w:pPr>
      <w:bookmarkStart w:id="147" w:name="_Toc1181"/>
      <w:bookmarkStart w:id="148" w:name="_Toc13413"/>
      <w:bookmarkStart w:id="149" w:name="_Toc16174"/>
      <w:bookmarkStart w:id="150" w:name="_Toc9618"/>
      <w:bookmarkStart w:id="151" w:name="_Toc17881"/>
      <w:bookmarkStart w:id="152" w:name="_Toc27428"/>
      <w:bookmarkStart w:id="153" w:name="_Toc2694"/>
      <w:r>
        <w:rPr>
          <w:rFonts w:hint="eastAsia" w:hAnsi="宋体" w:cs="宋体"/>
          <w:b/>
          <w:snapToGrid w:val="0"/>
          <w:color w:val="auto"/>
          <w:kern w:val="0"/>
          <w:szCs w:val="24"/>
          <w:highlight w:val="none"/>
          <w:lang w:val="en-US" w:eastAsia="zh-CN"/>
        </w:rPr>
        <w:t>10</w:t>
      </w:r>
      <w:r>
        <w:rPr>
          <w:rFonts w:hint="eastAsia" w:hAnsi="宋体" w:cs="宋体"/>
          <w:b/>
          <w:snapToGrid w:val="0"/>
          <w:color w:val="auto"/>
          <w:kern w:val="0"/>
          <w:szCs w:val="24"/>
          <w:highlight w:val="none"/>
        </w:rPr>
        <w:t>．接受监督</w:t>
      </w:r>
      <w:bookmarkEnd w:id="147"/>
      <w:bookmarkEnd w:id="148"/>
      <w:bookmarkEnd w:id="149"/>
      <w:bookmarkEnd w:id="150"/>
      <w:bookmarkEnd w:id="151"/>
      <w:bookmarkEnd w:id="152"/>
      <w:bookmarkEnd w:id="153"/>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auto"/>
          <w:kern w:val="0"/>
          <w:szCs w:val="24"/>
          <w:highlight w:val="none"/>
        </w:rPr>
      </w:pPr>
      <w:r>
        <w:rPr>
          <w:rFonts w:hint="eastAsia" w:hAnsi="宋体" w:cs="宋体"/>
          <w:snapToGrid w:val="0"/>
          <w:color w:val="auto"/>
          <w:kern w:val="0"/>
          <w:szCs w:val="24"/>
          <w:highlight w:val="none"/>
        </w:rPr>
        <w:t>监理人应严格按照法律、法规以及</w:t>
      </w:r>
      <w:r>
        <w:rPr>
          <w:rFonts w:hint="eastAsia" w:hAnsi="宋体" w:cs="宋体"/>
          <w:bCs/>
          <w:snapToGrid w:val="0"/>
          <w:color w:val="auto"/>
          <w:kern w:val="0"/>
          <w:szCs w:val="24"/>
          <w:highlight w:val="none"/>
        </w:rPr>
        <w:t>《建设工程监理规范》（GB/T 50319—2013）有关规定实施监理，同时须</w:t>
      </w:r>
      <w:r>
        <w:rPr>
          <w:rFonts w:hint="eastAsia" w:hAnsi="宋体" w:cs="宋体"/>
          <w:snapToGrid w:val="0"/>
          <w:color w:val="auto"/>
          <w:kern w:val="0"/>
          <w:szCs w:val="24"/>
          <w:highlight w:val="none"/>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auto"/>
          <w:kern w:val="0"/>
          <w:szCs w:val="24"/>
          <w:highlight w:val="none"/>
        </w:rPr>
      </w:pPr>
      <w:bookmarkStart w:id="154" w:name="_Toc26662"/>
      <w:bookmarkStart w:id="155" w:name="_Toc4730"/>
      <w:bookmarkStart w:id="156" w:name="_Toc18397"/>
      <w:bookmarkStart w:id="157" w:name="_Toc24102"/>
      <w:bookmarkStart w:id="158" w:name="_Toc5818"/>
      <w:bookmarkStart w:id="159" w:name="_Toc14327"/>
      <w:bookmarkStart w:id="160" w:name="_Toc25424"/>
      <w:r>
        <w:rPr>
          <w:rFonts w:hint="eastAsia" w:hAnsi="宋体" w:cs="宋体"/>
          <w:b/>
          <w:snapToGrid w:val="0"/>
          <w:color w:val="auto"/>
          <w:kern w:val="0"/>
          <w:szCs w:val="24"/>
          <w:highlight w:val="none"/>
        </w:rPr>
        <w:t>1</w:t>
      </w:r>
      <w:r>
        <w:rPr>
          <w:rFonts w:hint="eastAsia" w:hAnsi="宋体" w:cs="宋体"/>
          <w:b/>
          <w:snapToGrid w:val="0"/>
          <w:color w:val="auto"/>
          <w:kern w:val="0"/>
          <w:szCs w:val="24"/>
          <w:highlight w:val="none"/>
          <w:lang w:val="en-US" w:eastAsia="zh-CN"/>
        </w:rPr>
        <w:t>1</w:t>
      </w:r>
      <w:r>
        <w:rPr>
          <w:rFonts w:hint="eastAsia" w:hAnsi="宋体" w:cs="宋体"/>
          <w:b/>
          <w:snapToGrid w:val="0"/>
          <w:color w:val="auto"/>
          <w:kern w:val="0"/>
          <w:szCs w:val="24"/>
          <w:highlight w:val="none"/>
        </w:rPr>
        <w:t>．监理档案移交</w:t>
      </w:r>
      <w:bookmarkEnd w:id="154"/>
      <w:bookmarkEnd w:id="155"/>
      <w:bookmarkEnd w:id="156"/>
      <w:bookmarkEnd w:id="157"/>
      <w:bookmarkEnd w:id="158"/>
      <w:bookmarkEnd w:id="159"/>
      <w:bookmarkEnd w:id="160"/>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auto"/>
          <w:kern w:val="0"/>
          <w:szCs w:val="24"/>
          <w:highlight w:val="none"/>
        </w:rPr>
      </w:pPr>
      <w:r>
        <w:rPr>
          <w:rFonts w:hint="eastAsia" w:hAnsi="宋体" w:cs="宋体"/>
          <w:bCs/>
          <w:snapToGrid w:val="0"/>
          <w:color w:val="auto"/>
          <w:kern w:val="0"/>
          <w:szCs w:val="24"/>
          <w:highlight w:val="none"/>
        </w:rPr>
        <w:t>项目竣工验收后，监理人应向委托人提交一式</w:t>
      </w:r>
      <w:r>
        <w:rPr>
          <w:rFonts w:hint="eastAsia" w:hAnsi="宋体" w:cs="宋体"/>
          <w:bCs/>
          <w:snapToGrid w:val="0"/>
          <w:color w:val="auto"/>
          <w:kern w:val="0"/>
          <w:szCs w:val="24"/>
          <w:highlight w:val="none"/>
          <w:u w:val="single"/>
        </w:rPr>
        <w:t xml:space="preserve"> 五 </w:t>
      </w:r>
      <w:r>
        <w:rPr>
          <w:rFonts w:hint="eastAsia" w:hAnsi="宋体" w:cs="宋体"/>
          <w:bCs/>
          <w:snapToGrid w:val="0"/>
          <w:color w:val="auto"/>
          <w:kern w:val="0"/>
          <w:szCs w:val="24"/>
          <w:highlight w:val="none"/>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auto"/>
          <w:kern w:val="0"/>
          <w:szCs w:val="24"/>
          <w:highlight w:val="none"/>
        </w:rPr>
      </w:pPr>
      <w:bookmarkStart w:id="161" w:name="_Toc2540"/>
      <w:bookmarkStart w:id="162" w:name="_Toc16612"/>
      <w:bookmarkStart w:id="163" w:name="_Toc19314"/>
      <w:bookmarkStart w:id="164" w:name="_Toc13197"/>
      <w:bookmarkStart w:id="165" w:name="_Toc24329"/>
      <w:bookmarkStart w:id="166" w:name="_Toc6629"/>
      <w:bookmarkStart w:id="167" w:name="_Toc29177"/>
      <w:r>
        <w:rPr>
          <w:rFonts w:hint="eastAsia" w:hAnsi="宋体" w:cs="宋体"/>
          <w:b/>
          <w:bCs/>
          <w:snapToGrid w:val="0"/>
          <w:color w:val="auto"/>
          <w:kern w:val="0"/>
          <w:szCs w:val="24"/>
          <w:highlight w:val="none"/>
        </w:rPr>
        <w:t>1</w:t>
      </w:r>
      <w:r>
        <w:rPr>
          <w:rFonts w:hint="eastAsia" w:hAnsi="宋体" w:cs="宋体"/>
          <w:b/>
          <w:bCs/>
          <w:snapToGrid w:val="0"/>
          <w:color w:val="auto"/>
          <w:kern w:val="0"/>
          <w:szCs w:val="24"/>
          <w:highlight w:val="none"/>
          <w:lang w:val="en-US" w:eastAsia="zh-CN"/>
        </w:rPr>
        <w:t>2</w:t>
      </w:r>
      <w:r>
        <w:rPr>
          <w:rFonts w:hint="eastAsia" w:hAnsi="宋体" w:cs="宋体"/>
          <w:b/>
          <w:snapToGrid w:val="0"/>
          <w:color w:val="auto"/>
          <w:kern w:val="0"/>
          <w:szCs w:val="24"/>
          <w:highlight w:val="none"/>
        </w:rPr>
        <w:t>．不良行为处理</w:t>
      </w:r>
      <w:bookmarkEnd w:id="161"/>
      <w:bookmarkEnd w:id="162"/>
      <w:bookmarkEnd w:id="163"/>
      <w:bookmarkEnd w:id="164"/>
      <w:bookmarkEnd w:id="165"/>
      <w:bookmarkEnd w:id="166"/>
      <w:bookmarkEnd w:id="167"/>
    </w:p>
    <w:p w14:paraId="04C55AB1">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监理人及其有关人员有下列行为之一的，委托人应及时报请建设行政主管部门查处。</w:t>
      </w:r>
    </w:p>
    <w:p w14:paraId="004FF11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（1）转让监理业务的；</w:t>
      </w:r>
    </w:p>
    <w:p w14:paraId="3812AF6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（2）非原参加投标中标的总监理工程师负责组织监理或在实施过程中擅自更换总监理工程师的、项目监理机构的其他监理人员与中标文件确定的人员不相符的；</w:t>
      </w:r>
    </w:p>
    <w:p w14:paraId="4A3AB02B">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（3）与建设单位、施工单位串通，签认虚假工程量或工程造价的；</w:t>
      </w:r>
    </w:p>
    <w:p w14:paraId="232AE11F">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（4）现场监理不到位的；</w:t>
      </w:r>
    </w:p>
    <w:p w14:paraId="4D39599F">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（5）非本人资格证书注册单位从事监理工作的；</w:t>
      </w:r>
    </w:p>
    <w:p w14:paraId="6B6840EA">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（6）总监理工程师承担超过三项工程监理任务的；</w:t>
      </w:r>
    </w:p>
    <w:p w14:paraId="0F7A5E7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auto"/>
          <w:kern w:val="0"/>
          <w:szCs w:val="24"/>
          <w:highlight w:val="none"/>
        </w:rPr>
      </w:pPr>
      <w:r>
        <w:rPr>
          <w:rFonts w:hint="eastAsia" w:ascii="宋体" w:hAnsi="宋体" w:cs="宋体"/>
          <w:snapToGrid w:val="0"/>
          <w:color w:val="auto"/>
          <w:kern w:val="0"/>
          <w:szCs w:val="24"/>
          <w:highlight w:val="none"/>
        </w:rPr>
        <w:t>（7）违反有关法律、法规、规章规定的其它行为。</w:t>
      </w:r>
    </w:p>
    <w:p w14:paraId="3D1008B4">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auto"/>
          <w:kern w:val="0"/>
          <w:szCs w:val="24"/>
          <w:highlight w:val="none"/>
        </w:rPr>
      </w:pPr>
      <w:bookmarkStart w:id="168" w:name="_Toc15431"/>
      <w:bookmarkStart w:id="169" w:name="_Toc29467"/>
      <w:bookmarkStart w:id="170" w:name="_Toc25306"/>
      <w:bookmarkStart w:id="171" w:name="_Toc15923"/>
      <w:bookmarkStart w:id="172" w:name="_Toc17537"/>
      <w:bookmarkStart w:id="173" w:name="_Toc28837"/>
      <w:bookmarkStart w:id="174" w:name="_Toc2784"/>
      <w:r>
        <w:rPr>
          <w:rFonts w:hint="eastAsia" w:ascii="宋体" w:hAnsi="宋体" w:cs="宋体"/>
          <w:b/>
          <w:bCs/>
          <w:snapToGrid w:val="0"/>
          <w:color w:val="auto"/>
          <w:kern w:val="0"/>
          <w:szCs w:val="24"/>
          <w:highlight w:val="none"/>
        </w:rPr>
        <w:t>1</w:t>
      </w:r>
      <w:r>
        <w:rPr>
          <w:rFonts w:hint="eastAsia" w:ascii="宋体" w:hAnsi="宋体" w:cs="宋体"/>
          <w:b/>
          <w:bCs/>
          <w:snapToGrid w:val="0"/>
          <w:color w:val="auto"/>
          <w:kern w:val="0"/>
          <w:szCs w:val="24"/>
          <w:highlight w:val="none"/>
          <w:lang w:val="en-US" w:eastAsia="zh-CN"/>
        </w:rPr>
        <w:t>3</w:t>
      </w:r>
      <w:r>
        <w:rPr>
          <w:rFonts w:hint="eastAsia" w:ascii="宋体" w:hAnsi="宋体" w:cs="宋体"/>
          <w:b/>
          <w:snapToGrid w:val="0"/>
          <w:color w:val="auto"/>
          <w:kern w:val="0"/>
          <w:szCs w:val="24"/>
          <w:highlight w:val="none"/>
        </w:rPr>
        <w:t>．</w:t>
      </w:r>
      <w:r>
        <w:rPr>
          <w:rFonts w:hint="eastAsia" w:ascii="宋体" w:hAnsi="宋体" w:cs="宋体"/>
          <w:b/>
          <w:bCs/>
          <w:snapToGrid w:val="0"/>
          <w:color w:val="auto"/>
          <w:kern w:val="0"/>
          <w:szCs w:val="24"/>
          <w:highlight w:val="none"/>
        </w:rPr>
        <w:t>信用评价条款内容</w:t>
      </w:r>
      <w:bookmarkEnd w:id="168"/>
      <w:bookmarkEnd w:id="169"/>
      <w:bookmarkEnd w:id="170"/>
      <w:bookmarkEnd w:id="171"/>
      <w:bookmarkEnd w:id="172"/>
      <w:bookmarkEnd w:id="173"/>
      <w:bookmarkEnd w:id="174"/>
    </w:p>
    <w:p w14:paraId="418B847A">
      <w:pPr>
        <w:pStyle w:val="84"/>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highlight w:val="none"/>
        </w:rPr>
      </w:pPr>
      <w:r>
        <w:rPr>
          <w:rFonts w:hint="eastAsia" w:hAnsi="宋体" w:cs="宋体"/>
          <w:snapToGrid w:val="0"/>
          <w:color w:val="auto"/>
          <w:kern w:val="0"/>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4"/>
        <w:wordWrap w:val="0"/>
        <w:adjustRightInd w:val="0"/>
        <w:snapToGrid w:val="0"/>
        <w:spacing w:line="440" w:lineRule="exact"/>
        <w:ind w:firstLine="560"/>
        <w:rPr>
          <w:rFonts w:hAnsi="宋体" w:cs="宋体"/>
          <w:b/>
          <w:bCs/>
          <w:snapToGrid w:val="0"/>
          <w:color w:val="auto"/>
          <w:kern w:val="0"/>
          <w:highlight w:val="none"/>
        </w:rPr>
      </w:pPr>
    </w:p>
    <w:p w14:paraId="6E146C71">
      <w:pPr>
        <w:pStyle w:val="84"/>
        <w:wordWrap w:val="0"/>
        <w:adjustRightInd w:val="0"/>
        <w:snapToGrid w:val="0"/>
        <w:spacing w:line="440" w:lineRule="exact"/>
        <w:ind w:firstLine="560"/>
        <w:rPr>
          <w:rFonts w:hAnsi="宋体" w:cs="宋体"/>
          <w:b/>
          <w:bCs/>
          <w:snapToGrid w:val="0"/>
          <w:color w:val="auto"/>
          <w:kern w:val="0"/>
          <w:highlight w:val="none"/>
        </w:rPr>
      </w:pPr>
    </w:p>
    <w:p w14:paraId="40581986">
      <w:pPr>
        <w:pStyle w:val="84"/>
        <w:wordWrap w:val="0"/>
        <w:adjustRightInd w:val="0"/>
        <w:snapToGrid w:val="0"/>
        <w:spacing w:line="440" w:lineRule="exact"/>
        <w:ind w:firstLine="560"/>
        <w:rPr>
          <w:rFonts w:hAnsi="宋体" w:cs="宋体"/>
          <w:b/>
          <w:bCs/>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4B26AC6B">
      <w:pPr>
        <w:pStyle w:val="3"/>
        <w:wordWrap w:val="0"/>
        <w:autoSpaceDE/>
        <w:autoSpaceDN/>
        <w:snapToGrid w:val="0"/>
        <w:spacing w:line="500" w:lineRule="exact"/>
        <w:jc w:val="center"/>
        <w:outlineLvl w:val="0"/>
        <w:rPr>
          <w:rFonts w:hAnsi="宋体" w:cs="宋体"/>
          <w:b/>
          <w:snapToGrid w:val="0"/>
          <w:color w:val="auto"/>
          <w:sz w:val="32"/>
          <w:szCs w:val="32"/>
          <w:highlight w:val="none"/>
        </w:rPr>
      </w:pPr>
      <w:bookmarkStart w:id="175" w:name="_Toc29099"/>
      <w:bookmarkStart w:id="176" w:name="_Toc16840"/>
      <w:bookmarkStart w:id="177" w:name="_Hlt69698765"/>
      <w:bookmarkStart w:id="178" w:name="_Hlt69698713"/>
      <w:bookmarkStart w:id="179" w:name="_Hlt69698776"/>
      <w:r>
        <w:rPr>
          <w:rFonts w:hint="eastAsia" w:hAnsi="宋体" w:cs="宋体"/>
          <w:b/>
          <w:snapToGrid w:val="0"/>
          <w:color w:val="auto"/>
          <w:sz w:val="32"/>
          <w:szCs w:val="32"/>
          <w:highlight w:val="none"/>
        </w:rPr>
        <w:t>第三章</w:t>
      </w:r>
      <w:bookmarkStart w:id="180" w:name="_Hlt87793831"/>
      <w:bookmarkEnd w:id="180"/>
      <w:r>
        <w:rPr>
          <w:rFonts w:hint="eastAsia" w:hAnsi="宋体" w:cs="宋体"/>
          <w:b/>
          <w:snapToGrid w:val="0"/>
          <w:color w:val="auto"/>
          <w:sz w:val="32"/>
          <w:szCs w:val="32"/>
          <w:highlight w:val="none"/>
        </w:rPr>
        <w:t xml:space="preserve"> 拟签订合同的主要条款</w:t>
      </w:r>
      <w:bookmarkEnd w:id="175"/>
      <w:bookmarkEnd w:id="176"/>
    </w:p>
    <w:bookmarkEnd w:id="177"/>
    <w:bookmarkEnd w:id="178"/>
    <w:p w14:paraId="6A4F7FF4">
      <w:pPr>
        <w:bidi w:val="0"/>
        <w:rPr>
          <w:color w:val="auto"/>
          <w:highlight w:val="none"/>
        </w:rPr>
      </w:pPr>
      <w:bookmarkStart w:id="181" w:name="_Toc326916629"/>
      <w:bookmarkStart w:id="182" w:name="_Toc322793288"/>
    </w:p>
    <w:bookmarkEnd w:id="181"/>
    <w:bookmarkEnd w:id="182"/>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auto"/>
          <w:kern w:val="0"/>
          <w:szCs w:val="24"/>
          <w:highlight w:val="none"/>
        </w:rPr>
      </w:pPr>
      <w:bookmarkStart w:id="183" w:name="_Toc1947"/>
      <w:bookmarkStart w:id="184" w:name="_Toc6392"/>
      <w:bookmarkStart w:id="185" w:name="_Toc11616"/>
      <w:bookmarkStart w:id="186" w:name="_Toc3741"/>
      <w:bookmarkStart w:id="187" w:name="_Toc9210"/>
      <w:bookmarkStart w:id="188" w:name="_Toc4588"/>
      <w:bookmarkStart w:id="189" w:name="_Toc12203"/>
      <w:r>
        <w:rPr>
          <w:rFonts w:hint="eastAsia" w:hAnsi="宋体" w:cs="宋体"/>
          <w:b/>
          <w:bCs/>
          <w:snapToGrid w:val="0"/>
          <w:color w:val="auto"/>
          <w:kern w:val="0"/>
          <w:szCs w:val="24"/>
          <w:highlight w:val="none"/>
        </w:rPr>
        <w:t>1．现场办公条件</w:t>
      </w:r>
      <w:bookmarkEnd w:id="183"/>
      <w:bookmarkEnd w:id="184"/>
      <w:bookmarkEnd w:id="185"/>
      <w:bookmarkEnd w:id="186"/>
      <w:bookmarkEnd w:id="187"/>
      <w:bookmarkEnd w:id="188"/>
      <w:bookmarkEnd w:id="189"/>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1.1</w:t>
      </w:r>
      <w:r>
        <w:rPr>
          <w:rFonts w:hint="eastAsia" w:hAnsi="宋体" w:cs="宋体"/>
          <w:snapToGrid w:val="0"/>
          <w:color w:val="auto"/>
          <w:kern w:val="0"/>
          <w:szCs w:val="24"/>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1.2</w:t>
      </w:r>
      <w:r>
        <w:rPr>
          <w:rFonts w:hint="eastAsia" w:hAnsi="宋体" w:cs="宋体"/>
          <w:snapToGrid w:val="0"/>
          <w:color w:val="auto"/>
          <w:kern w:val="0"/>
          <w:szCs w:val="24"/>
          <w:highlight w:val="none"/>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（8）</w:t>
      </w:r>
      <w:r>
        <w:rPr>
          <w:rFonts w:hint="eastAsia" w:hAnsi="宋体" w:cs="宋体"/>
          <w:snapToGrid w:val="0"/>
          <w:color w:val="auto"/>
          <w:kern w:val="0"/>
          <w:szCs w:val="24"/>
          <w:highlight w:val="none"/>
          <w:u w:val="single"/>
        </w:rPr>
        <w:t xml:space="preserve"> 打卡 / 指纹识别 / 人脸识别 / 虹膜识别 </w:t>
      </w:r>
      <w:r>
        <w:rPr>
          <w:rFonts w:hint="eastAsia" w:hAnsi="宋体" w:cs="宋体"/>
          <w:snapToGrid w:val="0"/>
          <w:color w:val="auto"/>
          <w:kern w:val="0"/>
          <w:szCs w:val="24"/>
          <w:highlight w:val="none"/>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auto"/>
          <w:kern w:val="0"/>
          <w:szCs w:val="24"/>
          <w:highlight w:val="none"/>
        </w:rPr>
      </w:pPr>
      <w:bookmarkStart w:id="190" w:name="_Toc6311"/>
      <w:bookmarkStart w:id="191" w:name="_Toc8261"/>
      <w:bookmarkStart w:id="192" w:name="_Toc14419"/>
      <w:bookmarkStart w:id="193" w:name="_Toc15844"/>
      <w:bookmarkStart w:id="194" w:name="_Toc29914"/>
      <w:bookmarkStart w:id="195" w:name="_Toc1375"/>
      <w:bookmarkStart w:id="196" w:name="_Toc6193"/>
      <w:r>
        <w:rPr>
          <w:rFonts w:hint="eastAsia" w:hAnsi="宋体" w:cs="宋体"/>
          <w:b/>
          <w:bCs/>
          <w:snapToGrid w:val="0"/>
          <w:color w:val="auto"/>
          <w:kern w:val="0"/>
          <w:szCs w:val="24"/>
          <w:highlight w:val="none"/>
        </w:rPr>
        <w:t>2．</w:t>
      </w:r>
      <w:bookmarkEnd w:id="190"/>
      <w:bookmarkEnd w:id="191"/>
      <w:bookmarkEnd w:id="192"/>
      <w:bookmarkEnd w:id="193"/>
      <w:bookmarkEnd w:id="194"/>
      <w:r>
        <w:rPr>
          <w:rFonts w:hint="eastAsia" w:hAnsi="宋体" w:cs="宋体"/>
          <w:b/>
          <w:bCs/>
          <w:snapToGrid w:val="0"/>
          <w:color w:val="auto"/>
          <w:kern w:val="0"/>
          <w:szCs w:val="24"/>
          <w:highlight w:val="none"/>
        </w:rPr>
        <w:t>监理服务费</w:t>
      </w:r>
      <w:bookmarkEnd w:id="195"/>
      <w:bookmarkEnd w:id="196"/>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auto"/>
          <w:kern w:val="0"/>
          <w:szCs w:val="24"/>
          <w:highlight w:val="none"/>
        </w:rPr>
      </w:pPr>
      <w:r>
        <w:rPr>
          <w:rFonts w:hint="eastAsia" w:hAnsi="宋体" w:cs="宋体"/>
          <w:b/>
          <w:bCs/>
          <w:snapToGrid w:val="0"/>
          <w:color w:val="auto"/>
          <w:kern w:val="0"/>
          <w:szCs w:val="24"/>
          <w:highlight w:val="none"/>
        </w:rPr>
        <w:t>2.1</w:t>
      </w:r>
      <w:r>
        <w:rPr>
          <w:rFonts w:hint="eastAsia" w:hAnsi="宋体" w:cs="宋体"/>
          <w:snapToGrid w:val="0"/>
          <w:color w:val="auto"/>
          <w:kern w:val="0"/>
          <w:szCs w:val="24"/>
          <w:highlight w:val="none"/>
        </w:rPr>
        <w:t xml:space="preserve"> “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auto"/>
          <w:kern w:val="0"/>
          <w:szCs w:val="24"/>
          <w:highlight w:val="none"/>
        </w:rPr>
      </w:pPr>
      <w:r>
        <w:rPr>
          <w:rFonts w:hint="eastAsia" w:hAnsi="宋体" w:cs="宋体"/>
          <w:b/>
          <w:bCs/>
          <w:snapToGrid w:val="0"/>
          <w:color w:val="auto"/>
          <w:kern w:val="0"/>
          <w:szCs w:val="24"/>
          <w:highlight w:val="none"/>
        </w:rPr>
        <w:t>2.2 监理服务费结算原则：</w:t>
      </w:r>
    </w:p>
    <w:p w14:paraId="7622FDA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bookmarkStart w:id="197" w:name="_Toc17740"/>
      <w:bookmarkStart w:id="198" w:name="_Toc6502"/>
      <w:bookmarkStart w:id="199" w:name="_Toc31653"/>
      <w:bookmarkStart w:id="200" w:name="_Toc18979"/>
      <w:bookmarkStart w:id="201" w:name="_Toc31657"/>
      <w:r>
        <w:rPr>
          <w:rFonts w:hint="eastAsia" w:hAnsi="宋体" w:cs="宋体"/>
          <w:snapToGrid w:val="0"/>
          <w:color w:val="auto"/>
          <w:kern w:val="0"/>
          <w:szCs w:val="24"/>
          <w:highlight w:val="none"/>
          <w:lang w:eastAsia="zh-CN"/>
        </w:rPr>
        <w:t>（</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lang w:eastAsia="zh-CN"/>
        </w:rPr>
        <w:t>）</w:t>
      </w:r>
      <w:r>
        <w:rPr>
          <w:rFonts w:hint="eastAsia" w:ascii="宋体" w:hAnsi="宋体" w:eastAsia="宋体" w:cs="宋体"/>
          <w:snapToGrid w:val="0"/>
          <w:color w:val="auto"/>
          <w:kern w:val="0"/>
          <w:szCs w:val="24"/>
          <w:highlight w:val="none"/>
        </w:rPr>
        <w:t>监理服务费结算价在项目的合同价范围内按实结算，即：以施工财审</w:t>
      </w:r>
      <w:r>
        <w:rPr>
          <w:rFonts w:hint="eastAsia" w:hAnsi="宋体" w:cs="宋体"/>
          <w:snapToGrid w:val="0"/>
          <w:color w:val="auto"/>
          <w:kern w:val="0"/>
          <w:szCs w:val="24"/>
          <w:highlight w:val="none"/>
          <w:lang w:val="en-US" w:eastAsia="zh-CN"/>
        </w:rPr>
        <w:t>预</w:t>
      </w:r>
      <w:r>
        <w:rPr>
          <w:rFonts w:hint="eastAsia" w:ascii="宋体" w:hAnsi="宋体" w:eastAsia="宋体" w:cs="宋体"/>
          <w:snapToGrid w:val="0"/>
          <w:color w:val="auto"/>
          <w:kern w:val="0"/>
          <w:szCs w:val="24"/>
          <w:highlight w:val="none"/>
        </w:rPr>
        <w:t>算价为基数乘以监理人中标取费费率计算，若监理服务费结算总价超过签约合同价，则按签约合同价包干结算；若监理服务费结算总价未超过签约合同价，则按以施工</w:t>
      </w:r>
      <w:r>
        <w:rPr>
          <w:rFonts w:hint="eastAsia" w:hAnsi="宋体" w:cs="宋体"/>
          <w:snapToGrid w:val="0"/>
          <w:color w:val="auto"/>
          <w:kern w:val="0"/>
          <w:szCs w:val="24"/>
          <w:highlight w:val="none"/>
          <w:lang w:val="en-US" w:eastAsia="zh-CN"/>
        </w:rPr>
        <w:t>预</w:t>
      </w:r>
      <w:r>
        <w:rPr>
          <w:rFonts w:hint="eastAsia" w:ascii="宋体" w:hAnsi="宋体" w:eastAsia="宋体" w:cs="宋体"/>
          <w:snapToGrid w:val="0"/>
          <w:color w:val="auto"/>
          <w:kern w:val="0"/>
          <w:szCs w:val="24"/>
          <w:highlight w:val="none"/>
        </w:rPr>
        <w:t>算价为基数乘以监理人中标取费费率计算的结算价进行结算。</w:t>
      </w:r>
    </w:p>
    <w:p w14:paraId="4B7C731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（2）项目建设期间，即使出现缓建或停建事件导致监理工期延长，不另增加监理服务费。</w:t>
      </w:r>
    </w:p>
    <w:p w14:paraId="17FC59C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（3）因工程规模、监理范围的变化导致监理人的正常工作量减少时，按减少工作量的比例从协议书约定的正常工作酬金中扣减相同比例的酬金。</w:t>
      </w:r>
    </w:p>
    <w:p w14:paraId="3CA2619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2.3 监理服务费的支付：</w:t>
      </w:r>
    </w:p>
    <w:p w14:paraId="3AC46A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（1）本项目支付监理服务费预付款，预付款支付比例为：合同价的30%；</w:t>
      </w:r>
    </w:p>
    <w:p w14:paraId="4FF87AA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（2）本项目根据施工阶段按施工进度分期支付监理服务费，具体分期支付方式如下：</w:t>
      </w:r>
    </w:p>
    <w:tbl>
      <w:tblPr>
        <w:tblStyle w:val="31"/>
        <w:tblW w:w="9101"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4455"/>
        <w:gridCol w:w="3780"/>
      </w:tblGrid>
      <w:tr w14:paraId="29E4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66" w:type="dxa"/>
            <w:noWrap w:val="0"/>
            <w:vAlign w:val="center"/>
          </w:tcPr>
          <w:p w14:paraId="02EF632E">
            <w:pPr>
              <w:wordWrap w:val="0"/>
              <w:adjustRightInd w:val="0"/>
              <w:snapToGrid w:val="0"/>
              <w:spacing w:line="400" w:lineRule="exact"/>
              <w:jc w:val="center"/>
              <w:rPr>
                <w:rFonts w:hint="eastAsia" w:ascii="黑体" w:hAnsi="黑体" w:eastAsia="黑体"/>
                <w:snapToGrid w:val="0"/>
                <w:color w:val="auto"/>
                <w:kern w:val="0"/>
                <w:highlight w:val="none"/>
                <w:lang w:eastAsia="zh-CN"/>
              </w:rPr>
            </w:pPr>
            <w:r>
              <w:rPr>
                <w:rFonts w:hint="eastAsia" w:ascii="黑体" w:hAnsi="黑体" w:eastAsia="黑体"/>
                <w:snapToGrid w:val="0"/>
                <w:color w:val="auto"/>
                <w:kern w:val="0"/>
                <w:highlight w:val="none"/>
                <w:lang w:val="en-US" w:eastAsia="zh-CN"/>
              </w:rPr>
              <w:t>序号</w:t>
            </w:r>
          </w:p>
        </w:tc>
        <w:tc>
          <w:tcPr>
            <w:tcW w:w="4455" w:type="dxa"/>
            <w:noWrap w:val="0"/>
            <w:vAlign w:val="center"/>
          </w:tcPr>
          <w:p w14:paraId="1A8903F7">
            <w:pPr>
              <w:wordWrap w:val="0"/>
              <w:adjustRightInd w:val="0"/>
              <w:snapToGrid w:val="0"/>
              <w:spacing w:line="400" w:lineRule="exact"/>
              <w:jc w:val="center"/>
              <w:rPr>
                <w:rFonts w:hint="eastAsia" w:ascii="黑体" w:hAnsi="黑体" w:eastAsia="黑体"/>
                <w:snapToGrid w:val="0"/>
                <w:color w:val="auto"/>
                <w:kern w:val="0"/>
                <w:highlight w:val="none"/>
                <w:lang w:val="en-US" w:eastAsia="zh-CN"/>
              </w:rPr>
            </w:pPr>
            <w:r>
              <w:rPr>
                <w:rFonts w:hint="eastAsia" w:ascii="黑体" w:hAnsi="黑体" w:eastAsia="黑体"/>
                <w:snapToGrid w:val="0"/>
                <w:color w:val="auto"/>
                <w:kern w:val="0"/>
                <w:highlight w:val="none"/>
              </w:rPr>
              <w:t>支付时间</w:t>
            </w:r>
            <w:r>
              <w:rPr>
                <w:rFonts w:hint="eastAsia" w:ascii="黑体" w:hAnsi="黑体" w:eastAsia="黑体"/>
                <w:snapToGrid w:val="0"/>
                <w:color w:val="auto"/>
                <w:kern w:val="0"/>
                <w:highlight w:val="none"/>
                <w:lang w:val="en-US" w:eastAsia="zh-CN"/>
              </w:rPr>
              <w:t>及</w:t>
            </w:r>
            <w:r>
              <w:rPr>
                <w:rFonts w:hint="eastAsia" w:ascii="黑体" w:hAnsi="黑体" w:eastAsia="黑体"/>
                <w:snapToGrid w:val="0"/>
                <w:color w:val="auto"/>
                <w:kern w:val="0"/>
                <w:highlight w:val="none"/>
              </w:rPr>
              <w:t>支付比例</w:t>
            </w:r>
          </w:p>
        </w:tc>
        <w:tc>
          <w:tcPr>
            <w:tcW w:w="3780" w:type="dxa"/>
            <w:noWrap w:val="0"/>
            <w:vAlign w:val="center"/>
          </w:tcPr>
          <w:p w14:paraId="5FB2DFAD">
            <w:pPr>
              <w:wordWrap w:val="0"/>
              <w:adjustRightInd w:val="0"/>
              <w:snapToGrid w:val="0"/>
              <w:spacing w:line="400" w:lineRule="exact"/>
              <w:jc w:val="center"/>
              <w:rPr>
                <w:rFonts w:hint="eastAsia" w:ascii="黑体" w:hAnsi="黑体" w:eastAsia="黑体"/>
                <w:snapToGrid w:val="0"/>
                <w:color w:val="auto"/>
                <w:kern w:val="0"/>
                <w:highlight w:val="none"/>
              </w:rPr>
            </w:pPr>
          </w:p>
        </w:tc>
      </w:tr>
      <w:tr w14:paraId="0159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trPr>
        <w:tc>
          <w:tcPr>
            <w:tcW w:w="866" w:type="dxa"/>
            <w:noWrap w:val="0"/>
            <w:vAlign w:val="center"/>
          </w:tcPr>
          <w:p w14:paraId="71BAC85A">
            <w:pPr>
              <w:wordWrap w:val="0"/>
              <w:adjustRightInd w:val="0"/>
              <w:snapToGrid w:val="0"/>
              <w:spacing w:line="400" w:lineRule="exact"/>
              <w:jc w:val="center"/>
              <w:rPr>
                <w:rFonts w:hint="eastAsia" w:ascii="Times New Roman" w:eastAsia="宋体"/>
                <w:snapToGrid w:val="0"/>
                <w:color w:val="auto"/>
                <w:kern w:val="0"/>
                <w:highlight w:val="none"/>
                <w:lang w:eastAsia="zh-CN"/>
              </w:rPr>
            </w:pPr>
            <w:r>
              <w:rPr>
                <w:rFonts w:hint="eastAsia" w:ascii="Times New Roman"/>
                <w:snapToGrid w:val="0"/>
                <w:color w:val="auto"/>
                <w:kern w:val="0"/>
                <w:highlight w:val="none"/>
                <w:lang w:val="en-US" w:eastAsia="zh-CN"/>
              </w:rPr>
              <w:t>1</w:t>
            </w:r>
          </w:p>
        </w:tc>
        <w:tc>
          <w:tcPr>
            <w:tcW w:w="4455" w:type="dxa"/>
            <w:noWrap w:val="0"/>
            <w:vAlign w:val="center"/>
          </w:tcPr>
          <w:p w14:paraId="45CDE68B">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snapToGrid w:val="0"/>
                <w:color w:val="auto"/>
                <w:kern w:val="0"/>
                <w:highlight w:val="none"/>
                <w:lang w:val="en-US" w:eastAsia="zh-CN"/>
              </w:rPr>
              <w:t>依据</w:t>
            </w:r>
            <w:r>
              <w:rPr>
                <w:rFonts w:hint="eastAsia" w:ascii="Times New Roman"/>
                <w:snapToGrid w:val="0"/>
                <w:color w:val="auto"/>
                <w:kern w:val="0"/>
                <w:highlight w:val="none"/>
              </w:rPr>
              <w:t>工程施工进度</w:t>
            </w:r>
            <w:r>
              <w:rPr>
                <w:rFonts w:hint="eastAsia" w:ascii="Times New Roman"/>
                <w:snapToGrid w:val="0"/>
                <w:color w:val="auto"/>
                <w:kern w:val="0"/>
                <w:highlight w:val="none"/>
                <w:lang w:val="en-US" w:eastAsia="zh-CN"/>
              </w:rPr>
              <w:t>比例按月或季度支付。</w:t>
            </w:r>
          </w:p>
        </w:tc>
        <w:tc>
          <w:tcPr>
            <w:tcW w:w="3780" w:type="dxa"/>
            <w:noWrap w:val="0"/>
            <w:vAlign w:val="center"/>
          </w:tcPr>
          <w:p w14:paraId="1F5CBCD3">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snapToGrid w:val="0"/>
                <w:color w:val="auto"/>
                <w:kern w:val="0"/>
                <w:highlight w:val="none"/>
                <w:lang w:val="en-US" w:eastAsia="zh-CN"/>
              </w:rPr>
              <w:t>合同价总价80%（含预付款）</w:t>
            </w:r>
          </w:p>
        </w:tc>
      </w:tr>
      <w:tr w14:paraId="66FB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exact"/>
        </w:trPr>
        <w:tc>
          <w:tcPr>
            <w:tcW w:w="866" w:type="dxa"/>
            <w:noWrap w:val="0"/>
            <w:vAlign w:val="center"/>
          </w:tcPr>
          <w:p w14:paraId="40BAE9EE">
            <w:pPr>
              <w:wordWrap w:val="0"/>
              <w:adjustRightInd w:val="0"/>
              <w:snapToGrid w:val="0"/>
              <w:spacing w:line="400" w:lineRule="exact"/>
              <w:jc w:val="center"/>
              <w:rPr>
                <w:rFonts w:hint="eastAsia" w:ascii="Times New Roman" w:eastAsia="宋体"/>
                <w:snapToGrid w:val="0"/>
                <w:color w:val="auto"/>
                <w:kern w:val="0"/>
                <w:highlight w:val="none"/>
                <w:lang w:eastAsia="zh-CN"/>
              </w:rPr>
            </w:pPr>
            <w:r>
              <w:rPr>
                <w:rFonts w:hint="eastAsia" w:ascii="Times New Roman"/>
                <w:snapToGrid w:val="0"/>
                <w:color w:val="auto"/>
                <w:kern w:val="0"/>
                <w:highlight w:val="none"/>
                <w:lang w:val="en-US" w:eastAsia="zh-CN"/>
              </w:rPr>
              <w:t>2</w:t>
            </w:r>
          </w:p>
        </w:tc>
        <w:tc>
          <w:tcPr>
            <w:tcW w:w="4455" w:type="dxa"/>
            <w:noWrap w:val="0"/>
            <w:vAlign w:val="center"/>
          </w:tcPr>
          <w:p w14:paraId="6E8C3F2F">
            <w:pPr>
              <w:wordWrap w:val="0"/>
              <w:adjustRightInd w:val="0"/>
              <w:snapToGrid w:val="0"/>
              <w:spacing w:line="400" w:lineRule="exact"/>
              <w:jc w:val="left"/>
              <w:rPr>
                <w:rFonts w:hint="eastAsia" w:ascii="Times New Roman"/>
                <w:snapToGrid w:val="0"/>
                <w:color w:val="auto"/>
                <w:kern w:val="0"/>
                <w:sz w:val="24"/>
                <w:highlight w:val="none"/>
                <w:lang w:val="en-US" w:eastAsia="zh-CN" w:bidi="ar-SA"/>
              </w:rPr>
            </w:pPr>
            <w:r>
              <w:rPr>
                <w:rFonts w:hint="eastAsia" w:ascii="Times New Roman"/>
                <w:snapToGrid w:val="0"/>
                <w:color w:val="auto"/>
                <w:kern w:val="0"/>
                <w:highlight w:val="none"/>
              </w:rPr>
              <w:t>工程施工进度</w:t>
            </w:r>
            <w:r>
              <w:rPr>
                <w:rFonts w:hint="eastAsia" w:ascii="Times New Roman"/>
                <w:snapToGrid w:val="0"/>
                <w:color w:val="auto"/>
                <w:kern w:val="0"/>
                <w:highlight w:val="none"/>
                <w:lang w:val="en-US" w:eastAsia="zh-CN"/>
              </w:rPr>
              <w:t>达到100</w:t>
            </w:r>
            <w:r>
              <w:rPr>
                <w:rFonts w:hint="eastAsia" w:ascii="Times New Roman"/>
                <w:snapToGrid w:val="0"/>
                <w:color w:val="auto"/>
                <w:kern w:val="0"/>
                <w:highlight w:val="none"/>
              </w:rPr>
              <w:t>%</w:t>
            </w: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工程完工或竣工</w:t>
            </w:r>
            <w:r>
              <w:rPr>
                <w:rFonts w:hint="eastAsia" w:ascii="Times New Roman"/>
                <w:snapToGrid w:val="0"/>
                <w:color w:val="auto"/>
                <w:kern w:val="0"/>
                <w:highlight w:val="none"/>
              </w:rPr>
              <w:t>验收</w:t>
            </w:r>
            <w:r>
              <w:rPr>
                <w:rFonts w:hint="eastAsia" w:ascii="Times New Roman"/>
                <w:snapToGrid w:val="0"/>
                <w:color w:val="auto"/>
                <w:kern w:val="0"/>
                <w:highlight w:val="none"/>
                <w:lang w:val="en-US" w:eastAsia="zh-CN"/>
              </w:rPr>
              <w:t>合规。</w:t>
            </w:r>
          </w:p>
        </w:tc>
        <w:tc>
          <w:tcPr>
            <w:tcW w:w="3780" w:type="dxa"/>
            <w:noWrap w:val="0"/>
            <w:vAlign w:val="center"/>
          </w:tcPr>
          <w:p w14:paraId="498DA7D7">
            <w:pPr>
              <w:wordWrap w:val="0"/>
              <w:adjustRightInd w:val="0"/>
              <w:snapToGrid w:val="0"/>
              <w:spacing w:line="400" w:lineRule="exact"/>
              <w:jc w:val="left"/>
              <w:rPr>
                <w:rFonts w:hint="default" w:ascii="Times New Roman" w:eastAsia="宋体"/>
                <w:snapToGrid w:val="0"/>
                <w:color w:val="auto"/>
                <w:kern w:val="0"/>
                <w:highlight w:val="none"/>
                <w:lang w:val="en-US" w:eastAsia="zh-CN"/>
              </w:rPr>
            </w:pPr>
            <w:r>
              <w:rPr>
                <w:rFonts w:hint="eastAsia" w:ascii="Times New Roman"/>
                <w:snapToGrid w:val="0"/>
                <w:color w:val="auto"/>
                <w:kern w:val="0"/>
                <w:highlight w:val="none"/>
                <w:lang w:val="en-US" w:eastAsia="zh-CN"/>
              </w:rPr>
              <w:t>合同价20%</w:t>
            </w:r>
          </w:p>
        </w:tc>
      </w:tr>
    </w:tbl>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bookmarkStart w:id="202" w:name="_Toc31344"/>
      <w:bookmarkStart w:id="203" w:name="_Toc12074"/>
      <w:r>
        <w:rPr>
          <w:rFonts w:hint="eastAsia" w:ascii="宋体" w:hAnsi="宋体" w:eastAsia="宋体" w:cs="宋体"/>
          <w:b/>
          <w:bCs/>
          <w:snapToGrid w:val="0"/>
          <w:color w:val="auto"/>
          <w:kern w:val="0"/>
          <w:szCs w:val="24"/>
          <w:highlight w:val="none"/>
        </w:rPr>
        <w:t>3．监理服务费发票</w:t>
      </w:r>
      <w:bookmarkEnd w:id="197"/>
      <w:bookmarkEnd w:id="198"/>
      <w:bookmarkEnd w:id="199"/>
      <w:bookmarkEnd w:id="200"/>
      <w:bookmarkEnd w:id="201"/>
      <w:bookmarkEnd w:id="202"/>
      <w:bookmarkEnd w:id="203"/>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委托人每次支付监理服务费前，监理人均应提供有效的增值税</w:t>
      </w:r>
      <w:r>
        <w:rPr>
          <w:rFonts w:hint="eastAsia" w:hAnsi="宋体" w:cs="宋体"/>
          <w:snapToGrid w:val="0"/>
          <w:color w:val="auto"/>
          <w:kern w:val="0"/>
          <w:szCs w:val="24"/>
          <w:highlight w:val="none"/>
          <w:u w:val="single"/>
        </w:rPr>
        <w:t xml:space="preserve"> 普通 </w:t>
      </w:r>
      <w:r>
        <w:rPr>
          <w:rFonts w:hint="eastAsia" w:hAnsi="宋体" w:cs="宋体"/>
          <w:snapToGrid w:val="0"/>
          <w:color w:val="auto"/>
          <w:kern w:val="0"/>
          <w:szCs w:val="24"/>
          <w:highlight w:val="none"/>
        </w:rPr>
        <w:t xml:space="preserve">发票。如果监理人无法提供符合要求的监理服务费发票，由此造成的相应损失由监理人承担。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04" w:name="_Toc22603"/>
      <w:bookmarkStart w:id="205" w:name="_Toc32105"/>
      <w:bookmarkStart w:id="206" w:name="_Toc7557"/>
      <w:bookmarkStart w:id="207" w:name="_Toc2147"/>
      <w:bookmarkStart w:id="208" w:name="_Toc25406"/>
      <w:bookmarkStart w:id="209" w:name="_Toc30294"/>
      <w:bookmarkStart w:id="210" w:name="_Toc31725"/>
      <w:r>
        <w:rPr>
          <w:rFonts w:hint="eastAsia" w:hAnsi="宋体" w:cs="宋体"/>
          <w:b/>
          <w:bCs/>
          <w:snapToGrid w:val="0"/>
          <w:color w:val="auto"/>
          <w:kern w:val="0"/>
          <w:szCs w:val="24"/>
          <w:highlight w:val="none"/>
        </w:rPr>
        <w:t>4．违约责任</w:t>
      </w:r>
      <w:bookmarkEnd w:id="204"/>
      <w:bookmarkEnd w:id="205"/>
      <w:bookmarkEnd w:id="206"/>
      <w:bookmarkEnd w:id="207"/>
      <w:bookmarkEnd w:id="208"/>
      <w:bookmarkEnd w:id="209"/>
      <w:bookmarkEnd w:id="210"/>
    </w:p>
    <w:p w14:paraId="6CD4EE7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 若由于监理单位的过错或失职，对委托人造成损失的，监理人必须依法承担赔偿责任。</w:t>
      </w:r>
    </w:p>
    <w:p w14:paraId="2035E84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4.2 本工程质量必须达到合格标准。若因监理人原因，工程在竣工验收或分部工程验收时没有达到此标准，监理人按监理合同价款（指监理结算价款）的</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10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％向委托人返纳质量违约金，并对委托人的损失依法承担赔偿责任。</w:t>
      </w:r>
    </w:p>
    <w:p w14:paraId="7CA39C9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4.3 监理人必须按投标文件中的服务承诺条款履行合同。</w:t>
      </w:r>
    </w:p>
    <w:p w14:paraId="626FA5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4.4 监理人若是韶关市以外的企业，则其提供的监理费发票必须是在本工程所在地的税务部门开具的，委托人收到符合要求的发票后方可支付监理费。</w:t>
      </w:r>
    </w:p>
    <w:p w14:paraId="7059E59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4.5 监理人在监理期间应严格遵守国家、省、市有关防火、爆破和监理安全以及文明监理、深夜监理、环卫城管等规定，建立规章制度和防护措施。否则，由此造成的经济和法律责任，均由监理人负责。</w:t>
      </w:r>
    </w:p>
    <w:p w14:paraId="7698C4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4.6 监理人应按安全监理的要求，采取严格科学的安全措施，确保监理安全和第三者的安全，承担由于自身安全措施不力所造成的事故责任和发生的费用。</w:t>
      </w:r>
    </w:p>
    <w:p w14:paraId="204D2C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4.7 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6663526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4.8 监理人须服从委托人及政府工程质量监督部门对监理工程全方位的监督，监理资料应及时报送委托人审查备案。</w:t>
      </w:r>
    </w:p>
    <w:p w14:paraId="569318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4.9 监理人在施工过程中若发生</w:t>
      </w:r>
      <w:r>
        <w:rPr>
          <w:rFonts w:hint="eastAsia" w:ascii="Times New Roman"/>
          <w:snapToGrid w:val="0"/>
          <w:color w:val="auto"/>
          <w:kern w:val="0"/>
          <w:highlight w:val="none"/>
          <w:lang w:val="en-US" w:eastAsia="zh-CN"/>
        </w:rPr>
        <w:t>工程量变更时</w:t>
      </w:r>
      <w:r>
        <w:rPr>
          <w:rFonts w:hint="eastAsia" w:ascii="Times New Roman"/>
          <w:snapToGrid w:val="0"/>
          <w:color w:val="auto"/>
          <w:kern w:val="0"/>
          <w:highlight w:val="none"/>
        </w:rPr>
        <w:t>，按委托人</w:t>
      </w:r>
      <w:r>
        <w:rPr>
          <w:rFonts w:hint="eastAsia" w:ascii="Times New Roman"/>
          <w:snapToGrid w:val="0"/>
          <w:color w:val="auto"/>
          <w:kern w:val="0"/>
          <w:highlight w:val="none"/>
          <w:lang w:val="en-US" w:eastAsia="zh-CN"/>
        </w:rPr>
        <w:t>变更</w:t>
      </w:r>
      <w:r>
        <w:rPr>
          <w:rFonts w:hint="eastAsia" w:ascii="Times New Roman"/>
          <w:snapToGrid w:val="0"/>
          <w:color w:val="auto"/>
          <w:kern w:val="0"/>
          <w:highlight w:val="none"/>
        </w:rPr>
        <w:t>管理办法执行。</w:t>
      </w:r>
    </w:p>
    <w:p w14:paraId="779166C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4.10 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22312BA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4.11 投标报价应充分考虑在施工中由于委托人造成停工或工期延误等因素所产生的相关费用，委托人不予另计费；停工发生后，若可复工时，监理人应在收到委托人发出的复工通知书的当日通知施工单位复工，并安排现场监理人员及时到场进行现场监理。</w:t>
      </w:r>
    </w:p>
    <w:p w14:paraId="30C1797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4.12 监理人若在韶关市无固定服务场所和固定专业负责人的，则在合同签订后尽快完成驻韶固定办公场所办理和安排固定项目负责人及其他相关监理人员驻韶办公。</w:t>
      </w:r>
    </w:p>
    <w:p w14:paraId="0394F5B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4.13 监理人拟派驻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若监理人拒不执行或无法在15个工作日内完成更换，则每发生一次扣除签约合同价的10%作为违约金。</w:t>
      </w:r>
    </w:p>
    <w:p w14:paraId="6A113065">
      <w:pPr>
        <w:wordWrap w:val="0"/>
        <w:adjustRightInd w:val="0"/>
        <w:snapToGrid w:val="0"/>
        <w:spacing w:line="440" w:lineRule="exact"/>
        <w:ind w:firstLine="560"/>
        <w:rPr>
          <w:rFonts w:hint="eastAsia" w:hAnsi="宋体"/>
          <w:color w:val="auto"/>
          <w:highlight w:val="none"/>
        </w:rPr>
      </w:pPr>
      <w:r>
        <w:rPr>
          <w:rFonts w:hint="eastAsia" w:ascii="Times New Roman"/>
          <w:snapToGrid w:val="0"/>
          <w:color w:val="auto"/>
          <w:kern w:val="0"/>
          <w:highlight w:val="none"/>
        </w:rPr>
        <w:t>4.14</w:t>
      </w:r>
      <w:r>
        <w:rPr>
          <w:rFonts w:hint="eastAsia" w:hAnsi="宋体"/>
          <w:color w:val="auto"/>
          <w:highlight w:val="none"/>
        </w:rPr>
        <w:t>监理人必须保证严格遵守有关法律法规及廉政规定。如监理人及其工作人员违反本承诺规定，给发包人造成经济损失的，依法给予赔偿。</w:t>
      </w:r>
    </w:p>
    <w:p w14:paraId="26D6847F">
      <w:pPr>
        <w:wordWrap w:val="0"/>
        <w:adjustRightInd w:val="0"/>
        <w:snapToGrid w:val="0"/>
        <w:spacing w:line="440" w:lineRule="exact"/>
        <w:ind w:firstLine="560"/>
        <w:rPr>
          <w:rFonts w:hint="eastAsia"/>
          <w:color w:val="auto"/>
          <w:highlight w:val="none"/>
          <w:lang w:val="en-US" w:eastAsia="zh-CN"/>
        </w:rPr>
      </w:pPr>
      <w:r>
        <w:rPr>
          <w:rFonts w:hint="eastAsia" w:ascii="Times New Roman" w:hAnsi="Times New Roman" w:eastAsia="宋体" w:cs="Times New Roman"/>
          <w:snapToGrid w:val="0"/>
          <w:color w:val="auto"/>
          <w:kern w:val="0"/>
          <w:sz w:val="24"/>
          <w:highlight w:val="none"/>
          <w:lang w:val="en-US" w:eastAsia="zh-CN" w:bidi="ar-SA"/>
        </w:rPr>
        <w:t>4.15</w:t>
      </w:r>
      <w:r>
        <w:rPr>
          <w:rFonts w:hint="eastAsia"/>
          <w:color w:val="auto"/>
          <w:highlight w:val="none"/>
          <w:lang w:val="en-US" w:eastAsia="zh-CN"/>
        </w:rPr>
        <w:t>因监理单位履职不到位引起的累计工程变更调整费用总额超过项目施工合同价(暂列金、预留金除外)的10%以上(含)，由项目建设单位按照合同扣减其30%的委托费用；超过项目施工合同价(暂列金、预留金除外)的20%以上(含),全额扣减相关费用，并由相关部门在市场诚信管理、市场准入资质管理等方面依法给予处理并进行通报。</w:t>
      </w:r>
    </w:p>
    <w:p w14:paraId="4CA087E1">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color w:val="auto"/>
          <w:highlight w:val="none"/>
          <w:lang w:val="en-US" w:eastAsia="zh-CN"/>
        </w:rPr>
        <w:t>4.16项目总监理工程师或项目总监理工程师代表每月驻现场不少于28 天，未经招标人书面同意，每少1天，视为监理人发生监理不良行为一次，承担般违约责任一次，监理人向委托人交纳违约金 2000 元。</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auto"/>
          <w:kern w:val="0"/>
          <w:szCs w:val="24"/>
          <w:highlight w:val="none"/>
        </w:rPr>
      </w:pPr>
      <w:bookmarkStart w:id="211" w:name="_Toc29596"/>
      <w:bookmarkStart w:id="212" w:name="_Toc8823"/>
      <w:bookmarkStart w:id="213" w:name="_Toc4121"/>
      <w:bookmarkStart w:id="214" w:name="_Toc17944"/>
      <w:bookmarkStart w:id="215" w:name="_Toc8777"/>
      <w:bookmarkStart w:id="216" w:name="_Toc27702"/>
      <w:bookmarkStart w:id="217" w:name="_Toc26193"/>
      <w:r>
        <w:rPr>
          <w:rFonts w:hint="eastAsia" w:hAnsi="宋体" w:cs="宋体"/>
          <w:b/>
          <w:bCs/>
          <w:snapToGrid w:val="0"/>
          <w:color w:val="auto"/>
          <w:kern w:val="0"/>
          <w:szCs w:val="24"/>
          <w:highlight w:val="none"/>
        </w:rPr>
        <w:t>5．</w:t>
      </w:r>
      <w:r>
        <w:rPr>
          <w:rFonts w:hint="eastAsia" w:hAnsi="宋体" w:cs="宋体"/>
          <w:b/>
          <w:bCs/>
          <w:snapToGrid w:val="0"/>
          <w:color w:val="auto"/>
          <w:kern w:val="0"/>
          <w:szCs w:val="24"/>
          <w:highlight w:val="none"/>
          <w:lang w:val="en-US" w:eastAsia="zh-CN"/>
        </w:rPr>
        <w:t>监理服务费的</w:t>
      </w:r>
      <w:r>
        <w:rPr>
          <w:rFonts w:hint="eastAsia" w:hAnsi="宋体" w:cs="宋体"/>
          <w:b/>
          <w:bCs/>
          <w:snapToGrid w:val="0"/>
          <w:color w:val="auto"/>
          <w:kern w:val="0"/>
          <w:szCs w:val="24"/>
          <w:highlight w:val="none"/>
        </w:rPr>
        <w:t>支付</w:t>
      </w:r>
      <w:bookmarkEnd w:id="211"/>
      <w:bookmarkEnd w:id="212"/>
      <w:bookmarkEnd w:id="213"/>
      <w:bookmarkEnd w:id="214"/>
      <w:bookmarkEnd w:id="215"/>
      <w:bookmarkEnd w:id="216"/>
      <w:bookmarkEnd w:id="217"/>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9"/>
        <w:rPr>
          <w:rFonts w:hAnsi="宋体" w:cs="宋体"/>
          <w:snapToGrid w:val="0"/>
          <w:color w:val="auto"/>
          <w:kern w:val="0"/>
          <w:szCs w:val="24"/>
          <w:highlight w:val="none"/>
        </w:rPr>
      </w:pPr>
      <w:bookmarkStart w:id="218" w:name="_Toc9024"/>
      <w:bookmarkStart w:id="219" w:name="_Toc13619"/>
      <w:bookmarkStart w:id="220" w:name="_Toc624"/>
      <w:bookmarkStart w:id="221" w:name="_Toc26599"/>
      <w:r>
        <w:rPr>
          <w:rFonts w:hint="eastAsia" w:hAnsi="宋体" w:cs="宋体"/>
          <w:b/>
          <w:bCs/>
          <w:snapToGrid w:val="0"/>
          <w:color w:val="auto"/>
          <w:kern w:val="0"/>
          <w:szCs w:val="24"/>
          <w:highlight w:val="none"/>
        </w:rPr>
        <w:t>5.1</w:t>
      </w:r>
      <w:r>
        <w:rPr>
          <w:rFonts w:hint="eastAsia" w:hAnsi="宋体" w:cs="宋体"/>
          <w:snapToGrid w:val="0"/>
          <w:color w:val="auto"/>
          <w:kern w:val="0"/>
          <w:szCs w:val="24"/>
          <w:highlight w:val="none"/>
        </w:rPr>
        <w:t xml:space="preserve"> 支付货币</w:t>
      </w:r>
      <w:bookmarkEnd w:id="218"/>
      <w:bookmarkEnd w:id="219"/>
      <w:bookmarkEnd w:id="220"/>
      <w:bookmarkEnd w:id="221"/>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9"/>
        <w:rPr>
          <w:rFonts w:hAnsi="宋体" w:cs="宋体"/>
          <w:snapToGrid w:val="0"/>
          <w:color w:val="auto"/>
          <w:kern w:val="0"/>
          <w:szCs w:val="24"/>
          <w:highlight w:val="none"/>
        </w:rPr>
      </w:pPr>
      <w:bookmarkStart w:id="222" w:name="_Toc3949"/>
      <w:bookmarkStart w:id="223" w:name="_Toc7275"/>
      <w:bookmarkStart w:id="224" w:name="_Toc10949"/>
      <w:bookmarkStart w:id="225" w:name="_Toc22466"/>
      <w:r>
        <w:rPr>
          <w:rFonts w:hint="eastAsia" w:hAnsi="宋体" w:cs="宋体"/>
          <w:b/>
          <w:bCs/>
          <w:snapToGrid w:val="0"/>
          <w:color w:val="auto"/>
          <w:kern w:val="0"/>
          <w:szCs w:val="24"/>
          <w:highlight w:val="none"/>
        </w:rPr>
        <w:t>5.2</w:t>
      </w:r>
      <w:r>
        <w:rPr>
          <w:rFonts w:hint="eastAsia" w:hAnsi="宋体" w:cs="宋体"/>
          <w:snapToGrid w:val="0"/>
          <w:color w:val="auto"/>
          <w:kern w:val="0"/>
          <w:szCs w:val="24"/>
          <w:highlight w:val="none"/>
        </w:rPr>
        <w:t xml:space="preserve"> 支付申请</w:t>
      </w:r>
      <w:bookmarkEnd w:id="222"/>
      <w:bookmarkEnd w:id="223"/>
      <w:bookmarkEnd w:id="224"/>
      <w:bookmarkEnd w:id="225"/>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s="宋体"/>
          <w:snapToGrid w:val="0"/>
          <w:color w:val="auto"/>
          <w:kern w:val="0"/>
          <w:szCs w:val="24"/>
          <w:highlight w:val="none"/>
        </w:rPr>
        <w:t>监理人应在本合同约定的每次应付款时间的7天前，向委托人提交支付申请书。支付申请书应当说明当期应付款总额，并列出当期应支付的款项及其金额。</w:t>
      </w:r>
    </w:p>
    <w:p w14:paraId="1080AE34">
      <w:pPr>
        <w:wordWrap w:val="0"/>
        <w:autoSpaceDE/>
        <w:autoSpaceDN/>
        <w:snapToGrid w:val="0"/>
        <w:spacing w:line="440" w:lineRule="exact"/>
        <w:ind w:firstLine="480"/>
        <w:jc w:val="both"/>
        <w:outlineLvl w:val="9"/>
        <w:rPr>
          <w:rFonts w:hint="eastAsia" w:ascii="Times New Roman"/>
          <w:b/>
          <w:snapToGrid w:val="0"/>
          <w:color w:val="auto"/>
          <w:szCs w:val="22"/>
          <w:highlight w:val="none"/>
        </w:rPr>
      </w:pPr>
      <w:bookmarkStart w:id="226" w:name="_Toc25652"/>
      <w:bookmarkStart w:id="227" w:name="_Toc6801"/>
      <w:bookmarkStart w:id="228" w:name="_Toc10664"/>
      <w:bookmarkStart w:id="229" w:name="_Toc17883"/>
      <w:r>
        <w:rPr>
          <w:rFonts w:hint="eastAsia" w:hAnsi="宋体" w:cs="宋体"/>
          <w:b/>
          <w:bCs/>
          <w:snapToGrid w:val="0"/>
          <w:color w:val="auto"/>
          <w:kern w:val="0"/>
          <w:szCs w:val="24"/>
          <w:highlight w:val="none"/>
        </w:rPr>
        <w:t xml:space="preserve">5.3 </w:t>
      </w:r>
      <w:bookmarkEnd w:id="226"/>
      <w:bookmarkEnd w:id="227"/>
      <w:bookmarkEnd w:id="228"/>
      <w:bookmarkEnd w:id="229"/>
      <w:r>
        <w:rPr>
          <w:rFonts w:hint="eastAsia" w:ascii="Times New Roman"/>
          <w:b/>
          <w:snapToGrid w:val="0"/>
          <w:color w:val="auto"/>
          <w:szCs w:val="22"/>
          <w:highlight w:val="none"/>
        </w:rPr>
        <w:t>监理人的服务内容</w:t>
      </w:r>
    </w:p>
    <w:p w14:paraId="167DB3B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5.1工程施工阶段服务内容</w:t>
      </w:r>
    </w:p>
    <w:p w14:paraId="2311810A">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本工程施工阶段工作，具体包括施工前期准备阶段，施工阶段，竣工验收阶段和工程保修阶段的监理工作。</w:t>
      </w:r>
    </w:p>
    <w:p w14:paraId="012A8D09">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5.1.1参与审阅施工图纸。</w:t>
      </w:r>
    </w:p>
    <w:p w14:paraId="7AD82EA2">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5.1.2协助招标人审核各项工程和设备质量，提出审核意见，并协助起草合同、完善合同条款。</w:t>
      </w:r>
    </w:p>
    <w:p w14:paraId="50AA25CE">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5.1.3协助招标人办理开工手续。</w:t>
      </w:r>
    </w:p>
    <w:p w14:paraId="319DDA2D">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5.1.4组织相关单位进行设计交底和施工图会审，负责做好会议记录和图纸会审记录。</w:t>
      </w:r>
    </w:p>
    <w:p w14:paraId="5E57D7FB">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5.1.5现场的移交：对现场的原始场地进行测量，作出书面记录，并在开工之前及时向施工单位移交，其次是测量放线定位的移交。</w:t>
      </w:r>
    </w:p>
    <w:p w14:paraId="7BED7C3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5.1.6审查施工单位提出的施工组织设计、施工技术方案、施工进度计划、施工质量保证体系和施工安全保证体系。</w:t>
      </w:r>
    </w:p>
    <w:p w14:paraId="207E88D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5.1.7督促、检查施工单位严格执行工程承包合同和国家工程技术规范、标准，协调招标人和施工单位之间的关系。</w:t>
      </w:r>
    </w:p>
    <w:p w14:paraId="49AFA721">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5.1.8审核施工单位提供的材料、设备、构配件和实际的数量及质量，按照规范和质监站的要求，对相关的材料进行见证取样复验。</w:t>
      </w:r>
    </w:p>
    <w:p w14:paraId="583E1735">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5.1.9根据施工单位提交的施工进度计划协助招标人督促现场施工进度；审核经质量验收合格的工程量，协助招标人进行工程竣工验收工作。</w:t>
      </w:r>
    </w:p>
    <w:p w14:paraId="11E6858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7DDE3BA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5.1.11督促施工单位严格按现行规范、规程、强制性质量控制标准和设计要求施工、控制工程质量。</w:t>
      </w:r>
    </w:p>
    <w:p w14:paraId="7F954DF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5.1.12在实施过程中，监理采取程序报验检查、平行检查、旁站检查、巡视检查、定期与不定期检查等各种手段，按照规范和施工组织设计的要求，克服施工过程中的质量通病。</w:t>
      </w:r>
    </w:p>
    <w:p w14:paraId="237A5C2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5.1.13督促、检查施工单位落实施工安全保证措施。</w:t>
      </w:r>
    </w:p>
    <w:p w14:paraId="37DED99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5.1.14协调参建各方之间的争议和冲突，协调各专业施工单位之间的关系，协调各专业施工作业的交接。</w:t>
      </w:r>
    </w:p>
    <w:p w14:paraId="625DE74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5.1.15组织分项工程和隐蔽工程的检查、验收，签发工程验收凭证。</w:t>
      </w:r>
    </w:p>
    <w:p w14:paraId="22C2FD4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5.1.16督促承建商整理合同文件和技术档案资料。</w:t>
      </w:r>
    </w:p>
    <w:p w14:paraId="15A13B6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5.1.17组织招标人、施工单位、设计单位进行竣工预验收。</w:t>
      </w:r>
    </w:p>
    <w:p w14:paraId="72FF635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5.1.18提出工程质量评估报告。</w:t>
      </w:r>
    </w:p>
    <w:p w14:paraId="7DA4C85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5.1.19检查工程状况，如发生质量事故，则参与事故的分析和处理，并鉴定质量责任。</w:t>
      </w:r>
    </w:p>
    <w:p w14:paraId="10F7523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5.1.20督促施工单位在工程竣工验收后，整理工程交工资料和竣工图纸。</w:t>
      </w:r>
    </w:p>
    <w:p w14:paraId="78AB5C6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5.1.21督促完善签署工程保修协议，督促施工单位回访。</w:t>
      </w:r>
    </w:p>
    <w:p w14:paraId="1819574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5.1.22督促施工单位及时完成未完工程尾项，协助招标人督促施工单位按照国家有关规定和保修协议开展维修工作，维修工程出现的缺陷，保证维修工作顺利进行。</w:t>
      </w:r>
    </w:p>
    <w:p w14:paraId="0EDDE0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hAnsi="宋体"/>
          <w:color w:val="auto"/>
          <w:highlight w:val="none"/>
        </w:rPr>
        <w:t>5.1.23保修期间如出现工程质量问题，接招标人通知后参与调查、分析，确定发生工程质量问题的原因责任，共同研究修补措施，并负责监督责任单位修补工作。</w:t>
      </w:r>
    </w:p>
    <w:p w14:paraId="295521EB">
      <w:pPr>
        <w:pStyle w:val="4"/>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0" w:name="_Toc11091"/>
      <w:bookmarkStart w:id="231" w:name="_Toc878"/>
      <w:bookmarkStart w:id="232" w:name="_Toc12317"/>
      <w:bookmarkStart w:id="233" w:name="_Toc8398"/>
      <w:bookmarkStart w:id="234" w:name="_Toc5107"/>
      <w:bookmarkStart w:id="235" w:name="_Toc16162"/>
      <w:bookmarkStart w:id="236" w:name="_Toc6555"/>
      <w:r>
        <w:rPr>
          <w:rFonts w:hint="eastAsia" w:hAnsi="宋体" w:cs="宋体"/>
          <w:b/>
          <w:bCs/>
          <w:snapToGrid w:val="0"/>
          <w:color w:val="auto"/>
          <w:kern w:val="0"/>
          <w:szCs w:val="24"/>
          <w:highlight w:val="none"/>
        </w:rPr>
        <w:t>6．</w:t>
      </w:r>
      <w:bookmarkEnd w:id="230"/>
      <w:bookmarkEnd w:id="231"/>
      <w:bookmarkEnd w:id="232"/>
      <w:bookmarkEnd w:id="233"/>
      <w:bookmarkEnd w:id="234"/>
      <w:r>
        <w:rPr>
          <w:rFonts w:hint="eastAsia" w:ascii="Times New Roman"/>
          <w:b/>
          <w:snapToGrid w:val="0"/>
          <w:color w:val="auto"/>
          <w:szCs w:val="22"/>
          <w:highlight w:val="none"/>
        </w:rPr>
        <w:t>监理人违约及违约责任</w:t>
      </w:r>
      <w:bookmarkEnd w:id="235"/>
      <w:bookmarkEnd w:id="236"/>
    </w:p>
    <w:p w14:paraId="2FAB8060">
      <w:pPr>
        <w:pStyle w:val="134"/>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通常情况下，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所有的违约金在当期的监理服务费扣除。本附件将监理人违约分为监理不良行为、监理过失、监理渎职及监理不达标四大情形造成的违约，这四种违约情形及违约责任的承担作如下规定： </w:t>
      </w:r>
    </w:p>
    <w:p w14:paraId="40D5E07B">
      <w:pPr>
        <w:pStyle w:val="67"/>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6.1监理不良行为违约</w:t>
      </w:r>
    </w:p>
    <w:p w14:paraId="26EE7AB6">
      <w:pPr>
        <w:pStyle w:val="67"/>
        <w:spacing w:line="460" w:lineRule="exact"/>
        <w:rPr>
          <w:rFonts w:hint="eastAsia" w:hAnsi="宋体"/>
          <w:color w:val="auto"/>
          <w:sz w:val="24"/>
          <w:highlight w:val="none"/>
        </w:rPr>
      </w:pPr>
      <w:r>
        <w:rPr>
          <w:rFonts w:hint="eastAsia" w:hAnsi="宋体"/>
          <w:color w:val="auto"/>
          <w:sz w:val="24"/>
          <w:highlight w:val="none"/>
        </w:rPr>
        <w:t xml:space="preserve">    6.1.1监理不良行为违约的认定</w:t>
      </w:r>
    </w:p>
    <w:p w14:paraId="64B2C5C7">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一切不按相关法规规定和要求履行义务工作的行为均可视为监理不良行为。监理不良行为特征主要体现是：1、项目监理架构未按相关法规及投标文件承诺规定组建，监理人员未完全到位和未按规定在岗的情形；2、相关法律、法规、地方规范性文件、监理规范、本项目相关合同文件规定及委托人指明的监理人的义务工作，监理人却未能执行或执行不及时；3、委托人指出或发现监理人在实施监理行为过程中明显的签证错误、审批错误及指令错误。</w:t>
      </w:r>
    </w:p>
    <w:p w14:paraId="47D58650">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监理人的不良行为一旦被发现，由委托人管理人员在“监理行为记录档案”作记录，无论是否造成损失，即构成监理人违约。若该行为已造成实际损失，按本附件界定的监理过失违约规定处理。</w:t>
      </w:r>
    </w:p>
    <w:p w14:paraId="75D8593E">
      <w:pPr>
        <w:pStyle w:val="67"/>
        <w:spacing w:line="460" w:lineRule="exact"/>
        <w:ind w:firstLine="482" w:firstLineChars="200"/>
        <w:rPr>
          <w:rFonts w:hint="eastAsia" w:hAnsi="宋体"/>
          <w:b/>
          <w:color w:val="auto"/>
          <w:sz w:val="24"/>
          <w:highlight w:val="none"/>
        </w:rPr>
      </w:pPr>
      <w:r>
        <w:rPr>
          <w:rFonts w:hint="eastAsia" w:hAnsi="宋体"/>
          <w:b/>
          <w:color w:val="auto"/>
          <w:sz w:val="24"/>
          <w:highlight w:val="none"/>
        </w:rPr>
        <w:t>所有监理不良行为违约发生的违约金均从监理人进度款中扣除，监理服务费结算以扣除违约金总数后的金额为准。</w:t>
      </w:r>
    </w:p>
    <w:p w14:paraId="66B1E3D3">
      <w:pPr>
        <w:pStyle w:val="67"/>
        <w:spacing w:line="460" w:lineRule="exact"/>
        <w:rPr>
          <w:rFonts w:hint="eastAsia" w:hAnsi="宋体"/>
          <w:color w:val="auto"/>
          <w:sz w:val="24"/>
          <w:highlight w:val="none"/>
        </w:rPr>
      </w:pPr>
      <w:r>
        <w:rPr>
          <w:rFonts w:hint="eastAsia" w:hAnsi="宋体"/>
          <w:color w:val="auto"/>
          <w:sz w:val="24"/>
          <w:highlight w:val="none"/>
        </w:rPr>
        <w:t xml:space="preserve">    6.1.2 监理不良行为违约的责任承担</w:t>
      </w:r>
    </w:p>
    <w:p w14:paraId="570472B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监理人发生监理不良行为一次，承担一般违约责任一次，监理人向委托人交纳违约金1000元。</w:t>
      </w:r>
    </w:p>
    <w:p w14:paraId="7FDC0DEF">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6.1.2.1 总监每月驻现场不少于10天，未经招标人书面同意，每少1天，视为监理人发生监理不良行为一次，承担一般违约责任一次，监理人向委托人交纳违约金1000元。</w:t>
      </w:r>
    </w:p>
    <w:p w14:paraId="3509ED2A">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6.1.2.2  总监或总监代表如果无故缺席例会或招标人组织的会议，每次交纳违约金2000元。</w:t>
      </w:r>
    </w:p>
    <w:p w14:paraId="4C28DC13">
      <w:pPr>
        <w:pStyle w:val="67"/>
        <w:spacing w:line="460" w:lineRule="exact"/>
        <w:ind w:firstLine="480" w:firstLineChars="200"/>
        <w:rPr>
          <w:rFonts w:hint="eastAsia" w:hAnsi="宋体"/>
          <w:b/>
          <w:bCs/>
          <w:color w:val="auto"/>
          <w:sz w:val="24"/>
          <w:highlight w:val="none"/>
          <w:u w:val="single"/>
        </w:rPr>
      </w:pPr>
      <w:r>
        <w:rPr>
          <w:rFonts w:hint="eastAsia" w:hAnsi="宋体"/>
          <w:color w:val="auto"/>
          <w:sz w:val="24"/>
          <w:highlight w:val="none"/>
        </w:rPr>
        <w:t xml:space="preserve">6.1.2.3 </w:t>
      </w:r>
      <w:r>
        <w:rPr>
          <w:rFonts w:hint="eastAsia" w:hAnsi="宋体"/>
          <w:b/>
          <w:bCs/>
          <w:color w:val="auto"/>
          <w:sz w:val="24"/>
          <w:highlight w:val="none"/>
          <w:u w:val="single"/>
        </w:rPr>
        <w:t>其他监理人员必须按配备要求在现场驻场监理，离开项目现场必须经委托人书面同意，如委托人发现监理人员非正常离岗，监理人向委托人每人次交纳违约金1000元。</w:t>
      </w:r>
    </w:p>
    <w:p w14:paraId="40A07E9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6.1.2.4 不按规定委派专业人员，不按时、准时参加各项验收和抽查的，不及时签署检查、验收记录的，一次向建设（委托）单位交纳违约金¥1000元/次、项。</w:t>
      </w:r>
    </w:p>
    <w:p w14:paraId="00A919FE">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6.1.2.5 不按规定委派相关人员参加项目竣工验收的，一次向建设（委托）单位交纳违约金¥</w:t>
      </w:r>
      <w:r>
        <w:rPr>
          <w:rFonts w:hint="eastAsia" w:hAnsi="宋体"/>
          <w:color w:val="auto"/>
          <w:sz w:val="24"/>
          <w:highlight w:val="none"/>
          <w:lang w:val="en-US" w:eastAsia="zh-CN"/>
        </w:rPr>
        <w:t>5000</w:t>
      </w:r>
      <w:r>
        <w:rPr>
          <w:rFonts w:hint="eastAsia" w:hAnsi="宋体"/>
          <w:color w:val="auto"/>
          <w:sz w:val="24"/>
          <w:highlight w:val="none"/>
        </w:rPr>
        <w:t>元/项，不签署意见的交纳违约金¥</w:t>
      </w:r>
      <w:r>
        <w:rPr>
          <w:rFonts w:hint="eastAsia" w:hAnsi="宋体"/>
          <w:color w:val="auto"/>
          <w:sz w:val="24"/>
          <w:highlight w:val="none"/>
          <w:lang w:val="en-US" w:eastAsia="zh-CN"/>
        </w:rPr>
        <w:t>5000</w:t>
      </w:r>
      <w:r>
        <w:rPr>
          <w:rFonts w:hint="eastAsia" w:hAnsi="宋体"/>
          <w:color w:val="auto"/>
          <w:sz w:val="24"/>
          <w:highlight w:val="none"/>
        </w:rPr>
        <w:t>元；</w:t>
      </w:r>
    </w:p>
    <w:p w14:paraId="7F533DF8">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6.1.2.6 不按时交纳资料的，交纳违约金¥</w:t>
      </w:r>
      <w:r>
        <w:rPr>
          <w:rFonts w:hint="eastAsia" w:hAnsi="宋体"/>
          <w:color w:val="auto"/>
          <w:sz w:val="24"/>
          <w:highlight w:val="none"/>
          <w:lang w:val="en-US" w:eastAsia="zh-CN"/>
        </w:rPr>
        <w:t>5</w:t>
      </w:r>
      <w:r>
        <w:rPr>
          <w:rFonts w:hint="eastAsia" w:hAnsi="宋体"/>
          <w:color w:val="auto"/>
          <w:sz w:val="24"/>
          <w:highlight w:val="none"/>
        </w:rPr>
        <w:t>万元，造成损失的，承担相应责任；</w:t>
      </w:r>
    </w:p>
    <w:p w14:paraId="779688EC">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6.1.2.7 同一问题未能按时整改，每重复一次监理人向委托人缴纳违约金1000元。</w:t>
      </w:r>
    </w:p>
    <w:p w14:paraId="1B0FB72B">
      <w:pPr>
        <w:pStyle w:val="67"/>
        <w:spacing w:line="460" w:lineRule="exact"/>
        <w:ind w:firstLine="482" w:firstLineChars="200"/>
        <w:rPr>
          <w:rFonts w:hint="eastAsia" w:hAnsi="宋体"/>
          <w:color w:val="auto"/>
          <w:sz w:val="24"/>
          <w:highlight w:val="none"/>
        </w:rPr>
      </w:pPr>
      <w:r>
        <w:rPr>
          <w:rFonts w:hint="eastAsia" w:hAnsi="宋体"/>
          <w:b/>
          <w:bCs/>
          <w:color w:val="auto"/>
          <w:sz w:val="24"/>
          <w:highlight w:val="none"/>
        </w:rPr>
        <w:t>6.2 监理过失事件违约</w:t>
      </w:r>
    </w:p>
    <w:p w14:paraId="32F6D49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6.2.1 监理过失事件违约的认定</w:t>
      </w:r>
    </w:p>
    <w:p w14:paraId="1A54557B">
      <w:pPr>
        <w:pStyle w:val="67"/>
        <w:spacing w:line="460" w:lineRule="exact"/>
        <w:rPr>
          <w:rFonts w:hint="eastAsia" w:hAnsi="宋体"/>
          <w:color w:val="auto"/>
          <w:sz w:val="24"/>
          <w:highlight w:val="none"/>
        </w:rPr>
      </w:pPr>
      <w:r>
        <w:rPr>
          <w:rFonts w:hint="eastAsia" w:hAnsi="宋体"/>
          <w:color w:val="auto"/>
          <w:sz w:val="24"/>
          <w:highlight w:val="none"/>
        </w:rPr>
        <w:t xml:space="preserve">    工程建设过程中，如发生以下情况：①委托人发现勘察（或设计或施工）中存在问题，而监理单位未发现的；②监理单位发现勘察（或设计或施工）中存在的问题，但未督促勘察（或设计或施工）单位整改或整改不到位的（以监理单位发出的整改通知和勘察（或设计或施工）单位回复及监理复查意见为准）；③监理单位三次及以上发出整改通知勘察（或设计或施工）单位未能给予响应的，但监理单位未能采取果断措施的；以上三种情况一旦委托人向监理单位发出整改通知，即认定为监理人监理过失事件违约，每发出一份整改通知即认定为监理过失事件违约一次。并由委托人管理人员在“监理行为记录档案”作记录。</w:t>
      </w:r>
    </w:p>
    <w:p w14:paraId="57136A0A">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6.2.2 监理过失事件违约的责任承担</w:t>
      </w:r>
    </w:p>
    <w:p w14:paraId="294B43C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6.2.2.1 监理人发生监理过失事件违约一次，承担严重违约责任一次，监理人向委托人交纳违约金</w:t>
      </w:r>
      <w:r>
        <w:rPr>
          <w:rFonts w:hint="eastAsia" w:hAnsi="宋体"/>
          <w:color w:val="auto"/>
          <w:sz w:val="24"/>
          <w:highlight w:val="none"/>
          <w:lang w:val="en-US" w:eastAsia="zh-CN"/>
        </w:rPr>
        <w:t>5</w:t>
      </w:r>
      <w:r>
        <w:rPr>
          <w:rFonts w:hint="eastAsia" w:hAnsi="宋体"/>
          <w:color w:val="auto"/>
          <w:sz w:val="24"/>
          <w:highlight w:val="none"/>
        </w:rPr>
        <w:t>000元。</w:t>
      </w:r>
    </w:p>
    <w:p w14:paraId="0E4E3FC4">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6.2.2.2 如因监理人的原因而造成的经济损失，按如下规定向委托人赔偿： </w:t>
      </w:r>
    </w:p>
    <w:p w14:paraId="499CCC9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1）根据损失额（或工程变更引起增加额）与本工程签订的施工合同金额的比例，按相应比例双倍扣减监理酬金；若增加工程投资比例超过施工合同金额的20%时，委托人有权单方解除合同，并要求监理人赔偿委托人由此遭受的实际损失中的50%，累计不超过监理服务费的70%。</w:t>
      </w:r>
    </w:p>
    <w:p w14:paraId="15E547A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2）因监理人责任导致工期延误，其中分项工期延误日数占该项总工期的30%时，则委托人有权扣除该分项工程监理酬金的60%；分项工期延误日数达到该项总工期的50%时，则委托人有权单方解除合同。因监理人责任导致工程竣工拖延的，依据拖延的日数，监理人应每日按监理酬金总额的1%向委托人支付违约金。由于监理人责任导致工期延误，致使委托人要承担赔偿第三方责任的，监理人必须承担赔偿委托人由此遭受的实际损失中的50%。</w:t>
      </w:r>
    </w:p>
    <w:p w14:paraId="34467435">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6.2.2.3 监理人发生监理过失违约后，当委托人认为监理人无正当理由而又未履行监理义务时，有权部分解除合同或完全解除合同。</w:t>
      </w:r>
    </w:p>
    <w:p w14:paraId="0316EAAD">
      <w:pPr>
        <w:pStyle w:val="67"/>
        <w:spacing w:line="460" w:lineRule="exact"/>
        <w:rPr>
          <w:rFonts w:hint="eastAsia" w:hAnsi="宋体"/>
          <w:b/>
          <w:bCs/>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6.3 监理渎职事件违约</w:t>
      </w:r>
    </w:p>
    <w:p w14:paraId="141FA06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6.3.1 监理渎职事件违约的认定</w:t>
      </w:r>
    </w:p>
    <w:p w14:paraId="717DA5B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不按监理合同履行职责，滥用监理职权，或与其他人故意串通，行为恶劣造成严重社会影响的，无论是否造成损失，一经发现并认定为监理渎职违约，并由委托人管理人员在“监理行为记录档案”作记录。</w:t>
      </w:r>
    </w:p>
    <w:p w14:paraId="667AA1D3">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 xml:space="preserve"> 6.3.2监理渎职事件违约的责任承担</w:t>
      </w:r>
    </w:p>
    <w:p w14:paraId="56249DD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6.3.2.1 监理人发生监理渎职违约一次，承担非常严重违约责任一次，扣除监理人违约金5000元。</w:t>
      </w:r>
    </w:p>
    <w:p w14:paraId="6BA85A70">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6.3.2.2 委托人勒令监理人更换监理人员，直至解除合同（合同解除办法同上）。</w:t>
      </w:r>
    </w:p>
    <w:p w14:paraId="134A9175">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6.3.2.3 如监理人的原因造成委托人或工程损失的，监理人承担全部赔偿责任。</w:t>
      </w:r>
    </w:p>
    <w:p w14:paraId="318F3568">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6.3.2.4 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¥10000元。如监理人违背了以下7款的任何情况，视为非常严重的违约，直接解除合同，不做费用补偿，且对已完成的监理服务，不再支付监理费用，并通报建设行政主管部门：</w:t>
      </w:r>
    </w:p>
    <w:p w14:paraId="677CAEB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1）禁止向委托人及承包人推销材料、设备，或以倾向性、排他性变相推销；</w:t>
      </w:r>
    </w:p>
    <w:p w14:paraId="7330B46C">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2）禁止与承包人串通，对不合格材料、产品、工程进行包庇及验收；</w:t>
      </w:r>
    </w:p>
    <w:p w14:paraId="478DF63A">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3）禁止与承包人串通，对材料用量、工程量进行虚假签认；</w:t>
      </w:r>
    </w:p>
    <w:p w14:paraId="55CE4397">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4）禁止与承包人串通，不合理提高施工难度及增加材料用量，以增大施工费用，获取不正当收益。</w:t>
      </w:r>
    </w:p>
    <w:p w14:paraId="5BE7D934">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5）禁止接受承包人的请吃送礼或变相受礼；</w:t>
      </w:r>
    </w:p>
    <w:p w14:paraId="4958A28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6）禁止向承包人介绍分包或推销材料、设备等；</w:t>
      </w:r>
    </w:p>
    <w:p w14:paraId="63E59BA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7）禁止故意刁难承包人以谋取私利，损害委托人的合法利益。</w:t>
      </w:r>
    </w:p>
    <w:p w14:paraId="22A09CB1">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6.3.2.5 如监理人在投标时根据招标文件《综合评分表》“人员配置”作出了增加人员的承诺，而开工后，实际上没有增加，经发包人要求后，在10天内仍未能配齐增加的造价工程师和专业工程师，则视为非常严重的违约，直接解除合同。</w:t>
      </w:r>
    </w:p>
    <w:p w14:paraId="0C33A9D2">
      <w:pPr>
        <w:pStyle w:val="67"/>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6.4 监理不达标造成的违约</w:t>
      </w:r>
    </w:p>
    <w:p w14:paraId="101F443B">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6.4.1 监理不达标违约的认定</w:t>
      </w:r>
    </w:p>
    <w:p w14:paraId="1771CB90">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工程竣工结算后，监理协议书第三项监理目标的任何一项目标的不达标，均视为监理人的监理目标违约。</w:t>
      </w:r>
    </w:p>
    <w:p w14:paraId="6DD59B5C">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6.4.2 监理目标违约的责任承担</w:t>
      </w:r>
    </w:p>
    <w:p w14:paraId="2EA8D557">
      <w:pPr>
        <w:pStyle w:val="67"/>
        <w:spacing w:line="460" w:lineRule="exact"/>
        <w:rPr>
          <w:rFonts w:hint="eastAsia" w:hAnsi="宋体"/>
          <w:color w:val="auto"/>
          <w:sz w:val="24"/>
          <w:highlight w:val="none"/>
        </w:rPr>
      </w:pPr>
      <w:r>
        <w:rPr>
          <w:rFonts w:hint="eastAsia" w:hAnsi="宋体"/>
          <w:color w:val="auto"/>
          <w:sz w:val="24"/>
          <w:highlight w:val="none"/>
        </w:rPr>
        <w:t xml:space="preserve">    6.4.2.1 质量控制不达标：工程竣工验收质量未达到施工合同等级要求的，不管任何原因，结算扣减监理合同价款的3％。</w:t>
      </w:r>
    </w:p>
    <w:p w14:paraId="1EFA036F">
      <w:pPr>
        <w:pStyle w:val="67"/>
        <w:spacing w:line="460" w:lineRule="exact"/>
        <w:ind w:firstLine="480"/>
        <w:rPr>
          <w:rFonts w:hint="eastAsia" w:hAnsi="宋体"/>
          <w:color w:val="auto"/>
          <w:sz w:val="24"/>
          <w:highlight w:val="none"/>
        </w:rPr>
      </w:pPr>
      <w:r>
        <w:rPr>
          <w:rFonts w:hint="eastAsia" w:hAnsi="宋体"/>
          <w:color w:val="auto"/>
          <w:sz w:val="24"/>
          <w:highlight w:val="none"/>
        </w:rPr>
        <w:t>6.4.2.2 投资控制不达标：由监理单位编制投资控制计划和投资控制措施，报建设单位审核，若监理单位未能落实控制措施，出现投资增加，工程建安费结算价突破投资控制值的，每突破1％，结算扣减监理合同价款的1％。</w:t>
      </w:r>
    </w:p>
    <w:p w14:paraId="1B05263D">
      <w:pPr>
        <w:pStyle w:val="67"/>
        <w:spacing w:line="460" w:lineRule="exact"/>
        <w:ind w:firstLine="480"/>
        <w:rPr>
          <w:rFonts w:hint="eastAsia" w:hAnsi="宋体"/>
          <w:color w:val="auto"/>
          <w:sz w:val="24"/>
          <w:highlight w:val="none"/>
        </w:rPr>
      </w:pPr>
      <w:r>
        <w:rPr>
          <w:rFonts w:hint="eastAsia" w:hAnsi="宋体"/>
          <w:color w:val="auto"/>
          <w:sz w:val="24"/>
          <w:highlight w:val="none"/>
        </w:rPr>
        <w:t>6.4.2.3 进度控制不达标：工程竣工验收通过日延误的，委托人视监理人的责任情况结算扣减监理合同价款的1％－3％。</w:t>
      </w:r>
    </w:p>
    <w:p w14:paraId="47EB0213">
      <w:pPr>
        <w:pStyle w:val="67"/>
        <w:spacing w:line="460" w:lineRule="exact"/>
        <w:rPr>
          <w:rFonts w:hint="eastAsia" w:hAnsi="宋体"/>
          <w:color w:val="auto"/>
          <w:sz w:val="24"/>
          <w:highlight w:val="none"/>
        </w:rPr>
      </w:pPr>
      <w:r>
        <w:rPr>
          <w:rFonts w:hint="eastAsia" w:hAnsi="宋体"/>
          <w:color w:val="auto"/>
          <w:sz w:val="24"/>
          <w:highlight w:val="none"/>
        </w:rPr>
        <w:t xml:space="preserve">    6.4.2.4 安全管理不达标：工程发生一般安全生产事故，或被上级主管部门通报批评、被新闻媒体曝光的，结算扣减监理合同价款的1％；发生较大以上安全质量事故（按国家及合同有关规定界定）的，结算扣减监理合同价款的3％。情节严重的，委托人有权部分或全部解除合同。</w:t>
      </w:r>
    </w:p>
    <w:p w14:paraId="7FAF4CC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6.4.2.5 监理人应保证每季度进度计量（价）数据的准确性，如发生计量（价）误差＞5%，则视为监理人违约一次，扣除监理人违约金2000/次。</w:t>
      </w:r>
    </w:p>
    <w:p w14:paraId="7BE26912">
      <w:pPr>
        <w:pStyle w:val="67"/>
        <w:spacing w:line="460" w:lineRule="exact"/>
        <w:ind w:firstLine="600" w:firstLineChars="250"/>
        <w:rPr>
          <w:rFonts w:hint="eastAsia" w:hAnsi="宋体"/>
          <w:color w:val="auto"/>
          <w:sz w:val="24"/>
          <w:highlight w:val="none"/>
        </w:rPr>
      </w:pPr>
      <w:r>
        <w:rPr>
          <w:rFonts w:hint="eastAsia" w:hAnsi="宋体"/>
          <w:color w:val="auto"/>
          <w:sz w:val="24"/>
          <w:highlight w:val="none"/>
        </w:rPr>
        <w:t>6.4.2.6 对监理人上述违约处罚，不免除追究当事人和监理人的法律责任和相关赔偿责任。</w:t>
      </w:r>
    </w:p>
    <w:p w14:paraId="5719897F">
      <w:pPr>
        <w:pStyle w:val="67"/>
        <w:spacing w:line="460" w:lineRule="exact"/>
        <w:rPr>
          <w:rFonts w:hint="eastAsia" w:hAnsi="宋体"/>
          <w:color w:val="auto"/>
          <w:sz w:val="24"/>
          <w:highlight w:val="none"/>
        </w:rPr>
      </w:pPr>
      <w:r>
        <w:rPr>
          <w:rFonts w:hint="eastAsia" w:hAnsi="宋体"/>
          <w:color w:val="auto"/>
          <w:sz w:val="24"/>
          <w:highlight w:val="none"/>
        </w:rPr>
        <w:t xml:space="preserve">    </w:t>
      </w:r>
      <w:r>
        <w:rPr>
          <w:rFonts w:hint="eastAsia" w:hAnsi="宋体"/>
          <w:b/>
          <w:bCs/>
          <w:color w:val="auto"/>
          <w:sz w:val="24"/>
          <w:highlight w:val="none"/>
        </w:rPr>
        <w:t>6.5 监理违约的处理程序</w:t>
      </w:r>
    </w:p>
    <w:p w14:paraId="6E748AA5">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6.5.1 由委托人管理人员在“监理行为记录档案”中将监理人的具体违约情况记录，并将记录内容书面告知监理人。</w:t>
      </w:r>
    </w:p>
    <w:p w14:paraId="12C07D29">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6.5.2 委托人不定期将有关监理人的违约情况以记录、通知、会议纪要等书面形式通知监理人，指明其未能履约的内容和委托人要求其承担违约责任的等级。</w:t>
      </w:r>
    </w:p>
    <w:p w14:paraId="2852DF01">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6.5.3 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3E03E0DD">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6.5.4 委托人将进一步将监理人执行国家强制性规范、标准和履行合同、招投标文件义务的情况（包括但不限于由委托人组织的考核、考评通报、违约责任处理决定等）再报当地建设行政主管部门并在媒体上公开披露。</w:t>
      </w:r>
    </w:p>
    <w:p w14:paraId="7BA36212">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6.5.5 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1D4C68F">
      <w:pPr>
        <w:pStyle w:val="67"/>
        <w:spacing w:line="460" w:lineRule="exact"/>
        <w:ind w:firstLine="480" w:firstLineChars="200"/>
        <w:rPr>
          <w:rFonts w:hint="eastAsia" w:hAnsi="宋体"/>
          <w:color w:val="auto"/>
          <w:sz w:val="24"/>
          <w:highlight w:val="none"/>
        </w:rPr>
      </w:pPr>
      <w:r>
        <w:rPr>
          <w:rFonts w:hint="eastAsia" w:hAnsi="宋体"/>
          <w:color w:val="auto"/>
          <w:sz w:val="24"/>
          <w:highlight w:val="none"/>
        </w:rPr>
        <w:t>6.5.6 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4BE14420">
      <w:pPr>
        <w:pStyle w:val="4"/>
        <w:wordWrap w:val="0"/>
        <w:autoSpaceDE/>
        <w:autoSpaceDN/>
        <w:snapToGrid w:val="0"/>
        <w:spacing w:line="440" w:lineRule="exact"/>
        <w:ind w:firstLine="480"/>
        <w:jc w:val="both"/>
        <w:outlineLvl w:val="1"/>
        <w:rPr>
          <w:rFonts w:hint="eastAsia" w:ascii="Times New Roman"/>
          <w:b/>
          <w:snapToGrid w:val="0"/>
          <w:color w:val="auto"/>
          <w:szCs w:val="22"/>
          <w:highlight w:val="none"/>
        </w:rPr>
      </w:pPr>
      <w:bookmarkStart w:id="237" w:name="_Toc18555"/>
      <w:bookmarkStart w:id="238" w:name="_Toc21519"/>
      <w:bookmarkStart w:id="239" w:name="_Toc15156"/>
      <w:bookmarkStart w:id="240" w:name="_Toc22285"/>
      <w:r>
        <w:rPr>
          <w:rFonts w:hint="eastAsia" w:ascii="Times New Roman"/>
          <w:b/>
          <w:snapToGrid w:val="0"/>
          <w:color w:val="auto"/>
          <w:szCs w:val="22"/>
          <w:highlight w:val="none"/>
        </w:rPr>
        <w:t>7. 工程质量、造价、进度控制及安全生产管理</w:t>
      </w:r>
      <w:bookmarkEnd w:id="237"/>
      <w:bookmarkEnd w:id="238"/>
      <w:bookmarkEnd w:id="239"/>
      <w:bookmarkEnd w:id="240"/>
    </w:p>
    <w:p w14:paraId="052B44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 工程质量控制：</w:t>
      </w:r>
    </w:p>
    <w:p w14:paraId="17E18D6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 工程开工前，项目监理机构应审查施工单位现场的质量管理组织机构、管理制度及专职管理人员和特种作业人员的资格。</w:t>
      </w:r>
    </w:p>
    <w:p w14:paraId="455E7DB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 总监理工程师应组织专业监理工程师审查施工单位报审的施工方案，符合要求后应予以签认。施工方案审查应包括下列基本内容：</w:t>
      </w:r>
    </w:p>
    <w:p w14:paraId="12AD25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572728C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（2）工程质量保证措施应符合有关标准。</w:t>
      </w:r>
    </w:p>
    <w:p w14:paraId="5FD6D4F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7.1.3 施工方案报审表应按相应规范的要求填写。</w:t>
      </w:r>
    </w:p>
    <w:p w14:paraId="76AAFF2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7.1.4 专业监理工程师应审查施工单位报送的新材料、新工艺、新技术、新设备的质量认证材料和相关验收标准的适用性，必要时，应要求施工单位组织专题论证，审查合格后报总监理工程师签认。</w:t>
      </w:r>
    </w:p>
    <w:p w14:paraId="3D8D68E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7.1.5 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62243F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（1）施工单位测量人员的资格证书及测量设备检定证书。</w:t>
      </w:r>
    </w:p>
    <w:p w14:paraId="753C0AC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（2）施工平面控制网、高程控制网和临时水准点的测量成果及控制桩的保护措施。</w:t>
      </w:r>
    </w:p>
    <w:p w14:paraId="796848B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7.1.6 施工控制测量成果报验表应按相应规范的要求填写。</w:t>
      </w:r>
    </w:p>
    <w:p w14:paraId="2BC25C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7.1.7 专业监理工程师应检查施工单位为工程提供服务的试验室。</w:t>
      </w:r>
    </w:p>
    <w:p w14:paraId="4A8D2A7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试验室的检查应包括下列内容：</w:t>
      </w:r>
    </w:p>
    <w:p w14:paraId="3F1D69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（1）试验室的资质等级及试验范围。</w:t>
      </w:r>
    </w:p>
    <w:p w14:paraId="083C22E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（2）法定计量部门对试验设备出具的计量检定证明。</w:t>
      </w:r>
    </w:p>
    <w:p w14:paraId="6188EF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（3）试验室管理制度。</w:t>
      </w:r>
    </w:p>
    <w:p w14:paraId="7CDC8E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（4）试验人员资格证书。</w:t>
      </w:r>
    </w:p>
    <w:p w14:paraId="1753896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7.1.8 施工单位的试验室报审表应按相应规范的要求填写。</w:t>
      </w:r>
    </w:p>
    <w:p w14:paraId="08372CD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7.1.9 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7181CE0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7.1.10 专业监理工程师应审查施工单位定期提交影响工程质量的计量设备的检查和检定报告。</w:t>
      </w:r>
    </w:p>
    <w:p w14:paraId="0A2DFDB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7.1.11 项目监理机构应根据工程特点和施工单位报送的施工组织设计，确定旁站的关键部位、关键工序，安排监理人员进行旁站，并应及时记录旁站情况。旁站记录应按相应规范的要求填写。</w:t>
      </w:r>
    </w:p>
    <w:p w14:paraId="2B9D76A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7.1.12 项目监理机构应安排监理人员对工程施工质量进行巡视。巡视应包括下列主要内容：</w:t>
      </w:r>
    </w:p>
    <w:p w14:paraId="61D012E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（1）施工单位是否按工程设计文件、工程建设标准和批准的施工组织设计、(专项)施工方案施工。</w:t>
      </w:r>
    </w:p>
    <w:p w14:paraId="52B664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（2）使用的工程材料、构配件和设备是否合格。</w:t>
      </w:r>
    </w:p>
    <w:p w14:paraId="42E824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（3）施工现场管理人员，特别是施工质量管理人员是否到位。</w:t>
      </w:r>
    </w:p>
    <w:p w14:paraId="13E44CD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（4）特种作业人员是否持证上岗。</w:t>
      </w:r>
    </w:p>
    <w:p w14:paraId="04FF7AB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7.1.13 项目监理机构应根据工程特点、专业要求，以及建设工程监理合同约定，对施工质量进行平行检验。</w:t>
      </w:r>
    </w:p>
    <w:p w14:paraId="5848EDA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7.1.14 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50897D6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3C86B22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7.1.16 对需要返工处理或加固补强的质量缺陷，项目监理机构应要求施工单位报送经设计等相关单位认可的处理方案，并应对质量缺陷的处理过程进行跟踪检查，同时应对处理结果进行验收。</w:t>
      </w:r>
    </w:p>
    <w:p w14:paraId="474DB2E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7.1.17 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23CA89A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7.1.18 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745CCB0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7.1.19 工程竣工预验收合格后，项目监理机构应编写工程质量评估报告，并应经总监理工程师和工程监理单位技术负责人审核签字后报建设单位。</w:t>
      </w:r>
    </w:p>
    <w:p w14:paraId="7D710A5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7.1.20 项目监理机构应参加由建设单位组织的竣工验收，对验收中提出的整改问题，应督促施工单位及时整改。工程质量符合要求的，总监理工程师应在工程竣工验收报告中签署意见。</w:t>
      </w:r>
    </w:p>
    <w:p w14:paraId="74C6A5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7.1.21 保修期满后，项目监理机构应参与保修期满质量复检，对复检中发现的问题提出整改意见并督促施工单位整改；整改合格后，总监理工程师在复检报告中签署意见。</w:t>
      </w:r>
    </w:p>
    <w:p w14:paraId="0A757B4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7.1.22 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向招标人返纳质量违约金，并无条件免费监理服务至工程质量达到合格止。</w:t>
      </w:r>
    </w:p>
    <w:p w14:paraId="3BCC4A52">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7.2 工程造价控制：</w:t>
      </w:r>
    </w:p>
    <w:p w14:paraId="09D5150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7.2.1 项目监理机构应按下列程序进行工程计量和付款签证：</w:t>
      </w:r>
    </w:p>
    <w:p w14:paraId="7BBE9D5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5DDC942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w:t>
      </w:r>
    </w:p>
    <w:p w14:paraId="10CB130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（3）总监理工程师根据建设单位的审批意见，向施工单位签发工程款支付证书。</w:t>
      </w:r>
    </w:p>
    <w:p w14:paraId="398555D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工程款支付报审表及工程款支付证书应按相应规范的要求填写。</w:t>
      </w:r>
    </w:p>
    <w:p w14:paraId="4F46741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7.2.2项目监理机构应编制月完成工程量统计表，对实际完成量与计划完成量进行比较分析，发现偏差的，应提出调整建议，并应在监理月报中向建设单位报告。</w:t>
      </w:r>
    </w:p>
    <w:p w14:paraId="7F9C80F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7.2.3 项目监理机构应按下列程序进行竣工结算款审核：</w:t>
      </w:r>
    </w:p>
    <w:p w14:paraId="0440067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（1）专业监理工程师审查施工单位提交的竣工结算款支付申请，提出审查意见。</w:t>
      </w:r>
    </w:p>
    <w:p w14:paraId="60E9BF7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工程竣工结算款支付报审表及竣工结算款支付证书应按相应规范的要求填写。</w:t>
      </w:r>
    </w:p>
    <w:p w14:paraId="3FD6459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7.2.4项目监理单位应按上述要求和有关规定控制本项目的工程造价，若由于项目监理单位的过失造成工程造价提高，招标人按所提高造价额的50%从监理服务费中扣除，扣除累计不超过监理服务费的70%。</w:t>
      </w:r>
    </w:p>
    <w:p w14:paraId="731AD45B">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7.3 工程进度控制：</w:t>
      </w:r>
    </w:p>
    <w:p w14:paraId="3E1AF6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7.3.1 项目监理机构应审查施工单位报审的施工总进度计划和阶段性施工进度计划，提出审查意见，并应由总监理工程师审核后报建设单位。</w:t>
      </w:r>
    </w:p>
    <w:p w14:paraId="2D59DBC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施工进度计划审查应包括下列基本内容：</w:t>
      </w:r>
    </w:p>
    <w:p w14:paraId="7E8FAB1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（1）施工进度计划应符合施工合同中工期的约定。</w:t>
      </w:r>
    </w:p>
    <w:p w14:paraId="00569D9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（2）施工进度计划中主要工程项目无遗漏，应满足分批投入试运、分批动用的需要，阶段性施工进度计划应满足总进度控制目标的要求。</w:t>
      </w:r>
    </w:p>
    <w:p w14:paraId="3C861E5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（3）施工顺序的安排应符合施工工艺要求。</w:t>
      </w:r>
    </w:p>
    <w:p w14:paraId="0BC42DF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（4）施工人员、工程材料、施工机械等资源供应计划应满足施工进度计划的需要。</w:t>
      </w:r>
    </w:p>
    <w:p w14:paraId="093B1C0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（5）施工进度计划应符合建设单位提供的资金、施工图纸、施工场地、物资等施工条件。</w:t>
      </w:r>
    </w:p>
    <w:p w14:paraId="0496196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施工进度计划报审表应按相应规范的要求填写。</w:t>
      </w:r>
    </w:p>
    <w:p w14:paraId="32ACB63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36DEF7B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7.3.3 项目监理机构应比较分析工程施工实际进度与计划进度，预测实际进度对工程总工期的影响，并应在监理月报中向建设单位报告工程实际进展情况。</w:t>
      </w:r>
    </w:p>
    <w:p w14:paraId="5ABDE76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7.4 工程安全生产管理：</w:t>
      </w:r>
    </w:p>
    <w:p w14:paraId="15D9AE4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7.4.1 项目监理机构应根据法律法规、工程建设强制性标准，履行建设工程安全生产管理的监理职责，并应将安全生产管理的监理工作内容、方法和措施纳入监理规划及监理实施细则。</w:t>
      </w:r>
    </w:p>
    <w:p w14:paraId="643B3E7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9A0F99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F57901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专项施工方案审查应包括下列基本内容：</w:t>
      </w:r>
    </w:p>
    <w:p w14:paraId="489ED48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202BF90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（2）安全技术措施应符合工程建设强制性标准。</w:t>
      </w:r>
    </w:p>
    <w:p w14:paraId="15D6135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专项施工方案报审表应按相应规范的要求填写。</w:t>
      </w:r>
    </w:p>
    <w:p w14:paraId="02665E5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7.4.4项目监理机构应巡视检查危险性较大的分部分项工程专项施工方案实施情况。发现未按专项施工方案实施时，应签发监理通知单，要求施工单位按专项施工方案实施。</w:t>
      </w:r>
    </w:p>
    <w:p w14:paraId="149AB1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7.4.5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3CBF63E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eastAsia" w:ascii="Times New Roman"/>
          <w:snapToGrid w:val="0"/>
          <w:color w:val="auto"/>
          <w:kern w:val="0"/>
          <w:highlight w:val="none"/>
        </w:rPr>
        <w:t>监理报告应按相应规范的要求填写。</w:t>
      </w:r>
    </w:p>
    <w:p w14:paraId="06BFFCA1">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D4094DE">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016FEEB7">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3314BF6E">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6DE556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93AF343">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6BE3E45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34E128E4">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AB7BD9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3296E77F">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183EBD19">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1AE5DD62">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p w14:paraId="7DA9969B">
      <w:pPr>
        <w:pStyle w:val="41"/>
        <w:keepNext w:val="0"/>
        <w:keepLines w:val="0"/>
        <w:pageBreakBefore w:val="0"/>
        <w:kinsoku/>
        <w:overflowPunct/>
        <w:topLinePunct w:val="0"/>
        <w:autoSpaceDE/>
        <w:autoSpaceDN/>
        <w:bidi w:val="0"/>
        <w:spacing w:line="420" w:lineRule="exact"/>
        <w:textAlignment w:val="auto"/>
        <w:rPr>
          <w:rFonts w:ascii="宋体" w:hAnsi="宋体" w:cs="宋体"/>
          <w:snapToGrid w:val="0"/>
          <w:color w:val="auto"/>
          <w:highlight w:val="none"/>
        </w:rPr>
      </w:pPr>
    </w:p>
    <w:bookmarkEnd w:id="179"/>
    <w:p w14:paraId="00DFB3FB">
      <w:pPr>
        <w:pStyle w:val="3"/>
        <w:tabs>
          <w:tab w:val="left" w:pos="885"/>
        </w:tabs>
        <w:wordWrap w:val="0"/>
        <w:autoSpaceDE/>
        <w:autoSpaceDN/>
        <w:snapToGrid w:val="0"/>
        <w:spacing w:line="440" w:lineRule="exact"/>
        <w:ind w:left="885" w:hanging="885"/>
        <w:jc w:val="center"/>
        <w:rPr>
          <w:rFonts w:ascii="Times New Roman"/>
          <w:b/>
          <w:snapToGrid w:val="0"/>
          <w:color w:val="auto"/>
          <w:sz w:val="32"/>
          <w:szCs w:val="22"/>
          <w:highlight w:val="none"/>
        </w:rPr>
      </w:pPr>
      <w:bookmarkStart w:id="241" w:name="_Toc11137"/>
      <w:bookmarkStart w:id="242" w:name="_Toc21669"/>
      <w:bookmarkStart w:id="243" w:name="_Toc12650"/>
      <w:bookmarkStart w:id="244" w:name="_Hlt69698796"/>
      <w:r>
        <w:rPr>
          <w:rFonts w:hint="eastAsia" w:ascii="Times New Roman"/>
          <w:b/>
          <w:snapToGrid w:val="0"/>
          <w:color w:val="auto"/>
          <w:sz w:val="32"/>
          <w:szCs w:val="22"/>
          <w:highlight w:val="none"/>
        </w:rPr>
        <w:t>第四章</w:t>
      </w:r>
      <w:bookmarkStart w:id="245" w:name="_Hlt87793853"/>
      <w:bookmarkEnd w:id="245"/>
      <w:r>
        <w:rPr>
          <w:rFonts w:hint="eastAsia" w:ascii="Times New Roman"/>
          <w:b/>
          <w:snapToGrid w:val="0"/>
          <w:color w:val="auto"/>
          <w:sz w:val="32"/>
          <w:szCs w:val="22"/>
          <w:highlight w:val="none"/>
        </w:rPr>
        <w:t xml:space="preserve"> 技术要求</w:t>
      </w:r>
      <w:bookmarkEnd w:id="241"/>
      <w:bookmarkEnd w:id="242"/>
      <w:bookmarkEnd w:id="243"/>
    </w:p>
    <w:bookmarkEnd w:id="244"/>
    <w:p w14:paraId="69F644B1">
      <w:pPr>
        <w:wordWrap w:val="0"/>
        <w:adjustRightInd w:val="0"/>
        <w:snapToGrid w:val="0"/>
        <w:spacing w:line="440" w:lineRule="exact"/>
        <w:rPr>
          <w:rFonts w:hint="eastAsia" w:hAnsi="宋体" w:cs="宋体"/>
          <w:bCs/>
          <w:snapToGrid w:val="0"/>
          <w:color w:val="auto"/>
          <w:kern w:val="0"/>
          <w:highlight w:val="none"/>
        </w:rPr>
      </w:pPr>
      <w:bookmarkStart w:id="246" w:name="_Hlt69116854"/>
      <w:bookmarkEnd w:id="246"/>
      <w:bookmarkStart w:id="247" w:name="_Hlt87793370"/>
      <w:bookmarkEnd w:id="247"/>
      <w:bookmarkStart w:id="248" w:name="_Hlt66104926"/>
      <w:bookmarkEnd w:id="248"/>
      <w:bookmarkStart w:id="249" w:name="_Hlt80411122"/>
      <w:bookmarkEnd w:id="249"/>
      <w:bookmarkStart w:id="250" w:name="_Hlt69358207"/>
      <w:bookmarkEnd w:id="250"/>
      <w:bookmarkStart w:id="251" w:name="_Hlt69357851"/>
      <w:bookmarkEnd w:id="251"/>
      <w:bookmarkStart w:id="252" w:name="_Hlt68774758"/>
      <w:bookmarkEnd w:id="252"/>
      <w:bookmarkStart w:id="253" w:name="_Hlt69359335"/>
      <w:bookmarkEnd w:id="253"/>
      <w:bookmarkStart w:id="254" w:name="_Hlt87793346"/>
      <w:bookmarkEnd w:id="254"/>
      <w:bookmarkStart w:id="255" w:name="_Hlt69265216"/>
      <w:bookmarkEnd w:id="255"/>
      <w:bookmarkStart w:id="256" w:name="_Hlt75685840"/>
      <w:bookmarkEnd w:id="256"/>
      <w:bookmarkStart w:id="257" w:name="_Toc7515"/>
      <w:bookmarkStart w:id="258" w:name="_Toc2392"/>
    </w:p>
    <w:bookmarkEnd w:id="257"/>
    <w:bookmarkEnd w:id="258"/>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59" w:name="_Hlt69116863"/>
      <w:bookmarkEnd w:id="259"/>
      <w:bookmarkStart w:id="260" w:name="_Hlt69338190"/>
      <w:bookmarkEnd w:id="260"/>
      <w:bookmarkStart w:id="261" w:name="_Hlt69265207"/>
      <w:bookmarkEnd w:id="261"/>
      <w:bookmarkStart w:id="262" w:name="_Hlt66848640"/>
      <w:bookmarkEnd w:id="262"/>
      <w:bookmarkStart w:id="263" w:name="_Hlt69635247"/>
      <w:bookmarkEnd w:id="263"/>
      <w:bookmarkStart w:id="264" w:name="_Hlt69358336"/>
      <w:bookmarkEnd w:id="264"/>
      <w:bookmarkStart w:id="265" w:name="_Toc25992"/>
      <w:bookmarkStart w:id="266" w:name="_Toc29213"/>
      <w:bookmarkStart w:id="267" w:name="_Toc22126"/>
      <w:bookmarkStart w:id="268" w:name="_Toc29899"/>
      <w:bookmarkStart w:id="269" w:name="_Toc16011"/>
      <w:bookmarkStart w:id="270" w:name="_Hlt69698785"/>
      <w:r>
        <w:rPr>
          <w:rFonts w:hint="eastAsia" w:ascii="宋体" w:hAnsi="宋体" w:eastAsia="宋体" w:cs="宋体"/>
          <w:b/>
          <w:snapToGrid w:val="0"/>
          <w:color w:val="auto"/>
          <w:kern w:val="0"/>
          <w:highlight w:val="none"/>
        </w:rPr>
        <w:t>1．房屋建筑工程建设项目</w:t>
      </w:r>
      <w:bookmarkEnd w:id="265"/>
      <w:bookmarkEnd w:id="266"/>
      <w:bookmarkEnd w:id="267"/>
      <w:bookmarkEnd w:id="268"/>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bookmarkStart w:id="271" w:name="_Hlt78709799"/>
      <w:bookmarkEnd w:id="271"/>
      <w:bookmarkStart w:id="272" w:name="_Hlt69116858"/>
      <w:bookmarkEnd w:id="272"/>
      <w:bookmarkStart w:id="273" w:name="_Hlt69635252"/>
      <w:bookmarkEnd w:id="273"/>
      <w:bookmarkStart w:id="274" w:name="_Hlt69359245"/>
      <w:bookmarkEnd w:id="274"/>
      <w:bookmarkStart w:id="275" w:name="_Hlt69359086"/>
      <w:bookmarkEnd w:id="275"/>
      <w:bookmarkStart w:id="276" w:name="_Hlt69359243"/>
      <w:bookmarkEnd w:id="276"/>
      <w:bookmarkStart w:id="277" w:name="_Hlt69358458"/>
      <w:bookmarkEnd w:id="277"/>
      <w:r>
        <w:rPr>
          <w:rFonts w:hint="eastAsia" w:ascii="宋体" w:hAnsi="宋体" w:eastAsia="宋体" w:cs="宋体"/>
          <w:b w:val="0"/>
          <w:bCs/>
          <w:caps w:val="0"/>
          <w:smallCaps w:val="0"/>
          <w:snapToGrid w:val="0"/>
          <w:color w:val="auto"/>
          <w:spacing w:val="0"/>
          <w:kern w:val="0"/>
          <w:highlight w:val="none"/>
          <w:lang w:eastAsia="zh-CN"/>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bookmarkStart w:id="278" w:name="_Hlt78795211"/>
      <w:bookmarkEnd w:id="278"/>
      <w:r>
        <w:rPr>
          <w:rFonts w:hint="eastAsia" w:ascii="宋体" w:hAnsi="宋体" w:eastAsia="宋体" w:cs="宋体"/>
          <w:b w:val="0"/>
          <w:bCs/>
          <w:caps w:val="0"/>
          <w:smallCaps w:val="0"/>
          <w:snapToGrid w:val="0"/>
          <w:color w:val="auto"/>
          <w:spacing w:val="0"/>
          <w:kern w:val="0"/>
          <w:highlight w:val="none"/>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14</w:t>
      </w:r>
      <w:r>
        <w:rPr>
          <w:rFonts w:hint="eastAsia" w:ascii="宋体" w:hAnsi="宋体" w:eastAsia="宋体" w:cs="宋体"/>
          <w:b w:val="0"/>
          <w:bCs/>
          <w:caps w:val="0"/>
          <w:smallCaps w:val="0"/>
          <w:snapToGrid w:val="0"/>
          <w:color w:val="auto"/>
          <w:spacing w:val="0"/>
          <w:kern w:val="0"/>
          <w:highlight w:val="none"/>
          <w:lang w:eastAsia="zh-CN"/>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eastAsia="zh-CN"/>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15</w:t>
      </w:r>
      <w:r>
        <w:rPr>
          <w:rFonts w:hint="eastAsia" w:ascii="宋体" w:hAnsi="宋体" w:eastAsia="宋体" w:cs="宋体"/>
          <w:b w:val="0"/>
          <w:bCs/>
          <w:caps w:val="0"/>
          <w:smallCaps w:val="0"/>
          <w:snapToGrid w:val="0"/>
          <w:color w:val="auto"/>
          <w:spacing w:val="0"/>
          <w:kern w:val="0"/>
          <w:highlight w:val="none"/>
          <w:lang w:eastAsia="zh-CN"/>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auto"/>
          <w:spacing w:val="0"/>
          <w:kern w:val="0"/>
          <w:highlight w:val="none"/>
          <w:lang w:val="en-US" w:eastAsia="zh-CN"/>
        </w:rPr>
      </w:pPr>
      <w:r>
        <w:rPr>
          <w:rFonts w:hint="eastAsia" w:ascii="宋体" w:hAnsi="宋体" w:eastAsia="宋体" w:cs="宋体"/>
          <w:b w:val="0"/>
          <w:bCs/>
          <w:caps w:val="0"/>
          <w:smallCaps w:val="0"/>
          <w:snapToGrid w:val="0"/>
          <w:color w:val="auto"/>
          <w:spacing w:val="0"/>
          <w:kern w:val="0"/>
          <w:highlight w:val="none"/>
          <w:lang w:val="en-US" w:eastAsia="zh-CN"/>
        </w:rPr>
        <w:t>（16）《广东省建筑节能与绿色建筑工程施工质量验收规范》</w:t>
      </w:r>
    </w:p>
    <w:p w14:paraId="45654C5C">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Cs/>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其他现行国家</w:t>
      </w:r>
      <w:r>
        <w:rPr>
          <w:rFonts w:hint="eastAsia" w:ascii="宋体" w:hAnsi="宋体" w:eastAsia="宋体" w:cs="宋体"/>
          <w:b w:val="0"/>
          <w:bCs/>
          <w:caps w:val="0"/>
          <w:smallCaps w:val="0"/>
          <w:snapToGrid w:val="0"/>
          <w:color w:val="auto"/>
          <w:spacing w:val="0"/>
          <w:kern w:val="0"/>
          <w:highlight w:val="none"/>
          <w:lang w:eastAsia="zh-CN"/>
        </w:rPr>
        <w:t>、广东省关于房建工程的</w:t>
      </w:r>
      <w:r>
        <w:rPr>
          <w:rFonts w:hint="eastAsia" w:ascii="宋体" w:hAnsi="宋体" w:eastAsia="宋体" w:cs="宋体"/>
          <w:b w:val="0"/>
          <w:bCs/>
          <w:caps w:val="0"/>
          <w:smallCaps w:val="0"/>
          <w:snapToGrid w:val="0"/>
          <w:color w:val="auto"/>
          <w:spacing w:val="0"/>
          <w:kern w:val="0"/>
          <w:highlight w:val="none"/>
        </w:rPr>
        <w:t>施工</w:t>
      </w:r>
      <w:r>
        <w:rPr>
          <w:rFonts w:hint="eastAsia" w:ascii="宋体" w:hAnsi="宋体" w:eastAsia="宋体" w:cs="宋体"/>
          <w:b w:val="0"/>
          <w:bCs/>
          <w:caps w:val="0"/>
          <w:smallCaps w:val="0"/>
          <w:snapToGrid w:val="0"/>
          <w:color w:val="auto"/>
          <w:spacing w:val="0"/>
          <w:kern w:val="0"/>
          <w:highlight w:val="none"/>
          <w:lang w:eastAsia="zh-CN"/>
        </w:rPr>
        <w:t>及验收</w:t>
      </w:r>
      <w:r>
        <w:rPr>
          <w:rFonts w:hint="eastAsia" w:ascii="宋体" w:hAnsi="宋体" w:eastAsia="宋体" w:cs="宋体"/>
          <w:b w:val="0"/>
          <w:bCs/>
          <w:caps w:val="0"/>
          <w:smallCaps w:val="0"/>
          <w:snapToGrid w:val="0"/>
          <w:color w:val="auto"/>
          <w:spacing w:val="0"/>
          <w:kern w:val="0"/>
          <w:highlight w:val="none"/>
        </w:rPr>
        <w:t>规范</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w:t>
      </w:r>
      <w:r>
        <w:rPr>
          <w:rFonts w:hint="eastAsia" w:ascii="宋体" w:hAnsi="宋体" w:eastAsia="宋体" w:cs="宋体"/>
          <w:b w:val="0"/>
          <w:bCs/>
          <w:caps w:val="0"/>
          <w:smallCaps w:val="0"/>
          <w:snapToGrid w:val="0"/>
          <w:color w:val="auto"/>
          <w:spacing w:val="0"/>
          <w:kern w:val="0"/>
          <w:highlight w:val="none"/>
        </w:rPr>
        <w:t>标准。</w:t>
      </w: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highlight w:val="none"/>
        </w:rPr>
      </w:pPr>
      <w:bookmarkStart w:id="279" w:name="_Toc3631"/>
      <w:bookmarkStart w:id="280" w:name="_Toc16196"/>
      <w:bookmarkStart w:id="281" w:name="_Toc23789"/>
      <w:bookmarkStart w:id="282" w:name="_Toc2706"/>
      <w:r>
        <w:rPr>
          <w:rFonts w:hint="eastAsia" w:ascii="宋体" w:hAnsi="宋体" w:eastAsia="宋体" w:cs="宋体"/>
          <w:b/>
          <w:snapToGrid w:val="0"/>
          <w:color w:val="auto"/>
          <w:kern w:val="0"/>
          <w:highlight w:val="none"/>
        </w:rPr>
        <w:t>2．市政基础设施工程建设项目</w:t>
      </w:r>
      <w:bookmarkEnd w:id="279"/>
      <w:bookmarkEnd w:id="280"/>
      <w:bookmarkEnd w:id="281"/>
      <w:bookmarkEnd w:id="282"/>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highlight w:val="none"/>
        </w:rPr>
      </w:pPr>
      <w:r>
        <w:rPr>
          <w:rFonts w:hint="eastAsia" w:ascii="宋体" w:hAnsi="宋体" w:eastAsia="宋体" w:cs="宋体"/>
          <w:b w:val="0"/>
          <w:bCs/>
          <w:snapToGrid w:val="0"/>
          <w:color w:val="auto"/>
          <w:kern w:val="0"/>
          <w:highlight w:val="none"/>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83" w:name="_Toc20464"/>
      <w:bookmarkStart w:id="284" w:name="_Toc8840"/>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highlight w:val="none"/>
        </w:rPr>
        <w:t>《城市道路照明设计标准》（CJJ45-2015）；</w:t>
      </w:r>
      <w:bookmarkEnd w:id="283"/>
      <w:bookmarkEnd w:id="284"/>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highlight w:val="none"/>
        </w:rPr>
      </w:pPr>
      <w:bookmarkStart w:id="285" w:name="_Toc8828"/>
      <w:bookmarkStart w:id="286" w:name="_Toc12769"/>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12</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《低压配电设计规范》（GB50054-2011）；</w:t>
      </w:r>
      <w:bookmarkEnd w:id="285"/>
      <w:bookmarkEnd w:id="286"/>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87" w:name="_Toc5338"/>
      <w:bookmarkStart w:id="288" w:name="_Toc1705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13</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《城市道路照明工程施工及验收规程》（CJJ89-2012）；</w:t>
      </w:r>
      <w:bookmarkEnd w:id="287"/>
      <w:bookmarkEnd w:id="288"/>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lang w:val="en-US" w:eastAsia="zh-CN"/>
        </w:rPr>
      </w:pPr>
      <w:bookmarkStart w:id="289" w:name="_Toc15704"/>
      <w:bookmarkStart w:id="290" w:name="_Toc17302"/>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14</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LED道路照明工程技术规范</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DB44/T 1898-2016</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bookmarkEnd w:id="289"/>
      <w:bookmarkEnd w:id="290"/>
    </w:p>
    <w:p w14:paraId="0F08A875">
      <w:pPr>
        <w:pStyle w:val="155"/>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15</w:t>
      </w:r>
      <w:r>
        <w:rPr>
          <w:rFonts w:hint="eastAsia" w:ascii="宋体" w:hAnsi="宋体" w:eastAsia="宋体" w:cs="宋体"/>
          <w:b w:val="0"/>
          <w:bCs/>
          <w:i w:val="0"/>
          <w:iCs w:val="0"/>
          <w:color w:val="auto"/>
          <w:kern w:val="0"/>
          <w:szCs w:val="21"/>
          <w:highlight w:val="none"/>
          <w:lang w:eastAsia="zh-CN"/>
        </w:rPr>
        <w:t>）《灯具第</w:t>
      </w:r>
      <w:r>
        <w:rPr>
          <w:rFonts w:hint="eastAsia" w:ascii="宋体" w:hAnsi="宋体" w:eastAsia="宋体" w:cs="宋体"/>
          <w:b w:val="0"/>
          <w:bCs/>
          <w:i w:val="0"/>
          <w:iCs w:val="0"/>
          <w:color w:val="auto"/>
          <w:kern w:val="0"/>
          <w:szCs w:val="21"/>
          <w:highlight w:val="none"/>
          <w:lang w:val="en-US" w:eastAsia="zh-CN"/>
        </w:rPr>
        <w:t>1部分：一般要求与试验</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GB7000.1-2015</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16</w:t>
      </w:r>
      <w:r>
        <w:rPr>
          <w:rFonts w:hint="eastAsia" w:ascii="宋体" w:hAnsi="宋体" w:eastAsia="宋体" w:cs="宋体"/>
          <w:b w:val="0"/>
          <w:bCs/>
          <w:i w:val="0"/>
          <w:iCs w:val="0"/>
          <w:color w:val="auto"/>
          <w:kern w:val="0"/>
          <w:szCs w:val="21"/>
          <w:highlight w:val="none"/>
          <w:lang w:eastAsia="zh-CN"/>
        </w:rPr>
        <w:t>）《电缆工程电缆设计标准》（</w:t>
      </w:r>
      <w:r>
        <w:rPr>
          <w:rFonts w:hint="eastAsia" w:ascii="宋体" w:hAnsi="宋体" w:eastAsia="宋体" w:cs="宋体"/>
          <w:b w:val="0"/>
          <w:bCs/>
          <w:i w:val="0"/>
          <w:iCs w:val="0"/>
          <w:color w:val="auto"/>
          <w:kern w:val="0"/>
          <w:szCs w:val="21"/>
          <w:highlight w:val="none"/>
          <w:lang w:val="en-US" w:eastAsia="zh-CN"/>
        </w:rPr>
        <w:t>GB50217-2018</w:t>
      </w:r>
      <w:r>
        <w:rPr>
          <w:rFonts w:hint="eastAsia" w:ascii="宋体" w:hAnsi="宋体" w:eastAsia="宋体" w:cs="宋体"/>
          <w:b w:val="0"/>
          <w:bCs/>
          <w:i w:val="0"/>
          <w:iCs w:val="0"/>
          <w:color w:val="auto"/>
          <w:kern w:val="0"/>
          <w:szCs w:val="21"/>
          <w:highlight w:val="none"/>
          <w:lang w:eastAsia="zh-CN"/>
        </w:rPr>
        <w:t>）；</w:t>
      </w:r>
    </w:p>
    <w:p w14:paraId="2BD737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91" w:name="_Toc20571"/>
      <w:bookmarkStart w:id="292" w:name="_Toc5246"/>
      <w:r>
        <w:rPr>
          <w:rFonts w:hint="eastAsia" w:ascii="宋体" w:hAnsi="宋体" w:eastAsia="宋体" w:cs="宋体"/>
          <w:b/>
          <w:snapToGrid w:val="0"/>
          <w:color w:val="auto"/>
          <w:kern w:val="0"/>
          <w:highlight w:val="none"/>
        </w:rPr>
        <w:t>3．备查要求</w:t>
      </w:r>
      <w:bookmarkEnd w:id="291"/>
      <w:bookmarkEnd w:id="292"/>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highlight w:val="none"/>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highlight w:val="none"/>
        </w:rPr>
        <w:t>监理人必须在施工现场准备至少一套上述规范，委托人可随时检</w:t>
      </w:r>
      <w:r>
        <w:rPr>
          <w:rFonts w:hint="eastAsia" w:ascii="宋体" w:hAnsi="宋体" w:eastAsia="宋体" w:cs="宋体"/>
          <w:bCs/>
          <w:snapToGrid w:val="0"/>
          <w:color w:val="auto"/>
          <w:kern w:val="0"/>
          <w:highlight w:val="none"/>
        </w:rPr>
        <w:t>查监理人的上述规范，并监督监理人按规范要求执行。</w:t>
      </w:r>
      <w:bookmarkStart w:id="293" w:name="_Hlt69670335"/>
      <w:bookmarkEnd w:id="293"/>
    </w:p>
    <w:p w14:paraId="2C01AB53">
      <w:pPr>
        <w:pStyle w:val="3"/>
        <w:wordWrap w:val="0"/>
        <w:autoSpaceDE/>
        <w:autoSpaceDN/>
        <w:snapToGrid w:val="0"/>
        <w:spacing w:line="440" w:lineRule="exact"/>
        <w:jc w:val="center"/>
        <w:rPr>
          <w:rFonts w:ascii="Times New Roman"/>
          <w:b/>
          <w:snapToGrid w:val="0"/>
          <w:color w:val="auto"/>
          <w:sz w:val="32"/>
          <w:szCs w:val="22"/>
          <w:highlight w:val="none"/>
        </w:rPr>
      </w:pPr>
      <w:bookmarkStart w:id="294" w:name="_Toc27904"/>
      <w:r>
        <w:rPr>
          <w:rFonts w:hint="eastAsia" w:ascii="Times New Roman"/>
          <w:b/>
          <w:snapToGrid w:val="0"/>
          <w:color w:val="auto"/>
          <w:sz w:val="32"/>
          <w:szCs w:val="22"/>
          <w:highlight w:val="none"/>
        </w:rPr>
        <w:t xml:space="preserve">第五章 </w:t>
      </w:r>
      <w:bookmarkStart w:id="295" w:name="_Hlt75747044"/>
      <w:bookmarkEnd w:id="295"/>
      <w:r>
        <w:rPr>
          <w:rFonts w:hint="eastAsia" w:ascii="Times New Roman"/>
          <w:b/>
          <w:snapToGrid w:val="0"/>
          <w:color w:val="auto"/>
          <w:sz w:val="32"/>
          <w:szCs w:val="22"/>
          <w:highlight w:val="none"/>
        </w:rPr>
        <w:t>投标文件格式</w:t>
      </w:r>
      <w:bookmarkEnd w:id="269"/>
      <w:bookmarkEnd w:id="294"/>
    </w:p>
    <w:bookmarkEnd w:id="270"/>
    <w:p w14:paraId="7A6D8682">
      <w:pPr>
        <w:pStyle w:val="73"/>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highlight w:val="none"/>
        </w:rPr>
      </w:pPr>
      <w:bookmarkStart w:id="296" w:name="_附件一：对招标文件条款自愿接受承诺书"/>
      <w:bookmarkEnd w:id="296"/>
      <w:bookmarkStart w:id="297" w:name="_附件一：投标函"/>
      <w:bookmarkEnd w:id="297"/>
      <w:bookmarkStart w:id="298" w:name="_附件二：工期承诺书"/>
      <w:bookmarkEnd w:id="298"/>
      <w:bookmarkStart w:id="299" w:name="_附件四：工期承诺书"/>
      <w:bookmarkEnd w:id="299"/>
      <w:bookmarkStart w:id="300" w:name="_附件二：近三年度主要施工项目（竣工及在建）一览表"/>
      <w:bookmarkEnd w:id="300"/>
      <w:bookmarkStart w:id="301" w:name="_附件五：综合评审合理低价法"/>
      <w:bookmarkEnd w:id="301"/>
      <w:bookmarkStart w:id="302" w:name="_Toc66849200"/>
      <w:bookmarkStart w:id="303" w:name="_Toc137621693"/>
      <w:bookmarkStart w:id="304" w:name="_Hlt66847557"/>
      <w:bookmarkStart w:id="305" w:name="_Toc200338097"/>
    </w:p>
    <w:p w14:paraId="605BD047">
      <w:pPr>
        <w:pStyle w:val="73"/>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highlight w:val="none"/>
        </w:rPr>
      </w:pPr>
      <w:bookmarkStart w:id="306" w:name="_Toc31809"/>
      <w:bookmarkStart w:id="307" w:name="_Toc63"/>
      <w:r>
        <w:rPr>
          <w:rFonts w:hint="eastAsia" w:ascii="Times New Roman"/>
          <w:b/>
          <w:snapToGrid w:val="0"/>
          <w:color w:val="auto"/>
          <w:highlight w:val="none"/>
        </w:rPr>
        <w:t>格式一 封面</w:t>
      </w:r>
      <w:bookmarkEnd w:id="306"/>
      <w:bookmarkEnd w:id="307"/>
    </w:p>
    <w:p w14:paraId="5DF40F53">
      <w:pPr>
        <w:pStyle w:val="74"/>
        <w:widowControl w:val="0"/>
        <w:wordWrap w:val="0"/>
        <w:adjustRightInd w:val="0"/>
        <w:snapToGrid w:val="0"/>
        <w:spacing w:line="240" w:lineRule="auto"/>
        <w:rPr>
          <w:rFonts w:ascii="Times New Roman"/>
          <w:b/>
          <w:snapToGrid w:val="0"/>
          <w:color w:val="auto"/>
          <w:sz w:val="24"/>
          <w:highlight w:val="none"/>
        </w:rPr>
      </w:pPr>
    </w:p>
    <w:p w14:paraId="6FBB4A80">
      <w:pPr>
        <w:pStyle w:val="74"/>
        <w:widowControl w:val="0"/>
        <w:wordWrap w:val="0"/>
        <w:adjustRightInd w:val="0"/>
        <w:snapToGrid w:val="0"/>
        <w:spacing w:line="240" w:lineRule="auto"/>
        <w:jc w:val="right"/>
        <w:rPr>
          <w:rFonts w:ascii="Times New Roman"/>
          <w:b/>
          <w:snapToGrid w:val="0"/>
          <w:color w:val="auto"/>
          <w:sz w:val="24"/>
          <w:highlight w:val="none"/>
        </w:rPr>
      </w:pPr>
    </w:p>
    <w:p w14:paraId="59746A92">
      <w:pPr>
        <w:pStyle w:val="74"/>
        <w:widowControl w:val="0"/>
        <w:wordWrap w:val="0"/>
        <w:adjustRightInd w:val="0"/>
        <w:snapToGrid w:val="0"/>
        <w:spacing w:line="240" w:lineRule="auto"/>
        <w:rPr>
          <w:rFonts w:ascii="Times New Roman"/>
          <w:b/>
          <w:snapToGrid w:val="0"/>
          <w:color w:val="auto"/>
          <w:sz w:val="24"/>
          <w:highlight w:val="none"/>
        </w:rPr>
      </w:pPr>
    </w:p>
    <w:p w14:paraId="0294BCEE">
      <w:pPr>
        <w:pStyle w:val="74"/>
        <w:widowControl w:val="0"/>
        <w:wordWrap w:val="0"/>
        <w:adjustRightInd w:val="0"/>
        <w:snapToGrid w:val="0"/>
        <w:spacing w:line="240" w:lineRule="auto"/>
        <w:rPr>
          <w:rFonts w:ascii="Times New Roman"/>
          <w:b/>
          <w:snapToGrid w:val="0"/>
          <w:color w:val="auto"/>
          <w:sz w:val="24"/>
          <w:highlight w:val="none"/>
        </w:rPr>
      </w:pPr>
    </w:p>
    <w:p w14:paraId="7513099E">
      <w:pPr>
        <w:pStyle w:val="74"/>
        <w:widowControl w:val="0"/>
        <w:wordWrap w:val="0"/>
        <w:adjustRightInd w:val="0"/>
        <w:snapToGrid w:val="0"/>
        <w:spacing w:line="240" w:lineRule="auto"/>
        <w:rPr>
          <w:rFonts w:ascii="Times New Roman"/>
          <w:b/>
          <w:snapToGrid w:val="0"/>
          <w:color w:val="auto"/>
          <w:sz w:val="24"/>
          <w:highlight w:val="none"/>
        </w:rPr>
      </w:pPr>
    </w:p>
    <w:p w14:paraId="4875FFE9">
      <w:pPr>
        <w:pStyle w:val="74"/>
        <w:widowControl w:val="0"/>
        <w:wordWrap w:val="0"/>
        <w:adjustRightInd w:val="0"/>
        <w:snapToGrid w:val="0"/>
        <w:spacing w:line="240" w:lineRule="auto"/>
        <w:rPr>
          <w:rFonts w:ascii="Times New Roman"/>
          <w:b/>
          <w:snapToGrid w:val="0"/>
          <w:color w:val="auto"/>
          <w:sz w:val="24"/>
          <w:highlight w:val="none"/>
        </w:rPr>
      </w:pPr>
    </w:p>
    <w:p w14:paraId="2D9D39D4">
      <w:pPr>
        <w:pStyle w:val="74"/>
        <w:widowControl w:val="0"/>
        <w:wordWrap w:val="0"/>
        <w:adjustRightInd w:val="0"/>
        <w:snapToGrid w:val="0"/>
        <w:spacing w:line="240" w:lineRule="auto"/>
        <w:rPr>
          <w:rFonts w:ascii="Times New Roman"/>
          <w:b/>
          <w:snapToGrid w:val="0"/>
          <w:color w:val="auto"/>
          <w:sz w:val="24"/>
          <w:highlight w:val="none"/>
        </w:rPr>
      </w:pPr>
    </w:p>
    <w:p w14:paraId="5F4307BB">
      <w:pPr>
        <w:pStyle w:val="74"/>
        <w:widowControl w:val="0"/>
        <w:wordWrap w:val="0"/>
        <w:adjustRightInd w:val="0"/>
        <w:snapToGrid w:val="0"/>
        <w:spacing w:line="240" w:lineRule="auto"/>
        <w:rPr>
          <w:rFonts w:ascii="Times New Roman"/>
          <w:b/>
          <w:snapToGrid w:val="0"/>
          <w:color w:val="auto"/>
          <w:sz w:val="24"/>
          <w:highlight w:val="none"/>
        </w:rPr>
      </w:pPr>
    </w:p>
    <w:p w14:paraId="0005A7BA">
      <w:pPr>
        <w:pStyle w:val="74"/>
        <w:widowControl w:val="0"/>
        <w:wordWrap w:val="0"/>
        <w:adjustRightInd w:val="0"/>
        <w:snapToGrid w:val="0"/>
        <w:spacing w:line="240" w:lineRule="auto"/>
        <w:rPr>
          <w:rFonts w:ascii="Times New Roman"/>
          <w:b/>
          <w:snapToGrid w:val="0"/>
          <w:color w:val="auto"/>
          <w:sz w:val="24"/>
          <w:highlight w:val="none"/>
        </w:rPr>
      </w:pPr>
    </w:p>
    <w:p w14:paraId="38D03B0C">
      <w:pPr>
        <w:pStyle w:val="74"/>
        <w:widowControl w:val="0"/>
        <w:wordWrap w:val="0"/>
        <w:adjustRightInd w:val="0"/>
        <w:snapToGrid w:val="0"/>
        <w:spacing w:line="240" w:lineRule="auto"/>
        <w:rPr>
          <w:rFonts w:ascii="Times New Roman"/>
          <w:b/>
          <w:snapToGrid w:val="0"/>
          <w:color w:val="auto"/>
          <w:sz w:val="24"/>
          <w:highlight w:val="none"/>
        </w:rPr>
      </w:pPr>
    </w:p>
    <w:p w14:paraId="01F56212">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（项目名称）招标</w:t>
      </w:r>
    </w:p>
    <w:p w14:paraId="3BD1E3C7">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3D2A6112">
      <w:pPr>
        <w:pStyle w:val="74"/>
        <w:widowControl w:val="0"/>
        <w:wordWrap w:val="0"/>
        <w:adjustRightInd w:val="0"/>
        <w:snapToGrid w:val="0"/>
        <w:spacing w:line="240" w:lineRule="auto"/>
        <w:ind w:firstLine="0"/>
        <w:jc w:val="center"/>
        <w:rPr>
          <w:rFonts w:ascii="Times New Roman"/>
          <w:b/>
          <w:snapToGrid w:val="0"/>
          <w:color w:val="auto"/>
          <w:sz w:val="72"/>
          <w:highlight w:val="none"/>
        </w:rPr>
      </w:pPr>
      <w:r>
        <w:rPr>
          <w:rFonts w:hint="eastAsia" w:ascii="Times New Roman"/>
          <w:b/>
          <w:snapToGrid w:val="0"/>
          <w:color w:val="auto"/>
          <w:sz w:val="72"/>
          <w:highlight w:val="none"/>
        </w:rPr>
        <w:t>投  标  文  件</w:t>
      </w:r>
    </w:p>
    <w:p w14:paraId="5A4D8E98">
      <w:pPr>
        <w:pStyle w:val="74"/>
        <w:widowControl w:val="0"/>
        <w:wordWrap w:val="0"/>
        <w:adjustRightInd w:val="0"/>
        <w:snapToGrid w:val="0"/>
        <w:spacing w:line="240" w:lineRule="auto"/>
        <w:ind w:firstLine="0"/>
        <w:jc w:val="center"/>
        <w:rPr>
          <w:rFonts w:ascii="Times New Roman"/>
          <w:b/>
          <w:snapToGrid w:val="0"/>
          <w:color w:val="auto"/>
          <w:sz w:val="32"/>
          <w:highlight w:val="none"/>
        </w:rPr>
      </w:pPr>
    </w:p>
    <w:p w14:paraId="189B292E">
      <w:pPr>
        <w:pStyle w:val="74"/>
        <w:widowControl w:val="0"/>
        <w:wordWrap w:val="0"/>
        <w:adjustRightInd w:val="0"/>
        <w:snapToGrid w:val="0"/>
        <w:spacing w:line="240" w:lineRule="auto"/>
        <w:ind w:firstLine="0"/>
        <w:jc w:val="center"/>
        <w:rPr>
          <w:rFonts w:ascii="Times New Roman"/>
          <w:b/>
          <w:snapToGrid w:val="0"/>
          <w:color w:val="auto"/>
          <w:sz w:val="48"/>
          <w:szCs w:val="48"/>
          <w:highlight w:val="none"/>
        </w:rPr>
      </w:pPr>
      <w:r>
        <w:rPr>
          <w:rFonts w:hint="eastAsia" w:ascii="Times New Roman"/>
          <w:b/>
          <w:snapToGrid w:val="0"/>
          <w:color w:val="auto"/>
          <w:sz w:val="48"/>
          <w:szCs w:val="48"/>
          <w:highlight w:val="none"/>
        </w:rPr>
        <w:t>（商务标书／监理大纲）</w:t>
      </w:r>
    </w:p>
    <w:p w14:paraId="21D0A39E">
      <w:pPr>
        <w:pStyle w:val="74"/>
        <w:widowControl w:val="0"/>
        <w:wordWrap w:val="0"/>
        <w:adjustRightInd w:val="0"/>
        <w:snapToGrid w:val="0"/>
        <w:spacing w:line="240" w:lineRule="auto"/>
        <w:rPr>
          <w:rFonts w:ascii="Times New Roman"/>
          <w:b/>
          <w:snapToGrid w:val="0"/>
          <w:color w:val="auto"/>
          <w:highlight w:val="none"/>
        </w:rPr>
      </w:pPr>
    </w:p>
    <w:p w14:paraId="47BA86B9">
      <w:pPr>
        <w:pStyle w:val="74"/>
        <w:widowControl w:val="0"/>
        <w:wordWrap w:val="0"/>
        <w:adjustRightInd w:val="0"/>
        <w:snapToGrid w:val="0"/>
        <w:spacing w:line="240" w:lineRule="auto"/>
        <w:rPr>
          <w:rFonts w:ascii="Times New Roman"/>
          <w:b/>
          <w:snapToGrid w:val="0"/>
          <w:color w:val="auto"/>
          <w:sz w:val="32"/>
          <w:highlight w:val="none"/>
        </w:rPr>
      </w:pPr>
    </w:p>
    <w:p w14:paraId="65C3F1D5">
      <w:pPr>
        <w:pStyle w:val="74"/>
        <w:widowControl w:val="0"/>
        <w:wordWrap w:val="0"/>
        <w:adjustRightInd w:val="0"/>
        <w:snapToGrid w:val="0"/>
        <w:spacing w:line="240" w:lineRule="auto"/>
        <w:rPr>
          <w:rFonts w:ascii="Times New Roman"/>
          <w:b/>
          <w:snapToGrid w:val="0"/>
          <w:color w:val="auto"/>
          <w:sz w:val="32"/>
          <w:highlight w:val="none"/>
        </w:rPr>
      </w:pPr>
    </w:p>
    <w:p w14:paraId="04CF17A0">
      <w:pPr>
        <w:pStyle w:val="74"/>
        <w:widowControl w:val="0"/>
        <w:wordWrap w:val="0"/>
        <w:adjustRightInd w:val="0"/>
        <w:snapToGrid w:val="0"/>
        <w:spacing w:line="240" w:lineRule="auto"/>
        <w:rPr>
          <w:rFonts w:ascii="Times New Roman"/>
          <w:b/>
          <w:snapToGrid w:val="0"/>
          <w:color w:val="auto"/>
          <w:sz w:val="32"/>
          <w:highlight w:val="none"/>
        </w:rPr>
      </w:pPr>
    </w:p>
    <w:p w14:paraId="70B9E93C">
      <w:pPr>
        <w:pStyle w:val="74"/>
        <w:widowControl w:val="0"/>
        <w:wordWrap w:val="0"/>
        <w:adjustRightInd w:val="0"/>
        <w:snapToGrid w:val="0"/>
        <w:spacing w:line="240" w:lineRule="auto"/>
        <w:rPr>
          <w:rFonts w:ascii="Times New Roman"/>
          <w:b/>
          <w:snapToGrid w:val="0"/>
          <w:color w:val="auto"/>
          <w:sz w:val="32"/>
          <w:highlight w:val="none"/>
        </w:rPr>
      </w:pPr>
    </w:p>
    <w:p w14:paraId="1ECCE2FB">
      <w:pPr>
        <w:pStyle w:val="74"/>
        <w:widowControl w:val="0"/>
        <w:wordWrap w:val="0"/>
        <w:adjustRightInd w:val="0"/>
        <w:snapToGrid w:val="0"/>
        <w:spacing w:line="240" w:lineRule="auto"/>
        <w:rPr>
          <w:rFonts w:ascii="Times New Roman"/>
          <w:b/>
          <w:snapToGrid w:val="0"/>
          <w:color w:val="auto"/>
          <w:sz w:val="32"/>
          <w:highlight w:val="none"/>
        </w:rPr>
      </w:pPr>
    </w:p>
    <w:p w14:paraId="1EB2808C">
      <w:pPr>
        <w:pStyle w:val="74"/>
        <w:widowControl w:val="0"/>
        <w:wordWrap w:val="0"/>
        <w:adjustRightInd w:val="0"/>
        <w:snapToGrid w:val="0"/>
        <w:spacing w:line="240" w:lineRule="auto"/>
        <w:rPr>
          <w:rFonts w:ascii="Times New Roman"/>
          <w:b/>
          <w:snapToGrid w:val="0"/>
          <w:color w:val="auto"/>
          <w:sz w:val="32"/>
          <w:highlight w:val="none"/>
        </w:rPr>
      </w:pPr>
    </w:p>
    <w:p w14:paraId="759F596E">
      <w:pPr>
        <w:pStyle w:val="74"/>
        <w:widowControl w:val="0"/>
        <w:wordWrap w:val="0"/>
        <w:adjustRightInd w:val="0"/>
        <w:snapToGrid w:val="0"/>
        <w:spacing w:line="240" w:lineRule="auto"/>
        <w:rPr>
          <w:rFonts w:ascii="Times New Roman"/>
          <w:b/>
          <w:snapToGrid w:val="0"/>
          <w:color w:val="auto"/>
          <w:sz w:val="32"/>
          <w:highlight w:val="none"/>
        </w:rPr>
      </w:pPr>
    </w:p>
    <w:p w14:paraId="146D5E17">
      <w:pPr>
        <w:pStyle w:val="74"/>
        <w:widowControl w:val="0"/>
        <w:wordWrap w:val="0"/>
        <w:adjustRightInd w:val="0"/>
        <w:snapToGrid w:val="0"/>
        <w:spacing w:line="240" w:lineRule="auto"/>
        <w:rPr>
          <w:rFonts w:ascii="Times New Roman"/>
          <w:b/>
          <w:snapToGrid w:val="0"/>
          <w:color w:val="auto"/>
          <w:sz w:val="32"/>
          <w:highlight w:val="none"/>
        </w:rPr>
      </w:pPr>
    </w:p>
    <w:p w14:paraId="6742C860">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4DAF0F5D">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0642C6A2">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60435907">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6A449385">
      <w:pPr>
        <w:pStyle w:val="74"/>
        <w:widowControl w:val="0"/>
        <w:wordWrap w:val="0"/>
        <w:adjustRightInd w:val="0"/>
        <w:snapToGrid w:val="0"/>
        <w:spacing w:line="240" w:lineRule="auto"/>
        <w:ind w:firstLine="0"/>
        <w:jc w:val="center"/>
        <w:rPr>
          <w:rFonts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234CEA92">
      <w:pPr>
        <w:pStyle w:val="74"/>
        <w:widowControl w:val="0"/>
        <w:wordWrap w:val="0"/>
        <w:adjustRightInd w:val="0"/>
        <w:snapToGrid w:val="0"/>
        <w:spacing w:line="240" w:lineRule="auto"/>
        <w:ind w:firstLine="0"/>
        <w:jc w:val="center"/>
        <w:rPr>
          <w:rFonts w:ascii="Times New Roman"/>
          <w:bCs/>
          <w:snapToGrid w:val="0"/>
          <w:color w:val="auto"/>
          <w:sz w:val="32"/>
          <w:highlight w:val="none"/>
        </w:rPr>
      </w:pPr>
    </w:p>
    <w:p w14:paraId="565FD46B">
      <w:pPr>
        <w:pStyle w:val="74"/>
        <w:widowControl w:val="0"/>
        <w:wordWrap w:val="0"/>
        <w:adjustRightInd w:val="0"/>
        <w:snapToGrid w:val="0"/>
        <w:spacing w:line="240" w:lineRule="auto"/>
        <w:ind w:firstLine="0"/>
        <w:jc w:val="center"/>
        <w:rPr>
          <w:rFonts w:ascii="Times New Roman"/>
          <w:bCs/>
          <w:snapToGrid w:val="0"/>
          <w:color w:val="auto"/>
          <w:sz w:val="32"/>
          <w:highlight w:val="none"/>
          <w:u w:val="single"/>
        </w:rPr>
      </w:pPr>
    </w:p>
    <w:p w14:paraId="1A771D3C">
      <w:pPr>
        <w:pStyle w:val="74"/>
        <w:widowControl w:val="0"/>
        <w:wordWrap w:val="0"/>
        <w:adjustRightInd w:val="0"/>
        <w:snapToGrid w:val="0"/>
        <w:spacing w:line="240" w:lineRule="auto"/>
        <w:ind w:firstLine="0"/>
        <w:jc w:val="center"/>
        <w:rPr>
          <w:rFonts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2B7C22CA">
      <w:pPr>
        <w:pStyle w:val="74"/>
        <w:widowControl w:val="0"/>
        <w:wordWrap w:val="0"/>
        <w:adjustRightInd w:val="0"/>
        <w:snapToGrid w:val="0"/>
        <w:rPr>
          <w:rFonts w:ascii="Times New Roman"/>
          <w:b/>
          <w:snapToGrid w:val="0"/>
          <w:color w:val="auto"/>
          <w:highlight w:val="none"/>
        </w:rPr>
      </w:pPr>
    </w:p>
    <w:p w14:paraId="60968DD1">
      <w:pPr>
        <w:pStyle w:val="74"/>
        <w:widowControl w:val="0"/>
        <w:wordWrap w:val="0"/>
        <w:adjustRightInd w:val="0"/>
        <w:snapToGrid w:val="0"/>
        <w:rPr>
          <w:rFonts w:ascii="Times New Roman"/>
          <w:b/>
          <w:snapToGrid w:val="0"/>
          <w:color w:val="auto"/>
          <w:highlight w:val="none"/>
        </w:rPr>
      </w:pPr>
    </w:p>
    <w:p w14:paraId="20B8FB5C">
      <w:pPr>
        <w:pStyle w:val="74"/>
        <w:widowControl w:val="0"/>
        <w:wordWrap w:val="0"/>
        <w:adjustRightInd w:val="0"/>
        <w:snapToGrid w:val="0"/>
        <w:rPr>
          <w:rFonts w:ascii="Times New Roman"/>
          <w:b/>
          <w:snapToGrid w:val="0"/>
          <w:color w:val="auto"/>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5A266C5">
      <w:pPr>
        <w:pStyle w:val="4"/>
        <w:wordWrap w:val="0"/>
        <w:autoSpaceDE/>
        <w:autoSpaceDN/>
        <w:snapToGrid w:val="0"/>
        <w:spacing w:line="440" w:lineRule="exact"/>
        <w:rPr>
          <w:rFonts w:ascii="Times New Roman"/>
          <w:b/>
          <w:snapToGrid w:val="0"/>
          <w:color w:val="auto"/>
          <w:highlight w:val="none"/>
        </w:rPr>
      </w:pPr>
      <w:bookmarkStart w:id="308" w:name="_Toc21838"/>
      <w:bookmarkStart w:id="309" w:name="_Toc29299"/>
      <w:bookmarkStart w:id="310" w:name="_Toc106418843"/>
      <w:bookmarkStart w:id="311" w:name="_Toc104711098"/>
      <w:r>
        <w:rPr>
          <w:rFonts w:hint="eastAsia" w:ascii="Times New Roman"/>
          <w:b/>
          <w:snapToGrid w:val="0"/>
          <w:color w:val="auto"/>
          <w:highlight w:val="none"/>
        </w:rPr>
        <w:t>格式</w:t>
      </w:r>
      <w:bookmarkStart w:id="312" w:name="_Hlt97526007"/>
      <w:bookmarkEnd w:id="312"/>
      <w:r>
        <w:rPr>
          <w:rFonts w:hint="eastAsia" w:ascii="Times New Roman"/>
          <w:b/>
          <w:snapToGrid w:val="0"/>
          <w:color w:val="auto"/>
          <w:highlight w:val="none"/>
        </w:rPr>
        <w:t>二 投标函</w:t>
      </w:r>
      <w:bookmarkEnd w:id="308"/>
      <w:bookmarkEnd w:id="309"/>
    </w:p>
    <w:p w14:paraId="47DFBF08">
      <w:pPr>
        <w:wordWrap w:val="0"/>
        <w:adjustRightInd w:val="0"/>
        <w:snapToGrid w:val="0"/>
        <w:spacing w:before="260" w:after="260" w:line="440" w:lineRule="exact"/>
        <w:jc w:val="center"/>
        <w:rPr>
          <w:rFonts w:ascii="Times New Roman"/>
          <w:b/>
          <w:snapToGrid w:val="0"/>
          <w:color w:val="auto"/>
          <w:kern w:val="0"/>
          <w:highlight w:val="none"/>
        </w:rPr>
      </w:pPr>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310"/>
      <w:bookmarkEnd w:id="311"/>
    </w:p>
    <w:p w14:paraId="7699421D">
      <w:pPr>
        <w:wordWrap w:val="0"/>
        <w:adjustRightInd w:val="0"/>
        <w:snapToGrid w:val="0"/>
        <w:spacing w:line="440" w:lineRule="exact"/>
        <w:jc w:val="center"/>
        <w:rPr>
          <w:rFonts w:ascii="Times New Roman"/>
          <w:b/>
          <w:snapToGrid w:val="0"/>
          <w:color w:val="auto"/>
          <w:kern w:val="0"/>
          <w:highlight w:val="none"/>
        </w:rPr>
      </w:pPr>
    </w:p>
    <w:p w14:paraId="6A37BA44">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72F2551D">
      <w:pPr>
        <w:wordWrap w:val="0"/>
        <w:adjustRightInd w:val="0"/>
        <w:snapToGrid w:val="0"/>
        <w:spacing w:line="500" w:lineRule="exact"/>
        <w:ind w:firstLine="570"/>
        <w:rPr>
          <w:rFonts w:hAnsi="宋体" w:cs="宋体"/>
          <w:snapToGrid w:val="0"/>
          <w:color w:val="auto"/>
          <w:kern w:val="0"/>
          <w:highlight w:val="none"/>
          <w:u w:val="single"/>
        </w:rPr>
      </w:pPr>
      <w:r>
        <w:rPr>
          <w:rFonts w:hint="eastAsia" w:hAnsi="宋体" w:cs="宋体"/>
          <w:snapToGrid w:val="0"/>
          <w:color w:val="auto"/>
          <w:kern w:val="0"/>
          <w:highlight w:val="none"/>
        </w:rPr>
        <w:t xml:space="preserve">1. </w:t>
      </w:r>
      <w:r>
        <w:rPr>
          <w:rFonts w:hint="eastAsia" w:hAnsi="宋体" w:cs="宋体"/>
          <w:snapToGrid w:val="0"/>
          <w:color w:val="auto"/>
          <w:kern w:val="0"/>
          <w:szCs w:val="22"/>
          <w:highlight w:val="none"/>
        </w:rPr>
        <w:t>我方在仔细研究</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（项目名称）（以下简称“本项目”）监理招标文件的全部内容后，结合自身资质、能力和特点，愿意接受招标文件的全部内容和条件。兹以人民币（大写）：</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 xml:space="preserve">（小写）：（¥ </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）的投标总价（其中，增值税税率为</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）竞投本项目监理及相关服务</w:t>
      </w:r>
      <w:r>
        <w:rPr>
          <w:rFonts w:hint="eastAsia" w:hAnsi="宋体" w:cs="宋体"/>
          <w:snapToGrid w:val="0"/>
          <w:color w:val="auto"/>
          <w:kern w:val="0"/>
          <w:szCs w:val="22"/>
          <w:highlight w:val="none"/>
          <w:lang w:eastAsia="zh-CN"/>
        </w:rPr>
        <w:t>，投标取费费率为</w:t>
      </w:r>
      <w:r>
        <w:rPr>
          <w:rFonts w:hint="eastAsia" w:hAnsi="宋体" w:cs="宋体"/>
          <w:snapToGrid w:val="0"/>
          <w:color w:val="auto"/>
          <w:kern w:val="0"/>
          <w:szCs w:val="22"/>
          <w:highlight w:val="none"/>
          <w:u w:val="single"/>
          <w:lang w:eastAsia="zh-CN"/>
        </w:rPr>
        <w:t xml:space="preserve">     </w:t>
      </w:r>
      <w:r>
        <w:rPr>
          <w:rFonts w:hint="eastAsia" w:hAnsi="宋体" w:cs="宋体"/>
          <w:snapToGrid w:val="0"/>
          <w:color w:val="auto"/>
          <w:kern w:val="0"/>
          <w:szCs w:val="22"/>
          <w:highlight w:val="none"/>
          <w:lang w:eastAsia="zh-CN"/>
        </w:rPr>
        <w:t>%</w:t>
      </w:r>
      <w:r>
        <w:rPr>
          <w:rFonts w:hint="eastAsia" w:hAnsi="宋体" w:cs="宋体"/>
          <w:snapToGrid w:val="0"/>
          <w:color w:val="auto"/>
          <w:kern w:val="0"/>
          <w:szCs w:val="22"/>
          <w:highlight w:val="none"/>
        </w:rPr>
        <w:t>。</w:t>
      </w:r>
    </w:p>
    <w:p w14:paraId="00F3B9EA">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2. 如果我方中标，我方保证按照委托人发出的开始监理通知中写明的日期开始本项目的</w:t>
      </w:r>
      <w:r>
        <w:rPr>
          <w:rFonts w:hint="eastAsia" w:hAnsi="宋体" w:cs="宋体"/>
          <w:snapToGrid w:val="0"/>
          <w:color w:val="auto"/>
          <w:kern w:val="0"/>
          <w:highlight w:val="none"/>
          <w:u w:val="single"/>
        </w:rPr>
        <w:t xml:space="preserve"> 监理及相关服务 </w:t>
      </w:r>
      <w:r>
        <w:rPr>
          <w:rFonts w:hint="eastAsia" w:hAnsi="宋体" w:cs="宋体"/>
          <w:snapToGrid w:val="0"/>
          <w:color w:val="auto"/>
          <w:kern w:val="0"/>
          <w:highlight w:val="none"/>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4．我方在此声明，我方不存在本项目招标文件第一章第三节第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auto"/>
          <w:kern w:val="0"/>
          <w:highlight w:val="none"/>
        </w:rPr>
      </w:pPr>
      <w:r>
        <w:rPr>
          <w:rFonts w:hint="eastAsia" w:hAnsi="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auto"/>
          <w:kern w:val="0"/>
          <w:highlight w:val="none"/>
        </w:rPr>
      </w:pPr>
      <w:bookmarkStart w:id="313" w:name="_Hlt68771070"/>
      <w:bookmarkEnd w:id="313"/>
      <w:r>
        <w:rPr>
          <w:rFonts w:hint="eastAsia" w:hAnsi="宋体" w:cs="宋体"/>
          <w:snapToGrid w:val="0"/>
          <w:color w:val="auto"/>
          <w:kern w:val="0"/>
          <w:highlight w:val="none"/>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auto"/>
          <w:kern w:val="0"/>
          <w:highlight w:val="none"/>
        </w:rPr>
      </w:pPr>
      <w:r>
        <w:rPr>
          <w:rFonts w:hint="eastAsia" w:ascii="Times New Roman"/>
          <w:snapToGrid w:val="0"/>
          <w:color w:val="auto"/>
          <w:kern w:val="0"/>
          <w:highlight w:val="none"/>
        </w:rPr>
        <w:t xml:space="preserve">  </w:t>
      </w:r>
    </w:p>
    <w:p w14:paraId="428C057D">
      <w:pPr>
        <w:wordWrap w:val="0"/>
        <w:adjustRightInd w:val="0"/>
        <w:snapToGrid w:val="0"/>
        <w:spacing w:line="440" w:lineRule="exact"/>
        <w:rPr>
          <w:rFonts w:ascii="Times New Roman"/>
          <w:snapToGrid w:val="0"/>
          <w:color w:val="auto"/>
          <w:kern w:val="0"/>
          <w:highlight w:val="none"/>
        </w:rPr>
      </w:pPr>
    </w:p>
    <w:p w14:paraId="276EABA1">
      <w:pPr>
        <w:wordWrap w:val="0"/>
        <w:adjustRightInd w:val="0"/>
        <w:snapToGrid w:val="0"/>
        <w:spacing w:line="440" w:lineRule="exact"/>
        <w:jc w:val="right"/>
        <w:rPr>
          <w:rFonts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4CA7B314">
      <w:pPr>
        <w:wordWrap w:val="0"/>
        <w:adjustRightInd w:val="0"/>
        <w:snapToGrid w:val="0"/>
        <w:spacing w:line="440" w:lineRule="exact"/>
        <w:jc w:val="right"/>
        <w:rPr>
          <w:rFonts w:ascii="Times New Roman"/>
          <w:snapToGrid w:val="0"/>
          <w:color w:val="auto"/>
          <w:kern w:val="0"/>
          <w:highlight w:val="none"/>
        </w:rPr>
      </w:pPr>
    </w:p>
    <w:p w14:paraId="387ED88C">
      <w:pPr>
        <w:wordWrap w:val="0"/>
        <w:adjustRightInd w:val="0"/>
        <w:snapToGrid w:val="0"/>
        <w:spacing w:line="440" w:lineRule="exact"/>
        <w:ind w:firstLine="480" w:firstLineChars="200"/>
        <w:jc w:val="right"/>
        <w:rPr>
          <w:rFonts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54249B59">
      <w:pPr>
        <w:wordWrap w:val="0"/>
        <w:adjustRightInd w:val="0"/>
        <w:snapToGrid w:val="0"/>
        <w:spacing w:line="440" w:lineRule="exact"/>
        <w:ind w:firstLine="480" w:firstLineChars="200"/>
        <w:jc w:val="right"/>
        <w:rPr>
          <w:rFonts w:ascii="Times New Roman"/>
          <w:snapToGrid w:val="0"/>
          <w:color w:val="auto"/>
          <w:kern w:val="0"/>
          <w:highlight w:val="none"/>
        </w:rPr>
      </w:pPr>
    </w:p>
    <w:p w14:paraId="28DC9D94">
      <w:pPr>
        <w:wordWrap w:val="0"/>
        <w:adjustRightInd w:val="0"/>
        <w:snapToGrid w:val="0"/>
        <w:spacing w:line="440" w:lineRule="exact"/>
        <w:jc w:val="left"/>
        <w:rPr>
          <w:rFonts w:ascii="Times New Roman"/>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25B8347D">
      <w:pPr>
        <w:pStyle w:val="74"/>
        <w:widowControl w:val="0"/>
        <w:wordWrap w:val="0"/>
        <w:adjustRightInd w:val="0"/>
        <w:snapToGrid w:val="0"/>
        <w:spacing w:line="400" w:lineRule="exact"/>
        <w:ind w:firstLine="0"/>
        <w:outlineLvl w:val="1"/>
        <w:rPr>
          <w:rFonts w:hAnsi="宋体" w:cs="宋体"/>
          <w:b/>
          <w:snapToGrid w:val="0"/>
          <w:color w:val="auto"/>
          <w:sz w:val="24"/>
          <w:highlight w:val="none"/>
        </w:rPr>
      </w:pPr>
      <w:bookmarkStart w:id="314" w:name="_Toc1644"/>
      <w:r>
        <w:rPr>
          <w:rFonts w:hint="eastAsia" w:hAnsi="宋体" w:cs="宋体"/>
          <w:b/>
          <w:snapToGrid w:val="0"/>
          <w:color w:val="auto"/>
          <w:sz w:val="24"/>
          <w:highlight w:val="none"/>
        </w:rPr>
        <w:t>格式三 各项承诺一览表</w:t>
      </w:r>
      <w:bookmarkEnd w:id="314"/>
    </w:p>
    <w:p w14:paraId="20B05016">
      <w:pPr>
        <w:pStyle w:val="73"/>
        <w:keepNext w:val="0"/>
        <w:keepLines w:val="0"/>
        <w:widowControl w:val="0"/>
        <w:wordWrap w:val="0"/>
        <w:adjustRightInd w:val="0"/>
        <w:snapToGrid w:val="0"/>
        <w:spacing w:before="260" w:after="260" w:line="440" w:lineRule="exact"/>
        <w:ind w:firstLine="0"/>
        <w:outlineLvl w:val="9"/>
        <w:rPr>
          <w:rFonts w:hAnsi="宋体" w:cs="宋体"/>
          <w:b/>
          <w:snapToGrid w:val="0"/>
          <w:color w:val="auto"/>
          <w:highlight w:val="none"/>
        </w:rPr>
      </w:pPr>
      <w:bookmarkStart w:id="315" w:name="_Toc7685"/>
      <w:bookmarkStart w:id="316" w:name="_Toc24548"/>
      <w:bookmarkStart w:id="317" w:name="_Toc18253"/>
      <w:bookmarkStart w:id="318" w:name="_Toc27092"/>
      <w:bookmarkStart w:id="319" w:name="_Toc11270"/>
      <w:r>
        <w:rPr>
          <w:rFonts w:hint="eastAsia" w:hAnsi="宋体" w:cs="宋体"/>
          <w:b/>
          <w:snapToGrid w:val="0"/>
          <w:color w:val="auto"/>
          <w:sz w:val="30"/>
          <w:highlight w:val="none"/>
        </w:rPr>
        <w:t>各项承诺一览表</w:t>
      </w:r>
      <w:bookmarkEnd w:id="315"/>
      <w:bookmarkEnd w:id="316"/>
      <w:bookmarkEnd w:id="317"/>
      <w:bookmarkEnd w:id="318"/>
      <w:bookmarkEnd w:id="319"/>
    </w:p>
    <w:tbl>
      <w:tblPr>
        <w:tblStyle w:val="31"/>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4B001337">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序号</w:t>
            </w:r>
          </w:p>
        </w:tc>
        <w:tc>
          <w:tcPr>
            <w:tcW w:w="1573" w:type="dxa"/>
            <w:tcBorders>
              <w:tl2br w:val="nil"/>
              <w:tr2bl w:val="nil"/>
            </w:tcBorders>
            <w:vAlign w:val="center"/>
          </w:tcPr>
          <w:p w14:paraId="0DD645C3">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承诺事项</w:t>
            </w:r>
          </w:p>
        </w:tc>
        <w:tc>
          <w:tcPr>
            <w:tcW w:w="2923" w:type="dxa"/>
            <w:tcBorders>
              <w:tl2br w:val="nil"/>
              <w:tr2bl w:val="nil"/>
            </w:tcBorders>
            <w:vAlign w:val="center"/>
          </w:tcPr>
          <w:p w14:paraId="286917BA">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承诺内容</w:t>
            </w:r>
          </w:p>
        </w:tc>
        <w:tc>
          <w:tcPr>
            <w:tcW w:w="4019" w:type="dxa"/>
            <w:tcBorders>
              <w:tl2br w:val="nil"/>
              <w:tr2bl w:val="nil"/>
            </w:tcBorders>
            <w:vAlign w:val="center"/>
          </w:tcPr>
          <w:p w14:paraId="5A051E55">
            <w:pPr>
              <w:pStyle w:val="75"/>
              <w:wordWrap w:val="0"/>
              <w:adjustRightInd w:val="0"/>
              <w:snapToGrid w:val="0"/>
              <w:spacing w:line="380" w:lineRule="exact"/>
              <w:jc w:val="center"/>
              <w:rPr>
                <w:rFonts w:hAnsi="宋体" w:cs="宋体"/>
                <w:b/>
                <w:bCs w:val="0"/>
                <w:snapToGrid w:val="0"/>
                <w:color w:val="auto"/>
                <w:kern w:val="0"/>
                <w:szCs w:val="21"/>
                <w:highlight w:val="none"/>
              </w:rPr>
            </w:pPr>
            <w:r>
              <w:rPr>
                <w:rFonts w:hint="eastAsia" w:hAnsi="宋体" w:cs="宋体"/>
                <w:b/>
                <w:bCs w:val="0"/>
                <w:snapToGrid w:val="0"/>
                <w:color w:val="auto"/>
                <w:kern w:val="0"/>
                <w:szCs w:val="21"/>
                <w:highlight w:val="none"/>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573" w:type="dxa"/>
            <w:tcBorders>
              <w:tl2br w:val="nil"/>
              <w:tr2bl w:val="nil"/>
            </w:tcBorders>
            <w:vAlign w:val="center"/>
          </w:tcPr>
          <w:p w14:paraId="746B30D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自愿接受招标</w:t>
            </w:r>
          </w:p>
          <w:p w14:paraId="71ED28B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文件条款的承诺</w:t>
            </w:r>
          </w:p>
        </w:tc>
        <w:tc>
          <w:tcPr>
            <w:tcW w:w="2923" w:type="dxa"/>
            <w:tcBorders>
              <w:tl2br w:val="nil"/>
              <w:tr2bl w:val="nil"/>
            </w:tcBorders>
            <w:vAlign w:val="center"/>
          </w:tcPr>
          <w:p w14:paraId="2D307866">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573" w:type="dxa"/>
            <w:tcBorders>
              <w:tl2br w:val="nil"/>
              <w:tr2bl w:val="nil"/>
            </w:tcBorders>
            <w:vAlign w:val="center"/>
          </w:tcPr>
          <w:p w14:paraId="4E13328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无禁止投标</w:t>
            </w:r>
          </w:p>
          <w:p w14:paraId="2E04458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情形的承诺</w:t>
            </w:r>
          </w:p>
        </w:tc>
        <w:tc>
          <w:tcPr>
            <w:tcW w:w="2923" w:type="dxa"/>
            <w:tcBorders>
              <w:tl2br w:val="nil"/>
              <w:tr2bl w:val="nil"/>
            </w:tcBorders>
            <w:vAlign w:val="center"/>
          </w:tcPr>
          <w:p w14:paraId="6A2783C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我方不存在招标文件第一章第三节第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w:t>
            </w:r>
          </w:p>
        </w:tc>
        <w:tc>
          <w:tcPr>
            <w:tcW w:w="4019" w:type="dxa"/>
            <w:tcBorders>
              <w:tl2br w:val="nil"/>
              <w:tr2bl w:val="nil"/>
            </w:tcBorders>
            <w:vAlign w:val="center"/>
          </w:tcPr>
          <w:p w14:paraId="60B01B1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如果我方有招标文件第一章第三节第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573" w:type="dxa"/>
            <w:tcBorders>
              <w:tl2br w:val="nil"/>
              <w:tr2bl w:val="nil"/>
            </w:tcBorders>
            <w:vAlign w:val="center"/>
          </w:tcPr>
          <w:p w14:paraId="7327796A">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自觉抵制围标</w:t>
            </w:r>
          </w:p>
          <w:p w14:paraId="6537DAA0">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串标和弄虚</w:t>
            </w:r>
          </w:p>
          <w:p w14:paraId="3A865B06">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作假行为的承诺</w:t>
            </w:r>
          </w:p>
        </w:tc>
        <w:tc>
          <w:tcPr>
            <w:tcW w:w="2923" w:type="dxa"/>
            <w:tcBorders>
              <w:tl2br w:val="nil"/>
              <w:tr2bl w:val="nil"/>
            </w:tcBorders>
            <w:vAlign w:val="center"/>
          </w:tcPr>
          <w:p w14:paraId="1074D0F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4</w:t>
            </w:r>
          </w:p>
        </w:tc>
        <w:tc>
          <w:tcPr>
            <w:tcW w:w="1573" w:type="dxa"/>
            <w:tcBorders>
              <w:tl2br w:val="nil"/>
              <w:tr2bl w:val="nil"/>
            </w:tcBorders>
            <w:vAlign w:val="center"/>
          </w:tcPr>
          <w:p w14:paraId="754EDB94">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总监理工程师</w:t>
            </w:r>
          </w:p>
          <w:p w14:paraId="4D5B47C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任职承诺</w:t>
            </w:r>
          </w:p>
        </w:tc>
        <w:tc>
          <w:tcPr>
            <w:tcW w:w="2923" w:type="dxa"/>
            <w:tcBorders>
              <w:tl2br w:val="nil"/>
              <w:tr2bl w:val="nil"/>
            </w:tcBorders>
            <w:vAlign w:val="center"/>
          </w:tcPr>
          <w:p w14:paraId="0015B20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5</w:t>
            </w:r>
          </w:p>
        </w:tc>
        <w:tc>
          <w:tcPr>
            <w:tcW w:w="1573" w:type="dxa"/>
            <w:tcBorders>
              <w:tl2br w:val="nil"/>
              <w:tr2bl w:val="nil"/>
            </w:tcBorders>
            <w:vAlign w:val="center"/>
          </w:tcPr>
          <w:p w14:paraId="003F6C1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5656361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真实性承诺</w:t>
            </w:r>
          </w:p>
        </w:tc>
        <w:tc>
          <w:tcPr>
            <w:tcW w:w="2923" w:type="dxa"/>
            <w:tcBorders>
              <w:tl2br w:val="nil"/>
              <w:tr2bl w:val="nil"/>
            </w:tcBorders>
            <w:vAlign w:val="center"/>
          </w:tcPr>
          <w:p w14:paraId="3AAF78A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我方所递交投标文件的全部内容均为真实、有效、准确的。</w:t>
            </w:r>
          </w:p>
        </w:tc>
        <w:tc>
          <w:tcPr>
            <w:tcW w:w="4019" w:type="dxa"/>
            <w:tcBorders>
              <w:tl2br w:val="nil"/>
              <w:tr2bl w:val="nil"/>
            </w:tcBorders>
            <w:vAlign w:val="center"/>
          </w:tcPr>
          <w:p w14:paraId="537798B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6</w:t>
            </w:r>
          </w:p>
        </w:tc>
        <w:tc>
          <w:tcPr>
            <w:tcW w:w="1573" w:type="dxa"/>
            <w:tcBorders>
              <w:tl2br w:val="nil"/>
              <w:tr2bl w:val="nil"/>
            </w:tcBorders>
            <w:vAlign w:val="center"/>
          </w:tcPr>
          <w:p w14:paraId="4626B0C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3294E70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信息公开承诺</w:t>
            </w:r>
          </w:p>
        </w:tc>
        <w:tc>
          <w:tcPr>
            <w:tcW w:w="2923" w:type="dxa"/>
            <w:tcBorders>
              <w:tl2br w:val="nil"/>
              <w:tr2bl w:val="nil"/>
            </w:tcBorders>
            <w:vAlign w:val="center"/>
          </w:tcPr>
          <w:p w14:paraId="0BD5A69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auto"/>
                <w:kern w:val="0"/>
                <w:sz w:val="21"/>
                <w:szCs w:val="21"/>
                <w:highlight w:val="none"/>
                <w:lang w:eastAsia="zh-CN"/>
              </w:rPr>
            </w:pPr>
            <w:r>
              <w:rPr>
                <w:rFonts w:hint="eastAsia" w:hAnsi="宋体" w:cs="宋体"/>
                <w:snapToGrid w:val="0"/>
                <w:color w:val="auto"/>
                <w:kern w:val="0"/>
                <w:sz w:val="21"/>
                <w:szCs w:val="21"/>
                <w:highlight w:val="none"/>
                <w:lang w:val="en-US" w:eastAsia="zh-CN"/>
              </w:rPr>
              <w:t>7</w:t>
            </w:r>
          </w:p>
        </w:tc>
        <w:tc>
          <w:tcPr>
            <w:tcW w:w="1573" w:type="dxa"/>
            <w:tcBorders>
              <w:tl2br w:val="nil"/>
              <w:tr2bl w:val="nil"/>
            </w:tcBorders>
            <w:vAlign w:val="center"/>
          </w:tcPr>
          <w:p w14:paraId="7E0FB44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按时签订合同</w:t>
            </w:r>
          </w:p>
          <w:p w14:paraId="3DA8757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的承诺</w:t>
            </w:r>
          </w:p>
        </w:tc>
        <w:tc>
          <w:tcPr>
            <w:tcW w:w="2923" w:type="dxa"/>
            <w:tcBorders>
              <w:tl2br w:val="nil"/>
              <w:tr2bl w:val="nil"/>
            </w:tcBorders>
            <w:vAlign w:val="center"/>
          </w:tcPr>
          <w:p w14:paraId="108034D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5"/>
        <w:wordWrap w:val="0"/>
        <w:adjustRightInd w:val="0"/>
        <w:snapToGrid w:val="0"/>
        <w:spacing w:line="420" w:lineRule="exact"/>
        <w:jc w:val="left"/>
        <w:rPr>
          <w:rFonts w:hAnsi="宋体" w:cs="宋体"/>
          <w:snapToGrid w:val="0"/>
          <w:color w:val="auto"/>
          <w:kern w:val="0"/>
          <w:highlight w:val="none"/>
        </w:rPr>
      </w:pPr>
    </w:p>
    <w:p w14:paraId="4B6FF6DB">
      <w:pPr>
        <w:pStyle w:val="75"/>
        <w:wordWrap w:val="0"/>
        <w:adjustRightInd w:val="0"/>
        <w:snapToGrid w:val="0"/>
        <w:spacing w:line="420" w:lineRule="exact"/>
        <w:jc w:val="left"/>
        <w:rPr>
          <w:rFonts w:hAnsi="宋体" w:cs="宋体"/>
          <w:snapToGrid w:val="0"/>
          <w:color w:val="auto"/>
          <w:kern w:val="0"/>
          <w:highlight w:val="none"/>
        </w:rPr>
      </w:pPr>
    </w:p>
    <w:p w14:paraId="148553C2">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28CA7502">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BE8168B">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p>
    <w:p w14:paraId="0172B28D">
      <w:pPr>
        <w:pStyle w:val="18"/>
        <w:wordWrap w:val="0"/>
        <w:adjustRightInd w:val="0"/>
        <w:snapToGrid w:val="0"/>
        <w:spacing w:line="420" w:lineRule="exact"/>
        <w:ind w:firstLine="480" w:firstLineChars="200"/>
        <w:jc w:val="right"/>
        <w:rPr>
          <w:rFonts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40FD3ED2">
      <w:pPr>
        <w:pStyle w:val="18"/>
        <w:wordWrap w:val="0"/>
        <w:adjustRightInd w:val="0"/>
        <w:snapToGrid w:val="0"/>
        <w:spacing w:line="420" w:lineRule="exact"/>
        <w:ind w:firstLine="480" w:firstLineChars="200"/>
        <w:rPr>
          <w:rFonts w:hAnsi="宋体" w:cs="宋体"/>
          <w:snapToGrid w:val="0"/>
          <w:color w:val="auto"/>
          <w:kern w:val="0"/>
          <w:szCs w:val="24"/>
          <w:highlight w:val="none"/>
        </w:rPr>
      </w:pPr>
    </w:p>
    <w:p w14:paraId="498998F1">
      <w:pPr>
        <w:pStyle w:val="18"/>
        <w:wordWrap w:val="0"/>
        <w:adjustRightInd w:val="0"/>
        <w:snapToGrid w:val="0"/>
        <w:spacing w:line="420" w:lineRule="exact"/>
        <w:ind w:firstLine="480" w:firstLineChars="200"/>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3E8D0F6D">
      <w:pPr>
        <w:wordWrap w:val="0"/>
        <w:adjustRightInd w:val="0"/>
        <w:snapToGrid w:val="0"/>
        <w:spacing w:line="420" w:lineRule="exact"/>
        <w:jc w:val="left"/>
        <w:rPr>
          <w:rFonts w:hAnsi="宋体" w:cs="宋体"/>
          <w:b/>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E8EBA5D">
      <w:pPr>
        <w:wordWrap w:val="0"/>
        <w:adjustRightInd w:val="0"/>
        <w:snapToGrid w:val="0"/>
        <w:spacing w:line="440" w:lineRule="exact"/>
        <w:outlineLvl w:val="1"/>
        <w:rPr>
          <w:rFonts w:hAnsi="宋体" w:cs="宋体"/>
          <w:b/>
          <w:bCs/>
          <w:snapToGrid w:val="0"/>
          <w:color w:val="auto"/>
          <w:kern w:val="0"/>
          <w:szCs w:val="24"/>
          <w:highlight w:val="none"/>
        </w:rPr>
      </w:pPr>
      <w:bookmarkStart w:id="320" w:name="_Toc32644"/>
      <w:r>
        <w:rPr>
          <w:rFonts w:hint="eastAsia" w:hAnsi="宋体" w:cs="宋体"/>
          <w:b/>
          <w:bCs/>
          <w:snapToGrid w:val="0"/>
          <w:color w:val="auto"/>
          <w:kern w:val="0"/>
          <w:szCs w:val="24"/>
          <w:highlight w:val="none"/>
        </w:rPr>
        <w:t>格式四 授权委托书</w:t>
      </w:r>
      <w:bookmarkEnd w:id="320"/>
    </w:p>
    <w:p w14:paraId="759A7BEF">
      <w:pPr>
        <w:wordWrap w:val="0"/>
        <w:adjustRightInd w:val="0"/>
        <w:snapToGrid w:val="0"/>
        <w:spacing w:line="440" w:lineRule="exact"/>
        <w:rPr>
          <w:rFonts w:hAnsi="宋体" w:cs="宋体"/>
          <w:b/>
          <w:bCs/>
          <w:snapToGrid w:val="0"/>
          <w:color w:val="auto"/>
          <w:kern w:val="0"/>
          <w:szCs w:val="24"/>
          <w:highlight w:val="none"/>
        </w:rPr>
      </w:pPr>
    </w:p>
    <w:p w14:paraId="1D02247C">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授权委托书</w:t>
      </w:r>
    </w:p>
    <w:p w14:paraId="2077EBE8">
      <w:pPr>
        <w:wordWrap w:val="0"/>
        <w:adjustRightInd w:val="0"/>
        <w:snapToGrid w:val="0"/>
        <w:spacing w:line="440" w:lineRule="exact"/>
        <w:rPr>
          <w:rFonts w:hAnsi="宋体" w:cs="宋体"/>
          <w:snapToGrid w:val="0"/>
          <w:color w:val="auto"/>
          <w:kern w:val="0"/>
          <w:szCs w:val="28"/>
          <w:highlight w:val="none"/>
        </w:rPr>
      </w:pPr>
    </w:p>
    <w:p w14:paraId="30754A5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本人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（投标人名称）的法定代表人，现委托</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（姓名）为我方代理人。代理人根据授权，以我方名义签署、澄清、说明、补正、递交、撤回、修改</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委托期限：至</w:t>
      </w:r>
      <w:r>
        <w:rPr>
          <w:rFonts w:hint="eastAsia" w:hAnsi="宋体" w:cs="宋体"/>
          <w:snapToGrid w:val="0"/>
          <w:color w:val="auto"/>
          <w:kern w:val="0"/>
          <w:szCs w:val="21"/>
          <w:highlight w:val="none"/>
          <w:u w:val="single"/>
        </w:rPr>
        <w:t xml:space="preserve">     年   月   日</w:t>
      </w:r>
      <w:r>
        <w:rPr>
          <w:rFonts w:hint="eastAsia" w:hAnsi="宋体" w:cs="宋体"/>
          <w:i/>
          <w:iCs/>
          <w:snapToGrid w:val="0"/>
          <w:color w:val="auto"/>
          <w:kern w:val="0"/>
          <w:szCs w:val="21"/>
          <w:highlight w:val="none"/>
          <w:u w:val="single"/>
        </w:rPr>
        <w:t>（不得短于招标文件规定的投标有效期）</w:t>
      </w:r>
      <w:r>
        <w:rPr>
          <w:rFonts w:hint="eastAsia" w:hAnsi="宋体" w:cs="宋体"/>
          <w:snapToGrid w:val="0"/>
          <w:color w:val="auto"/>
          <w:kern w:val="0"/>
          <w:szCs w:val="21"/>
          <w:highlight w:val="none"/>
        </w:rPr>
        <w:t xml:space="preserve"> 。</w:t>
      </w:r>
    </w:p>
    <w:p w14:paraId="58D17578">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代理人无转委托权。</w:t>
      </w:r>
    </w:p>
    <w:p w14:paraId="1B59B3DA">
      <w:pPr>
        <w:wordWrap w:val="0"/>
        <w:adjustRightInd w:val="0"/>
        <w:snapToGrid w:val="0"/>
        <w:spacing w:line="440" w:lineRule="exact"/>
        <w:ind w:firstLine="480" w:firstLineChars="200"/>
        <w:rPr>
          <w:rFonts w:hAnsi="宋体" w:cs="宋体"/>
          <w:snapToGrid w:val="0"/>
          <w:color w:val="auto"/>
          <w:kern w:val="0"/>
          <w:szCs w:val="21"/>
          <w:highlight w:val="none"/>
        </w:rPr>
      </w:pPr>
    </w:p>
    <w:p w14:paraId="2168011B">
      <w:pPr>
        <w:wordWrap w:val="0"/>
        <w:adjustRightInd w:val="0"/>
        <w:snapToGrid w:val="0"/>
        <w:spacing w:line="440" w:lineRule="exact"/>
        <w:ind w:firstLine="480" w:firstLineChars="200"/>
        <w:rPr>
          <w:rFonts w:hAnsi="宋体" w:cs="宋体"/>
          <w:snapToGrid w:val="0"/>
          <w:color w:val="auto"/>
          <w:kern w:val="0"/>
          <w:szCs w:val="21"/>
          <w:highlight w:val="none"/>
        </w:rPr>
      </w:pPr>
    </w:p>
    <w:p w14:paraId="5D117B02">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657F48EA">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5A982326">
      <w:pPr>
        <w:wordWrap w:val="0"/>
        <w:adjustRightInd w:val="0"/>
        <w:snapToGrid w:val="0"/>
        <w:spacing w:line="440" w:lineRule="exact"/>
        <w:ind w:firstLine="480" w:firstLineChars="200"/>
        <w:rPr>
          <w:rFonts w:hAnsi="宋体" w:cs="宋体"/>
          <w:snapToGrid w:val="0"/>
          <w:color w:val="auto"/>
          <w:kern w:val="0"/>
          <w:szCs w:val="21"/>
          <w:highlight w:val="none"/>
        </w:rPr>
      </w:pPr>
    </w:p>
    <w:p w14:paraId="47DE65D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6F4080A1">
      <w:pPr>
        <w:wordWrap w:val="0"/>
        <w:adjustRightInd w:val="0"/>
        <w:snapToGrid w:val="0"/>
        <w:spacing w:line="440" w:lineRule="exact"/>
        <w:ind w:firstLine="480" w:firstLineChars="200"/>
        <w:rPr>
          <w:rFonts w:hAnsi="宋体" w:cs="宋体"/>
          <w:snapToGrid w:val="0"/>
          <w:color w:val="auto"/>
          <w:kern w:val="0"/>
          <w:szCs w:val="21"/>
          <w:highlight w:val="none"/>
        </w:rPr>
      </w:pPr>
    </w:p>
    <w:p w14:paraId="636F6053">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516C980D">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p>
    <w:p w14:paraId="07FCA71E">
      <w:pPr>
        <w:wordWrap w:val="0"/>
        <w:adjustRightInd w:val="0"/>
        <w:snapToGrid w:val="0"/>
        <w:spacing w:line="440" w:lineRule="exact"/>
        <w:ind w:firstLine="480" w:firstLineChars="200"/>
        <w:rPr>
          <w:rFonts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764F8561">
      <w:pPr>
        <w:wordWrap w:val="0"/>
        <w:adjustRightInd w:val="0"/>
        <w:snapToGrid w:val="0"/>
        <w:spacing w:line="440" w:lineRule="exact"/>
        <w:ind w:firstLine="480" w:firstLineChars="200"/>
        <w:rPr>
          <w:rFonts w:hAnsi="宋体" w:cs="宋体"/>
          <w:snapToGrid w:val="0"/>
          <w:color w:val="auto"/>
          <w:kern w:val="0"/>
          <w:szCs w:val="21"/>
          <w:highlight w:val="none"/>
        </w:rPr>
      </w:pPr>
    </w:p>
    <w:p w14:paraId="79AD2214">
      <w:pPr>
        <w:wordWrap w:val="0"/>
        <w:adjustRightInd w:val="0"/>
        <w:snapToGrid w:val="0"/>
        <w:spacing w:line="440" w:lineRule="exact"/>
        <w:ind w:firstLine="480" w:firstLineChars="200"/>
        <w:rPr>
          <w:rFonts w:hAnsi="宋体" w:cs="宋体"/>
          <w:snapToGrid w:val="0"/>
          <w:color w:val="auto"/>
          <w:kern w:val="0"/>
          <w:szCs w:val="21"/>
          <w:highlight w:val="none"/>
        </w:rPr>
      </w:pPr>
    </w:p>
    <w:p w14:paraId="523F244E">
      <w:pPr>
        <w:wordWrap w:val="0"/>
        <w:adjustRightInd w:val="0"/>
        <w:snapToGrid w:val="0"/>
        <w:ind w:firstLine="6440" w:firstLineChars="2300"/>
        <w:rPr>
          <w:rFonts w:hAnsi="宋体" w:cs="宋体"/>
          <w:snapToGrid w:val="0"/>
          <w:color w:val="auto"/>
          <w:kern w:val="0"/>
          <w:szCs w:val="24"/>
          <w:highlight w:val="none"/>
        </w:rPr>
      </w:pPr>
      <w:r>
        <w:rPr>
          <w:rFonts w:hint="eastAsia" w:hAnsi="宋体" w:cs="宋体"/>
          <w:snapToGrid w:val="0"/>
          <w:color w:val="auto"/>
          <w:kern w:val="0"/>
          <w:sz w:val="28"/>
          <w:szCs w:val="28"/>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1312;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1"/>
        <w:wordWrap w:val="0"/>
        <w:adjustRightInd w:val="0"/>
        <w:snapToGrid w:val="0"/>
        <w:rPr>
          <w:rFonts w:hAnsi="宋体" w:cs="宋体"/>
          <w:snapToGrid w:val="0"/>
          <w:color w:val="auto"/>
          <w:kern w:val="0"/>
          <w:szCs w:val="24"/>
          <w:highlight w:val="none"/>
        </w:rPr>
      </w:pPr>
    </w:p>
    <w:p w14:paraId="3DEB4B42">
      <w:pPr>
        <w:bidi w:val="0"/>
        <w:rPr>
          <w:color w:val="auto"/>
          <w:highlight w:val="none"/>
        </w:rPr>
      </w:pPr>
    </w:p>
    <w:p w14:paraId="4EE63B06">
      <w:pPr>
        <w:wordWrap w:val="0"/>
        <w:adjustRightInd w:val="0"/>
        <w:snapToGrid w:val="0"/>
        <w:rPr>
          <w:rFonts w:hAnsi="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047810DC">
      <w:pPr>
        <w:wordWrap w:val="0"/>
        <w:adjustRightInd w:val="0"/>
        <w:snapToGrid w:val="0"/>
        <w:spacing w:line="440" w:lineRule="exact"/>
        <w:outlineLvl w:val="1"/>
        <w:rPr>
          <w:rFonts w:hAnsi="宋体" w:cs="宋体"/>
          <w:b/>
          <w:snapToGrid w:val="0"/>
          <w:color w:val="auto"/>
          <w:kern w:val="0"/>
          <w:highlight w:val="none"/>
        </w:rPr>
      </w:pPr>
      <w:bookmarkStart w:id="321" w:name="_Toc27423"/>
      <w:r>
        <w:rPr>
          <w:rFonts w:hint="eastAsia" w:hAnsi="宋体" w:cs="宋体"/>
          <w:b/>
          <w:snapToGrid w:val="0"/>
          <w:color w:val="auto"/>
          <w:kern w:val="0"/>
          <w:highlight w:val="none"/>
        </w:rPr>
        <w:t>格式五 法定代表人身份证明</w:t>
      </w:r>
      <w:bookmarkEnd w:id="321"/>
    </w:p>
    <w:p w14:paraId="6BB79DDB">
      <w:pPr>
        <w:wordWrap w:val="0"/>
        <w:adjustRightInd w:val="0"/>
        <w:snapToGrid w:val="0"/>
        <w:spacing w:line="440" w:lineRule="exact"/>
        <w:rPr>
          <w:rFonts w:hAnsi="宋体" w:cs="宋体"/>
          <w:b/>
          <w:snapToGrid w:val="0"/>
          <w:color w:val="auto"/>
          <w:kern w:val="0"/>
          <w:highlight w:val="none"/>
        </w:rPr>
      </w:pPr>
    </w:p>
    <w:p w14:paraId="16729C42">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法定代表人身份证明</w:t>
      </w:r>
    </w:p>
    <w:p w14:paraId="2FF4BF41">
      <w:pPr>
        <w:wordWrap w:val="0"/>
        <w:adjustRightInd w:val="0"/>
        <w:snapToGrid w:val="0"/>
        <w:spacing w:line="440" w:lineRule="exact"/>
        <w:rPr>
          <w:rFonts w:hAnsi="宋体" w:cs="宋体"/>
          <w:snapToGrid w:val="0"/>
          <w:color w:val="auto"/>
          <w:kern w:val="0"/>
          <w:szCs w:val="21"/>
          <w:highlight w:val="none"/>
        </w:rPr>
      </w:pPr>
    </w:p>
    <w:p w14:paraId="7DB8BCD1">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5F87A2BE">
      <w:pPr>
        <w:wordWrap w:val="0"/>
        <w:adjustRightInd w:val="0"/>
        <w:snapToGrid w:val="0"/>
        <w:spacing w:line="440" w:lineRule="exact"/>
        <w:rPr>
          <w:rFonts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49E9994E">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0EC840B0">
      <w:pPr>
        <w:wordWrap w:val="0"/>
        <w:adjustRightInd w:val="0"/>
        <w:snapToGrid w:val="0"/>
        <w:spacing w:line="440" w:lineRule="exac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6BD5A741">
      <w:pPr>
        <w:wordWrap w:val="0"/>
        <w:adjustRightInd w:val="0"/>
        <w:snapToGrid w:val="0"/>
        <w:spacing w:line="440" w:lineRule="exact"/>
        <w:rPr>
          <w:rFonts w:hAnsi="宋体" w:cs="宋体"/>
          <w:snapToGrid w:val="0"/>
          <w:color w:val="auto"/>
          <w:kern w:val="0"/>
          <w:szCs w:val="21"/>
          <w:highlight w:val="none"/>
        </w:rPr>
      </w:pPr>
    </w:p>
    <w:p w14:paraId="2E95E920">
      <w:pPr>
        <w:wordWrap w:val="0"/>
        <w:adjustRightInd w:val="0"/>
        <w:snapToGrid w:val="0"/>
        <w:spacing w:line="440" w:lineRule="exact"/>
        <w:rPr>
          <w:rFonts w:hAnsi="宋体" w:cs="宋体"/>
          <w:snapToGrid w:val="0"/>
          <w:color w:val="auto"/>
          <w:kern w:val="0"/>
          <w:szCs w:val="21"/>
          <w:highlight w:val="none"/>
        </w:rPr>
      </w:pPr>
    </w:p>
    <w:p w14:paraId="2BAF37F3">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15931070">
      <w:pPr>
        <w:wordWrap w:val="0"/>
        <w:adjustRightInd w:val="0"/>
        <w:snapToGrid w:val="0"/>
        <w:spacing w:line="440" w:lineRule="exact"/>
        <w:jc w:val="right"/>
        <w:rPr>
          <w:rFonts w:hAnsi="宋体" w:cs="宋体"/>
          <w:snapToGrid w:val="0"/>
          <w:color w:val="auto"/>
          <w:kern w:val="0"/>
          <w:szCs w:val="21"/>
          <w:highlight w:val="none"/>
        </w:rPr>
      </w:pPr>
    </w:p>
    <w:p w14:paraId="4E9E006A">
      <w:pPr>
        <w:wordWrap w:val="0"/>
        <w:adjustRightInd w:val="0"/>
        <w:snapToGrid w:val="0"/>
        <w:spacing w:line="440" w:lineRule="exact"/>
        <w:jc w:val="right"/>
        <w:rPr>
          <w:rFonts w:hAnsi="宋体" w:cs="宋体"/>
          <w:snapToGrid w:val="0"/>
          <w:color w:val="auto"/>
          <w:kern w:val="0"/>
          <w:szCs w:val="21"/>
          <w:highlight w:val="none"/>
        </w:rPr>
      </w:pPr>
    </w:p>
    <w:p w14:paraId="6E1D2B4A">
      <w:pPr>
        <w:wordWrap w:val="0"/>
        <w:adjustRightInd w:val="0"/>
        <w:snapToGrid w:val="0"/>
        <w:spacing w:line="440" w:lineRule="exact"/>
        <w:jc w:val="right"/>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C11D6D8">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4649928B">
      <w:pPr>
        <w:wordWrap w:val="0"/>
        <w:adjustRightInd w:val="0"/>
        <w:snapToGrid w:val="0"/>
        <w:spacing w:line="440" w:lineRule="exact"/>
        <w:jc w:val="center"/>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5AC0A295">
      <w:pPr>
        <w:wordWrap w:val="0"/>
        <w:adjustRightInd w:val="0"/>
        <w:snapToGrid w:val="0"/>
        <w:spacing w:line="440" w:lineRule="exact"/>
        <w:ind w:firstLine="240" w:firstLineChars="100"/>
        <w:rPr>
          <w:rFonts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76CD658E">
      <w:pPr>
        <w:wordWrap w:val="0"/>
        <w:adjustRightInd w:val="0"/>
        <w:snapToGrid w:val="0"/>
        <w:spacing w:line="440" w:lineRule="exact"/>
        <w:ind w:firstLine="240" w:firstLineChars="100"/>
        <w:rPr>
          <w:rFonts w:hAnsi="宋体" w:cs="宋体"/>
          <w:snapToGrid w:val="0"/>
          <w:color w:val="auto"/>
          <w:kern w:val="0"/>
          <w:szCs w:val="21"/>
          <w:highlight w:val="none"/>
        </w:rPr>
      </w:pPr>
    </w:p>
    <w:p w14:paraId="658B356B">
      <w:pPr>
        <w:wordWrap w:val="0"/>
        <w:adjustRightInd w:val="0"/>
        <w:snapToGrid w:val="0"/>
        <w:spacing w:line="440" w:lineRule="exact"/>
        <w:ind w:firstLine="240" w:firstLineChars="100"/>
        <w:rPr>
          <w:rFonts w:hAnsi="宋体" w:cs="宋体"/>
          <w:snapToGrid w:val="0"/>
          <w:color w:val="auto"/>
          <w:kern w:val="0"/>
          <w:szCs w:val="21"/>
          <w:highlight w:val="none"/>
        </w:rPr>
      </w:pPr>
    </w:p>
    <w:p w14:paraId="5B344952">
      <w:pPr>
        <w:wordWrap w:val="0"/>
        <w:adjustRightInd w:val="0"/>
        <w:snapToGrid w:val="0"/>
        <w:spacing w:line="440" w:lineRule="exact"/>
        <w:ind w:firstLine="720" w:firstLineChars="300"/>
        <w:rPr>
          <w:rFonts w:hAnsi="宋体" w:cs="宋体"/>
          <w:b/>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i/>
          <w:iCs/>
          <w:snapToGrid w:val="0"/>
          <w:color w:val="auto"/>
          <w:kern w:val="0"/>
          <w:szCs w:val="21"/>
          <w:highlight w:val="none"/>
        </w:rPr>
        <w:t xml:space="preserve"> </w:t>
      </w:r>
    </w:p>
    <w:p w14:paraId="1F32B462">
      <w:pPr>
        <w:wordWrap w:val="0"/>
        <w:adjustRightInd w:val="0"/>
        <w:snapToGrid w:val="0"/>
        <w:rPr>
          <w:rFonts w:hAnsi="宋体" w:cs="宋体"/>
          <w:b/>
          <w:snapToGrid w:val="0"/>
          <w:color w:val="auto"/>
          <w:kern w:val="0"/>
          <w:szCs w:val="21"/>
          <w:highlight w:val="none"/>
        </w:rPr>
      </w:pPr>
      <w:r>
        <w:rPr>
          <w:rFonts w:hint="eastAsia" w:hAnsi="宋体" w:cs="宋体"/>
          <w:b/>
          <w:snapToGrid w:val="0"/>
          <w:color w:val="auto"/>
          <w:kern w:val="0"/>
          <w:szCs w:val="21"/>
          <w:highlight w:val="none"/>
        </w:rPr>
        <mc:AlternateContent>
          <mc:Choice Requires="wps">
            <w:drawing>
              <wp:anchor distT="0" distB="0" distL="114300" distR="114300" simplePos="0" relativeHeight="251660288"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60288;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auto"/>
          <w:kern w:val="0"/>
          <w:sz w:val="28"/>
          <w:szCs w:val="28"/>
          <w:highlight w:val="none"/>
        </w:rPr>
      </w:pPr>
    </w:p>
    <w:p w14:paraId="42859630">
      <w:pPr>
        <w:wordWrap w:val="0"/>
        <w:adjustRightInd w:val="0"/>
        <w:snapToGrid w:val="0"/>
        <w:spacing w:line="480" w:lineRule="exact"/>
        <w:jc w:val="center"/>
        <w:rPr>
          <w:rFonts w:hAnsi="宋体" w:cs="宋体"/>
          <w:b/>
          <w:snapToGrid w:val="0"/>
          <w:color w:val="auto"/>
          <w:kern w:val="0"/>
          <w:sz w:val="28"/>
          <w:szCs w:val="28"/>
          <w:highlight w:val="none"/>
        </w:rPr>
      </w:pPr>
    </w:p>
    <w:p w14:paraId="67FF2234">
      <w:pPr>
        <w:wordWrap w:val="0"/>
        <w:adjustRightInd w:val="0"/>
        <w:snapToGrid w:val="0"/>
        <w:spacing w:line="480" w:lineRule="exact"/>
        <w:jc w:val="center"/>
        <w:rPr>
          <w:rFonts w:hAnsi="宋体" w:cs="宋体"/>
          <w:b/>
          <w:snapToGrid w:val="0"/>
          <w:color w:val="auto"/>
          <w:kern w:val="0"/>
          <w:sz w:val="28"/>
          <w:szCs w:val="28"/>
          <w:highlight w:val="none"/>
        </w:rPr>
      </w:pPr>
    </w:p>
    <w:p w14:paraId="75D1150B">
      <w:pPr>
        <w:wordWrap w:val="0"/>
        <w:adjustRightInd w:val="0"/>
        <w:snapToGrid w:val="0"/>
        <w:spacing w:line="480" w:lineRule="exact"/>
        <w:jc w:val="center"/>
        <w:rPr>
          <w:rFonts w:hAnsi="宋体" w:cs="宋体"/>
          <w:b/>
          <w:snapToGrid w:val="0"/>
          <w:color w:val="auto"/>
          <w:kern w:val="0"/>
          <w:sz w:val="28"/>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27DA5F30">
      <w:pPr>
        <w:wordWrap w:val="0"/>
        <w:adjustRightInd w:val="0"/>
        <w:snapToGrid w:val="0"/>
        <w:spacing w:line="440" w:lineRule="exact"/>
        <w:outlineLvl w:val="1"/>
        <w:rPr>
          <w:rFonts w:hAnsi="宋体" w:cs="宋体"/>
          <w:b/>
          <w:bCs/>
          <w:snapToGrid w:val="0"/>
          <w:color w:val="auto"/>
          <w:kern w:val="0"/>
          <w:szCs w:val="24"/>
          <w:highlight w:val="none"/>
        </w:rPr>
      </w:pPr>
      <w:bookmarkStart w:id="322" w:name="_Toc474"/>
      <w:r>
        <w:rPr>
          <w:rFonts w:hint="eastAsia" w:hAnsi="宋体" w:cs="宋体"/>
          <w:b/>
          <w:bCs/>
          <w:snapToGrid w:val="0"/>
          <w:color w:val="auto"/>
          <w:kern w:val="0"/>
          <w:szCs w:val="24"/>
          <w:highlight w:val="none"/>
        </w:rPr>
        <w:t>格式六 投标人基本情况表</w:t>
      </w:r>
      <w:bookmarkEnd w:id="322"/>
    </w:p>
    <w:p w14:paraId="3C45457B">
      <w:pPr>
        <w:pStyle w:val="74"/>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投标人基本情况表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vAlign w:val="center"/>
          </w:tcPr>
          <w:p w14:paraId="29F5C9C3">
            <w:pPr>
              <w:pStyle w:val="138"/>
              <w:wordWrap w:val="0"/>
              <w:adjustRightInd w:val="0"/>
              <w:snapToGrid w:val="0"/>
              <w:jc w:val="center"/>
              <w:rPr>
                <w:rFonts w:ascii="宋体" w:hAnsi="宋体" w:cs="宋体"/>
                <w:snapToGrid w:val="0"/>
                <w:color w:val="auto"/>
                <w:kern w:val="0"/>
                <w:szCs w:val="21"/>
                <w:highlight w:val="none"/>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vAlign w:val="center"/>
          </w:tcPr>
          <w:p w14:paraId="41522393">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0BEA5ED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vAlign w:val="center"/>
          </w:tcPr>
          <w:p w14:paraId="515E2314">
            <w:pPr>
              <w:pStyle w:val="138"/>
              <w:wordWrap w:val="0"/>
              <w:adjustRightInd w:val="0"/>
              <w:snapToGrid w:val="0"/>
              <w:jc w:val="center"/>
              <w:rPr>
                <w:rFonts w:ascii="宋体" w:hAnsi="宋体" w:cs="宋体"/>
                <w:snapToGrid w:val="0"/>
                <w:color w:val="auto"/>
                <w:kern w:val="0"/>
                <w:szCs w:val="21"/>
                <w:highlight w:val="none"/>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vAlign w:val="center"/>
          </w:tcPr>
          <w:p w14:paraId="7594670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vAlign w:val="center"/>
          </w:tcPr>
          <w:p w14:paraId="164B535F">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7B9898D">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vAlign w:val="center"/>
          </w:tcPr>
          <w:p w14:paraId="137FBF1E">
            <w:pPr>
              <w:pStyle w:val="138"/>
              <w:wordWrap w:val="0"/>
              <w:adjustRightInd w:val="0"/>
              <w:snapToGrid w:val="0"/>
              <w:jc w:val="center"/>
              <w:rPr>
                <w:rFonts w:ascii="宋体" w:hAnsi="宋体" w:cs="宋体"/>
                <w:snapToGrid w:val="0"/>
                <w:color w:val="auto"/>
                <w:kern w:val="0"/>
                <w:szCs w:val="21"/>
                <w:highlight w:val="none"/>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8"/>
              <w:wordWrap w:val="0"/>
              <w:adjustRightInd w:val="0"/>
              <w:snapToGrid w:val="0"/>
              <w:jc w:val="center"/>
              <w:rPr>
                <w:rFonts w:ascii="宋体" w:hAnsi="宋体" w:cs="宋体"/>
                <w:snapToGrid w:val="0"/>
                <w:color w:val="auto"/>
                <w:kern w:val="0"/>
                <w:szCs w:val="21"/>
                <w:highlight w:val="none"/>
              </w:rPr>
            </w:pPr>
          </w:p>
        </w:tc>
        <w:tc>
          <w:tcPr>
            <w:tcW w:w="897" w:type="dxa"/>
            <w:vAlign w:val="center"/>
          </w:tcPr>
          <w:p w14:paraId="321DEB8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vAlign w:val="center"/>
          </w:tcPr>
          <w:p w14:paraId="4DCC7DF0">
            <w:pPr>
              <w:pStyle w:val="138"/>
              <w:wordWrap w:val="0"/>
              <w:adjustRightInd w:val="0"/>
              <w:snapToGrid w:val="0"/>
              <w:jc w:val="center"/>
              <w:rPr>
                <w:rFonts w:ascii="宋体" w:hAnsi="宋体" w:cs="宋体"/>
                <w:snapToGrid w:val="0"/>
                <w:color w:val="auto"/>
                <w:kern w:val="0"/>
                <w:szCs w:val="21"/>
                <w:highlight w:val="none"/>
              </w:rPr>
            </w:pPr>
          </w:p>
        </w:tc>
        <w:tc>
          <w:tcPr>
            <w:tcW w:w="1246" w:type="dxa"/>
            <w:gridSpan w:val="2"/>
            <w:vAlign w:val="center"/>
          </w:tcPr>
          <w:p w14:paraId="60A861B3">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vAlign w:val="center"/>
          </w:tcPr>
          <w:p w14:paraId="2B81EB7B">
            <w:pPr>
              <w:pStyle w:val="138"/>
              <w:wordWrap w:val="0"/>
              <w:adjustRightInd w:val="0"/>
              <w:snapToGrid w:val="0"/>
              <w:jc w:val="center"/>
              <w:rPr>
                <w:rFonts w:ascii="宋体" w:hAnsi="宋体" w:cs="宋体"/>
                <w:snapToGrid w:val="0"/>
                <w:color w:val="auto"/>
                <w:kern w:val="0"/>
                <w:szCs w:val="21"/>
                <w:highlight w:val="none"/>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vAlign w:val="center"/>
          </w:tcPr>
          <w:p w14:paraId="7308E28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01032AE9">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0722914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7AD6FF43">
            <w:pPr>
              <w:pStyle w:val="138"/>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6E7CBB9E">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44831199">
            <w:pPr>
              <w:pStyle w:val="138"/>
              <w:wordWrap w:val="0"/>
              <w:adjustRightInd w:val="0"/>
              <w:snapToGrid w:val="0"/>
              <w:jc w:val="center"/>
              <w:rPr>
                <w:rFonts w:ascii="宋体" w:hAnsi="宋体" w:cs="宋体"/>
                <w:snapToGrid w:val="0"/>
                <w:color w:val="auto"/>
                <w:kern w:val="0"/>
                <w:szCs w:val="21"/>
                <w:highlight w:val="none"/>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技术负责人</w:t>
            </w:r>
          </w:p>
        </w:tc>
        <w:tc>
          <w:tcPr>
            <w:tcW w:w="897" w:type="dxa"/>
            <w:vAlign w:val="center"/>
          </w:tcPr>
          <w:p w14:paraId="2CF40332">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4F32A38E">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Align w:val="center"/>
          </w:tcPr>
          <w:p w14:paraId="76373BE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414D5E8B">
            <w:pPr>
              <w:pStyle w:val="138"/>
              <w:wordWrap w:val="0"/>
              <w:adjustRightInd w:val="0"/>
              <w:snapToGrid w:val="0"/>
              <w:jc w:val="center"/>
              <w:rPr>
                <w:rFonts w:ascii="宋体" w:hAnsi="宋体" w:cs="宋体"/>
                <w:snapToGrid w:val="0"/>
                <w:color w:val="auto"/>
                <w:kern w:val="0"/>
                <w:szCs w:val="21"/>
                <w:highlight w:val="none"/>
              </w:rPr>
            </w:pPr>
          </w:p>
        </w:tc>
        <w:tc>
          <w:tcPr>
            <w:tcW w:w="709" w:type="dxa"/>
            <w:vAlign w:val="center"/>
          </w:tcPr>
          <w:p w14:paraId="25D8523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300E4877">
            <w:pPr>
              <w:pStyle w:val="138"/>
              <w:wordWrap w:val="0"/>
              <w:adjustRightInd w:val="0"/>
              <w:snapToGrid w:val="0"/>
              <w:jc w:val="center"/>
              <w:rPr>
                <w:rFonts w:ascii="宋体" w:hAnsi="宋体" w:cs="宋体"/>
                <w:snapToGrid w:val="0"/>
                <w:color w:val="auto"/>
                <w:kern w:val="0"/>
                <w:szCs w:val="21"/>
                <w:highlight w:val="none"/>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成立日期</w:t>
            </w:r>
          </w:p>
        </w:tc>
        <w:tc>
          <w:tcPr>
            <w:tcW w:w="2586" w:type="dxa"/>
            <w:gridSpan w:val="2"/>
            <w:vAlign w:val="center"/>
          </w:tcPr>
          <w:p w14:paraId="31845C08">
            <w:pPr>
              <w:pStyle w:val="138"/>
              <w:wordWrap w:val="0"/>
              <w:adjustRightInd w:val="0"/>
              <w:snapToGrid w:val="0"/>
              <w:jc w:val="center"/>
              <w:rPr>
                <w:rFonts w:ascii="宋体" w:hAnsi="宋体" w:cs="宋体"/>
                <w:snapToGrid w:val="0"/>
                <w:color w:val="auto"/>
                <w:kern w:val="0"/>
                <w:szCs w:val="21"/>
                <w:highlight w:val="none"/>
              </w:rPr>
            </w:pPr>
          </w:p>
        </w:tc>
        <w:tc>
          <w:tcPr>
            <w:tcW w:w="4434" w:type="dxa"/>
            <w:gridSpan w:val="6"/>
            <w:vAlign w:val="center"/>
          </w:tcPr>
          <w:p w14:paraId="5488CAE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w:t>
            </w:r>
          </w:p>
          <w:p w14:paraId="70FDE49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类型和等级</w:t>
            </w:r>
          </w:p>
        </w:tc>
        <w:tc>
          <w:tcPr>
            <w:tcW w:w="2586" w:type="dxa"/>
            <w:gridSpan w:val="2"/>
            <w:vAlign w:val="center"/>
          </w:tcPr>
          <w:p w14:paraId="3FBBCF9F">
            <w:pPr>
              <w:pStyle w:val="138"/>
              <w:wordWrap w:val="0"/>
              <w:adjustRightInd w:val="0"/>
              <w:snapToGrid w:val="0"/>
              <w:jc w:val="left"/>
              <w:rPr>
                <w:rFonts w:ascii="宋体" w:hAnsi="宋体" w:cs="宋体"/>
                <w:snapToGrid w:val="0"/>
                <w:color w:val="auto"/>
                <w:kern w:val="0"/>
                <w:szCs w:val="21"/>
                <w:highlight w:val="none"/>
              </w:rPr>
            </w:pPr>
          </w:p>
        </w:tc>
        <w:tc>
          <w:tcPr>
            <w:tcW w:w="1089" w:type="dxa"/>
            <w:gridSpan w:val="2"/>
            <w:vMerge w:val="restart"/>
            <w:vAlign w:val="center"/>
          </w:tcPr>
          <w:p w14:paraId="53F8BA9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vAlign w:val="center"/>
          </w:tcPr>
          <w:p w14:paraId="13106D9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各类注册人员</w:t>
            </w:r>
          </w:p>
        </w:tc>
        <w:tc>
          <w:tcPr>
            <w:tcW w:w="1416" w:type="dxa"/>
            <w:vAlign w:val="center"/>
          </w:tcPr>
          <w:p w14:paraId="66A45836">
            <w:pPr>
              <w:pStyle w:val="138"/>
              <w:wordWrap w:val="0"/>
              <w:adjustRightInd w:val="0"/>
              <w:snapToGrid w:val="0"/>
              <w:jc w:val="center"/>
              <w:rPr>
                <w:rFonts w:ascii="宋体" w:hAnsi="宋体" w:cs="宋体"/>
                <w:snapToGrid w:val="0"/>
                <w:color w:val="auto"/>
                <w:kern w:val="0"/>
                <w:szCs w:val="21"/>
                <w:highlight w:val="none"/>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vAlign w:val="center"/>
          </w:tcPr>
          <w:p w14:paraId="537F167F">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2FE95C77">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58F77C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vAlign w:val="center"/>
          </w:tcPr>
          <w:p w14:paraId="6727EBCF">
            <w:pPr>
              <w:pStyle w:val="138"/>
              <w:wordWrap w:val="0"/>
              <w:adjustRightInd w:val="0"/>
              <w:snapToGrid w:val="0"/>
              <w:jc w:val="center"/>
              <w:rPr>
                <w:rFonts w:ascii="宋体" w:hAnsi="宋体" w:cs="宋体"/>
                <w:snapToGrid w:val="0"/>
                <w:color w:val="auto"/>
                <w:kern w:val="0"/>
                <w:szCs w:val="21"/>
                <w:highlight w:val="none"/>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vAlign w:val="center"/>
          </w:tcPr>
          <w:p w14:paraId="6B4F28EE">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339F6456">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099C1C60">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vAlign w:val="center"/>
          </w:tcPr>
          <w:p w14:paraId="5467645F">
            <w:pPr>
              <w:pStyle w:val="138"/>
              <w:wordWrap w:val="0"/>
              <w:adjustRightInd w:val="0"/>
              <w:snapToGrid w:val="0"/>
              <w:jc w:val="center"/>
              <w:rPr>
                <w:rFonts w:ascii="宋体" w:hAnsi="宋体" w:cs="宋体"/>
                <w:snapToGrid w:val="0"/>
                <w:color w:val="auto"/>
                <w:kern w:val="0"/>
                <w:szCs w:val="21"/>
                <w:highlight w:val="none"/>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66D9813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vAlign w:val="center"/>
          </w:tcPr>
          <w:p w14:paraId="531EB950">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6FB92093">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7786B5B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vAlign w:val="center"/>
          </w:tcPr>
          <w:p w14:paraId="5AAF3BA2">
            <w:pPr>
              <w:pStyle w:val="138"/>
              <w:wordWrap w:val="0"/>
              <w:adjustRightInd w:val="0"/>
              <w:snapToGrid w:val="0"/>
              <w:jc w:val="center"/>
              <w:rPr>
                <w:rFonts w:ascii="宋体" w:hAnsi="宋体" w:cs="宋体"/>
                <w:snapToGrid w:val="0"/>
                <w:color w:val="auto"/>
                <w:kern w:val="0"/>
                <w:szCs w:val="21"/>
                <w:highlight w:val="none"/>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41FAD386">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银行账号</w:t>
            </w:r>
          </w:p>
        </w:tc>
        <w:tc>
          <w:tcPr>
            <w:tcW w:w="2586" w:type="dxa"/>
            <w:gridSpan w:val="2"/>
            <w:vAlign w:val="center"/>
          </w:tcPr>
          <w:p w14:paraId="5F82E5BB">
            <w:pPr>
              <w:pStyle w:val="138"/>
              <w:wordWrap w:val="0"/>
              <w:adjustRightInd w:val="0"/>
              <w:snapToGrid w:val="0"/>
              <w:jc w:val="center"/>
              <w:rPr>
                <w:rFonts w:ascii="宋体" w:hAnsi="宋体" w:cs="宋体"/>
                <w:snapToGrid w:val="0"/>
                <w:color w:val="auto"/>
                <w:kern w:val="0"/>
                <w:szCs w:val="21"/>
                <w:highlight w:val="none"/>
              </w:rPr>
            </w:pPr>
          </w:p>
        </w:tc>
        <w:tc>
          <w:tcPr>
            <w:tcW w:w="1089" w:type="dxa"/>
            <w:gridSpan w:val="2"/>
            <w:vMerge w:val="continue"/>
            <w:vAlign w:val="center"/>
          </w:tcPr>
          <w:p w14:paraId="4376DF60">
            <w:pPr>
              <w:pStyle w:val="138"/>
              <w:wordWrap w:val="0"/>
              <w:adjustRightInd w:val="0"/>
              <w:snapToGrid w:val="0"/>
              <w:jc w:val="center"/>
              <w:rPr>
                <w:rFonts w:ascii="宋体" w:hAnsi="宋体" w:cs="宋体"/>
                <w:snapToGrid w:val="0"/>
                <w:color w:val="auto"/>
                <w:kern w:val="0"/>
                <w:szCs w:val="21"/>
                <w:highlight w:val="none"/>
              </w:rPr>
            </w:pPr>
          </w:p>
        </w:tc>
        <w:tc>
          <w:tcPr>
            <w:tcW w:w="1929" w:type="dxa"/>
            <w:gridSpan w:val="3"/>
            <w:vAlign w:val="center"/>
          </w:tcPr>
          <w:p w14:paraId="4671252B">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vAlign w:val="center"/>
          </w:tcPr>
          <w:p w14:paraId="5F52F934">
            <w:pPr>
              <w:pStyle w:val="138"/>
              <w:wordWrap w:val="0"/>
              <w:adjustRightInd w:val="0"/>
              <w:snapToGrid w:val="0"/>
              <w:jc w:val="center"/>
              <w:rPr>
                <w:rFonts w:ascii="宋体" w:hAnsi="宋体" w:cs="宋体"/>
                <w:snapToGrid w:val="0"/>
                <w:color w:val="auto"/>
                <w:kern w:val="0"/>
                <w:szCs w:val="21"/>
                <w:highlight w:val="none"/>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vAlign w:val="center"/>
          </w:tcPr>
          <w:p w14:paraId="28B3173C">
            <w:pPr>
              <w:pStyle w:val="138"/>
              <w:wordWrap w:val="0"/>
              <w:adjustRightInd w:val="0"/>
              <w:snapToGrid w:val="0"/>
              <w:jc w:val="center"/>
              <w:rPr>
                <w:rFonts w:ascii="宋体" w:hAnsi="宋体" w:cs="宋体"/>
                <w:snapToGrid w:val="0"/>
                <w:color w:val="auto"/>
                <w:kern w:val="0"/>
                <w:szCs w:val="21"/>
                <w:highlight w:val="none"/>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vAlign w:val="center"/>
          </w:tcPr>
          <w:p w14:paraId="627CBE37">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78866B0F">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2B8DF13B">
            <w:pPr>
              <w:pStyle w:val="138"/>
              <w:wordWrap w:val="0"/>
              <w:adjustRightInd w:val="0"/>
              <w:snapToGrid w:val="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78C5A631">
            <w:pPr>
              <w:pStyle w:val="138"/>
              <w:wordWrap w:val="0"/>
              <w:adjustRightInd w:val="0"/>
              <w:snapToGrid w:val="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vAlign w:val="center"/>
          </w:tcPr>
          <w:p w14:paraId="0B7A9410">
            <w:pPr>
              <w:pStyle w:val="138"/>
              <w:wordWrap w:val="0"/>
              <w:adjustRightInd w:val="0"/>
              <w:snapToGrid w:val="0"/>
              <w:jc w:val="center"/>
              <w:rPr>
                <w:rFonts w:ascii="宋体" w:hAnsi="宋体" w:cs="宋体"/>
                <w:snapToGrid w:val="0"/>
                <w:color w:val="auto"/>
                <w:kern w:val="0"/>
                <w:szCs w:val="21"/>
                <w:highlight w:val="none"/>
              </w:rPr>
            </w:pPr>
          </w:p>
        </w:tc>
      </w:tr>
    </w:tbl>
    <w:p w14:paraId="31CF04E5">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8B0DF88">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77700285">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w:t>
      </w:r>
      <w:r>
        <w:rPr>
          <w:rFonts w:hint="eastAsia" w:ascii="宋体" w:hAnsi="宋体" w:cs="宋体"/>
          <w:snapToGrid w:val="0"/>
          <w:color w:val="auto"/>
          <w:kern w:val="0"/>
          <w:szCs w:val="21"/>
          <w:highlight w:val="none"/>
          <w:lang w:val="en-US" w:eastAsia="zh-CN"/>
        </w:rPr>
        <w:t>彩色</w:t>
      </w:r>
      <w:r>
        <w:rPr>
          <w:rFonts w:hint="eastAsia" w:ascii="宋体" w:hAnsi="宋体" w:cs="宋体"/>
          <w:snapToGrid w:val="0"/>
          <w:color w:val="auto"/>
          <w:kern w:val="0"/>
          <w:szCs w:val="21"/>
          <w:highlight w:val="none"/>
        </w:rPr>
        <w:t>扫描件（因推行电子证照，企业的营业执照、资质证书等可以提供电子证照）；</w:t>
      </w:r>
    </w:p>
    <w:p w14:paraId="3B9DB170">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“进粤企业和人员诚信信息登记平台”企业信息情况打印页。（适用于省外企业）</w:t>
      </w:r>
      <w:r>
        <w:rPr>
          <w:rFonts w:hint="eastAsia" w:ascii="宋体" w:hAnsi="宋体" w:cs="宋体"/>
          <w:snapToGrid w:val="0"/>
          <w:color w:val="auto"/>
          <w:kern w:val="0"/>
          <w:szCs w:val="21"/>
          <w:highlight w:val="none"/>
        </w:rPr>
        <w:t>。</w:t>
      </w:r>
    </w:p>
    <w:p w14:paraId="6A573612">
      <w:pPr>
        <w:pStyle w:val="74"/>
        <w:widowControl w:val="0"/>
        <w:wordWrap w:val="0"/>
        <w:adjustRightInd w:val="0"/>
        <w:snapToGrid w:val="0"/>
        <w:spacing w:line="400" w:lineRule="exact"/>
        <w:rPr>
          <w:rFonts w:hAnsi="宋体" w:cs="宋体"/>
          <w:snapToGrid w:val="0"/>
          <w:color w:val="auto"/>
          <w:sz w:val="21"/>
          <w:szCs w:val="21"/>
          <w:highlight w:val="none"/>
        </w:rPr>
      </w:pPr>
      <w:r>
        <w:rPr>
          <w:rFonts w:hint="eastAsia" w:hAnsi="宋体" w:cs="宋体"/>
          <w:snapToGrid w:val="0"/>
          <w:color w:val="auto"/>
          <w:sz w:val="21"/>
          <w:szCs w:val="21"/>
          <w:highlight w:val="none"/>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auto"/>
          <w:kern w:val="0"/>
          <w:highlight w:val="none"/>
        </w:rPr>
      </w:pPr>
      <w:bookmarkStart w:id="323" w:name="_Toc22135"/>
      <w:r>
        <w:rPr>
          <w:rFonts w:hint="eastAsia" w:hAnsi="宋体" w:cs="宋体"/>
          <w:b/>
          <w:snapToGrid w:val="0"/>
          <w:color w:val="auto"/>
          <w:kern w:val="0"/>
          <w:highlight w:val="none"/>
        </w:rPr>
        <w:t>格式七 总监理工程师任职声明（适用于无任职项目）</w:t>
      </w:r>
      <w:bookmarkEnd w:id="323"/>
    </w:p>
    <w:p w14:paraId="6FD021E2">
      <w:pPr>
        <w:wordWrap w:val="0"/>
        <w:adjustRightInd w:val="0"/>
        <w:snapToGrid w:val="0"/>
        <w:spacing w:line="440" w:lineRule="exact"/>
        <w:jc w:val="left"/>
        <w:rPr>
          <w:rFonts w:hAnsi="宋体" w:cs="宋体"/>
          <w:b/>
          <w:snapToGrid w:val="0"/>
          <w:color w:val="auto"/>
          <w:kern w:val="0"/>
          <w:highlight w:val="none"/>
        </w:rPr>
      </w:pPr>
    </w:p>
    <w:p w14:paraId="7734BDAC">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F3A4633">
      <w:pPr>
        <w:wordWrap w:val="0"/>
        <w:adjustRightInd w:val="0"/>
        <w:snapToGrid w:val="0"/>
        <w:spacing w:line="440" w:lineRule="exact"/>
        <w:jc w:val="center"/>
        <w:rPr>
          <w:rFonts w:hAnsi="宋体" w:cs="宋体"/>
          <w:snapToGrid w:val="0"/>
          <w:color w:val="auto"/>
          <w:kern w:val="0"/>
          <w:szCs w:val="28"/>
          <w:highlight w:val="none"/>
        </w:rPr>
      </w:pPr>
    </w:p>
    <w:p w14:paraId="14B6B195">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392868E0">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36EB755F">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特此承诺　　</w:t>
      </w:r>
    </w:p>
    <w:p w14:paraId="699B7C56">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244A9EE">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5FB105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2A604D50">
      <w:pPr>
        <w:wordWrap w:val="0"/>
        <w:adjustRightInd w:val="0"/>
        <w:snapToGrid w:val="0"/>
        <w:spacing w:line="440" w:lineRule="exact"/>
        <w:jc w:val="right"/>
        <w:rPr>
          <w:rFonts w:hAnsi="宋体" w:cs="宋体"/>
          <w:snapToGrid w:val="0"/>
          <w:color w:val="auto"/>
          <w:kern w:val="0"/>
          <w:szCs w:val="28"/>
          <w:highlight w:val="none"/>
        </w:rPr>
      </w:pPr>
    </w:p>
    <w:p w14:paraId="71BB53AD">
      <w:pPr>
        <w:wordWrap w:val="0"/>
        <w:adjustRightInd w:val="0"/>
        <w:snapToGrid w:val="0"/>
        <w:spacing w:line="440" w:lineRule="exact"/>
        <w:jc w:val="right"/>
        <w:rPr>
          <w:rFonts w:hAnsi="宋体" w:cs="宋体"/>
          <w:snapToGrid w:val="0"/>
          <w:color w:val="auto"/>
          <w:kern w:val="0"/>
          <w:szCs w:val="28"/>
          <w:highlight w:val="none"/>
        </w:rPr>
      </w:pPr>
    </w:p>
    <w:p w14:paraId="0C3A73EA">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7AE6CC90">
      <w:pPr>
        <w:wordWrap w:val="0"/>
        <w:adjustRightInd w:val="0"/>
        <w:snapToGrid w:val="0"/>
        <w:spacing w:line="440" w:lineRule="exact"/>
        <w:jc w:val="right"/>
        <w:rPr>
          <w:rFonts w:hAnsi="宋体" w:cs="宋体"/>
          <w:snapToGrid w:val="0"/>
          <w:color w:val="auto"/>
          <w:kern w:val="0"/>
          <w:szCs w:val="28"/>
          <w:highlight w:val="none"/>
        </w:rPr>
      </w:pPr>
    </w:p>
    <w:p w14:paraId="3C9B11CD">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7BA2FE9F">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auto"/>
          <w:kern w:val="0"/>
          <w:highlight w:val="none"/>
        </w:rPr>
      </w:pPr>
      <w:bookmarkStart w:id="324" w:name="_Toc24032"/>
      <w:r>
        <w:rPr>
          <w:rFonts w:hint="eastAsia" w:hAnsi="宋体" w:cs="宋体"/>
          <w:b/>
          <w:snapToGrid w:val="0"/>
          <w:color w:val="auto"/>
          <w:kern w:val="0"/>
          <w:highlight w:val="none"/>
        </w:rPr>
        <w:t>格式八 总监理工程师任职声明（适用于有任职项目）</w:t>
      </w:r>
      <w:bookmarkEnd w:id="324"/>
    </w:p>
    <w:p w14:paraId="449B4FD5">
      <w:pPr>
        <w:wordWrap w:val="0"/>
        <w:adjustRightInd w:val="0"/>
        <w:snapToGrid w:val="0"/>
        <w:spacing w:line="440" w:lineRule="exact"/>
        <w:jc w:val="left"/>
        <w:rPr>
          <w:rFonts w:hAnsi="宋体" w:cs="宋体"/>
          <w:b/>
          <w:snapToGrid w:val="0"/>
          <w:color w:val="auto"/>
          <w:kern w:val="0"/>
          <w:highlight w:val="none"/>
        </w:rPr>
      </w:pPr>
    </w:p>
    <w:p w14:paraId="14A50C1D">
      <w:pPr>
        <w:wordWrap w:val="0"/>
        <w:adjustRightInd w:val="0"/>
        <w:snapToGrid w:val="0"/>
        <w:spacing w:before="260" w:after="260" w:line="440" w:lineRule="exact"/>
        <w:jc w:val="center"/>
        <w:rPr>
          <w:rFonts w:hAnsi="宋体" w:cs="宋体"/>
          <w:snapToGrid w:val="0"/>
          <w:color w:val="auto"/>
          <w:kern w:val="0"/>
          <w:szCs w:val="28"/>
          <w:highlight w:val="none"/>
        </w:rPr>
      </w:pPr>
      <w:r>
        <w:rPr>
          <w:rFonts w:hint="eastAsia" w:hAnsi="宋体" w:cs="宋体"/>
          <w:b/>
          <w:snapToGrid w:val="0"/>
          <w:color w:val="auto"/>
          <w:kern w:val="0"/>
          <w:sz w:val="30"/>
          <w:highlight w:val="none"/>
        </w:rPr>
        <w:t>总监理工程师任职声明</w:t>
      </w:r>
    </w:p>
    <w:p w14:paraId="2B3ED8C9">
      <w:pPr>
        <w:wordWrap w:val="0"/>
        <w:adjustRightInd w:val="0"/>
        <w:snapToGrid w:val="0"/>
        <w:spacing w:line="440" w:lineRule="exact"/>
        <w:jc w:val="center"/>
        <w:rPr>
          <w:rFonts w:hAnsi="宋体" w:cs="宋体"/>
          <w:snapToGrid w:val="0"/>
          <w:color w:val="auto"/>
          <w:kern w:val="0"/>
          <w:szCs w:val="28"/>
          <w:highlight w:val="none"/>
        </w:rPr>
      </w:pPr>
    </w:p>
    <w:p w14:paraId="45489580">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（招标人名称）：</w:t>
      </w:r>
    </w:p>
    <w:p w14:paraId="191C5186">
      <w:pPr>
        <w:wordWrap w:val="0"/>
        <w:adjustRightInd w:val="0"/>
        <w:snapToGrid w:val="0"/>
        <w:spacing w:line="440" w:lineRule="exact"/>
        <w:ind w:firstLine="480" w:firstLineChars="200"/>
        <w:rPr>
          <w:rFonts w:hAnsi="宋体" w:cs="宋体"/>
          <w:snapToGrid w:val="0"/>
          <w:color w:val="auto"/>
          <w:kern w:val="0"/>
          <w:szCs w:val="28"/>
          <w:highlight w:val="none"/>
        </w:rPr>
      </w:pPr>
      <w:r>
        <w:rPr>
          <w:rFonts w:hint="eastAsia" w:hAnsi="宋体" w:cs="宋体"/>
          <w:snapToGrid w:val="0"/>
          <w:color w:val="auto"/>
          <w:kern w:val="0"/>
          <w:szCs w:val="28"/>
          <w:highlight w:val="none"/>
        </w:rPr>
        <w:t>我方在此声明，我方拟派往</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（项目名称）的总监理工程师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（总监理工程师姓名）现阶段正在担任</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1FA625A2">
      <w:pPr>
        <w:wordWrap w:val="0"/>
        <w:adjustRightInd w:val="0"/>
        <w:snapToGrid w:val="0"/>
        <w:spacing w:line="440" w:lineRule="exact"/>
        <w:ind w:firstLine="480"/>
        <w:rPr>
          <w:rFonts w:hAnsi="宋体" w:cs="宋体"/>
          <w:snapToGrid w:val="0"/>
          <w:color w:val="auto"/>
          <w:kern w:val="0"/>
          <w:szCs w:val="28"/>
          <w:highlight w:val="none"/>
        </w:rPr>
      </w:pPr>
      <w:r>
        <w:rPr>
          <w:rFonts w:hint="eastAsia" w:hAnsi="宋体" w:cs="宋体"/>
          <w:snapToGrid w:val="0"/>
          <w:color w:val="auto"/>
          <w:kern w:val="0"/>
          <w:szCs w:val="28"/>
          <w:highlight w:val="none"/>
        </w:rPr>
        <w:t>特此承诺</w:t>
      </w:r>
    </w:p>
    <w:p w14:paraId="46BFCB72">
      <w:pPr>
        <w:wordWrap w:val="0"/>
        <w:adjustRightInd w:val="0"/>
        <w:snapToGrid w:val="0"/>
        <w:spacing w:line="440" w:lineRule="exact"/>
        <w:ind w:firstLine="480"/>
        <w:rPr>
          <w:rFonts w:hAnsi="宋体" w:cs="宋体"/>
          <w:snapToGrid w:val="0"/>
          <w:color w:val="auto"/>
          <w:kern w:val="0"/>
          <w:szCs w:val="28"/>
          <w:highlight w:val="none"/>
        </w:rPr>
      </w:pPr>
    </w:p>
    <w:p w14:paraId="627F814D">
      <w:pPr>
        <w:wordWrap w:val="0"/>
        <w:adjustRightInd w:val="0"/>
        <w:snapToGrid w:val="0"/>
        <w:spacing w:line="440" w:lineRule="exact"/>
        <w:rPr>
          <w:rFonts w:hAnsi="宋体" w:cs="宋体"/>
          <w:snapToGrid w:val="0"/>
          <w:color w:val="auto"/>
          <w:kern w:val="0"/>
          <w:szCs w:val="28"/>
          <w:highlight w:val="none"/>
        </w:rPr>
      </w:pPr>
      <w:r>
        <w:rPr>
          <w:rFonts w:hint="eastAsia" w:hAnsi="宋体" w:cs="宋体"/>
          <w:snapToGrid w:val="0"/>
          <w:color w:val="auto"/>
          <w:kern w:val="0"/>
          <w:szCs w:val="28"/>
          <w:highlight w:val="none"/>
        </w:rPr>
        <w:t>　　</w:t>
      </w:r>
    </w:p>
    <w:p w14:paraId="47D291EC">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投标人：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（盖单位章）</w:t>
      </w:r>
    </w:p>
    <w:p w14:paraId="1B4B0533">
      <w:pPr>
        <w:wordWrap w:val="0"/>
        <w:adjustRightInd w:val="0"/>
        <w:snapToGrid w:val="0"/>
        <w:spacing w:line="440" w:lineRule="exact"/>
        <w:jc w:val="right"/>
        <w:rPr>
          <w:rFonts w:hAnsi="宋体" w:cs="宋体"/>
          <w:snapToGrid w:val="0"/>
          <w:color w:val="auto"/>
          <w:kern w:val="0"/>
          <w:szCs w:val="28"/>
          <w:highlight w:val="none"/>
        </w:rPr>
      </w:pPr>
    </w:p>
    <w:p w14:paraId="487F86BE">
      <w:pPr>
        <w:wordWrap w:val="0"/>
        <w:adjustRightInd w:val="0"/>
        <w:snapToGrid w:val="0"/>
        <w:spacing w:line="440" w:lineRule="exact"/>
        <w:jc w:val="right"/>
        <w:rPr>
          <w:rFonts w:hAnsi="宋体" w:cs="宋体"/>
          <w:snapToGrid w:val="0"/>
          <w:color w:val="auto"/>
          <w:kern w:val="0"/>
          <w:szCs w:val="28"/>
          <w:highlight w:val="none"/>
        </w:rPr>
      </w:pPr>
    </w:p>
    <w:p w14:paraId="7D65E6AD">
      <w:pPr>
        <w:wordWrap w:val="0"/>
        <w:adjustRightInd w:val="0"/>
        <w:snapToGrid w:val="0"/>
        <w:spacing w:line="440" w:lineRule="exact"/>
        <w:jc w:val="right"/>
        <w:rPr>
          <w:rFonts w:hAnsi="宋体" w:cs="宋体"/>
          <w:snapToGrid w:val="0"/>
          <w:color w:val="auto"/>
          <w:kern w:val="0"/>
          <w:szCs w:val="28"/>
          <w:highlight w:val="none"/>
        </w:rPr>
      </w:pPr>
      <w:r>
        <w:rPr>
          <w:rFonts w:hint="eastAsia" w:hAnsi="宋体" w:cs="宋体"/>
          <w:snapToGrid w:val="0"/>
          <w:color w:val="auto"/>
          <w:kern w:val="0"/>
          <w:szCs w:val="28"/>
          <w:highlight w:val="none"/>
        </w:rPr>
        <w:t>法定代表人或其委托代理人：</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（签字或盖章）</w:t>
      </w:r>
    </w:p>
    <w:p w14:paraId="029F2B4C">
      <w:pPr>
        <w:wordWrap w:val="0"/>
        <w:adjustRightInd w:val="0"/>
        <w:snapToGrid w:val="0"/>
        <w:spacing w:line="440" w:lineRule="exact"/>
        <w:jc w:val="right"/>
        <w:rPr>
          <w:rFonts w:hAnsi="宋体" w:cs="宋体"/>
          <w:snapToGrid w:val="0"/>
          <w:color w:val="auto"/>
          <w:kern w:val="0"/>
          <w:szCs w:val="28"/>
          <w:highlight w:val="none"/>
        </w:rPr>
      </w:pPr>
    </w:p>
    <w:p w14:paraId="1E734F3E">
      <w:pPr>
        <w:wordWrap w:val="0"/>
        <w:adjustRightInd w:val="0"/>
        <w:snapToGrid w:val="0"/>
        <w:spacing w:line="440" w:lineRule="exact"/>
        <w:jc w:val="center"/>
        <w:rPr>
          <w:rFonts w:hAnsi="宋体" w:cs="宋体"/>
          <w:snapToGrid w:val="0"/>
          <w:color w:val="auto"/>
          <w:kern w:val="0"/>
          <w:szCs w:val="28"/>
          <w:highlight w:val="none"/>
        </w:rPr>
      </w:pPr>
      <w:r>
        <w:rPr>
          <w:rFonts w:hint="eastAsia" w:hAnsi="宋体" w:cs="宋体"/>
          <w:snapToGrid w:val="0"/>
          <w:color w:val="auto"/>
          <w:kern w:val="0"/>
          <w:szCs w:val="28"/>
          <w:highlight w:val="none"/>
        </w:rPr>
        <w:t xml:space="preserve">                            </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年</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月</w:t>
      </w:r>
      <w:r>
        <w:rPr>
          <w:rFonts w:hint="eastAsia" w:hAnsi="宋体" w:cs="宋体"/>
          <w:snapToGrid w:val="0"/>
          <w:color w:val="auto"/>
          <w:kern w:val="0"/>
          <w:szCs w:val="28"/>
          <w:highlight w:val="none"/>
          <w:u w:val="single"/>
        </w:rPr>
        <w:t xml:space="preserve">        </w:t>
      </w:r>
      <w:r>
        <w:rPr>
          <w:rFonts w:hint="eastAsia" w:hAnsi="宋体" w:cs="宋体"/>
          <w:snapToGrid w:val="0"/>
          <w:color w:val="auto"/>
          <w:kern w:val="0"/>
          <w:szCs w:val="28"/>
          <w:highlight w:val="none"/>
        </w:rPr>
        <w:t>日</w:t>
      </w:r>
    </w:p>
    <w:p w14:paraId="19DAFB93">
      <w:pPr>
        <w:wordWrap w:val="0"/>
        <w:adjustRightInd w:val="0"/>
        <w:snapToGrid w:val="0"/>
        <w:spacing w:line="440" w:lineRule="exact"/>
        <w:jc w:val="center"/>
        <w:rPr>
          <w:rFonts w:hAnsi="宋体" w:cs="宋体"/>
          <w:snapToGrid w:val="0"/>
          <w:color w:val="auto"/>
          <w:kern w:val="0"/>
          <w:szCs w:val="28"/>
          <w:highlight w:val="none"/>
        </w:rPr>
      </w:pPr>
    </w:p>
    <w:p w14:paraId="77D57279">
      <w:pPr>
        <w:wordWrap w:val="0"/>
        <w:adjustRightInd w:val="0"/>
        <w:snapToGrid w:val="0"/>
        <w:spacing w:line="400" w:lineRule="exact"/>
        <w:ind w:firstLine="420"/>
        <w:rPr>
          <w:rFonts w:hAnsi="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3488CF33">
      <w:pPr>
        <w:wordWrap w:val="0"/>
        <w:adjustRightInd w:val="0"/>
        <w:snapToGrid w:val="0"/>
        <w:spacing w:line="440" w:lineRule="exact"/>
        <w:outlineLvl w:val="1"/>
        <w:rPr>
          <w:rFonts w:hAnsi="宋体" w:cs="宋体"/>
          <w:b/>
          <w:bCs/>
          <w:snapToGrid w:val="0"/>
          <w:color w:val="auto"/>
          <w:kern w:val="0"/>
          <w:szCs w:val="24"/>
          <w:highlight w:val="none"/>
        </w:rPr>
      </w:pPr>
      <w:bookmarkStart w:id="325" w:name="_Toc2263"/>
      <w:r>
        <w:rPr>
          <w:rFonts w:hint="eastAsia" w:hAnsi="宋体" w:cs="宋体"/>
          <w:b/>
          <w:bCs/>
          <w:snapToGrid w:val="0"/>
          <w:color w:val="auto"/>
          <w:kern w:val="0"/>
          <w:szCs w:val="24"/>
          <w:highlight w:val="none"/>
        </w:rPr>
        <w:t>格式九 总监理工程师任职项目情况表</w:t>
      </w:r>
      <w:bookmarkEnd w:id="325"/>
    </w:p>
    <w:p w14:paraId="1C05E0FA">
      <w:pPr>
        <w:wordWrap w:val="0"/>
        <w:adjustRightInd w:val="0"/>
        <w:snapToGrid w:val="0"/>
        <w:spacing w:line="440" w:lineRule="exact"/>
        <w:rPr>
          <w:rFonts w:hAnsi="宋体" w:cs="宋体"/>
          <w:b/>
          <w:bCs/>
          <w:snapToGrid w:val="0"/>
          <w:color w:val="auto"/>
          <w:kern w:val="0"/>
          <w:szCs w:val="24"/>
          <w:highlight w:val="none"/>
        </w:rPr>
      </w:pPr>
    </w:p>
    <w:p w14:paraId="1E110BE9">
      <w:pPr>
        <w:pStyle w:val="74"/>
        <w:widowControl w:val="0"/>
        <w:wordWrap w:val="0"/>
        <w:adjustRightInd w:val="0"/>
        <w:snapToGrid w:val="0"/>
        <w:spacing w:before="260" w:after="260" w:line="400" w:lineRule="exact"/>
        <w:ind w:firstLine="0"/>
        <w:jc w:val="center"/>
        <w:rPr>
          <w:rFonts w:hAnsi="宋体" w:cs="宋体"/>
          <w:snapToGrid w:val="0"/>
          <w:color w:val="auto"/>
          <w:sz w:val="24"/>
          <w:highlight w:val="none"/>
        </w:rPr>
      </w:pPr>
      <w:r>
        <w:rPr>
          <w:rFonts w:hint="eastAsia" w:hAnsi="宋体" w:cs="宋体"/>
          <w:b/>
          <w:snapToGrid w:val="0"/>
          <w:color w:val="auto"/>
          <w:sz w:val="30"/>
          <w:highlight w:val="none"/>
        </w:rPr>
        <w:t xml:space="preserve"> 总监理工程师任职项目情况表（）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项目名称</w:t>
            </w:r>
          </w:p>
        </w:tc>
        <w:tc>
          <w:tcPr>
            <w:tcW w:w="2771" w:type="dxa"/>
            <w:vAlign w:val="center"/>
          </w:tcPr>
          <w:p w14:paraId="2DFCFA84">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6AC2BA1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项目所在地</w:t>
            </w:r>
          </w:p>
        </w:tc>
        <w:tc>
          <w:tcPr>
            <w:tcW w:w="2594" w:type="dxa"/>
            <w:vAlign w:val="center"/>
          </w:tcPr>
          <w:p w14:paraId="24CD9F05">
            <w:pPr>
              <w:pStyle w:val="138"/>
              <w:wordWrap w:val="0"/>
              <w:adjustRightInd w:val="0"/>
              <w:snapToGrid w:val="0"/>
              <w:jc w:val="center"/>
              <w:rPr>
                <w:rFonts w:ascii="宋体" w:hAnsi="宋体" w:cs="宋体"/>
                <w:snapToGrid w:val="0"/>
                <w:color w:val="auto"/>
                <w:kern w:val="0"/>
                <w:szCs w:val="21"/>
                <w:highlight w:val="none"/>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委托人名称</w:t>
            </w:r>
          </w:p>
        </w:tc>
        <w:tc>
          <w:tcPr>
            <w:tcW w:w="2771" w:type="dxa"/>
            <w:vAlign w:val="center"/>
          </w:tcPr>
          <w:p w14:paraId="5F8E80CE">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1BC9377E">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委托人地址</w:t>
            </w:r>
          </w:p>
        </w:tc>
        <w:tc>
          <w:tcPr>
            <w:tcW w:w="2594" w:type="dxa"/>
            <w:vAlign w:val="center"/>
          </w:tcPr>
          <w:p w14:paraId="334897D3">
            <w:pPr>
              <w:pStyle w:val="138"/>
              <w:wordWrap w:val="0"/>
              <w:adjustRightInd w:val="0"/>
              <w:snapToGrid w:val="0"/>
              <w:jc w:val="center"/>
              <w:rPr>
                <w:rFonts w:ascii="宋体" w:hAnsi="宋体" w:cs="宋体"/>
                <w:snapToGrid w:val="0"/>
                <w:color w:val="auto"/>
                <w:kern w:val="0"/>
                <w:szCs w:val="21"/>
                <w:highlight w:val="none"/>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委托人电话</w:t>
            </w:r>
          </w:p>
        </w:tc>
        <w:tc>
          <w:tcPr>
            <w:tcW w:w="2771" w:type="dxa"/>
            <w:vAlign w:val="center"/>
          </w:tcPr>
          <w:p w14:paraId="2AAC336B">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0B3B45">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总监理工程师</w:t>
            </w:r>
          </w:p>
        </w:tc>
        <w:tc>
          <w:tcPr>
            <w:tcW w:w="2594" w:type="dxa"/>
            <w:vAlign w:val="center"/>
          </w:tcPr>
          <w:p w14:paraId="2993C8DD">
            <w:pPr>
              <w:pStyle w:val="138"/>
              <w:wordWrap w:val="0"/>
              <w:adjustRightInd w:val="0"/>
              <w:snapToGrid w:val="0"/>
              <w:jc w:val="center"/>
              <w:rPr>
                <w:rFonts w:ascii="宋体" w:hAnsi="宋体" w:cs="宋体"/>
                <w:snapToGrid w:val="0"/>
                <w:color w:val="auto"/>
                <w:kern w:val="0"/>
                <w:szCs w:val="21"/>
                <w:highlight w:val="none"/>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监理服务期限</w:t>
            </w:r>
          </w:p>
        </w:tc>
        <w:tc>
          <w:tcPr>
            <w:tcW w:w="2771" w:type="dxa"/>
            <w:vAlign w:val="center"/>
          </w:tcPr>
          <w:p w14:paraId="253ECA3C">
            <w:pPr>
              <w:pStyle w:val="138"/>
              <w:wordWrap w:val="0"/>
              <w:adjustRightInd w:val="0"/>
              <w:snapToGrid w:val="0"/>
              <w:jc w:val="center"/>
              <w:rPr>
                <w:rFonts w:ascii="宋体" w:hAnsi="宋体" w:cs="宋体"/>
                <w:snapToGrid w:val="0"/>
                <w:color w:val="auto"/>
                <w:kern w:val="0"/>
                <w:szCs w:val="21"/>
                <w:highlight w:val="none"/>
              </w:rPr>
            </w:pPr>
          </w:p>
        </w:tc>
        <w:tc>
          <w:tcPr>
            <w:tcW w:w="1635" w:type="dxa"/>
            <w:vAlign w:val="center"/>
          </w:tcPr>
          <w:p w14:paraId="5379C804">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监理内容</w:t>
            </w:r>
          </w:p>
        </w:tc>
        <w:tc>
          <w:tcPr>
            <w:tcW w:w="2594" w:type="dxa"/>
            <w:vAlign w:val="center"/>
          </w:tcPr>
          <w:p w14:paraId="1EEFB69A">
            <w:pPr>
              <w:pStyle w:val="138"/>
              <w:wordWrap w:val="0"/>
              <w:adjustRightInd w:val="0"/>
              <w:snapToGrid w:val="0"/>
              <w:jc w:val="center"/>
              <w:rPr>
                <w:rFonts w:ascii="宋体" w:hAnsi="宋体" w:cs="宋体"/>
                <w:snapToGrid w:val="0"/>
                <w:color w:val="auto"/>
                <w:kern w:val="0"/>
                <w:szCs w:val="21"/>
                <w:highlight w:val="none"/>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项目描述</w:t>
            </w:r>
          </w:p>
        </w:tc>
        <w:tc>
          <w:tcPr>
            <w:tcW w:w="7000" w:type="dxa"/>
            <w:gridSpan w:val="3"/>
            <w:vAlign w:val="center"/>
          </w:tcPr>
          <w:p w14:paraId="21A54D72">
            <w:pPr>
              <w:pStyle w:val="138"/>
              <w:wordWrap w:val="0"/>
              <w:adjustRightInd w:val="0"/>
              <w:snapToGrid w:val="0"/>
              <w:jc w:val="left"/>
              <w:rPr>
                <w:rFonts w:ascii="宋体" w:hAnsi="宋体" w:cs="宋体"/>
                <w:snapToGrid w:val="0"/>
                <w:color w:val="auto"/>
                <w:kern w:val="0"/>
                <w:szCs w:val="21"/>
                <w:highlight w:val="none"/>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8"/>
              <w:wordWrap w:val="0"/>
              <w:adjustRightInd w:val="0"/>
              <w:snapToGrid w:val="0"/>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委托人声明</w:t>
            </w:r>
          </w:p>
        </w:tc>
        <w:tc>
          <w:tcPr>
            <w:tcW w:w="7000" w:type="dxa"/>
            <w:gridSpan w:val="3"/>
            <w:vAlign w:val="center"/>
          </w:tcPr>
          <w:p w14:paraId="418BE4BE">
            <w:pPr>
              <w:pStyle w:val="138"/>
              <w:adjustRightInd w:val="0"/>
              <w:snapToGrid w:val="0"/>
              <w:spacing w:line="360" w:lineRule="auto"/>
              <w:rPr>
                <w:rFonts w:ascii="宋体" w:hAnsi="宋体" w:cs="宋体"/>
                <w:snapToGrid w:val="0"/>
                <w:color w:val="auto"/>
                <w:kern w:val="0"/>
                <w:szCs w:val="21"/>
                <w:highlight w:val="none"/>
              </w:rPr>
            </w:pPr>
          </w:p>
          <w:p w14:paraId="602D8050">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致：</w:t>
            </w:r>
            <w:r>
              <w:rPr>
                <w:rFonts w:hint="eastAsia" w:ascii="宋体" w:hAnsi="宋体" w:cs="宋体"/>
                <w:snapToGrid w:val="0"/>
                <w:color w:val="auto"/>
                <w:kern w:val="0"/>
                <w:szCs w:val="21"/>
                <w:highlight w:val="none"/>
                <w:u w:val="single"/>
              </w:rPr>
              <w:t>（本招标项目招标人名称）</w:t>
            </w:r>
          </w:p>
          <w:p w14:paraId="37F7ABA7">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我方在此声明：</w:t>
            </w:r>
          </w:p>
          <w:p w14:paraId="221BF42B">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一、在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同志任我方在施项目总监理工程师期间，如果</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中标你方招标项目监理业务，在</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6DBCA6A9">
            <w:pPr>
              <w:pStyle w:val="138"/>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二、无论</w:t>
            </w:r>
            <w:r>
              <w:rPr>
                <w:rFonts w:hint="eastAsia" w:ascii="宋体" w:hAnsi="宋体" w:cs="宋体"/>
                <w:snapToGrid w:val="0"/>
                <w:color w:val="auto"/>
                <w:kern w:val="0"/>
                <w:szCs w:val="21"/>
                <w:highlight w:val="none"/>
                <w:u w:val="single"/>
              </w:rPr>
              <w:t xml:space="preserve"> （拟派总监姓名） </w:t>
            </w:r>
            <w:r>
              <w:rPr>
                <w:rFonts w:hint="eastAsia" w:ascii="宋体" w:hAnsi="宋体" w:cs="宋体"/>
                <w:snapToGrid w:val="0"/>
                <w:color w:val="auto"/>
                <w:kern w:val="0"/>
                <w:szCs w:val="21"/>
                <w:highlight w:val="none"/>
              </w:rPr>
              <w:t>同志是否担任其他建设项目的总监理工程师，</w:t>
            </w:r>
            <w:r>
              <w:rPr>
                <w:rFonts w:hint="eastAsia" w:ascii="宋体" w:hAnsi="宋体" w:cs="宋体"/>
                <w:snapToGrid w:val="0"/>
                <w:color w:val="auto"/>
                <w:kern w:val="0"/>
                <w:szCs w:val="21"/>
                <w:highlight w:val="none"/>
                <w:u w:val="single"/>
              </w:rPr>
              <w:t xml:space="preserve"> （投标人名称） </w:t>
            </w:r>
            <w:r>
              <w:rPr>
                <w:rFonts w:hint="eastAsia" w:ascii="宋体" w:hAnsi="宋体" w:cs="宋体"/>
                <w:snapToGrid w:val="0"/>
                <w:color w:val="auto"/>
                <w:kern w:val="0"/>
                <w:szCs w:val="21"/>
                <w:highlight w:val="none"/>
              </w:rPr>
              <w:t>都必须完全、严格履行我方在施项目监理合同中约定的所有义务，并确保服务内容、服务质量不得有任何减少或降低。</w:t>
            </w:r>
          </w:p>
          <w:p w14:paraId="092F9495">
            <w:pPr>
              <w:pStyle w:val="138"/>
              <w:adjustRightInd w:val="0"/>
              <w:snapToGrid w:val="0"/>
              <w:spacing w:line="360" w:lineRule="auto"/>
              <w:rPr>
                <w:rFonts w:ascii="宋体" w:hAnsi="宋体" w:cs="宋体"/>
                <w:snapToGrid w:val="0"/>
                <w:color w:val="auto"/>
                <w:kern w:val="0"/>
                <w:szCs w:val="21"/>
                <w:highlight w:val="none"/>
              </w:rPr>
            </w:pPr>
          </w:p>
          <w:p w14:paraId="2DED7437">
            <w:pPr>
              <w:pStyle w:val="138"/>
              <w:adjustRightInd w:val="0"/>
              <w:snapToGrid w:val="0"/>
              <w:spacing w:line="360" w:lineRule="auto"/>
              <w:rPr>
                <w:rFonts w:ascii="宋体" w:hAnsi="宋体" w:cs="宋体"/>
                <w:snapToGrid w:val="0"/>
                <w:color w:val="auto"/>
                <w:kern w:val="0"/>
                <w:szCs w:val="21"/>
                <w:highlight w:val="none"/>
              </w:rPr>
            </w:pPr>
          </w:p>
          <w:p w14:paraId="599D977E">
            <w:pPr>
              <w:pStyle w:val="138"/>
              <w:adjustRightInd w:val="0"/>
              <w:snapToGrid w:val="0"/>
              <w:spacing w:line="360" w:lineRule="auto"/>
              <w:jc w:val="righ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建设单位名称：</w:t>
            </w:r>
            <w:r>
              <w:rPr>
                <w:rFonts w:hint="eastAsia" w:ascii="宋体" w:hAnsi="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rPr>
              <w:t>（盖单位章）</w:t>
            </w:r>
          </w:p>
          <w:p w14:paraId="1047DB8F">
            <w:pPr>
              <w:pStyle w:val="138"/>
              <w:adjustRightInd w:val="0"/>
              <w:snapToGrid w:val="0"/>
              <w:spacing w:line="360" w:lineRule="auto"/>
              <w:jc w:val="right"/>
              <w:rPr>
                <w:rFonts w:ascii="宋体" w:hAnsi="宋体" w:cs="宋体"/>
                <w:snapToGrid w:val="0"/>
                <w:color w:val="auto"/>
                <w:kern w:val="0"/>
                <w:szCs w:val="21"/>
                <w:highlight w:val="none"/>
              </w:rPr>
            </w:pPr>
          </w:p>
          <w:p w14:paraId="36196D25">
            <w:pPr>
              <w:pStyle w:val="138"/>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 xml:space="preserve">                            XXXX年XX月XX日</w:t>
            </w:r>
          </w:p>
        </w:tc>
      </w:tr>
    </w:tbl>
    <w:p w14:paraId="01E57326">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4621617A">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3AD580BD">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szCs w:val="28"/>
          <w:highlight w:val="none"/>
        </w:rPr>
        <w:t>．</w:t>
      </w:r>
      <w:r>
        <w:rPr>
          <w:rFonts w:hint="eastAsia" w:ascii="宋体" w:hAnsi="宋体" w:cs="宋体"/>
          <w:snapToGrid w:val="0"/>
          <w:color w:val="auto"/>
          <w:kern w:val="0"/>
          <w:szCs w:val="21"/>
          <w:highlight w:val="none"/>
        </w:rPr>
        <w:t>每份情况表后应附该项目的合同协议书彩色扫描件。</w:t>
      </w:r>
    </w:p>
    <w:p w14:paraId="5D509C1C">
      <w:pPr>
        <w:pStyle w:val="138"/>
        <w:wordWrap w:val="0"/>
        <w:adjustRightInd w:val="0"/>
        <w:snapToGrid w:val="0"/>
        <w:spacing w:line="400" w:lineRule="exact"/>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snapToGrid w:val="0"/>
          <w:color w:val="auto"/>
          <w:kern w:val="0"/>
          <w:szCs w:val="28"/>
          <w:highlight w:val="none"/>
        </w:rPr>
        <w:t>．投标人填写本</w:t>
      </w:r>
      <w:r>
        <w:rPr>
          <w:rFonts w:hint="eastAsia" w:ascii="宋体" w:hAnsi="宋体" w:cs="宋体"/>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auto"/>
          <w:kern w:val="0"/>
          <w:sz w:val="21"/>
          <w:szCs w:val="21"/>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auto"/>
          <w:kern w:val="0"/>
          <w:szCs w:val="24"/>
          <w:highlight w:val="none"/>
        </w:rPr>
      </w:pPr>
      <w:bookmarkStart w:id="326" w:name="_Toc4492"/>
      <w:bookmarkStart w:id="327" w:name="_Toc8264"/>
      <w:bookmarkStart w:id="328" w:name="_Toc200338098"/>
      <w:r>
        <w:rPr>
          <w:rFonts w:hint="eastAsia" w:hAnsi="宋体" w:cs="宋体"/>
          <w:b/>
          <w:snapToGrid w:val="0"/>
          <w:color w:val="auto"/>
          <w:kern w:val="0"/>
          <w:highlight w:val="none"/>
        </w:rPr>
        <w:t>格式</w:t>
      </w:r>
      <w:bookmarkStart w:id="329" w:name="_Hlt287950384"/>
      <w:bookmarkEnd w:id="329"/>
      <w:r>
        <w:rPr>
          <w:rFonts w:hint="eastAsia" w:hAnsi="宋体" w:cs="宋体"/>
          <w:b/>
          <w:bCs/>
          <w:snapToGrid w:val="0"/>
          <w:color w:val="auto"/>
          <w:kern w:val="0"/>
          <w:szCs w:val="24"/>
          <w:highlight w:val="none"/>
        </w:rPr>
        <w:t>十 项目监理机构组成人员汇总表</w:t>
      </w:r>
      <w:bookmarkEnd w:id="326"/>
    </w:p>
    <w:p w14:paraId="58540D5A">
      <w:pPr>
        <w:wordWrap w:val="0"/>
        <w:adjustRightInd w:val="0"/>
        <w:snapToGrid w:val="0"/>
        <w:spacing w:before="260" w:after="260" w:line="440" w:lineRule="exact"/>
        <w:jc w:val="center"/>
        <w:rPr>
          <w:rFonts w:hAnsi="宋体" w:cs="宋体"/>
          <w:b/>
          <w:snapToGrid w:val="0"/>
          <w:color w:val="auto"/>
          <w:kern w:val="0"/>
          <w:highlight w:val="none"/>
        </w:rPr>
      </w:pPr>
      <w:r>
        <w:rPr>
          <w:rFonts w:hint="eastAsia" w:hAnsi="宋体" w:cs="宋体"/>
          <w:b/>
          <w:snapToGrid w:val="0"/>
          <w:color w:val="auto"/>
          <w:kern w:val="0"/>
          <w:sz w:val="30"/>
          <w:highlight w:val="none"/>
        </w:rPr>
        <w:t xml:space="preserve"> 项目监理机构组成人员汇总表</w:t>
      </w: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auto"/>
                <w:kern w:val="0"/>
                <w:sz w:val="21"/>
                <w:szCs w:val="21"/>
                <w:highlight w:val="none"/>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auto"/>
                <w:kern w:val="0"/>
                <w:sz w:val="21"/>
                <w:szCs w:val="21"/>
                <w:highlight w:val="none"/>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auto"/>
                <w:kern w:val="0"/>
                <w:sz w:val="21"/>
                <w:szCs w:val="21"/>
                <w:highlight w:val="none"/>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auto"/>
                <w:kern w:val="0"/>
                <w:sz w:val="21"/>
                <w:szCs w:val="21"/>
                <w:highlight w:val="none"/>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auto"/>
                <w:kern w:val="0"/>
                <w:sz w:val="21"/>
                <w:szCs w:val="21"/>
                <w:highlight w:val="none"/>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auto"/>
                <w:kern w:val="0"/>
                <w:sz w:val="21"/>
                <w:szCs w:val="21"/>
                <w:highlight w:val="none"/>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auto"/>
                <w:kern w:val="0"/>
                <w:sz w:val="21"/>
                <w:szCs w:val="21"/>
                <w:highlight w:val="none"/>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auto"/>
                <w:kern w:val="0"/>
                <w:sz w:val="21"/>
                <w:szCs w:val="21"/>
                <w:highlight w:val="none"/>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auto"/>
                <w:kern w:val="0"/>
                <w:sz w:val="21"/>
                <w:szCs w:val="21"/>
                <w:highlight w:val="none"/>
              </w:rPr>
            </w:pPr>
          </w:p>
        </w:tc>
        <w:bookmarkStart w:id="330" w:name="_Hlt69116778"/>
        <w:bookmarkStart w:id="331" w:name="_附件十：单项工程费汇总表"/>
        <w:bookmarkStart w:id="332" w:name="_附件二十四：技术标提问单"/>
        <w:bookmarkStart w:id="333" w:name="_附件二十五：综合评审合理低价法"/>
        <w:bookmarkStart w:id="334" w:name="_Hlt68774664"/>
      </w:tr>
      <w:bookmarkEnd w:id="327"/>
      <w:bookmarkEnd w:id="328"/>
      <w:bookmarkEnd w:id="330"/>
      <w:bookmarkEnd w:id="331"/>
      <w:bookmarkEnd w:id="332"/>
      <w:bookmarkEnd w:id="333"/>
      <w:bookmarkEnd w:id="334"/>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auto"/>
                <w:kern w:val="0"/>
                <w:sz w:val="21"/>
                <w:szCs w:val="21"/>
                <w:highlight w:val="none"/>
              </w:rPr>
            </w:pPr>
          </w:p>
        </w:tc>
      </w:tr>
    </w:tbl>
    <w:p w14:paraId="4CDFA701">
      <w:pPr>
        <w:pStyle w:val="74"/>
        <w:widowControl w:val="0"/>
        <w:wordWrap w:val="0"/>
        <w:adjustRightInd w:val="0"/>
        <w:snapToGrid w:val="0"/>
        <w:spacing w:line="400" w:lineRule="exact"/>
        <w:rPr>
          <w:rFonts w:hAnsi="宋体" w:cs="宋体"/>
          <w:snapToGrid w:val="0"/>
          <w:color w:val="auto"/>
          <w:sz w:val="21"/>
          <w:highlight w:val="none"/>
        </w:rPr>
      </w:pPr>
      <w:r>
        <w:rPr>
          <w:rFonts w:hint="eastAsia" w:hAnsi="宋体" w:cs="宋体"/>
          <w:snapToGrid w:val="0"/>
          <w:color w:val="auto"/>
          <w:sz w:val="21"/>
          <w:highlight w:val="none"/>
        </w:rPr>
        <w:t>说明：</w:t>
      </w:r>
    </w:p>
    <w:p w14:paraId="24312D3D">
      <w:pPr>
        <w:pStyle w:val="74"/>
        <w:widowControl w:val="0"/>
        <w:wordWrap w:val="0"/>
        <w:adjustRightInd w:val="0"/>
        <w:snapToGrid w:val="0"/>
        <w:spacing w:line="400" w:lineRule="exact"/>
        <w:rPr>
          <w:rFonts w:hAnsi="宋体" w:cs="宋体"/>
          <w:snapToGrid w:val="0"/>
          <w:color w:val="auto"/>
          <w:sz w:val="21"/>
          <w:highlight w:val="none"/>
        </w:rPr>
        <w:sectPr>
          <w:endnotePr>
            <w:numFmt w:val="decimal"/>
          </w:endnotePr>
          <w:pgSz w:w="16838" w:h="11906" w:orient="landscape"/>
          <w:pgMar w:top="1417" w:right="1417" w:bottom="1417" w:left="1417" w:header="850" w:footer="992" w:gutter="0"/>
          <w:pgNumType w:fmt="decimal"/>
          <w:cols w:space="0" w:num="1"/>
          <w:docGrid w:linePitch="327" w:charSpace="0"/>
        </w:sectPr>
      </w:pPr>
      <w:r>
        <w:rPr>
          <w:rFonts w:hint="eastAsia" w:hAnsi="宋体" w:cs="宋体"/>
          <w:snapToGrid w:val="0"/>
          <w:color w:val="auto"/>
          <w:sz w:val="21"/>
          <w:highlight w:val="none"/>
        </w:rPr>
        <w:t>1</w:t>
      </w:r>
      <w:r>
        <w:rPr>
          <w:rFonts w:hint="eastAsia" w:hAnsi="宋体" w:cs="宋体"/>
          <w:snapToGrid w:val="0"/>
          <w:color w:val="auto"/>
          <w:sz w:val="21"/>
          <w:szCs w:val="28"/>
          <w:highlight w:val="none"/>
        </w:rPr>
        <w:t>．表中没有或无法填写的栏目，用</w:t>
      </w:r>
      <w:r>
        <w:rPr>
          <w:rFonts w:hint="eastAsia" w:hAnsi="宋体" w:cs="宋体"/>
          <w:snapToGrid w:val="0"/>
          <w:color w:val="auto"/>
          <w:sz w:val="21"/>
          <w:highlight w:val="none"/>
        </w:rPr>
        <w:t>“/”示意。</w:t>
      </w:r>
      <w:bookmarkEnd w:id="302"/>
      <w:bookmarkEnd w:id="303"/>
      <w:bookmarkEnd w:id="304"/>
      <w:bookmarkEnd w:id="305"/>
    </w:p>
    <w:p w14:paraId="63F60130">
      <w:pPr>
        <w:pStyle w:val="150"/>
        <w:keepNext/>
        <w:keepLines/>
        <w:snapToGrid w:val="0"/>
        <w:spacing w:line="400" w:lineRule="exact"/>
        <w:jc w:val="both"/>
        <w:rPr>
          <w:rFonts w:ascii="宋体" w:hAnsi="宋体" w:cs="宋体"/>
          <w:b/>
          <w:bCs/>
          <w:snapToGrid w:val="0"/>
          <w:color w:val="auto"/>
          <w:highlight w:val="none"/>
        </w:rPr>
      </w:pPr>
      <w:bookmarkStart w:id="335" w:name="_Toc13068"/>
      <w:bookmarkStart w:id="336" w:name="_Toc24916"/>
      <w:r>
        <w:rPr>
          <w:rFonts w:hint="eastAsia" w:ascii="宋体" w:hAnsi="宋体" w:cs="宋体"/>
          <w:b/>
          <w:bCs/>
          <w:snapToGrid w:val="0"/>
          <w:color w:val="auto"/>
          <w:highlight w:val="none"/>
        </w:rPr>
        <w:t>格式十一 总监理工程师简历表</w:t>
      </w:r>
      <w:bookmarkEnd w:id="335"/>
      <w:bookmarkEnd w:id="336"/>
    </w:p>
    <w:p w14:paraId="6461E15D">
      <w:pPr>
        <w:adjustRightInd w:val="0"/>
        <w:snapToGrid w:val="0"/>
        <w:spacing w:line="400" w:lineRule="exact"/>
        <w:jc w:val="center"/>
        <w:rPr>
          <w:rFonts w:hAnsi="宋体" w:cs="宋体"/>
          <w:b/>
          <w:bCs/>
          <w:color w:val="auto"/>
          <w:sz w:val="32"/>
          <w:szCs w:val="22"/>
          <w:highlight w:val="none"/>
        </w:rPr>
      </w:pPr>
    </w:p>
    <w:p w14:paraId="13A99F0A">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总监理工程师简历表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auto"/>
                <w:kern w:val="0"/>
                <w:sz w:val="21"/>
                <w:szCs w:val="21"/>
                <w:highlight w:val="none"/>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auto"/>
                <w:kern w:val="0"/>
                <w:sz w:val="21"/>
                <w:szCs w:val="21"/>
                <w:highlight w:val="none"/>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auto"/>
                <w:kern w:val="0"/>
                <w:sz w:val="21"/>
                <w:szCs w:val="21"/>
                <w:highlight w:val="none"/>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auto"/>
                <w:kern w:val="0"/>
                <w:sz w:val="21"/>
                <w:szCs w:val="21"/>
                <w:highlight w:val="none"/>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auto"/>
                <w:kern w:val="0"/>
                <w:sz w:val="21"/>
                <w:szCs w:val="21"/>
                <w:highlight w:val="none"/>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auto"/>
                <w:kern w:val="0"/>
                <w:sz w:val="21"/>
                <w:szCs w:val="21"/>
                <w:highlight w:val="none"/>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auto"/>
                <w:kern w:val="0"/>
                <w:sz w:val="21"/>
                <w:szCs w:val="21"/>
                <w:highlight w:val="none"/>
              </w:rPr>
            </w:pPr>
          </w:p>
        </w:tc>
      </w:tr>
    </w:tbl>
    <w:p w14:paraId="05AF772E">
      <w:pPr>
        <w:adjustRightInd w:val="0"/>
        <w:snapToGrid w:val="0"/>
        <w:spacing w:line="400" w:lineRule="exact"/>
        <w:rPr>
          <w:rFonts w:hAnsi="宋体" w:cs="宋体"/>
          <w:color w:val="auto"/>
          <w:highlight w:val="none"/>
        </w:rPr>
      </w:pPr>
    </w:p>
    <w:p w14:paraId="55649CDC">
      <w:pPr>
        <w:pStyle w:val="75"/>
        <w:wordWrap w:val="0"/>
        <w:adjustRightInd w:val="0"/>
        <w:snapToGrid w:val="0"/>
        <w:spacing w:line="400" w:lineRule="exact"/>
        <w:jc w:val="right"/>
        <w:rPr>
          <w:rFonts w:hAnsi="宋体" w:cs="宋体"/>
          <w:snapToGrid w:val="0"/>
          <w:color w:val="auto"/>
          <w:kern w:val="0"/>
          <w:highlight w:val="none"/>
        </w:rPr>
      </w:pPr>
    </w:p>
    <w:p w14:paraId="5212B167">
      <w:pPr>
        <w:pStyle w:val="75"/>
        <w:wordWrap w:val="0"/>
        <w:adjustRightInd w:val="0"/>
        <w:snapToGrid w:val="0"/>
        <w:spacing w:line="400" w:lineRule="exact"/>
        <w:jc w:val="right"/>
        <w:rPr>
          <w:rFonts w:hAnsi="宋体" w:cs="宋体"/>
          <w:snapToGrid w:val="0"/>
          <w:color w:val="auto"/>
          <w:kern w:val="0"/>
          <w:highlight w:val="none"/>
        </w:rPr>
      </w:pPr>
      <w:r>
        <w:rPr>
          <w:rFonts w:hint="eastAsia" w:hAnsi="宋体" w:cs="宋体"/>
          <w:snapToGrid w:val="0"/>
          <w:color w:val="auto"/>
          <w:kern w:val="0"/>
          <w:highlight w:val="none"/>
        </w:rPr>
        <w:t>总监理工程师：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w:t>
      </w:r>
    </w:p>
    <w:p w14:paraId="0C2580C4">
      <w:pPr>
        <w:pStyle w:val="75"/>
        <w:wordWrap w:val="0"/>
        <w:adjustRightInd w:val="0"/>
        <w:snapToGrid w:val="0"/>
        <w:spacing w:line="400" w:lineRule="exact"/>
        <w:jc w:val="center"/>
        <w:rPr>
          <w:rFonts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54D577A5">
      <w:pPr>
        <w:wordWrap w:val="0"/>
        <w:adjustRightInd w:val="0"/>
        <w:snapToGrid w:val="0"/>
        <w:spacing w:line="400" w:lineRule="exact"/>
        <w:ind w:firstLine="570"/>
        <w:rPr>
          <w:rFonts w:hAnsi="宋体" w:cs="宋体"/>
          <w:snapToGrid w:val="0"/>
          <w:color w:val="auto"/>
          <w:kern w:val="0"/>
          <w:szCs w:val="28"/>
          <w:highlight w:val="none"/>
        </w:rPr>
      </w:pPr>
    </w:p>
    <w:p w14:paraId="1CA52C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6403A45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2．监理工程师注册证书彩色扫描件（须彩色扫描至变更注册栏）</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hAnsi="宋体" w:cs="宋体"/>
          <w:snapToGrid w:val="0"/>
          <w:color w:val="auto"/>
          <w:kern w:val="0"/>
          <w:sz w:val="21"/>
          <w:szCs w:val="28"/>
          <w:highlight w:val="none"/>
        </w:rPr>
        <w:t>；</w:t>
      </w:r>
    </w:p>
    <w:p w14:paraId="4FD46B7A">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06</w:t>
      </w:r>
      <w:r>
        <w:rPr>
          <w:rFonts w:hint="eastAsia" w:ascii="宋体" w:hAnsi="宋体" w:eastAsia="宋体" w:cs="宋体"/>
          <w:caps w:val="0"/>
          <w:smallCaps w:val="0"/>
          <w:snapToGrid w:val="0"/>
          <w:color w:val="auto"/>
          <w:spacing w:val="0"/>
          <w:kern w:val="0"/>
          <w:sz w:val="21"/>
          <w:szCs w:val="28"/>
          <w:highlight w:val="none"/>
          <w:lang w:val="en-US" w:eastAsia="zh-CN"/>
        </w:rPr>
        <w:t>月）彩色扫描件。</w:t>
      </w:r>
    </w:p>
    <w:p w14:paraId="2DC2A311">
      <w:pPr>
        <w:pStyle w:val="10"/>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4.“进粤企业和人员诚信信息登记平台”个人（总监理工程师等）信息情况截图。（适用于省外建筑企业）</w:t>
      </w:r>
    </w:p>
    <w:p w14:paraId="1FF4E9EC">
      <w:pPr>
        <w:pStyle w:val="10"/>
        <w:snapToGrid w:val="0"/>
        <w:spacing w:line="400" w:lineRule="exact"/>
        <w:rPr>
          <w:rFonts w:hAnsi="宋体" w:cs="宋体"/>
          <w:snapToGrid w:val="0"/>
          <w:color w:val="auto"/>
          <w:sz w:val="21"/>
          <w:highlight w:val="none"/>
        </w:rPr>
      </w:pPr>
    </w:p>
    <w:p w14:paraId="1F51A155">
      <w:pPr>
        <w:adjustRightInd w:val="0"/>
        <w:snapToGrid w:val="0"/>
        <w:spacing w:line="400" w:lineRule="exact"/>
        <w:rPr>
          <w:rFonts w:hAnsi="宋体" w:cs="宋体"/>
          <w:b/>
          <w:bCs/>
          <w:snapToGrid w:val="0"/>
          <w:color w:val="auto"/>
          <w:kern w:val="0"/>
          <w:szCs w:val="24"/>
          <w:highlight w:val="none"/>
        </w:rPr>
      </w:pPr>
      <w:bookmarkStart w:id="337" w:name="_Toc19546"/>
      <w:r>
        <w:rPr>
          <w:rFonts w:hint="eastAsia" w:hAnsi="宋体" w:cs="宋体"/>
          <w:b/>
          <w:bCs/>
          <w:snapToGrid w:val="0"/>
          <w:color w:val="auto"/>
          <w:kern w:val="0"/>
          <w:szCs w:val="24"/>
          <w:highlight w:val="none"/>
        </w:rPr>
        <w:br w:type="page"/>
      </w:r>
    </w:p>
    <w:p w14:paraId="32B105E3">
      <w:pPr>
        <w:pStyle w:val="150"/>
        <w:keepNext/>
        <w:keepLines/>
        <w:snapToGrid w:val="0"/>
        <w:spacing w:line="400" w:lineRule="exact"/>
        <w:jc w:val="both"/>
        <w:rPr>
          <w:rFonts w:ascii="宋体" w:hAnsi="宋体" w:cs="宋体"/>
          <w:b/>
          <w:bCs/>
          <w:snapToGrid w:val="0"/>
          <w:color w:val="auto"/>
          <w:highlight w:val="none"/>
        </w:rPr>
      </w:pPr>
      <w:bookmarkStart w:id="338" w:name="_Toc21090"/>
      <w:r>
        <w:rPr>
          <w:rFonts w:hint="eastAsia" w:ascii="宋体" w:hAnsi="宋体" w:cs="宋体"/>
          <w:b/>
          <w:bCs/>
          <w:snapToGrid w:val="0"/>
          <w:color w:val="auto"/>
          <w:highlight w:val="none"/>
        </w:rPr>
        <w:t>格式十二 其他拟派人员简历表</w:t>
      </w:r>
      <w:bookmarkEnd w:id="337"/>
      <w:bookmarkEnd w:id="338"/>
    </w:p>
    <w:p w14:paraId="6BB2F130">
      <w:pPr>
        <w:adjustRightInd w:val="0"/>
        <w:snapToGrid w:val="0"/>
        <w:spacing w:line="400" w:lineRule="exact"/>
        <w:jc w:val="center"/>
        <w:rPr>
          <w:rFonts w:hAnsi="宋体" w:cs="宋体"/>
          <w:b/>
          <w:bCs/>
          <w:color w:val="auto"/>
          <w:sz w:val="32"/>
          <w:szCs w:val="22"/>
          <w:highlight w:val="none"/>
        </w:rPr>
      </w:pPr>
    </w:p>
    <w:p w14:paraId="3FF56886">
      <w:pPr>
        <w:adjustRightInd w:val="0"/>
        <w:snapToGrid w:val="0"/>
        <w:spacing w:line="400" w:lineRule="exact"/>
        <w:jc w:val="center"/>
        <w:rPr>
          <w:rFonts w:hAnsi="宋体" w:cs="宋体"/>
          <w:b/>
          <w:bCs/>
          <w:color w:val="auto"/>
          <w:sz w:val="32"/>
          <w:szCs w:val="22"/>
          <w:highlight w:val="none"/>
        </w:rPr>
      </w:pPr>
      <w:r>
        <w:rPr>
          <w:rFonts w:hint="eastAsia" w:hAnsi="宋体" w:cs="宋体"/>
          <w:b/>
          <w:bCs/>
          <w:color w:val="auto"/>
          <w:sz w:val="32"/>
          <w:szCs w:val="22"/>
          <w:highlight w:val="none"/>
        </w:rPr>
        <w:t>其他拟派人员简历表（）</w:t>
      </w:r>
    </w:p>
    <w:tbl>
      <w:tblPr>
        <w:tblStyle w:val="3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auto"/>
                <w:kern w:val="0"/>
                <w:sz w:val="21"/>
                <w:szCs w:val="21"/>
                <w:highlight w:val="none"/>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auto"/>
                <w:kern w:val="0"/>
                <w:sz w:val="21"/>
                <w:szCs w:val="21"/>
                <w:highlight w:val="none"/>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auto"/>
                <w:kern w:val="0"/>
                <w:sz w:val="21"/>
                <w:szCs w:val="21"/>
                <w:highlight w:val="none"/>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AEF7FE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6A8FC6B9">
            <w:pPr>
              <w:wordWrap w:val="0"/>
              <w:adjustRightInd w:val="0"/>
              <w:snapToGrid w:val="0"/>
              <w:spacing w:line="400" w:lineRule="exact"/>
              <w:jc w:val="left"/>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r>
              <w:rPr>
                <w:rFonts w:hint="eastAsia" w:hAnsi="宋体" w:cs="宋体"/>
                <w:snapToGrid w:val="0"/>
                <w:color w:val="auto"/>
                <w:kern w:val="0"/>
                <w:sz w:val="21"/>
                <w:szCs w:val="28"/>
                <w:highlight w:val="none"/>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auto"/>
                <w:kern w:val="0"/>
                <w:sz w:val="21"/>
                <w:szCs w:val="21"/>
                <w:highlight w:val="none"/>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auto"/>
                <w:kern w:val="0"/>
                <w:sz w:val="21"/>
                <w:szCs w:val="21"/>
                <w:highlight w:val="none"/>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auto"/>
                <w:kern w:val="0"/>
                <w:sz w:val="21"/>
                <w:szCs w:val="21"/>
                <w:highlight w:val="none"/>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auto"/>
                <w:kern w:val="0"/>
                <w:sz w:val="21"/>
                <w:szCs w:val="21"/>
                <w:highlight w:val="none"/>
              </w:rPr>
            </w:pPr>
          </w:p>
        </w:tc>
      </w:tr>
    </w:tbl>
    <w:p w14:paraId="77C02387">
      <w:pPr>
        <w:pStyle w:val="75"/>
        <w:wordWrap w:val="0"/>
        <w:adjustRightInd w:val="0"/>
        <w:snapToGrid w:val="0"/>
        <w:spacing w:line="400" w:lineRule="exact"/>
        <w:rPr>
          <w:rFonts w:hAnsi="宋体" w:cs="宋体"/>
          <w:snapToGrid w:val="0"/>
          <w:color w:val="auto"/>
          <w:kern w:val="0"/>
          <w:highlight w:val="none"/>
        </w:rPr>
      </w:pPr>
    </w:p>
    <w:p w14:paraId="51FC9EC7">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w:t>
      </w:r>
    </w:p>
    <w:p w14:paraId="2C895D48">
      <w:pPr>
        <w:wordWrap w:val="0"/>
        <w:adjustRightInd w:val="0"/>
        <w:snapToGrid w:val="0"/>
        <w:spacing w:line="400" w:lineRule="exact"/>
        <w:ind w:firstLine="420"/>
        <w:rPr>
          <w:rFonts w:hAnsi="宋体" w:cs="宋体"/>
          <w:snapToGrid w:val="0"/>
          <w:color w:val="auto"/>
          <w:kern w:val="0"/>
          <w:sz w:val="21"/>
          <w:szCs w:val="21"/>
          <w:highlight w:val="none"/>
        </w:rPr>
      </w:pPr>
      <w:r>
        <w:rPr>
          <w:rFonts w:hint="eastAsia" w:hAnsi="宋体" w:cs="宋体"/>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hAnsi="宋体" w:cs="宋体"/>
          <w:snapToGrid w:val="0"/>
          <w:color w:val="auto"/>
          <w:kern w:val="0"/>
          <w:sz w:val="21"/>
          <w:szCs w:val="21"/>
          <w:highlight w:val="none"/>
        </w:rPr>
        <w:t>并标明序号。</w:t>
      </w:r>
    </w:p>
    <w:p w14:paraId="784C9BD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2．每份简历表后应附该拟派人员以下资料：</w:t>
      </w:r>
    </w:p>
    <w:p w14:paraId="1DCEBAA8">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（1）身份证彩色扫描件；</w:t>
      </w:r>
    </w:p>
    <w:p w14:paraId="15883648">
      <w:pPr>
        <w:wordWrap w:val="0"/>
        <w:adjustRightInd w:val="0"/>
        <w:snapToGrid w:val="0"/>
        <w:spacing w:line="400" w:lineRule="exact"/>
        <w:ind w:firstLine="420"/>
        <w:rPr>
          <w:rFonts w:hint="eastAsia" w:hAnsi="宋体" w:eastAsia="宋体" w:cs="宋体"/>
          <w:snapToGrid w:val="0"/>
          <w:color w:val="auto"/>
          <w:kern w:val="0"/>
          <w:sz w:val="21"/>
          <w:szCs w:val="28"/>
          <w:highlight w:val="none"/>
          <w:lang w:val="en-US" w:eastAsia="zh-CN"/>
        </w:rPr>
      </w:pPr>
      <w:r>
        <w:rPr>
          <w:rFonts w:hint="eastAsia" w:hAnsi="宋体" w:cs="宋体"/>
          <w:snapToGrid w:val="0"/>
          <w:color w:val="auto"/>
          <w:kern w:val="0"/>
          <w:sz w:val="21"/>
          <w:szCs w:val="28"/>
          <w:highlight w:val="none"/>
        </w:rPr>
        <w:t>（2）相关证书彩色扫描件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须彩色扫描至变更注册栏</w:t>
      </w:r>
      <w:r>
        <w:rPr>
          <w:rFonts w:hint="eastAsia" w:hAnsi="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ascii="宋体" w:hAnsi="宋体" w:eastAsia="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具体要求详见招标文件第一章第三节第</w:t>
      </w:r>
      <w:r>
        <w:rPr>
          <w:rFonts w:hint="eastAsia" w:hAnsi="宋体" w:cs="宋体"/>
          <w:b/>
          <w:bCs/>
          <w:snapToGrid w:val="0"/>
          <w:color w:val="auto"/>
          <w:kern w:val="0"/>
          <w:sz w:val="21"/>
          <w:szCs w:val="28"/>
          <w:highlight w:val="none"/>
        </w:rPr>
        <w:t>15.5</w:t>
      </w:r>
      <w:r>
        <w:rPr>
          <w:rFonts w:hint="eastAsia" w:hAnsi="宋体" w:cs="宋体"/>
          <w:snapToGrid w:val="0"/>
          <w:color w:val="auto"/>
          <w:kern w:val="0"/>
          <w:sz w:val="21"/>
          <w:szCs w:val="28"/>
          <w:highlight w:val="none"/>
        </w:rPr>
        <w:t>条表</w:t>
      </w:r>
      <w:r>
        <w:rPr>
          <w:rFonts w:hint="eastAsia" w:hAnsi="宋体" w:cs="宋体"/>
          <w:b/>
          <w:bCs/>
          <w:snapToGrid w:val="0"/>
          <w:color w:val="auto"/>
          <w:kern w:val="0"/>
          <w:sz w:val="21"/>
          <w:szCs w:val="28"/>
          <w:highlight w:val="none"/>
        </w:rPr>
        <w:t>2</w:t>
      </w:r>
      <w:r>
        <w:rPr>
          <w:rFonts w:hint="eastAsia" w:hAnsi="宋体" w:cs="宋体"/>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8"/>
          <w:highlight w:val="none"/>
          <w:lang w:val="en-US" w:eastAsia="zh-CN"/>
        </w:rPr>
        <w:t>；</w:t>
      </w:r>
    </w:p>
    <w:p w14:paraId="1BFF2D19">
      <w:pPr>
        <w:wordWrap w:val="0"/>
        <w:adjustRightInd w:val="0"/>
        <w:snapToGrid w:val="0"/>
        <w:spacing w:line="400" w:lineRule="exact"/>
        <w:ind w:firstLine="420"/>
        <w:rPr>
          <w:rFonts w:hAnsi="宋体" w:cs="宋体"/>
          <w:snapToGrid w:val="0"/>
          <w:color w:val="auto"/>
          <w:kern w:val="0"/>
          <w:sz w:val="21"/>
          <w:szCs w:val="28"/>
          <w:highlight w:val="none"/>
        </w:rPr>
      </w:pPr>
      <w:r>
        <w:rPr>
          <w:rFonts w:hint="eastAsia" w:hAnsi="宋体" w:cs="宋体"/>
          <w:snapToGrid w:val="0"/>
          <w:color w:val="auto"/>
          <w:kern w:val="0"/>
          <w:sz w:val="21"/>
          <w:szCs w:val="28"/>
          <w:highlight w:val="none"/>
        </w:rPr>
        <w:t>（3）</w:t>
      </w:r>
      <w:r>
        <w:rPr>
          <w:rFonts w:hint="eastAsia" w:ascii="Times New Roman"/>
          <w:snapToGrid w:val="0"/>
          <w:color w:val="auto"/>
          <w:kern w:val="0"/>
          <w:sz w:val="21"/>
          <w:szCs w:val="28"/>
          <w:highlight w:val="none"/>
        </w:rPr>
        <w:t>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（至少一个月，其中必须有202</w:t>
      </w:r>
      <w:r>
        <w:rPr>
          <w:rFonts w:hint="eastAsia" w:hAnsi="宋体" w:cs="宋体"/>
          <w:caps w:val="0"/>
          <w:smallCaps w:val="0"/>
          <w:snapToGrid w:val="0"/>
          <w:color w:val="auto"/>
          <w:spacing w:val="0"/>
          <w:kern w:val="0"/>
          <w:sz w:val="21"/>
          <w:szCs w:val="28"/>
          <w:highlight w:val="none"/>
          <w:lang w:val="en-US" w:eastAsia="zh-CN"/>
        </w:rPr>
        <w:t>6</w:t>
      </w:r>
      <w:r>
        <w:rPr>
          <w:rFonts w:hint="eastAsia" w:ascii="宋体" w:hAnsi="宋体" w:eastAsia="宋体" w:cs="宋体"/>
          <w:caps w:val="0"/>
          <w:smallCaps w:val="0"/>
          <w:snapToGrid w:val="0"/>
          <w:color w:val="auto"/>
          <w:spacing w:val="0"/>
          <w:kern w:val="0"/>
          <w:sz w:val="21"/>
          <w:szCs w:val="28"/>
          <w:highlight w:val="none"/>
          <w:lang w:val="en-US" w:eastAsia="zh-CN"/>
        </w:rPr>
        <w:t>年</w:t>
      </w:r>
      <w:r>
        <w:rPr>
          <w:rFonts w:hint="eastAsia" w:hAnsi="宋体" w:cs="宋体"/>
          <w:caps w:val="0"/>
          <w:smallCaps w:val="0"/>
          <w:snapToGrid w:val="0"/>
          <w:color w:val="auto"/>
          <w:spacing w:val="0"/>
          <w:kern w:val="0"/>
          <w:sz w:val="21"/>
          <w:szCs w:val="28"/>
          <w:highlight w:val="none"/>
          <w:lang w:val="en-US" w:eastAsia="zh-CN"/>
        </w:rPr>
        <w:t>06</w:t>
      </w:r>
      <w:r>
        <w:rPr>
          <w:rFonts w:hint="eastAsia" w:ascii="宋体" w:hAnsi="宋体" w:eastAsia="宋体" w:cs="宋体"/>
          <w:caps w:val="0"/>
          <w:smallCaps w:val="0"/>
          <w:snapToGrid w:val="0"/>
          <w:color w:val="auto"/>
          <w:spacing w:val="0"/>
          <w:kern w:val="0"/>
          <w:sz w:val="21"/>
          <w:szCs w:val="28"/>
          <w:highlight w:val="none"/>
          <w:lang w:val="en-US" w:eastAsia="zh-CN"/>
        </w:rPr>
        <w:t>月）</w:t>
      </w:r>
      <w:r>
        <w:rPr>
          <w:rFonts w:hint="eastAsia" w:ascii="Times New Roman"/>
          <w:snapToGrid w:val="0"/>
          <w:color w:val="auto"/>
          <w:kern w:val="0"/>
          <w:sz w:val="21"/>
          <w:szCs w:val="28"/>
          <w:highlight w:val="none"/>
        </w:rPr>
        <w:t>彩色扫描件。</w:t>
      </w:r>
    </w:p>
    <w:p w14:paraId="14218DA9">
      <w:pPr>
        <w:pStyle w:val="10"/>
        <w:snapToGrid w:val="0"/>
        <w:spacing w:line="400" w:lineRule="exact"/>
        <w:ind w:firstLine="420" w:firstLineChars="200"/>
        <w:rPr>
          <w:rFonts w:hAnsi="宋体" w:cs="宋体"/>
          <w:snapToGrid w:val="0"/>
          <w:color w:val="auto"/>
          <w:sz w:val="21"/>
          <w:highlight w:val="none"/>
        </w:rPr>
      </w:pPr>
      <w:r>
        <w:rPr>
          <w:rFonts w:hint="eastAsia" w:hAnsi="宋体" w:cs="宋体"/>
          <w:snapToGrid w:val="0"/>
          <w:color w:val="auto"/>
          <w:sz w:val="21"/>
          <w:highlight w:val="none"/>
        </w:rPr>
        <w:t>3.“进粤企业和人员诚信信息登记平台”个人信息情况截图。（适用于省外建筑企业）</w:t>
      </w:r>
    </w:p>
    <w:p w14:paraId="16DC49F0">
      <w:pPr>
        <w:rPr>
          <w:color w:val="auto"/>
          <w:highlight w:val="none"/>
        </w:rPr>
      </w:pPr>
      <w:bookmarkStart w:id="339" w:name="_Toc593"/>
      <w:bookmarkStart w:id="340" w:name="_Toc25312"/>
    </w:p>
    <w:p w14:paraId="4F5701AB">
      <w:pPr>
        <w:rPr>
          <w:color w:val="auto"/>
          <w:highlight w:val="none"/>
        </w:rPr>
      </w:pPr>
    </w:p>
    <w:p w14:paraId="0B0CC3A8">
      <w:pPr>
        <w:rPr>
          <w:color w:val="auto"/>
          <w:highlight w:val="none"/>
        </w:rPr>
      </w:pPr>
    </w:p>
    <w:p w14:paraId="0887FC9D">
      <w:pPr>
        <w:rPr>
          <w:color w:val="auto"/>
          <w:highlight w:val="none"/>
        </w:rPr>
      </w:pPr>
    </w:p>
    <w:p w14:paraId="746FE86D">
      <w:pPr>
        <w:rPr>
          <w:color w:val="auto"/>
          <w:highlight w:val="none"/>
        </w:rPr>
      </w:pPr>
    </w:p>
    <w:p w14:paraId="4A3461BE">
      <w:pPr>
        <w:bidi w:val="0"/>
        <w:rPr>
          <w:color w:val="auto"/>
          <w:highlight w:val="none"/>
        </w:rPr>
      </w:pPr>
    </w:p>
    <w:p w14:paraId="20F0C669">
      <w:pPr>
        <w:pStyle w:val="4"/>
        <w:bidi w:val="0"/>
        <w:rPr>
          <w:rFonts w:hint="default"/>
          <w:b/>
          <w:bCs/>
          <w:color w:val="auto"/>
          <w:highlight w:val="none"/>
          <w:lang w:val="en-US" w:eastAsia="zh-CN"/>
        </w:rPr>
      </w:pPr>
      <w:bookmarkStart w:id="341" w:name="_Toc1230"/>
      <w:r>
        <w:rPr>
          <w:rFonts w:hint="eastAsia"/>
          <w:b/>
          <w:bCs/>
          <w:color w:val="auto"/>
          <w:highlight w:val="none"/>
          <w:lang w:val="en-US" w:eastAsia="zh-CN"/>
        </w:rPr>
        <w:t>格式十三 原件一览表</w:t>
      </w:r>
      <w:bookmarkEnd w:id="341"/>
    </w:p>
    <w:tbl>
      <w:tblPr>
        <w:tblStyle w:val="31"/>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auto"/>
                <w:highlight w:val="none"/>
              </w:rPr>
            </w:pPr>
            <w:r>
              <w:rPr>
                <w:rFonts w:hAnsi="宋体" w:cs="宋体"/>
                <w:b/>
                <w:color w:val="auto"/>
                <w:highlight w:val="none"/>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auto"/>
                <w:sz w:val="24"/>
                <w:szCs w:val="24"/>
                <w:highlight w:val="none"/>
              </w:rPr>
            </w:pPr>
            <w:r>
              <w:rPr>
                <w:rFonts w:hAnsi="宋体" w:cs="宋体"/>
                <w:color w:val="auto"/>
                <w:sz w:val="24"/>
                <w:szCs w:val="24"/>
                <w:highlight w:val="none"/>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auto"/>
                <w:sz w:val="24"/>
                <w:szCs w:val="24"/>
                <w:highlight w:val="none"/>
              </w:rPr>
            </w:pPr>
            <w:r>
              <w:rPr>
                <w:rFonts w:hAnsi="宋体" w:cs="宋体"/>
                <w:color w:val="auto"/>
                <w:sz w:val="24"/>
                <w:szCs w:val="24"/>
                <w:highlight w:val="none"/>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auto"/>
                <w:sz w:val="24"/>
                <w:szCs w:val="24"/>
                <w:highlight w:val="none"/>
              </w:rPr>
            </w:pPr>
            <w:r>
              <w:rPr>
                <w:rFonts w:hAnsi="宋体" w:cs="宋体"/>
                <w:color w:val="auto"/>
                <w:sz w:val="24"/>
                <w:szCs w:val="24"/>
                <w:highlight w:val="none"/>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auto"/>
                <w:sz w:val="24"/>
                <w:szCs w:val="24"/>
                <w:highlight w:val="none"/>
              </w:rPr>
            </w:pPr>
            <w:r>
              <w:rPr>
                <w:rFonts w:hAnsi="宋体" w:cs="宋体"/>
                <w:color w:val="auto"/>
                <w:sz w:val="24"/>
                <w:szCs w:val="24"/>
                <w:highlight w:val="none"/>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auto"/>
                <w:sz w:val="24"/>
                <w:szCs w:val="24"/>
                <w:highlight w:val="none"/>
              </w:rPr>
            </w:pPr>
            <w:r>
              <w:rPr>
                <w:rFonts w:hAnsi="宋体" w:cs="宋体"/>
                <w:color w:val="auto"/>
                <w:sz w:val="24"/>
                <w:szCs w:val="24"/>
                <w:highlight w:val="none"/>
              </w:rPr>
              <w:t>投标人法定代表人或其</w:t>
            </w:r>
          </w:p>
          <w:p w14:paraId="77524DC3">
            <w:pPr>
              <w:jc w:val="center"/>
              <w:rPr>
                <w:rFonts w:hAnsi="宋体" w:cs="宋体"/>
                <w:color w:val="auto"/>
                <w:sz w:val="24"/>
                <w:szCs w:val="24"/>
                <w:highlight w:val="none"/>
              </w:rPr>
            </w:pPr>
            <w:r>
              <w:rPr>
                <w:rFonts w:hAnsi="宋体" w:cs="宋体"/>
                <w:color w:val="auto"/>
                <w:sz w:val="24"/>
                <w:szCs w:val="24"/>
                <w:highlight w:val="none"/>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auto"/>
                <w:sz w:val="24"/>
                <w:szCs w:val="24"/>
                <w:highlight w:val="none"/>
              </w:rPr>
            </w:pPr>
            <w:r>
              <w:rPr>
                <w:rFonts w:hAnsi="宋体" w:cs="宋体"/>
                <w:color w:val="auto"/>
                <w:sz w:val="24"/>
                <w:szCs w:val="24"/>
                <w:highlight w:val="none"/>
              </w:rPr>
              <w:t>　</w:t>
            </w:r>
          </w:p>
        </w:tc>
        <w:tc>
          <w:tcPr>
            <w:tcW w:w="754" w:type="dxa"/>
            <w:shd w:val="clear" w:color="auto" w:fill="auto"/>
            <w:noWrap w:val="0"/>
            <w:tcMar>
              <w:left w:w="108" w:type="dxa"/>
              <w:right w:w="108" w:type="dxa"/>
            </w:tcMar>
            <w:vAlign w:val="center"/>
          </w:tcPr>
          <w:p w14:paraId="4060398A">
            <w:pPr>
              <w:jc w:val="center"/>
              <w:rPr>
                <w:rFonts w:hAnsi="宋体" w:cs="宋体"/>
                <w:color w:val="auto"/>
                <w:sz w:val="24"/>
                <w:szCs w:val="24"/>
                <w:highlight w:val="none"/>
              </w:rPr>
            </w:pPr>
            <w:r>
              <w:rPr>
                <w:rFonts w:hAnsi="宋体" w:cs="宋体"/>
                <w:color w:val="auto"/>
                <w:sz w:val="24"/>
                <w:szCs w:val="24"/>
                <w:highlight w:val="none"/>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auto"/>
                <w:sz w:val="24"/>
                <w:szCs w:val="24"/>
                <w:highlight w:val="none"/>
              </w:rPr>
            </w:pPr>
            <w:r>
              <w:rPr>
                <w:rFonts w:hAnsi="宋体" w:cs="宋体"/>
                <w:color w:val="auto"/>
                <w:sz w:val="24"/>
                <w:szCs w:val="24"/>
                <w:highlight w:val="none"/>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auto"/>
                <w:sz w:val="24"/>
                <w:szCs w:val="24"/>
                <w:highlight w:val="none"/>
              </w:rPr>
            </w:pPr>
            <w:r>
              <w:rPr>
                <w:rFonts w:hAnsi="宋体" w:cs="宋体"/>
                <w:color w:val="auto"/>
                <w:sz w:val="24"/>
                <w:szCs w:val="24"/>
                <w:highlight w:val="none"/>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auto"/>
                <w:sz w:val="24"/>
                <w:szCs w:val="24"/>
                <w:highlight w:val="none"/>
              </w:rPr>
            </w:pPr>
            <w:r>
              <w:rPr>
                <w:rFonts w:hAnsi="宋体" w:cs="宋体"/>
                <w:color w:val="auto"/>
                <w:sz w:val="24"/>
                <w:szCs w:val="24"/>
                <w:highlight w:val="none"/>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auto"/>
                <w:sz w:val="24"/>
                <w:szCs w:val="24"/>
                <w:highlight w:val="none"/>
              </w:rPr>
            </w:pPr>
            <w:r>
              <w:rPr>
                <w:rFonts w:hAnsi="宋体" w:cs="宋体"/>
                <w:color w:val="auto"/>
                <w:sz w:val="24"/>
                <w:szCs w:val="24"/>
                <w:highlight w:val="none"/>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auto"/>
                <w:sz w:val="24"/>
                <w:szCs w:val="24"/>
                <w:highlight w:val="none"/>
              </w:rPr>
            </w:pPr>
            <w:r>
              <w:rPr>
                <w:rFonts w:hAnsi="宋体" w:cs="宋体"/>
                <w:color w:val="auto"/>
                <w:sz w:val="24"/>
                <w:szCs w:val="24"/>
                <w:highlight w:val="none"/>
              </w:rPr>
              <w:t>单位</w:t>
            </w:r>
          </w:p>
        </w:tc>
        <w:tc>
          <w:tcPr>
            <w:tcW w:w="1570" w:type="dxa"/>
            <w:shd w:val="clear" w:color="auto" w:fill="auto"/>
            <w:noWrap w:val="0"/>
            <w:tcMar>
              <w:left w:w="108" w:type="dxa"/>
              <w:right w:w="108" w:type="dxa"/>
            </w:tcMar>
            <w:vAlign w:val="center"/>
          </w:tcPr>
          <w:p w14:paraId="3D03BCF5">
            <w:pPr>
              <w:jc w:val="center"/>
              <w:rPr>
                <w:rFonts w:hAnsi="宋体" w:cs="宋体"/>
                <w:color w:val="auto"/>
                <w:sz w:val="24"/>
                <w:szCs w:val="24"/>
                <w:highlight w:val="none"/>
              </w:rPr>
            </w:pPr>
            <w:r>
              <w:rPr>
                <w:rFonts w:hAnsi="宋体" w:cs="宋体"/>
                <w:color w:val="auto"/>
                <w:sz w:val="24"/>
                <w:szCs w:val="24"/>
                <w:highlight w:val="none"/>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auto"/>
                <w:sz w:val="24"/>
                <w:szCs w:val="24"/>
                <w:highlight w:val="none"/>
              </w:rPr>
            </w:pPr>
            <w:r>
              <w:rPr>
                <w:rFonts w:hint="eastAsia" w:hAnsi="宋体" w:cs="宋体"/>
                <w:color w:val="auto"/>
                <w:sz w:val="24"/>
                <w:szCs w:val="24"/>
                <w:highlight w:val="none"/>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557B405">
            <w:pPr>
              <w:jc w:val="center"/>
              <w:rPr>
                <w:rFonts w:hAnsi="宋体" w:cs="宋体"/>
                <w:color w:val="auto"/>
                <w:sz w:val="24"/>
                <w:szCs w:val="24"/>
                <w:highlight w:val="none"/>
              </w:rPr>
            </w:pPr>
            <w:r>
              <w:rPr>
                <w:rFonts w:hAnsi="宋体" w:cs="宋体"/>
                <w:color w:val="auto"/>
                <w:sz w:val="24"/>
                <w:szCs w:val="24"/>
                <w:highlight w:val="none"/>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auto"/>
                <w:sz w:val="24"/>
                <w:szCs w:val="24"/>
                <w:highlight w:val="none"/>
              </w:rPr>
            </w:pPr>
            <w:r>
              <w:rPr>
                <w:rFonts w:hint="eastAsia" w:hAnsi="宋体" w:cs="宋体"/>
                <w:color w:val="auto"/>
                <w:sz w:val="24"/>
                <w:szCs w:val="24"/>
                <w:highlight w:val="none"/>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5217A66">
            <w:pPr>
              <w:jc w:val="center"/>
              <w:rPr>
                <w:rFonts w:hAnsi="宋体" w:cs="宋体"/>
                <w:color w:val="auto"/>
                <w:sz w:val="24"/>
                <w:szCs w:val="24"/>
                <w:highlight w:val="none"/>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auto"/>
                <w:sz w:val="24"/>
                <w:szCs w:val="24"/>
                <w:highlight w:val="none"/>
              </w:rPr>
            </w:pPr>
            <w:r>
              <w:rPr>
                <w:rFonts w:hint="eastAsia" w:hAnsi="宋体" w:cs="宋体"/>
                <w:color w:val="auto"/>
                <w:sz w:val="24"/>
                <w:szCs w:val="24"/>
                <w:highlight w:val="none"/>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624BA07C">
            <w:pPr>
              <w:jc w:val="center"/>
              <w:rPr>
                <w:rFonts w:hAnsi="宋体" w:cs="宋体"/>
                <w:color w:val="auto"/>
                <w:sz w:val="24"/>
                <w:szCs w:val="24"/>
                <w:highlight w:val="none"/>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auto"/>
                <w:sz w:val="24"/>
                <w:szCs w:val="24"/>
                <w:highlight w:val="none"/>
              </w:rPr>
            </w:pPr>
            <w:r>
              <w:rPr>
                <w:rFonts w:hint="eastAsia" w:hAnsi="宋体" w:cs="宋体"/>
                <w:color w:val="auto"/>
                <w:sz w:val="24"/>
                <w:szCs w:val="24"/>
                <w:highlight w:val="none"/>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auto"/>
                <w:sz w:val="24"/>
                <w:szCs w:val="24"/>
                <w:highlight w:val="none"/>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auto"/>
                <w:sz w:val="24"/>
                <w:szCs w:val="24"/>
                <w:highlight w:val="none"/>
              </w:rPr>
            </w:pPr>
          </w:p>
        </w:tc>
        <w:tc>
          <w:tcPr>
            <w:tcW w:w="1570" w:type="dxa"/>
            <w:shd w:val="clear" w:color="auto" w:fill="auto"/>
            <w:noWrap w:val="0"/>
            <w:tcMar>
              <w:left w:w="108" w:type="dxa"/>
              <w:right w:w="108" w:type="dxa"/>
            </w:tcMar>
            <w:vAlign w:val="center"/>
          </w:tcPr>
          <w:p w14:paraId="03487C6D">
            <w:pPr>
              <w:jc w:val="center"/>
              <w:rPr>
                <w:rFonts w:hAnsi="宋体" w:cs="宋体"/>
                <w:color w:val="auto"/>
                <w:sz w:val="24"/>
                <w:szCs w:val="24"/>
                <w:highlight w:val="none"/>
              </w:rPr>
            </w:pPr>
            <w:r>
              <w:rPr>
                <w:rFonts w:hAnsi="宋体" w:cs="宋体"/>
                <w:color w:val="auto"/>
                <w:sz w:val="24"/>
                <w:szCs w:val="24"/>
                <w:highlight w:val="none"/>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auto"/>
                <w:sz w:val="24"/>
                <w:szCs w:val="24"/>
                <w:highlight w:val="none"/>
              </w:rPr>
            </w:pPr>
            <w:r>
              <w:rPr>
                <w:rFonts w:hint="eastAsia" w:hAnsi="宋体" w:cs="宋体"/>
                <w:color w:val="auto"/>
                <w:sz w:val="24"/>
                <w:szCs w:val="24"/>
                <w:highlight w:val="none"/>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auto"/>
                <w:sz w:val="24"/>
                <w:szCs w:val="24"/>
                <w:highlight w:val="none"/>
              </w:rPr>
            </w:pPr>
            <w:r>
              <w:rPr>
                <w:rFonts w:hint="eastAsia" w:hAnsi="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auto"/>
                <w:sz w:val="24"/>
                <w:szCs w:val="24"/>
                <w:highlight w:val="none"/>
              </w:rPr>
            </w:pPr>
            <w:r>
              <w:rPr>
                <w:rFonts w:hint="eastAsia" w:hAnsi="宋体" w:cs="宋体"/>
                <w:color w:val="auto"/>
                <w:sz w:val="24"/>
                <w:szCs w:val="24"/>
                <w:highlight w:val="none"/>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auto"/>
                <w:sz w:val="24"/>
                <w:szCs w:val="24"/>
                <w:highlight w:val="none"/>
              </w:rPr>
            </w:pPr>
            <w:r>
              <w:rPr>
                <w:rFonts w:hint="eastAsia" w:hAnsi="宋体" w:cs="宋体"/>
                <w:color w:val="auto"/>
                <w:sz w:val="24"/>
                <w:szCs w:val="24"/>
                <w:highlight w:val="none"/>
              </w:rPr>
              <w:t>接收时间：</w:t>
            </w:r>
          </w:p>
        </w:tc>
        <w:tc>
          <w:tcPr>
            <w:tcW w:w="3282" w:type="dxa"/>
            <w:gridSpan w:val="3"/>
            <w:shd w:val="clear" w:color="auto" w:fill="auto"/>
            <w:noWrap w:val="0"/>
            <w:tcMar>
              <w:left w:w="108" w:type="dxa"/>
              <w:right w:w="108" w:type="dxa"/>
            </w:tcMar>
            <w:vAlign w:val="center"/>
          </w:tcPr>
          <w:p w14:paraId="5F3DDF19">
            <w:pPr>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auto"/>
                <w:sz w:val="24"/>
                <w:szCs w:val="24"/>
                <w:highlight w:val="none"/>
              </w:rPr>
            </w:pPr>
            <w:r>
              <w:rPr>
                <w:rFonts w:hint="eastAsia" w:hAnsi="宋体" w:cs="宋体"/>
                <w:color w:val="auto"/>
                <w:sz w:val="24"/>
                <w:szCs w:val="24"/>
                <w:highlight w:val="none"/>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auto"/>
                <w:sz w:val="24"/>
                <w:szCs w:val="24"/>
                <w:highlight w:val="none"/>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auto"/>
                <w:sz w:val="24"/>
                <w:szCs w:val="24"/>
                <w:highlight w:val="none"/>
              </w:rPr>
            </w:pPr>
            <w:r>
              <w:rPr>
                <w:rFonts w:hint="eastAsia" w:hAnsi="宋体" w:cs="宋体"/>
                <w:color w:val="auto"/>
                <w:sz w:val="24"/>
                <w:szCs w:val="24"/>
                <w:highlight w:val="none"/>
              </w:rPr>
              <w:t>退还时间：</w:t>
            </w:r>
          </w:p>
        </w:tc>
        <w:tc>
          <w:tcPr>
            <w:tcW w:w="3282" w:type="dxa"/>
            <w:gridSpan w:val="3"/>
            <w:shd w:val="clear" w:color="auto" w:fill="auto"/>
            <w:noWrap w:val="0"/>
            <w:tcMar>
              <w:left w:w="108" w:type="dxa"/>
              <w:right w:w="108" w:type="dxa"/>
            </w:tcMar>
            <w:vAlign w:val="center"/>
          </w:tcPr>
          <w:p w14:paraId="1B2E0C0D">
            <w:pPr>
              <w:jc w:val="left"/>
              <w:rPr>
                <w:rFonts w:hint="eastAsia" w:hAnsi="宋体" w:cs="宋体"/>
                <w:color w:val="auto"/>
                <w:sz w:val="24"/>
                <w:szCs w:val="24"/>
                <w:highlight w:val="none"/>
              </w:rPr>
            </w:pPr>
            <w:r>
              <w:rPr>
                <w:rFonts w:hint="eastAsia" w:hAnsi="宋体" w:cs="宋体"/>
                <w:color w:val="auto"/>
                <w:sz w:val="24"/>
                <w:szCs w:val="24"/>
                <w:highlight w:val="none"/>
              </w:rPr>
              <w:t>年   月   日   时   分</w:t>
            </w:r>
          </w:p>
        </w:tc>
      </w:tr>
    </w:tbl>
    <w:p w14:paraId="2043B9AC">
      <w:pPr>
        <w:bidi w:val="0"/>
        <w:rPr>
          <w:color w:val="auto"/>
          <w:highlight w:val="none"/>
        </w:rPr>
      </w:pPr>
    </w:p>
    <w:p w14:paraId="59158BD3">
      <w:pPr>
        <w:rPr>
          <w:color w:val="auto"/>
          <w:highlight w:val="none"/>
        </w:rPr>
      </w:pPr>
    </w:p>
    <w:p w14:paraId="65603D6D">
      <w:pPr>
        <w:bidi w:val="0"/>
        <w:rPr>
          <w:color w:val="auto"/>
          <w:highlight w:val="none"/>
        </w:rPr>
      </w:pPr>
    </w:p>
    <w:p w14:paraId="47E51DDB">
      <w:pPr>
        <w:pStyle w:val="16"/>
        <w:rPr>
          <w:color w:val="auto"/>
          <w:highlight w:val="none"/>
        </w:rPr>
      </w:pPr>
    </w:p>
    <w:bookmarkEnd w:id="339"/>
    <w:bookmarkEnd w:id="340"/>
    <w:p w14:paraId="6FEFA5B3">
      <w:pPr>
        <w:pStyle w:val="151"/>
        <w:keepNext/>
        <w:keepLines/>
        <w:snapToGrid w:val="0"/>
        <w:spacing w:line="400" w:lineRule="exact"/>
        <w:jc w:val="center"/>
        <w:rPr>
          <w:rFonts w:ascii="宋体" w:hAnsi="宋体" w:cs="宋体"/>
          <w:b/>
          <w:color w:val="auto"/>
          <w:kern w:val="44"/>
          <w:sz w:val="32"/>
          <w:szCs w:val="22"/>
        </w:rPr>
      </w:pPr>
      <w:bookmarkStart w:id="342" w:name="_Toc10354"/>
      <w:bookmarkStart w:id="343" w:name="_Toc3174"/>
      <w:bookmarkStart w:id="344" w:name="_Toc13722"/>
      <w:bookmarkStart w:id="345" w:name="_Toc137444778"/>
      <w:bookmarkStart w:id="346" w:name="_Toc133160683"/>
      <w:bookmarkStart w:id="347" w:name="_Toc142468134"/>
      <w:bookmarkStart w:id="348" w:name="_Toc132687128"/>
      <w:bookmarkStart w:id="349" w:name="_Toc133815902"/>
      <w:bookmarkStart w:id="350" w:name="_Toc78794873"/>
      <w:r>
        <w:rPr>
          <w:rFonts w:hint="eastAsia" w:ascii="宋体" w:hAnsi="宋体" w:cs="宋体"/>
          <w:b/>
          <w:color w:val="auto"/>
          <w:kern w:val="44"/>
          <w:sz w:val="32"/>
          <w:szCs w:val="22"/>
        </w:rPr>
        <w:t>第六章 建设工程监理合同</w:t>
      </w:r>
      <w:bookmarkEnd w:id="342"/>
      <w:bookmarkEnd w:id="343"/>
      <w:bookmarkEnd w:id="344"/>
      <w:bookmarkEnd w:id="345"/>
      <w:bookmarkEnd w:id="346"/>
      <w:bookmarkEnd w:id="347"/>
      <w:bookmarkEnd w:id="348"/>
    </w:p>
    <w:p w14:paraId="489A5B59">
      <w:pPr>
        <w:wordWrap w:val="0"/>
        <w:adjustRightInd w:val="0"/>
        <w:snapToGrid w:val="0"/>
        <w:spacing w:before="360" w:beforeLines="150" w:line="400" w:lineRule="exact"/>
        <w:rPr>
          <w:rFonts w:hAnsi="宋体" w:cs="宋体"/>
          <w:color w:val="auto"/>
        </w:rPr>
      </w:pPr>
      <w:r>
        <w:rPr>
          <w:rFonts w:hint="eastAsia" w:hAnsi="宋体" w:cs="宋体"/>
          <w:snapToGrid w:val="0"/>
          <w:color w:val="auto"/>
          <w:kern w:val="0"/>
        </w:rPr>
        <w:t xml:space="preserve">    （略），</w:t>
      </w:r>
      <w:bookmarkEnd w:id="349"/>
      <w:bookmarkEnd w:id="350"/>
      <w:r>
        <w:rPr>
          <w:rFonts w:hint="eastAsia" w:hAnsi="宋体" w:cs="宋体"/>
          <w:snapToGrid w:val="0"/>
          <w:color w:val="auto"/>
          <w:kern w:val="0"/>
        </w:rPr>
        <w:t>按照《建设工程监理合同（示范文本）》（GF—2012—0202）执行。</w:t>
      </w:r>
    </w:p>
    <w:p w14:paraId="6CF11764">
      <w:pPr>
        <w:pStyle w:val="10"/>
        <w:snapToGrid w:val="0"/>
        <w:spacing w:line="400" w:lineRule="exact"/>
        <w:rPr>
          <w:rFonts w:hAnsi="宋体" w:cs="宋体"/>
          <w:snapToGrid w:val="0"/>
          <w:color w:val="auto"/>
        </w:rPr>
      </w:pPr>
    </w:p>
    <w:p w14:paraId="15C44C0F">
      <w:pPr>
        <w:pStyle w:val="74"/>
        <w:widowControl w:val="0"/>
        <w:wordWrap w:val="0"/>
        <w:adjustRightInd w:val="0"/>
        <w:snapToGrid w:val="0"/>
        <w:spacing w:line="400" w:lineRule="exact"/>
        <w:ind w:firstLine="0"/>
        <w:rPr>
          <w:rFonts w:hAnsi="宋体" w:cs="宋体"/>
          <w:snapToGrid w:val="0"/>
          <w:color w:val="auto"/>
          <w:sz w:val="21"/>
        </w:rPr>
      </w:pPr>
    </w:p>
    <w:sectPr>
      <w:footerReference r:id="rId9" w:type="default"/>
      <w:endnotePr>
        <w:numFmt w:val="decimal"/>
      </w:endnotePr>
      <w:pgSz w:w="11906" w:h="16838"/>
      <w:pgMar w:top="1134" w:right="1134" w:bottom="1134" w:left="1134" w:header="850" w:footer="850" w:gutter="0"/>
      <w:pgNumType w:fmt="decimal"/>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23B4">
    <w:pPr>
      <w:pStyle w:val="111"/>
      <w:pBdr>
        <w:between w:val="none" w:color="auto" w:sz="0" w:space="0"/>
      </w:pBdr>
      <w:tabs>
        <w:tab w:val="left" w:pos="4803"/>
        <w:tab w:val="clear" w:pos="4153"/>
      </w:tabs>
      <w:rPr>
        <w:rFonts w:hint="eastAsia"/>
      </w:rPr>
    </w:pPr>
    <w:r>
      <w:rPr>
        <w:rFonts w:hint="eastAsia"/>
      </w:rPr>
      <w:tab/>
    </w:r>
  </w:p>
  <w:p w14:paraId="3881DEF1">
    <w:pPr>
      <w:pStyle w:val="111"/>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787F0">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FEE09">
                          <w:pPr>
                            <w:pStyle w:val="2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CFFEE09">
                    <w:pPr>
                      <w:pStyle w:val="2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382DD">
                          <w:pPr>
                            <w:pStyle w:val="20"/>
                          </w:pPr>
                          <w:r>
                            <w:t xml:space="preserve">第 </w:t>
                          </w:r>
                          <w:r>
                            <w:fldChar w:fldCharType="begin"/>
                          </w:r>
                          <w:r>
                            <w:instrText xml:space="preserve"> PAGE  \* MERGEFORMAT </w:instrText>
                          </w:r>
                          <w:r>
                            <w:fldChar w:fldCharType="separate"/>
                          </w:r>
                          <w:r>
                            <w:t>72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18382DD">
                    <w:pPr>
                      <w:pStyle w:val="20"/>
                    </w:pPr>
                    <w:r>
                      <w:t xml:space="preserve">第 </w:t>
                    </w:r>
                    <w:r>
                      <w:fldChar w:fldCharType="begin"/>
                    </w:r>
                    <w:r>
                      <w:instrText xml:space="preserve"> PAGE  \* MERGEFORMAT </w:instrText>
                    </w:r>
                    <w:r>
                      <w:fldChar w:fldCharType="separate"/>
                    </w:r>
                    <w:r>
                      <w:t>72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B3D34">
    <w:pPr>
      <w:pStyle w:val="11"/>
      <w:spacing w:line="50"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BD7A8E"/>
    <w:multiLevelType w:val="singleLevel"/>
    <w:tmpl w:val="E0BD7A8E"/>
    <w:lvl w:ilvl="0" w:tentative="0">
      <w:start w:val="1"/>
      <w:numFmt w:val="decimal"/>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410516"/>
    <w:rsid w:val="00484F5E"/>
    <w:rsid w:val="004B70BA"/>
    <w:rsid w:val="004D7577"/>
    <w:rsid w:val="00567655"/>
    <w:rsid w:val="00590B05"/>
    <w:rsid w:val="005B2D4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20E0"/>
    <w:rsid w:val="02E6644C"/>
    <w:rsid w:val="03035935"/>
    <w:rsid w:val="03280EF8"/>
    <w:rsid w:val="032B3195"/>
    <w:rsid w:val="03353615"/>
    <w:rsid w:val="033E56F8"/>
    <w:rsid w:val="03606DA8"/>
    <w:rsid w:val="03826431"/>
    <w:rsid w:val="03AA0611"/>
    <w:rsid w:val="03AE02E8"/>
    <w:rsid w:val="03B83805"/>
    <w:rsid w:val="043F0724"/>
    <w:rsid w:val="0455083C"/>
    <w:rsid w:val="04780182"/>
    <w:rsid w:val="04841E6C"/>
    <w:rsid w:val="048707A2"/>
    <w:rsid w:val="04D81F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4232"/>
    <w:rsid w:val="071A4FFB"/>
    <w:rsid w:val="072F60EA"/>
    <w:rsid w:val="073003F6"/>
    <w:rsid w:val="073C1416"/>
    <w:rsid w:val="07626CD1"/>
    <w:rsid w:val="076349FE"/>
    <w:rsid w:val="07F654CB"/>
    <w:rsid w:val="07F90245"/>
    <w:rsid w:val="08077FE9"/>
    <w:rsid w:val="08432B8E"/>
    <w:rsid w:val="085D1A1C"/>
    <w:rsid w:val="0872069D"/>
    <w:rsid w:val="08767FD2"/>
    <w:rsid w:val="087D7F38"/>
    <w:rsid w:val="08970A40"/>
    <w:rsid w:val="09702125"/>
    <w:rsid w:val="09AD2157"/>
    <w:rsid w:val="09B41737"/>
    <w:rsid w:val="09CA2D09"/>
    <w:rsid w:val="09E65669"/>
    <w:rsid w:val="09EA5159"/>
    <w:rsid w:val="09F5235C"/>
    <w:rsid w:val="0A0E69FD"/>
    <w:rsid w:val="0A3E54A5"/>
    <w:rsid w:val="0A570314"/>
    <w:rsid w:val="0A6523F4"/>
    <w:rsid w:val="0A685FB5"/>
    <w:rsid w:val="0A740EC6"/>
    <w:rsid w:val="0A9F6084"/>
    <w:rsid w:val="0B4006EB"/>
    <w:rsid w:val="0B914627"/>
    <w:rsid w:val="0B9B6EF0"/>
    <w:rsid w:val="0B9E10B5"/>
    <w:rsid w:val="0B9E1CB0"/>
    <w:rsid w:val="0BC35C62"/>
    <w:rsid w:val="0BC47C2C"/>
    <w:rsid w:val="0BF6217D"/>
    <w:rsid w:val="0C0D7AE6"/>
    <w:rsid w:val="0CA02447"/>
    <w:rsid w:val="0CA20070"/>
    <w:rsid w:val="0CAA75AD"/>
    <w:rsid w:val="0CC7733C"/>
    <w:rsid w:val="0CC80FED"/>
    <w:rsid w:val="0CD32A34"/>
    <w:rsid w:val="0CF12128"/>
    <w:rsid w:val="0D140105"/>
    <w:rsid w:val="0D364445"/>
    <w:rsid w:val="0D7E1192"/>
    <w:rsid w:val="0DB82B2F"/>
    <w:rsid w:val="0E0322E5"/>
    <w:rsid w:val="0E650489"/>
    <w:rsid w:val="0E8273DD"/>
    <w:rsid w:val="0E954BA0"/>
    <w:rsid w:val="0EAF2288"/>
    <w:rsid w:val="0EC544EB"/>
    <w:rsid w:val="0F177F3C"/>
    <w:rsid w:val="0F287BA3"/>
    <w:rsid w:val="0F3B1552"/>
    <w:rsid w:val="0F823F1F"/>
    <w:rsid w:val="0FA1224B"/>
    <w:rsid w:val="0FAB1B4B"/>
    <w:rsid w:val="0FC147F0"/>
    <w:rsid w:val="0FC83017"/>
    <w:rsid w:val="0FDE143F"/>
    <w:rsid w:val="0FED49BA"/>
    <w:rsid w:val="106F6EDC"/>
    <w:rsid w:val="10BB100E"/>
    <w:rsid w:val="10CF5BBB"/>
    <w:rsid w:val="10E072B6"/>
    <w:rsid w:val="10FB5335"/>
    <w:rsid w:val="10FD39C4"/>
    <w:rsid w:val="112D1D65"/>
    <w:rsid w:val="11303196"/>
    <w:rsid w:val="11360437"/>
    <w:rsid w:val="113B11BA"/>
    <w:rsid w:val="11515ABE"/>
    <w:rsid w:val="116021A5"/>
    <w:rsid w:val="11A42091"/>
    <w:rsid w:val="11AE4F46"/>
    <w:rsid w:val="11D67B34"/>
    <w:rsid w:val="11F70077"/>
    <w:rsid w:val="11FE6FE0"/>
    <w:rsid w:val="121459A3"/>
    <w:rsid w:val="121611D1"/>
    <w:rsid w:val="127C2803"/>
    <w:rsid w:val="127E10FD"/>
    <w:rsid w:val="12851648"/>
    <w:rsid w:val="128819B3"/>
    <w:rsid w:val="12884038"/>
    <w:rsid w:val="12C13398"/>
    <w:rsid w:val="12F876BF"/>
    <w:rsid w:val="13114669"/>
    <w:rsid w:val="132029E9"/>
    <w:rsid w:val="132F1E2E"/>
    <w:rsid w:val="13351019"/>
    <w:rsid w:val="135B72ED"/>
    <w:rsid w:val="136C6CCA"/>
    <w:rsid w:val="13841C28"/>
    <w:rsid w:val="139A08A3"/>
    <w:rsid w:val="13B3480E"/>
    <w:rsid w:val="13BB068C"/>
    <w:rsid w:val="13BE434A"/>
    <w:rsid w:val="13C925E9"/>
    <w:rsid w:val="13D87533"/>
    <w:rsid w:val="13E14828"/>
    <w:rsid w:val="13E2760C"/>
    <w:rsid w:val="13E55A7C"/>
    <w:rsid w:val="13ED238A"/>
    <w:rsid w:val="144D28BE"/>
    <w:rsid w:val="14A11363"/>
    <w:rsid w:val="14AD3C82"/>
    <w:rsid w:val="14AD638E"/>
    <w:rsid w:val="14D507B4"/>
    <w:rsid w:val="14E82BDD"/>
    <w:rsid w:val="150717C8"/>
    <w:rsid w:val="15133A63"/>
    <w:rsid w:val="1530421B"/>
    <w:rsid w:val="15335E3C"/>
    <w:rsid w:val="15585425"/>
    <w:rsid w:val="15632821"/>
    <w:rsid w:val="156E0438"/>
    <w:rsid w:val="159710CE"/>
    <w:rsid w:val="1613202A"/>
    <w:rsid w:val="161D4E95"/>
    <w:rsid w:val="162C017A"/>
    <w:rsid w:val="16435C60"/>
    <w:rsid w:val="165B50B5"/>
    <w:rsid w:val="16715F6C"/>
    <w:rsid w:val="16744260"/>
    <w:rsid w:val="168C342C"/>
    <w:rsid w:val="16921052"/>
    <w:rsid w:val="16991967"/>
    <w:rsid w:val="16A92C1F"/>
    <w:rsid w:val="16AB4918"/>
    <w:rsid w:val="16DF3B6C"/>
    <w:rsid w:val="16E216B8"/>
    <w:rsid w:val="17292082"/>
    <w:rsid w:val="17394FF8"/>
    <w:rsid w:val="17621888"/>
    <w:rsid w:val="17A50E24"/>
    <w:rsid w:val="17DE305B"/>
    <w:rsid w:val="17EB6EF9"/>
    <w:rsid w:val="17EF123E"/>
    <w:rsid w:val="181E2472"/>
    <w:rsid w:val="186F67C2"/>
    <w:rsid w:val="187447AF"/>
    <w:rsid w:val="18AC5722"/>
    <w:rsid w:val="18BA750B"/>
    <w:rsid w:val="18C03544"/>
    <w:rsid w:val="18CB43A7"/>
    <w:rsid w:val="18D45DFC"/>
    <w:rsid w:val="18DD6311"/>
    <w:rsid w:val="19000928"/>
    <w:rsid w:val="192856B3"/>
    <w:rsid w:val="19506374"/>
    <w:rsid w:val="19AB63C4"/>
    <w:rsid w:val="1A0D6313"/>
    <w:rsid w:val="1A3810FE"/>
    <w:rsid w:val="1A3D0F0C"/>
    <w:rsid w:val="1A4A48FF"/>
    <w:rsid w:val="1A501F1B"/>
    <w:rsid w:val="1A7C0E8F"/>
    <w:rsid w:val="1A9A0468"/>
    <w:rsid w:val="1ABE60EB"/>
    <w:rsid w:val="1AC45552"/>
    <w:rsid w:val="1AC74F12"/>
    <w:rsid w:val="1AFB4481"/>
    <w:rsid w:val="1B106078"/>
    <w:rsid w:val="1B3626B5"/>
    <w:rsid w:val="1B544E28"/>
    <w:rsid w:val="1B5938A5"/>
    <w:rsid w:val="1B5D1E9E"/>
    <w:rsid w:val="1B6323E0"/>
    <w:rsid w:val="1B776451"/>
    <w:rsid w:val="1BAE4064"/>
    <w:rsid w:val="1BD16179"/>
    <w:rsid w:val="1BD712B5"/>
    <w:rsid w:val="1BDB2B53"/>
    <w:rsid w:val="1C0D795C"/>
    <w:rsid w:val="1C0F788B"/>
    <w:rsid w:val="1C141501"/>
    <w:rsid w:val="1C1C02A4"/>
    <w:rsid w:val="1C3D55BC"/>
    <w:rsid w:val="1C5E5533"/>
    <w:rsid w:val="1C7726C5"/>
    <w:rsid w:val="1C7F5BD5"/>
    <w:rsid w:val="1C814C75"/>
    <w:rsid w:val="1C8F2794"/>
    <w:rsid w:val="1CAE7812"/>
    <w:rsid w:val="1CB20AFB"/>
    <w:rsid w:val="1CB751D0"/>
    <w:rsid w:val="1CB919A4"/>
    <w:rsid w:val="1CD83537"/>
    <w:rsid w:val="1CEF0DA9"/>
    <w:rsid w:val="1CFC2D19"/>
    <w:rsid w:val="1D105D93"/>
    <w:rsid w:val="1D1E0445"/>
    <w:rsid w:val="1D270AE4"/>
    <w:rsid w:val="1D44283A"/>
    <w:rsid w:val="1D60342F"/>
    <w:rsid w:val="1D78009C"/>
    <w:rsid w:val="1D871C03"/>
    <w:rsid w:val="1D884CF0"/>
    <w:rsid w:val="1D8E0177"/>
    <w:rsid w:val="1DA3413D"/>
    <w:rsid w:val="1E095D84"/>
    <w:rsid w:val="1E545B64"/>
    <w:rsid w:val="1E6D05AB"/>
    <w:rsid w:val="1E7B6870"/>
    <w:rsid w:val="1EC73280"/>
    <w:rsid w:val="1EFF124F"/>
    <w:rsid w:val="1F114792"/>
    <w:rsid w:val="1F1E1F01"/>
    <w:rsid w:val="1F444EB4"/>
    <w:rsid w:val="1F503858"/>
    <w:rsid w:val="1F8E7284"/>
    <w:rsid w:val="1FB360E7"/>
    <w:rsid w:val="1FB873A4"/>
    <w:rsid w:val="1FF232DB"/>
    <w:rsid w:val="1FF45850"/>
    <w:rsid w:val="202D1235"/>
    <w:rsid w:val="203013AA"/>
    <w:rsid w:val="20327A15"/>
    <w:rsid w:val="206E565F"/>
    <w:rsid w:val="20D364EF"/>
    <w:rsid w:val="20E97676"/>
    <w:rsid w:val="21295B5E"/>
    <w:rsid w:val="212D27FA"/>
    <w:rsid w:val="219E373C"/>
    <w:rsid w:val="21A93CF7"/>
    <w:rsid w:val="21AF599B"/>
    <w:rsid w:val="21D0774F"/>
    <w:rsid w:val="21E00039"/>
    <w:rsid w:val="223713D9"/>
    <w:rsid w:val="227B2B13"/>
    <w:rsid w:val="22A461F0"/>
    <w:rsid w:val="22B12CDA"/>
    <w:rsid w:val="22C92E53"/>
    <w:rsid w:val="22FC4CE3"/>
    <w:rsid w:val="23187739"/>
    <w:rsid w:val="23291E8B"/>
    <w:rsid w:val="23437531"/>
    <w:rsid w:val="236457F5"/>
    <w:rsid w:val="236E081B"/>
    <w:rsid w:val="2387194A"/>
    <w:rsid w:val="238C2DA9"/>
    <w:rsid w:val="23E85901"/>
    <w:rsid w:val="241E63E6"/>
    <w:rsid w:val="24213A15"/>
    <w:rsid w:val="24372BE7"/>
    <w:rsid w:val="244C5BBF"/>
    <w:rsid w:val="245105A4"/>
    <w:rsid w:val="245A0AF2"/>
    <w:rsid w:val="245C2F8D"/>
    <w:rsid w:val="249066DD"/>
    <w:rsid w:val="24E707BB"/>
    <w:rsid w:val="251C369C"/>
    <w:rsid w:val="25536401"/>
    <w:rsid w:val="2566287E"/>
    <w:rsid w:val="25FD1164"/>
    <w:rsid w:val="2612287C"/>
    <w:rsid w:val="26196704"/>
    <w:rsid w:val="26217CFD"/>
    <w:rsid w:val="26440673"/>
    <w:rsid w:val="26623C6C"/>
    <w:rsid w:val="26C86BA7"/>
    <w:rsid w:val="26E06C71"/>
    <w:rsid w:val="26EA0CB5"/>
    <w:rsid w:val="26FD55DC"/>
    <w:rsid w:val="27017996"/>
    <w:rsid w:val="273C36E8"/>
    <w:rsid w:val="2744740D"/>
    <w:rsid w:val="274B251F"/>
    <w:rsid w:val="274B5F1C"/>
    <w:rsid w:val="274C5507"/>
    <w:rsid w:val="274E67F3"/>
    <w:rsid w:val="27725362"/>
    <w:rsid w:val="27C923FA"/>
    <w:rsid w:val="281250A7"/>
    <w:rsid w:val="28131DB1"/>
    <w:rsid w:val="28251659"/>
    <w:rsid w:val="283C7070"/>
    <w:rsid w:val="284618DF"/>
    <w:rsid w:val="286F2FA1"/>
    <w:rsid w:val="289531DE"/>
    <w:rsid w:val="28E47B36"/>
    <w:rsid w:val="291C1B2F"/>
    <w:rsid w:val="29234F87"/>
    <w:rsid w:val="29423A60"/>
    <w:rsid w:val="29554B1B"/>
    <w:rsid w:val="29671ECA"/>
    <w:rsid w:val="298A6B2C"/>
    <w:rsid w:val="29B66A0D"/>
    <w:rsid w:val="29F05B24"/>
    <w:rsid w:val="29F179E6"/>
    <w:rsid w:val="2A350D3C"/>
    <w:rsid w:val="2A4D7E90"/>
    <w:rsid w:val="2A960744"/>
    <w:rsid w:val="2AB51533"/>
    <w:rsid w:val="2AC60E73"/>
    <w:rsid w:val="2ADA3A0F"/>
    <w:rsid w:val="2AFF2BF3"/>
    <w:rsid w:val="2B037A34"/>
    <w:rsid w:val="2B593377"/>
    <w:rsid w:val="2B7C1908"/>
    <w:rsid w:val="2BC1086B"/>
    <w:rsid w:val="2BDC351D"/>
    <w:rsid w:val="2BE13AE1"/>
    <w:rsid w:val="2BEF2275"/>
    <w:rsid w:val="2C230203"/>
    <w:rsid w:val="2C8D32F9"/>
    <w:rsid w:val="2CEB0040"/>
    <w:rsid w:val="2D0A4DD2"/>
    <w:rsid w:val="2D427EAD"/>
    <w:rsid w:val="2D9515C6"/>
    <w:rsid w:val="2DA17172"/>
    <w:rsid w:val="2DC826D3"/>
    <w:rsid w:val="2DEF1607"/>
    <w:rsid w:val="2DF27D49"/>
    <w:rsid w:val="2DF803FC"/>
    <w:rsid w:val="2E0C16EA"/>
    <w:rsid w:val="2E4F3581"/>
    <w:rsid w:val="2E857AA5"/>
    <w:rsid w:val="2E910CDC"/>
    <w:rsid w:val="2EBD1EFD"/>
    <w:rsid w:val="2EC715D4"/>
    <w:rsid w:val="2F0B092E"/>
    <w:rsid w:val="2F1D4D98"/>
    <w:rsid w:val="2F4E3303"/>
    <w:rsid w:val="2F625641"/>
    <w:rsid w:val="2FBF699C"/>
    <w:rsid w:val="301C3E1D"/>
    <w:rsid w:val="303C6E79"/>
    <w:rsid w:val="304479DC"/>
    <w:rsid w:val="306A1172"/>
    <w:rsid w:val="306B0278"/>
    <w:rsid w:val="308E63ED"/>
    <w:rsid w:val="30BF65F3"/>
    <w:rsid w:val="30C47C02"/>
    <w:rsid w:val="315F570D"/>
    <w:rsid w:val="31615422"/>
    <w:rsid w:val="3163741B"/>
    <w:rsid w:val="31E0281A"/>
    <w:rsid w:val="31FE12D4"/>
    <w:rsid w:val="32364B30"/>
    <w:rsid w:val="32B271D3"/>
    <w:rsid w:val="32BA0022"/>
    <w:rsid w:val="332643F5"/>
    <w:rsid w:val="33791178"/>
    <w:rsid w:val="33CB12A8"/>
    <w:rsid w:val="33D267D7"/>
    <w:rsid w:val="33D66E83"/>
    <w:rsid w:val="33E82ECD"/>
    <w:rsid w:val="33F7209D"/>
    <w:rsid w:val="34022441"/>
    <w:rsid w:val="340D366E"/>
    <w:rsid w:val="3428064F"/>
    <w:rsid w:val="3460329E"/>
    <w:rsid w:val="34675E29"/>
    <w:rsid w:val="34864348"/>
    <w:rsid w:val="34E70363"/>
    <w:rsid w:val="34E76031"/>
    <w:rsid w:val="350C3E26"/>
    <w:rsid w:val="3511371C"/>
    <w:rsid w:val="352178D8"/>
    <w:rsid w:val="352251C2"/>
    <w:rsid w:val="353F2CB2"/>
    <w:rsid w:val="35435F75"/>
    <w:rsid w:val="357F2541"/>
    <w:rsid w:val="35827B62"/>
    <w:rsid w:val="358562B5"/>
    <w:rsid w:val="35AD5109"/>
    <w:rsid w:val="35B84990"/>
    <w:rsid w:val="35BA3E5B"/>
    <w:rsid w:val="35F21282"/>
    <w:rsid w:val="362F5B1E"/>
    <w:rsid w:val="36395EE4"/>
    <w:rsid w:val="36493477"/>
    <w:rsid w:val="364D6ED6"/>
    <w:rsid w:val="36673031"/>
    <w:rsid w:val="36B726AE"/>
    <w:rsid w:val="36C3101C"/>
    <w:rsid w:val="36F3211B"/>
    <w:rsid w:val="373525CE"/>
    <w:rsid w:val="374F73CF"/>
    <w:rsid w:val="375873B1"/>
    <w:rsid w:val="375A09AF"/>
    <w:rsid w:val="3766112D"/>
    <w:rsid w:val="37B46FED"/>
    <w:rsid w:val="37CF580A"/>
    <w:rsid w:val="37D1291E"/>
    <w:rsid w:val="37D4026E"/>
    <w:rsid w:val="37DA5E90"/>
    <w:rsid w:val="37ED7A3F"/>
    <w:rsid w:val="383A4B00"/>
    <w:rsid w:val="38A019C9"/>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C5B75"/>
    <w:rsid w:val="3A483652"/>
    <w:rsid w:val="3A5024DC"/>
    <w:rsid w:val="3A6366DE"/>
    <w:rsid w:val="3AE13585"/>
    <w:rsid w:val="3AE500CF"/>
    <w:rsid w:val="3B051543"/>
    <w:rsid w:val="3B071DE4"/>
    <w:rsid w:val="3B1F5DC1"/>
    <w:rsid w:val="3B3A4AB6"/>
    <w:rsid w:val="3B4006E0"/>
    <w:rsid w:val="3B43221E"/>
    <w:rsid w:val="3B732D74"/>
    <w:rsid w:val="3B8B7F8C"/>
    <w:rsid w:val="3B9A46DD"/>
    <w:rsid w:val="3BA174BE"/>
    <w:rsid w:val="3BA34FDA"/>
    <w:rsid w:val="3BBB7C7B"/>
    <w:rsid w:val="3BBD0245"/>
    <w:rsid w:val="3BC5576C"/>
    <w:rsid w:val="3BCC3E0F"/>
    <w:rsid w:val="3BF5322F"/>
    <w:rsid w:val="3C35213B"/>
    <w:rsid w:val="3C5067EE"/>
    <w:rsid w:val="3C581218"/>
    <w:rsid w:val="3CD218F9"/>
    <w:rsid w:val="3CD704BD"/>
    <w:rsid w:val="3CE75849"/>
    <w:rsid w:val="3D1A6A65"/>
    <w:rsid w:val="3D4B689C"/>
    <w:rsid w:val="3D8F7C9A"/>
    <w:rsid w:val="3E300685"/>
    <w:rsid w:val="3E4A665D"/>
    <w:rsid w:val="3E88226F"/>
    <w:rsid w:val="3EBC63BD"/>
    <w:rsid w:val="3EDB4A95"/>
    <w:rsid w:val="3EE057E6"/>
    <w:rsid w:val="3F18690D"/>
    <w:rsid w:val="3F1B285B"/>
    <w:rsid w:val="3F2A3743"/>
    <w:rsid w:val="3F310B59"/>
    <w:rsid w:val="3F43243B"/>
    <w:rsid w:val="3F47212A"/>
    <w:rsid w:val="3F6A3CD5"/>
    <w:rsid w:val="3FCB19D9"/>
    <w:rsid w:val="3FCB2D5B"/>
    <w:rsid w:val="3FE57C96"/>
    <w:rsid w:val="3FF81D2D"/>
    <w:rsid w:val="402847E9"/>
    <w:rsid w:val="40302BBE"/>
    <w:rsid w:val="405E34A3"/>
    <w:rsid w:val="40672358"/>
    <w:rsid w:val="407C7161"/>
    <w:rsid w:val="407D5E86"/>
    <w:rsid w:val="40807762"/>
    <w:rsid w:val="409A44DC"/>
    <w:rsid w:val="40A92971"/>
    <w:rsid w:val="40BC08F6"/>
    <w:rsid w:val="40BE0F76"/>
    <w:rsid w:val="40CB718C"/>
    <w:rsid w:val="40DD59C2"/>
    <w:rsid w:val="41610361"/>
    <w:rsid w:val="41A8307D"/>
    <w:rsid w:val="41C06995"/>
    <w:rsid w:val="41DB1250"/>
    <w:rsid w:val="41E2613A"/>
    <w:rsid w:val="41EB6E1E"/>
    <w:rsid w:val="421B6FDC"/>
    <w:rsid w:val="42595C18"/>
    <w:rsid w:val="429E14C7"/>
    <w:rsid w:val="429F2762"/>
    <w:rsid w:val="42AB17FE"/>
    <w:rsid w:val="42B11DCD"/>
    <w:rsid w:val="42E3216A"/>
    <w:rsid w:val="42FF5094"/>
    <w:rsid w:val="436C03B1"/>
    <w:rsid w:val="43C7528C"/>
    <w:rsid w:val="43CB220C"/>
    <w:rsid w:val="445415FA"/>
    <w:rsid w:val="445B3984"/>
    <w:rsid w:val="445B5455"/>
    <w:rsid w:val="44943A7F"/>
    <w:rsid w:val="44DF70BA"/>
    <w:rsid w:val="450F631C"/>
    <w:rsid w:val="453971E4"/>
    <w:rsid w:val="453C54BE"/>
    <w:rsid w:val="45476363"/>
    <w:rsid w:val="456D040C"/>
    <w:rsid w:val="458938E1"/>
    <w:rsid w:val="463F7FFF"/>
    <w:rsid w:val="46484BFF"/>
    <w:rsid w:val="46512233"/>
    <w:rsid w:val="46540D24"/>
    <w:rsid w:val="46A737E8"/>
    <w:rsid w:val="46C14018"/>
    <w:rsid w:val="46C73076"/>
    <w:rsid w:val="46D07EE5"/>
    <w:rsid w:val="46E465A3"/>
    <w:rsid w:val="46F806BD"/>
    <w:rsid w:val="47043CAB"/>
    <w:rsid w:val="472705CE"/>
    <w:rsid w:val="479A2C46"/>
    <w:rsid w:val="479C5136"/>
    <w:rsid w:val="47A264F9"/>
    <w:rsid w:val="47E06018"/>
    <w:rsid w:val="484D17C1"/>
    <w:rsid w:val="48653A64"/>
    <w:rsid w:val="48811B8A"/>
    <w:rsid w:val="48C40B78"/>
    <w:rsid w:val="48C43988"/>
    <w:rsid w:val="48E83E36"/>
    <w:rsid w:val="49345B93"/>
    <w:rsid w:val="494C4B08"/>
    <w:rsid w:val="49951EFC"/>
    <w:rsid w:val="499A26FB"/>
    <w:rsid w:val="49B026D9"/>
    <w:rsid w:val="49B722B7"/>
    <w:rsid w:val="49C15E4A"/>
    <w:rsid w:val="49D955C3"/>
    <w:rsid w:val="49ED65A4"/>
    <w:rsid w:val="49F10AB5"/>
    <w:rsid w:val="4A0319E0"/>
    <w:rsid w:val="4A307756"/>
    <w:rsid w:val="4A6D7DCA"/>
    <w:rsid w:val="4A9910AB"/>
    <w:rsid w:val="4A992597"/>
    <w:rsid w:val="4A9B332A"/>
    <w:rsid w:val="4AD625B4"/>
    <w:rsid w:val="4AFF509B"/>
    <w:rsid w:val="4B4014D1"/>
    <w:rsid w:val="4B5E2E2F"/>
    <w:rsid w:val="4B675E1C"/>
    <w:rsid w:val="4B954801"/>
    <w:rsid w:val="4B9F7C0E"/>
    <w:rsid w:val="4BA9128D"/>
    <w:rsid w:val="4BC73F17"/>
    <w:rsid w:val="4BEB73D9"/>
    <w:rsid w:val="4C166235"/>
    <w:rsid w:val="4C1C544C"/>
    <w:rsid w:val="4C313219"/>
    <w:rsid w:val="4C5D1828"/>
    <w:rsid w:val="4C6C738D"/>
    <w:rsid w:val="4C6D0CF6"/>
    <w:rsid w:val="4C7E6A54"/>
    <w:rsid w:val="4C865C08"/>
    <w:rsid w:val="4D317F76"/>
    <w:rsid w:val="4D7E2A50"/>
    <w:rsid w:val="4DA23565"/>
    <w:rsid w:val="4DA9629F"/>
    <w:rsid w:val="4DB7491F"/>
    <w:rsid w:val="4DD038A9"/>
    <w:rsid w:val="4DE1199C"/>
    <w:rsid w:val="4DEB664D"/>
    <w:rsid w:val="4E49490E"/>
    <w:rsid w:val="4E551A8D"/>
    <w:rsid w:val="4EB250E6"/>
    <w:rsid w:val="4EE207BB"/>
    <w:rsid w:val="4EF75916"/>
    <w:rsid w:val="4F1720D5"/>
    <w:rsid w:val="4F1D51EC"/>
    <w:rsid w:val="4F1F0C9F"/>
    <w:rsid w:val="4F244C6A"/>
    <w:rsid w:val="4F2D0B1A"/>
    <w:rsid w:val="4F4026F2"/>
    <w:rsid w:val="4FB00148"/>
    <w:rsid w:val="4FD90EC4"/>
    <w:rsid w:val="4FE12F08"/>
    <w:rsid w:val="4FF63972"/>
    <w:rsid w:val="500B4BE0"/>
    <w:rsid w:val="504A7CCC"/>
    <w:rsid w:val="504B329A"/>
    <w:rsid w:val="50580297"/>
    <w:rsid w:val="50697817"/>
    <w:rsid w:val="506F6B37"/>
    <w:rsid w:val="5086682B"/>
    <w:rsid w:val="5090365A"/>
    <w:rsid w:val="51096E4A"/>
    <w:rsid w:val="51106525"/>
    <w:rsid w:val="511A6C71"/>
    <w:rsid w:val="512567F5"/>
    <w:rsid w:val="513C4D1D"/>
    <w:rsid w:val="514C3DAD"/>
    <w:rsid w:val="515047BA"/>
    <w:rsid w:val="5157430C"/>
    <w:rsid w:val="516A7F37"/>
    <w:rsid w:val="51916F53"/>
    <w:rsid w:val="51AA4C59"/>
    <w:rsid w:val="51CB4CC2"/>
    <w:rsid w:val="51D829D5"/>
    <w:rsid w:val="51ED0D38"/>
    <w:rsid w:val="51F31FFB"/>
    <w:rsid w:val="51FA103F"/>
    <w:rsid w:val="520170B1"/>
    <w:rsid w:val="521977DD"/>
    <w:rsid w:val="524428F4"/>
    <w:rsid w:val="5257047F"/>
    <w:rsid w:val="525B5D4E"/>
    <w:rsid w:val="526902F0"/>
    <w:rsid w:val="52693AF2"/>
    <w:rsid w:val="52765BD3"/>
    <w:rsid w:val="52851E0F"/>
    <w:rsid w:val="529B0943"/>
    <w:rsid w:val="52F44E38"/>
    <w:rsid w:val="52FE3AEF"/>
    <w:rsid w:val="53284056"/>
    <w:rsid w:val="536B2B1F"/>
    <w:rsid w:val="537038AC"/>
    <w:rsid w:val="537540CD"/>
    <w:rsid w:val="53911E0A"/>
    <w:rsid w:val="53E13EC3"/>
    <w:rsid w:val="53E415EA"/>
    <w:rsid w:val="54140409"/>
    <w:rsid w:val="546837CB"/>
    <w:rsid w:val="54723DA3"/>
    <w:rsid w:val="547A0454"/>
    <w:rsid w:val="548C2969"/>
    <w:rsid w:val="54934AA7"/>
    <w:rsid w:val="549624AE"/>
    <w:rsid w:val="54CF254E"/>
    <w:rsid w:val="550B7745"/>
    <w:rsid w:val="55194B5B"/>
    <w:rsid w:val="554A42CB"/>
    <w:rsid w:val="55607267"/>
    <w:rsid w:val="556421BF"/>
    <w:rsid w:val="55676BB4"/>
    <w:rsid w:val="55835251"/>
    <w:rsid w:val="55913CA7"/>
    <w:rsid w:val="55CC6A83"/>
    <w:rsid w:val="560E3249"/>
    <w:rsid w:val="56186177"/>
    <w:rsid w:val="561B7A15"/>
    <w:rsid w:val="56532D14"/>
    <w:rsid w:val="56643F7B"/>
    <w:rsid w:val="56821842"/>
    <w:rsid w:val="569F0646"/>
    <w:rsid w:val="56B45E9F"/>
    <w:rsid w:val="56D3302D"/>
    <w:rsid w:val="56D973CF"/>
    <w:rsid w:val="56FC63ED"/>
    <w:rsid w:val="57035F7F"/>
    <w:rsid w:val="570E4942"/>
    <w:rsid w:val="573222F5"/>
    <w:rsid w:val="5737262D"/>
    <w:rsid w:val="579A0B0F"/>
    <w:rsid w:val="57BA102C"/>
    <w:rsid w:val="57D61931"/>
    <w:rsid w:val="57DD6DD0"/>
    <w:rsid w:val="582A366D"/>
    <w:rsid w:val="585169D2"/>
    <w:rsid w:val="58861256"/>
    <w:rsid w:val="588E44CE"/>
    <w:rsid w:val="58906680"/>
    <w:rsid w:val="58D03F93"/>
    <w:rsid w:val="59016B9E"/>
    <w:rsid w:val="595963DC"/>
    <w:rsid w:val="595A456A"/>
    <w:rsid w:val="59607A95"/>
    <w:rsid w:val="59962910"/>
    <w:rsid w:val="59964FFE"/>
    <w:rsid w:val="599C74E8"/>
    <w:rsid w:val="59DB6FF7"/>
    <w:rsid w:val="59E20C6B"/>
    <w:rsid w:val="5A2515C6"/>
    <w:rsid w:val="5A2E66EC"/>
    <w:rsid w:val="5A395940"/>
    <w:rsid w:val="5A513553"/>
    <w:rsid w:val="5A7F7348"/>
    <w:rsid w:val="5A8329E1"/>
    <w:rsid w:val="5A8D4028"/>
    <w:rsid w:val="5A976D2B"/>
    <w:rsid w:val="5A9B5D67"/>
    <w:rsid w:val="5AD059E8"/>
    <w:rsid w:val="5AE92B8E"/>
    <w:rsid w:val="5B075A06"/>
    <w:rsid w:val="5B153530"/>
    <w:rsid w:val="5B3168E5"/>
    <w:rsid w:val="5B4C3B08"/>
    <w:rsid w:val="5B6D574D"/>
    <w:rsid w:val="5B8338B0"/>
    <w:rsid w:val="5B885B4D"/>
    <w:rsid w:val="5BE73EC9"/>
    <w:rsid w:val="5BFB6474"/>
    <w:rsid w:val="5C0D7037"/>
    <w:rsid w:val="5C2A7DE1"/>
    <w:rsid w:val="5C2F5E74"/>
    <w:rsid w:val="5C323783"/>
    <w:rsid w:val="5C3D06E5"/>
    <w:rsid w:val="5C6829AF"/>
    <w:rsid w:val="5C6D1843"/>
    <w:rsid w:val="5C806B92"/>
    <w:rsid w:val="5C8F1D6F"/>
    <w:rsid w:val="5C9F5B4C"/>
    <w:rsid w:val="5CDC1F44"/>
    <w:rsid w:val="5CF26970"/>
    <w:rsid w:val="5D1860EA"/>
    <w:rsid w:val="5D352289"/>
    <w:rsid w:val="5D5B375C"/>
    <w:rsid w:val="5D5D1495"/>
    <w:rsid w:val="5D634689"/>
    <w:rsid w:val="5D6D26E9"/>
    <w:rsid w:val="5D703886"/>
    <w:rsid w:val="5D814602"/>
    <w:rsid w:val="5D9A4716"/>
    <w:rsid w:val="5E0733DA"/>
    <w:rsid w:val="5E1406C1"/>
    <w:rsid w:val="5E1A1D20"/>
    <w:rsid w:val="5E2759B8"/>
    <w:rsid w:val="5E2F7E48"/>
    <w:rsid w:val="5E602469"/>
    <w:rsid w:val="5E717821"/>
    <w:rsid w:val="5EAB5584"/>
    <w:rsid w:val="5EC52DEA"/>
    <w:rsid w:val="5ECB3D0A"/>
    <w:rsid w:val="5ED510A9"/>
    <w:rsid w:val="5EF263E7"/>
    <w:rsid w:val="5EF75F46"/>
    <w:rsid w:val="5F21609C"/>
    <w:rsid w:val="5F230BEF"/>
    <w:rsid w:val="5F622ECF"/>
    <w:rsid w:val="5FA665A1"/>
    <w:rsid w:val="5FAB7FB5"/>
    <w:rsid w:val="5FAD2544"/>
    <w:rsid w:val="5FB66017"/>
    <w:rsid w:val="5FFE29B9"/>
    <w:rsid w:val="60786190"/>
    <w:rsid w:val="608E7761"/>
    <w:rsid w:val="60915473"/>
    <w:rsid w:val="6092153B"/>
    <w:rsid w:val="609B683C"/>
    <w:rsid w:val="60A00576"/>
    <w:rsid w:val="60AF2097"/>
    <w:rsid w:val="60B34A44"/>
    <w:rsid w:val="60B753A8"/>
    <w:rsid w:val="60BB7E2A"/>
    <w:rsid w:val="60C870C1"/>
    <w:rsid w:val="60F51603"/>
    <w:rsid w:val="6144156E"/>
    <w:rsid w:val="615D7134"/>
    <w:rsid w:val="6170205F"/>
    <w:rsid w:val="618F268C"/>
    <w:rsid w:val="61EA23B0"/>
    <w:rsid w:val="620A72BB"/>
    <w:rsid w:val="62287615"/>
    <w:rsid w:val="622F67B3"/>
    <w:rsid w:val="624520A2"/>
    <w:rsid w:val="627D4254"/>
    <w:rsid w:val="62897466"/>
    <w:rsid w:val="62AD3683"/>
    <w:rsid w:val="62AE66F6"/>
    <w:rsid w:val="62B261AF"/>
    <w:rsid w:val="62F57B08"/>
    <w:rsid w:val="6303429D"/>
    <w:rsid w:val="63205356"/>
    <w:rsid w:val="63424833"/>
    <w:rsid w:val="63464D73"/>
    <w:rsid w:val="635822A8"/>
    <w:rsid w:val="63583AEB"/>
    <w:rsid w:val="6373268F"/>
    <w:rsid w:val="63737FC7"/>
    <w:rsid w:val="63C656BB"/>
    <w:rsid w:val="63CE3380"/>
    <w:rsid w:val="63E36016"/>
    <w:rsid w:val="63F21DB5"/>
    <w:rsid w:val="63FF6480"/>
    <w:rsid w:val="640A1EA8"/>
    <w:rsid w:val="642900E6"/>
    <w:rsid w:val="64302590"/>
    <w:rsid w:val="6439089B"/>
    <w:rsid w:val="64495DD6"/>
    <w:rsid w:val="64623809"/>
    <w:rsid w:val="64746C6E"/>
    <w:rsid w:val="647C3D75"/>
    <w:rsid w:val="65080F89"/>
    <w:rsid w:val="651E4E2C"/>
    <w:rsid w:val="655A76A7"/>
    <w:rsid w:val="655C6589"/>
    <w:rsid w:val="66047425"/>
    <w:rsid w:val="661052EF"/>
    <w:rsid w:val="66207331"/>
    <w:rsid w:val="662830CF"/>
    <w:rsid w:val="66747DFB"/>
    <w:rsid w:val="66767F83"/>
    <w:rsid w:val="66D54C1C"/>
    <w:rsid w:val="66F41F1E"/>
    <w:rsid w:val="6701113C"/>
    <w:rsid w:val="671C40AC"/>
    <w:rsid w:val="672D4EE4"/>
    <w:rsid w:val="677658C0"/>
    <w:rsid w:val="6797113A"/>
    <w:rsid w:val="67AF1F51"/>
    <w:rsid w:val="67B01ED6"/>
    <w:rsid w:val="67BC1DD1"/>
    <w:rsid w:val="67C86935"/>
    <w:rsid w:val="67D14F07"/>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922138F"/>
    <w:rsid w:val="69F85C86"/>
    <w:rsid w:val="6A09523D"/>
    <w:rsid w:val="6A1B26B7"/>
    <w:rsid w:val="6A244C92"/>
    <w:rsid w:val="6A2809FC"/>
    <w:rsid w:val="6A883CBC"/>
    <w:rsid w:val="6A902328"/>
    <w:rsid w:val="6B19056F"/>
    <w:rsid w:val="6B340F05"/>
    <w:rsid w:val="6B345E30"/>
    <w:rsid w:val="6B3A216D"/>
    <w:rsid w:val="6B4A7E40"/>
    <w:rsid w:val="6B505357"/>
    <w:rsid w:val="6B874EAB"/>
    <w:rsid w:val="6B985938"/>
    <w:rsid w:val="6BFB3E5A"/>
    <w:rsid w:val="6BFD3458"/>
    <w:rsid w:val="6C423778"/>
    <w:rsid w:val="6CAF118B"/>
    <w:rsid w:val="6CBB7E1F"/>
    <w:rsid w:val="6CC01E51"/>
    <w:rsid w:val="6CF372CA"/>
    <w:rsid w:val="6D027F59"/>
    <w:rsid w:val="6D2D1C64"/>
    <w:rsid w:val="6D475F5F"/>
    <w:rsid w:val="6D5F78AD"/>
    <w:rsid w:val="6D600E21"/>
    <w:rsid w:val="6D68133A"/>
    <w:rsid w:val="6DA82289"/>
    <w:rsid w:val="6DC03AFE"/>
    <w:rsid w:val="6DE915B6"/>
    <w:rsid w:val="6E061A11"/>
    <w:rsid w:val="6E345B45"/>
    <w:rsid w:val="6E63668A"/>
    <w:rsid w:val="6E671CA5"/>
    <w:rsid w:val="6E741E30"/>
    <w:rsid w:val="6E7E1055"/>
    <w:rsid w:val="6E9A5352"/>
    <w:rsid w:val="6EA0733B"/>
    <w:rsid w:val="6EBB122E"/>
    <w:rsid w:val="6EBB2C83"/>
    <w:rsid w:val="6EC77A48"/>
    <w:rsid w:val="6EC77E06"/>
    <w:rsid w:val="6EC97030"/>
    <w:rsid w:val="6F135451"/>
    <w:rsid w:val="6F2B35AD"/>
    <w:rsid w:val="6F332F4A"/>
    <w:rsid w:val="6F3C2DD2"/>
    <w:rsid w:val="6F8063CA"/>
    <w:rsid w:val="6FB66044"/>
    <w:rsid w:val="6FE25DC9"/>
    <w:rsid w:val="6FE8588F"/>
    <w:rsid w:val="6FF0664D"/>
    <w:rsid w:val="700A492A"/>
    <w:rsid w:val="702529D1"/>
    <w:rsid w:val="703F6602"/>
    <w:rsid w:val="70F34F86"/>
    <w:rsid w:val="70F759D2"/>
    <w:rsid w:val="71211F2C"/>
    <w:rsid w:val="713E329A"/>
    <w:rsid w:val="7146159B"/>
    <w:rsid w:val="714D0321"/>
    <w:rsid w:val="715C7211"/>
    <w:rsid w:val="717E08B2"/>
    <w:rsid w:val="718D73C3"/>
    <w:rsid w:val="71900A0A"/>
    <w:rsid w:val="719A4E18"/>
    <w:rsid w:val="71BC787F"/>
    <w:rsid w:val="71BE3E19"/>
    <w:rsid w:val="72011EEA"/>
    <w:rsid w:val="720A0C12"/>
    <w:rsid w:val="727517BE"/>
    <w:rsid w:val="72BB53F2"/>
    <w:rsid w:val="72D442B8"/>
    <w:rsid w:val="73004C22"/>
    <w:rsid w:val="73011084"/>
    <w:rsid w:val="73555EBD"/>
    <w:rsid w:val="7386317F"/>
    <w:rsid w:val="7395781C"/>
    <w:rsid w:val="73A53748"/>
    <w:rsid w:val="73B01345"/>
    <w:rsid w:val="73F00452"/>
    <w:rsid w:val="73F97D41"/>
    <w:rsid w:val="74A353FC"/>
    <w:rsid w:val="74B55FCA"/>
    <w:rsid w:val="751E6462"/>
    <w:rsid w:val="7547670C"/>
    <w:rsid w:val="754B5EDD"/>
    <w:rsid w:val="756D7FC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E6439"/>
    <w:rsid w:val="78214A6B"/>
    <w:rsid w:val="7824041B"/>
    <w:rsid w:val="78897474"/>
    <w:rsid w:val="78A64B86"/>
    <w:rsid w:val="78BD078C"/>
    <w:rsid w:val="78DE3D6C"/>
    <w:rsid w:val="78E33867"/>
    <w:rsid w:val="78E52BDC"/>
    <w:rsid w:val="78F11367"/>
    <w:rsid w:val="78F93EFF"/>
    <w:rsid w:val="790776EC"/>
    <w:rsid w:val="798701EE"/>
    <w:rsid w:val="798720C7"/>
    <w:rsid w:val="798B75C8"/>
    <w:rsid w:val="798D230A"/>
    <w:rsid w:val="79A3081B"/>
    <w:rsid w:val="79A8143C"/>
    <w:rsid w:val="7A071D78"/>
    <w:rsid w:val="7A2D742D"/>
    <w:rsid w:val="7A5600FC"/>
    <w:rsid w:val="7A5C06AF"/>
    <w:rsid w:val="7A6447EC"/>
    <w:rsid w:val="7A6E489C"/>
    <w:rsid w:val="7A716D06"/>
    <w:rsid w:val="7AB14A59"/>
    <w:rsid w:val="7AC662B5"/>
    <w:rsid w:val="7B347D8A"/>
    <w:rsid w:val="7B8F4980"/>
    <w:rsid w:val="7B972CB9"/>
    <w:rsid w:val="7BA61501"/>
    <w:rsid w:val="7BAF14B0"/>
    <w:rsid w:val="7BD06448"/>
    <w:rsid w:val="7BE85AB6"/>
    <w:rsid w:val="7C14615E"/>
    <w:rsid w:val="7CA103C5"/>
    <w:rsid w:val="7CA420D7"/>
    <w:rsid w:val="7CC52305"/>
    <w:rsid w:val="7CE922B5"/>
    <w:rsid w:val="7CF0056D"/>
    <w:rsid w:val="7CFD4359"/>
    <w:rsid w:val="7D083FA0"/>
    <w:rsid w:val="7D196F8A"/>
    <w:rsid w:val="7D324E38"/>
    <w:rsid w:val="7D376D09"/>
    <w:rsid w:val="7D3A16E9"/>
    <w:rsid w:val="7D4A2A43"/>
    <w:rsid w:val="7D7B5294"/>
    <w:rsid w:val="7D9D74DD"/>
    <w:rsid w:val="7DA92784"/>
    <w:rsid w:val="7DB2187F"/>
    <w:rsid w:val="7DB37D69"/>
    <w:rsid w:val="7DCA019C"/>
    <w:rsid w:val="7DCA17AE"/>
    <w:rsid w:val="7DE55723"/>
    <w:rsid w:val="7DED451A"/>
    <w:rsid w:val="7E2214CE"/>
    <w:rsid w:val="7E2F24BC"/>
    <w:rsid w:val="7E564EE1"/>
    <w:rsid w:val="7E6D3957"/>
    <w:rsid w:val="7E6D67B0"/>
    <w:rsid w:val="7E8D7C7B"/>
    <w:rsid w:val="7EA83077"/>
    <w:rsid w:val="7ECD0B10"/>
    <w:rsid w:val="7ED53E1B"/>
    <w:rsid w:val="7F1D6A6D"/>
    <w:rsid w:val="7F2554A7"/>
    <w:rsid w:val="7F2A34D9"/>
    <w:rsid w:val="7F4D44C9"/>
    <w:rsid w:val="7F7A3881"/>
    <w:rsid w:val="7FA6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link w:val="161"/>
    <w:autoRedefine/>
    <w:qFormat/>
    <w:uiPriority w:val="0"/>
    <w:pPr>
      <w:autoSpaceDE w:val="0"/>
      <w:autoSpaceDN w:val="0"/>
      <w:adjustRightInd w:val="0"/>
      <w:jc w:val="left"/>
      <w:outlineLvl w:val="1"/>
    </w:pPr>
    <w:rPr>
      <w:kern w:val="0"/>
    </w:rPr>
  </w:style>
  <w:style w:type="paragraph" w:styleId="5">
    <w:name w:val="heading 3"/>
    <w:basedOn w:val="6"/>
    <w:next w:val="6"/>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2">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toc 7"/>
    <w:basedOn w:val="1"/>
    <w:next w:val="1"/>
    <w:autoRedefine/>
    <w:qFormat/>
    <w:uiPriority w:val="0"/>
    <w:pPr>
      <w:ind w:left="1680"/>
      <w:jc w:val="left"/>
    </w:pPr>
  </w:style>
  <w:style w:type="paragraph" w:styleId="8">
    <w:name w:val="table of authorities"/>
    <w:basedOn w:val="1"/>
    <w:next w:val="1"/>
    <w:autoRedefine/>
    <w:qFormat/>
    <w:uiPriority w:val="0"/>
    <w:pPr>
      <w:ind w:left="420" w:leftChars="200"/>
    </w:pPr>
  </w:style>
  <w:style w:type="paragraph" w:styleId="9">
    <w:name w:val="Document Map"/>
    <w:basedOn w:val="1"/>
    <w:autoRedefine/>
    <w:qFormat/>
    <w:uiPriority w:val="0"/>
    <w:pPr>
      <w:shd w:val="clear" w:color="auto" w:fill="000080"/>
    </w:pPr>
  </w:style>
  <w:style w:type="paragraph" w:styleId="10">
    <w:name w:val="annotation text"/>
    <w:basedOn w:val="1"/>
    <w:next w:val="1"/>
    <w:autoRedefine/>
    <w:qFormat/>
    <w:uiPriority w:val="0"/>
    <w:pPr>
      <w:adjustRightInd w:val="0"/>
      <w:spacing w:line="360" w:lineRule="atLeast"/>
      <w:jc w:val="left"/>
      <w:textAlignment w:val="baseline"/>
    </w:pPr>
    <w:rPr>
      <w:kern w:val="0"/>
    </w:rPr>
  </w:style>
  <w:style w:type="paragraph" w:styleId="11">
    <w:name w:val="Body Text"/>
    <w:basedOn w:val="1"/>
    <w:next w:val="12"/>
    <w:autoRedefine/>
    <w:qFormat/>
    <w:uiPriority w:val="0"/>
    <w:pPr>
      <w:spacing w:after="120"/>
    </w:pPr>
  </w:style>
  <w:style w:type="paragraph" w:styleId="12">
    <w:name w:val="Body Text 2"/>
    <w:basedOn w:val="1"/>
    <w:next w:val="11"/>
    <w:autoRedefine/>
    <w:qFormat/>
    <w:uiPriority w:val="0"/>
    <w:pPr>
      <w:spacing w:line="500" w:lineRule="exact"/>
    </w:pPr>
  </w:style>
  <w:style w:type="paragraph" w:styleId="13">
    <w:name w:val="Body Text Indent"/>
    <w:basedOn w:val="1"/>
    <w:link w:val="46"/>
    <w:autoRedefine/>
    <w:qFormat/>
    <w:uiPriority w:val="0"/>
    <w:pPr>
      <w:ind w:firstLine="560" w:firstLineChars="200"/>
    </w:pPr>
  </w:style>
  <w:style w:type="paragraph" w:styleId="14">
    <w:name w:val="toc 5"/>
    <w:basedOn w:val="1"/>
    <w:next w:val="1"/>
    <w:autoRedefine/>
    <w:qFormat/>
    <w:uiPriority w:val="0"/>
    <w:pPr>
      <w:ind w:left="1120"/>
      <w:jc w:val="left"/>
    </w:pPr>
  </w:style>
  <w:style w:type="paragraph" w:styleId="15">
    <w:name w:val="toc 3"/>
    <w:basedOn w:val="1"/>
    <w:next w:val="1"/>
    <w:autoRedefine/>
    <w:qFormat/>
    <w:uiPriority w:val="0"/>
    <w:pPr>
      <w:ind w:left="561"/>
      <w:jc w:val="left"/>
    </w:pPr>
  </w:style>
  <w:style w:type="paragraph" w:styleId="16">
    <w:name w:val="Plain Text"/>
    <w:basedOn w:val="1"/>
    <w:qFormat/>
    <w:uiPriority w:val="0"/>
    <w:rPr>
      <w:rFonts w:ascii="宋体" w:hAnsi="Courier New" w:eastAsia="宋体" w:cs="Courier New"/>
      <w:szCs w:val="21"/>
    </w:rPr>
  </w:style>
  <w:style w:type="paragraph" w:styleId="17">
    <w:name w:val="toc 8"/>
    <w:basedOn w:val="1"/>
    <w:next w:val="1"/>
    <w:autoRedefine/>
    <w:qFormat/>
    <w:uiPriority w:val="0"/>
    <w:pPr>
      <w:ind w:left="1960"/>
      <w:jc w:val="left"/>
    </w:pPr>
  </w:style>
  <w:style w:type="paragraph" w:styleId="18">
    <w:name w:val="Body Text Indent 2"/>
    <w:basedOn w:val="1"/>
    <w:autoRedefine/>
    <w:qFormat/>
    <w:uiPriority w:val="0"/>
    <w:pPr>
      <w:spacing w:line="480" w:lineRule="auto"/>
      <w:ind w:firstLine="561"/>
    </w:pPr>
  </w:style>
  <w:style w:type="paragraph" w:styleId="19">
    <w:name w:val="Balloon Text"/>
    <w:basedOn w:val="1"/>
    <w:autoRedefine/>
    <w:qFormat/>
    <w:uiPriority w:val="0"/>
    <w:rPr>
      <w:sz w:val="18"/>
      <w:szCs w:val="18"/>
    </w:rPr>
  </w:style>
  <w:style w:type="paragraph" w:styleId="20">
    <w:name w:val="footer"/>
    <w:basedOn w:val="1"/>
    <w:autoRedefine/>
    <w:qFormat/>
    <w:uiPriority w:val="0"/>
    <w:pPr>
      <w:widowControl/>
      <w:tabs>
        <w:tab w:val="center" w:pos="4153"/>
        <w:tab w:val="right" w:pos="8306"/>
      </w:tabs>
      <w:snapToGrid w:val="0"/>
      <w:jc w:val="left"/>
    </w:pPr>
    <w:rPr>
      <w:kern w:val="0"/>
      <w:sz w:val="18"/>
    </w:rPr>
  </w:style>
  <w:style w:type="paragraph" w:styleId="21">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2">
    <w:name w:val="toc 1"/>
    <w:basedOn w:val="1"/>
    <w:next w:val="1"/>
    <w:autoRedefine/>
    <w:qFormat/>
    <w:uiPriority w:val="0"/>
    <w:pPr>
      <w:spacing w:before="120" w:after="120"/>
      <w:jc w:val="left"/>
    </w:pPr>
    <w:rPr>
      <w:caps/>
    </w:rPr>
  </w:style>
  <w:style w:type="paragraph" w:styleId="23">
    <w:name w:val="toc 4"/>
    <w:basedOn w:val="1"/>
    <w:next w:val="1"/>
    <w:autoRedefine/>
    <w:qFormat/>
    <w:uiPriority w:val="0"/>
    <w:pPr>
      <w:ind w:left="840"/>
      <w:jc w:val="left"/>
    </w:pPr>
  </w:style>
  <w:style w:type="paragraph" w:styleId="24">
    <w:name w:val="toc 6"/>
    <w:basedOn w:val="1"/>
    <w:next w:val="1"/>
    <w:autoRedefine/>
    <w:qFormat/>
    <w:uiPriority w:val="0"/>
    <w:pPr>
      <w:ind w:left="1400"/>
      <w:jc w:val="left"/>
    </w:pPr>
  </w:style>
  <w:style w:type="paragraph" w:styleId="25">
    <w:name w:val="Body Text Indent 3"/>
    <w:basedOn w:val="1"/>
    <w:link w:val="47"/>
    <w:autoRedefine/>
    <w:qFormat/>
    <w:uiPriority w:val="0"/>
    <w:pPr>
      <w:ind w:firstLine="560"/>
    </w:pPr>
    <w:rPr>
      <w:color w:val="FF0000"/>
    </w:rPr>
  </w:style>
  <w:style w:type="paragraph" w:styleId="26">
    <w:name w:val="toc 2"/>
    <w:basedOn w:val="1"/>
    <w:next w:val="1"/>
    <w:autoRedefine/>
    <w:qFormat/>
    <w:uiPriority w:val="0"/>
    <w:pPr>
      <w:ind w:left="278"/>
      <w:jc w:val="left"/>
    </w:pPr>
    <w:rPr>
      <w:smallCaps/>
    </w:rPr>
  </w:style>
  <w:style w:type="paragraph" w:styleId="27">
    <w:name w:val="toc 9"/>
    <w:basedOn w:val="1"/>
    <w:next w:val="1"/>
    <w:autoRedefine/>
    <w:qFormat/>
    <w:uiPriority w:val="0"/>
    <w:pPr>
      <w:ind w:left="2240"/>
      <w:jc w:val="left"/>
    </w:pPr>
  </w:style>
  <w:style w:type="paragraph" w:styleId="28">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9">
    <w:name w:val="annotation subject"/>
    <w:basedOn w:val="10"/>
    <w:next w:val="10"/>
    <w:autoRedefine/>
    <w:qFormat/>
    <w:uiPriority w:val="0"/>
    <w:pPr>
      <w:adjustRightInd/>
      <w:spacing w:line="360" w:lineRule="auto"/>
      <w:textAlignment w:val="auto"/>
    </w:pPr>
    <w:rPr>
      <w:b/>
      <w:bCs/>
      <w:kern w:val="2"/>
    </w:rPr>
  </w:style>
  <w:style w:type="paragraph" w:styleId="30">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bCs/>
    </w:rPr>
  </w:style>
  <w:style w:type="character" w:styleId="35">
    <w:name w:val="page number"/>
    <w:basedOn w:val="33"/>
    <w:autoRedefine/>
    <w:qFormat/>
    <w:uiPriority w:val="0"/>
  </w:style>
  <w:style w:type="character" w:styleId="36">
    <w:name w:val="FollowedHyperlink"/>
    <w:autoRedefine/>
    <w:qFormat/>
    <w:uiPriority w:val="0"/>
    <w:rPr>
      <w:color w:val="800080"/>
      <w:u w:val="single"/>
    </w:rPr>
  </w:style>
  <w:style w:type="character" w:styleId="37">
    <w:name w:val="Emphasis"/>
    <w:basedOn w:val="33"/>
    <w:qFormat/>
    <w:uiPriority w:val="0"/>
    <w:rPr>
      <w:i/>
    </w:rPr>
  </w:style>
  <w:style w:type="character" w:styleId="38">
    <w:name w:val="Hyperlink"/>
    <w:autoRedefine/>
    <w:qFormat/>
    <w:uiPriority w:val="0"/>
    <w:rPr>
      <w:color w:val="0000FF"/>
      <w:u w:val="single"/>
    </w:rPr>
  </w:style>
  <w:style w:type="character" w:styleId="39">
    <w:name w:val="annotation reference"/>
    <w:autoRedefine/>
    <w:qFormat/>
    <w:uiPriority w:val="0"/>
    <w:rPr>
      <w:sz w:val="21"/>
    </w:rPr>
  </w:style>
  <w:style w:type="paragraph" w:customStyle="1" w:styleId="40">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paragraph" w:customStyle="1" w:styleId="41">
    <w:name w:val="Normal Indent1"/>
    <w:basedOn w:val="1"/>
    <w:autoRedefine/>
    <w:qFormat/>
    <w:uiPriority w:val="0"/>
    <w:pPr>
      <w:widowControl/>
      <w:ind w:firstLine="420"/>
      <w:jc w:val="left"/>
    </w:pPr>
    <w:rPr>
      <w:rFonts w:ascii="Times New Roman"/>
      <w:kern w:val="0"/>
    </w:rPr>
  </w:style>
  <w:style w:type="paragraph" w:customStyle="1" w:styleId="42">
    <w:name w:val="样式 宋体 行距: 1.5 倍行距"/>
    <w:basedOn w:val="43"/>
    <w:next w:val="1"/>
    <w:autoRedefine/>
    <w:qFormat/>
    <w:uiPriority w:val="0"/>
    <w:pPr>
      <w:jc w:val="center"/>
    </w:pPr>
    <w:rPr>
      <w:rFonts w:ascii="Times New Roman"/>
      <w:b/>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2"/>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2"/>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5">
    <w:name w:val="Char Char2"/>
    <w:basedOn w:val="9"/>
    <w:autoRedefine/>
    <w:qFormat/>
    <w:uiPriority w:val="0"/>
    <w:pPr>
      <w:spacing w:line="240" w:lineRule="auto"/>
    </w:pPr>
  </w:style>
  <w:style w:type="character" w:customStyle="1" w:styleId="46">
    <w:name w:val="正文文本缩进 字符"/>
    <w:link w:val="13"/>
    <w:autoRedefine/>
    <w:qFormat/>
    <w:uiPriority w:val="0"/>
    <w:rPr>
      <w:rFonts w:ascii="宋体"/>
      <w:kern w:val="2"/>
      <w:sz w:val="24"/>
    </w:rPr>
  </w:style>
  <w:style w:type="character" w:customStyle="1" w:styleId="47">
    <w:name w:val="正文文本缩进 3 字符"/>
    <w:link w:val="25"/>
    <w:autoRedefine/>
    <w:qFormat/>
    <w:uiPriority w:val="0"/>
    <w:rPr>
      <w:rFonts w:ascii="宋体" w:eastAsia="宋体"/>
      <w:color w:val="FF0000"/>
      <w:kern w:val="2"/>
      <w:sz w:val="24"/>
      <w:lang w:val="en-US" w:eastAsia="zh-CN" w:bidi="ar-SA"/>
    </w:rPr>
  </w:style>
  <w:style w:type="character" w:customStyle="1" w:styleId="48">
    <w:name w:val="超链接 New New"/>
    <w:autoRedefine/>
    <w:qFormat/>
    <w:uiPriority w:val="0"/>
    <w:rPr>
      <w:color w:val="000000"/>
      <w:sz w:val="18"/>
      <w:szCs w:val="18"/>
      <w:u w:val="none"/>
    </w:rPr>
  </w:style>
  <w:style w:type="character" w:customStyle="1" w:styleId="49">
    <w:name w:val="超链接 New"/>
    <w:autoRedefine/>
    <w:qFormat/>
    <w:uiPriority w:val="0"/>
    <w:rPr>
      <w:color w:val="000000"/>
      <w:sz w:val="18"/>
      <w:szCs w:val="18"/>
      <w:u w:val="none"/>
    </w:rPr>
  </w:style>
  <w:style w:type="character" w:customStyle="1" w:styleId="50">
    <w:name w:val="默认段落字体1"/>
    <w:autoRedefine/>
    <w:qFormat/>
    <w:uiPriority w:val="0"/>
    <w:rPr>
      <w:rFonts w:hint="default"/>
    </w:rPr>
  </w:style>
  <w:style w:type="character" w:customStyle="1" w:styleId="51">
    <w:name w:val="默认段落字体 New New"/>
    <w:link w:val="52"/>
    <w:autoRedefine/>
    <w:qFormat/>
    <w:uiPriority w:val="0"/>
    <w:rPr>
      <w:rFonts w:ascii="Tahoma" w:hAnsi="Tahoma"/>
      <w:szCs w:val="24"/>
    </w:rPr>
  </w:style>
  <w:style w:type="paragraph" w:customStyle="1" w:styleId="52">
    <w:name w:val="Char New New"/>
    <w:basedOn w:val="1"/>
    <w:link w:val="51"/>
    <w:autoRedefine/>
    <w:qFormat/>
    <w:uiPriority w:val="0"/>
    <w:pPr>
      <w:spacing w:line="240" w:lineRule="auto"/>
    </w:pPr>
    <w:rPr>
      <w:rFonts w:ascii="Tahoma" w:hAnsi="Tahoma"/>
      <w:szCs w:val="24"/>
    </w:rPr>
  </w:style>
  <w:style w:type="character" w:customStyle="1" w:styleId="53">
    <w:name w:val="默认段落字体 New"/>
    <w:link w:val="54"/>
    <w:autoRedefine/>
    <w:qFormat/>
    <w:uiPriority w:val="0"/>
    <w:rPr>
      <w:rFonts w:ascii="Tahoma" w:hAnsi="Tahoma"/>
      <w:szCs w:val="24"/>
    </w:rPr>
  </w:style>
  <w:style w:type="paragraph" w:customStyle="1" w:styleId="54">
    <w:name w:val="Char New"/>
    <w:basedOn w:val="1"/>
    <w:link w:val="53"/>
    <w:autoRedefine/>
    <w:qFormat/>
    <w:uiPriority w:val="0"/>
    <w:pPr>
      <w:spacing w:line="240" w:lineRule="auto"/>
    </w:pPr>
    <w:rPr>
      <w:rFonts w:ascii="Tahoma" w:hAnsi="Tahoma"/>
      <w:szCs w:val="24"/>
    </w:rPr>
  </w:style>
  <w:style w:type="character" w:customStyle="1" w:styleId="55">
    <w:name w:val="页码 New New New"/>
    <w:autoRedefine/>
    <w:qFormat/>
    <w:uiPriority w:val="0"/>
    <w:rPr>
      <w:rFonts w:eastAsia="宋体"/>
      <w:kern w:val="2"/>
      <w:sz w:val="24"/>
      <w:szCs w:val="24"/>
      <w:lang w:val="en-US" w:eastAsia="zh-CN" w:bidi="ar-SA"/>
    </w:rPr>
  </w:style>
  <w:style w:type="character" w:customStyle="1" w:styleId="56">
    <w:name w:val="页码 New New"/>
    <w:autoRedefine/>
    <w:qFormat/>
    <w:uiPriority w:val="0"/>
    <w:rPr>
      <w:rFonts w:eastAsia="宋体"/>
      <w:kern w:val="2"/>
      <w:sz w:val="24"/>
      <w:szCs w:val="24"/>
      <w:lang w:val="en-US" w:eastAsia="zh-CN" w:bidi="ar-SA"/>
    </w:rPr>
  </w:style>
  <w:style w:type="character" w:customStyle="1" w:styleId="57">
    <w:name w:val="Char Char1"/>
    <w:autoRedefine/>
    <w:qFormat/>
    <w:uiPriority w:val="0"/>
    <w:rPr>
      <w:rFonts w:ascii="宋体" w:eastAsia="宋体"/>
      <w:color w:val="FF0000"/>
      <w:kern w:val="2"/>
      <w:sz w:val="24"/>
      <w:lang w:val="en-US" w:eastAsia="zh-CN" w:bidi="ar-SA"/>
    </w:rPr>
  </w:style>
  <w:style w:type="character" w:customStyle="1" w:styleId="58">
    <w:name w:val="页码 New"/>
    <w:autoRedefine/>
    <w:qFormat/>
    <w:uiPriority w:val="0"/>
    <w:rPr>
      <w:rFonts w:eastAsia="宋体"/>
      <w:kern w:val="2"/>
      <w:sz w:val="24"/>
      <w:szCs w:val="24"/>
      <w:lang w:val="en-US" w:eastAsia="zh-CN" w:bidi="ar-SA"/>
    </w:rPr>
  </w:style>
  <w:style w:type="paragraph" w:customStyle="1" w:styleId="59">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60">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1">
    <w:name w:val="页脚 New New New New New New New New New New New New New"/>
    <w:basedOn w:val="62"/>
    <w:autoRedefine/>
    <w:qFormat/>
    <w:uiPriority w:val="0"/>
    <w:pPr>
      <w:widowControl/>
      <w:tabs>
        <w:tab w:val="center" w:pos="4153"/>
        <w:tab w:val="right" w:pos="8306"/>
      </w:tabs>
      <w:snapToGrid w:val="0"/>
      <w:jc w:val="left"/>
    </w:pPr>
    <w:rPr>
      <w:sz w:val="18"/>
    </w:rPr>
  </w:style>
  <w:style w:type="paragraph" w:customStyle="1" w:styleId="62">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3">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页脚 New New New New New"/>
    <w:basedOn w:val="67"/>
    <w:autoRedefine/>
    <w:qFormat/>
    <w:uiPriority w:val="0"/>
    <w:pPr>
      <w:tabs>
        <w:tab w:val="center" w:pos="4153"/>
        <w:tab w:val="right" w:pos="8306"/>
      </w:tabs>
      <w:snapToGrid w:val="0"/>
      <w:jc w:val="left"/>
    </w:pPr>
    <w:rPr>
      <w:sz w:val="18"/>
    </w:rPr>
  </w:style>
  <w:style w:type="paragraph" w:customStyle="1" w:styleId="67">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8">
    <w:name w:val="纯文本 New New"/>
    <w:basedOn w:val="69"/>
    <w:autoRedefine/>
    <w:qFormat/>
    <w:uiPriority w:val="0"/>
    <w:rPr>
      <w:rFonts w:ascii="宋体" w:hAnsi="Courier New"/>
      <w:szCs w:val="24"/>
    </w:rPr>
  </w:style>
  <w:style w:type="paragraph" w:customStyle="1" w:styleId="69">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0">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71">
    <w:name w:val="页脚1"/>
    <w:basedOn w:val="70"/>
    <w:autoRedefine/>
    <w:qFormat/>
    <w:uiPriority w:val="0"/>
    <w:pPr>
      <w:widowControl/>
      <w:tabs>
        <w:tab w:val="center" w:pos="4153"/>
        <w:tab w:val="right" w:pos="8306"/>
      </w:tabs>
      <w:snapToGrid w:val="0"/>
      <w:jc w:val="left"/>
    </w:pPr>
    <w:rPr>
      <w:kern w:val="0"/>
      <w:sz w:val="18"/>
    </w:rPr>
  </w:style>
  <w:style w:type="paragraph" w:customStyle="1" w:styleId="72">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3">
    <w:name w:val="标题 3 New New"/>
    <w:basedOn w:val="74"/>
    <w:next w:val="74"/>
    <w:autoRedefine/>
    <w:qFormat/>
    <w:uiPriority w:val="0"/>
    <w:pPr>
      <w:keepNext/>
      <w:keepLines/>
      <w:spacing w:before="120" w:after="120"/>
      <w:jc w:val="center"/>
      <w:outlineLvl w:val="2"/>
    </w:pPr>
    <w:rPr>
      <w:sz w:val="24"/>
    </w:rPr>
  </w:style>
  <w:style w:type="paragraph" w:customStyle="1" w:styleId="74">
    <w:name w:val="正文缩进 New"/>
    <w:basedOn w:val="75"/>
    <w:autoRedefine/>
    <w:qFormat/>
    <w:uiPriority w:val="0"/>
    <w:pPr>
      <w:widowControl/>
      <w:ind w:firstLine="420"/>
      <w:jc w:val="left"/>
    </w:pPr>
    <w:rPr>
      <w:kern w:val="0"/>
      <w:sz w:val="20"/>
    </w:rPr>
  </w:style>
  <w:style w:type="paragraph" w:customStyle="1" w:styleId="75">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6">
    <w:name w:val="普通(网站) New"/>
    <w:basedOn w:val="77"/>
    <w:autoRedefine/>
    <w:qFormat/>
    <w:uiPriority w:val="0"/>
    <w:rPr>
      <w:sz w:val="24"/>
    </w:rPr>
  </w:style>
  <w:style w:type="paragraph" w:customStyle="1" w:styleId="77">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8">
    <w:name w:val="正文文本缩进 New"/>
    <w:basedOn w:val="75"/>
    <w:autoRedefine/>
    <w:qFormat/>
    <w:uiPriority w:val="0"/>
    <w:pPr>
      <w:ind w:firstLine="560" w:firstLineChars="200"/>
    </w:pPr>
  </w:style>
  <w:style w:type="paragraph" w:customStyle="1" w:styleId="79">
    <w:name w:val="Char"/>
    <w:basedOn w:val="9"/>
    <w:autoRedefine/>
    <w:qFormat/>
    <w:uiPriority w:val="0"/>
    <w:pPr>
      <w:spacing w:line="240" w:lineRule="auto"/>
    </w:pPr>
  </w:style>
  <w:style w:type="paragraph" w:customStyle="1" w:styleId="80">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1">
    <w:name w:val="页脚 New New New New"/>
    <w:basedOn w:val="82"/>
    <w:autoRedefine/>
    <w:qFormat/>
    <w:uiPriority w:val="0"/>
    <w:pPr>
      <w:tabs>
        <w:tab w:val="center" w:pos="4153"/>
        <w:tab w:val="right" w:pos="8306"/>
      </w:tabs>
      <w:snapToGrid w:val="0"/>
      <w:jc w:val="left"/>
    </w:pPr>
    <w:rPr>
      <w:sz w:val="18"/>
      <w:szCs w:val="18"/>
    </w:rPr>
  </w:style>
  <w:style w:type="paragraph" w:customStyle="1" w:styleId="82">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5">
    <w:name w:val="页眉 New New New New New New New New New"/>
    <w:basedOn w:val="62"/>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6">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页眉 New New New New New New New New"/>
    <w:basedOn w:val="88"/>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8">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9">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0">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92">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3">
    <w:name w:val="样式2"/>
    <w:basedOn w:val="22"/>
    <w:autoRedefine/>
    <w:qFormat/>
    <w:uiPriority w:val="0"/>
    <w:pPr>
      <w:tabs>
        <w:tab w:val="right" w:leader="dot" w:pos="9345"/>
      </w:tabs>
    </w:pPr>
    <w:rPr>
      <w:rFonts w:hAnsi="宋体"/>
      <w:b/>
      <w:color w:val="0000FF"/>
      <w:u w:val="single"/>
    </w:rPr>
  </w:style>
  <w:style w:type="paragraph" w:customStyle="1" w:styleId="94">
    <w:name w:val="页脚 New New New New New New New New"/>
    <w:basedOn w:val="95"/>
    <w:autoRedefine/>
    <w:qFormat/>
    <w:uiPriority w:val="0"/>
    <w:pPr>
      <w:tabs>
        <w:tab w:val="center" w:pos="4153"/>
        <w:tab w:val="right" w:pos="8306"/>
      </w:tabs>
      <w:snapToGrid w:val="0"/>
      <w:jc w:val="left"/>
    </w:pPr>
    <w:rPr>
      <w:sz w:val="18"/>
      <w:szCs w:val="18"/>
    </w:rPr>
  </w:style>
  <w:style w:type="paragraph" w:customStyle="1" w:styleId="95">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7">
    <w:name w:val="页脚 New New New New New New New New New New"/>
    <w:basedOn w:val="92"/>
    <w:autoRedefine/>
    <w:qFormat/>
    <w:uiPriority w:val="0"/>
    <w:pPr>
      <w:widowControl/>
      <w:tabs>
        <w:tab w:val="center" w:pos="4153"/>
        <w:tab w:val="right" w:pos="8306"/>
      </w:tabs>
      <w:snapToGrid w:val="0"/>
      <w:jc w:val="left"/>
    </w:pPr>
    <w:rPr>
      <w:sz w:val="18"/>
    </w:rPr>
  </w:style>
  <w:style w:type="paragraph" w:customStyle="1" w:styleId="98">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页脚 New New New New New New"/>
    <w:basedOn w:val="77"/>
    <w:autoRedefine/>
    <w:qFormat/>
    <w:uiPriority w:val="0"/>
    <w:pPr>
      <w:tabs>
        <w:tab w:val="center" w:pos="4153"/>
        <w:tab w:val="right" w:pos="8306"/>
      </w:tabs>
      <w:snapToGrid w:val="0"/>
      <w:jc w:val="left"/>
    </w:pPr>
    <w:rPr>
      <w:sz w:val="18"/>
    </w:rPr>
  </w:style>
  <w:style w:type="paragraph" w:customStyle="1" w:styleId="100">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1">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3">
    <w:name w:val="页眉 New New New New New"/>
    <w:basedOn w:val="77"/>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4">
    <w:name w:val="页脚 New New New New New New New New New New New"/>
    <w:basedOn w:val="88"/>
    <w:autoRedefine/>
    <w:qFormat/>
    <w:uiPriority w:val="0"/>
    <w:pPr>
      <w:widowControl/>
      <w:tabs>
        <w:tab w:val="center" w:pos="4153"/>
        <w:tab w:val="right" w:pos="8306"/>
      </w:tabs>
      <w:snapToGrid w:val="0"/>
      <w:jc w:val="left"/>
    </w:pPr>
    <w:rPr>
      <w:sz w:val="18"/>
    </w:rPr>
  </w:style>
  <w:style w:type="paragraph" w:customStyle="1" w:styleId="105">
    <w:name w:val="页眉 New New New New New New"/>
    <w:basedOn w:val="84"/>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6">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页眉 New New"/>
    <w:basedOn w:val="64"/>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8">
    <w:name w:val="页眉 New"/>
    <w:basedOn w:val="10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9">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页脚 New"/>
    <w:basedOn w:val="109"/>
    <w:autoRedefine/>
    <w:qFormat/>
    <w:uiPriority w:val="0"/>
    <w:pPr>
      <w:tabs>
        <w:tab w:val="center" w:pos="4153"/>
        <w:tab w:val="right" w:pos="8306"/>
      </w:tabs>
      <w:snapToGrid w:val="0"/>
      <w:jc w:val="left"/>
    </w:pPr>
    <w:rPr>
      <w:sz w:val="18"/>
      <w:szCs w:val="18"/>
    </w:rPr>
  </w:style>
  <w:style w:type="paragraph" w:customStyle="1" w:styleId="112">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3">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4">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5">
    <w:name w:val="页脚 New New New"/>
    <w:basedOn w:val="69"/>
    <w:autoRedefine/>
    <w:qFormat/>
    <w:uiPriority w:val="0"/>
    <w:pPr>
      <w:tabs>
        <w:tab w:val="center" w:pos="4153"/>
        <w:tab w:val="right" w:pos="8306"/>
      </w:tabs>
      <w:snapToGrid w:val="0"/>
      <w:jc w:val="left"/>
    </w:pPr>
    <w:rPr>
      <w:sz w:val="18"/>
      <w:szCs w:val="18"/>
    </w:rPr>
  </w:style>
  <w:style w:type="paragraph" w:customStyle="1" w:styleId="116">
    <w:name w:val="页眉 New New New New"/>
    <w:basedOn w:val="67"/>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7">
    <w:name w:val="纯文本 New"/>
    <w:basedOn w:val="64"/>
    <w:autoRedefine/>
    <w:qFormat/>
    <w:uiPriority w:val="0"/>
    <w:rPr>
      <w:rFonts w:ascii="宋体" w:hAnsi="Courier New"/>
      <w:szCs w:val="24"/>
    </w:rPr>
  </w:style>
  <w:style w:type="paragraph" w:customStyle="1" w:styleId="118">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9">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页脚 New New New New New New New New New New New New"/>
    <w:basedOn w:val="124"/>
    <w:autoRedefine/>
    <w:qFormat/>
    <w:uiPriority w:val="0"/>
    <w:pPr>
      <w:tabs>
        <w:tab w:val="center" w:pos="4153"/>
        <w:tab w:val="right" w:pos="8306"/>
      </w:tabs>
      <w:snapToGrid w:val="0"/>
      <w:jc w:val="left"/>
    </w:pPr>
    <w:rPr>
      <w:sz w:val="18"/>
      <w:szCs w:val="18"/>
    </w:rPr>
  </w:style>
  <w:style w:type="paragraph" w:customStyle="1" w:styleId="124">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5">
    <w:name w:val="目录 31"/>
    <w:basedOn w:val="70"/>
    <w:next w:val="70"/>
    <w:autoRedefine/>
    <w:qFormat/>
    <w:uiPriority w:val="0"/>
    <w:pPr>
      <w:ind w:left="561"/>
      <w:jc w:val="left"/>
    </w:pPr>
  </w:style>
  <w:style w:type="paragraph" w:customStyle="1" w:styleId="126">
    <w:name w:val="p0"/>
    <w:basedOn w:val="63"/>
    <w:autoRedefine/>
    <w:qFormat/>
    <w:uiPriority w:val="0"/>
    <w:pPr>
      <w:widowControl/>
      <w:spacing w:line="360" w:lineRule="auto"/>
    </w:pPr>
    <w:rPr>
      <w:rFonts w:ascii="宋体" w:hAnsi="宋体" w:cs="宋体"/>
      <w:kern w:val="0"/>
      <w:sz w:val="24"/>
      <w:szCs w:val="24"/>
    </w:rPr>
  </w:style>
  <w:style w:type="paragraph" w:customStyle="1" w:styleId="127">
    <w:name w:val="页眉 New New New New New New New"/>
    <w:basedOn w:val="92"/>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8">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0">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1">
    <w:name w:val="标题 2 New"/>
    <w:basedOn w:val="90"/>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2">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3">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4">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5">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6">
    <w:name w:val="正文文本缩进 New New New New"/>
    <w:basedOn w:val="129"/>
    <w:autoRedefine/>
    <w:qFormat/>
    <w:uiPriority w:val="0"/>
    <w:pPr>
      <w:ind w:firstLine="560" w:firstLineChars="200"/>
    </w:pPr>
    <w:rPr>
      <w:szCs w:val="28"/>
    </w:rPr>
  </w:style>
  <w:style w:type="paragraph" w:customStyle="1" w:styleId="137">
    <w:name w:val="页脚 New New New New New New New"/>
    <w:basedOn w:val="84"/>
    <w:autoRedefine/>
    <w:qFormat/>
    <w:uiPriority w:val="0"/>
    <w:pPr>
      <w:widowControl/>
      <w:tabs>
        <w:tab w:val="center" w:pos="4153"/>
        <w:tab w:val="right" w:pos="8306"/>
      </w:tabs>
      <w:snapToGrid w:val="0"/>
      <w:jc w:val="left"/>
    </w:pPr>
    <w:rPr>
      <w:kern w:val="0"/>
      <w:sz w:val="18"/>
      <w:szCs w:val="20"/>
    </w:rPr>
  </w:style>
  <w:style w:type="paragraph" w:customStyle="1" w:styleId="138">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页脚 New New New New New New New New New"/>
    <w:basedOn w:val="83"/>
    <w:autoRedefine/>
    <w:qFormat/>
    <w:uiPriority w:val="0"/>
    <w:pPr>
      <w:tabs>
        <w:tab w:val="center" w:pos="4153"/>
        <w:tab w:val="right" w:pos="8306"/>
      </w:tabs>
      <w:snapToGrid w:val="0"/>
      <w:jc w:val="left"/>
    </w:pPr>
    <w:rPr>
      <w:sz w:val="18"/>
      <w:szCs w:val="18"/>
    </w:rPr>
  </w:style>
  <w:style w:type="paragraph" w:customStyle="1" w:styleId="140">
    <w:name w:val="页脚 New New"/>
    <w:basedOn w:val="64"/>
    <w:autoRedefine/>
    <w:qFormat/>
    <w:uiPriority w:val="0"/>
    <w:pPr>
      <w:tabs>
        <w:tab w:val="center" w:pos="4153"/>
        <w:tab w:val="right" w:pos="8306"/>
      </w:tabs>
      <w:snapToGrid w:val="0"/>
      <w:jc w:val="left"/>
    </w:pPr>
    <w:rPr>
      <w:sz w:val="18"/>
      <w:szCs w:val="18"/>
    </w:rPr>
  </w:style>
  <w:style w:type="paragraph" w:customStyle="1" w:styleId="141">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2">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3">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4">
    <w:name w:val="样式1"/>
    <w:basedOn w:val="2"/>
    <w:autoRedefine/>
    <w:qFormat/>
    <w:uiPriority w:val="0"/>
    <w:pPr>
      <w:tabs>
        <w:tab w:val="right" w:leader="dot" w:pos="9345"/>
      </w:tabs>
    </w:pPr>
    <w:rPr>
      <w:rFonts w:ascii="宋体" w:hAnsi="宋体"/>
      <w:b/>
      <w:caps/>
      <w:u w:val="single"/>
    </w:rPr>
  </w:style>
  <w:style w:type="paragraph" w:customStyle="1" w:styleId="145">
    <w:name w:val="页眉 New New New"/>
    <w:basedOn w:val="69"/>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6">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7">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8">
    <w:name w:val="正文正"/>
    <w:basedOn w:val="1"/>
    <w:autoRedefine/>
    <w:qFormat/>
    <w:uiPriority w:val="0"/>
    <w:pPr>
      <w:spacing w:line="560" w:lineRule="exact"/>
      <w:ind w:firstLine="561"/>
    </w:pPr>
    <w:rPr>
      <w:rFonts w:ascii="Calibri" w:hAnsi="Calibri"/>
      <w:sz w:val="28"/>
      <w:szCs w:val="28"/>
    </w:rPr>
  </w:style>
  <w:style w:type="paragraph" w:customStyle="1" w:styleId="149">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50">
    <w:name w:val="标题 2 New New"/>
    <w:basedOn w:val="119"/>
    <w:next w:val="119"/>
    <w:autoRedefine/>
    <w:qFormat/>
    <w:uiPriority w:val="0"/>
    <w:pPr>
      <w:autoSpaceDE w:val="0"/>
      <w:autoSpaceDN w:val="0"/>
      <w:adjustRightInd w:val="0"/>
      <w:jc w:val="left"/>
      <w:outlineLvl w:val="1"/>
    </w:pPr>
    <w:rPr>
      <w:kern w:val="0"/>
      <w:sz w:val="24"/>
    </w:rPr>
  </w:style>
  <w:style w:type="paragraph" w:customStyle="1" w:styleId="151">
    <w:name w:val="标题 1 New"/>
    <w:basedOn w:val="119"/>
    <w:next w:val="119"/>
    <w:autoRedefine/>
    <w:qFormat/>
    <w:uiPriority w:val="0"/>
    <w:pPr>
      <w:autoSpaceDE w:val="0"/>
      <w:autoSpaceDN w:val="0"/>
      <w:adjustRightInd w:val="0"/>
      <w:jc w:val="left"/>
      <w:outlineLvl w:val="0"/>
    </w:pPr>
    <w:rPr>
      <w:kern w:val="0"/>
      <w:sz w:val="30"/>
    </w:rPr>
  </w:style>
  <w:style w:type="paragraph" w:customStyle="1" w:styleId="152">
    <w:name w:val="WPSOffice手动目录 1"/>
    <w:autoRedefine/>
    <w:qFormat/>
    <w:uiPriority w:val="0"/>
    <w:rPr>
      <w:rFonts w:ascii="Times New Roman" w:hAnsi="Times New Roman" w:eastAsia="宋体" w:cs="Times New Roman"/>
      <w:lang w:val="en-US" w:eastAsia="zh-CN" w:bidi="ar-SA"/>
    </w:rPr>
  </w:style>
  <w:style w:type="paragraph" w:customStyle="1" w:styleId="153">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4">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5">
    <w:name w:val="正文缩进1"/>
    <w:basedOn w:val="1"/>
    <w:autoRedefine/>
    <w:qFormat/>
    <w:uiPriority w:val="0"/>
    <w:pPr>
      <w:widowControl/>
      <w:ind w:firstLine="420"/>
      <w:jc w:val="left"/>
    </w:pPr>
    <w:rPr>
      <w:kern w:val="0"/>
    </w:rPr>
  </w:style>
  <w:style w:type="character" w:styleId="156">
    <w:name w:val="Placeholder Text"/>
    <w:basedOn w:val="33"/>
    <w:semiHidden/>
    <w:qFormat/>
    <w:uiPriority w:val="99"/>
    <w:rPr>
      <w:color w:val="808080"/>
    </w:rPr>
  </w:style>
  <w:style w:type="paragraph" w:customStyle="1" w:styleId="157">
    <w:name w:val="正文文本1"/>
    <w:basedOn w:val="1"/>
    <w:qFormat/>
    <w:uiPriority w:val="0"/>
    <w:pPr>
      <w:spacing w:after="120"/>
    </w:pPr>
  </w:style>
  <w:style w:type="character" w:customStyle="1" w:styleId="158">
    <w:name w:val="NormalCharacter"/>
    <w:qFormat/>
    <w:uiPriority w:val="99"/>
  </w:style>
  <w:style w:type="paragraph" w:customStyle="1" w:styleId="159">
    <w:name w:val="UserStyle_76"/>
    <w:basedOn w:val="160"/>
    <w:qFormat/>
    <w:uiPriority w:val="99"/>
    <w:pPr>
      <w:ind w:firstLine="420"/>
      <w:jc w:val="left"/>
    </w:pPr>
    <w:rPr>
      <w:kern w:val="0"/>
      <w:sz w:val="20"/>
      <w:szCs w:val="20"/>
    </w:rPr>
  </w:style>
  <w:style w:type="paragraph" w:customStyle="1" w:styleId="160">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161">
    <w:name w:val="标题 2 字符"/>
    <w:link w:val="4"/>
    <w:qFormat/>
    <w:uiPriority w:val="0"/>
    <w:rPr>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74</Pages>
  <Words>9055</Words>
  <Characters>10154</Characters>
  <Lines>1</Lines>
  <Paragraphs>1</Paragraphs>
  <TotalTime>45</TotalTime>
  <ScaleCrop>false</ScaleCrop>
  <LinksUpToDate>false</LinksUpToDate>
  <CharactersWithSpaces>10391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（翁源）汇龙工程咨询13380720065</cp:lastModifiedBy>
  <cp:lastPrinted>2026-03-26T06:20:00Z</cp:lastPrinted>
  <dcterms:modified xsi:type="dcterms:W3CDTF">2026-07-24T01:47:11Z</dcterms:modified>
  <dc:title>广东省韶关学院第三期学生公寓第一、二组团工程施工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ribbonExt">
    <vt:lpwstr>{"WPSExtOfficeTab":{"OnGetEnabled":false,"OnGetVisible":false}}</vt:lpwstr>
  </property>
  <property fmtid="{D5CDD505-2E9C-101B-9397-08002B2CF9AE}" pid="4" name="ICV">
    <vt:lpwstr>A3E6912C2F7E4939B1D347CE391FBF01_13</vt:lpwstr>
  </property>
  <property fmtid="{D5CDD505-2E9C-101B-9397-08002B2CF9AE}" pid="5" name="KSOTemplateDocerSaveRecord">
    <vt:lpwstr>eyJoZGlkIjoiNTNhYTZkNmVjNGViN2E2OTdmNjI2MWYwZTU2MThkNTgiLCJ1c2VySWQiOiIxNzc3NTIyMTE5In0=</vt:lpwstr>
  </property>
</Properties>
</file>