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F767E">
      <w:pPr>
        <w:pStyle w:val="6"/>
        <w:keepNext w:val="0"/>
        <w:keepLines w:val="0"/>
        <w:pageBreakBefore w:val="0"/>
        <w:wordWrap w:val="0"/>
        <w:overflowPunct/>
        <w:topLinePunct w:val="0"/>
        <w:bidi w:val="0"/>
        <w:spacing w:line="241" w:lineRule="auto"/>
        <w:rPr>
          <w:rFonts w:hint="eastAsia" w:ascii="宋体" w:hAnsi="宋体" w:eastAsia="宋体" w:cs="宋体"/>
          <w:color w:val="auto"/>
          <w:spacing w:val="0"/>
          <w:highlight w:val="none"/>
        </w:rPr>
      </w:pPr>
    </w:p>
    <w:p w14:paraId="5E0167AB">
      <w:pPr>
        <w:keepNext w:val="0"/>
        <w:keepLines w:val="0"/>
        <w:pageBreakBefore w:val="0"/>
        <w:wordWrap w:val="0"/>
        <w:overflowPunct/>
        <w:topLinePunct w:val="0"/>
        <w:bidi w:val="0"/>
        <w:rPr>
          <w:rFonts w:hint="eastAsia" w:ascii="宋体" w:hAnsi="宋体" w:eastAsia="宋体" w:cs="宋体"/>
          <w:color w:val="auto"/>
          <w:spacing w:val="0"/>
          <w:highlight w:val="none"/>
          <w:lang w:val="en-US" w:eastAsia="zh-CN"/>
        </w:rPr>
        <w:sectPr>
          <w:headerReference r:id="rId3"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r>
        <w:drawing>
          <wp:inline distT="0" distB="0" distL="114300" distR="114300">
            <wp:extent cx="6234430" cy="8635365"/>
            <wp:effectExtent l="0" t="0" r="13970" b="13335"/>
            <wp:docPr id="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4"/>
                    <pic:cNvPicPr>
                      <a:picLocks noChangeAspect="1"/>
                    </pic:cNvPicPr>
                  </pic:nvPicPr>
                  <pic:blipFill>
                    <a:blip r:embed="rId27"/>
                    <a:stretch>
                      <a:fillRect/>
                    </a:stretch>
                  </pic:blipFill>
                  <pic:spPr>
                    <a:xfrm>
                      <a:off x="0" y="0"/>
                      <a:ext cx="6234430" cy="8635365"/>
                    </a:xfrm>
                    <a:prstGeom prst="rect">
                      <a:avLst/>
                    </a:prstGeom>
                    <a:noFill/>
                    <a:ln>
                      <a:noFill/>
                    </a:ln>
                  </pic:spPr>
                </pic:pic>
              </a:graphicData>
            </a:graphic>
          </wp:inline>
        </w:drawing>
      </w:r>
    </w:p>
    <w:p w14:paraId="018A4953">
      <w:pPr>
        <w:keepNext w:val="0"/>
        <w:keepLines w:val="0"/>
        <w:pageBreakBefore w:val="0"/>
        <w:wordWrap w:val="0"/>
        <w:overflowPunct/>
        <w:topLinePunct w:val="0"/>
        <w:bidi w:val="0"/>
        <w:rPr>
          <w:rFonts w:hint="eastAsia" w:ascii="宋体" w:hAnsi="宋体" w:eastAsia="宋体" w:cs="宋体"/>
          <w:color w:val="auto"/>
          <w:spacing w:val="0"/>
          <w:highlight w:val="none"/>
        </w:rPr>
      </w:pPr>
    </w:p>
    <w:p w14:paraId="3363FA0C">
      <w:pPr>
        <w:keepNext w:val="0"/>
        <w:keepLines w:val="0"/>
        <w:pageBreakBefore w:val="0"/>
        <w:wordWrap w:val="0"/>
        <w:overflowPunct/>
        <w:topLinePunct w:val="0"/>
        <w:bidi w:val="0"/>
        <w:jc w:val="center"/>
        <w:rPr>
          <w:rFonts w:hint="eastAsia" w:ascii="宋体" w:hAnsi="宋体" w:eastAsia="宋体" w:cs="宋体"/>
          <w:b/>
          <w:bCs/>
          <w:color w:val="auto"/>
          <w:spacing w:val="0"/>
          <w:sz w:val="28"/>
          <w:szCs w:val="28"/>
          <w:highlight w:val="none"/>
        </w:rPr>
      </w:pPr>
      <w:r>
        <w:rPr>
          <w:rFonts w:hint="eastAsia" w:ascii="宋体" w:hAnsi="宋体" w:eastAsia="宋体" w:cs="宋体"/>
          <w:b/>
          <w:bCs/>
          <w:color w:val="auto"/>
          <w:spacing w:val="0"/>
          <w:sz w:val="28"/>
          <w:szCs w:val="28"/>
          <w:highlight w:val="none"/>
        </w:rPr>
        <w:t>目录</w:t>
      </w:r>
    </w:p>
    <w:p w14:paraId="09BFBC49">
      <w:pPr>
        <w:pStyle w:val="10"/>
        <w:tabs>
          <w:tab w:val="right" w:leader="dot" w:pos="9746"/>
        </w:tabs>
        <w:rPr>
          <w:highlight w:val="none"/>
        </w:rPr>
      </w:pPr>
      <w:r>
        <w:rPr>
          <w:rFonts w:hint="eastAsia" w:ascii="宋体" w:hAnsi="宋体" w:eastAsia="宋体" w:cs="宋体"/>
          <w:color w:val="auto"/>
          <w:spacing w:val="0"/>
          <w:sz w:val="24"/>
          <w:szCs w:val="24"/>
          <w:highlight w:val="none"/>
        </w:rPr>
        <w:fldChar w:fldCharType="begin"/>
      </w:r>
      <w:r>
        <w:rPr>
          <w:rFonts w:hint="eastAsia" w:ascii="宋体" w:hAnsi="宋体" w:eastAsia="宋体" w:cs="宋体"/>
          <w:color w:val="auto"/>
          <w:spacing w:val="0"/>
          <w:sz w:val="24"/>
          <w:szCs w:val="24"/>
          <w:highlight w:val="none"/>
        </w:rPr>
        <w:instrText xml:space="preserve">TOC \o "1-3" \h \u </w:instrText>
      </w:r>
      <w:r>
        <w:rPr>
          <w:rFonts w:hint="eastAsia" w:ascii="宋体" w:hAnsi="宋体" w:eastAsia="宋体" w:cs="宋体"/>
          <w:color w:val="auto"/>
          <w:spacing w:val="0"/>
          <w:sz w:val="24"/>
          <w:szCs w:val="24"/>
          <w:highlight w:val="none"/>
        </w:rPr>
        <w:fldChar w:fldCharType="separate"/>
      </w: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_Toc10235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第一章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投标人须知</w:t>
      </w:r>
      <w:r>
        <w:rPr>
          <w:highlight w:val="none"/>
        </w:rPr>
        <w:tab/>
      </w:r>
      <w:r>
        <w:rPr>
          <w:highlight w:val="none"/>
        </w:rPr>
        <w:fldChar w:fldCharType="begin"/>
      </w:r>
      <w:r>
        <w:rPr>
          <w:highlight w:val="none"/>
        </w:rPr>
        <w:instrText xml:space="preserve"> PAGEREF _Toc10235 \h </w:instrText>
      </w:r>
      <w:r>
        <w:rPr>
          <w:highlight w:val="none"/>
        </w:rPr>
        <w:fldChar w:fldCharType="separate"/>
      </w:r>
      <w:r>
        <w:rPr>
          <w:highlight w:val="none"/>
        </w:rPr>
        <w:t>3</w:t>
      </w:r>
      <w:r>
        <w:rPr>
          <w:highlight w:val="none"/>
        </w:rPr>
        <w:fldChar w:fldCharType="end"/>
      </w:r>
      <w:r>
        <w:rPr>
          <w:rFonts w:hint="eastAsia" w:ascii="宋体" w:hAnsi="宋体" w:eastAsia="宋体" w:cs="宋体"/>
          <w:color w:val="auto"/>
          <w:spacing w:val="0"/>
          <w:szCs w:val="24"/>
          <w:highlight w:val="none"/>
        </w:rPr>
        <w:fldChar w:fldCharType="end"/>
      </w:r>
    </w:p>
    <w:p w14:paraId="0103427B">
      <w:pPr>
        <w:pStyle w:val="11"/>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_Toc384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第一节</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投标人须知前附表</w:t>
      </w:r>
      <w:r>
        <w:rPr>
          <w:highlight w:val="none"/>
        </w:rPr>
        <w:tab/>
      </w:r>
      <w:r>
        <w:rPr>
          <w:highlight w:val="none"/>
        </w:rPr>
        <w:fldChar w:fldCharType="begin"/>
      </w:r>
      <w:r>
        <w:rPr>
          <w:highlight w:val="none"/>
        </w:rPr>
        <w:instrText xml:space="preserve"> PAGEREF _Toc384 \h </w:instrText>
      </w:r>
      <w:r>
        <w:rPr>
          <w:highlight w:val="none"/>
        </w:rPr>
        <w:fldChar w:fldCharType="separate"/>
      </w:r>
      <w:r>
        <w:rPr>
          <w:highlight w:val="none"/>
        </w:rPr>
        <w:t>3</w:t>
      </w:r>
      <w:r>
        <w:rPr>
          <w:highlight w:val="none"/>
        </w:rPr>
        <w:fldChar w:fldCharType="end"/>
      </w:r>
      <w:r>
        <w:rPr>
          <w:rFonts w:hint="eastAsia" w:ascii="宋体" w:hAnsi="宋体" w:eastAsia="宋体" w:cs="宋体"/>
          <w:color w:val="auto"/>
          <w:spacing w:val="0"/>
          <w:szCs w:val="24"/>
          <w:highlight w:val="none"/>
        </w:rPr>
        <w:fldChar w:fldCharType="end"/>
      </w:r>
    </w:p>
    <w:p w14:paraId="2AC7383D">
      <w:pPr>
        <w:pStyle w:val="11"/>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_Toc20130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第二节 重要事项时间地点一览表</w:t>
      </w:r>
      <w:r>
        <w:rPr>
          <w:highlight w:val="none"/>
        </w:rPr>
        <w:tab/>
      </w:r>
      <w:r>
        <w:rPr>
          <w:highlight w:val="none"/>
        </w:rPr>
        <w:fldChar w:fldCharType="begin"/>
      </w:r>
      <w:r>
        <w:rPr>
          <w:highlight w:val="none"/>
        </w:rPr>
        <w:instrText xml:space="preserve"> PAGEREF _Toc20130 \h </w:instrText>
      </w:r>
      <w:r>
        <w:rPr>
          <w:highlight w:val="none"/>
        </w:rPr>
        <w:fldChar w:fldCharType="separate"/>
      </w:r>
      <w:r>
        <w:rPr>
          <w:highlight w:val="none"/>
        </w:rPr>
        <w:t>9</w:t>
      </w:r>
      <w:r>
        <w:rPr>
          <w:highlight w:val="none"/>
        </w:rPr>
        <w:fldChar w:fldCharType="end"/>
      </w:r>
      <w:r>
        <w:rPr>
          <w:rFonts w:hint="eastAsia" w:ascii="宋体" w:hAnsi="宋体" w:eastAsia="宋体" w:cs="宋体"/>
          <w:color w:val="auto"/>
          <w:spacing w:val="0"/>
          <w:szCs w:val="24"/>
          <w:highlight w:val="none"/>
        </w:rPr>
        <w:fldChar w:fldCharType="end"/>
      </w:r>
    </w:p>
    <w:p w14:paraId="4F1A5C24">
      <w:pPr>
        <w:pStyle w:val="11"/>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_Toc670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第三节</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投标人须知正文</w:t>
      </w:r>
      <w:r>
        <w:rPr>
          <w:highlight w:val="none"/>
        </w:rPr>
        <w:tab/>
      </w:r>
      <w:r>
        <w:rPr>
          <w:highlight w:val="none"/>
        </w:rPr>
        <w:fldChar w:fldCharType="begin"/>
      </w:r>
      <w:r>
        <w:rPr>
          <w:highlight w:val="none"/>
        </w:rPr>
        <w:instrText xml:space="preserve"> PAGEREF _Toc670 \h </w:instrText>
      </w:r>
      <w:r>
        <w:rPr>
          <w:highlight w:val="none"/>
        </w:rPr>
        <w:fldChar w:fldCharType="separate"/>
      </w:r>
      <w:r>
        <w:rPr>
          <w:highlight w:val="none"/>
        </w:rPr>
        <w:t>10</w:t>
      </w:r>
      <w:r>
        <w:rPr>
          <w:highlight w:val="none"/>
        </w:rPr>
        <w:fldChar w:fldCharType="end"/>
      </w:r>
      <w:r>
        <w:rPr>
          <w:rFonts w:hint="eastAsia" w:ascii="宋体" w:hAnsi="宋体" w:eastAsia="宋体" w:cs="宋体"/>
          <w:color w:val="auto"/>
          <w:spacing w:val="0"/>
          <w:szCs w:val="24"/>
          <w:highlight w:val="none"/>
        </w:rPr>
        <w:fldChar w:fldCharType="end"/>
      </w:r>
    </w:p>
    <w:p w14:paraId="4C001C05">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_Toc23346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 ．项目概况、招标范围和标段划分、投标费用等</w:t>
      </w:r>
      <w:r>
        <w:rPr>
          <w:highlight w:val="none"/>
        </w:rPr>
        <w:tab/>
      </w:r>
      <w:r>
        <w:rPr>
          <w:highlight w:val="none"/>
        </w:rPr>
        <w:fldChar w:fldCharType="begin"/>
      </w:r>
      <w:r>
        <w:rPr>
          <w:highlight w:val="none"/>
        </w:rPr>
        <w:instrText xml:space="preserve"> PAGEREF _Toc23346 \h </w:instrText>
      </w:r>
      <w:r>
        <w:rPr>
          <w:highlight w:val="none"/>
        </w:rPr>
        <w:fldChar w:fldCharType="separate"/>
      </w:r>
      <w:r>
        <w:rPr>
          <w:highlight w:val="none"/>
        </w:rPr>
        <w:t>10</w:t>
      </w:r>
      <w:r>
        <w:rPr>
          <w:highlight w:val="none"/>
        </w:rPr>
        <w:fldChar w:fldCharType="end"/>
      </w:r>
      <w:r>
        <w:rPr>
          <w:rFonts w:hint="eastAsia" w:ascii="宋体" w:hAnsi="宋体" w:eastAsia="宋体" w:cs="宋体"/>
          <w:color w:val="auto"/>
          <w:spacing w:val="0"/>
          <w:szCs w:val="24"/>
          <w:highlight w:val="none"/>
        </w:rPr>
        <w:fldChar w:fldCharType="end"/>
      </w:r>
    </w:p>
    <w:p w14:paraId="0F80B026">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_Toc24520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2．</w:t>
      </w:r>
      <w:r>
        <w:rPr>
          <w:rFonts w:hint="eastAsia" w:ascii="宋体" w:hAnsi="宋体" w:eastAsia="宋体" w:cs="宋体"/>
          <w:bCs/>
          <w:spacing w:val="0"/>
          <w:szCs w:val="24"/>
          <w:highlight w:val="none"/>
          <w:lang w:eastAsia="zh-CN"/>
        </w:rPr>
        <w:t>投标人</w:t>
      </w:r>
      <w:r>
        <w:rPr>
          <w:rFonts w:hint="eastAsia" w:ascii="宋体" w:hAnsi="宋体" w:eastAsia="宋体" w:cs="宋体"/>
          <w:bCs/>
          <w:spacing w:val="0"/>
          <w:szCs w:val="24"/>
          <w:highlight w:val="none"/>
        </w:rPr>
        <w:t>资质要求</w:t>
      </w:r>
      <w:r>
        <w:rPr>
          <w:highlight w:val="none"/>
        </w:rPr>
        <w:tab/>
      </w:r>
      <w:r>
        <w:rPr>
          <w:highlight w:val="none"/>
        </w:rPr>
        <w:fldChar w:fldCharType="begin"/>
      </w:r>
      <w:r>
        <w:rPr>
          <w:highlight w:val="none"/>
        </w:rPr>
        <w:instrText xml:space="preserve"> PAGEREF _Toc24520 \h </w:instrText>
      </w:r>
      <w:r>
        <w:rPr>
          <w:highlight w:val="none"/>
        </w:rPr>
        <w:fldChar w:fldCharType="separate"/>
      </w:r>
      <w:r>
        <w:rPr>
          <w:highlight w:val="none"/>
        </w:rPr>
        <w:t>10</w:t>
      </w:r>
      <w:r>
        <w:rPr>
          <w:highlight w:val="none"/>
        </w:rPr>
        <w:fldChar w:fldCharType="end"/>
      </w:r>
      <w:r>
        <w:rPr>
          <w:rFonts w:hint="eastAsia" w:ascii="宋体" w:hAnsi="宋体" w:eastAsia="宋体" w:cs="宋体"/>
          <w:color w:val="auto"/>
          <w:spacing w:val="0"/>
          <w:szCs w:val="24"/>
          <w:highlight w:val="none"/>
        </w:rPr>
        <w:fldChar w:fldCharType="end"/>
      </w:r>
    </w:p>
    <w:p w14:paraId="65CA276D">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_Toc9027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3．招标文件的获取</w:t>
      </w:r>
      <w:r>
        <w:rPr>
          <w:highlight w:val="none"/>
        </w:rPr>
        <w:tab/>
      </w:r>
      <w:r>
        <w:rPr>
          <w:highlight w:val="none"/>
        </w:rPr>
        <w:fldChar w:fldCharType="begin"/>
      </w:r>
      <w:r>
        <w:rPr>
          <w:highlight w:val="none"/>
        </w:rPr>
        <w:instrText xml:space="preserve"> PAGEREF _Toc9027 \h </w:instrText>
      </w:r>
      <w:r>
        <w:rPr>
          <w:highlight w:val="none"/>
        </w:rPr>
        <w:fldChar w:fldCharType="separate"/>
      </w:r>
      <w:r>
        <w:rPr>
          <w:highlight w:val="none"/>
        </w:rPr>
        <w:t>12</w:t>
      </w:r>
      <w:r>
        <w:rPr>
          <w:highlight w:val="none"/>
        </w:rPr>
        <w:fldChar w:fldCharType="end"/>
      </w:r>
      <w:r>
        <w:rPr>
          <w:rFonts w:hint="eastAsia" w:ascii="宋体" w:hAnsi="宋体" w:eastAsia="宋体" w:cs="宋体"/>
          <w:color w:val="auto"/>
          <w:spacing w:val="0"/>
          <w:szCs w:val="24"/>
          <w:highlight w:val="none"/>
        </w:rPr>
        <w:fldChar w:fldCharType="end"/>
      </w:r>
    </w:p>
    <w:p w14:paraId="186B1F4D">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_Toc12428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4</w:t>
      </w:r>
      <w:r>
        <w:rPr>
          <w:rFonts w:hint="eastAsia" w:ascii="宋体" w:hAnsi="宋体" w:eastAsia="宋体" w:cs="宋体"/>
          <w:bCs/>
          <w:spacing w:val="0"/>
          <w:szCs w:val="24"/>
          <w:highlight w:val="none"/>
          <w:lang w:val="en-US" w:eastAsia="zh-CN"/>
        </w:rPr>
        <w:t xml:space="preserve"> </w:t>
      </w:r>
      <w:r>
        <w:rPr>
          <w:rFonts w:hint="eastAsia" w:ascii="宋体" w:hAnsi="宋体" w:eastAsia="宋体" w:cs="宋体"/>
          <w:bCs/>
          <w:spacing w:val="0"/>
          <w:szCs w:val="24"/>
          <w:highlight w:val="none"/>
        </w:rPr>
        <w:t>．工期要求</w:t>
      </w:r>
      <w:r>
        <w:rPr>
          <w:highlight w:val="none"/>
        </w:rPr>
        <w:tab/>
      </w:r>
      <w:r>
        <w:rPr>
          <w:highlight w:val="none"/>
        </w:rPr>
        <w:fldChar w:fldCharType="begin"/>
      </w:r>
      <w:r>
        <w:rPr>
          <w:highlight w:val="none"/>
        </w:rPr>
        <w:instrText xml:space="preserve"> PAGEREF _Toc12428 \h </w:instrText>
      </w:r>
      <w:r>
        <w:rPr>
          <w:highlight w:val="none"/>
        </w:rPr>
        <w:fldChar w:fldCharType="separate"/>
      </w:r>
      <w:r>
        <w:rPr>
          <w:highlight w:val="none"/>
        </w:rPr>
        <w:t>14</w:t>
      </w:r>
      <w:r>
        <w:rPr>
          <w:highlight w:val="none"/>
        </w:rPr>
        <w:fldChar w:fldCharType="end"/>
      </w:r>
      <w:r>
        <w:rPr>
          <w:rFonts w:hint="eastAsia" w:ascii="宋体" w:hAnsi="宋体" w:eastAsia="宋体" w:cs="宋体"/>
          <w:color w:val="auto"/>
          <w:spacing w:val="0"/>
          <w:szCs w:val="24"/>
          <w:highlight w:val="none"/>
        </w:rPr>
        <w:fldChar w:fldCharType="end"/>
      </w:r>
    </w:p>
    <w:p w14:paraId="35AFE3B7">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_Toc24366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5</w:t>
      </w:r>
      <w:r>
        <w:rPr>
          <w:rFonts w:hint="eastAsia" w:ascii="宋体" w:hAnsi="宋体" w:eastAsia="宋体" w:cs="宋体"/>
          <w:bCs/>
          <w:spacing w:val="0"/>
          <w:szCs w:val="24"/>
          <w:highlight w:val="none"/>
          <w:lang w:val="en-US" w:eastAsia="zh-CN"/>
        </w:rPr>
        <w:t xml:space="preserve"> </w:t>
      </w:r>
      <w:r>
        <w:rPr>
          <w:rFonts w:hint="eastAsia" w:ascii="宋体" w:hAnsi="宋体" w:eastAsia="宋体" w:cs="宋体"/>
          <w:bCs/>
          <w:spacing w:val="0"/>
          <w:szCs w:val="24"/>
          <w:highlight w:val="none"/>
        </w:rPr>
        <w:t>．质量标准和材料、机械要求</w:t>
      </w:r>
      <w:r>
        <w:rPr>
          <w:highlight w:val="none"/>
        </w:rPr>
        <w:tab/>
      </w:r>
      <w:r>
        <w:rPr>
          <w:highlight w:val="none"/>
        </w:rPr>
        <w:fldChar w:fldCharType="begin"/>
      </w:r>
      <w:r>
        <w:rPr>
          <w:highlight w:val="none"/>
        </w:rPr>
        <w:instrText xml:space="preserve"> PAGEREF _Toc24366 \h </w:instrText>
      </w:r>
      <w:r>
        <w:rPr>
          <w:highlight w:val="none"/>
        </w:rPr>
        <w:fldChar w:fldCharType="separate"/>
      </w:r>
      <w:r>
        <w:rPr>
          <w:highlight w:val="none"/>
        </w:rPr>
        <w:t>14</w:t>
      </w:r>
      <w:r>
        <w:rPr>
          <w:highlight w:val="none"/>
        </w:rPr>
        <w:fldChar w:fldCharType="end"/>
      </w:r>
      <w:r>
        <w:rPr>
          <w:rFonts w:hint="eastAsia" w:ascii="宋体" w:hAnsi="宋体" w:eastAsia="宋体" w:cs="宋体"/>
          <w:color w:val="auto"/>
          <w:spacing w:val="0"/>
          <w:szCs w:val="24"/>
          <w:highlight w:val="none"/>
        </w:rPr>
        <w:fldChar w:fldCharType="end"/>
      </w:r>
    </w:p>
    <w:p w14:paraId="02AD4C52">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_Toc30402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6 ．施工条件及现场踏勘</w:t>
      </w:r>
      <w:r>
        <w:rPr>
          <w:highlight w:val="none"/>
        </w:rPr>
        <w:tab/>
      </w:r>
      <w:r>
        <w:rPr>
          <w:highlight w:val="none"/>
        </w:rPr>
        <w:fldChar w:fldCharType="begin"/>
      </w:r>
      <w:r>
        <w:rPr>
          <w:highlight w:val="none"/>
        </w:rPr>
        <w:instrText xml:space="preserve"> PAGEREF _Toc30402 \h </w:instrText>
      </w:r>
      <w:r>
        <w:rPr>
          <w:highlight w:val="none"/>
        </w:rPr>
        <w:fldChar w:fldCharType="separate"/>
      </w:r>
      <w:r>
        <w:rPr>
          <w:highlight w:val="none"/>
        </w:rPr>
        <w:t>15</w:t>
      </w:r>
      <w:r>
        <w:rPr>
          <w:highlight w:val="none"/>
        </w:rPr>
        <w:fldChar w:fldCharType="end"/>
      </w:r>
      <w:r>
        <w:rPr>
          <w:rFonts w:hint="eastAsia" w:ascii="宋体" w:hAnsi="宋体" w:eastAsia="宋体" w:cs="宋体"/>
          <w:color w:val="auto"/>
          <w:spacing w:val="0"/>
          <w:szCs w:val="24"/>
          <w:highlight w:val="none"/>
        </w:rPr>
        <w:fldChar w:fldCharType="end"/>
      </w:r>
    </w:p>
    <w:p w14:paraId="591FA6D7">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_Toc4298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7 ．招标文件的提问和答疑</w:t>
      </w:r>
      <w:r>
        <w:rPr>
          <w:highlight w:val="none"/>
        </w:rPr>
        <w:tab/>
      </w:r>
      <w:r>
        <w:rPr>
          <w:highlight w:val="none"/>
        </w:rPr>
        <w:fldChar w:fldCharType="begin"/>
      </w:r>
      <w:r>
        <w:rPr>
          <w:highlight w:val="none"/>
        </w:rPr>
        <w:instrText xml:space="preserve"> PAGEREF _Toc4298 \h </w:instrText>
      </w:r>
      <w:r>
        <w:rPr>
          <w:highlight w:val="none"/>
        </w:rPr>
        <w:fldChar w:fldCharType="separate"/>
      </w:r>
      <w:r>
        <w:rPr>
          <w:highlight w:val="none"/>
        </w:rPr>
        <w:t>15</w:t>
      </w:r>
      <w:r>
        <w:rPr>
          <w:highlight w:val="none"/>
        </w:rPr>
        <w:fldChar w:fldCharType="end"/>
      </w:r>
      <w:r>
        <w:rPr>
          <w:rFonts w:hint="eastAsia" w:ascii="宋体" w:hAnsi="宋体" w:eastAsia="宋体" w:cs="宋体"/>
          <w:color w:val="auto"/>
          <w:spacing w:val="0"/>
          <w:szCs w:val="24"/>
          <w:highlight w:val="none"/>
        </w:rPr>
        <w:fldChar w:fldCharType="end"/>
      </w:r>
    </w:p>
    <w:p w14:paraId="111D394A">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_Toc32468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8 ．</w:t>
      </w:r>
      <w:r>
        <w:rPr>
          <w:rFonts w:hint="eastAsia" w:ascii="宋体" w:hAnsi="宋体" w:eastAsia="宋体" w:cs="宋体"/>
          <w:bCs/>
          <w:spacing w:val="0"/>
          <w:szCs w:val="24"/>
          <w:highlight w:val="none"/>
          <w:lang w:val="en-US" w:eastAsia="zh-CN"/>
        </w:rPr>
        <w:t>最高投标限价</w:t>
      </w:r>
      <w:r>
        <w:rPr>
          <w:highlight w:val="none"/>
        </w:rPr>
        <w:tab/>
      </w:r>
      <w:r>
        <w:rPr>
          <w:highlight w:val="none"/>
        </w:rPr>
        <w:fldChar w:fldCharType="begin"/>
      </w:r>
      <w:r>
        <w:rPr>
          <w:highlight w:val="none"/>
        </w:rPr>
        <w:instrText xml:space="preserve"> PAGEREF _Toc32468 \h </w:instrText>
      </w:r>
      <w:r>
        <w:rPr>
          <w:highlight w:val="none"/>
        </w:rPr>
        <w:fldChar w:fldCharType="separate"/>
      </w:r>
      <w:r>
        <w:rPr>
          <w:highlight w:val="none"/>
        </w:rPr>
        <w:t>15</w:t>
      </w:r>
      <w:r>
        <w:rPr>
          <w:highlight w:val="none"/>
        </w:rPr>
        <w:fldChar w:fldCharType="end"/>
      </w:r>
      <w:r>
        <w:rPr>
          <w:rFonts w:hint="eastAsia" w:ascii="宋体" w:hAnsi="宋体" w:eastAsia="宋体" w:cs="宋体"/>
          <w:color w:val="auto"/>
          <w:spacing w:val="0"/>
          <w:szCs w:val="24"/>
          <w:highlight w:val="none"/>
        </w:rPr>
        <w:fldChar w:fldCharType="end"/>
      </w:r>
    </w:p>
    <w:p w14:paraId="26392A01">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_Toc9474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9 ．投标报价</w:t>
      </w:r>
      <w:r>
        <w:rPr>
          <w:highlight w:val="none"/>
        </w:rPr>
        <w:tab/>
      </w:r>
      <w:r>
        <w:rPr>
          <w:highlight w:val="none"/>
        </w:rPr>
        <w:fldChar w:fldCharType="begin"/>
      </w:r>
      <w:r>
        <w:rPr>
          <w:highlight w:val="none"/>
        </w:rPr>
        <w:instrText xml:space="preserve"> PAGEREF _Toc9474 \h </w:instrText>
      </w:r>
      <w:r>
        <w:rPr>
          <w:highlight w:val="none"/>
        </w:rPr>
        <w:fldChar w:fldCharType="separate"/>
      </w:r>
      <w:r>
        <w:rPr>
          <w:highlight w:val="none"/>
        </w:rPr>
        <w:t>17</w:t>
      </w:r>
      <w:r>
        <w:rPr>
          <w:highlight w:val="none"/>
        </w:rPr>
        <w:fldChar w:fldCharType="end"/>
      </w:r>
      <w:r>
        <w:rPr>
          <w:rFonts w:hint="eastAsia" w:ascii="宋体" w:hAnsi="宋体" w:eastAsia="宋体" w:cs="宋体"/>
          <w:color w:val="auto"/>
          <w:spacing w:val="0"/>
          <w:szCs w:val="24"/>
          <w:highlight w:val="none"/>
        </w:rPr>
        <w:fldChar w:fldCharType="end"/>
      </w:r>
    </w:p>
    <w:p w14:paraId="14686386">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_Toc13188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10 ．投标文件的编制要求</w:t>
      </w:r>
      <w:r>
        <w:rPr>
          <w:highlight w:val="none"/>
        </w:rPr>
        <w:tab/>
      </w:r>
      <w:r>
        <w:rPr>
          <w:highlight w:val="none"/>
        </w:rPr>
        <w:fldChar w:fldCharType="begin"/>
      </w:r>
      <w:r>
        <w:rPr>
          <w:highlight w:val="none"/>
        </w:rPr>
        <w:instrText xml:space="preserve"> PAGEREF _Toc13188 \h </w:instrText>
      </w:r>
      <w:r>
        <w:rPr>
          <w:highlight w:val="none"/>
        </w:rPr>
        <w:fldChar w:fldCharType="separate"/>
      </w:r>
      <w:r>
        <w:rPr>
          <w:highlight w:val="none"/>
        </w:rPr>
        <w:t>18</w:t>
      </w:r>
      <w:r>
        <w:rPr>
          <w:highlight w:val="none"/>
        </w:rPr>
        <w:fldChar w:fldCharType="end"/>
      </w:r>
      <w:r>
        <w:rPr>
          <w:rFonts w:hint="eastAsia" w:ascii="宋体" w:hAnsi="宋体" w:eastAsia="宋体" w:cs="宋体"/>
          <w:color w:val="auto"/>
          <w:spacing w:val="0"/>
          <w:szCs w:val="24"/>
          <w:highlight w:val="none"/>
        </w:rPr>
        <w:fldChar w:fldCharType="end"/>
      </w:r>
    </w:p>
    <w:p w14:paraId="5802A465">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_Toc20233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 xml:space="preserve">11. </w:t>
      </w:r>
      <w:r>
        <w:rPr>
          <w:rFonts w:hint="eastAsia" w:ascii="宋体" w:hAnsi="宋体" w:eastAsia="宋体" w:cs="宋体"/>
          <w:spacing w:val="0"/>
          <w:szCs w:val="24"/>
          <w:highlight w:val="none"/>
        </w:rPr>
        <w:t>电子投标：</w:t>
      </w:r>
      <w:r>
        <w:rPr>
          <w:highlight w:val="none"/>
        </w:rPr>
        <w:tab/>
      </w:r>
      <w:r>
        <w:rPr>
          <w:highlight w:val="none"/>
        </w:rPr>
        <w:fldChar w:fldCharType="begin"/>
      </w:r>
      <w:r>
        <w:rPr>
          <w:highlight w:val="none"/>
        </w:rPr>
        <w:instrText xml:space="preserve"> PAGEREF _Toc20233 \h </w:instrText>
      </w:r>
      <w:r>
        <w:rPr>
          <w:highlight w:val="none"/>
        </w:rPr>
        <w:fldChar w:fldCharType="separate"/>
      </w:r>
      <w:r>
        <w:rPr>
          <w:highlight w:val="none"/>
        </w:rPr>
        <w:t>22</w:t>
      </w:r>
      <w:r>
        <w:rPr>
          <w:highlight w:val="none"/>
        </w:rPr>
        <w:fldChar w:fldCharType="end"/>
      </w:r>
      <w:r>
        <w:rPr>
          <w:rFonts w:hint="eastAsia" w:ascii="宋体" w:hAnsi="宋体" w:eastAsia="宋体" w:cs="宋体"/>
          <w:color w:val="auto"/>
          <w:spacing w:val="0"/>
          <w:szCs w:val="24"/>
          <w:highlight w:val="none"/>
        </w:rPr>
        <w:fldChar w:fldCharType="end"/>
      </w:r>
    </w:p>
    <w:p w14:paraId="6B56A4AE">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_Toc2254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lang w:val="en-US" w:eastAsia="zh-CN"/>
        </w:rPr>
        <w:t>12.</w:t>
      </w:r>
      <w:r>
        <w:rPr>
          <w:rFonts w:hint="eastAsia" w:ascii="宋体" w:hAnsi="宋体" w:eastAsia="宋体" w:cs="宋体"/>
          <w:bCs/>
          <w:spacing w:val="0"/>
          <w:w w:val="101"/>
          <w:szCs w:val="24"/>
          <w:highlight w:val="none"/>
        </w:rPr>
        <w:t xml:space="preserve"> </w:t>
      </w:r>
      <w:r>
        <w:rPr>
          <w:rFonts w:hint="eastAsia" w:ascii="宋体" w:hAnsi="宋体" w:eastAsia="宋体" w:cs="宋体"/>
          <w:bCs/>
          <w:spacing w:val="0"/>
          <w:szCs w:val="24"/>
          <w:highlight w:val="none"/>
        </w:rPr>
        <w:t>电子投标及投标解密失败及突发情况的补救方案</w:t>
      </w:r>
      <w:r>
        <w:rPr>
          <w:highlight w:val="none"/>
        </w:rPr>
        <w:tab/>
      </w:r>
      <w:r>
        <w:rPr>
          <w:highlight w:val="none"/>
        </w:rPr>
        <w:fldChar w:fldCharType="begin"/>
      </w:r>
      <w:r>
        <w:rPr>
          <w:highlight w:val="none"/>
        </w:rPr>
        <w:instrText xml:space="preserve"> PAGEREF _Toc2254 \h </w:instrText>
      </w:r>
      <w:r>
        <w:rPr>
          <w:highlight w:val="none"/>
        </w:rPr>
        <w:fldChar w:fldCharType="separate"/>
      </w:r>
      <w:r>
        <w:rPr>
          <w:highlight w:val="none"/>
        </w:rPr>
        <w:t>22</w:t>
      </w:r>
      <w:r>
        <w:rPr>
          <w:highlight w:val="none"/>
        </w:rPr>
        <w:fldChar w:fldCharType="end"/>
      </w:r>
      <w:r>
        <w:rPr>
          <w:rFonts w:hint="eastAsia" w:ascii="宋体" w:hAnsi="宋体" w:eastAsia="宋体" w:cs="宋体"/>
          <w:color w:val="auto"/>
          <w:spacing w:val="0"/>
          <w:szCs w:val="24"/>
          <w:highlight w:val="none"/>
        </w:rPr>
        <w:fldChar w:fldCharType="end"/>
      </w:r>
    </w:p>
    <w:p w14:paraId="338345D8">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_Toc21046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13 ．投标文件的提交</w:t>
      </w:r>
      <w:r>
        <w:rPr>
          <w:highlight w:val="none"/>
        </w:rPr>
        <w:tab/>
      </w:r>
      <w:r>
        <w:rPr>
          <w:highlight w:val="none"/>
        </w:rPr>
        <w:fldChar w:fldCharType="begin"/>
      </w:r>
      <w:r>
        <w:rPr>
          <w:highlight w:val="none"/>
        </w:rPr>
        <w:instrText xml:space="preserve"> PAGEREF _Toc21046 \h </w:instrText>
      </w:r>
      <w:r>
        <w:rPr>
          <w:highlight w:val="none"/>
        </w:rPr>
        <w:fldChar w:fldCharType="separate"/>
      </w:r>
      <w:r>
        <w:rPr>
          <w:highlight w:val="none"/>
        </w:rPr>
        <w:t>23</w:t>
      </w:r>
      <w:r>
        <w:rPr>
          <w:highlight w:val="none"/>
        </w:rPr>
        <w:fldChar w:fldCharType="end"/>
      </w:r>
      <w:r>
        <w:rPr>
          <w:rFonts w:hint="eastAsia" w:ascii="宋体" w:hAnsi="宋体" w:eastAsia="宋体" w:cs="宋体"/>
          <w:color w:val="auto"/>
          <w:spacing w:val="0"/>
          <w:szCs w:val="24"/>
          <w:highlight w:val="none"/>
        </w:rPr>
        <w:fldChar w:fldCharType="end"/>
      </w:r>
    </w:p>
    <w:p w14:paraId="28CF1169">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_Toc32459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14 ．开标</w:t>
      </w:r>
      <w:r>
        <w:rPr>
          <w:highlight w:val="none"/>
        </w:rPr>
        <w:tab/>
      </w:r>
      <w:r>
        <w:rPr>
          <w:highlight w:val="none"/>
        </w:rPr>
        <w:fldChar w:fldCharType="begin"/>
      </w:r>
      <w:r>
        <w:rPr>
          <w:highlight w:val="none"/>
        </w:rPr>
        <w:instrText xml:space="preserve"> PAGEREF _Toc32459 \h </w:instrText>
      </w:r>
      <w:r>
        <w:rPr>
          <w:highlight w:val="none"/>
        </w:rPr>
        <w:fldChar w:fldCharType="separate"/>
      </w:r>
      <w:r>
        <w:rPr>
          <w:highlight w:val="none"/>
        </w:rPr>
        <w:t>23</w:t>
      </w:r>
      <w:r>
        <w:rPr>
          <w:highlight w:val="none"/>
        </w:rPr>
        <w:fldChar w:fldCharType="end"/>
      </w:r>
      <w:r>
        <w:rPr>
          <w:rFonts w:hint="eastAsia" w:ascii="宋体" w:hAnsi="宋体" w:eastAsia="宋体" w:cs="宋体"/>
          <w:color w:val="auto"/>
          <w:spacing w:val="0"/>
          <w:szCs w:val="24"/>
          <w:highlight w:val="none"/>
        </w:rPr>
        <w:fldChar w:fldCharType="end"/>
      </w:r>
    </w:p>
    <w:p w14:paraId="53002108">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_Toc22486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15 ．评标</w:t>
      </w:r>
      <w:r>
        <w:rPr>
          <w:highlight w:val="none"/>
        </w:rPr>
        <w:tab/>
      </w:r>
      <w:r>
        <w:rPr>
          <w:highlight w:val="none"/>
        </w:rPr>
        <w:fldChar w:fldCharType="begin"/>
      </w:r>
      <w:r>
        <w:rPr>
          <w:highlight w:val="none"/>
        </w:rPr>
        <w:instrText xml:space="preserve"> PAGEREF _Toc22486 \h </w:instrText>
      </w:r>
      <w:r>
        <w:rPr>
          <w:highlight w:val="none"/>
        </w:rPr>
        <w:fldChar w:fldCharType="separate"/>
      </w:r>
      <w:r>
        <w:rPr>
          <w:highlight w:val="none"/>
        </w:rPr>
        <w:t>25</w:t>
      </w:r>
      <w:r>
        <w:rPr>
          <w:highlight w:val="none"/>
        </w:rPr>
        <w:fldChar w:fldCharType="end"/>
      </w:r>
      <w:r>
        <w:rPr>
          <w:rFonts w:hint="eastAsia" w:ascii="宋体" w:hAnsi="宋体" w:eastAsia="宋体" w:cs="宋体"/>
          <w:color w:val="auto"/>
          <w:spacing w:val="0"/>
          <w:szCs w:val="24"/>
          <w:highlight w:val="none"/>
        </w:rPr>
        <w:fldChar w:fldCharType="end"/>
      </w:r>
    </w:p>
    <w:p w14:paraId="13749274">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_Toc1221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16 ．</w:t>
      </w:r>
      <w:r>
        <w:rPr>
          <w:rFonts w:hint="eastAsia" w:ascii="宋体" w:hAnsi="宋体" w:eastAsia="宋体" w:cs="宋体"/>
          <w:bCs/>
          <w:spacing w:val="0"/>
          <w:szCs w:val="24"/>
          <w:highlight w:val="none"/>
          <w:lang w:val="en-US" w:eastAsia="zh-CN"/>
        </w:rPr>
        <w:t>定</w:t>
      </w:r>
      <w:r>
        <w:rPr>
          <w:rFonts w:hint="eastAsia" w:ascii="宋体" w:hAnsi="宋体" w:eastAsia="宋体" w:cs="宋体"/>
          <w:bCs/>
          <w:spacing w:val="0"/>
          <w:szCs w:val="24"/>
          <w:highlight w:val="none"/>
        </w:rPr>
        <w:t>标</w:t>
      </w:r>
      <w:r>
        <w:rPr>
          <w:highlight w:val="none"/>
        </w:rPr>
        <w:tab/>
      </w:r>
      <w:r>
        <w:rPr>
          <w:highlight w:val="none"/>
        </w:rPr>
        <w:fldChar w:fldCharType="begin"/>
      </w:r>
      <w:r>
        <w:rPr>
          <w:highlight w:val="none"/>
        </w:rPr>
        <w:instrText xml:space="preserve"> PAGEREF _Toc1221 \h </w:instrText>
      </w:r>
      <w:r>
        <w:rPr>
          <w:highlight w:val="none"/>
        </w:rPr>
        <w:fldChar w:fldCharType="separate"/>
      </w:r>
      <w:r>
        <w:rPr>
          <w:highlight w:val="none"/>
        </w:rPr>
        <w:t>37</w:t>
      </w:r>
      <w:r>
        <w:rPr>
          <w:highlight w:val="none"/>
        </w:rPr>
        <w:fldChar w:fldCharType="end"/>
      </w:r>
      <w:r>
        <w:rPr>
          <w:rFonts w:hint="eastAsia" w:ascii="宋体" w:hAnsi="宋体" w:eastAsia="宋体" w:cs="宋体"/>
          <w:color w:val="auto"/>
          <w:spacing w:val="0"/>
          <w:szCs w:val="24"/>
          <w:highlight w:val="none"/>
        </w:rPr>
        <w:fldChar w:fldCharType="end"/>
      </w:r>
    </w:p>
    <w:p w14:paraId="0F373855">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_Toc6260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lang w:val="en-US" w:eastAsia="zh-CN"/>
        </w:rPr>
        <w:t>17</w:t>
      </w:r>
      <w:r>
        <w:rPr>
          <w:rFonts w:hint="eastAsia" w:ascii="宋体" w:hAnsi="宋体" w:eastAsia="宋体" w:cs="宋体"/>
          <w:bCs/>
          <w:spacing w:val="0"/>
          <w:szCs w:val="24"/>
          <w:highlight w:val="none"/>
        </w:rPr>
        <w:t xml:space="preserve"> ．</w:t>
      </w:r>
      <w:r>
        <w:rPr>
          <w:rFonts w:hint="eastAsia" w:ascii="宋体" w:hAnsi="宋体" w:eastAsia="宋体" w:cs="宋体"/>
          <w:bCs/>
          <w:spacing w:val="0"/>
          <w:szCs w:val="24"/>
          <w:highlight w:val="none"/>
          <w:lang w:val="en-US" w:eastAsia="zh-CN"/>
        </w:rPr>
        <w:t>定</w:t>
      </w:r>
      <w:r>
        <w:rPr>
          <w:rFonts w:hint="eastAsia" w:ascii="宋体" w:hAnsi="宋体" w:eastAsia="宋体" w:cs="宋体"/>
          <w:bCs/>
          <w:spacing w:val="0"/>
          <w:szCs w:val="24"/>
          <w:highlight w:val="none"/>
        </w:rPr>
        <w:t>标</w:t>
      </w:r>
      <w:r>
        <w:rPr>
          <w:rFonts w:hint="eastAsia" w:ascii="宋体" w:hAnsi="宋体" w:eastAsia="宋体" w:cs="宋体"/>
          <w:bCs/>
          <w:spacing w:val="0"/>
          <w:szCs w:val="24"/>
          <w:highlight w:val="none"/>
          <w:lang w:val="en-US" w:eastAsia="zh-CN"/>
        </w:rPr>
        <w:t>结果</w:t>
      </w:r>
      <w:r>
        <w:rPr>
          <w:rFonts w:hint="eastAsia" w:ascii="宋体" w:hAnsi="宋体" w:eastAsia="宋体" w:cs="宋体"/>
          <w:bCs/>
          <w:spacing w:val="0"/>
          <w:szCs w:val="24"/>
          <w:highlight w:val="none"/>
        </w:rPr>
        <w:t>公示</w:t>
      </w:r>
      <w:r>
        <w:rPr>
          <w:highlight w:val="none"/>
        </w:rPr>
        <w:tab/>
      </w:r>
      <w:r>
        <w:rPr>
          <w:highlight w:val="none"/>
        </w:rPr>
        <w:fldChar w:fldCharType="begin"/>
      </w:r>
      <w:r>
        <w:rPr>
          <w:highlight w:val="none"/>
        </w:rPr>
        <w:instrText xml:space="preserve"> PAGEREF _Toc6260 \h </w:instrText>
      </w:r>
      <w:r>
        <w:rPr>
          <w:highlight w:val="none"/>
        </w:rPr>
        <w:fldChar w:fldCharType="separate"/>
      </w:r>
      <w:r>
        <w:rPr>
          <w:highlight w:val="none"/>
        </w:rPr>
        <w:t>39</w:t>
      </w:r>
      <w:r>
        <w:rPr>
          <w:highlight w:val="none"/>
        </w:rPr>
        <w:fldChar w:fldCharType="end"/>
      </w:r>
      <w:r>
        <w:rPr>
          <w:rFonts w:hint="eastAsia" w:ascii="宋体" w:hAnsi="宋体" w:eastAsia="宋体" w:cs="宋体"/>
          <w:color w:val="auto"/>
          <w:spacing w:val="0"/>
          <w:szCs w:val="24"/>
          <w:highlight w:val="none"/>
        </w:rPr>
        <w:fldChar w:fldCharType="end"/>
      </w:r>
    </w:p>
    <w:p w14:paraId="76577E80">
      <w:pPr>
        <w:pStyle w:val="11"/>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_Toc1505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第四节</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否决投标条件</w:t>
      </w:r>
      <w:r>
        <w:rPr>
          <w:highlight w:val="none"/>
        </w:rPr>
        <w:tab/>
      </w:r>
      <w:r>
        <w:rPr>
          <w:highlight w:val="none"/>
        </w:rPr>
        <w:fldChar w:fldCharType="begin"/>
      </w:r>
      <w:r>
        <w:rPr>
          <w:highlight w:val="none"/>
        </w:rPr>
        <w:instrText xml:space="preserve"> PAGEREF _Toc1505 \h </w:instrText>
      </w:r>
      <w:r>
        <w:rPr>
          <w:highlight w:val="none"/>
        </w:rPr>
        <w:fldChar w:fldCharType="separate"/>
      </w:r>
      <w:r>
        <w:rPr>
          <w:highlight w:val="none"/>
        </w:rPr>
        <w:t>40</w:t>
      </w:r>
      <w:r>
        <w:rPr>
          <w:highlight w:val="none"/>
        </w:rPr>
        <w:fldChar w:fldCharType="end"/>
      </w:r>
      <w:r>
        <w:rPr>
          <w:rFonts w:hint="eastAsia" w:ascii="宋体" w:hAnsi="宋体" w:eastAsia="宋体" w:cs="宋体"/>
          <w:color w:val="auto"/>
          <w:spacing w:val="0"/>
          <w:szCs w:val="24"/>
          <w:highlight w:val="none"/>
        </w:rPr>
        <w:fldChar w:fldCharType="end"/>
      </w:r>
    </w:p>
    <w:p w14:paraId="1F6BCD97">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_Toc7264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 ．资格评审环节</w:t>
      </w:r>
      <w:r>
        <w:rPr>
          <w:highlight w:val="none"/>
        </w:rPr>
        <w:tab/>
      </w:r>
      <w:r>
        <w:rPr>
          <w:highlight w:val="none"/>
        </w:rPr>
        <w:fldChar w:fldCharType="begin"/>
      </w:r>
      <w:r>
        <w:rPr>
          <w:highlight w:val="none"/>
        </w:rPr>
        <w:instrText xml:space="preserve"> PAGEREF _Toc7264 \h </w:instrText>
      </w:r>
      <w:r>
        <w:rPr>
          <w:highlight w:val="none"/>
        </w:rPr>
        <w:fldChar w:fldCharType="separate"/>
      </w:r>
      <w:r>
        <w:rPr>
          <w:highlight w:val="none"/>
        </w:rPr>
        <w:t>40</w:t>
      </w:r>
      <w:r>
        <w:rPr>
          <w:highlight w:val="none"/>
        </w:rPr>
        <w:fldChar w:fldCharType="end"/>
      </w:r>
      <w:r>
        <w:rPr>
          <w:rFonts w:hint="eastAsia" w:ascii="宋体" w:hAnsi="宋体" w:eastAsia="宋体" w:cs="宋体"/>
          <w:color w:val="auto"/>
          <w:spacing w:val="0"/>
          <w:szCs w:val="24"/>
          <w:highlight w:val="none"/>
        </w:rPr>
        <w:fldChar w:fldCharType="end"/>
      </w:r>
    </w:p>
    <w:p w14:paraId="4423A9BF">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_Toc29694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2 ．形式评审环节</w:t>
      </w:r>
      <w:r>
        <w:rPr>
          <w:highlight w:val="none"/>
        </w:rPr>
        <w:tab/>
      </w:r>
      <w:r>
        <w:rPr>
          <w:highlight w:val="none"/>
        </w:rPr>
        <w:fldChar w:fldCharType="begin"/>
      </w:r>
      <w:r>
        <w:rPr>
          <w:highlight w:val="none"/>
        </w:rPr>
        <w:instrText xml:space="preserve"> PAGEREF _Toc29694 \h </w:instrText>
      </w:r>
      <w:r>
        <w:rPr>
          <w:highlight w:val="none"/>
        </w:rPr>
        <w:fldChar w:fldCharType="separate"/>
      </w:r>
      <w:r>
        <w:rPr>
          <w:highlight w:val="none"/>
        </w:rPr>
        <w:t>41</w:t>
      </w:r>
      <w:r>
        <w:rPr>
          <w:highlight w:val="none"/>
        </w:rPr>
        <w:fldChar w:fldCharType="end"/>
      </w:r>
      <w:r>
        <w:rPr>
          <w:rFonts w:hint="eastAsia" w:ascii="宋体" w:hAnsi="宋体" w:eastAsia="宋体" w:cs="宋体"/>
          <w:color w:val="auto"/>
          <w:spacing w:val="0"/>
          <w:szCs w:val="24"/>
          <w:highlight w:val="none"/>
        </w:rPr>
        <w:fldChar w:fldCharType="end"/>
      </w:r>
    </w:p>
    <w:p w14:paraId="5723DEB0">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_Toc13699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3 ．响应性评审环节</w:t>
      </w:r>
      <w:r>
        <w:rPr>
          <w:highlight w:val="none"/>
        </w:rPr>
        <w:tab/>
      </w:r>
      <w:r>
        <w:rPr>
          <w:highlight w:val="none"/>
        </w:rPr>
        <w:fldChar w:fldCharType="begin"/>
      </w:r>
      <w:r>
        <w:rPr>
          <w:highlight w:val="none"/>
        </w:rPr>
        <w:instrText xml:space="preserve"> PAGEREF _Toc13699 \h </w:instrText>
      </w:r>
      <w:r>
        <w:rPr>
          <w:highlight w:val="none"/>
        </w:rPr>
        <w:fldChar w:fldCharType="separate"/>
      </w:r>
      <w:r>
        <w:rPr>
          <w:highlight w:val="none"/>
        </w:rPr>
        <w:t>41</w:t>
      </w:r>
      <w:r>
        <w:rPr>
          <w:highlight w:val="none"/>
        </w:rPr>
        <w:fldChar w:fldCharType="end"/>
      </w:r>
      <w:r>
        <w:rPr>
          <w:rFonts w:hint="eastAsia" w:ascii="宋体" w:hAnsi="宋体" w:eastAsia="宋体" w:cs="宋体"/>
          <w:color w:val="auto"/>
          <w:spacing w:val="0"/>
          <w:szCs w:val="24"/>
          <w:highlight w:val="none"/>
        </w:rPr>
        <w:fldChar w:fldCharType="end"/>
      </w:r>
    </w:p>
    <w:p w14:paraId="52E089C7">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_Toc2756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4 ．其他</w:t>
      </w:r>
      <w:r>
        <w:rPr>
          <w:highlight w:val="none"/>
        </w:rPr>
        <w:tab/>
      </w:r>
      <w:r>
        <w:rPr>
          <w:highlight w:val="none"/>
        </w:rPr>
        <w:fldChar w:fldCharType="begin"/>
      </w:r>
      <w:r>
        <w:rPr>
          <w:highlight w:val="none"/>
        </w:rPr>
        <w:instrText xml:space="preserve"> PAGEREF _Toc2756 \h </w:instrText>
      </w:r>
      <w:r>
        <w:rPr>
          <w:highlight w:val="none"/>
        </w:rPr>
        <w:fldChar w:fldCharType="separate"/>
      </w:r>
      <w:r>
        <w:rPr>
          <w:highlight w:val="none"/>
        </w:rPr>
        <w:t>42</w:t>
      </w:r>
      <w:r>
        <w:rPr>
          <w:highlight w:val="none"/>
        </w:rPr>
        <w:fldChar w:fldCharType="end"/>
      </w:r>
      <w:r>
        <w:rPr>
          <w:rFonts w:hint="eastAsia" w:ascii="宋体" w:hAnsi="宋体" w:eastAsia="宋体" w:cs="宋体"/>
          <w:color w:val="auto"/>
          <w:spacing w:val="0"/>
          <w:szCs w:val="24"/>
          <w:highlight w:val="none"/>
        </w:rPr>
        <w:fldChar w:fldCharType="end"/>
      </w:r>
    </w:p>
    <w:p w14:paraId="39232B2A">
      <w:pPr>
        <w:pStyle w:val="10"/>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_Toc9411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第二章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中标人须知</w:t>
      </w:r>
      <w:r>
        <w:rPr>
          <w:highlight w:val="none"/>
        </w:rPr>
        <w:tab/>
      </w:r>
      <w:r>
        <w:rPr>
          <w:highlight w:val="none"/>
        </w:rPr>
        <w:fldChar w:fldCharType="begin"/>
      </w:r>
      <w:r>
        <w:rPr>
          <w:highlight w:val="none"/>
        </w:rPr>
        <w:instrText xml:space="preserve"> PAGEREF _Toc9411 \h </w:instrText>
      </w:r>
      <w:r>
        <w:rPr>
          <w:highlight w:val="none"/>
        </w:rPr>
        <w:fldChar w:fldCharType="separate"/>
      </w:r>
      <w:r>
        <w:rPr>
          <w:highlight w:val="none"/>
        </w:rPr>
        <w:t>44</w:t>
      </w:r>
      <w:r>
        <w:rPr>
          <w:highlight w:val="none"/>
        </w:rPr>
        <w:fldChar w:fldCharType="end"/>
      </w:r>
      <w:r>
        <w:rPr>
          <w:rFonts w:hint="eastAsia" w:ascii="宋体" w:hAnsi="宋体" w:eastAsia="宋体" w:cs="宋体"/>
          <w:color w:val="auto"/>
          <w:spacing w:val="0"/>
          <w:szCs w:val="24"/>
          <w:highlight w:val="none"/>
        </w:rPr>
        <w:fldChar w:fldCharType="end"/>
      </w:r>
    </w:p>
    <w:p w14:paraId="5DC4D1E4">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_Toc5110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 ．中标通知书</w:t>
      </w:r>
      <w:r>
        <w:rPr>
          <w:highlight w:val="none"/>
        </w:rPr>
        <w:tab/>
      </w:r>
      <w:r>
        <w:rPr>
          <w:highlight w:val="none"/>
        </w:rPr>
        <w:fldChar w:fldCharType="begin"/>
      </w:r>
      <w:r>
        <w:rPr>
          <w:highlight w:val="none"/>
        </w:rPr>
        <w:instrText xml:space="preserve"> PAGEREF _Toc5110 \h </w:instrText>
      </w:r>
      <w:r>
        <w:rPr>
          <w:highlight w:val="none"/>
        </w:rPr>
        <w:fldChar w:fldCharType="separate"/>
      </w:r>
      <w:r>
        <w:rPr>
          <w:highlight w:val="none"/>
        </w:rPr>
        <w:t>44</w:t>
      </w:r>
      <w:r>
        <w:rPr>
          <w:highlight w:val="none"/>
        </w:rPr>
        <w:fldChar w:fldCharType="end"/>
      </w:r>
      <w:r>
        <w:rPr>
          <w:rFonts w:hint="eastAsia" w:ascii="宋体" w:hAnsi="宋体" w:eastAsia="宋体" w:cs="宋体"/>
          <w:color w:val="auto"/>
          <w:spacing w:val="0"/>
          <w:szCs w:val="24"/>
          <w:highlight w:val="none"/>
        </w:rPr>
        <w:fldChar w:fldCharType="end"/>
      </w:r>
    </w:p>
    <w:p w14:paraId="6E8E6F6B">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_Toc12154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2 ．中结果公示</w:t>
      </w:r>
      <w:r>
        <w:rPr>
          <w:highlight w:val="none"/>
        </w:rPr>
        <w:tab/>
      </w:r>
      <w:r>
        <w:rPr>
          <w:highlight w:val="none"/>
        </w:rPr>
        <w:fldChar w:fldCharType="begin"/>
      </w:r>
      <w:r>
        <w:rPr>
          <w:highlight w:val="none"/>
        </w:rPr>
        <w:instrText xml:space="preserve"> PAGEREF _Toc12154 \h </w:instrText>
      </w:r>
      <w:r>
        <w:rPr>
          <w:highlight w:val="none"/>
        </w:rPr>
        <w:fldChar w:fldCharType="separate"/>
      </w:r>
      <w:r>
        <w:rPr>
          <w:highlight w:val="none"/>
        </w:rPr>
        <w:t>44</w:t>
      </w:r>
      <w:r>
        <w:rPr>
          <w:highlight w:val="none"/>
        </w:rPr>
        <w:fldChar w:fldCharType="end"/>
      </w:r>
      <w:r>
        <w:rPr>
          <w:rFonts w:hint="eastAsia" w:ascii="宋体" w:hAnsi="宋体" w:eastAsia="宋体" w:cs="宋体"/>
          <w:color w:val="auto"/>
          <w:spacing w:val="0"/>
          <w:szCs w:val="24"/>
          <w:highlight w:val="none"/>
        </w:rPr>
        <w:fldChar w:fldCharType="end"/>
      </w:r>
    </w:p>
    <w:p w14:paraId="50072D9E">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_Toc32644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3 ．履约保证</w:t>
      </w:r>
      <w:r>
        <w:rPr>
          <w:highlight w:val="none"/>
        </w:rPr>
        <w:tab/>
      </w:r>
      <w:r>
        <w:rPr>
          <w:highlight w:val="none"/>
        </w:rPr>
        <w:fldChar w:fldCharType="begin"/>
      </w:r>
      <w:r>
        <w:rPr>
          <w:highlight w:val="none"/>
        </w:rPr>
        <w:instrText xml:space="preserve"> PAGEREF _Toc32644 \h </w:instrText>
      </w:r>
      <w:r>
        <w:rPr>
          <w:highlight w:val="none"/>
        </w:rPr>
        <w:fldChar w:fldCharType="separate"/>
      </w:r>
      <w:r>
        <w:rPr>
          <w:highlight w:val="none"/>
        </w:rPr>
        <w:t>44</w:t>
      </w:r>
      <w:r>
        <w:rPr>
          <w:highlight w:val="none"/>
        </w:rPr>
        <w:fldChar w:fldCharType="end"/>
      </w:r>
      <w:r>
        <w:rPr>
          <w:rFonts w:hint="eastAsia" w:ascii="宋体" w:hAnsi="宋体" w:eastAsia="宋体" w:cs="宋体"/>
          <w:color w:val="auto"/>
          <w:spacing w:val="0"/>
          <w:szCs w:val="24"/>
          <w:highlight w:val="none"/>
        </w:rPr>
        <w:fldChar w:fldCharType="end"/>
      </w:r>
    </w:p>
    <w:p w14:paraId="49AFDEBA">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_Toc19929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4 ．合同订立</w:t>
      </w:r>
      <w:r>
        <w:rPr>
          <w:highlight w:val="none"/>
        </w:rPr>
        <w:tab/>
      </w:r>
      <w:r>
        <w:rPr>
          <w:highlight w:val="none"/>
        </w:rPr>
        <w:fldChar w:fldCharType="begin"/>
      </w:r>
      <w:r>
        <w:rPr>
          <w:highlight w:val="none"/>
        </w:rPr>
        <w:instrText xml:space="preserve"> PAGEREF _Toc19929 \h </w:instrText>
      </w:r>
      <w:r>
        <w:rPr>
          <w:highlight w:val="none"/>
        </w:rPr>
        <w:fldChar w:fldCharType="separate"/>
      </w:r>
      <w:r>
        <w:rPr>
          <w:highlight w:val="none"/>
        </w:rPr>
        <w:t>44</w:t>
      </w:r>
      <w:r>
        <w:rPr>
          <w:highlight w:val="none"/>
        </w:rPr>
        <w:fldChar w:fldCharType="end"/>
      </w:r>
      <w:r>
        <w:rPr>
          <w:rFonts w:hint="eastAsia" w:ascii="宋体" w:hAnsi="宋体" w:eastAsia="宋体" w:cs="宋体"/>
          <w:color w:val="auto"/>
          <w:spacing w:val="0"/>
          <w:szCs w:val="24"/>
          <w:highlight w:val="none"/>
        </w:rPr>
        <w:fldChar w:fldCharType="end"/>
      </w:r>
    </w:p>
    <w:p w14:paraId="36FAB4C7">
      <w:pPr>
        <w:pStyle w:val="10"/>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_Toc29932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第三章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拟签订合同的主要条款</w:t>
      </w:r>
      <w:r>
        <w:rPr>
          <w:highlight w:val="none"/>
        </w:rPr>
        <w:tab/>
      </w:r>
      <w:r>
        <w:rPr>
          <w:highlight w:val="none"/>
        </w:rPr>
        <w:fldChar w:fldCharType="begin"/>
      </w:r>
      <w:r>
        <w:rPr>
          <w:highlight w:val="none"/>
        </w:rPr>
        <w:instrText xml:space="preserve"> PAGEREF _Toc29932 \h </w:instrText>
      </w:r>
      <w:r>
        <w:rPr>
          <w:highlight w:val="none"/>
        </w:rPr>
        <w:fldChar w:fldCharType="separate"/>
      </w:r>
      <w:r>
        <w:rPr>
          <w:highlight w:val="none"/>
        </w:rPr>
        <w:t>55</w:t>
      </w:r>
      <w:r>
        <w:rPr>
          <w:highlight w:val="none"/>
        </w:rPr>
        <w:fldChar w:fldCharType="end"/>
      </w:r>
      <w:r>
        <w:rPr>
          <w:rFonts w:hint="eastAsia" w:ascii="宋体" w:hAnsi="宋体" w:eastAsia="宋体" w:cs="宋体"/>
          <w:color w:val="auto"/>
          <w:spacing w:val="0"/>
          <w:szCs w:val="24"/>
          <w:highlight w:val="none"/>
        </w:rPr>
        <w:fldChar w:fldCharType="end"/>
      </w:r>
    </w:p>
    <w:p w14:paraId="6217449C">
      <w:pPr>
        <w:pStyle w:val="11"/>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_Toc8493 </w:instrText>
      </w:r>
      <w:r>
        <w:rPr>
          <w:rFonts w:hint="eastAsia" w:ascii="宋体" w:hAnsi="宋体" w:eastAsia="宋体" w:cs="宋体"/>
          <w:spacing w:val="0"/>
          <w:szCs w:val="24"/>
          <w:highlight w:val="none"/>
        </w:rPr>
        <w:fldChar w:fldCharType="separate"/>
      </w:r>
      <w:r>
        <w:rPr>
          <w:rFonts w:hint="eastAsia" w:ascii="宋体" w:hAnsi="宋体" w:eastAsia="宋体" w:cs="宋体"/>
          <w:snapToGrid w:val="0"/>
          <w:szCs w:val="24"/>
          <w:highlight w:val="none"/>
        </w:rPr>
        <w:t>1．工程承包方式</w:t>
      </w:r>
      <w:r>
        <w:rPr>
          <w:highlight w:val="none"/>
        </w:rPr>
        <w:tab/>
      </w:r>
      <w:r>
        <w:rPr>
          <w:highlight w:val="none"/>
        </w:rPr>
        <w:fldChar w:fldCharType="begin"/>
      </w:r>
      <w:r>
        <w:rPr>
          <w:highlight w:val="none"/>
        </w:rPr>
        <w:instrText xml:space="preserve"> PAGEREF _Toc8493 \h </w:instrText>
      </w:r>
      <w:r>
        <w:rPr>
          <w:highlight w:val="none"/>
        </w:rPr>
        <w:fldChar w:fldCharType="separate"/>
      </w:r>
      <w:r>
        <w:rPr>
          <w:highlight w:val="none"/>
        </w:rPr>
        <w:t>55</w:t>
      </w:r>
      <w:r>
        <w:rPr>
          <w:highlight w:val="none"/>
        </w:rPr>
        <w:fldChar w:fldCharType="end"/>
      </w:r>
      <w:r>
        <w:rPr>
          <w:rFonts w:hint="eastAsia" w:ascii="宋体" w:hAnsi="宋体" w:eastAsia="宋体" w:cs="宋体"/>
          <w:color w:val="auto"/>
          <w:spacing w:val="0"/>
          <w:szCs w:val="24"/>
          <w:highlight w:val="none"/>
        </w:rPr>
        <w:fldChar w:fldCharType="end"/>
      </w:r>
    </w:p>
    <w:p w14:paraId="6D79AF92">
      <w:pPr>
        <w:pStyle w:val="11"/>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_Toc28909 </w:instrText>
      </w:r>
      <w:r>
        <w:rPr>
          <w:rFonts w:hint="eastAsia" w:ascii="宋体" w:hAnsi="宋体" w:eastAsia="宋体" w:cs="宋体"/>
          <w:spacing w:val="0"/>
          <w:szCs w:val="24"/>
          <w:highlight w:val="none"/>
        </w:rPr>
        <w:fldChar w:fldCharType="separate"/>
      </w:r>
      <w:r>
        <w:rPr>
          <w:rFonts w:hint="eastAsia" w:ascii="宋体" w:hAnsi="宋体" w:eastAsia="宋体" w:cs="宋体"/>
          <w:snapToGrid w:val="0"/>
          <w:szCs w:val="24"/>
          <w:highlight w:val="none"/>
        </w:rPr>
        <w:t>2．工程结算原则</w:t>
      </w:r>
      <w:r>
        <w:rPr>
          <w:highlight w:val="none"/>
        </w:rPr>
        <w:tab/>
      </w:r>
      <w:r>
        <w:rPr>
          <w:highlight w:val="none"/>
        </w:rPr>
        <w:fldChar w:fldCharType="begin"/>
      </w:r>
      <w:r>
        <w:rPr>
          <w:highlight w:val="none"/>
        </w:rPr>
        <w:instrText xml:space="preserve"> PAGEREF _Toc28909 \h </w:instrText>
      </w:r>
      <w:r>
        <w:rPr>
          <w:highlight w:val="none"/>
        </w:rPr>
        <w:fldChar w:fldCharType="separate"/>
      </w:r>
      <w:r>
        <w:rPr>
          <w:highlight w:val="none"/>
        </w:rPr>
        <w:t>55</w:t>
      </w:r>
      <w:r>
        <w:rPr>
          <w:highlight w:val="none"/>
        </w:rPr>
        <w:fldChar w:fldCharType="end"/>
      </w:r>
      <w:r>
        <w:rPr>
          <w:rFonts w:hint="eastAsia" w:ascii="宋体" w:hAnsi="宋体" w:eastAsia="宋体" w:cs="宋体"/>
          <w:color w:val="auto"/>
          <w:spacing w:val="0"/>
          <w:szCs w:val="24"/>
          <w:highlight w:val="none"/>
        </w:rPr>
        <w:fldChar w:fldCharType="end"/>
      </w:r>
    </w:p>
    <w:p w14:paraId="56EA52B9">
      <w:pPr>
        <w:pStyle w:val="11"/>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_Toc6483 </w:instrText>
      </w:r>
      <w:r>
        <w:rPr>
          <w:rFonts w:hint="eastAsia" w:ascii="宋体" w:hAnsi="宋体" w:eastAsia="宋体" w:cs="宋体"/>
          <w:spacing w:val="0"/>
          <w:szCs w:val="24"/>
          <w:highlight w:val="none"/>
        </w:rPr>
        <w:fldChar w:fldCharType="separate"/>
      </w:r>
      <w:r>
        <w:rPr>
          <w:rFonts w:hint="eastAsia" w:ascii="宋体" w:hAnsi="宋体" w:eastAsia="宋体" w:cs="宋体"/>
          <w:snapToGrid w:val="0"/>
          <w:szCs w:val="24"/>
          <w:highlight w:val="none"/>
        </w:rPr>
        <w:t>3．工程付款办法</w:t>
      </w:r>
      <w:r>
        <w:rPr>
          <w:highlight w:val="none"/>
        </w:rPr>
        <w:tab/>
      </w:r>
      <w:r>
        <w:rPr>
          <w:highlight w:val="none"/>
        </w:rPr>
        <w:fldChar w:fldCharType="begin"/>
      </w:r>
      <w:r>
        <w:rPr>
          <w:highlight w:val="none"/>
        </w:rPr>
        <w:instrText xml:space="preserve"> PAGEREF _Toc6483 \h </w:instrText>
      </w:r>
      <w:r>
        <w:rPr>
          <w:highlight w:val="none"/>
        </w:rPr>
        <w:fldChar w:fldCharType="separate"/>
      </w:r>
      <w:r>
        <w:rPr>
          <w:highlight w:val="none"/>
        </w:rPr>
        <w:t>64</w:t>
      </w:r>
      <w:r>
        <w:rPr>
          <w:highlight w:val="none"/>
        </w:rPr>
        <w:fldChar w:fldCharType="end"/>
      </w:r>
      <w:r>
        <w:rPr>
          <w:rFonts w:hint="eastAsia" w:ascii="宋体" w:hAnsi="宋体" w:eastAsia="宋体" w:cs="宋体"/>
          <w:color w:val="auto"/>
          <w:spacing w:val="0"/>
          <w:szCs w:val="24"/>
          <w:highlight w:val="none"/>
        </w:rPr>
        <w:fldChar w:fldCharType="end"/>
      </w:r>
    </w:p>
    <w:p w14:paraId="700516B0">
      <w:pPr>
        <w:pStyle w:val="10"/>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_Toc22943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第四章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技术要求</w:t>
      </w:r>
      <w:r>
        <w:rPr>
          <w:highlight w:val="none"/>
        </w:rPr>
        <w:tab/>
      </w:r>
      <w:r>
        <w:rPr>
          <w:highlight w:val="none"/>
        </w:rPr>
        <w:fldChar w:fldCharType="begin"/>
      </w:r>
      <w:r>
        <w:rPr>
          <w:highlight w:val="none"/>
        </w:rPr>
        <w:instrText xml:space="preserve"> PAGEREF _Toc22943 \h </w:instrText>
      </w:r>
      <w:r>
        <w:rPr>
          <w:highlight w:val="none"/>
        </w:rPr>
        <w:fldChar w:fldCharType="separate"/>
      </w:r>
      <w:r>
        <w:rPr>
          <w:highlight w:val="none"/>
        </w:rPr>
        <w:t>68</w:t>
      </w:r>
      <w:r>
        <w:rPr>
          <w:highlight w:val="none"/>
        </w:rPr>
        <w:fldChar w:fldCharType="end"/>
      </w:r>
      <w:r>
        <w:rPr>
          <w:rFonts w:hint="eastAsia" w:ascii="宋体" w:hAnsi="宋体" w:eastAsia="宋体" w:cs="宋体"/>
          <w:color w:val="auto"/>
          <w:spacing w:val="0"/>
          <w:szCs w:val="24"/>
          <w:highlight w:val="none"/>
        </w:rPr>
        <w:fldChar w:fldCharType="end"/>
      </w:r>
    </w:p>
    <w:p w14:paraId="70CA0D0A">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_Toc10988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 ．房屋建筑工程建设项目</w:t>
      </w:r>
      <w:r>
        <w:rPr>
          <w:highlight w:val="none"/>
        </w:rPr>
        <w:tab/>
      </w:r>
      <w:r>
        <w:rPr>
          <w:highlight w:val="none"/>
        </w:rPr>
        <w:fldChar w:fldCharType="begin"/>
      </w:r>
      <w:r>
        <w:rPr>
          <w:highlight w:val="none"/>
        </w:rPr>
        <w:instrText xml:space="preserve"> PAGEREF _Toc10988 \h </w:instrText>
      </w:r>
      <w:r>
        <w:rPr>
          <w:highlight w:val="none"/>
        </w:rPr>
        <w:fldChar w:fldCharType="separate"/>
      </w:r>
      <w:r>
        <w:rPr>
          <w:highlight w:val="none"/>
        </w:rPr>
        <w:t>68</w:t>
      </w:r>
      <w:r>
        <w:rPr>
          <w:highlight w:val="none"/>
        </w:rPr>
        <w:fldChar w:fldCharType="end"/>
      </w:r>
      <w:r>
        <w:rPr>
          <w:rFonts w:hint="eastAsia" w:ascii="宋体" w:hAnsi="宋体" w:eastAsia="宋体" w:cs="宋体"/>
          <w:color w:val="auto"/>
          <w:spacing w:val="0"/>
          <w:szCs w:val="24"/>
          <w:highlight w:val="none"/>
        </w:rPr>
        <w:fldChar w:fldCharType="end"/>
      </w:r>
    </w:p>
    <w:p w14:paraId="27C7F817">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_Toc1126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2 ．市政基础设施工程建设项目</w:t>
      </w:r>
      <w:r>
        <w:rPr>
          <w:highlight w:val="none"/>
        </w:rPr>
        <w:tab/>
      </w:r>
      <w:r>
        <w:rPr>
          <w:highlight w:val="none"/>
        </w:rPr>
        <w:fldChar w:fldCharType="begin"/>
      </w:r>
      <w:r>
        <w:rPr>
          <w:highlight w:val="none"/>
        </w:rPr>
        <w:instrText xml:space="preserve"> PAGEREF _Toc1126 \h </w:instrText>
      </w:r>
      <w:r>
        <w:rPr>
          <w:highlight w:val="none"/>
        </w:rPr>
        <w:fldChar w:fldCharType="separate"/>
      </w:r>
      <w:r>
        <w:rPr>
          <w:highlight w:val="none"/>
        </w:rPr>
        <w:t>68</w:t>
      </w:r>
      <w:r>
        <w:rPr>
          <w:highlight w:val="none"/>
        </w:rPr>
        <w:fldChar w:fldCharType="end"/>
      </w:r>
      <w:r>
        <w:rPr>
          <w:rFonts w:hint="eastAsia" w:ascii="宋体" w:hAnsi="宋体" w:eastAsia="宋体" w:cs="宋体"/>
          <w:color w:val="auto"/>
          <w:spacing w:val="0"/>
          <w:szCs w:val="24"/>
          <w:highlight w:val="none"/>
        </w:rPr>
        <w:fldChar w:fldCharType="end"/>
      </w:r>
    </w:p>
    <w:p w14:paraId="0188CD13">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_Toc17417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3 ．备查要求</w:t>
      </w:r>
      <w:r>
        <w:rPr>
          <w:highlight w:val="none"/>
        </w:rPr>
        <w:tab/>
      </w:r>
      <w:r>
        <w:rPr>
          <w:highlight w:val="none"/>
        </w:rPr>
        <w:fldChar w:fldCharType="begin"/>
      </w:r>
      <w:r>
        <w:rPr>
          <w:highlight w:val="none"/>
        </w:rPr>
        <w:instrText xml:space="preserve"> PAGEREF _Toc17417 \h </w:instrText>
      </w:r>
      <w:r>
        <w:rPr>
          <w:highlight w:val="none"/>
        </w:rPr>
        <w:fldChar w:fldCharType="separate"/>
      </w:r>
      <w:r>
        <w:rPr>
          <w:highlight w:val="none"/>
        </w:rPr>
        <w:t>69</w:t>
      </w:r>
      <w:r>
        <w:rPr>
          <w:highlight w:val="none"/>
        </w:rPr>
        <w:fldChar w:fldCharType="end"/>
      </w:r>
      <w:r>
        <w:rPr>
          <w:rFonts w:hint="eastAsia" w:ascii="宋体" w:hAnsi="宋体" w:eastAsia="宋体" w:cs="宋体"/>
          <w:color w:val="auto"/>
          <w:spacing w:val="0"/>
          <w:szCs w:val="24"/>
          <w:highlight w:val="none"/>
        </w:rPr>
        <w:fldChar w:fldCharType="end"/>
      </w:r>
    </w:p>
    <w:p w14:paraId="304D0D9B">
      <w:pPr>
        <w:pStyle w:val="10"/>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_Toc17497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第五章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图纸和招标工程量清单</w:t>
      </w:r>
      <w:r>
        <w:rPr>
          <w:highlight w:val="none"/>
        </w:rPr>
        <w:tab/>
      </w:r>
      <w:r>
        <w:rPr>
          <w:highlight w:val="none"/>
        </w:rPr>
        <w:fldChar w:fldCharType="begin"/>
      </w:r>
      <w:r>
        <w:rPr>
          <w:highlight w:val="none"/>
        </w:rPr>
        <w:instrText xml:space="preserve"> PAGEREF _Toc17497 \h </w:instrText>
      </w:r>
      <w:r>
        <w:rPr>
          <w:highlight w:val="none"/>
        </w:rPr>
        <w:fldChar w:fldCharType="separate"/>
      </w:r>
      <w:r>
        <w:rPr>
          <w:highlight w:val="none"/>
        </w:rPr>
        <w:t>70</w:t>
      </w:r>
      <w:r>
        <w:rPr>
          <w:highlight w:val="none"/>
        </w:rPr>
        <w:fldChar w:fldCharType="end"/>
      </w:r>
      <w:r>
        <w:rPr>
          <w:rFonts w:hint="eastAsia" w:ascii="宋体" w:hAnsi="宋体" w:eastAsia="宋体" w:cs="宋体"/>
          <w:color w:val="auto"/>
          <w:spacing w:val="0"/>
          <w:szCs w:val="24"/>
          <w:highlight w:val="none"/>
        </w:rPr>
        <w:fldChar w:fldCharType="end"/>
      </w:r>
    </w:p>
    <w:p w14:paraId="48F13D5E">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_Toc23405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 ．图纸</w:t>
      </w:r>
      <w:r>
        <w:rPr>
          <w:highlight w:val="none"/>
        </w:rPr>
        <w:tab/>
      </w:r>
      <w:r>
        <w:rPr>
          <w:highlight w:val="none"/>
        </w:rPr>
        <w:fldChar w:fldCharType="begin"/>
      </w:r>
      <w:r>
        <w:rPr>
          <w:highlight w:val="none"/>
        </w:rPr>
        <w:instrText xml:space="preserve"> PAGEREF _Toc23405 \h </w:instrText>
      </w:r>
      <w:r>
        <w:rPr>
          <w:highlight w:val="none"/>
        </w:rPr>
        <w:fldChar w:fldCharType="separate"/>
      </w:r>
      <w:r>
        <w:rPr>
          <w:highlight w:val="none"/>
        </w:rPr>
        <w:t>70</w:t>
      </w:r>
      <w:r>
        <w:rPr>
          <w:highlight w:val="none"/>
        </w:rPr>
        <w:fldChar w:fldCharType="end"/>
      </w:r>
      <w:r>
        <w:rPr>
          <w:rFonts w:hint="eastAsia" w:ascii="宋体" w:hAnsi="宋体" w:eastAsia="宋体" w:cs="宋体"/>
          <w:color w:val="auto"/>
          <w:spacing w:val="0"/>
          <w:szCs w:val="24"/>
          <w:highlight w:val="none"/>
        </w:rPr>
        <w:fldChar w:fldCharType="end"/>
      </w:r>
    </w:p>
    <w:p w14:paraId="2FAF6FFA">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_Toc3353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2 ．招标工程量清单</w:t>
      </w:r>
      <w:r>
        <w:rPr>
          <w:highlight w:val="none"/>
        </w:rPr>
        <w:tab/>
      </w:r>
      <w:r>
        <w:rPr>
          <w:highlight w:val="none"/>
        </w:rPr>
        <w:fldChar w:fldCharType="begin"/>
      </w:r>
      <w:r>
        <w:rPr>
          <w:highlight w:val="none"/>
        </w:rPr>
        <w:instrText xml:space="preserve"> PAGEREF _Toc3353 \h </w:instrText>
      </w:r>
      <w:r>
        <w:rPr>
          <w:highlight w:val="none"/>
        </w:rPr>
        <w:fldChar w:fldCharType="separate"/>
      </w:r>
      <w:r>
        <w:rPr>
          <w:highlight w:val="none"/>
        </w:rPr>
        <w:t>70</w:t>
      </w:r>
      <w:r>
        <w:rPr>
          <w:highlight w:val="none"/>
        </w:rPr>
        <w:fldChar w:fldCharType="end"/>
      </w:r>
      <w:r>
        <w:rPr>
          <w:rFonts w:hint="eastAsia" w:ascii="宋体" w:hAnsi="宋体" w:eastAsia="宋体" w:cs="宋体"/>
          <w:color w:val="auto"/>
          <w:spacing w:val="0"/>
          <w:szCs w:val="24"/>
          <w:highlight w:val="none"/>
        </w:rPr>
        <w:fldChar w:fldCharType="end"/>
      </w:r>
    </w:p>
    <w:p w14:paraId="7781A84E">
      <w:pPr>
        <w:pStyle w:val="10"/>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_Toc5775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第六章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投标文件格式</w:t>
      </w:r>
      <w:r>
        <w:rPr>
          <w:highlight w:val="none"/>
        </w:rPr>
        <w:tab/>
      </w:r>
      <w:r>
        <w:rPr>
          <w:highlight w:val="none"/>
        </w:rPr>
        <w:fldChar w:fldCharType="begin"/>
      </w:r>
      <w:r>
        <w:rPr>
          <w:highlight w:val="none"/>
        </w:rPr>
        <w:instrText xml:space="preserve"> PAGEREF _Toc5775 \h </w:instrText>
      </w:r>
      <w:r>
        <w:rPr>
          <w:highlight w:val="none"/>
        </w:rPr>
        <w:fldChar w:fldCharType="separate"/>
      </w:r>
      <w:r>
        <w:rPr>
          <w:highlight w:val="none"/>
        </w:rPr>
        <w:t>71</w:t>
      </w:r>
      <w:r>
        <w:rPr>
          <w:highlight w:val="none"/>
        </w:rPr>
        <w:fldChar w:fldCharType="end"/>
      </w:r>
      <w:r>
        <w:rPr>
          <w:rFonts w:hint="eastAsia" w:ascii="宋体" w:hAnsi="宋体" w:eastAsia="宋体" w:cs="宋体"/>
          <w:color w:val="auto"/>
          <w:spacing w:val="0"/>
          <w:szCs w:val="24"/>
          <w:highlight w:val="none"/>
        </w:rPr>
        <w:fldChar w:fldCharType="end"/>
      </w:r>
    </w:p>
    <w:p w14:paraId="2B5B072A">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_Toc21804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格式一</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封面</w:t>
      </w:r>
      <w:r>
        <w:rPr>
          <w:highlight w:val="none"/>
        </w:rPr>
        <w:tab/>
      </w:r>
      <w:r>
        <w:rPr>
          <w:highlight w:val="none"/>
        </w:rPr>
        <w:fldChar w:fldCharType="begin"/>
      </w:r>
      <w:r>
        <w:rPr>
          <w:highlight w:val="none"/>
        </w:rPr>
        <w:instrText xml:space="preserve"> PAGEREF _Toc21804 \h </w:instrText>
      </w:r>
      <w:r>
        <w:rPr>
          <w:highlight w:val="none"/>
        </w:rPr>
        <w:fldChar w:fldCharType="separate"/>
      </w:r>
      <w:r>
        <w:rPr>
          <w:highlight w:val="none"/>
        </w:rPr>
        <w:t>71</w:t>
      </w:r>
      <w:r>
        <w:rPr>
          <w:highlight w:val="none"/>
        </w:rPr>
        <w:fldChar w:fldCharType="end"/>
      </w:r>
      <w:r>
        <w:rPr>
          <w:rFonts w:hint="eastAsia" w:ascii="宋体" w:hAnsi="宋体" w:eastAsia="宋体" w:cs="宋体"/>
          <w:color w:val="auto"/>
          <w:spacing w:val="0"/>
          <w:szCs w:val="24"/>
          <w:highlight w:val="none"/>
        </w:rPr>
        <w:fldChar w:fldCharType="end"/>
      </w:r>
    </w:p>
    <w:p w14:paraId="25AD083E">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_Toc9478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格式二 投标函</w:t>
      </w:r>
      <w:r>
        <w:rPr>
          <w:highlight w:val="none"/>
        </w:rPr>
        <w:tab/>
      </w:r>
      <w:r>
        <w:rPr>
          <w:highlight w:val="none"/>
        </w:rPr>
        <w:fldChar w:fldCharType="begin"/>
      </w:r>
      <w:r>
        <w:rPr>
          <w:highlight w:val="none"/>
        </w:rPr>
        <w:instrText xml:space="preserve"> PAGEREF _Toc9478 \h </w:instrText>
      </w:r>
      <w:r>
        <w:rPr>
          <w:highlight w:val="none"/>
        </w:rPr>
        <w:fldChar w:fldCharType="separate"/>
      </w:r>
      <w:r>
        <w:rPr>
          <w:highlight w:val="none"/>
        </w:rPr>
        <w:t>72</w:t>
      </w:r>
      <w:r>
        <w:rPr>
          <w:highlight w:val="none"/>
        </w:rPr>
        <w:fldChar w:fldCharType="end"/>
      </w:r>
      <w:r>
        <w:rPr>
          <w:rFonts w:hint="eastAsia" w:ascii="宋体" w:hAnsi="宋体" w:eastAsia="宋体" w:cs="宋体"/>
          <w:color w:val="auto"/>
          <w:spacing w:val="0"/>
          <w:szCs w:val="24"/>
          <w:highlight w:val="none"/>
        </w:rPr>
        <w:fldChar w:fldCharType="end"/>
      </w:r>
    </w:p>
    <w:p w14:paraId="7A366ED9">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_Toc31828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格式三 各项承诺一览表</w:t>
      </w:r>
      <w:r>
        <w:rPr>
          <w:highlight w:val="none"/>
        </w:rPr>
        <w:tab/>
      </w:r>
      <w:r>
        <w:rPr>
          <w:highlight w:val="none"/>
        </w:rPr>
        <w:fldChar w:fldCharType="begin"/>
      </w:r>
      <w:r>
        <w:rPr>
          <w:highlight w:val="none"/>
        </w:rPr>
        <w:instrText xml:space="preserve"> PAGEREF _Toc31828 \h </w:instrText>
      </w:r>
      <w:r>
        <w:rPr>
          <w:highlight w:val="none"/>
        </w:rPr>
        <w:fldChar w:fldCharType="separate"/>
      </w:r>
      <w:r>
        <w:rPr>
          <w:highlight w:val="none"/>
        </w:rPr>
        <w:t>73</w:t>
      </w:r>
      <w:r>
        <w:rPr>
          <w:highlight w:val="none"/>
        </w:rPr>
        <w:fldChar w:fldCharType="end"/>
      </w:r>
      <w:r>
        <w:rPr>
          <w:rFonts w:hint="eastAsia" w:ascii="宋体" w:hAnsi="宋体" w:eastAsia="宋体" w:cs="宋体"/>
          <w:color w:val="auto"/>
          <w:spacing w:val="0"/>
          <w:szCs w:val="24"/>
          <w:highlight w:val="none"/>
        </w:rPr>
        <w:fldChar w:fldCharType="end"/>
      </w:r>
    </w:p>
    <w:p w14:paraId="6C167767">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_Toc9225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格式四 授权委托书</w:t>
      </w:r>
      <w:r>
        <w:rPr>
          <w:highlight w:val="none"/>
        </w:rPr>
        <w:tab/>
      </w:r>
      <w:r>
        <w:rPr>
          <w:highlight w:val="none"/>
        </w:rPr>
        <w:fldChar w:fldCharType="begin"/>
      </w:r>
      <w:r>
        <w:rPr>
          <w:highlight w:val="none"/>
        </w:rPr>
        <w:instrText xml:space="preserve"> PAGEREF _Toc9225 \h </w:instrText>
      </w:r>
      <w:r>
        <w:rPr>
          <w:highlight w:val="none"/>
        </w:rPr>
        <w:fldChar w:fldCharType="separate"/>
      </w:r>
      <w:r>
        <w:rPr>
          <w:highlight w:val="none"/>
        </w:rPr>
        <w:t>75</w:t>
      </w:r>
      <w:r>
        <w:rPr>
          <w:highlight w:val="none"/>
        </w:rPr>
        <w:fldChar w:fldCharType="end"/>
      </w:r>
      <w:r>
        <w:rPr>
          <w:rFonts w:hint="eastAsia" w:ascii="宋体" w:hAnsi="宋体" w:eastAsia="宋体" w:cs="宋体"/>
          <w:color w:val="auto"/>
          <w:spacing w:val="0"/>
          <w:szCs w:val="24"/>
          <w:highlight w:val="none"/>
        </w:rPr>
        <w:fldChar w:fldCharType="end"/>
      </w:r>
    </w:p>
    <w:p w14:paraId="01172133">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_Toc23932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格式五 法定代表人身份证明</w:t>
      </w:r>
      <w:r>
        <w:rPr>
          <w:highlight w:val="none"/>
        </w:rPr>
        <w:tab/>
      </w:r>
      <w:r>
        <w:rPr>
          <w:highlight w:val="none"/>
        </w:rPr>
        <w:fldChar w:fldCharType="begin"/>
      </w:r>
      <w:r>
        <w:rPr>
          <w:highlight w:val="none"/>
        </w:rPr>
        <w:instrText xml:space="preserve"> PAGEREF _Toc23932 \h </w:instrText>
      </w:r>
      <w:r>
        <w:rPr>
          <w:highlight w:val="none"/>
        </w:rPr>
        <w:fldChar w:fldCharType="separate"/>
      </w:r>
      <w:r>
        <w:rPr>
          <w:highlight w:val="none"/>
        </w:rPr>
        <w:t>76</w:t>
      </w:r>
      <w:r>
        <w:rPr>
          <w:highlight w:val="none"/>
        </w:rPr>
        <w:fldChar w:fldCharType="end"/>
      </w:r>
      <w:r>
        <w:rPr>
          <w:rFonts w:hint="eastAsia" w:ascii="宋体" w:hAnsi="宋体" w:eastAsia="宋体" w:cs="宋体"/>
          <w:color w:val="auto"/>
          <w:spacing w:val="0"/>
          <w:szCs w:val="24"/>
          <w:highlight w:val="none"/>
        </w:rPr>
        <w:fldChar w:fldCharType="end"/>
      </w:r>
    </w:p>
    <w:p w14:paraId="14EF0852">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_Toc13087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格式六 联合体协议书</w:t>
      </w:r>
      <w:r>
        <w:rPr>
          <w:rFonts w:hint="eastAsia" w:ascii="宋体" w:hAnsi="宋体" w:eastAsia="宋体" w:cs="宋体"/>
          <w:bCs/>
          <w:spacing w:val="0"/>
          <w:szCs w:val="24"/>
          <w:highlight w:val="none"/>
          <w:lang w:eastAsia="zh-CN"/>
        </w:rPr>
        <w:t>（</w:t>
      </w:r>
      <w:r>
        <w:rPr>
          <w:rFonts w:hint="eastAsia" w:ascii="宋体" w:hAnsi="宋体" w:eastAsia="宋体" w:cs="宋体"/>
          <w:bCs/>
          <w:spacing w:val="0"/>
          <w:szCs w:val="24"/>
          <w:highlight w:val="none"/>
          <w:lang w:val="en-US" w:eastAsia="zh-CN"/>
        </w:rPr>
        <w:t>如有</w:t>
      </w:r>
      <w:r>
        <w:rPr>
          <w:rFonts w:hint="eastAsia" w:ascii="宋体" w:hAnsi="宋体" w:eastAsia="宋体" w:cs="宋体"/>
          <w:bCs/>
          <w:spacing w:val="0"/>
          <w:szCs w:val="24"/>
          <w:highlight w:val="none"/>
          <w:lang w:eastAsia="zh-CN"/>
        </w:rPr>
        <w:t>）</w:t>
      </w:r>
      <w:r>
        <w:rPr>
          <w:highlight w:val="none"/>
        </w:rPr>
        <w:tab/>
      </w:r>
      <w:r>
        <w:rPr>
          <w:highlight w:val="none"/>
        </w:rPr>
        <w:fldChar w:fldCharType="begin"/>
      </w:r>
      <w:r>
        <w:rPr>
          <w:highlight w:val="none"/>
        </w:rPr>
        <w:instrText xml:space="preserve"> PAGEREF _Toc13087 \h </w:instrText>
      </w:r>
      <w:r>
        <w:rPr>
          <w:highlight w:val="none"/>
        </w:rPr>
        <w:fldChar w:fldCharType="separate"/>
      </w:r>
      <w:r>
        <w:rPr>
          <w:highlight w:val="none"/>
        </w:rPr>
        <w:t>77</w:t>
      </w:r>
      <w:r>
        <w:rPr>
          <w:highlight w:val="none"/>
        </w:rPr>
        <w:fldChar w:fldCharType="end"/>
      </w:r>
      <w:r>
        <w:rPr>
          <w:rFonts w:hint="eastAsia" w:ascii="宋体" w:hAnsi="宋体" w:eastAsia="宋体" w:cs="宋体"/>
          <w:color w:val="auto"/>
          <w:spacing w:val="0"/>
          <w:szCs w:val="24"/>
          <w:highlight w:val="none"/>
        </w:rPr>
        <w:fldChar w:fldCharType="end"/>
      </w:r>
    </w:p>
    <w:p w14:paraId="67B6DF79">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_Toc12591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格式七 投标人基本情况表</w:t>
      </w:r>
      <w:r>
        <w:rPr>
          <w:highlight w:val="none"/>
        </w:rPr>
        <w:tab/>
      </w:r>
      <w:r>
        <w:rPr>
          <w:highlight w:val="none"/>
        </w:rPr>
        <w:fldChar w:fldCharType="begin"/>
      </w:r>
      <w:r>
        <w:rPr>
          <w:highlight w:val="none"/>
        </w:rPr>
        <w:instrText xml:space="preserve"> PAGEREF _Toc12591 \h </w:instrText>
      </w:r>
      <w:r>
        <w:rPr>
          <w:highlight w:val="none"/>
        </w:rPr>
        <w:fldChar w:fldCharType="separate"/>
      </w:r>
      <w:r>
        <w:rPr>
          <w:highlight w:val="none"/>
        </w:rPr>
        <w:t>78</w:t>
      </w:r>
      <w:r>
        <w:rPr>
          <w:highlight w:val="none"/>
        </w:rPr>
        <w:fldChar w:fldCharType="end"/>
      </w:r>
      <w:r>
        <w:rPr>
          <w:rFonts w:hint="eastAsia" w:ascii="宋体" w:hAnsi="宋体" w:eastAsia="宋体" w:cs="宋体"/>
          <w:color w:val="auto"/>
          <w:spacing w:val="0"/>
          <w:szCs w:val="24"/>
          <w:highlight w:val="none"/>
        </w:rPr>
        <w:fldChar w:fldCharType="end"/>
      </w:r>
    </w:p>
    <w:p w14:paraId="54AA82F3">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_Toc27456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格式八 项目经理简历表</w:t>
      </w:r>
      <w:r>
        <w:rPr>
          <w:highlight w:val="none"/>
        </w:rPr>
        <w:tab/>
      </w:r>
      <w:r>
        <w:rPr>
          <w:highlight w:val="none"/>
        </w:rPr>
        <w:fldChar w:fldCharType="begin"/>
      </w:r>
      <w:r>
        <w:rPr>
          <w:highlight w:val="none"/>
        </w:rPr>
        <w:instrText xml:space="preserve"> PAGEREF _Toc27456 \h </w:instrText>
      </w:r>
      <w:r>
        <w:rPr>
          <w:highlight w:val="none"/>
        </w:rPr>
        <w:fldChar w:fldCharType="separate"/>
      </w:r>
      <w:r>
        <w:rPr>
          <w:highlight w:val="none"/>
        </w:rPr>
        <w:t>79</w:t>
      </w:r>
      <w:r>
        <w:rPr>
          <w:highlight w:val="none"/>
        </w:rPr>
        <w:fldChar w:fldCharType="end"/>
      </w:r>
      <w:r>
        <w:rPr>
          <w:rFonts w:hint="eastAsia" w:ascii="宋体" w:hAnsi="宋体" w:eastAsia="宋体" w:cs="宋体"/>
          <w:color w:val="auto"/>
          <w:spacing w:val="0"/>
          <w:szCs w:val="24"/>
          <w:highlight w:val="none"/>
        </w:rPr>
        <w:fldChar w:fldCharType="end"/>
      </w:r>
    </w:p>
    <w:p w14:paraId="3F5D9693">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_Toc19646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格式九 项目经理任职声明</w:t>
      </w:r>
      <w:r>
        <w:rPr>
          <w:highlight w:val="none"/>
        </w:rPr>
        <w:tab/>
      </w:r>
      <w:r>
        <w:rPr>
          <w:highlight w:val="none"/>
        </w:rPr>
        <w:fldChar w:fldCharType="begin"/>
      </w:r>
      <w:r>
        <w:rPr>
          <w:highlight w:val="none"/>
        </w:rPr>
        <w:instrText xml:space="preserve"> PAGEREF _Toc19646 \h </w:instrText>
      </w:r>
      <w:r>
        <w:rPr>
          <w:highlight w:val="none"/>
        </w:rPr>
        <w:fldChar w:fldCharType="separate"/>
      </w:r>
      <w:r>
        <w:rPr>
          <w:highlight w:val="none"/>
        </w:rPr>
        <w:t>80</w:t>
      </w:r>
      <w:r>
        <w:rPr>
          <w:highlight w:val="none"/>
        </w:rPr>
        <w:fldChar w:fldCharType="end"/>
      </w:r>
      <w:r>
        <w:rPr>
          <w:rFonts w:hint="eastAsia" w:ascii="宋体" w:hAnsi="宋体" w:eastAsia="宋体" w:cs="宋体"/>
          <w:color w:val="auto"/>
          <w:spacing w:val="0"/>
          <w:szCs w:val="24"/>
          <w:highlight w:val="none"/>
        </w:rPr>
        <w:fldChar w:fldCharType="end"/>
      </w:r>
    </w:p>
    <w:p w14:paraId="5AEFBEDD">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_Toc13288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 项目技术负责人简历表</w:t>
      </w:r>
      <w:r>
        <w:rPr>
          <w:highlight w:val="none"/>
        </w:rPr>
        <w:tab/>
      </w:r>
      <w:r>
        <w:rPr>
          <w:highlight w:val="none"/>
        </w:rPr>
        <w:fldChar w:fldCharType="begin"/>
      </w:r>
      <w:r>
        <w:rPr>
          <w:highlight w:val="none"/>
        </w:rPr>
        <w:instrText xml:space="preserve"> PAGEREF _Toc13288 \h </w:instrText>
      </w:r>
      <w:r>
        <w:rPr>
          <w:highlight w:val="none"/>
        </w:rPr>
        <w:fldChar w:fldCharType="separate"/>
      </w:r>
      <w:r>
        <w:rPr>
          <w:highlight w:val="none"/>
        </w:rPr>
        <w:t>81</w:t>
      </w:r>
      <w:r>
        <w:rPr>
          <w:highlight w:val="none"/>
        </w:rPr>
        <w:fldChar w:fldCharType="end"/>
      </w:r>
      <w:r>
        <w:rPr>
          <w:rFonts w:hint="eastAsia" w:ascii="宋体" w:hAnsi="宋体" w:eastAsia="宋体" w:cs="宋体"/>
          <w:color w:val="auto"/>
          <w:spacing w:val="0"/>
          <w:szCs w:val="24"/>
          <w:highlight w:val="none"/>
        </w:rPr>
        <w:fldChar w:fldCharType="end"/>
      </w:r>
    </w:p>
    <w:p w14:paraId="36D2B9B7">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_Toc27504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格式十一 项目管理机构组成表</w:t>
      </w:r>
      <w:r>
        <w:rPr>
          <w:highlight w:val="none"/>
        </w:rPr>
        <w:tab/>
      </w:r>
      <w:r>
        <w:rPr>
          <w:highlight w:val="none"/>
        </w:rPr>
        <w:fldChar w:fldCharType="begin"/>
      </w:r>
      <w:r>
        <w:rPr>
          <w:highlight w:val="none"/>
        </w:rPr>
        <w:instrText xml:space="preserve"> PAGEREF _Toc27504 \h </w:instrText>
      </w:r>
      <w:r>
        <w:rPr>
          <w:highlight w:val="none"/>
        </w:rPr>
        <w:fldChar w:fldCharType="separate"/>
      </w:r>
      <w:r>
        <w:rPr>
          <w:highlight w:val="none"/>
        </w:rPr>
        <w:t>82</w:t>
      </w:r>
      <w:r>
        <w:rPr>
          <w:highlight w:val="none"/>
        </w:rPr>
        <w:fldChar w:fldCharType="end"/>
      </w:r>
      <w:r>
        <w:rPr>
          <w:rFonts w:hint="eastAsia" w:ascii="宋体" w:hAnsi="宋体" w:eastAsia="宋体" w:cs="宋体"/>
          <w:color w:val="auto"/>
          <w:spacing w:val="0"/>
          <w:szCs w:val="24"/>
          <w:highlight w:val="none"/>
        </w:rPr>
        <w:fldChar w:fldCharType="end"/>
      </w:r>
    </w:p>
    <w:p w14:paraId="5A12C2A2">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_Toc3573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格式十二 建造师查询页（有效期+建造师签字）</w:t>
      </w:r>
      <w:r>
        <w:rPr>
          <w:highlight w:val="none"/>
        </w:rPr>
        <w:tab/>
      </w:r>
      <w:r>
        <w:rPr>
          <w:highlight w:val="none"/>
        </w:rPr>
        <w:fldChar w:fldCharType="begin"/>
      </w:r>
      <w:r>
        <w:rPr>
          <w:highlight w:val="none"/>
        </w:rPr>
        <w:instrText xml:space="preserve"> PAGEREF _Toc3573 \h </w:instrText>
      </w:r>
      <w:r>
        <w:rPr>
          <w:highlight w:val="none"/>
        </w:rPr>
        <w:fldChar w:fldCharType="separate"/>
      </w:r>
      <w:r>
        <w:rPr>
          <w:highlight w:val="none"/>
        </w:rPr>
        <w:t>83</w:t>
      </w:r>
      <w:r>
        <w:rPr>
          <w:highlight w:val="none"/>
        </w:rPr>
        <w:fldChar w:fldCharType="end"/>
      </w:r>
      <w:r>
        <w:rPr>
          <w:rFonts w:hint="eastAsia" w:ascii="宋体" w:hAnsi="宋体" w:eastAsia="宋体" w:cs="宋体"/>
          <w:color w:val="auto"/>
          <w:spacing w:val="0"/>
          <w:szCs w:val="24"/>
          <w:highlight w:val="none"/>
        </w:rPr>
        <w:fldChar w:fldCharType="end"/>
      </w:r>
    </w:p>
    <w:p w14:paraId="10F99973">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_Toc23166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格式十三</w:t>
      </w:r>
      <w:r>
        <w:rPr>
          <w:rFonts w:hint="eastAsia" w:ascii="宋体" w:hAnsi="宋体" w:eastAsia="宋体" w:cs="宋体"/>
          <w:bCs/>
          <w:spacing w:val="0"/>
          <w:szCs w:val="24"/>
          <w:highlight w:val="none"/>
          <w:lang w:val="en-US" w:eastAsia="zh-CN"/>
        </w:rPr>
        <w:t xml:space="preserve"> </w:t>
      </w:r>
      <w:r>
        <w:rPr>
          <w:rFonts w:hint="eastAsia" w:ascii="宋体" w:hAnsi="宋体" w:eastAsia="宋体" w:cs="宋体"/>
          <w:bCs/>
          <w:spacing w:val="0"/>
          <w:szCs w:val="22"/>
          <w:highlight w:val="none"/>
        </w:rPr>
        <w:t>危险性较大的分部分项工程清单及超过一定规模的危险性较大的分部分项工程清单</w:t>
      </w:r>
      <w:r>
        <w:rPr>
          <w:highlight w:val="none"/>
        </w:rPr>
        <w:tab/>
      </w:r>
      <w:r>
        <w:rPr>
          <w:highlight w:val="none"/>
        </w:rPr>
        <w:fldChar w:fldCharType="begin"/>
      </w:r>
      <w:r>
        <w:rPr>
          <w:highlight w:val="none"/>
        </w:rPr>
        <w:instrText xml:space="preserve"> PAGEREF _Toc23166 \h </w:instrText>
      </w:r>
      <w:r>
        <w:rPr>
          <w:highlight w:val="none"/>
        </w:rPr>
        <w:fldChar w:fldCharType="separate"/>
      </w:r>
      <w:r>
        <w:rPr>
          <w:highlight w:val="none"/>
        </w:rPr>
        <w:t>85</w:t>
      </w:r>
      <w:r>
        <w:rPr>
          <w:highlight w:val="none"/>
        </w:rPr>
        <w:fldChar w:fldCharType="end"/>
      </w:r>
      <w:r>
        <w:rPr>
          <w:rFonts w:hint="eastAsia" w:ascii="宋体" w:hAnsi="宋体" w:eastAsia="宋体" w:cs="宋体"/>
          <w:color w:val="auto"/>
          <w:spacing w:val="0"/>
          <w:szCs w:val="24"/>
          <w:highlight w:val="none"/>
        </w:rPr>
        <w:fldChar w:fldCharType="end"/>
      </w:r>
    </w:p>
    <w:p w14:paraId="7752FC51">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_Toc27207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格式十四</w:t>
      </w:r>
      <w:r>
        <w:rPr>
          <w:rFonts w:hint="eastAsia" w:ascii="宋体" w:hAnsi="宋体" w:eastAsia="宋体" w:cs="宋体"/>
          <w:bCs/>
          <w:spacing w:val="0"/>
          <w:szCs w:val="24"/>
          <w:highlight w:val="none"/>
          <w:lang w:val="en-US" w:eastAsia="zh-CN"/>
        </w:rPr>
        <w:t xml:space="preserve">  </w:t>
      </w:r>
      <w:r>
        <w:rPr>
          <w:rFonts w:hint="eastAsia" w:ascii="宋体" w:hAnsi="宋体" w:eastAsia="宋体" w:cs="宋体"/>
          <w:bCs/>
          <w:spacing w:val="0"/>
          <w:position w:val="3"/>
          <w:szCs w:val="21"/>
          <w:highlight w:val="none"/>
        </w:rPr>
        <w:t>投标保证金信用承诺函</w:t>
      </w:r>
      <w:r>
        <w:rPr>
          <w:highlight w:val="none"/>
        </w:rPr>
        <w:tab/>
      </w:r>
      <w:r>
        <w:rPr>
          <w:highlight w:val="none"/>
        </w:rPr>
        <w:fldChar w:fldCharType="begin"/>
      </w:r>
      <w:r>
        <w:rPr>
          <w:highlight w:val="none"/>
        </w:rPr>
        <w:instrText xml:space="preserve"> PAGEREF _Toc27207 \h </w:instrText>
      </w:r>
      <w:r>
        <w:rPr>
          <w:highlight w:val="none"/>
        </w:rPr>
        <w:fldChar w:fldCharType="separate"/>
      </w:r>
      <w:r>
        <w:rPr>
          <w:highlight w:val="none"/>
        </w:rPr>
        <w:t>90</w:t>
      </w:r>
      <w:r>
        <w:rPr>
          <w:highlight w:val="none"/>
        </w:rPr>
        <w:fldChar w:fldCharType="end"/>
      </w:r>
      <w:r>
        <w:rPr>
          <w:rFonts w:hint="eastAsia" w:ascii="宋体" w:hAnsi="宋体" w:eastAsia="宋体" w:cs="宋体"/>
          <w:color w:val="auto"/>
          <w:spacing w:val="0"/>
          <w:szCs w:val="24"/>
          <w:highlight w:val="none"/>
        </w:rPr>
        <w:fldChar w:fldCharType="end"/>
      </w:r>
    </w:p>
    <w:p w14:paraId="3D8722E4">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_Toc26027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w:t>
      </w:r>
      <w:r>
        <w:rPr>
          <w:rFonts w:hint="eastAsia" w:ascii="宋体" w:hAnsi="宋体" w:eastAsia="宋体" w:cs="宋体"/>
          <w:bCs/>
          <w:spacing w:val="0"/>
          <w:szCs w:val="24"/>
          <w:highlight w:val="none"/>
          <w:lang w:eastAsia="zh-CN"/>
        </w:rPr>
        <w:t>五</w:t>
      </w:r>
      <w:r>
        <w:rPr>
          <w:rFonts w:hint="eastAsia" w:ascii="宋体" w:hAnsi="宋体" w:eastAsia="宋体" w:cs="宋体"/>
          <w:bCs/>
          <w:spacing w:val="0"/>
          <w:szCs w:val="24"/>
          <w:highlight w:val="none"/>
        </w:rPr>
        <w:t xml:space="preserve">  原件一览表</w:t>
      </w:r>
      <w:r>
        <w:rPr>
          <w:highlight w:val="none"/>
        </w:rPr>
        <w:tab/>
      </w:r>
      <w:r>
        <w:rPr>
          <w:highlight w:val="none"/>
        </w:rPr>
        <w:fldChar w:fldCharType="begin"/>
      </w:r>
      <w:r>
        <w:rPr>
          <w:highlight w:val="none"/>
        </w:rPr>
        <w:instrText xml:space="preserve"> PAGEREF _Toc26027 \h </w:instrText>
      </w:r>
      <w:r>
        <w:rPr>
          <w:highlight w:val="none"/>
        </w:rPr>
        <w:fldChar w:fldCharType="separate"/>
      </w:r>
      <w:r>
        <w:rPr>
          <w:highlight w:val="none"/>
        </w:rPr>
        <w:t>91</w:t>
      </w:r>
      <w:r>
        <w:rPr>
          <w:highlight w:val="none"/>
        </w:rPr>
        <w:fldChar w:fldCharType="end"/>
      </w:r>
      <w:r>
        <w:rPr>
          <w:rFonts w:hint="eastAsia" w:ascii="宋体" w:hAnsi="宋体" w:eastAsia="宋体" w:cs="宋体"/>
          <w:color w:val="auto"/>
          <w:spacing w:val="0"/>
          <w:szCs w:val="24"/>
          <w:highlight w:val="none"/>
        </w:rPr>
        <w:fldChar w:fldCharType="end"/>
      </w:r>
    </w:p>
    <w:p w14:paraId="0F332678">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_Toc4725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w:t>
      </w:r>
      <w:r>
        <w:rPr>
          <w:rFonts w:hint="eastAsia" w:ascii="宋体" w:hAnsi="宋体" w:eastAsia="宋体" w:cs="宋体"/>
          <w:bCs/>
          <w:spacing w:val="0"/>
          <w:szCs w:val="24"/>
          <w:highlight w:val="none"/>
          <w:lang w:val="en-US" w:eastAsia="zh-CN"/>
        </w:rPr>
        <w:t>十六</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lang w:val="en-US" w:eastAsia="zh-CN"/>
        </w:rPr>
        <w:t>定标文件</w:t>
      </w:r>
      <w:r>
        <w:rPr>
          <w:rFonts w:hint="eastAsia" w:ascii="宋体" w:hAnsi="宋体" w:eastAsia="宋体" w:cs="宋体"/>
          <w:bCs/>
          <w:spacing w:val="0"/>
          <w:szCs w:val="24"/>
          <w:highlight w:val="none"/>
        </w:rPr>
        <w:t>封面</w:t>
      </w:r>
      <w:r>
        <w:rPr>
          <w:highlight w:val="none"/>
        </w:rPr>
        <w:tab/>
      </w:r>
      <w:r>
        <w:rPr>
          <w:highlight w:val="none"/>
        </w:rPr>
        <w:fldChar w:fldCharType="begin"/>
      </w:r>
      <w:r>
        <w:rPr>
          <w:highlight w:val="none"/>
        </w:rPr>
        <w:instrText xml:space="preserve"> PAGEREF _Toc4725 \h </w:instrText>
      </w:r>
      <w:r>
        <w:rPr>
          <w:highlight w:val="none"/>
        </w:rPr>
        <w:fldChar w:fldCharType="separate"/>
      </w:r>
      <w:r>
        <w:rPr>
          <w:highlight w:val="none"/>
        </w:rPr>
        <w:t>92</w:t>
      </w:r>
      <w:r>
        <w:rPr>
          <w:highlight w:val="none"/>
        </w:rPr>
        <w:fldChar w:fldCharType="end"/>
      </w:r>
      <w:r>
        <w:rPr>
          <w:rFonts w:hint="eastAsia" w:ascii="宋体" w:hAnsi="宋体" w:eastAsia="宋体" w:cs="宋体"/>
          <w:color w:val="auto"/>
          <w:spacing w:val="0"/>
          <w:szCs w:val="24"/>
          <w:highlight w:val="none"/>
        </w:rPr>
        <w:fldChar w:fldCharType="end"/>
      </w:r>
    </w:p>
    <w:p w14:paraId="2087E198">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_Toc4519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w:t>
      </w:r>
      <w:r>
        <w:rPr>
          <w:rFonts w:hint="eastAsia" w:ascii="宋体" w:hAnsi="宋体" w:eastAsia="宋体" w:cs="宋体"/>
          <w:bCs/>
          <w:spacing w:val="0"/>
          <w:szCs w:val="24"/>
          <w:highlight w:val="none"/>
          <w:lang w:val="en-US" w:eastAsia="zh-CN"/>
        </w:rPr>
        <w:t>十七</w:t>
      </w:r>
      <w:r>
        <w:rPr>
          <w:rFonts w:hint="eastAsia" w:ascii="宋体" w:hAnsi="宋体" w:eastAsia="宋体" w:cs="宋体"/>
          <w:bCs/>
          <w:spacing w:val="0"/>
          <w:szCs w:val="24"/>
          <w:highlight w:val="none"/>
        </w:rPr>
        <w:t xml:space="preserve"> </w:t>
      </w:r>
      <w:r>
        <w:rPr>
          <w:rFonts w:hint="eastAsia" w:ascii="宋体" w:hAnsi="宋体" w:eastAsia="宋体" w:cs="宋体"/>
          <w:bCs/>
          <w:spacing w:val="0"/>
          <w:szCs w:val="24"/>
          <w:highlight w:val="none"/>
          <w:lang w:val="en-US" w:eastAsia="zh-CN"/>
        </w:rPr>
        <w:t>定标因素评审资料</w:t>
      </w:r>
      <w:r>
        <w:rPr>
          <w:highlight w:val="none"/>
        </w:rPr>
        <w:tab/>
      </w:r>
      <w:r>
        <w:rPr>
          <w:highlight w:val="none"/>
        </w:rPr>
        <w:fldChar w:fldCharType="begin"/>
      </w:r>
      <w:r>
        <w:rPr>
          <w:highlight w:val="none"/>
        </w:rPr>
        <w:instrText xml:space="preserve"> PAGEREF _Toc4519 \h </w:instrText>
      </w:r>
      <w:r>
        <w:rPr>
          <w:highlight w:val="none"/>
        </w:rPr>
        <w:fldChar w:fldCharType="separate"/>
      </w:r>
      <w:r>
        <w:rPr>
          <w:highlight w:val="none"/>
        </w:rPr>
        <w:t>93</w:t>
      </w:r>
      <w:r>
        <w:rPr>
          <w:highlight w:val="none"/>
        </w:rPr>
        <w:fldChar w:fldCharType="end"/>
      </w:r>
      <w:r>
        <w:rPr>
          <w:rFonts w:hint="eastAsia" w:ascii="宋体" w:hAnsi="宋体" w:eastAsia="宋体" w:cs="宋体"/>
          <w:color w:val="auto"/>
          <w:spacing w:val="0"/>
          <w:szCs w:val="24"/>
          <w:highlight w:val="none"/>
        </w:rPr>
        <w:fldChar w:fldCharType="end"/>
      </w:r>
    </w:p>
    <w:p w14:paraId="76EBA53F">
      <w:pPr>
        <w:pStyle w:val="11"/>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_Toc7189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第七章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建设工程施工合同</w:t>
      </w:r>
      <w:r>
        <w:rPr>
          <w:highlight w:val="none"/>
        </w:rPr>
        <w:tab/>
      </w:r>
      <w:r>
        <w:rPr>
          <w:highlight w:val="none"/>
        </w:rPr>
        <w:fldChar w:fldCharType="begin"/>
      </w:r>
      <w:r>
        <w:rPr>
          <w:highlight w:val="none"/>
        </w:rPr>
        <w:instrText xml:space="preserve"> PAGEREF _Toc7189 \h </w:instrText>
      </w:r>
      <w:r>
        <w:rPr>
          <w:highlight w:val="none"/>
        </w:rPr>
        <w:fldChar w:fldCharType="separate"/>
      </w:r>
      <w:r>
        <w:rPr>
          <w:highlight w:val="none"/>
        </w:rPr>
        <w:t>94</w:t>
      </w:r>
      <w:r>
        <w:rPr>
          <w:highlight w:val="none"/>
        </w:rPr>
        <w:fldChar w:fldCharType="end"/>
      </w:r>
      <w:r>
        <w:rPr>
          <w:rFonts w:hint="eastAsia" w:ascii="宋体" w:hAnsi="宋体" w:eastAsia="宋体" w:cs="宋体"/>
          <w:color w:val="auto"/>
          <w:spacing w:val="0"/>
          <w:szCs w:val="24"/>
          <w:highlight w:val="none"/>
        </w:rPr>
        <w:fldChar w:fldCharType="end"/>
      </w:r>
    </w:p>
    <w:p w14:paraId="5C2DA271">
      <w:pPr>
        <w:keepNext w:val="0"/>
        <w:keepLines w:val="0"/>
        <w:pageBreakBefore w:val="0"/>
        <w:wordWrap w:val="0"/>
        <w:overflowPunct/>
        <w:topLinePunct w:val="0"/>
        <w:bidi w:val="0"/>
        <w:spacing w:line="220" w:lineRule="auto"/>
        <w:jc w:val="center"/>
        <w:rPr>
          <w:rFonts w:hint="eastAsia" w:ascii="宋体" w:hAnsi="宋体" w:eastAsia="宋体" w:cs="宋体"/>
          <w:color w:val="auto"/>
          <w:spacing w:val="0"/>
          <w:sz w:val="24"/>
          <w:szCs w:val="24"/>
          <w:highlight w:val="none"/>
        </w:rPr>
        <w:sectPr>
          <w:headerReference r:id="rId4" w:type="default"/>
          <w:footerReference r:id="rId5" w:type="default"/>
          <w:pgSz w:w="11906" w:h="16839"/>
          <w:pgMar w:top="1440" w:right="1080" w:bottom="1440" w:left="1080" w:header="1200" w:footer="1134"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color w:val="auto"/>
          <w:spacing w:val="0"/>
          <w:szCs w:val="24"/>
          <w:highlight w:val="none"/>
        </w:rPr>
        <w:fldChar w:fldCharType="end"/>
      </w:r>
    </w:p>
    <w:p w14:paraId="5E00BD9D">
      <w:pPr>
        <w:pStyle w:val="6"/>
        <w:keepNext w:val="0"/>
        <w:keepLines w:val="0"/>
        <w:pageBreakBefore w:val="0"/>
        <w:wordWrap w:val="0"/>
        <w:overflowPunct/>
        <w:topLinePunct w:val="0"/>
        <w:bidi w:val="0"/>
        <w:spacing w:line="272" w:lineRule="auto"/>
        <w:rPr>
          <w:rFonts w:hint="eastAsia" w:ascii="宋体" w:hAnsi="宋体" w:eastAsia="宋体" w:cs="宋体"/>
          <w:color w:val="auto"/>
          <w:spacing w:val="0"/>
          <w:highlight w:val="none"/>
        </w:rPr>
      </w:pPr>
    </w:p>
    <w:p w14:paraId="4469BBC3">
      <w:pPr>
        <w:keepNext w:val="0"/>
        <w:keepLines w:val="0"/>
        <w:pageBreakBefore w:val="0"/>
        <w:wordWrap w:val="0"/>
        <w:overflowPunct/>
        <w:topLinePunct w:val="0"/>
        <w:bidi w:val="0"/>
        <w:spacing w:before="78" w:line="219" w:lineRule="auto"/>
        <w:ind w:left="3416"/>
        <w:outlineLvl w:val="0"/>
        <w:rPr>
          <w:rFonts w:hint="eastAsia" w:ascii="宋体" w:hAnsi="宋体" w:eastAsia="宋体" w:cs="宋体"/>
          <w:color w:val="auto"/>
          <w:spacing w:val="0"/>
          <w:sz w:val="24"/>
          <w:szCs w:val="24"/>
          <w:highlight w:val="none"/>
        </w:rPr>
      </w:pPr>
      <w:bookmarkStart w:id="0" w:name="bookmark1"/>
      <w:bookmarkEnd w:id="0"/>
      <w:bookmarkStart w:id="1" w:name="_Toc10235"/>
      <w:r>
        <w:rPr>
          <w:rFonts w:hint="eastAsia" w:ascii="宋体" w:hAnsi="宋体" w:eastAsia="宋体" w:cs="宋体"/>
          <w:b/>
          <w:bCs/>
          <w:color w:val="auto"/>
          <w:spacing w:val="0"/>
          <w:sz w:val="24"/>
          <w:szCs w:val="24"/>
          <w:highlight w:val="none"/>
        </w:rPr>
        <w:t>第一章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投标人须知</w:t>
      </w:r>
      <w:bookmarkEnd w:id="1"/>
    </w:p>
    <w:p w14:paraId="2CEDFB2C">
      <w:pPr>
        <w:keepNext w:val="0"/>
        <w:keepLines w:val="0"/>
        <w:pageBreakBefore w:val="0"/>
        <w:wordWrap w:val="0"/>
        <w:overflowPunct/>
        <w:topLinePunct w:val="0"/>
        <w:bidi w:val="0"/>
        <w:spacing w:before="156" w:line="219" w:lineRule="auto"/>
        <w:ind w:left="17"/>
        <w:outlineLvl w:val="1"/>
        <w:rPr>
          <w:rFonts w:hint="eastAsia" w:ascii="宋体" w:hAnsi="宋体" w:eastAsia="宋体" w:cs="宋体"/>
          <w:color w:val="auto"/>
          <w:spacing w:val="0"/>
          <w:sz w:val="24"/>
          <w:szCs w:val="24"/>
          <w:highlight w:val="none"/>
        </w:rPr>
      </w:pPr>
      <w:bookmarkStart w:id="2" w:name="bookmark3"/>
      <w:bookmarkEnd w:id="2"/>
      <w:bookmarkStart w:id="3" w:name="_Toc384"/>
      <w:r>
        <w:rPr>
          <w:rFonts w:hint="eastAsia" w:ascii="宋体" w:hAnsi="宋体" w:eastAsia="宋体" w:cs="宋体"/>
          <w:b/>
          <w:bCs/>
          <w:color w:val="auto"/>
          <w:spacing w:val="0"/>
          <w:sz w:val="24"/>
          <w:szCs w:val="24"/>
          <w:highlight w:val="none"/>
        </w:rPr>
        <w:t>第一节</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投标人须知前附表</w:t>
      </w:r>
      <w:bookmarkEnd w:id="3"/>
    </w:p>
    <w:p w14:paraId="196CB528">
      <w:pPr>
        <w:keepNext w:val="0"/>
        <w:keepLines w:val="0"/>
        <w:pageBreakBefore w:val="0"/>
        <w:wordWrap w:val="0"/>
        <w:overflowPunct/>
        <w:topLinePunct w:val="0"/>
        <w:bidi w:val="0"/>
        <w:spacing w:before="25"/>
        <w:rPr>
          <w:rFonts w:hint="eastAsia" w:ascii="宋体" w:hAnsi="宋体" w:eastAsia="宋体" w:cs="宋体"/>
          <w:color w:val="auto"/>
          <w:spacing w:val="0"/>
          <w:highlight w:val="none"/>
        </w:rPr>
      </w:pPr>
    </w:p>
    <w:tbl>
      <w:tblPr>
        <w:tblStyle w:val="15"/>
        <w:tblW w:w="100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1942"/>
        <w:gridCol w:w="7574"/>
      </w:tblGrid>
      <w:tr w14:paraId="4DD9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582" w:type="dxa"/>
            <w:vAlign w:val="center"/>
          </w:tcPr>
          <w:p w14:paraId="48996B63">
            <w:pPr>
              <w:keepNext w:val="0"/>
              <w:keepLines w:val="0"/>
              <w:pageBreakBefore w:val="0"/>
              <w:wordWrap w:val="0"/>
              <w:overflowPunct/>
              <w:topLinePunct w:val="0"/>
              <w:bidi w:val="0"/>
              <w:spacing w:before="203" w:line="209" w:lineRule="auto"/>
              <w:ind w:left="0" w:leftChars="0" w:firstLine="0" w:firstLineChars="0"/>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序号</w:t>
            </w:r>
          </w:p>
        </w:tc>
        <w:tc>
          <w:tcPr>
            <w:tcW w:w="1942" w:type="dxa"/>
            <w:vAlign w:val="center"/>
          </w:tcPr>
          <w:p w14:paraId="38542E1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内容</w:t>
            </w:r>
          </w:p>
        </w:tc>
        <w:tc>
          <w:tcPr>
            <w:tcW w:w="7574" w:type="dxa"/>
            <w:vAlign w:val="center"/>
          </w:tcPr>
          <w:p w14:paraId="19700D42">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说明与要求</w:t>
            </w:r>
          </w:p>
        </w:tc>
      </w:tr>
      <w:tr w14:paraId="1E24C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582" w:type="dxa"/>
            <w:vAlign w:val="center"/>
          </w:tcPr>
          <w:p w14:paraId="6F0E6307">
            <w:pPr>
              <w:keepNext w:val="0"/>
              <w:keepLines w:val="0"/>
              <w:pageBreakBefore w:val="0"/>
              <w:wordWrap w:val="0"/>
              <w:overflowPunct/>
              <w:topLinePunct w:val="0"/>
              <w:bidi w:val="0"/>
              <w:spacing w:before="223" w:line="195" w:lineRule="auto"/>
              <w:jc w:val="center"/>
              <w:rPr>
                <w:rFonts w:hint="eastAsia" w:asciiTheme="minorEastAsia" w:hAnsiTheme="minorEastAsia" w:eastAsiaTheme="minorEastAsia" w:cstheme="minorEastAsia"/>
                <w:color w:val="auto"/>
                <w:spacing w:val="0"/>
                <w:sz w:val="21"/>
                <w:szCs w:val="21"/>
                <w:highlight w:val="none"/>
              </w:rPr>
            </w:pPr>
            <w:bookmarkStart w:id="4" w:name="OLE_LINK2" w:colFirst="2" w:colLast="2"/>
            <w:r>
              <w:rPr>
                <w:rFonts w:hint="eastAsia" w:asciiTheme="minorEastAsia" w:hAnsiTheme="minorEastAsia" w:eastAsiaTheme="minorEastAsia" w:cstheme="minorEastAsia"/>
                <w:color w:val="auto"/>
                <w:spacing w:val="0"/>
                <w:sz w:val="21"/>
                <w:szCs w:val="21"/>
                <w:highlight w:val="none"/>
              </w:rPr>
              <w:t>1</w:t>
            </w:r>
          </w:p>
        </w:tc>
        <w:tc>
          <w:tcPr>
            <w:tcW w:w="1942" w:type="dxa"/>
            <w:vAlign w:val="center"/>
          </w:tcPr>
          <w:p w14:paraId="222BCE8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项目名称</w:t>
            </w:r>
          </w:p>
        </w:tc>
        <w:tc>
          <w:tcPr>
            <w:tcW w:w="7574" w:type="dxa"/>
            <w:vAlign w:val="center"/>
          </w:tcPr>
          <w:p w14:paraId="7BFDA068">
            <w:pPr>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新丰县中医院病房改造及能力提升项目(一期)施工</w:t>
            </w:r>
          </w:p>
        </w:tc>
      </w:tr>
      <w:tr w14:paraId="27FD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582" w:type="dxa"/>
            <w:vAlign w:val="center"/>
          </w:tcPr>
          <w:p w14:paraId="6896A5ED">
            <w:pPr>
              <w:keepNext w:val="0"/>
              <w:keepLines w:val="0"/>
              <w:pageBreakBefore w:val="0"/>
              <w:wordWrap w:val="0"/>
              <w:overflowPunct/>
              <w:topLinePunct w:val="0"/>
              <w:bidi w:val="0"/>
              <w:spacing w:before="222"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w:t>
            </w:r>
          </w:p>
        </w:tc>
        <w:tc>
          <w:tcPr>
            <w:tcW w:w="1942" w:type="dxa"/>
            <w:vAlign w:val="center"/>
          </w:tcPr>
          <w:p w14:paraId="14419B9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项目业主</w:t>
            </w:r>
          </w:p>
        </w:tc>
        <w:tc>
          <w:tcPr>
            <w:tcW w:w="7574" w:type="dxa"/>
            <w:vAlign w:val="center"/>
          </w:tcPr>
          <w:p w14:paraId="09BFF14F">
            <w:pPr>
              <w:adjustRightInd w:val="0"/>
              <w:snapToGrid w:val="0"/>
              <w:spacing w:line="360" w:lineRule="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eastAsia="宋体" w:cs="Times New Roman"/>
                <w:color w:val="auto"/>
                <w:szCs w:val="21"/>
                <w:highlight w:val="none"/>
                <w:lang w:val="en-US" w:eastAsia="zh-CN"/>
              </w:rPr>
              <w:t>新丰县中医院</w:t>
            </w:r>
          </w:p>
        </w:tc>
      </w:tr>
      <w:tr w14:paraId="23B3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582" w:type="dxa"/>
            <w:vAlign w:val="center"/>
          </w:tcPr>
          <w:p w14:paraId="6BE10F56">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w:t>
            </w:r>
          </w:p>
        </w:tc>
        <w:tc>
          <w:tcPr>
            <w:tcW w:w="1942" w:type="dxa"/>
            <w:vAlign w:val="center"/>
          </w:tcPr>
          <w:p w14:paraId="4E3BE1BE">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项目批准部门</w:t>
            </w:r>
          </w:p>
        </w:tc>
        <w:tc>
          <w:tcPr>
            <w:tcW w:w="7574" w:type="dxa"/>
            <w:vAlign w:val="center"/>
          </w:tcPr>
          <w:p w14:paraId="281FC55B">
            <w:pPr>
              <w:keepNext w:val="0"/>
              <w:keepLines w:val="0"/>
              <w:widowControl/>
              <w:suppressLineNumbers w:val="0"/>
              <w:jc w:val="left"/>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新丰县发展和改革局</w:t>
            </w:r>
          </w:p>
        </w:tc>
      </w:tr>
      <w:tr w14:paraId="28657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4AB4C524">
            <w:pPr>
              <w:keepNext w:val="0"/>
              <w:keepLines w:val="0"/>
              <w:pageBreakBefore w:val="0"/>
              <w:wordWrap w:val="0"/>
              <w:overflowPunct/>
              <w:topLinePunct w:val="0"/>
              <w:bidi w:val="0"/>
              <w:spacing w:before="225"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4</w:t>
            </w:r>
          </w:p>
        </w:tc>
        <w:tc>
          <w:tcPr>
            <w:tcW w:w="1942" w:type="dxa"/>
            <w:vAlign w:val="center"/>
          </w:tcPr>
          <w:p w14:paraId="22B05A2A">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项目批准文号</w:t>
            </w:r>
          </w:p>
        </w:tc>
        <w:tc>
          <w:tcPr>
            <w:tcW w:w="7574" w:type="dxa"/>
            <w:vAlign w:val="center"/>
          </w:tcPr>
          <w:p w14:paraId="6A5080CF">
            <w:pPr>
              <w:keepNext w:val="0"/>
              <w:keepLines w:val="0"/>
              <w:widowControl/>
              <w:suppressLineNumbers w:val="0"/>
              <w:jc w:val="left"/>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新丰发改投审〔</w:t>
            </w:r>
            <w:r>
              <w:rPr>
                <w:rFonts w:hint="default" w:asciiTheme="minorEastAsia" w:hAnsiTheme="minorEastAsia" w:eastAsiaTheme="minorEastAsia" w:cstheme="minorEastAsia"/>
                <w:snapToGrid w:val="0"/>
                <w:color w:val="auto"/>
                <w:spacing w:val="0"/>
                <w:kern w:val="0"/>
                <w:sz w:val="21"/>
                <w:szCs w:val="21"/>
                <w:highlight w:val="none"/>
                <w:lang w:val="en-US" w:eastAsia="zh-CN"/>
              </w:rPr>
              <w:t>2024〕208号</w:t>
            </w:r>
            <w:r>
              <w:rPr>
                <w:rFonts w:hint="eastAsia" w:asciiTheme="minorEastAsia" w:hAnsiTheme="minorEastAsia" w:eastAsiaTheme="minorEastAsia" w:cstheme="minorEastAsia"/>
                <w:snapToGrid w:val="0"/>
                <w:color w:val="auto"/>
                <w:spacing w:val="0"/>
                <w:kern w:val="0"/>
                <w:sz w:val="21"/>
                <w:szCs w:val="21"/>
                <w:highlight w:val="none"/>
                <w:lang w:val="en-US" w:eastAsia="zh-CN"/>
              </w:rPr>
              <w:t>、新丰发改投审〔2025〕274号</w:t>
            </w:r>
          </w:p>
        </w:tc>
      </w:tr>
      <w:tr w14:paraId="1488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037AC272">
            <w:pPr>
              <w:keepNext w:val="0"/>
              <w:keepLines w:val="0"/>
              <w:pageBreakBefore w:val="0"/>
              <w:wordWrap w:val="0"/>
              <w:overflowPunct/>
              <w:topLinePunct w:val="0"/>
              <w:bidi w:val="0"/>
              <w:spacing w:before="226" w:line="192"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5</w:t>
            </w:r>
          </w:p>
        </w:tc>
        <w:tc>
          <w:tcPr>
            <w:tcW w:w="1942" w:type="dxa"/>
            <w:vAlign w:val="center"/>
          </w:tcPr>
          <w:p w14:paraId="1EAD0142">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项目代码</w:t>
            </w:r>
          </w:p>
        </w:tc>
        <w:tc>
          <w:tcPr>
            <w:tcW w:w="7574" w:type="dxa"/>
            <w:tcMar>
              <w:top w:w="0" w:type="dxa"/>
              <w:left w:w="0" w:type="dxa"/>
              <w:bottom w:w="0" w:type="dxa"/>
              <w:right w:w="0" w:type="dxa"/>
            </w:tcMar>
            <w:vAlign w:val="center"/>
          </w:tcPr>
          <w:p w14:paraId="1DDCBB22">
            <w:pPr>
              <w:keepNext w:val="0"/>
              <w:keepLines w:val="0"/>
              <w:widowControl/>
              <w:suppressLineNumbers w:val="0"/>
              <w:ind w:firstLine="210" w:firstLineChars="100"/>
              <w:jc w:val="left"/>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2412-440233-04-01-385293</w:t>
            </w:r>
          </w:p>
        </w:tc>
      </w:tr>
      <w:tr w14:paraId="75CB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582" w:type="dxa"/>
            <w:vAlign w:val="center"/>
          </w:tcPr>
          <w:p w14:paraId="75BBD9EE">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6</w:t>
            </w:r>
          </w:p>
        </w:tc>
        <w:tc>
          <w:tcPr>
            <w:tcW w:w="1942" w:type="dxa"/>
            <w:vAlign w:val="center"/>
          </w:tcPr>
          <w:p w14:paraId="5664470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资金来源及落实情况</w:t>
            </w:r>
          </w:p>
        </w:tc>
        <w:tc>
          <w:tcPr>
            <w:tcW w:w="7574" w:type="dxa"/>
            <w:vAlign w:val="center"/>
          </w:tcPr>
          <w:p w14:paraId="04C821F9">
            <w:pPr>
              <w:keepNext w:val="0"/>
              <w:keepLines w:val="0"/>
              <w:widowControl/>
              <w:suppressLineNumbers w:val="0"/>
              <w:ind w:firstLine="210" w:firstLineChars="100"/>
              <w:jc w:val="left"/>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由上级资</w:t>
            </w:r>
            <w:r>
              <w:rPr>
                <w:rFonts w:hint="default" w:asciiTheme="minorEastAsia" w:hAnsiTheme="minorEastAsia" w:eastAsiaTheme="minorEastAsia" w:cstheme="minorEastAsia"/>
                <w:snapToGrid w:val="0"/>
                <w:color w:val="auto"/>
                <w:spacing w:val="0"/>
                <w:kern w:val="0"/>
                <w:sz w:val="21"/>
                <w:szCs w:val="21"/>
                <w:highlight w:val="none"/>
                <w:lang w:val="en-US" w:eastAsia="zh-CN"/>
              </w:rPr>
              <w:t>金和县统筹安排解决</w:t>
            </w:r>
            <w:r>
              <w:rPr>
                <w:rFonts w:hint="eastAsia" w:asciiTheme="minorEastAsia" w:hAnsiTheme="minorEastAsia" w:eastAsiaTheme="minorEastAsia" w:cstheme="minorEastAsia"/>
                <w:snapToGrid w:val="0"/>
                <w:color w:val="auto"/>
                <w:spacing w:val="0"/>
                <w:kern w:val="0"/>
                <w:sz w:val="21"/>
                <w:szCs w:val="21"/>
                <w:highlight w:val="none"/>
                <w:lang w:val="en-US" w:eastAsia="zh-CN"/>
              </w:rPr>
              <w:t>100%</w:t>
            </w:r>
          </w:p>
        </w:tc>
      </w:tr>
      <w:tr w14:paraId="016F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582" w:type="dxa"/>
            <w:vAlign w:val="center"/>
          </w:tcPr>
          <w:p w14:paraId="3AF433F2">
            <w:pPr>
              <w:keepNext w:val="0"/>
              <w:keepLines w:val="0"/>
              <w:pageBreakBefore w:val="0"/>
              <w:wordWrap w:val="0"/>
              <w:overflowPunct/>
              <w:topLinePunct w:val="0"/>
              <w:bidi w:val="0"/>
              <w:spacing w:before="228" w:line="192"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7</w:t>
            </w:r>
          </w:p>
        </w:tc>
        <w:tc>
          <w:tcPr>
            <w:tcW w:w="1942" w:type="dxa"/>
            <w:vAlign w:val="center"/>
          </w:tcPr>
          <w:p w14:paraId="60926232">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招标人</w:t>
            </w:r>
          </w:p>
        </w:tc>
        <w:tc>
          <w:tcPr>
            <w:tcW w:w="7574" w:type="dxa"/>
            <w:vAlign w:val="center"/>
          </w:tcPr>
          <w:p w14:paraId="6E2376B4">
            <w:pPr>
              <w:adjustRightInd w:val="0"/>
              <w:snapToGrid w:val="0"/>
              <w:spacing w:line="360" w:lineRule="auto"/>
              <w:ind w:firstLine="210" w:firstLineChars="100"/>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eastAsia="宋体" w:cs="Times New Roman"/>
                <w:color w:val="auto"/>
                <w:szCs w:val="21"/>
                <w:highlight w:val="none"/>
                <w:lang w:val="en-US" w:eastAsia="zh-CN"/>
              </w:rPr>
              <w:t>新丰县中医院</w:t>
            </w:r>
          </w:p>
        </w:tc>
      </w:tr>
      <w:tr w14:paraId="1B38F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582" w:type="dxa"/>
            <w:vAlign w:val="center"/>
          </w:tcPr>
          <w:p w14:paraId="187C06E1">
            <w:pPr>
              <w:keepNext w:val="0"/>
              <w:keepLines w:val="0"/>
              <w:pageBreakBefore w:val="0"/>
              <w:wordWrap w:val="0"/>
              <w:overflowPunct/>
              <w:topLinePunct w:val="0"/>
              <w:bidi w:val="0"/>
              <w:spacing w:before="224"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8</w:t>
            </w:r>
          </w:p>
        </w:tc>
        <w:tc>
          <w:tcPr>
            <w:tcW w:w="1942" w:type="dxa"/>
            <w:vAlign w:val="center"/>
          </w:tcPr>
          <w:p w14:paraId="4C2F1E0E">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招标代理机构</w:t>
            </w:r>
          </w:p>
        </w:tc>
        <w:tc>
          <w:tcPr>
            <w:tcW w:w="7574" w:type="dxa"/>
            <w:vAlign w:val="center"/>
          </w:tcPr>
          <w:p w14:paraId="2583B8A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新丰县市政工程公司</w:t>
            </w:r>
          </w:p>
        </w:tc>
      </w:tr>
      <w:tr w14:paraId="20EEF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582" w:type="dxa"/>
            <w:vAlign w:val="center"/>
          </w:tcPr>
          <w:p w14:paraId="3A2A6D51">
            <w:pPr>
              <w:keepNext w:val="0"/>
              <w:keepLines w:val="0"/>
              <w:pageBreakBefore w:val="0"/>
              <w:wordWrap w:val="0"/>
              <w:overflowPunct/>
              <w:topLinePunct w:val="0"/>
              <w:bidi w:val="0"/>
              <w:spacing w:before="225"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9</w:t>
            </w:r>
          </w:p>
        </w:tc>
        <w:tc>
          <w:tcPr>
            <w:tcW w:w="1942" w:type="dxa"/>
            <w:vAlign w:val="center"/>
          </w:tcPr>
          <w:p w14:paraId="028C8CEA">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设计单位</w:t>
            </w:r>
          </w:p>
        </w:tc>
        <w:tc>
          <w:tcPr>
            <w:tcW w:w="7574" w:type="dxa"/>
            <w:vAlign w:val="center"/>
          </w:tcPr>
          <w:p w14:paraId="0C9CFC1C">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深圳德普思建筑设计有限公司</w:t>
            </w:r>
          </w:p>
        </w:tc>
      </w:tr>
      <w:tr w14:paraId="40B4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6866847F">
            <w:pPr>
              <w:keepNext w:val="0"/>
              <w:keepLines w:val="0"/>
              <w:pageBreakBefore w:val="0"/>
              <w:wordWrap w:val="0"/>
              <w:overflowPunct/>
              <w:topLinePunct w:val="0"/>
              <w:bidi w:val="0"/>
              <w:spacing w:before="245"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10</w:t>
            </w:r>
          </w:p>
        </w:tc>
        <w:tc>
          <w:tcPr>
            <w:tcW w:w="1942" w:type="dxa"/>
            <w:vAlign w:val="center"/>
          </w:tcPr>
          <w:p w14:paraId="42232152">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造价咨询单位</w:t>
            </w:r>
          </w:p>
        </w:tc>
        <w:tc>
          <w:tcPr>
            <w:tcW w:w="7574" w:type="dxa"/>
            <w:vAlign w:val="center"/>
          </w:tcPr>
          <w:p w14:paraId="7259E99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☑非全过程造价咨询</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□全过程造价咨询</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p>
        </w:tc>
      </w:tr>
      <w:bookmarkEnd w:id="4"/>
      <w:tr w14:paraId="41040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582" w:type="dxa"/>
            <w:vAlign w:val="center"/>
          </w:tcPr>
          <w:p w14:paraId="768DA257">
            <w:pPr>
              <w:keepNext w:val="0"/>
              <w:keepLines w:val="0"/>
              <w:pageBreakBefore w:val="0"/>
              <w:wordWrap w:val="0"/>
              <w:overflowPunct/>
              <w:topLinePunct w:val="0"/>
              <w:bidi w:val="0"/>
              <w:spacing w:before="242"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11</w:t>
            </w:r>
          </w:p>
        </w:tc>
        <w:tc>
          <w:tcPr>
            <w:tcW w:w="1942" w:type="dxa"/>
            <w:vAlign w:val="center"/>
          </w:tcPr>
          <w:p w14:paraId="59B7A727">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监理单位</w:t>
            </w:r>
          </w:p>
        </w:tc>
        <w:tc>
          <w:tcPr>
            <w:tcW w:w="7574" w:type="dxa"/>
            <w:vAlign w:val="center"/>
          </w:tcPr>
          <w:p w14:paraId="01D21B5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☑已确定监理单位</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□未确定监理单位</w:t>
            </w:r>
          </w:p>
        </w:tc>
      </w:tr>
      <w:tr w14:paraId="05A0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13B5417C">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eastAsia="zh-CN"/>
              </w:rPr>
              <w:t>1</w:t>
            </w:r>
            <w:r>
              <w:rPr>
                <w:rFonts w:hint="eastAsia" w:asciiTheme="minorEastAsia" w:hAnsiTheme="minorEastAsia" w:eastAsiaTheme="minorEastAsia" w:cstheme="minorEastAsia"/>
                <w:color w:val="auto"/>
                <w:spacing w:val="0"/>
                <w:sz w:val="21"/>
                <w:szCs w:val="21"/>
                <w:highlight w:val="none"/>
              </w:rPr>
              <w:t>2</w:t>
            </w:r>
          </w:p>
        </w:tc>
        <w:tc>
          <w:tcPr>
            <w:tcW w:w="1942" w:type="dxa"/>
            <w:vAlign w:val="center"/>
          </w:tcPr>
          <w:p w14:paraId="6CFC11F7">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建设地点</w:t>
            </w:r>
          </w:p>
        </w:tc>
        <w:tc>
          <w:tcPr>
            <w:tcW w:w="7574" w:type="dxa"/>
            <w:vAlign w:val="center"/>
          </w:tcPr>
          <w:p w14:paraId="1ABFA493">
            <w:pPr>
              <w:keepNext w:val="0"/>
              <w:keepLines w:val="0"/>
              <w:widowControl/>
              <w:suppressLineNumbers w:val="0"/>
              <w:jc w:val="left"/>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default" w:asciiTheme="minorEastAsia" w:hAnsiTheme="minorEastAsia" w:eastAsiaTheme="minorEastAsia" w:cstheme="minorEastAsia"/>
                <w:snapToGrid w:val="0"/>
                <w:color w:val="auto"/>
                <w:spacing w:val="0"/>
                <w:kern w:val="0"/>
                <w:sz w:val="21"/>
                <w:szCs w:val="21"/>
                <w:highlight w:val="none"/>
                <w:lang w:val="en-US" w:eastAsia="zh-CN"/>
              </w:rPr>
              <w:t>韶关市新丰县丰城街道东风路1号</w:t>
            </w:r>
          </w:p>
        </w:tc>
      </w:tr>
      <w:tr w14:paraId="25D15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trPr>
        <w:tc>
          <w:tcPr>
            <w:tcW w:w="582" w:type="dxa"/>
            <w:vAlign w:val="center"/>
          </w:tcPr>
          <w:p w14:paraId="2114EF9C">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13</w:t>
            </w:r>
          </w:p>
        </w:tc>
        <w:tc>
          <w:tcPr>
            <w:tcW w:w="1942" w:type="dxa"/>
            <w:vAlign w:val="center"/>
          </w:tcPr>
          <w:p w14:paraId="0E4B842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建设内容和规模</w:t>
            </w:r>
          </w:p>
        </w:tc>
        <w:tc>
          <w:tcPr>
            <w:tcW w:w="7574" w:type="dxa"/>
            <w:vAlign w:val="center"/>
          </w:tcPr>
          <w:p w14:paraId="3331303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☑建设规模：</w:t>
            </w:r>
            <w:r>
              <w:rPr>
                <w:rFonts w:hint="eastAsia" w:asciiTheme="minorEastAsia" w:hAnsiTheme="minorEastAsia" w:eastAsiaTheme="minorEastAsia" w:cstheme="minorEastAsia"/>
                <w:snapToGrid w:val="0"/>
                <w:color w:val="auto"/>
                <w:spacing w:val="0"/>
                <w:kern w:val="0"/>
                <w:sz w:val="21"/>
                <w:szCs w:val="21"/>
                <w:highlight w:val="none"/>
                <w:lang w:val="en-US" w:eastAsia="zh-CN"/>
              </w:rPr>
              <w:t>/</w:t>
            </w:r>
          </w:p>
          <w:p w14:paraId="545B734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☑建设内容：</w:t>
            </w:r>
          </w:p>
          <w:p w14:paraId="2163DE0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主要建设内容：增加消防系统、新建院区专用应急发电机房及配套电力覆盖工程，以及住院部一号楼配电系统整体更新与智能化改造等。</w:t>
            </w:r>
          </w:p>
        </w:tc>
      </w:tr>
      <w:tr w14:paraId="454DF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67FC595D">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14</w:t>
            </w:r>
          </w:p>
        </w:tc>
        <w:tc>
          <w:tcPr>
            <w:tcW w:w="1942" w:type="dxa"/>
            <w:vAlign w:val="center"/>
          </w:tcPr>
          <w:p w14:paraId="57C4E78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项目总投资</w:t>
            </w:r>
          </w:p>
        </w:tc>
        <w:tc>
          <w:tcPr>
            <w:tcW w:w="7574" w:type="dxa"/>
            <w:vAlign w:val="center"/>
          </w:tcPr>
          <w:p w14:paraId="45D7A72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项目估算总投资2160.00万元（其中一期工程为703万元）。</w:t>
            </w:r>
          </w:p>
        </w:tc>
      </w:tr>
      <w:tr w14:paraId="2BECE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582" w:type="dxa"/>
            <w:vAlign w:val="center"/>
          </w:tcPr>
          <w:p w14:paraId="343ADD2F">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15</w:t>
            </w:r>
          </w:p>
        </w:tc>
        <w:tc>
          <w:tcPr>
            <w:tcW w:w="1942" w:type="dxa"/>
            <w:vAlign w:val="center"/>
          </w:tcPr>
          <w:p w14:paraId="6A7E5B25">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招标范围</w:t>
            </w:r>
          </w:p>
        </w:tc>
        <w:tc>
          <w:tcPr>
            <w:tcW w:w="7574" w:type="dxa"/>
            <w:vAlign w:val="center"/>
          </w:tcPr>
          <w:p w14:paraId="3110504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按审查合格的施工图纸及工程量清单内容施工</w:t>
            </w:r>
          </w:p>
        </w:tc>
      </w:tr>
      <w:tr w14:paraId="71BE6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120FB47A">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16</w:t>
            </w:r>
          </w:p>
        </w:tc>
        <w:tc>
          <w:tcPr>
            <w:tcW w:w="1942" w:type="dxa"/>
            <w:vAlign w:val="center"/>
          </w:tcPr>
          <w:p w14:paraId="61B9B9E9">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标段划分</w:t>
            </w:r>
          </w:p>
        </w:tc>
        <w:tc>
          <w:tcPr>
            <w:tcW w:w="7574" w:type="dxa"/>
            <w:vAlign w:val="center"/>
          </w:tcPr>
          <w:p w14:paraId="04448B7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 xml:space="preserve">本招标项目不划分标段。 </w:t>
            </w:r>
          </w:p>
        </w:tc>
      </w:tr>
      <w:tr w14:paraId="0CDC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170AAA65">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rPr>
              <w:t>17</w:t>
            </w:r>
          </w:p>
        </w:tc>
        <w:tc>
          <w:tcPr>
            <w:tcW w:w="1942" w:type="dxa"/>
            <w:vAlign w:val="center"/>
          </w:tcPr>
          <w:p w14:paraId="13DCEDC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工期</w:t>
            </w:r>
          </w:p>
        </w:tc>
        <w:tc>
          <w:tcPr>
            <w:tcW w:w="7574" w:type="dxa"/>
            <w:vAlign w:val="top"/>
          </w:tcPr>
          <w:p w14:paraId="33DD960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本招标项目招标工期为</w:t>
            </w:r>
            <w:r>
              <w:rPr>
                <w:rFonts w:hint="eastAsia" w:asciiTheme="minorEastAsia" w:hAnsiTheme="minorEastAsia" w:eastAsiaTheme="minorEastAsia" w:cstheme="minorEastAsia"/>
                <w:snapToGrid w:val="0"/>
                <w:color w:val="auto"/>
                <w:spacing w:val="0"/>
                <w:kern w:val="0"/>
                <w:sz w:val="21"/>
                <w:szCs w:val="21"/>
                <w:highlight w:val="none"/>
                <w:lang w:val="en-US" w:eastAsia="zh-CN"/>
              </w:rPr>
              <w:t>60个日历天</w:t>
            </w:r>
            <w:r>
              <w:rPr>
                <w:rFonts w:hint="eastAsia" w:asciiTheme="minorEastAsia" w:hAnsiTheme="minorEastAsia" w:eastAsiaTheme="minorEastAsia" w:cstheme="minorEastAsia"/>
                <w:snapToGrid w:val="0"/>
                <w:color w:val="auto"/>
                <w:spacing w:val="0"/>
                <w:kern w:val="0"/>
                <w:sz w:val="21"/>
                <w:szCs w:val="21"/>
                <w:highlight w:val="none"/>
                <w:lang w:eastAsia="zh-CN"/>
              </w:rPr>
              <w:t>。具体如下：</w:t>
            </w:r>
          </w:p>
          <w:p w14:paraId="2E23EB4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☑总工期：</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60</w:t>
            </w:r>
            <w:r>
              <w:rPr>
                <w:rFonts w:hint="eastAsia" w:asciiTheme="minorEastAsia" w:hAnsiTheme="minorEastAsia" w:eastAsiaTheme="minorEastAsia" w:cstheme="minorEastAsia"/>
                <w:snapToGrid w:val="0"/>
                <w:color w:val="auto"/>
                <w:spacing w:val="0"/>
                <w:kern w:val="0"/>
                <w:sz w:val="21"/>
                <w:szCs w:val="21"/>
                <w:highlight w:val="none"/>
                <w:lang w:eastAsia="zh-CN"/>
              </w:rPr>
              <w:t>天 （日历天）。</w:t>
            </w:r>
          </w:p>
          <w:p w14:paraId="26AB2D3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□计划开工日期：</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年</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月</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日（具体开工日期以合同为准）</w:t>
            </w:r>
          </w:p>
          <w:p w14:paraId="419633D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□计划竣工日期：</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年</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月</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日</w:t>
            </w:r>
          </w:p>
          <w:p w14:paraId="447708E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□除上述总工期外，发包人还要求以下阶段工期：</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w:t>
            </w:r>
          </w:p>
        </w:tc>
      </w:tr>
      <w:tr w14:paraId="0832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rPr>
        <w:tc>
          <w:tcPr>
            <w:tcW w:w="582" w:type="dxa"/>
            <w:vAlign w:val="center"/>
          </w:tcPr>
          <w:p w14:paraId="5C8BA544">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18</w:t>
            </w:r>
          </w:p>
        </w:tc>
        <w:tc>
          <w:tcPr>
            <w:tcW w:w="1942" w:type="dxa"/>
            <w:vAlign w:val="center"/>
          </w:tcPr>
          <w:p w14:paraId="4CEAC56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质量标准</w:t>
            </w:r>
          </w:p>
        </w:tc>
        <w:tc>
          <w:tcPr>
            <w:tcW w:w="7574" w:type="dxa"/>
            <w:vAlign w:val="top"/>
          </w:tcPr>
          <w:p w14:paraId="42F99ED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符合现行国家有关工程施工质量验收规范和标准的要求，达到验收合格标准。</w:t>
            </w:r>
          </w:p>
        </w:tc>
      </w:tr>
      <w:tr w14:paraId="7E0F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582" w:type="dxa"/>
            <w:vAlign w:val="center"/>
          </w:tcPr>
          <w:p w14:paraId="5799A098">
            <w:pPr>
              <w:keepNext w:val="0"/>
              <w:keepLines w:val="0"/>
              <w:pageBreakBefore w:val="0"/>
              <w:wordWrap w:val="0"/>
              <w:overflowPunct/>
              <w:topLinePunct w:val="0"/>
              <w:bidi w:val="0"/>
              <w:spacing w:before="19"/>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19</w:t>
            </w:r>
          </w:p>
        </w:tc>
        <w:tc>
          <w:tcPr>
            <w:tcW w:w="1942" w:type="dxa"/>
            <w:vAlign w:val="center"/>
          </w:tcPr>
          <w:p w14:paraId="4BA854B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房屋建筑工程绿色建筑标准</w:t>
            </w:r>
          </w:p>
        </w:tc>
        <w:tc>
          <w:tcPr>
            <w:tcW w:w="7574" w:type="dxa"/>
            <w:vAlign w:val="center"/>
          </w:tcPr>
          <w:p w14:paraId="6EA25BEB">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本招标项目</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spacing w:val="0"/>
                <w:kern w:val="0"/>
                <w:sz w:val="21"/>
                <w:szCs w:val="21"/>
                <w:highlight w:val="none"/>
                <w:lang w:eastAsia="zh-CN"/>
              </w:rPr>
              <w:t>纳入绿色建设实施范围。</w:t>
            </w:r>
          </w:p>
        </w:tc>
      </w:tr>
      <w:tr w14:paraId="2F4B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5BB5351C">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19. 1</w:t>
            </w:r>
          </w:p>
        </w:tc>
        <w:tc>
          <w:tcPr>
            <w:tcW w:w="1942" w:type="dxa"/>
            <w:vAlign w:val="center"/>
          </w:tcPr>
          <w:p w14:paraId="117D2CE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装配式建筑标准</w:t>
            </w:r>
          </w:p>
        </w:tc>
        <w:tc>
          <w:tcPr>
            <w:tcW w:w="7574" w:type="dxa"/>
            <w:vAlign w:val="center"/>
          </w:tcPr>
          <w:p w14:paraId="6B30D43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本招标项目</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spacing w:val="0"/>
                <w:kern w:val="0"/>
                <w:sz w:val="21"/>
                <w:szCs w:val="21"/>
                <w:highlight w:val="none"/>
                <w:lang w:eastAsia="zh-CN"/>
              </w:rPr>
              <w:t>纳入装配式建造建设实施范围。</w:t>
            </w:r>
          </w:p>
        </w:tc>
      </w:tr>
      <w:tr w14:paraId="02302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Merge w:val="restart"/>
            <w:vAlign w:val="center"/>
          </w:tcPr>
          <w:p w14:paraId="382250A2">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20</w:t>
            </w:r>
          </w:p>
        </w:tc>
        <w:tc>
          <w:tcPr>
            <w:tcW w:w="1942" w:type="dxa"/>
            <w:vMerge w:val="restart"/>
            <w:vAlign w:val="center"/>
          </w:tcPr>
          <w:p w14:paraId="7499D69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合同类型</w:t>
            </w:r>
          </w:p>
        </w:tc>
        <w:tc>
          <w:tcPr>
            <w:tcW w:w="7574" w:type="dxa"/>
            <w:vAlign w:val="top"/>
          </w:tcPr>
          <w:p w14:paraId="7273F05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☑单价合同：发承包双方约定以工程量清单及其综合单价进行合同价款计算、调整和确认的建设工程施工合同。</w:t>
            </w:r>
          </w:p>
          <w:p w14:paraId="1E27E6F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注：实行工程量清单计价的工程，应采用单价合同方式，即合同中的工程量清单项目综合单价在合同约定的条件内固定不变（不正常报价除外，这部分按招标文件、合同约定的原则调整综合单价），超过合同约定条件时，依据合同约定进行调整；工程量清单项目及工程量依据承包人实际完成且应予计量的工程量确定。</w:t>
            </w:r>
          </w:p>
        </w:tc>
      </w:tr>
      <w:tr w14:paraId="7588F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Merge w:val="continue"/>
            <w:vAlign w:val="center"/>
          </w:tcPr>
          <w:p w14:paraId="0D49ABA2">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p>
        </w:tc>
        <w:tc>
          <w:tcPr>
            <w:tcW w:w="1942" w:type="dxa"/>
            <w:vMerge w:val="continue"/>
            <w:vAlign w:val="center"/>
          </w:tcPr>
          <w:p w14:paraId="53A07BBD">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p>
        </w:tc>
        <w:tc>
          <w:tcPr>
            <w:tcW w:w="7574" w:type="dxa"/>
            <w:vAlign w:val="top"/>
          </w:tcPr>
          <w:p w14:paraId="2A03DE7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□总价合同：发承包双方约定以施工图及其预算和有关条件进行合同价款计算、调整和确认的建设工程施工合同。 </w:t>
            </w:r>
          </w:p>
          <w:p w14:paraId="6325798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注：总价合同是以施工图纸、规范为基础，在工程任务内容明确、发包人的要求条件清楚、计价标准和要求确定的条件下，发承包双方依据承包人编制的施工图预算商谈确定合同价款。当合同约定工程施工内容和有关条件不发生变化时，发包人付给承包人的工程价款总额保持不变。当工程施工内容和有关条件发生变化时，发承包双方根据变化情况和合同约定仅调整发生变化部分的工程价款，且对工程量变化引起的合同价款调整应遵循现行建设工程工程量清单计价标准原则。</w:t>
            </w:r>
          </w:p>
        </w:tc>
      </w:tr>
      <w:tr w14:paraId="7196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53832028">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21</w:t>
            </w:r>
          </w:p>
        </w:tc>
        <w:tc>
          <w:tcPr>
            <w:tcW w:w="1942" w:type="dxa"/>
            <w:vAlign w:val="center"/>
          </w:tcPr>
          <w:p w14:paraId="5CAF5289">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发包人提供材料和工程设备</w:t>
            </w:r>
          </w:p>
        </w:tc>
        <w:tc>
          <w:tcPr>
            <w:tcW w:w="7574" w:type="dxa"/>
            <w:vAlign w:val="center"/>
          </w:tcPr>
          <w:p w14:paraId="7E704987">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default" w:asciiTheme="minorEastAsia" w:hAnsiTheme="minorEastAsia" w:eastAsiaTheme="minorEastAsia" w:cstheme="minorEastAsia"/>
                <w:snapToGrid w:val="0"/>
                <w:color w:val="auto"/>
                <w:spacing w:val="0"/>
                <w:kern w:val="0"/>
                <w:sz w:val="21"/>
                <w:szCs w:val="21"/>
                <w:highlight w:val="none"/>
                <w:u w:val="singl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发包人提供材料和工程设备： ☑无     □有：</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 xml:space="preserve">     </w:t>
            </w:r>
          </w:p>
        </w:tc>
      </w:tr>
      <w:tr w14:paraId="7ECC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491AE3D4">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22</w:t>
            </w:r>
          </w:p>
        </w:tc>
        <w:tc>
          <w:tcPr>
            <w:tcW w:w="1942" w:type="dxa"/>
            <w:vAlign w:val="center"/>
          </w:tcPr>
          <w:p w14:paraId="1E0DD9E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承包人提供材料和工程设备</w:t>
            </w:r>
          </w:p>
        </w:tc>
        <w:tc>
          <w:tcPr>
            <w:tcW w:w="7574" w:type="dxa"/>
            <w:vAlign w:val="top"/>
          </w:tcPr>
          <w:p w14:paraId="14E2E4F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除招标文件约定的发包人提供的甲供材料外，合同工程所需的材料和工程设备应由承包人负责采购、运输和保管，并对其采购的材料和工程设备提供质量证明文件，满足合同约定的质量标准。若承包人提供的材料和工程设备没有合格证明材料或经检测不符合合同约定的质量标准，应立即更换，由此增加的费用和（或）工期延误由承包人承担。对发包人要求检测承包人己具有合格证明的材料、工程设备，但经检测证明该项材料、工程设备符合合同约定的质量标准的，发包人应承担由此增加的费用和（或）工期延误，并向承包人支付合理利润。</w:t>
            </w:r>
          </w:p>
          <w:p w14:paraId="0D2DCB8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□其它说明：鼓励承包人积极采购环保产品进行施工。</w:t>
            </w:r>
          </w:p>
        </w:tc>
      </w:tr>
      <w:tr w14:paraId="2A7CB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582" w:type="dxa"/>
            <w:vAlign w:val="center"/>
          </w:tcPr>
          <w:p w14:paraId="3FCD515C">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23</w:t>
            </w:r>
          </w:p>
        </w:tc>
        <w:tc>
          <w:tcPr>
            <w:tcW w:w="1942" w:type="dxa"/>
            <w:vAlign w:val="center"/>
          </w:tcPr>
          <w:p w14:paraId="686F7B1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最高投标限价</w:t>
            </w:r>
          </w:p>
        </w:tc>
        <w:tc>
          <w:tcPr>
            <w:tcW w:w="7574" w:type="dxa"/>
            <w:vAlign w:val="center"/>
          </w:tcPr>
          <w:p w14:paraId="75B7F6C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本招标项目的</w:t>
            </w:r>
            <w:r>
              <w:rPr>
                <w:rFonts w:hint="eastAsia" w:asciiTheme="minorEastAsia" w:hAnsiTheme="minorEastAsia" w:eastAsiaTheme="minorEastAsia" w:cstheme="minorEastAsia"/>
                <w:snapToGrid w:val="0"/>
                <w:color w:val="auto"/>
                <w:spacing w:val="0"/>
                <w:kern w:val="0"/>
                <w:sz w:val="21"/>
                <w:szCs w:val="21"/>
                <w:highlight w:val="none"/>
                <w:lang w:val="en-US" w:eastAsia="zh-CN"/>
              </w:rPr>
              <w:t>最高投标限价</w:t>
            </w:r>
            <w:r>
              <w:rPr>
                <w:rFonts w:hint="eastAsia" w:asciiTheme="minorEastAsia" w:hAnsiTheme="minorEastAsia" w:eastAsiaTheme="minorEastAsia" w:cstheme="minorEastAsia"/>
                <w:snapToGrid w:val="0"/>
                <w:color w:val="auto"/>
                <w:spacing w:val="0"/>
                <w:kern w:val="0"/>
                <w:sz w:val="21"/>
                <w:szCs w:val="21"/>
                <w:highlight w:val="none"/>
                <w:lang w:eastAsia="zh-CN"/>
              </w:rPr>
              <w:t>、工程量清单、</w:t>
            </w:r>
            <w:r>
              <w:rPr>
                <w:rFonts w:hint="eastAsia" w:asciiTheme="minorEastAsia" w:hAnsiTheme="minorEastAsia" w:eastAsiaTheme="minorEastAsia" w:cstheme="minorEastAsia"/>
                <w:snapToGrid w:val="0"/>
                <w:color w:val="auto"/>
                <w:spacing w:val="0"/>
                <w:kern w:val="0"/>
                <w:sz w:val="21"/>
                <w:szCs w:val="21"/>
                <w:highlight w:val="none"/>
                <w:lang w:val="en-US" w:eastAsia="zh-CN"/>
              </w:rPr>
              <w:t>施工图纸</w:t>
            </w:r>
            <w:r>
              <w:rPr>
                <w:rFonts w:hint="eastAsia" w:asciiTheme="minorEastAsia" w:hAnsiTheme="minorEastAsia" w:eastAsiaTheme="minorEastAsia" w:cstheme="minorEastAsia"/>
                <w:snapToGrid w:val="0"/>
                <w:color w:val="auto"/>
                <w:spacing w:val="0"/>
                <w:kern w:val="0"/>
                <w:sz w:val="21"/>
                <w:szCs w:val="21"/>
                <w:highlight w:val="none"/>
                <w:lang w:eastAsia="zh-CN"/>
              </w:rPr>
              <w:t>在投标截止时间15天前以补充公告的形式在广东省招标投标监管网（http://zbtb.gd.gov.cn）、全国公共资源交易平台（广东省·韶关市）（https://ygp.gdzwfw.gov.cn/ggzy-portal/#/440200/index）网站公布。</w:t>
            </w:r>
          </w:p>
        </w:tc>
      </w:tr>
      <w:tr w14:paraId="54A71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0" w:hRule="atLeast"/>
        </w:trPr>
        <w:tc>
          <w:tcPr>
            <w:tcW w:w="582" w:type="dxa"/>
            <w:vAlign w:val="center"/>
          </w:tcPr>
          <w:p w14:paraId="538319E4">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24</w:t>
            </w:r>
          </w:p>
        </w:tc>
        <w:tc>
          <w:tcPr>
            <w:tcW w:w="1942" w:type="dxa"/>
            <w:vAlign w:val="center"/>
          </w:tcPr>
          <w:p w14:paraId="67574905">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投标人的投标报价</w:t>
            </w:r>
          </w:p>
        </w:tc>
        <w:tc>
          <w:tcPr>
            <w:tcW w:w="7574" w:type="dxa"/>
            <w:vAlign w:val="center"/>
          </w:tcPr>
          <w:p w14:paraId="33957A2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投标时响应招标文件要求所报出的对已标价工程量清单汇总后标明的总价。投标人在投标报价填写的工程量清单的项目编码、项目名称、项目特征、计量单位、工程数量必须与招标人招标文件中提供的一致，投标价不能低于工程成本、高于最高投标限价。</w:t>
            </w:r>
          </w:p>
          <w:p w14:paraId="19EEAFEC">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投标报价方式： ☑工程量清单报</w:t>
            </w:r>
            <w:r>
              <w:rPr>
                <w:rFonts w:hint="eastAsia" w:asciiTheme="minorEastAsia" w:hAnsiTheme="minorEastAsia" w:eastAsiaTheme="minorEastAsia" w:cstheme="minorEastAsia"/>
                <w:snapToGrid w:val="0"/>
                <w:color w:val="auto"/>
                <w:spacing w:val="0"/>
                <w:kern w:val="0"/>
                <w:sz w:val="21"/>
                <w:szCs w:val="21"/>
                <w:highlight w:val="none"/>
                <w:lang w:val="en-US" w:eastAsia="zh-CN"/>
              </w:rPr>
              <w:t>价  □其他：</w:t>
            </w:r>
          </w:p>
          <w:p w14:paraId="16173AD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投标报价时，应按《广东省建设工程计价依据（2018）》规定的费率报价，若招标工程量清单明确说明不计算预算包干费或另外确定预算包干费费率的，则按招标工程量清单报价。</w:t>
            </w:r>
          </w:p>
        </w:tc>
      </w:tr>
      <w:tr w14:paraId="42AA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2" w:type="dxa"/>
            <w:vAlign w:val="center"/>
          </w:tcPr>
          <w:p w14:paraId="0F9F6D8A">
            <w:pPr>
              <w:keepNext w:val="0"/>
              <w:keepLines w:val="0"/>
              <w:pageBreakBefore w:val="0"/>
              <w:wordWrap w:val="0"/>
              <w:overflowPunct/>
              <w:topLinePunct w:val="0"/>
              <w:bidi w:val="0"/>
              <w:spacing w:before="284"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25</w:t>
            </w:r>
          </w:p>
        </w:tc>
        <w:tc>
          <w:tcPr>
            <w:tcW w:w="1942" w:type="dxa"/>
            <w:vAlign w:val="center"/>
          </w:tcPr>
          <w:p w14:paraId="289DAA69">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投标报价风险</w:t>
            </w:r>
          </w:p>
        </w:tc>
        <w:tc>
          <w:tcPr>
            <w:tcW w:w="7574" w:type="dxa"/>
            <w:vAlign w:val="center"/>
          </w:tcPr>
          <w:p w14:paraId="639CCF5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☑投标人依据招标文件约定自行考虑风险因素，一旦中标，投标报价（合同价）除合同另有约定外将不因市场变化而调整。</w:t>
            </w:r>
          </w:p>
          <w:p w14:paraId="414B250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☑投标报价中应包括工程量清单项目所发生的人工费、材料费、机具费、管理费、利润、措施项目费、其它项目费、税金、暂列金额、暂估价以及所有风险、责任等各项费用。</w:t>
            </w:r>
          </w:p>
          <w:p w14:paraId="54843E9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☑人工费、材料费、机具费、管理费、利润、措施项目费（不含安全生产措施费）投标人漏报或不报，招标人视为有关费用 已包括在工程量清单项目的其它单价及合价中不予另外增加。</w:t>
            </w:r>
          </w:p>
          <w:p w14:paraId="4D6AFB1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☑措施项目中的安全生产措施费，必须按国家、省级、市级（即工程所在地）行业建设主管部门的规定计算，不得作为竞争性费用。</w:t>
            </w:r>
          </w:p>
          <w:p w14:paraId="708EB3D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☑投标人应按照招标文件提供的工程量清单逐项填写单价和合价，投标人未填写的项目，招标人将视为此项费用已包括在工程量清单项目的其它单价及合价中不予另外增加。</w:t>
            </w:r>
          </w:p>
          <w:p w14:paraId="7A9C3DF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☑招标人向投标人提供的有关施工现场资料及数据，是招标人现有的能使投标人利用的资料，招标人对投标人据此作出的推论及理解概不负责。</w:t>
            </w:r>
          </w:p>
          <w:p w14:paraId="797C29E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应依据招标人提供的所有资料和自己对现场查勘来编制投标文件，并对招标人提供的所有资料的理解、推断和应用负责。在投标人提交其投标文件之前，视为已经考虑了现场及其周围环境的影响，中标后，不得以不完全了解现场情况为理由提出追加款项或者延长工期等索赔的要求。</w:t>
            </w:r>
          </w:p>
          <w:p w14:paraId="52A8CB9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☑错漏项的认定。中标人已标价工程量清单中，任一清单项目未填报价格或价格为零的，招标人将视为此项费用已包括在工程量清单项目的其它单价及合价中不予另外增加。</w:t>
            </w:r>
          </w:p>
        </w:tc>
      </w:tr>
      <w:tr w14:paraId="2776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582" w:type="dxa"/>
            <w:vAlign w:val="center"/>
          </w:tcPr>
          <w:p w14:paraId="42E6764A">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26</w:t>
            </w:r>
          </w:p>
        </w:tc>
        <w:tc>
          <w:tcPr>
            <w:tcW w:w="1942" w:type="dxa"/>
            <w:vAlign w:val="center"/>
          </w:tcPr>
          <w:p w14:paraId="2EE410F3">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投标费用</w:t>
            </w:r>
          </w:p>
        </w:tc>
        <w:tc>
          <w:tcPr>
            <w:tcW w:w="7574" w:type="dxa"/>
            <w:vAlign w:val="center"/>
          </w:tcPr>
          <w:p w14:paraId="11D2FE5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投标人自行承担编制与递交投标文件的一切费用。</w:t>
            </w:r>
          </w:p>
        </w:tc>
      </w:tr>
      <w:tr w14:paraId="742CE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vAlign w:val="center"/>
          </w:tcPr>
          <w:p w14:paraId="2E6D0803">
            <w:pPr>
              <w:keepNext w:val="0"/>
              <w:keepLines w:val="0"/>
              <w:pageBreakBefore w:val="0"/>
              <w:wordWrap w:val="0"/>
              <w:overflowPunct/>
              <w:topLinePunct w:val="0"/>
              <w:bidi w:val="0"/>
              <w:spacing w:before="19"/>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27</w:t>
            </w:r>
          </w:p>
        </w:tc>
        <w:tc>
          <w:tcPr>
            <w:tcW w:w="1942" w:type="dxa"/>
            <w:vAlign w:val="center"/>
          </w:tcPr>
          <w:p w14:paraId="2A8AB06A">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投标人资格要求</w:t>
            </w:r>
          </w:p>
        </w:tc>
        <w:tc>
          <w:tcPr>
            <w:tcW w:w="7574" w:type="dxa"/>
            <w:vAlign w:val="center"/>
          </w:tcPr>
          <w:p w14:paraId="0EB7F0A3">
            <w:pPr>
              <w:wordWrap w:val="0"/>
              <w:adjustRightInd w:val="0"/>
              <w:snapToGrid w:val="0"/>
              <w:spacing w:line="400" w:lineRule="exact"/>
              <w:ind w:firstLine="210" w:firstLineChars="100"/>
              <w:rPr>
                <w:rFonts w:hint="eastAsia" w:ascii="宋体" w:hAnsi="宋体" w:eastAsia="宋体" w:cs="宋体"/>
                <w:snapToGrid w:val="0"/>
                <w:color w:val="auto"/>
                <w:kern w:val="0"/>
                <w:sz w:val="21"/>
                <w:szCs w:val="24"/>
                <w:highlight w:val="none"/>
              </w:rPr>
            </w:pPr>
            <w:r>
              <w:rPr>
                <w:rFonts w:hint="eastAsia" w:ascii="宋体" w:hAnsi="宋体" w:eastAsia="宋体" w:cs="宋体"/>
                <w:snapToGrid w:val="0"/>
                <w:color w:val="auto"/>
                <w:kern w:val="0"/>
                <w:sz w:val="21"/>
                <w:szCs w:val="24"/>
                <w:highlight w:val="none"/>
              </w:rPr>
              <w:t>1．本次招标</w:t>
            </w:r>
            <w:r>
              <w:rPr>
                <w:rFonts w:hint="eastAsia" w:ascii="宋体" w:hAnsi="宋体" w:eastAsia="宋体" w:cs="宋体"/>
                <w:b/>
                <w:bCs/>
                <w:snapToGrid w:val="0"/>
                <w:color w:val="auto"/>
                <w:kern w:val="0"/>
                <w:sz w:val="21"/>
                <w:szCs w:val="24"/>
                <w:highlight w:val="none"/>
                <w:u w:val="single"/>
              </w:rPr>
              <w:t>接受</w:t>
            </w:r>
            <w:r>
              <w:rPr>
                <w:rFonts w:hint="eastAsia" w:ascii="宋体" w:hAnsi="宋体" w:eastAsia="宋体" w:cs="宋体"/>
                <w:snapToGrid w:val="0"/>
                <w:color w:val="auto"/>
                <w:kern w:val="0"/>
                <w:sz w:val="21"/>
                <w:szCs w:val="24"/>
                <w:highlight w:val="none"/>
              </w:rPr>
              <w:t>联合体投标。</w:t>
            </w:r>
          </w:p>
          <w:p w14:paraId="0B0AF700">
            <w:pPr>
              <w:wordWrap w:val="0"/>
              <w:adjustRightInd w:val="0"/>
              <w:snapToGrid w:val="0"/>
              <w:spacing w:line="400" w:lineRule="exact"/>
              <w:ind w:firstLine="211" w:firstLineChars="100"/>
              <w:jc w:val="left"/>
              <w:rPr>
                <w:rFonts w:hint="eastAsia" w:ascii="宋体" w:hAnsi="宋体" w:eastAsia="宋体" w:cs="宋体"/>
                <w:b/>
                <w:bCs/>
                <w:snapToGrid w:val="0"/>
                <w:color w:val="auto"/>
                <w:kern w:val="0"/>
                <w:sz w:val="21"/>
                <w:highlight w:val="none"/>
              </w:rPr>
            </w:pPr>
            <w:r>
              <w:rPr>
                <w:rFonts w:hint="eastAsia" w:ascii="宋体" w:hAnsi="宋体" w:eastAsia="宋体" w:cs="宋体"/>
                <w:b/>
                <w:bCs/>
                <w:snapToGrid w:val="0"/>
                <w:color w:val="auto"/>
                <w:kern w:val="0"/>
                <w:sz w:val="21"/>
                <w:highlight w:val="none"/>
              </w:rPr>
              <w:t>2．</w:t>
            </w:r>
            <w:r>
              <w:rPr>
                <w:rFonts w:hint="eastAsia" w:ascii="宋体" w:hAnsi="宋体" w:eastAsia="宋体" w:cs="宋体"/>
                <w:b/>
                <w:bCs/>
                <w:color w:val="auto"/>
                <w:sz w:val="21"/>
                <w:szCs w:val="21"/>
                <w:highlight w:val="none"/>
              </w:rPr>
              <w:t>资格资质要求</w:t>
            </w:r>
          </w:p>
          <w:p w14:paraId="024AE773">
            <w:pPr>
              <w:pStyle w:val="30"/>
              <w:keepNext w:val="0"/>
              <w:keepLines w:val="0"/>
              <w:pageBreakBefore w:val="0"/>
              <w:widowControl w:val="0"/>
              <w:kinsoku/>
              <w:wordWrap w:val="0"/>
              <w:overflowPunct/>
              <w:topLinePunct w:val="0"/>
              <w:autoSpaceDE/>
              <w:autoSpaceDN/>
              <w:bidi w:val="0"/>
              <w:adjustRightInd w:val="0"/>
              <w:snapToGrid w:val="0"/>
              <w:spacing w:line="40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cs="宋体"/>
                <w:b/>
                <w:bCs/>
                <w:color w:val="auto"/>
                <w:kern w:val="0"/>
                <w:sz w:val="21"/>
                <w:szCs w:val="21"/>
                <w:highlight w:val="none"/>
                <w:lang w:eastAsia="zh-CN"/>
              </w:rPr>
              <w:t>2</w:t>
            </w:r>
            <w:r>
              <w:rPr>
                <w:rFonts w:hint="eastAsia" w:ascii="宋体" w:hAnsi="宋体" w:eastAsia="宋体" w:cs="宋体"/>
                <w:b/>
                <w:bCs/>
                <w:color w:val="auto"/>
                <w:kern w:val="0"/>
                <w:sz w:val="21"/>
                <w:szCs w:val="21"/>
                <w:highlight w:val="none"/>
              </w:rPr>
              <w:t>.1</w:t>
            </w:r>
            <w:r>
              <w:rPr>
                <w:rFonts w:hint="eastAsia" w:ascii="宋体" w:hAnsi="宋体" w:eastAsia="宋体" w:cs="宋体"/>
                <w:color w:val="auto"/>
                <w:kern w:val="0"/>
                <w:sz w:val="21"/>
                <w:szCs w:val="21"/>
                <w:highlight w:val="none"/>
              </w:rPr>
              <w:t>本次招标</w:t>
            </w:r>
            <w:r>
              <w:rPr>
                <w:rFonts w:hint="eastAsia" w:ascii="宋体" w:hAnsi="宋体" w:eastAsia="宋体" w:cs="宋体"/>
                <w:b/>
                <w:bCs/>
                <w:color w:val="auto"/>
                <w:kern w:val="0"/>
                <w:sz w:val="21"/>
                <w:szCs w:val="21"/>
                <w:highlight w:val="none"/>
              </w:rPr>
              <w:t>接受</w:t>
            </w:r>
            <w:r>
              <w:rPr>
                <w:rFonts w:hint="eastAsia" w:ascii="宋体" w:hAnsi="宋体" w:eastAsia="宋体" w:cs="宋体"/>
                <w:color w:val="auto"/>
                <w:kern w:val="0"/>
                <w:sz w:val="21"/>
                <w:szCs w:val="21"/>
                <w:highlight w:val="none"/>
              </w:rPr>
              <w:t>联合体投标，联合体以一个投标人的身份共同投标。</w:t>
            </w:r>
          </w:p>
          <w:p w14:paraId="29C7EAFD">
            <w:pPr>
              <w:pStyle w:val="30"/>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leftChars="200"/>
              <w:jc w:val="left"/>
              <w:textAlignment w:val="auto"/>
              <w:rPr>
                <w:rFonts w:hint="eastAsia" w:ascii="宋体" w:hAnsi="宋体" w:eastAsia="宋体" w:cs="宋体"/>
                <w:color w:val="auto"/>
                <w:sz w:val="21"/>
                <w:szCs w:val="21"/>
                <w:highlight w:val="none"/>
              </w:rPr>
            </w:pPr>
            <w:r>
              <w:rPr>
                <w:rFonts w:hint="eastAsia" w:ascii="宋体" w:hAnsi="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val="en-US" w:eastAsia="zh-CN"/>
              </w:rPr>
              <w:t>.1.1</w:t>
            </w:r>
            <w:r>
              <w:rPr>
                <w:rFonts w:hint="eastAsia" w:ascii="宋体" w:hAnsi="宋体" w:eastAsia="宋体" w:cs="宋体"/>
                <w:color w:val="auto"/>
                <w:sz w:val="21"/>
                <w:szCs w:val="21"/>
                <w:highlight w:val="none"/>
              </w:rPr>
              <w:t>联合体成员数量不超过</w:t>
            </w:r>
            <w:r>
              <w:rPr>
                <w:rFonts w:hint="eastAsia" w:ascii="宋体" w:hAnsi="宋体" w:cs="宋体"/>
                <w:color w:val="auto"/>
                <w:sz w:val="21"/>
                <w:szCs w:val="21"/>
                <w:highlight w:val="none"/>
                <w:u w:val="single"/>
                <w:lang w:val="en-US" w:eastAsia="zh-CN"/>
              </w:rPr>
              <w:t xml:space="preserve"> 2 </w:t>
            </w:r>
            <w:r>
              <w:rPr>
                <w:rFonts w:hint="eastAsia" w:ascii="宋体" w:hAnsi="宋体" w:eastAsia="宋体" w:cs="宋体"/>
                <w:color w:val="auto"/>
                <w:sz w:val="21"/>
                <w:szCs w:val="21"/>
                <w:highlight w:val="none"/>
              </w:rPr>
              <w:t>个。</w:t>
            </w:r>
          </w:p>
          <w:p w14:paraId="659BF29D">
            <w:pPr>
              <w:pStyle w:val="30"/>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val="en-US" w:eastAsia="zh-CN"/>
              </w:rPr>
              <w:t xml:space="preserve">.1.2 </w:t>
            </w:r>
            <w:r>
              <w:rPr>
                <w:rFonts w:hint="eastAsia" w:ascii="宋体" w:hAnsi="宋体" w:eastAsia="宋体" w:cs="宋体"/>
                <w:color w:val="auto"/>
                <w:sz w:val="21"/>
                <w:szCs w:val="21"/>
                <w:highlight w:val="none"/>
              </w:rPr>
              <w:t>联合体各方应按招标文件提供的格式签订联合体协议书，明确联合体牵头人和各方权利义务，并承诺就中标项目向招标人承担连带责任。《联合体协议书》作为投标文件的组成部分向招标人提交。</w:t>
            </w:r>
          </w:p>
          <w:p w14:paraId="18C9F223">
            <w:pPr>
              <w:pStyle w:val="30"/>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val="en-US" w:eastAsia="zh-CN"/>
              </w:rPr>
              <w:t>.1.3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联合体成员单位均应具备拟承担的工作内容（以《联合体协议书》的约定为准）所规定的资格条件。若同一工作内容由两个或两个以上单位共同承担，该项工作内容按照资质等级较低的单位确定联合体资质等级。</w:t>
            </w:r>
          </w:p>
          <w:p w14:paraId="5791409B">
            <w:pPr>
              <w:pStyle w:val="30"/>
              <w:keepNext w:val="0"/>
              <w:keepLines w:val="0"/>
              <w:pageBreakBefore w:val="0"/>
              <w:widowControl w:val="0"/>
              <w:kinsoku/>
              <w:wordWrap w:val="0"/>
              <w:overflowPunct/>
              <w:topLinePunct w:val="0"/>
              <w:autoSpaceDE/>
              <w:autoSpaceDN/>
              <w:bidi w:val="0"/>
              <w:adjustRightInd w:val="0"/>
              <w:snapToGrid w:val="0"/>
              <w:spacing w:line="40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val="en-US" w:eastAsia="zh-CN"/>
              </w:rPr>
              <w:t>.1.</w:t>
            </w:r>
            <w:r>
              <w:rPr>
                <w:rFonts w:hint="eastAsia" w:ascii="宋体" w:hAnsi="宋体" w:cs="宋体"/>
                <w:b/>
                <w:bCs/>
                <w:color w:val="auto"/>
                <w:kern w:val="0"/>
                <w:sz w:val="21"/>
                <w:szCs w:val="21"/>
                <w:highlight w:val="none"/>
                <w:lang w:val="en-US" w:eastAsia="zh-CN"/>
              </w:rPr>
              <w:t>4</w:t>
            </w:r>
            <w:r>
              <w:rPr>
                <w:rFonts w:hint="eastAsia" w:ascii="宋体" w:hAnsi="宋体" w:eastAsia="宋体" w:cs="宋体"/>
                <w:color w:val="auto"/>
                <w:sz w:val="21"/>
                <w:szCs w:val="21"/>
                <w:highlight w:val="none"/>
              </w:rPr>
              <w:t>联合体各方不得再以自己名义单独或参加其他联合体在本招标项目中投标，否则各相关投标均无效。</w:t>
            </w:r>
          </w:p>
          <w:p w14:paraId="348A9CC3">
            <w:pPr>
              <w:pStyle w:val="30"/>
              <w:keepNext w:val="0"/>
              <w:keepLines w:val="0"/>
              <w:pageBreakBefore w:val="0"/>
              <w:widowControl w:val="0"/>
              <w:kinsoku/>
              <w:wordWrap w:val="0"/>
              <w:overflowPunct/>
              <w:topLinePunct w:val="0"/>
              <w:autoSpaceDE/>
              <w:autoSpaceDN/>
              <w:bidi w:val="0"/>
              <w:adjustRightInd w:val="0"/>
              <w:snapToGrid w:val="0"/>
              <w:spacing w:line="40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cs="宋体"/>
                <w:b/>
                <w:bCs/>
                <w:color w:val="auto"/>
                <w:kern w:val="0"/>
                <w:sz w:val="21"/>
                <w:szCs w:val="21"/>
                <w:highlight w:val="none"/>
                <w:lang w:val="en-US" w:eastAsia="zh-CN" w:bidi="ar-SA"/>
              </w:rPr>
              <w:t>2</w:t>
            </w:r>
            <w:r>
              <w:rPr>
                <w:rFonts w:hint="eastAsia" w:ascii="宋体" w:hAnsi="宋体" w:eastAsia="宋体" w:cs="宋体"/>
                <w:b/>
                <w:bCs/>
                <w:color w:val="auto"/>
                <w:kern w:val="0"/>
                <w:sz w:val="21"/>
                <w:szCs w:val="21"/>
                <w:highlight w:val="none"/>
                <w:lang w:val="en-US" w:eastAsia="zh-CN" w:bidi="ar-SA"/>
              </w:rPr>
              <w:t xml:space="preserve">.2 </w:t>
            </w:r>
            <w:r>
              <w:rPr>
                <w:rFonts w:hint="eastAsia" w:ascii="宋体" w:hAnsi="宋体" w:eastAsia="宋体" w:cs="宋体"/>
                <w:color w:val="auto"/>
                <w:sz w:val="21"/>
                <w:szCs w:val="21"/>
                <w:highlight w:val="none"/>
              </w:rPr>
              <w:t>资质要求</w:t>
            </w:r>
          </w:p>
          <w:p w14:paraId="671B0E24">
            <w:pPr>
              <w:pStyle w:val="30"/>
              <w:keepNext w:val="0"/>
              <w:keepLines w:val="0"/>
              <w:pageBreakBefore w:val="0"/>
              <w:widowControl w:val="0"/>
              <w:kinsoku/>
              <w:wordWrap w:val="0"/>
              <w:overflowPunct/>
              <w:topLinePunct w:val="0"/>
              <w:autoSpaceDE/>
              <w:autoSpaceDN/>
              <w:bidi w:val="0"/>
              <w:adjustRightInd w:val="0"/>
              <w:snapToGrid w:val="0"/>
              <w:spacing w:line="40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cs="宋体"/>
                <w:b/>
                <w:bCs/>
                <w:color w:val="auto"/>
                <w:kern w:val="0"/>
                <w:sz w:val="21"/>
                <w:szCs w:val="21"/>
                <w:highlight w:val="none"/>
                <w:lang w:val="en-US" w:eastAsia="zh-CN" w:bidi="ar-SA"/>
              </w:rPr>
              <w:t>2</w:t>
            </w:r>
            <w:r>
              <w:rPr>
                <w:rFonts w:hint="eastAsia" w:ascii="宋体" w:hAnsi="宋体" w:eastAsia="宋体" w:cs="宋体"/>
                <w:b/>
                <w:bCs/>
                <w:color w:val="auto"/>
                <w:kern w:val="0"/>
                <w:sz w:val="21"/>
                <w:szCs w:val="21"/>
                <w:highlight w:val="none"/>
                <w:lang w:val="en-US" w:eastAsia="zh-CN" w:bidi="ar-SA"/>
              </w:rPr>
              <w:t xml:space="preserve">.2.1 </w:t>
            </w:r>
            <w:r>
              <w:rPr>
                <w:rFonts w:hint="eastAsia" w:ascii="宋体" w:hAnsi="宋体" w:eastAsia="宋体" w:cs="宋体"/>
                <w:color w:val="auto"/>
                <w:sz w:val="21"/>
                <w:szCs w:val="21"/>
                <w:highlight w:val="none"/>
              </w:rPr>
              <w:t>投标人须具备独立法人资格，按国家法律经营。</w:t>
            </w:r>
          </w:p>
          <w:p w14:paraId="64ECF257">
            <w:pPr>
              <w:pStyle w:val="30"/>
              <w:keepNext w:val="0"/>
              <w:keepLines w:val="0"/>
              <w:pageBreakBefore w:val="0"/>
              <w:widowControl w:val="0"/>
              <w:kinsoku/>
              <w:wordWrap w:val="0"/>
              <w:overflowPunct/>
              <w:topLinePunct w:val="0"/>
              <w:autoSpaceDE/>
              <w:autoSpaceDN/>
              <w:bidi w:val="0"/>
              <w:adjustRightInd w:val="0"/>
              <w:snapToGrid w:val="0"/>
              <w:spacing w:line="40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cs="宋体"/>
                <w:b/>
                <w:bCs/>
                <w:color w:val="auto"/>
                <w:kern w:val="0"/>
                <w:sz w:val="21"/>
                <w:szCs w:val="21"/>
                <w:highlight w:val="none"/>
                <w:lang w:val="en-US" w:eastAsia="zh-CN" w:bidi="ar-SA"/>
              </w:rPr>
              <w:t>2</w:t>
            </w:r>
            <w:r>
              <w:rPr>
                <w:rFonts w:hint="eastAsia" w:ascii="宋体" w:hAnsi="宋体" w:eastAsia="宋体" w:cs="宋体"/>
                <w:b/>
                <w:bCs/>
                <w:color w:val="auto"/>
                <w:kern w:val="0"/>
                <w:sz w:val="21"/>
                <w:szCs w:val="21"/>
                <w:highlight w:val="none"/>
                <w:lang w:val="en-US" w:eastAsia="zh-CN" w:bidi="ar-SA"/>
              </w:rPr>
              <w:t xml:space="preserve">.2.2 </w:t>
            </w:r>
            <w:r>
              <w:rPr>
                <w:rFonts w:hint="eastAsia" w:ascii="宋体" w:hAnsi="宋体" w:eastAsia="宋体" w:cs="宋体"/>
                <w:color w:val="auto"/>
                <w:sz w:val="21"/>
                <w:szCs w:val="21"/>
                <w:highlight w:val="none"/>
              </w:rPr>
              <w:t>投标人须持有行政主管部门颁发的企业资质证书。</w:t>
            </w:r>
          </w:p>
          <w:p w14:paraId="143AD97B">
            <w:pPr>
              <w:pStyle w:val="30"/>
              <w:keepNext w:val="0"/>
              <w:keepLines w:val="0"/>
              <w:pageBreakBefore w:val="0"/>
              <w:widowControl w:val="0"/>
              <w:kinsoku/>
              <w:wordWrap w:val="0"/>
              <w:overflowPunct/>
              <w:topLinePunct w:val="0"/>
              <w:autoSpaceDE/>
              <w:autoSpaceDN/>
              <w:bidi w:val="0"/>
              <w:adjustRightInd w:val="0"/>
              <w:snapToGrid w:val="0"/>
              <w:spacing w:line="40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cs="宋体"/>
                <w:b/>
                <w:bCs/>
                <w:color w:val="auto"/>
                <w:kern w:val="0"/>
                <w:sz w:val="21"/>
                <w:szCs w:val="21"/>
                <w:highlight w:val="none"/>
                <w:lang w:val="en-US" w:eastAsia="zh-CN" w:bidi="ar-SA"/>
              </w:rPr>
              <w:t>2</w:t>
            </w:r>
            <w:r>
              <w:rPr>
                <w:rFonts w:hint="eastAsia" w:ascii="宋体" w:hAnsi="宋体" w:eastAsia="宋体" w:cs="宋体"/>
                <w:b/>
                <w:bCs/>
                <w:color w:val="auto"/>
                <w:kern w:val="0"/>
                <w:sz w:val="21"/>
                <w:szCs w:val="21"/>
                <w:highlight w:val="none"/>
                <w:lang w:val="en-US" w:eastAsia="zh-CN" w:bidi="ar-SA"/>
              </w:rPr>
              <w:t xml:space="preserve">.2.3 </w:t>
            </w:r>
            <w:r>
              <w:rPr>
                <w:rFonts w:hint="eastAsia" w:ascii="宋体" w:hAnsi="宋体" w:eastAsia="宋体" w:cs="宋体"/>
                <w:color w:val="auto"/>
                <w:sz w:val="21"/>
                <w:szCs w:val="21"/>
                <w:highlight w:val="none"/>
              </w:rPr>
              <w:t>参加投标的投标人可以是单</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独立法人或由不超过</w:t>
            </w:r>
            <w:r>
              <w:rPr>
                <w:rFonts w:hint="eastAsia" w:ascii="宋体" w:hAnsi="宋体" w:cs="宋体"/>
                <w:color w:val="auto"/>
                <w:sz w:val="21"/>
                <w:szCs w:val="21"/>
                <w:highlight w:val="none"/>
                <w:u w:val="single"/>
                <w:lang w:val="en-US" w:eastAsia="zh-CN"/>
              </w:rPr>
              <w:t xml:space="preserve"> 2 </w:t>
            </w:r>
            <w:r>
              <w:rPr>
                <w:rFonts w:hint="eastAsia" w:ascii="宋体" w:hAnsi="宋体" w:eastAsia="宋体" w:cs="宋体"/>
                <w:color w:val="auto"/>
                <w:sz w:val="21"/>
                <w:szCs w:val="21"/>
                <w:highlight w:val="none"/>
              </w:rPr>
              <w:t>家独立法人组成的联合体（必须注明其中一家为牵头人），联合体各方不得再以自己的名义单独申请，也不得同时参加两个或两个以上的联合体进行本项目的投标。单一独立法人必须至少具备以下①</w:t>
            </w:r>
            <w:r>
              <w:rPr>
                <w:rFonts w:hint="eastAsia" w:ascii="宋体" w:hAnsi="宋体" w:cs="宋体"/>
                <w:color w:val="auto"/>
                <w:sz w:val="21"/>
                <w:szCs w:val="21"/>
                <w:highlight w:val="none"/>
                <w:lang w:val="en-US" w:eastAsia="zh-CN"/>
              </w:rPr>
              <w:t>或②</w:t>
            </w:r>
            <w:r>
              <w:rPr>
                <w:rFonts w:hint="eastAsia" w:ascii="宋体" w:hAnsi="宋体" w:eastAsia="宋体" w:cs="宋体"/>
                <w:color w:val="auto"/>
                <w:sz w:val="21"/>
                <w:szCs w:val="21"/>
                <w:highlight w:val="none"/>
              </w:rPr>
              <w:t>资质，组成联合体投标的，联合后必须至少具备以下①</w:t>
            </w:r>
            <w:r>
              <w:rPr>
                <w:rFonts w:hint="eastAsia" w:ascii="宋体" w:hAnsi="宋体" w:cs="宋体"/>
                <w:color w:val="auto"/>
                <w:sz w:val="21"/>
                <w:szCs w:val="21"/>
                <w:highlight w:val="none"/>
                <w:lang w:val="en-US" w:eastAsia="zh-CN"/>
              </w:rPr>
              <w:t>或②</w:t>
            </w:r>
            <w:r>
              <w:rPr>
                <w:rFonts w:hint="eastAsia" w:ascii="宋体" w:hAnsi="宋体" w:eastAsia="宋体" w:cs="宋体"/>
                <w:color w:val="auto"/>
                <w:sz w:val="21"/>
                <w:szCs w:val="21"/>
                <w:highlight w:val="none"/>
              </w:rPr>
              <w:t>资质，联合体牵头人必须</w:t>
            </w:r>
            <w:r>
              <w:rPr>
                <w:rFonts w:hint="eastAsia" w:ascii="宋体" w:hAnsi="宋体" w:eastAsia="宋体" w:cs="宋体"/>
                <w:color w:val="auto"/>
                <w:sz w:val="21"/>
                <w:szCs w:val="21"/>
                <w:highlight w:val="none"/>
                <w:lang w:val="en-US" w:eastAsia="zh-CN"/>
              </w:rPr>
              <w:t>为</w:t>
            </w:r>
            <w:r>
              <w:rPr>
                <w:rFonts w:hint="eastAsia" w:ascii="宋体" w:hAnsi="宋体" w:eastAsia="宋体" w:cs="宋体"/>
                <w:color w:val="auto"/>
                <w:sz w:val="21"/>
                <w:szCs w:val="21"/>
                <w:highlight w:val="none"/>
                <w:u w:val="single"/>
                <w:lang w:val="en-US" w:eastAsia="zh-CN"/>
              </w:rPr>
              <w:t>施工单位</w:t>
            </w:r>
            <w:r>
              <w:rPr>
                <w:rFonts w:hint="eastAsia" w:ascii="宋体" w:hAnsi="宋体" w:eastAsia="宋体" w:cs="宋体"/>
                <w:color w:val="auto"/>
                <w:sz w:val="21"/>
                <w:szCs w:val="21"/>
                <w:highlight w:val="none"/>
              </w:rPr>
              <w:t>，由同一专业的单位组成的联合体，按照资质等级较低的单位确定资质等级：</w:t>
            </w:r>
          </w:p>
          <w:p w14:paraId="7E082D15">
            <w:pPr>
              <w:keepNext w:val="0"/>
              <w:keepLines w:val="0"/>
              <w:pageBreakBefore w:val="0"/>
              <w:kinsoku/>
              <w:wordWrap/>
              <w:overflowPunct/>
              <w:topLinePunct w:val="0"/>
              <w:autoSpaceDE/>
              <w:autoSpaceDN/>
              <w:bidi w:val="0"/>
              <w:adjustRightInd/>
              <w:snapToGrid w:val="0"/>
              <w:spacing w:line="300" w:lineRule="auto"/>
              <w:ind w:left="525" w:leftChars="250" w:firstLine="0" w:firstLineChars="0"/>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zh-CN"/>
              </w:rPr>
              <w:t>①施工资质：</w:t>
            </w:r>
            <w:r>
              <w:rPr>
                <w:rFonts w:hint="eastAsia" w:ascii="宋体" w:hAnsi="宋体" w:eastAsia="宋体" w:cs="宋体"/>
                <w:b/>
                <w:bCs/>
                <w:color w:val="auto"/>
                <w:sz w:val="21"/>
                <w:szCs w:val="21"/>
                <w:highlight w:val="none"/>
                <w:u w:val="single"/>
                <w:lang w:val="en-US" w:eastAsia="zh-CN"/>
              </w:rPr>
              <w:t>建筑</w:t>
            </w:r>
            <w:r>
              <w:rPr>
                <w:rFonts w:hint="eastAsia" w:ascii="宋体" w:hAnsi="宋体" w:eastAsia="宋体" w:cs="宋体"/>
                <w:b/>
                <w:bCs/>
                <w:color w:val="auto"/>
                <w:sz w:val="21"/>
                <w:szCs w:val="21"/>
                <w:highlight w:val="none"/>
                <w:u w:val="single"/>
              </w:rPr>
              <w:t>工程施工总承包</w:t>
            </w:r>
            <w:r>
              <w:rPr>
                <w:rFonts w:hint="eastAsia" w:ascii="宋体" w:hAnsi="宋体" w:eastAsia="宋体" w:cs="宋体"/>
                <w:b/>
                <w:bCs/>
                <w:color w:val="auto"/>
                <w:sz w:val="21"/>
                <w:szCs w:val="21"/>
                <w:highlight w:val="none"/>
                <w:u w:val="single"/>
                <w:lang w:val="en-US" w:eastAsia="zh-CN"/>
              </w:rPr>
              <w:t>叁</w:t>
            </w:r>
            <w:r>
              <w:rPr>
                <w:rFonts w:hint="eastAsia" w:ascii="宋体" w:hAnsi="宋体" w:eastAsia="宋体" w:cs="宋体"/>
                <w:b/>
                <w:bCs/>
                <w:color w:val="auto"/>
                <w:sz w:val="21"/>
                <w:szCs w:val="21"/>
                <w:highlight w:val="none"/>
                <w:u w:val="single"/>
              </w:rPr>
              <w:t>级以上（含</w:t>
            </w:r>
            <w:r>
              <w:rPr>
                <w:rFonts w:hint="eastAsia" w:ascii="宋体" w:hAnsi="宋体" w:eastAsia="宋体" w:cs="宋体"/>
                <w:b/>
                <w:bCs/>
                <w:color w:val="auto"/>
                <w:sz w:val="21"/>
                <w:szCs w:val="21"/>
                <w:highlight w:val="none"/>
                <w:u w:val="single"/>
                <w:lang w:val="en-US" w:eastAsia="zh-CN"/>
              </w:rPr>
              <w:t>叁</w:t>
            </w:r>
            <w:r>
              <w:rPr>
                <w:rFonts w:hint="eastAsia" w:ascii="宋体" w:hAnsi="宋体" w:eastAsia="宋体" w:cs="宋体"/>
                <w:b/>
                <w:bCs/>
                <w:color w:val="auto"/>
                <w:sz w:val="21"/>
                <w:szCs w:val="21"/>
                <w:highlight w:val="none"/>
                <w:u w:val="single"/>
              </w:rPr>
              <w:t>级）</w:t>
            </w:r>
            <w:r>
              <w:rPr>
                <w:rFonts w:hint="eastAsia" w:hAnsi="宋体" w:eastAsia="宋体" w:cs="宋体"/>
                <w:b/>
                <w:bCs/>
                <w:color w:val="auto"/>
                <w:sz w:val="21"/>
                <w:szCs w:val="21"/>
                <w:highlight w:val="none"/>
                <w:u w:val="single"/>
                <w:lang w:eastAsia="zh-CN"/>
              </w:rPr>
              <w:t>。</w:t>
            </w:r>
            <w:r>
              <w:rPr>
                <w:rFonts w:hint="eastAsia" w:hAnsi="宋体" w:eastAsia="宋体" w:cs="宋体"/>
                <w:b/>
                <w:bCs/>
                <w:color w:val="auto"/>
                <w:sz w:val="21"/>
                <w:szCs w:val="21"/>
                <w:highlight w:val="none"/>
                <w:u w:val="single"/>
                <w:lang w:eastAsia="zh-CN"/>
              </w:rPr>
              <w:br w:type="textWrapping"/>
            </w: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lang w:val="zh-CN"/>
              </w:rPr>
              <w:t>施工资质：</w:t>
            </w:r>
            <w:r>
              <w:rPr>
                <w:rFonts w:hint="eastAsia" w:ascii="宋体" w:hAnsi="宋体" w:eastAsia="宋体" w:cs="宋体"/>
                <w:b/>
                <w:bCs/>
                <w:color w:val="auto"/>
                <w:sz w:val="21"/>
                <w:szCs w:val="21"/>
                <w:highlight w:val="none"/>
                <w:u w:val="single"/>
                <w:lang w:val="en-US" w:eastAsia="zh-CN"/>
              </w:rPr>
              <w:t>消防设施专业承包贰</w:t>
            </w:r>
            <w:r>
              <w:rPr>
                <w:rFonts w:hint="eastAsia" w:ascii="宋体" w:hAnsi="宋体" w:eastAsia="宋体" w:cs="宋体"/>
                <w:b/>
                <w:bCs/>
                <w:color w:val="auto"/>
                <w:sz w:val="21"/>
                <w:szCs w:val="21"/>
                <w:highlight w:val="none"/>
                <w:u w:val="single"/>
              </w:rPr>
              <w:t>级以上（含</w:t>
            </w:r>
            <w:r>
              <w:rPr>
                <w:rFonts w:hint="eastAsia" w:ascii="宋体" w:hAnsi="宋体" w:eastAsia="宋体" w:cs="宋体"/>
                <w:b/>
                <w:bCs/>
                <w:color w:val="auto"/>
                <w:sz w:val="21"/>
                <w:szCs w:val="21"/>
                <w:highlight w:val="none"/>
                <w:u w:val="single"/>
                <w:lang w:val="en-US" w:eastAsia="zh-CN"/>
              </w:rPr>
              <w:t>贰</w:t>
            </w:r>
            <w:r>
              <w:rPr>
                <w:rFonts w:hint="eastAsia" w:ascii="宋体" w:hAnsi="宋体" w:eastAsia="宋体" w:cs="宋体"/>
                <w:b/>
                <w:bCs/>
                <w:color w:val="auto"/>
                <w:sz w:val="21"/>
                <w:szCs w:val="21"/>
                <w:highlight w:val="none"/>
                <w:u w:val="single"/>
              </w:rPr>
              <w:t>级）</w:t>
            </w:r>
            <w:r>
              <w:rPr>
                <w:rFonts w:hint="eastAsia" w:hAnsi="宋体" w:eastAsia="宋体" w:cs="宋体"/>
                <w:b/>
                <w:bCs/>
                <w:color w:val="auto"/>
                <w:sz w:val="21"/>
                <w:szCs w:val="21"/>
                <w:highlight w:val="none"/>
                <w:u w:val="single"/>
                <w:lang w:eastAsia="zh-CN"/>
              </w:rPr>
              <w:t>。</w:t>
            </w:r>
          </w:p>
          <w:p w14:paraId="16704F67">
            <w:pPr>
              <w:pStyle w:val="30"/>
              <w:keepNext w:val="0"/>
              <w:keepLines w:val="0"/>
              <w:pageBreakBefore w:val="0"/>
              <w:widowControl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color w:val="auto"/>
                <w:sz w:val="21"/>
                <w:szCs w:val="21"/>
                <w:highlight w:val="none"/>
              </w:rPr>
            </w:pPr>
            <w:r>
              <w:rPr>
                <w:rFonts w:hint="eastAsia" w:ascii="宋体" w:hAnsi="宋体" w:cs="宋体"/>
                <w:b/>
                <w:bCs/>
                <w:color w:val="auto"/>
                <w:kern w:val="0"/>
                <w:sz w:val="21"/>
                <w:szCs w:val="21"/>
                <w:highlight w:val="none"/>
                <w:lang w:val="en-US" w:eastAsia="zh-CN" w:bidi="ar-SA"/>
              </w:rPr>
              <w:t>2</w:t>
            </w:r>
            <w:r>
              <w:rPr>
                <w:rFonts w:hint="eastAsia" w:ascii="宋体" w:hAnsi="宋体" w:eastAsia="宋体" w:cs="宋体"/>
                <w:b/>
                <w:bCs/>
                <w:color w:val="auto"/>
                <w:kern w:val="0"/>
                <w:sz w:val="21"/>
                <w:szCs w:val="21"/>
                <w:highlight w:val="none"/>
                <w:lang w:val="en-US" w:eastAsia="zh-CN" w:bidi="ar-SA"/>
              </w:rPr>
              <w:t xml:space="preserve">.3 </w:t>
            </w:r>
            <w:r>
              <w:rPr>
                <w:rFonts w:hint="eastAsia" w:ascii="宋体" w:hAnsi="宋体" w:eastAsia="宋体" w:cs="宋体"/>
                <w:color w:val="auto"/>
                <w:sz w:val="21"/>
                <w:szCs w:val="21"/>
                <w:highlight w:val="none"/>
              </w:rPr>
              <w:t>相关人员要求</w:t>
            </w:r>
          </w:p>
          <w:p w14:paraId="78036993">
            <w:pPr>
              <w:keepNext w:val="0"/>
              <w:keepLines w:val="0"/>
              <w:pageBreakBefore w:val="0"/>
              <w:kinsoku/>
              <w:wordWrap/>
              <w:overflowPunct/>
              <w:topLinePunct w:val="0"/>
              <w:autoSpaceDE/>
              <w:autoSpaceDN/>
              <w:bidi w:val="0"/>
              <w:adjustRightInd/>
              <w:snapToGrid w:val="0"/>
              <w:spacing w:line="300" w:lineRule="auto"/>
              <w:ind w:left="105" w:leftChars="50" w:firstLine="422" w:firstLineChars="200"/>
              <w:textAlignment w:val="auto"/>
              <w:rPr>
                <w:rFonts w:hint="eastAsia" w:ascii="宋体" w:hAnsi="宋体" w:eastAsia="宋体" w:cs="宋体"/>
                <w:color w:val="auto"/>
                <w:sz w:val="21"/>
                <w:szCs w:val="21"/>
                <w:highlight w:val="none"/>
                <w:lang w:val="zh-CN"/>
              </w:rPr>
            </w:pPr>
            <w:r>
              <w:rPr>
                <w:rFonts w:hint="eastAsia" w:hAnsi="宋体" w:eastAsia="宋体" w:cs="宋体"/>
                <w:b/>
                <w:bCs/>
                <w:color w:val="auto"/>
                <w:kern w:val="0"/>
                <w:sz w:val="21"/>
                <w:szCs w:val="21"/>
                <w:highlight w:val="none"/>
                <w:lang w:val="en-US" w:eastAsia="zh-CN" w:bidi="ar-SA"/>
              </w:rPr>
              <w:t>2</w:t>
            </w:r>
            <w:r>
              <w:rPr>
                <w:rFonts w:hint="eastAsia" w:ascii="宋体" w:hAnsi="宋体" w:eastAsia="宋体" w:cs="宋体"/>
                <w:b/>
                <w:bCs/>
                <w:color w:val="auto"/>
                <w:kern w:val="0"/>
                <w:sz w:val="21"/>
                <w:szCs w:val="21"/>
                <w:highlight w:val="none"/>
                <w:lang w:val="en-US" w:eastAsia="zh-CN" w:bidi="ar-SA"/>
              </w:rPr>
              <w:t xml:space="preserve">.3.1 </w:t>
            </w:r>
            <w:r>
              <w:rPr>
                <w:rFonts w:hint="eastAsia" w:ascii="宋体" w:hAnsi="宋体" w:eastAsia="宋体" w:cs="宋体"/>
                <w:color w:val="auto"/>
                <w:sz w:val="21"/>
                <w:szCs w:val="21"/>
                <w:highlight w:val="none"/>
                <w:lang w:val="zh-CN"/>
              </w:rPr>
              <w:t>拟派项目经理为具有</w:t>
            </w:r>
            <w:r>
              <w:rPr>
                <w:rFonts w:hint="eastAsia" w:ascii="宋体" w:hAnsi="宋体" w:eastAsia="宋体" w:cs="宋体"/>
                <w:b/>
                <w:bCs/>
                <w:color w:val="auto"/>
                <w:sz w:val="21"/>
                <w:szCs w:val="21"/>
                <w:highlight w:val="none"/>
                <w:u w:val="single"/>
                <w:lang w:val="en-US" w:eastAsia="zh-CN"/>
              </w:rPr>
              <w:t>建筑工程或机电工程</w:t>
            </w:r>
            <w:r>
              <w:rPr>
                <w:rFonts w:hint="eastAsia" w:ascii="宋体" w:hAnsi="宋体" w:eastAsia="宋体" w:cs="宋体"/>
                <w:color w:val="auto"/>
                <w:sz w:val="21"/>
                <w:szCs w:val="21"/>
                <w:highlight w:val="none"/>
                <w:lang w:val="zh-CN"/>
              </w:rPr>
              <w:t>专业</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val="zh-CN"/>
              </w:rPr>
              <w:t>级注册建造师，应持有住建部门印发的在使用有效期内的有效电子注册证书。同时均须具备有效安全生产考核合格证明（B证，安全生产考核合格证书或“建筑施工企业管理人员安全生产考核信息系统”考核合格信息截图），且未担任其他在施（包括已中标未开工、已开工未竣工）建设工程项目的项目经理。</w:t>
            </w:r>
          </w:p>
          <w:p w14:paraId="17ABA5B6">
            <w:pPr>
              <w:pStyle w:val="30"/>
              <w:keepNext w:val="0"/>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rPr>
            </w:pPr>
          </w:p>
          <w:p w14:paraId="2E5D51E2">
            <w:pPr>
              <w:pStyle w:val="30"/>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val="en-US" w:eastAsia="zh-CN"/>
              </w:rPr>
              <w:t>.3.2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拟派项目技术负责人须具备</w:t>
            </w:r>
            <w:r>
              <w:rPr>
                <w:rFonts w:hint="eastAsia" w:ascii="宋体" w:hAnsi="宋体" w:cs="宋体"/>
                <w:b/>
                <w:bCs/>
                <w:color w:val="auto"/>
                <w:sz w:val="21"/>
                <w:szCs w:val="21"/>
                <w:highlight w:val="none"/>
                <w:u w:val="single"/>
                <w:lang w:val="en-US" w:eastAsia="zh-CN"/>
              </w:rPr>
              <w:t>建筑工程</w:t>
            </w:r>
            <w:r>
              <w:rPr>
                <w:rFonts w:hint="eastAsia" w:ascii="宋体" w:hAnsi="宋体" w:eastAsia="宋体" w:cs="宋体"/>
                <w:b/>
                <w:bCs/>
                <w:color w:val="auto"/>
                <w:sz w:val="21"/>
                <w:szCs w:val="21"/>
                <w:highlight w:val="none"/>
                <w:u w:val="single"/>
                <w:lang w:val="en-US" w:eastAsia="zh-CN"/>
              </w:rPr>
              <w:t>或机电工程</w:t>
            </w:r>
            <w:r>
              <w:rPr>
                <w:rFonts w:hint="eastAsia" w:ascii="宋体" w:hAnsi="宋体" w:eastAsia="宋体" w:cs="宋体"/>
                <w:color w:val="auto"/>
                <w:sz w:val="21"/>
                <w:szCs w:val="21"/>
                <w:highlight w:val="none"/>
              </w:rPr>
              <w:t>专业类</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级或以上技术职称。</w:t>
            </w:r>
          </w:p>
          <w:p w14:paraId="47AF4FD7">
            <w:pPr>
              <w:pStyle w:val="30"/>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val="en-US" w:eastAsia="zh-CN"/>
              </w:rPr>
              <w:t xml:space="preserve">.3.3 </w:t>
            </w:r>
            <w:r>
              <w:rPr>
                <w:rFonts w:hint="eastAsia" w:ascii="宋体" w:hAnsi="宋体" w:eastAsia="宋体" w:cs="宋体"/>
                <w:color w:val="auto"/>
                <w:sz w:val="21"/>
                <w:szCs w:val="21"/>
                <w:highlight w:val="none"/>
              </w:rPr>
              <w:t>拟派专职安全生产管理人员须具备有效安全生产考核合格证明（C证，安全生产考核合格证书或广东省建筑施工企业管理人员安全生产考核系统考核合格信息打印页），且不少于</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人。</w:t>
            </w:r>
          </w:p>
          <w:p w14:paraId="0676C55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4 ．禁止投标条款：</w:t>
            </w:r>
          </w:p>
          <w:p w14:paraId="6E1A260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4.1  投标人不得存在下列情形之一：</w:t>
            </w:r>
          </w:p>
          <w:p w14:paraId="27B51DE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（1）为招标人不具有独立法人资格的附属机构（单位）；</w:t>
            </w:r>
          </w:p>
          <w:p w14:paraId="70F62CE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（2）为本招标项目前期准备提供设计或咨询服务的；</w:t>
            </w:r>
          </w:p>
          <w:p w14:paraId="25E0D73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（3）与本招标项目的其他投标人为同一个单位负责人；</w:t>
            </w:r>
          </w:p>
          <w:p w14:paraId="139EC89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（4）与本招标项目的其他投标人存在控股、管理关系；</w:t>
            </w:r>
          </w:p>
          <w:p w14:paraId="318908E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（5）为本招标项目的监理人；</w:t>
            </w:r>
          </w:p>
          <w:p w14:paraId="127A522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（6）为本招标项目的代建人；</w:t>
            </w:r>
          </w:p>
          <w:p w14:paraId="1AB32C5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（7）为本招标项目的招标代理机构；</w:t>
            </w:r>
          </w:p>
          <w:p w14:paraId="57F0668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（8）与本招标项目的监理人或代建人或招标代理机构同为一个 法定代表人；</w:t>
            </w:r>
          </w:p>
          <w:p w14:paraId="15BC226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（9）与本招标项目的监理人或代建人或招标代理机构存在控股或参股关系；</w:t>
            </w:r>
          </w:p>
          <w:p w14:paraId="78650BE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（10）与本招标项目的监理人或代建人或招标代理机构存在相互任职或工作关系；</w:t>
            </w:r>
          </w:p>
          <w:p w14:paraId="4163740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（11）被依法暂停或者取消投标资格；</w:t>
            </w:r>
          </w:p>
          <w:p w14:paraId="546236E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（12）被责令停产停业、暂扣或者吊销许可证、暂扣或者吊销执照；</w:t>
            </w:r>
          </w:p>
          <w:p w14:paraId="279E9B4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（13）进入清算程序，或被宣告破产，或其他丧失履约能力的情形；</w:t>
            </w:r>
          </w:p>
          <w:p w14:paraId="24CD9BF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（14）在最近三年内发生重大工程质量或安全问题（以相关行业主管部门的行政处罚决定或司法机关出具的有关法律文书为准）；</w:t>
            </w:r>
          </w:p>
          <w:p w14:paraId="6105C0B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（15）被“信用中国 ”网站（https://www.creditchina.gov.cn）发布的《法人和非法人组织公共信用信息报告》列为严重失信主体名单的。</w:t>
            </w:r>
          </w:p>
          <w:p w14:paraId="59C58FFC">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4.2  招标人拒绝以下名单中的单位参加本次投标：</w:t>
            </w:r>
          </w:p>
          <w:tbl>
            <w:tblPr>
              <w:tblStyle w:val="15"/>
              <w:tblW w:w="7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3642"/>
              <w:gridCol w:w="3239"/>
            </w:tblGrid>
            <w:tr w14:paraId="6DDBF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77" w:type="dxa"/>
                  <w:vAlign w:val="center"/>
                </w:tcPr>
                <w:p w14:paraId="1B51FA5A">
                  <w:pPr>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序号</w:t>
                  </w:r>
                </w:p>
              </w:tc>
              <w:tc>
                <w:tcPr>
                  <w:tcW w:w="3642" w:type="dxa"/>
                  <w:vAlign w:val="center"/>
                </w:tcPr>
                <w:p w14:paraId="5CAF0A6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单位名称</w:t>
                  </w:r>
                </w:p>
              </w:tc>
              <w:tc>
                <w:tcPr>
                  <w:tcW w:w="3239" w:type="dxa"/>
                  <w:vAlign w:val="center"/>
                </w:tcPr>
                <w:p w14:paraId="3B9F3CD2">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拒绝原因</w:t>
                  </w:r>
                </w:p>
              </w:tc>
            </w:tr>
            <w:tr w14:paraId="095F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677" w:type="dxa"/>
                  <w:vAlign w:val="center"/>
                </w:tcPr>
                <w:p w14:paraId="1ED2ACF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1</w:t>
                  </w:r>
                </w:p>
              </w:tc>
              <w:tc>
                <w:tcPr>
                  <w:tcW w:w="3642" w:type="dxa"/>
                  <w:vAlign w:val="center"/>
                </w:tcPr>
                <w:p w14:paraId="0D9FC85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新丰县中医院</w:t>
                  </w:r>
                </w:p>
              </w:tc>
              <w:tc>
                <w:tcPr>
                  <w:tcW w:w="3239" w:type="dxa"/>
                  <w:vAlign w:val="center"/>
                </w:tcPr>
                <w:p w14:paraId="4D9893A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为本招标项目的招标人</w:t>
                  </w:r>
                </w:p>
              </w:tc>
            </w:tr>
            <w:tr w14:paraId="65DA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677" w:type="dxa"/>
                  <w:vAlign w:val="center"/>
                </w:tcPr>
                <w:p w14:paraId="3A1AC87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2</w:t>
                  </w:r>
                </w:p>
              </w:tc>
              <w:tc>
                <w:tcPr>
                  <w:tcW w:w="3642" w:type="dxa"/>
                  <w:vAlign w:val="center"/>
                </w:tcPr>
                <w:p w14:paraId="19300F5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新丰县市政工程公司</w:t>
                  </w:r>
                </w:p>
              </w:tc>
              <w:tc>
                <w:tcPr>
                  <w:tcW w:w="3239" w:type="dxa"/>
                  <w:vAlign w:val="center"/>
                </w:tcPr>
                <w:p w14:paraId="609E126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为本招标项目的招标代理机构</w:t>
                  </w:r>
                </w:p>
              </w:tc>
            </w:tr>
            <w:tr w14:paraId="7E9BF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677" w:type="dxa"/>
                  <w:vAlign w:val="center"/>
                </w:tcPr>
                <w:p w14:paraId="0524586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3</w:t>
                  </w:r>
                </w:p>
              </w:tc>
              <w:tc>
                <w:tcPr>
                  <w:tcW w:w="3642" w:type="dxa"/>
                  <w:vAlign w:val="center"/>
                </w:tcPr>
                <w:p w14:paraId="14F21C5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中恒和咨询有限公司</w:t>
                  </w:r>
                </w:p>
              </w:tc>
              <w:tc>
                <w:tcPr>
                  <w:tcW w:w="3239" w:type="dxa"/>
                  <w:vAlign w:val="center"/>
                </w:tcPr>
                <w:p w14:paraId="271231F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为本招标项目的可研编制单位</w:t>
                  </w:r>
                </w:p>
              </w:tc>
            </w:tr>
            <w:tr w14:paraId="74BC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677" w:type="dxa"/>
                  <w:vAlign w:val="center"/>
                </w:tcPr>
                <w:p w14:paraId="25C0094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4</w:t>
                  </w:r>
                </w:p>
              </w:tc>
              <w:tc>
                <w:tcPr>
                  <w:tcW w:w="3642" w:type="dxa"/>
                  <w:vAlign w:val="center"/>
                </w:tcPr>
                <w:p w14:paraId="396F0A1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深圳德普思建筑设计有限公司</w:t>
                  </w:r>
                </w:p>
              </w:tc>
              <w:tc>
                <w:tcPr>
                  <w:tcW w:w="3239" w:type="dxa"/>
                  <w:vAlign w:val="center"/>
                </w:tcPr>
                <w:p w14:paraId="4256E64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为本招标项目的施工图设计单位</w:t>
                  </w:r>
                </w:p>
              </w:tc>
            </w:tr>
            <w:tr w14:paraId="2DEE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77" w:type="dxa"/>
                  <w:vAlign w:val="center"/>
                </w:tcPr>
                <w:p w14:paraId="03A1539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5</w:t>
                  </w:r>
                </w:p>
              </w:tc>
              <w:tc>
                <w:tcPr>
                  <w:tcW w:w="3642" w:type="dxa"/>
                  <w:vAlign w:val="center"/>
                </w:tcPr>
                <w:p w14:paraId="56BE9A5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广东建工审图咨询有限公司</w:t>
                  </w:r>
                </w:p>
              </w:tc>
              <w:tc>
                <w:tcPr>
                  <w:tcW w:w="3239" w:type="dxa"/>
                  <w:vAlign w:val="center"/>
                </w:tcPr>
                <w:p w14:paraId="5232B5A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为本招标项目的施工图审查单位</w:t>
                  </w:r>
                </w:p>
              </w:tc>
            </w:tr>
            <w:tr w14:paraId="7903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77" w:type="dxa"/>
                  <w:vAlign w:val="center"/>
                </w:tcPr>
                <w:p w14:paraId="3BDC78A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6</w:t>
                  </w:r>
                </w:p>
              </w:tc>
              <w:tc>
                <w:tcPr>
                  <w:tcW w:w="3642" w:type="dxa"/>
                  <w:vAlign w:val="center"/>
                </w:tcPr>
                <w:p w14:paraId="72F6F5A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default" w:asciiTheme="minorEastAsia" w:hAnsiTheme="minorEastAsia" w:eastAsiaTheme="minorEastAsia" w:cstheme="minorEastAsia"/>
                      <w:snapToGrid w:val="0"/>
                      <w:color w:val="auto"/>
                      <w:spacing w:val="0"/>
                      <w:kern w:val="0"/>
                      <w:sz w:val="21"/>
                      <w:szCs w:val="21"/>
                      <w:highlight w:val="none"/>
                      <w:lang w:val="en-US" w:eastAsia="zh-CN" w:bidi="ar-SA"/>
                    </w:rPr>
                    <w:t>广东中城工程项目管理有限公司</w:t>
                  </w:r>
                </w:p>
              </w:tc>
              <w:tc>
                <w:tcPr>
                  <w:tcW w:w="3239" w:type="dxa"/>
                  <w:vAlign w:val="center"/>
                </w:tcPr>
                <w:p w14:paraId="345969A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为本招标项目的造价咨询单位</w:t>
                  </w:r>
                </w:p>
              </w:tc>
            </w:tr>
            <w:tr w14:paraId="19E0D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77" w:type="dxa"/>
                  <w:vAlign w:val="center"/>
                </w:tcPr>
                <w:p w14:paraId="0D5F60C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7</w:t>
                  </w:r>
                </w:p>
              </w:tc>
              <w:tc>
                <w:tcPr>
                  <w:tcW w:w="3642" w:type="dxa"/>
                  <w:vAlign w:val="center"/>
                </w:tcPr>
                <w:p w14:paraId="1FE366A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广东粤新建设监理有限公司</w:t>
                  </w:r>
                </w:p>
              </w:tc>
              <w:tc>
                <w:tcPr>
                  <w:tcW w:w="3239" w:type="dxa"/>
                  <w:vAlign w:val="center"/>
                </w:tcPr>
                <w:p w14:paraId="54340B0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为本招标项目的监理单位</w:t>
                  </w:r>
                </w:p>
              </w:tc>
            </w:tr>
            <w:tr w14:paraId="4C77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77" w:type="dxa"/>
                  <w:vAlign w:val="center"/>
                </w:tcPr>
                <w:p w14:paraId="319A2C2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8</w:t>
                  </w:r>
                </w:p>
              </w:tc>
              <w:tc>
                <w:tcPr>
                  <w:tcW w:w="3642" w:type="dxa"/>
                  <w:vAlign w:val="center"/>
                </w:tcPr>
                <w:p w14:paraId="00CE55B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新丰县卫生健康局</w:t>
                  </w:r>
                </w:p>
              </w:tc>
              <w:tc>
                <w:tcPr>
                  <w:tcW w:w="3239" w:type="dxa"/>
                  <w:vAlign w:val="center"/>
                </w:tcPr>
                <w:p w14:paraId="6056809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为本招标项目的行政主管单位</w:t>
                  </w:r>
                </w:p>
              </w:tc>
            </w:tr>
            <w:tr w14:paraId="61274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77" w:type="dxa"/>
                  <w:vAlign w:val="center"/>
                </w:tcPr>
                <w:p w14:paraId="3310D8A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9</w:t>
                  </w:r>
                </w:p>
              </w:tc>
              <w:tc>
                <w:tcPr>
                  <w:tcW w:w="3642" w:type="dxa"/>
                  <w:vAlign w:val="center"/>
                </w:tcPr>
                <w:p w14:paraId="6244FDC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新丰县住房和城乡建设管理局</w:t>
                  </w:r>
                </w:p>
              </w:tc>
              <w:tc>
                <w:tcPr>
                  <w:tcW w:w="3239" w:type="dxa"/>
                  <w:vAlign w:val="center"/>
                </w:tcPr>
                <w:p w14:paraId="7F2D1F4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为本招标项目的监督单位</w:t>
                  </w:r>
                </w:p>
              </w:tc>
            </w:tr>
          </w:tbl>
          <w:p w14:paraId="54B9438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5 ．其他要求</w:t>
            </w:r>
          </w:p>
          <w:p w14:paraId="3C09726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省外企业及其拟派往本项目管理机构的所有人员均须按照《广东省住房和城乡建设厅关于取消省外建筑企业和人员进粤信息备案有关工作的通知》（粤建市﹝2015﹞52 号）规定在“进粤企业和人员诚信信息登记平台 ”录入相关信息并通过数据规范检查。</w:t>
            </w:r>
          </w:p>
        </w:tc>
      </w:tr>
      <w:tr w14:paraId="5BAB6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trPr>
        <w:tc>
          <w:tcPr>
            <w:tcW w:w="582" w:type="dxa"/>
            <w:vAlign w:val="center"/>
          </w:tcPr>
          <w:p w14:paraId="4BF78773">
            <w:pPr>
              <w:keepNext w:val="0"/>
              <w:keepLines w:val="0"/>
              <w:pageBreakBefore w:val="0"/>
              <w:wordWrap w:val="0"/>
              <w:overflowPunct/>
              <w:topLinePunct w:val="0"/>
              <w:bidi w:val="0"/>
              <w:spacing w:before="69" w:line="188" w:lineRule="auto"/>
              <w:ind w:left="205" w:leftChars="0"/>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28</w:t>
            </w:r>
          </w:p>
        </w:tc>
        <w:tc>
          <w:tcPr>
            <w:tcW w:w="1942" w:type="dxa"/>
            <w:vAlign w:val="center"/>
          </w:tcPr>
          <w:p w14:paraId="6A030E1A">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投标有效期</w:t>
            </w:r>
          </w:p>
        </w:tc>
        <w:tc>
          <w:tcPr>
            <w:tcW w:w="7574" w:type="dxa"/>
            <w:vAlign w:val="center"/>
          </w:tcPr>
          <w:p w14:paraId="7EF5475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本次招标的投标有效期为</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90</w:t>
            </w:r>
            <w:r>
              <w:rPr>
                <w:rFonts w:hint="eastAsia" w:asciiTheme="minorEastAsia" w:hAnsiTheme="minorEastAsia" w:eastAsiaTheme="minorEastAsia" w:cstheme="minorEastAsia"/>
                <w:snapToGrid w:val="0"/>
                <w:color w:val="auto"/>
                <w:spacing w:val="0"/>
                <w:kern w:val="0"/>
                <w:sz w:val="21"/>
                <w:szCs w:val="21"/>
                <w:highlight w:val="none"/>
                <w:lang w:eastAsia="zh-CN"/>
              </w:rPr>
              <w:t xml:space="preserve"> 个日历天。</w:t>
            </w:r>
          </w:p>
        </w:tc>
      </w:tr>
      <w:tr w14:paraId="6971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trPr>
        <w:tc>
          <w:tcPr>
            <w:tcW w:w="582" w:type="dxa"/>
            <w:vAlign w:val="center"/>
          </w:tcPr>
          <w:p w14:paraId="1E3A9D17">
            <w:pPr>
              <w:keepNext w:val="0"/>
              <w:keepLines w:val="0"/>
              <w:pageBreakBefore w:val="0"/>
              <w:wordWrap w:val="0"/>
              <w:overflowPunct/>
              <w:topLinePunct w:val="0"/>
              <w:bidi w:val="0"/>
              <w:spacing w:before="69" w:line="188" w:lineRule="auto"/>
              <w:ind w:left="205" w:leftChars="0"/>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29</w:t>
            </w:r>
          </w:p>
        </w:tc>
        <w:tc>
          <w:tcPr>
            <w:tcW w:w="1942" w:type="dxa"/>
            <w:vAlign w:val="center"/>
          </w:tcPr>
          <w:p w14:paraId="24459D3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投标文件组成</w:t>
            </w:r>
          </w:p>
        </w:tc>
        <w:tc>
          <w:tcPr>
            <w:tcW w:w="7574" w:type="dxa"/>
            <w:vAlign w:val="center"/>
          </w:tcPr>
          <w:p w14:paraId="53F827A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投标文件包括商务标书、经济标书、施工组织设计、</w:t>
            </w:r>
            <w:r>
              <w:rPr>
                <w:rFonts w:hint="eastAsia" w:asciiTheme="minorEastAsia" w:hAnsiTheme="minorEastAsia" w:eastAsiaTheme="minorEastAsia" w:cstheme="minorEastAsia"/>
                <w:snapToGrid w:val="0"/>
                <w:color w:val="auto"/>
                <w:spacing w:val="0"/>
                <w:kern w:val="0"/>
                <w:sz w:val="21"/>
                <w:szCs w:val="21"/>
                <w:highlight w:val="none"/>
                <w:lang w:val="en-US" w:eastAsia="zh-CN"/>
              </w:rPr>
              <w:t>定标文件四</w:t>
            </w:r>
            <w:r>
              <w:rPr>
                <w:rFonts w:hint="eastAsia" w:asciiTheme="minorEastAsia" w:hAnsiTheme="minorEastAsia" w:eastAsiaTheme="minorEastAsia" w:cstheme="minorEastAsia"/>
                <w:snapToGrid w:val="0"/>
                <w:color w:val="auto"/>
                <w:spacing w:val="0"/>
                <w:kern w:val="0"/>
                <w:sz w:val="21"/>
                <w:szCs w:val="21"/>
                <w:highlight w:val="none"/>
                <w:lang w:eastAsia="zh-CN"/>
              </w:rPr>
              <w:t>个分册。</w:t>
            </w:r>
          </w:p>
        </w:tc>
      </w:tr>
      <w:tr w14:paraId="5E297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582" w:type="dxa"/>
            <w:vAlign w:val="center"/>
          </w:tcPr>
          <w:p w14:paraId="282353BA">
            <w:pPr>
              <w:keepNext w:val="0"/>
              <w:keepLines w:val="0"/>
              <w:pageBreakBefore w:val="0"/>
              <w:wordWrap w:val="0"/>
              <w:overflowPunct/>
              <w:topLinePunct w:val="0"/>
              <w:bidi w:val="0"/>
              <w:spacing w:before="69" w:line="188" w:lineRule="auto"/>
              <w:ind w:left="209" w:leftChars="0"/>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30</w:t>
            </w:r>
          </w:p>
        </w:tc>
        <w:tc>
          <w:tcPr>
            <w:tcW w:w="1942" w:type="dxa"/>
            <w:vAlign w:val="center"/>
          </w:tcPr>
          <w:p w14:paraId="74B22D6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施工组织设计评审方式</w:t>
            </w:r>
          </w:p>
        </w:tc>
        <w:tc>
          <w:tcPr>
            <w:tcW w:w="7574" w:type="dxa"/>
            <w:vAlign w:val="center"/>
          </w:tcPr>
          <w:p w14:paraId="683086F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本次招标施工组织设计</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不采用 </w:t>
            </w:r>
            <w:r>
              <w:rPr>
                <w:rFonts w:hint="eastAsia" w:asciiTheme="minorEastAsia" w:hAnsiTheme="minorEastAsia" w:eastAsiaTheme="minorEastAsia" w:cstheme="minorEastAsia"/>
                <w:snapToGrid w:val="0"/>
                <w:color w:val="auto"/>
                <w:spacing w:val="0"/>
                <w:kern w:val="0"/>
                <w:sz w:val="21"/>
                <w:szCs w:val="21"/>
                <w:highlight w:val="none"/>
                <w:lang w:eastAsia="zh-CN"/>
              </w:rPr>
              <w:t>“暗标 ”方式进行评审。</w:t>
            </w:r>
          </w:p>
        </w:tc>
      </w:tr>
      <w:tr w14:paraId="4CD9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trPr>
        <w:tc>
          <w:tcPr>
            <w:tcW w:w="582" w:type="dxa"/>
            <w:vAlign w:val="center"/>
          </w:tcPr>
          <w:p w14:paraId="029705D9">
            <w:pPr>
              <w:keepNext w:val="0"/>
              <w:keepLines w:val="0"/>
              <w:pageBreakBefore w:val="0"/>
              <w:wordWrap w:val="0"/>
              <w:overflowPunct/>
              <w:topLinePunct w:val="0"/>
              <w:bidi w:val="0"/>
              <w:spacing w:before="258" w:line="188" w:lineRule="auto"/>
              <w:ind w:left="209" w:leftChars="0"/>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31</w:t>
            </w:r>
          </w:p>
        </w:tc>
        <w:tc>
          <w:tcPr>
            <w:tcW w:w="1942" w:type="dxa"/>
            <w:vAlign w:val="center"/>
          </w:tcPr>
          <w:p w14:paraId="1ABA6C5E">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评标委员会</w:t>
            </w:r>
          </w:p>
        </w:tc>
        <w:tc>
          <w:tcPr>
            <w:tcW w:w="7574" w:type="dxa"/>
            <w:vAlign w:val="top"/>
          </w:tcPr>
          <w:p w14:paraId="1D041BE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评标委员会由</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7</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人组成，其中招标人代表</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2</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人，专家</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 xml:space="preserve">5 </w:t>
            </w:r>
            <w:r>
              <w:rPr>
                <w:rFonts w:hint="eastAsia" w:asciiTheme="minorEastAsia" w:hAnsiTheme="minorEastAsia" w:eastAsiaTheme="minorEastAsia" w:cstheme="minorEastAsia"/>
                <w:snapToGrid w:val="0"/>
                <w:color w:val="auto"/>
                <w:spacing w:val="0"/>
                <w:kern w:val="0"/>
                <w:sz w:val="21"/>
                <w:szCs w:val="21"/>
                <w:highlight w:val="none"/>
                <w:lang w:eastAsia="zh-CN"/>
              </w:rPr>
              <w:t>人。专家从广东省综合评标评审专家库</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（韶关区域）</w:t>
            </w:r>
            <w:r>
              <w:rPr>
                <w:rFonts w:hint="eastAsia" w:asciiTheme="minorEastAsia" w:hAnsiTheme="minorEastAsia" w:eastAsiaTheme="minorEastAsia" w:cstheme="minorEastAsia"/>
                <w:snapToGrid w:val="0"/>
                <w:color w:val="auto"/>
                <w:spacing w:val="0"/>
                <w:kern w:val="0"/>
                <w:sz w:val="21"/>
                <w:szCs w:val="21"/>
                <w:highlight w:val="none"/>
                <w:lang w:eastAsia="zh-CN"/>
              </w:rPr>
              <w:t>中随机抽取，其中技术类专家</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3 </w:t>
            </w:r>
            <w:r>
              <w:rPr>
                <w:rFonts w:hint="eastAsia" w:asciiTheme="minorEastAsia" w:hAnsiTheme="minorEastAsia" w:eastAsiaTheme="minorEastAsia" w:cstheme="minorEastAsia"/>
                <w:snapToGrid w:val="0"/>
                <w:color w:val="auto"/>
                <w:spacing w:val="0"/>
                <w:kern w:val="0"/>
                <w:sz w:val="21"/>
                <w:szCs w:val="21"/>
                <w:highlight w:val="none"/>
                <w:lang w:eastAsia="zh-CN"/>
              </w:rPr>
              <w:t>人，经济类专家</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2 </w:t>
            </w:r>
            <w:r>
              <w:rPr>
                <w:rFonts w:hint="eastAsia" w:asciiTheme="minorEastAsia" w:hAnsiTheme="minorEastAsia" w:eastAsiaTheme="minorEastAsia" w:cstheme="minorEastAsia"/>
                <w:snapToGrid w:val="0"/>
                <w:color w:val="auto"/>
                <w:spacing w:val="0"/>
                <w:kern w:val="0"/>
                <w:sz w:val="21"/>
                <w:szCs w:val="21"/>
                <w:highlight w:val="none"/>
                <w:lang w:eastAsia="zh-CN"/>
              </w:rPr>
              <w:t>人。</w:t>
            </w:r>
          </w:p>
        </w:tc>
      </w:tr>
      <w:tr w14:paraId="00FC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582" w:type="dxa"/>
            <w:vAlign w:val="center"/>
          </w:tcPr>
          <w:p w14:paraId="20A804ED">
            <w:pPr>
              <w:keepNext w:val="0"/>
              <w:keepLines w:val="0"/>
              <w:pageBreakBefore w:val="0"/>
              <w:wordWrap w:val="0"/>
              <w:overflowPunct/>
              <w:topLinePunct w:val="0"/>
              <w:bidi w:val="0"/>
              <w:spacing w:before="258" w:line="188" w:lineRule="auto"/>
              <w:ind w:left="209" w:leftChars="0"/>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val="en-US" w:eastAsia="zh-CN"/>
              </w:rPr>
              <w:t>32</w:t>
            </w:r>
          </w:p>
        </w:tc>
        <w:tc>
          <w:tcPr>
            <w:tcW w:w="1942" w:type="dxa"/>
            <w:vAlign w:val="center"/>
          </w:tcPr>
          <w:p w14:paraId="665467AA">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定</w:t>
            </w:r>
            <w:r>
              <w:rPr>
                <w:rFonts w:hint="eastAsia" w:asciiTheme="minorEastAsia" w:hAnsiTheme="minorEastAsia" w:eastAsiaTheme="minorEastAsia" w:cstheme="minorEastAsia"/>
                <w:snapToGrid w:val="0"/>
                <w:color w:val="auto"/>
                <w:spacing w:val="0"/>
                <w:kern w:val="0"/>
                <w:sz w:val="21"/>
                <w:szCs w:val="21"/>
                <w:highlight w:val="none"/>
                <w:lang w:eastAsia="zh-CN"/>
              </w:rPr>
              <w:t>标委员会</w:t>
            </w:r>
          </w:p>
        </w:tc>
        <w:tc>
          <w:tcPr>
            <w:tcW w:w="7574" w:type="dxa"/>
            <w:vAlign w:val="center"/>
          </w:tcPr>
          <w:p w14:paraId="3AE5DB9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left"/>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本</w:t>
            </w:r>
            <w:r>
              <w:rPr>
                <w:rFonts w:hint="eastAsia" w:asciiTheme="minorEastAsia" w:hAnsiTheme="minorEastAsia" w:eastAsiaTheme="minorEastAsia" w:cstheme="minorEastAsia"/>
                <w:snapToGrid w:val="0"/>
                <w:color w:val="auto"/>
                <w:spacing w:val="0"/>
                <w:kern w:val="0"/>
                <w:sz w:val="21"/>
                <w:szCs w:val="21"/>
                <w:highlight w:val="none"/>
                <w:lang w:eastAsia="zh-CN"/>
              </w:rPr>
              <w:t xml:space="preserve">项目定标委员会组成人员为 </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7 </w:t>
            </w:r>
            <w:r>
              <w:rPr>
                <w:rFonts w:hint="eastAsia" w:asciiTheme="minorEastAsia" w:hAnsiTheme="minorEastAsia" w:eastAsiaTheme="minorEastAsia" w:cstheme="minorEastAsia"/>
                <w:snapToGrid w:val="0"/>
                <w:color w:val="auto"/>
                <w:spacing w:val="0"/>
                <w:kern w:val="0"/>
                <w:sz w:val="21"/>
                <w:szCs w:val="21"/>
                <w:highlight w:val="none"/>
                <w:lang w:eastAsia="zh-CN"/>
              </w:rPr>
              <w:t>人</w:t>
            </w:r>
          </w:p>
        </w:tc>
      </w:tr>
      <w:tr w14:paraId="705E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rPr>
        <w:tc>
          <w:tcPr>
            <w:tcW w:w="582" w:type="dxa"/>
            <w:vAlign w:val="center"/>
          </w:tcPr>
          <w:p w14:paraId="2AFC9717">
            <w:pPr>
              <w:keepNext w:val="0"/>
              <w:keepLines w:val="0"/>
              <w:pageBreakBefore w:val="0"/>
              <w:wordWrap w:val="0"/>
              <w:overflowPunct/>
              <w:topLinePunct w:val="0"/>
              <w:bidi w:val="0"/>
              <w:spacing w:before="258" w:line="188" w:lineRule="auto"/>
              <w:ind w:left="209" w:leftChars="0"/>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val="en-US" w:eastAsia="zh-CN"/>
              </w:rPr>
              <w:t>33</w:t>
            </w:r>
          </w:p>
        </w:tc>
        <w:tc>
          <w:tcPr>
            <w:tcW w:w="1942" w:type="dxa"/>
            <w:vAlign w:val="center"/>
          </w:tcPr>
          <w:p w14:paraId="7057DE4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评标方法</w:t>
            </w:r>
          </w:p>
        </w:tc>
        <w:tc>
          <w:tcPr>
            <w:tcW w:w="7574" w:type="dxa"/>
            <w:vAlign w:val="center"/>
          </w:tcPr>
          <w:p w14:paraId="628B1B3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☑综合评估法</w:t>
            </w:r>
          </w:p>
        </w:tc>
      </w:tr>
      <w:tr w14:paraId="6DFD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rPr>
        <w:tc>
          <w:tcPr>
            <w:tcW w:w="582" w:type="dxa"/>
            <w:vAlign w:val="center"/>
          </w:tcPr>
          <w:p w14:paraId="4AF0EE91">
            <w:pPr>
              <w:keepNext w:val="0"/>
              <w:keepLines w:val="0"/>
              <w:pageBreakBefore w:val="0"/>
              <w:wordWrap w:val="0"/>
              <w:overflowPunct/>
              <w:topLinePunct w:val="0"/>
              <w:bidi w:val="0"/>
              <w:spacing w:before="57" w:line="195" w:lineRule="auto"/>
              <w:jc w:val="center"/>
              <w:rPr>
                <w:rFonts w:hint="default"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rPr>
              <w:t>3</w:t>
            </w:r>
            <w:r>
              <w:rPr>
                <w:rFonts w:hint="eastAsia" w:asciiTheme="minorEastAsia" w:hAnsiTheme="minorEastAsia" w:eastAsiaTheme="minorEastAsia" w:cstheme="minorEastAsia"/>
                <w:color w:val="auto"/>
                <w:spacing w:val="0"/>
                <w:sz w:val="21"/>
                <w:szCs w:val="21"/>
                <w:highlight w:val="none"/>
                <w:lang w:val="en-US" w:eastAsia="zh-CN"/>
              </w:rPr>
              <w:t>4</w:t>
            </w:r>
          </w:p>
        </w:tc>
        <w:tc>
          <w:tcPr>
            <w:tcW w:w="1942" w:type="dxa"/>
            <w:vAlign w:val="center"/>
          </w:tcPr>
          <w:p w14:paraId="7AA08089">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定标办法</w:t>
            </w:r>
          </w:p>
        </w:tc>
        <w:tc>
          <w:tcPr>
            <w:tcW w:w="7574" w:type="dxa"/>
            <w:vAlign w:val="center"/>
          </w:tcPr>
          <w:p w14:paraId="73EA49A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☑票决定标法（</w:t>
            </w:r>
            <w:r>
              <w:rPr>
                <w:rFonts w:hint="eastAsia" w:asciiTheme="minorEastAsia" w:hAnsiTheme="minorEastAsia" w:eastAsiaTheme="minorEastAsia" w:cstheme="minorEastAsia"/>
                <w:snapToGrid w:val="0"/>
                <w:color w:val="auto"/>
                <w:spacing w:val="0"/>
                <w:kern w:val="0"/>
                <w:sz w:val="21"/>
                <w:szCs w:val="21"/>
                <w:highlight w:val="none"/>
                <w:lang w:val="en-US" w:eastAsia="zh-CN"/>
              </w:rPr>
              <w:t>票决数量法</w:t>
            </w:r>
            <w:r>
              <w:rPr>
                <w:rFonts w:hint="eastAsia" w:asciiTheme="minorEastAsia" w:hAnsiTheme="minorEastAsia" w:eastAsiaTheme="minorEastAsia" w:cstheme="minorEastAsia"/>
                <w:snapToGrid w:val="0"/>
                <w:color w:val="auto"/>
                <w:spacing w:val="0"/>
                <w:kern w:val="0"/>
                <w:sz w:val="21"/>
                <w:szCs w:val="21"/>
                <w:highlight w:val="none"/>
                <w:lang w:eastAsia="zh-CN"/>
              </w:rPr>
              <w:t>）</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□集体议事法</w:t>
            </w:r>
          </w:p>
        </w:tc>
      </w:tr>
      <w:tr w14:paraId="735BD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4" w:hRule="atLeast"/>
        </w:trPr>
        <w:tc>
          <w:tcPr>
            <w:tcW w:w="582" w:type="dxa"/>
            <w:vAlign w:val="center"/>
          </w:tcPr>
          <w:p w14:paraId="28C06626">
            <w:pPr>
              <w:keepNext w:val="0"/>
              <w:keepLines w:val="0"/>
              <w:pageBreakBefore w:val="0"/>
              <w:wordWrap w:val="0"/>
              <w:overflowPunct/>
              <w:topLinePunct w:val="0"/>
              <w:bidi w:val="0"/>
              <w:spacing w:before="69" w:line="188" w:lineRule="auto"/>
              <w:ind w:left="209" w:leftChars="0"/>
              <w:rPr>
                <w:rFonts w:hint="default"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eastAsia="zh-CN"/>
              </w:rPr>
              <w:t>3</w:t>
            </w:r>
            <w:r>
              <w:rPr>
                <w:rFonts w:hint="eastAsia" w:asciiTheme="minorEastAsia" w:hAnsiTheme="minorEastAsia" w:eastAsiaTheme="minorEastAsia" w:cstheme="minorEastAsia"/>
                <w:color w:val="auto"/>
                <w:spacing w:val="0"/>
                <w:sz w:val="21"/>
                <w:szCs w:val="21"/>
                <w:highlight w:val="none"/>
                <w:lang w:val="en-US" w:eastAsia="zh-CN"/>
              </w:rPr>
              <w:t>5</w:t>
            </w:r>
          </w:p>
        </w:tc>
        <w:tc>
          <w:tcPr>
            <w:tcW w:w="1942" w:type="dxa"/>
            <w:vAlign w:val="center"/>
          </w:tcPr>
          <w:p w14:paraId="5B598B93">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招标文件要求提交的用于评审的证书、证件、证明原件</w:t>
            </w:r>
          </w:p>
        </w:tc>
        <w:tc>
          <w:tcPr>
            <w:tcW w:w="7574" w:type="dxa"/>
            <w:vAlign w:val="top"/>
          </w:tcPr>
          <w:p w14:paraId="547AFCE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投标人在提交用于评审的证书、证件、证明原件的，投标人应自行将所需原件密封于文件袋（箱）中，并自行准备两张“原件一览表 ” (详见格式十五，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tc>
      </w:tr>
      <w:tr w14:paraId="1846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582" w:type="dxa"/>
            <w:vAlign w:val="center"/>
          </w:tcPr>
          <w:p w14:paraId="7C8ECFED">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3</w:t>
            </w:r>
            <w:r>
              <w:rPr>
                <w:rFonts w:hint="eastAsia" w:asciiTheme="minorEastAsia" w:hAnsiTheme="minorEastAsia" w:eastAsiaTheme="minorEastAsia" w:cstheme="minorEastAsia"/>
                <w:color w:val="auto"/>
                <w:spacing w:val="0"/>
                <w:sz w:val="21"/>
                <w:szCs w:val="21"/>
                <w:highlight w:val="none"/>
                <w:lang w:val="en-US" w:eastAsia="zh-CN"/>
              </w:rPr>
              <w:t>6</w:t>
            </w:r>
          </w:p>
        </w:tc>
        <w:tc>
          <w:tcPr>
            <w:tcW w:w="1942" w:type="dxa"/>
            <w:vAlign w:val="center"/>
          </w:tcPr>
          <w:p w14:paraId="7C44A749">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招标代理费</w:t>
            </w:r>
          </w:p>
        </w:tc>
        <w:tc>
          <w:tcPr>
            <w:tcW w:w="7574" w:type="dxa"/>
            <w:vAlign w:val="center"/>
          </w:tcPr>
          <w:p w14:paraId="746D7B9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color w:val="auto"/>
                <w:highlight w:val="none"/>
                <w:u w:val="none"/>
              </w:rPr>
              <w:t>本项目的招标代理费由中标人支付，该费用不再另行报价，由投标人在投标报价时综合考虑在内。（招标代理服务费参照《招标代理服务收费管理暂行办法》（计价格[2002]1980号），以中标价为计费基数。评标专家酬劳包括食宿费用、交通费、专家评审劳务费等）</w:t>
            </w:r>
          </w:p>
        </w:tc>
      </w:tr>
      <w:tr w14:paraId="362F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9" w:hRule="atLeast"/>
        </w:trPr>
        <w:tc>
          <w:tcPr>
            <w:tcW w:w="582" w:type="dxa"/>
            <w:vAlign w:val="center"/>
          </w:tcPr>
          <w:p w14:paraId="1482EFA4">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eastAsia="zh-CN"/>
              </w:rPr>
              <w:t>3</w:t>
            </w:r>
            <w:r>
              <w:rPr>
                <w:rFonts w:hint="eastAsia" w:asciiTheme="minorEastAsia" w:hAnsiTheme="minorEastAsia" w:eastAsiaTheme="minorEastAsia" w:cstheme="minorEastAsia"/>
                <w:color w:val="auto"/>
                <w:spacing w:val="0"/>
                <w:sz w:val="21"/>
                <w:szCs w:val="21"/>
                <w:highlight w:val="none"/>
                <w:lang w:val="en-US" w:eastAsia="zh-CN"/>
              </w:rPr>
              <w:t>7</w:t>
            </w:r>
          </w:p>
        </w:tc>
        <w:tc>
          <w:tcPr>
            <w:tcW w:w="1942" w:type="dxa"/>
            <w:vAlign w:val="center"/>
          </w:tcPr>
          <w:p w14:paraId="18185B7E">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招标人</w:t>
            </w:r>
          </w:p>
          <w:p w14:paraId="7BD8529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联系方式</w:t>
            </w:r>
          </w:p>
        </w:tc>
        <w:tc>
          <w:tcPr>
            <w:tcW w:w="7574" w:type="dxa"/>
            <w:vAlign w:val="center"/>
          </w:tcPr>
          <w:p w14:paraId="5B4D209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宋体" w:hAnsi="宋体" w:eastAsia="宋体" w:cs="宋体"/>
                <w:snapToGrid w:val="0"/>
                <w:color w:val="auto"/>
                <w:spacing w:val="0"/>
                <w:kern w:val="0"/>
                <w:sz w:val="21"/>
                <w:highlight w:val="none"/>
                <w:lang w:val="en-US" w:eastAsia="zh-CN"/>
              </w:rPr>
            </w:pPr>
            <w:r>
              <w:rPr>
                <w:rFonts w:hint="eastAsia" w:ascii="宋体" w:hAnsi="宋体" w:eastAsia="宋体" w:cs="宋体"/>
                <w:snapToGrid w:val="0"/>
                <w:color w:val="auto"/>
                <w:spacing w:val="0"/>
                <w:kern w:val="0"/>
                <w:sz w:val="21"/>
                <w:highlight w:val="none"/>
              </w:rPr>
              <w:t>单位名称：</w:t>
            </w:r>
            <w:r>
              <w:rPr>
                <w:rFonts w:hint="eastAsia" w:eastAsia="宋体" w:cs="Times New Roman"/>
                <w:color w:val="auto"/>
                <w:szCs w:val="21"/>
                <w:highlight w:val="none"/>
                <w:lang w:val="en-US" w:eastAsia="zh-CN"/>
              </w:rPr>
              <w:t>新丰县中医院</w:t>
            </w:r>
          </w:p>
          <w:p w14:paraId="063BA8E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rPr>
            </w:pPr>
            <w:r>
              <w:rPr>
                <w:rFonts w:hint="eastAsia" w:ascii="宋体" w:hAnsi="宋体" w:eastAsia="宋体" w:cs="宋体"/>
                <w:snapToGrid w:val="0"/>
                <w:color w:val="auto"/>
                <w:spacing w:val="0"/>
                <w:kern w:val="0"/>
                <w:sz w:val="21"/>
                <w:highlight w:val="none"/>
              </w:rPr>
              <w:t>办公地址</w:t>
            </w:r>
            <w:r>
              <w:rPr>
                <w:rFonts w:hint="eastAsia" w:eastAsia="宋体" w:cs="Times New Roman"/>
                <w:color w:val="auto"/>
                <w:szCs w:val="21"/>
                <w:highlight w:val="none"/>
                <w:lang w:val="en-US" w:eastAsia="zh-CN"/>
              </w:rPr>
              <w:t>：广东省韶关市新丰县新南路91号</w:t>
            </w:r>
          </w:p>
          <w:p w14:paraId="1188E8C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宋体" w:hAnsi="宋体" w:eastAsia="宋体" w:cs="宋体"/>
                <w:snapToGrid w:val="0"/>
                <w:color w:val="auto"/>
                <w:spacing w:val="0"/>
                <w:kern w:val="0"/>
                <w:sz w:val="21"/>
                <w:highlight w:val="none"/>
                <w:lang w:val="en-US" w:eastAsia="zh-CN"/>
              </w:rPr>
            </w:pPr>
            <w:r>
              <w:rPr>
                <w:rFonts w:hint="eastAsia" w:ascii="宋体" w:hAnsi="宋体" w:eastAsia="宋体" w:cs="宋体"/>
                <w:snapToGrid w:val="0"/>
                <w:color w:val="auto"/>
                <w:spacing w:val="0"/>
                <w:kern w:val="0"/>
                <w:sz w:val="21"/>
                <w:highlight w:val="none"/>
              </w:rPr>
              <w:t>联系人（部门）：</w:t>
            </w:r>
            <w:r>
              <w:rPr>
                <w:rFonts w:hint="eastAsia" w:ascii="宋体" w:hAnsi="宋体" w:eastAsia="宋体" w:cs="宋体"/>
                <w:snapToGrid w:val="0"/>
                <w:color w:val="auto"/>
                <w:spacing w:val="0"/>
                <w:kern w:val="0"/>
                <w:sz w:val="21"/>
                <w:highlight w:val="none"/>
                <w:lang w:val="en-US" w:eastAsia="zh-CN"/>
              </w:rPr>
              <w:t>谭工</w:t>
            </w:r>
          </w:p>
          <w:p w14:paraId="55413C1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eastAsia="宋体" w:asciiTheme="minorEastAsia" w:hAnsiTheme="minorEastAsia" w:cstheme="minorEastAsia"/>
                <w:snapToGrid w:val="0"/>
                <w:color w:val="auto"/>
                <w:spacing w:val="0"/>
                <w:kern w:val="0"/>
                <w:sz w:val="21"/>
                <w:szCs w:val="21"/>
                <w:highlight w:val="none"/>
                <w:lang w:val="en-US" w:eastAsia="zh-CN"/>
              </w:rPr>
            </w:pPr>
            <w:r>
              <w:rPr>
                <w:rFonts w:hint="eastAsia" w:ascii="宋体" w:hAnsi="宋体" w:eastAsia="宋体" w:cs="宋体"/>
                <w:snapToGrid w:val="0"/>
                <w:color w:val="auto"/>
                <w:spacing w:val="0"/>
                <w:kern w:val="0"/>
                <w:sz w:val="21"/>
                <w:highlight w:val="none"/>
              </w:rPr>
              <w:t>联系电话：</w:t>
            </w:r>
            <w:r>
              <w:rPr>
                <w:rFonts w:hint="eastAsia" w:ascii="宋体" w:hAnsi="宋体" w:eastAsia="宋体" w:cs="宋体"/>
                <w:snapToGrid w:val="0"/>
                <w:color w:val="auto"/>
                <w:spacing w:val="0"/>
                <w:kern w:val="0"/>
                <w:sz w:val="21"/>
                <w:highlight w:val="none"/>
                <w:lang w:val="en-US" w:eastAsia="zh-CN"/>
              </w:rPr>
              <w:t>0751-2268806</w:t>
            </w:r>
          </w:p>
        </w:tc>
      </w:tr>
      <w:tr w14:paraId="08636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582" w:type="dxa"/>
            <w:vAlign w:val="center"/>
          </w:tcPr>
          <w:p w14:paraId="74FCC8C3">
            <w:pPr>
              <w:keepNext w:val="0"/>
              <w:keepLines w:val="0"/>
              <w:pageBreakBefore w:val="0"/>
              <w:wordWrap w:val="0"/>
              <w:overflowPunct/>
              <w:topLinePunct w:val="0"/>
              <w:bidi w:val="0"/>
              <w:spacing w:before="69" w:line="188" w:lineRule="auto"/>
              <w:jc w:val="center"/>
              <w:rPr>
                <w:rFonts w:hint="default"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eastAsia="zh-CN"/>
              </w:rPr>
              <w:t>3</w:t>
            </w:r>
            <w:r>
              <w:rPr>
                <w:rFonts w:hint="eastAsia" w:asciiTheme="minorEastAsia" w:hAnsiTheme="minorEastAsia" w:eastAsiaTheme="minorEastAsia" w:cstheme="minorEastAsia"/>
                <w:color w:val="auto"/>
                <w:spacing w:val="0"/>
                <w:sz w:val="21"/>
                <w:szCs w:val="21"/>
                <w:highlight w:val="none"/>
                <w:lang w:val="en-US" w:eastAsia="zh-CN"/>
              </w:rPr>
              <w:t>8</w:t>
            </w:r>
          </w:p>
        </w:tc>
        <w:tc>
          <w:tcPr>
            <w:tcW w:w="1942" w:type="dxa"/>
            <w:vAlign w:val="center"/>
          </w:tcPr>
          <w:p w14:paraId="4671EC7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招标代理机构</w:t>
            </w:r>
          </w:p>
          <w:p w14:paraId="41FE93A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联系方式</w:t>
            </w:r>
          </w:p>
        </w:tc>
        <w:tc>
          <w:tcPr>
            <w:tcW w:w="7574" w:type="dxa"/>
            <w:vAlign w:val="center"/>
          </w:tcPr>
          <w:p w14:paraId="1173C012">
            <w:pPr>
              <w:pageBreakBefore w:val="0"/>
              <w:kinsoku/>
              <w:overflowPunct/>
              <w:topLinePunct w:val="0"/>
              <w:autoSpaceDE/>
              <w:autoSpaceDN/>
              <w:bidi w:val="0"/>
              <w:spacing w:line="240" w:lineRule="auto"/>
              <w:ind w:firstLine="210" w:firstLineChars="1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单位名称：新丰县市政工程公司</w:t>
            </w:r>
          </w:p>
          <w:p w14:paraId="5EEE5103">
            <w:pPr>
              <w:pageBreakBefore w:val="0"/>
              <w:kinsoku/>
              <w:overflowPunct/>
              <w:topLinePunct w:val="0"/>
              <w:autoSpaceDE/>
              <w:autoSpaceDN/>
              <w:bidi w:val="0"/>
              <w:spacing w:line="240" w:lineRule="auto"/>
              <w:ind w:firstLine="210" w:firstLineChars="100"/>
              <w:jc w:val="left"/>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lang w:val="en-US" w:eastAsia="zh-CN"/>
              </w:rPr>
              <w:t>办公地址：</w:t>
            </w:r>
            <w:r>
              <w:rPr>
                <w:rFonts w:hint="eastAsia" w:ascii="宋体" w:hAnsi="宋体" w:eastAsia="宋体" w:cs="宋体"/>
                <w:color w:val="auto"/>
                <w:kern w:val="0"/>
                <w:sz w:val="21"/>
                <w:szCs w:val="21"/>
                <w:highlight w:val="none"/>
                <w:u w:val="single"/>
                <w:lang w:val="en-US" w:eastAsia="zh-CN"/>
              </w:rPr>
              <w:t>新丰县丰城街道群英路新城二街1号新丰县国有资产管理集团有限公司A栋2楼</w:t>
            </w:r>
          </w:p>
          <w:p w14:paraId="4DB0E72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联系人（部门）：刘工，联系电话：13570797877</w:t>
            </w:r>
          </w:p>
        </w:tc>
      </w:tr>
      <w:tr w14:paraId="7AB41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trPr>
        <w:tc>
          <w:tcPr>
            <w:tcW w:w="582" w:type="dxa"/>
            <w:vAlign w:val="center"/>
          </w:tcPr>
          <w:p w14:paraId="5B24D42F">
            <w:pPr>
              <w:keepNext w:val="0"/>
              <w:keepLines w:val="0"/>
              <w:pageBreakBefore w:val="0"/>
              <w:wordWrap w:val="0"/>
              <w:overflowPunct/>
              <w:topLinePunct w:val="0"/>
              <w:bidi w:val="0"/>
              <w:spacing w:before="69" w:line="188" w:lineRule="auto"/>
              <w:jc w:val="center"/>
              <w:rPr>
                <w:rFonts w:hint="default"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39</w:t>
            </w:r>
          </w:p>
        </w:tc>
        <w:tc>
          <w:tcPr>
            <w:tcW w:w="1942" w:type="dxa"/>
            <w:vAlign w:val="center"/>
          </w:tcPr>
          <w:p w14:paraId="7CA477E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交易场所联系方式</w:t>
            </w:r>
          </w:p>
        </w:tc>
        <w:tc>
          <w:tcPr>
            <w:tcW w:w="7574" w:type="dxa"/>
            <w:vAlign w:val="center"/>
          </w:tcPr>
          <w:p w14:paraId="56958669">
            <w:pPr>
              <w:keepNext w:val="0"/>
              <w:keepLines w:val="0"/>
              <w:pageBreakBefore w:val="0"/>
              <w:kinsoku/>
              <w:wordWrap w:val="0"/>
              <w:overflowPunct/>
              <w:topLinePunct w:val="0"/>
              <w:autoSpaceDE/>
              <w:autoSpaceDN/>
              <w:bidi w:val="0"/>
              <w:adjustRightInd w:val="0"/>
              <w:snapToGrid w:val="0"/>
              <w:spacing w:line="360" w:lineRule="exact"/>
              <w:ind w:firstLine="210" w:firstLineChars="100"/>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单位名称：韶关市公共资源交易中心新丰分中心</w:t>
            </w:r>
          </w:p>
          <w:p w14:paraId="2AA71C22">
            <w:pPr>
              <w:keepNext w:val="0"/>
              <w:keepLines w:val="0"/>
              <w:pageBreakBefore w:val="0"/>
              <w:kinsoku/>
              <w:wordWrap w:val="0"/>
              <w:overflowPunct/>
              <w:topLinePunct w:val="0"/>
              <w:autoSpaceDE/>
              <w:autoSpaceDN/>
              <w:bidi w:val="0"/>
              <w:adjustRightInd w:val="0"/>
              <w:snapToGrid w:val="0"/>
              <w:spacing w:line="360" w:lineRule="exact"/>
              <w:ind w:left="210" w:leftChars="100" w:firstLine="0" w:firstLineChars="0"/>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办公地址：新丰县丰城街道金园路53号行政服务中心5楼（韶关市公共资源交易中心新丰分中心）</w:t>
            </w:r>
          </w:p>
          <w:p w14:paraId="3445A2F8">
            <w:pPr>
              <w:keepNext w:val="0"/>
              <w:keepLines w:val="0"/>
              <w:pageBreakBefore w:val="0"/>
              <w:kinsoku/>
              <w:wordWrap w:val="0"/>
              <w:overflowPunct/>
              <w:topLinePunct w:val="0"/>
              <w:autoSpaceDE/>
              <w:autoSpaceDN/>
              <w:bidi w:val="0"/>
              <w:adjustRightInd w:val="0"/>
              <w:snapToGrid w:val="0"/>
              <w:spacing w:line="360" w:lineRule="exact"/>
              <w:ind w:firstLine="210" w:firstLineChars="100"/>
              <w:jc w:val="left"/>
              <w:textAlignment w:val="auto"/>
              <w:rPr>
                <w:rFonts w:hint="default" w:ascii="宋体" w:hAnsi="宋体" w:eastAsia="宋体" w:cs="宋体"/>
                <w:snapToGrid w:val="0"/>
                <w:color w:val="auto"/>
                <w:kern w:val="0"/>
                <w:sz w:val="21"/>
                <w:szCs w:val="21"/>
                <w:highlight w:val="none"/>
                <w:lang w:val="en-US" w:eastAsia="zh-CN"/>
              </w:rPr>
            </w:pPr>
            <w:r>
              <w:rPr>
                <w:rFonts w:hint="default" w:ascii="宋体" w:hAnsi="宋体" w:eastAsia="宋体" w:cs="宋体"/>
                <w:snapToGrid w:val="0"/>
                <w:color w:val="auto"/>
                <w:kern w:val="0"/>
                <w:sz w:val="21"/>
                <w:szCs w:val="21"/>
                <w:highlight w:val="none"/>
                <w:lang w:val="en-US" w:eastAsia="zh-CN"/>
              </w:rPr>
              <w:t>联系人（部门）：</w:t>
            </w:r>
            <w:r>
              <w:rPr>
                <w:rFonts w:hint="eastAsia" w:ascii="宋体" w:hAnsi="宋体" w:eastAsia="宋体" w:cs="宋体"/>
                <w:snapToGrid w:val="0"/>
                <w:color w:val="auto"/>
                <w:kern w:val="0"/>
                <w:sz w:val="21"/>
                <w:szCs w:val="21"/>
                <w:highlight w:val="none"/>
                <w:lang w:val="en-US" w:eastAsia="zh-CN"/>
              </w:rPr>
              <w:t>工程交易部</w:t>
            </w:r>
          </w:p>
          <w:p w14:paraId="1FBADE8E">
            <w:pPr>
              <w:keepNext w:val="0"/>
              <w:keepLines w:val="0"/>
              <w:pageBreakBefore w:val="0"/>
              <w:kinsoku/>
              <w:wordWrap w:val="0"/>
              <w:overflowPunct/>
              <w:topLinePunct w:val="0"/>
              <w:autoSpaceDE/>
              <w:autoSpaceDN/>
              <w:bidi w:val="0"/>
              <w:adjustRightInd w:val="0"/>
              <w:snapToGrid w:val="0"/>
              <w:spacing w:line="360" w:lineRule="exact"/>
              <w:ind w:firstLine="210" w:firstLineChars="100"/>
              <w:jc w:val="left"/>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default" w:ascii="宋体" w:hAnsi="宋体" w:eastAsia="宋体" w:cs="宋体"/>
                <w:snapToGrid w:val="0"/>
                <w:color w:val="auto"/>
                <w:kern w:val="0"/>
                <w:sz w:val="21"/>
                <w:szCs w:val="21"/>
                <w:highlight w:val="none"/>
                <w:lang w:val="en-US" w:eastAsia="zh-CN"/>
              </w:rPr>
              <w:t>联系电话：</w:t>
            </w:r>
            <w:r>
              <w:rPr>
                <w:rFonts w:hint="eastAsia" w:ascii="宋体" w:hAnsi="宋体" w:eastAsia="宋体" w:cs="宋体"/>
                <w:snapToGrid w:val="0"/>
                <w:color w:val="auto"/>
                <w:kern w:val="0"/>
                <w:sz w:val="21"/>
                <w:szCs w:val="21"/>
                <w:highlight w:val="none"/>
                <w:lang w:val="en-US" w:eastAsia="zh-CN"/>
              </w:rPr>
              <w:t>0751-2198025</w:t>
            </w:r>
          </w:p>
        </w:tc>
      </w:tr>
      <w:tr w14:paraId="29FD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trPr>
        <w:tc>
          <w:tcPr>
            <w:tcW w:w="582" w:type="dxa"/>
            <w:vAlign w:val="center"/>
          </w:tcPr>
          <w:p w14:paraId="76D80BEF">
            <w:pPr>
              <w:keepNext w:val="0"/>
              <w:keepLines w:val="0"/>
              <w:pageBreakBefore w:val="0"/>
              <w:wordWrap w:val="0"/>
              <w:overflowPunct/>
              <w:topLinePunct w:val="0"/>
              <w:bidi w:val="0"/>
              <w:spacing w:before="69" w:line="188" w:lineRule="auto"/>
              <w:jc w:val="center"/>
              <w:rPr>
                <w:rFonts w:hint="default"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40</w:t>
            </w:r>
          </w:p>
        </w:tc>
        <w:tc>
          <w:tcPr>
            <w:tcW w:w="1942" w:type="dxa"/>
            <w:vAlign w:val="center"/>
          </w:tcPr>
          <w:p w14:paraId="49F1505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行政监督部</w:t>
            </w:r>
          </w:p>
          <w:p w14:paraId="78B01F1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门联系方式</w:t>
            </w:r>
          </w:p>
        </w:tc>
        <w:tc>
          <w:tcPr>
            <w:tcW w:w="7574" w:type="dxa"/>
            <w:vAlign w:val="center"/>
          </w:tcPr>
          <w:p w14:paraId="23D1A40B">
            <w:pPr>
              <w:keepNext w:val="0"/>
              <w:keepLines w:val="0"/>
              <w:pageBreakBefore w:val="0"/>
              <w:kinsoku/>
              <w:wordWrap w:val="0"/>
              <w:overflowPunct/>
              <w:topLinePunct w:val="0"/>
              <w:autoSpaceDE/>
              <w:autoSpaceDN/>
              <w:bidi w:val="0"/>
              <w:adjustRightInd w:val="0"/>
              <w:snapToGrid w:val="0"/>
              <w:spacing w:line="360" w:lineRule="exact"/>
              <w:ind w:firstLine="210" w:firstLineChars="100"/>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单位名称：新丰县住房和城乡建设管理局</w:t>
            </w:r>
          </w:p>
          <w:p w14:paraId="552468FE">
            <w:pPr>
              <w:keepNext w:val="0"/>
              <w:keepLines w:val="0"/>
              <w:pageBreakBefore w:val="0"/>
              <w:kinsoku/>
              <w:wordWrap w:val="0"/>
              <w:overflowPunct/>
              <w:topLinePunct w:val="0"/>
              <w:autoSpaceDE/>
              <w:autoSpaceDN/>
              <w:bidi w:val="0"/>
              <w:adjustRightInd w:val="0"/>
              <w:snapToGrid w:val="0"/>
              <w:spacing w:line="360" w:lineRule="exact"/>
              <w:ind w:firstLine="210" w:firstLineChars="100"/>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办公地址：新丰县丰城街道金园路53号行政服务中心6楼</w:t>
            </w:r>
          </w:p>
          <w:p w14:paraId="7AC3E752">
            <w:pPr>
              <w:keepNext w:val="0"/>
              <w:keepLines w:val="0"/>
              <w:pageBreakBefore w:val="0"/>
              <w:kinsoku/>
              <w:wordWrap w:val="0"/>
              <w:overflowPunct/>
              <w:topLinePunct w:val="0"/>
              <w:autoSpaceDE/>
              <w:autoSpaceDN/>
              <w:bidi w:val="0"/>
              <w:adjustRightInd w:val="0"/>
              <w:snapToGrid w:val="0"/>
              <w:spacing w:line="360" w:lineRule="exact"/>
              <w:ind w:firstLine="210" w:firstLineChars="100"/>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 xml:space="preserve">联系人（部门）：建管股  </w:t>
            </w:r>
          </w:p>
          <w:p w14:paraId="5CF8E55C">
            <w:pPr>
              <w:keepNext w:val="0"/>
              <w:keepLines w:val="0"/>
              <w:pageBreakBefore w:val="0"/>
              <w:kinsoku/>
              <w:wordWrap w:val="0"/>
              <w:overflowPunct/>
              <w:topLinePunct w:val="0"/>
              <w:autoSpaceDE/>
              <w:autoSpaceDN/>
              <w:bidi w:val="0"/>
              <w:adjustRightInd w:val="0"/>
              <w:snapToGrid w:val="0"/>
              <w:spacing w:line="360" w:lineRule="exact"/>
              <w:ind w:firstLine="210" w:firstLineChars="100"/>
              <w:jc w:val="left"/>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联系电话：0751-6921025</w:t>
            </w:r>
          </w:p>
        </w:tc>
      </w:tr>
    </w:tbl>
    <w:p w14:paraId="30DF3482">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bookmarkStart w:id="5" w:name="bookmark115"/>
      <w:bookmarkEnd w:id="5"/>
    </w:p>
    <w:p w14:paraId="724FDEFB">
      <w:pP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41883E5E">
      <w:pPr>
        <w:keepNext w:val="0"/>
        <w:keepLines w:val="0"/>
        <w:pageBreakBefore w:val="0"/>
        <w:wordWrap w:val="0"/>
        <w:overflowPunct/>
        <w:topLinePunct w:val="0"/>
        <w:bidi w:val="0"/>
        <w:spacing w:before="156" w:line="219" w:lineRule="auto"/>
        <w:ind w:left="17"/>
        <w:jc w:val="left"/>
        <w:outlineLvl w:val="1"/>
        <w:rPr>
          <w:rFonts w:hint="eastAsia" w:ascii="宋体" w:hAnsi="宋体" w:eastAsia="宋体" w:cs="宋体"/>
          <w:color w:val="auto"/>
          <w:spacing w:val="0"/>
          <w:highlight w:val="none"/>
        </w:rPr>
      </w:pPr>
      <w:bookmarkStart w:id="6" w:name="_Toc20130"/>
      <w:r>
        <w:rPr>
          <w:rFonts w:hint="eastAsia" w:ascii="宋体" w:hAnsi="宋体" w:eastAsia="宋体" w:cs="宋体"/>
          <w:b/>
          <w:bCs/>
          <w:color w:val="auto"/>
          <w:spacing w:val="0"/>
          <w:sz w:val="24"/>
          <w:szCs w:val="24"/>
          <w:highlight w:val="none"/>
        </w:rPr>
        <w:t>第二节 重要事项时间地点一览表</w:t>
      </w:r>
      <w:bookmarkEnd w:id="6"/>
    </w:p>
    <w:p w14:paraId="22FDFC17">
      <w:pPr>
        <w:pStyle w:val="6"/>
        <w:keepNext w:val="0"/>
        <w:keepLines w:val="0"/>
        <w:pageBreakBefore w:val="0"/>
        <w:wordWrap w:val="0"/>
        <w:overflowPunct/>
        <w:topLinePunct w:val="0"/>
        <w:bidi w:val="0"/>
        <w:rPr>
          <w:rFonts w:hint="eastAsia" w:ascii="宋体" w:hAnsi="宋体" w:eastAsia="宋体" w:cs="宋体"/>
          <w:color w:val="auto"/>
          <w:spacing w:val="0"/>
          <w:highlight w:val="none"/>
        </w:rPr>
      </w:pPr>
    </w:p>
    <w:tbl>
      <w:tblPr>
        <w:tblStyle w:val="15"/>
        <w:tblW w:w="9059"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21"/>
        <w:gridCol w:w="1300"/>
        <w:gridCol w:w="7338"/>
      </w:tblGrid>
      <w:tr w14:paraId="7527E6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6"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64368E62">
            <w:pPr>
              <w:pStyle w:val="30"/>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1</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30921FDD">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招标公告</w:t>
            </w:r>
          </w:p>
          <w:p w14:paraId="3BBFD34A">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 xml:space="preserve">发布时间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7C3DCC19">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7 </w:t>
            </w:r>
            <w:r>
              <w:rPr>
                <w:rFonts w:hint="eastAsia" w:asciiTheme="minorEastAsia" w:hAnsiTheme="minorEastAsia" w:eastAsiaTheme="minorEastAsia" w:cstheme="minorEastAsia"/>
                <w:color w:val="auto"/>
                <w:spacing w:val="0"/>
                <w:kern w:val="0"/>
                <w:sz w:val="21"/>
                <w:szCs w:val="21"/>
                <w:highlight w:val="none"/>
                <w:lang w:val="en-US" w:eastAsia="zh-CN" w:bidi="ar-SA"/>
              </w:rPr>
              <w:t>月</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3 </w:t>
            </w:r>
            <w:r>
              <w:rPr>
                <w:rFonts w:hint="eastAsia" w:asciiTheme="minorEastAsia" w:hAnsiTheme="minorEastAsia" w:eastAsiaTheme="minorEastAsia" w:cstheme="minorEastAsia"/>
                <w:color w:val="auto"/>
                <w:spacing w:val="0"/>
                <w:kern w:val="0"/>
                <w:sz w:val="21"/>
                <w:szCs w:val="21"/>
                <w:highlight w:val="none"/>
                <w:lang w:val="en-US" w:eastAsia="zh-CN" w:bidi="ar-SA"/>
              </w:rPr>
              <w:t>日</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18 </w:t>
            </w:r>
            <w:r>
              <w:rPr>
                <w:rFonts w:hint="eastAsia" w:asciiTheme="minorEastAsia" w:hAnsiTheme="minorEastAsia" w:eastAsiaTheme="minorEastAsia" w:cstheme="minorEastAsia"/>
                <w:color w:val="auto"/>
                <w:spacing w:val="0"/>
                <w:kern w:val="0"/>
                <w:sz w:val="21"/>
                <w:szCs w:val="21"/>
                <w:highlight w:val="none"/>
                <w:lang w:val="en-US" w:eastAsia="zh-CN" w:bidi="ar-SA"/>
              </w:rPr>
              <w:t>时</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00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176E30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70"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0881C250">
            <w:pPr>
              <w:pStyle w:val="30"/>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2</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354C967C">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 xml:space="preserve">获取招标文件截止时间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20223F80">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7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28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10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40EC17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7"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4F5448C1">
            <w:pPr>
              <w:pStyle w:val="30"/>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3</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61500AF3">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网上提问</w:t>
            </w:r>
          </w:p>
          <w:p w14:paraId="613A4108">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 xml:space="preserve">截止时间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1F302D19">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400" w:lineRule="exact"/>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7 </w:t>
            </w:r>
            <w:r>
              <w:rPr>
                <w:rFonts w:hint="eastAsia" w:asciiTheme="minorEastAsia" w:hAnsiTheme="minorEastAsia" w:eastAsiaTheme="minorEastAsia" w:cstheme="minorEastAsia"/>
                <w:color w:val="auto"/>
                <w:spacing w:val="0"/>
                <w:kern w:val="0"/>
                <w:sz w:val="21"/>
                <w:szCs w:val="21"/>
                <w:highlight w:val="none"/>
                <w:lang w:val="en-US" w:eastAsia="zh-CN" w:bidi="ar-SA"/>
              </w:rPr>
              <w:t>月</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18</w:t>
            </w:r>
            <w:r>
              <w:rPr>
                <w:rFonts w:hint="eastAsia" w:asciiTheme="minorEastAsia" w:hAnsiTheme="minorEastAsia" w:eastAsiaTheme="minorEastAsia" w:cstheme="minorEastAsia"/>
                <w:color w:val="auto"/>
                <w:spacing w:val="0"/>
                <w:kern w:val="0"/>
                <w:sz w:val="21"/>
                <w:szCs w:val="21"/>
                <w:highlight w:val="none"/>
                <w:lang w:val="en-US" w:eastAsia="zh-CN" w:bidi="ar-SA"/>
              </w:rPr>
              <w:t>日</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16 </w:t>
            </w:r>
            <w:r>
              <w:rPr>
                <w:rFonts w:hint="eastAsia" w:asciiTheme="minorEastAsia" w:hAnsiTheme="minorEastAsia" w:eastAsiaTheme="minorEastAsia" w:cstheme="minorEastAsia"/>
                <w:color w:val="auto"/>
                <w:spacing w:val="0"/>
                <w:kern w:val="0"/>
                <w:sz w:val="21"/>
                <w:szCs w:val="21"/>
                <w:highlight w:val="none"/>
                <w:lang w:val="en-US" w:eastAsia="zh-CN" w:bidi="ar-SA"/>
              </w:rPr>
              <w:t>时</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00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1E494C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3"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09DD0DB5">
            <w:pPr>
              <w:pStyle w:val="30"/>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4</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3D1381A7">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网上答疑</w:t>
            </w:r>
          </w:p>
          <w:p w14:paraId="6D1C14C3">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时间</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42790101">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7 </w:t>
            </w:r>
            <w:r>
              <w:rPr>
                <w:rFonts w:hint="eastAsia" w:asciiTheme="minorEastAsia" w:hAnsiTheme="minorEastAsia" w:eastAsiaTheme="minorEastAsia" w:cstheme="minorEastAsia"/>
                <w:color w:val="auto"/>
                <w:spacing w:val="0"/>
                <w:kern w:val="0"/>
                <w:sz w:val="21"/>
                <w:szCs w:val="21"/>
                <w:highlight w:val="none"/>
                <w:lang w:val="en-US" w:eastAsia="zh-CN" w:bidi="ar-SA"/>
              </w:rPr>
              <w:t>月</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18 </w:t>
            </w:r>
            <w:r>
              <w:rPr>
                <w:rFonts w:hint="eastAsia" w:asciiTheme="minorEastAsia" w:hAnsiTheme="minorEastAsia" w:eastAsiaTheme="minorEastAsia" w:cstheme="minorEastAsia"/>
                <w:color w:val="auto"/>
                <w:spacing w:val="0"/>
                <w:kern w:val="0"/>
                <w:sz w:val="21"/>
                <w:szCs w:val="21"/>
                <w:highlight w:val="none"/>
                <w:lang w:val="en-US" w:eastAsia="zh-CN" w:bidi="ar-SA"/>
              </w:rPr>
              <w:t>日</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16 </w:t>
            </w:r>
            <w:r>
              <w:rPr>
                <w:rFonts w:hint="eastAsia" w:asciiTheme="minorEastAsia" w:hAnsiTheme="minorEastAsia" w:eastAsiaTheme="minorEastAsia" w:cstheme="minorEastAsia"/>
                <w:color w:val="auto"/>
                <w:spacing w:val="0"/>
                <w:kern w:val="0"/>
                <w:sz w:val="21"/>
                <w:szCs w:val="21"/>
                <w:highlight w:val="none"/>
                <w:lang w:val="en-US" w:eastAsia="zh-CN" w:bidi="ar-SA"/>
              </w:rPr>
              <w:t>时</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分至</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7 </w:t>
            </w:r>
            <w:r>
              <w:rPr>
                <w:rFonts w:hint="eastAsia" w:asciiTheme="minorEastAsia" w:hAnsiTheme="minorEastAsia" w:eastAsiaTheme="minorEastAsia" w:cstheme="minorEastAsia"/>
                <w:color w:val="auto"/>
                <w:spacing w:val="0"/>
                <w:kern w:val="0"/>
                <w:sz w:val="21"/>
                <w:szCs w:val="21"/>
                <w:highlight w:val="none"/>
                <w:lang w:val="en-US" w:eastAsia="zh-CN" w:bidi="ar-SA"/>
              </w:rPr>
              <w:t>月</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21 </w:t>
            </w:r>
            <w:r>
              <w:rPr>
                <w:rFonts w:hint="eastAsia" w:asciiTheme="minorEastAsia" w:hAnsiTheme="minorEastAsia" w:eastAsiaTheme="minorEastAsia" w:cstheme="minorEastAsia"/>
                <w:color w:val="auto"/>
                <w:spacing w:val="0"/>
                <w:kern w:val="0"/>
                <w:sz w:val="21"/>
                <w:szCs w:val="21"/>
                <w:highlight w:val="none"/>
                <w:lang w:val="en-US" w:eastAsia="zh-CN" w:bidi="ar-SA"/>
              </w:rPr>
              <w:t>日</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16 </w:t>
            </w:r>
            <w:r>
              <w:rPr>
                <w:rFonts w:hint="eastAsia" w:asciiTheme="minorEastAsia" w:hAnsiTheme="minorEastAsia" w:eastAsiaTheme="minorEastAsia" w:cstheme="minorEastAsia"/>
                <w:color w:val="auto"/>
                <w:spacing w:val="0"/>
                <w:kern w:val="0"/>
                <w:sz w:val="21"/>
                <w:szCs w:val="21"/>
                <w:highlight w:val="none"/>
                <w:lang w:val="en-US" w:eastAsia="zh-CN" w:bidi="ar-SA"/>
              </w:rPr>
              <w:t>时</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00</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3FA5D7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64"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3210D221">
            <w:pPr>
              <w:pStyle w:val="30"/>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5</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66BC121C">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投标保证缴</w:t>
            </w:r>
          </w:p>
          <w:p w14:paraId="3116ABE1">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纳截止时间</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1A64E5A3">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kern w:val="0"/>
                <w:sz w:val="21"/>
                <w:szCs w:val="21"/>
                <w:highlight w:val="none"/>
                <w:lang w:val="en-US" w:eastAsia="zh-CN" w:bidi="ar-SA"/>
              </w:rPr>
            </w:pPr>
            <w:r>
              <w:rPr>
                <w:rFonts w:hint="eastAsia" w:asciiTheme="minorEastAsia" w:hAnsiTheme="minorEastAsia" w:eastAsiaTheme="minorEastAsia" w:cstheme="minorEastAsia"/>
                <w:color w:val="auto"/>
                <w:spacing w:val="0"/>
                <w:kern w:val="0"/>
                <w:sz w:val="21"/>
                <w:szCs w:val="21"/>
                <w:highlight w:val="none"/>
                <w:lang w:val="en-US" w:eastAsia="zh-CN" w:bidi="ar-SA"/>
              </w:rPr>
              <w:t>投标保证金到账截止时间：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7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27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10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p w14:paraId="3E6FFFBE">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kern w:val="0"/>
                <w:sz w:val="21"/>
                <w:szCs w:val="21"/>
                <w:highlight w:val="none"/>
                <w:lang w:val="en-US" w:eastAsia="zh-CN" w:bidi="ar-SA"/>
              </w:rPr>
            </w:pPr>
            <w:r>
              <w:rPr>
                <w:rFonts w:hint="eastAsia" w:asciiTheme="minorEastAsia" w:hAnsiTheme="minorEastAsia" w:eastAsiaTheme="minorEastAsia" w:cstheme="minorEastAsia"/>
                <w:color w:val="auto"/>
                <w:spacing w:val="0"/>
                <w:kern w:val="0"/>
                <w:sz w:val="21"/>
                <w:szCs w:val="21"/>
                <w:highlight w:val="none"/>
                <w:lang w:val="en-US" w:eastAsia="zh-CN" w:bidi="ar-SA"/>
              </w:rPr>
              <w:t>投标保证担保上传截止时间：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7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27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10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p w14:paraId="2A607421">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lang w:val="en-US" w:eastAsia="zh-CN" w:bidi="ar-SA"/>
              </w:rPr>
              <w:t>投标保证保险投保截止时间：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7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27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10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205F9D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2"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69E9DC16">
            <w:pPr>
              <w:pStyle w:val="30"/>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6</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60B78F29">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电子投标</w:t>
            </w:r>
          </w:p>
          <w:p w14:paraId="4D6B4BDD">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 xml:space="preserve">截止时间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67503A73">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7</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28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10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793969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96"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096D5BFB">
            <w:pPr>
              <w:pStyle w:val="30"/>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7</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7ECFCCB9">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投标相关资料（如有）</w:t>
            </w:r>
          </w:p>
          <w:p w14:paraId="6A3E1C1C">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递交时间</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61A2A4F5">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7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28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10</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00 </w:t>
            </w:r>
            <w:r>
              <w:rPr>
                <w:rFonts w:hint="eastAsia" w:asciiTheme="minorEastAsia" w:hAnsiTheme="minorEastAsia" w:eastAsiaTheme="minorEastAsia" w:cstheme="minorEastAsia"/>
                <w:color w:val="auto"/>
                <w:spacing w:val="0"/>
                <w:kern w:val="0"/>
                <w:sz w:val="21"/>
                <w:szCs w:val="21"/>
                <w:highlight w:val="none"/>
                <w:lang w:val="en-US" w:eastAsia="zh-CN" w:bidi="ar-SA"/>
              </w:rPr>
              <w:t>分至</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7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28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10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108781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96"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187E6EBC">
            <w:pPr>
              <w:pStyle w:val="30"/>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8</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1C1C57A0">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投标相关资料（如有）</w:t>
            </w:r>
          </w:p>
          <w:p w14:paraId="0C806EA8">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递交地点</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14554D36">
            <w:pPr>
              <w:adjustRightInd w:val="0"/>
              <w:snapToGrid w:val="0"/>
              <w:spacing w:line="400" w:lineRule="exact"/>
              <w:rPr>
                <w:rFonts w:hAnsi="宋体"/>
                <w:snapToGrid w:val="0"/>
                <w:color w:val="auto"/>
                <w:kern w:val="0"/>
                <w:highlight w:val="none"/>
              </w:rPr>
            </w:pPr>
            <w:r>
              <w:rPr>
                <w:rFonts w:hAnsi="宋体"/>
                <w:snapToGrid w:val="0"/>
                <w:color w:val="auto"/>
                <w:kern w:val="0"/>
                <w:highlight w:val="none"/>
              </w:rPr>
              <w:t>递交场所：</w:t>
            </w:r>
            <w:r>
              <w:rPr>
                <w:rFonts w:hint="eastAsia" w:ascii="宋体" w:hAnsi="宋体" w:eastAsia="宋体" w:cs="宋体"/>
                <w:snapToGrid w:val="0"/>
                <w:color w:val="auto"/>
                <w:kern w:val="0"/>
                <w:sz w:val="21"/>
                <w:szCs w:val="21"/>
                <w:highlight w:val="none"/>
                <w:lang w:val="en-US" w:eastAsia="zh-CN"/>
              </w:rPr>
              <w:t>韶关市公共资源交易中心新丰分中心</w:t>
            </w:r>
          </w:p>
          <w:p w14:paraId="7B832303">
            <w:pPr>
              <w:keepNext w:val="0"/>
              <w:keepLines w:val="0"/>
              <w:pageBreakBefore w:val="0"/>
              <w:kinsoku/>
              <w:wordWrap w:val="0"/>
              <w:overflowPunct/>
              <w:topLinePunct w:val="0"/>
              <w:autoSpaceDE/>
              <w:autoSpaceDN/>
              <w:bidi w:val="0"/>
              <w:adjustRightInd w:val="0"/>
              <w:snapToGrid w:val="0"/>
              <w:spacing w:line="360" w:lineRule="exact"/>
              <w:ind w:firstLine="210" w:firstLineChars="100"/>
              <w:jc w:val="left"/>
              <w:textAlignment w:val="auto"/>
              <w:rPr>
                <w:rFonts w:hint="eastAsia" w:ascii="宋体" w:hAnsi="宋体" w:eastAsia="宋体" w:cs="宋体"/>
                <w:snapToGrid w:val="0"/>
                <w:color w:val="auto"/>
                <w:kern w:val="0"/>
                <w:sz w:val="21"/>
                <w:szCs w:val="21"/>
                <w:highlight w:val="none"/>
                <w:u w:val="single"/>
                <w:lang w:val="en-US" w:eastAsia="zh-CN"/>
              </w:rPr>
            </w:pPr>
            <w:r>
              <w:rPr>
                <w:rFonts w:hAnsi="宋体" w:cs="宋体"/>
                <w:snapToGrid w:val="0"/>
                <w:color w:val="auto"/>
                <w:kern w:val="0"/>
                <w:szCs w:val="24"/>
                <w:highlight w:val="none"/>
              </w:rPr>
              <w:t>地址：</w:t>
            </w:r>
            <w:r>
              <w:rPr>
                <w:rFonts w:hint="eastAsia" w:ascii="宋体" w:hAnsi="宋体" w:eastAsia="宋体" w:cs="宋体"/>
                <w:snapToGrid w:val="0"/>
                <w:color w:val="auto"/>
                <w:kern w:val="0"/>
                <w:sz w:val="21"/>
                <w:szCs w:val="21"/>
                <w:highlight w:val="none"/>
                <w:u w:val="single"/>
                <w:lang w:val="en-US" w:eastAsia="zh-CN"/>
              </w:rPr>
              <w:t>新丰县丰城街道金园路53号行政服务中心5楼（韶关市公共资源交易中心新丰分中心）</w:t>
            </w:r>
          </w:p>
          <w:p w14:paraId="6FF5E468">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400" w:lineRule="exact"/>
              <w:ind w:right="0"/>
              <w:jc w:val="left"/>
              <w:rPr>
                <w:rFonts w:hint="eastAsia" w:eastAsia="宋体" w:asciiTheme="minorEastAsia" w:hAnsiTheme="minorEastAsia" w:cstheme="minorEastAsia"/>
                <w:color w:val="auto"/>
                <w:spacing w:val="0"/>
                <w:sz w:val="22"/>
                <w:szCs w:val="18"/>
                <w:highlight w:val="none"/>
                <w:lang w:eastAsia="zh-CN"/>
              </w:rPr>
            </w:pPr>
            <w:r>
              <w:rPr>
                <w:rFonts w:hAnsi="宋体" w:cs="宋体"/>
                <w:color w:val="auto"/>
                <w:kern w:val="0"/>
                <w:highlight w:val="none"/>
              </w:rPr>
              <w:t>具体递交场所以当日现场通知为准</w:t>
            </w:r>
            <w:r>
              <w:rPr>
                <w:rFonts w:hint="eastAsia" w:hAnsi="宋体" w:eastAsia="宋体" w:cs="宋体"/>
                <w:color w:val="auto"/>
                <w:kern w:val="0"/>
                <w:highlight w:val="none"/>
                <w:lang w:eastAsia="zh-CN"/>
              </w:rPr>
              <w:t>。</w:t>
            </w:r>
          </w:p>
        </w:tc>
      </w:tr>
      <w:tr w14:paraId="67D68B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6"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7A492F83">
            <w:pPr>
              <w:pStyle w:val="30"/>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9</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47E60E97">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 xml:space="preserve">开标时间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4C4759C4">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400" w:lineRule="exact"/>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 xml:space="preserve"> </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7</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28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10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20C8AC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37"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5162EF3C">
            <w:pPr>
              <w:pStyle w:val="30"/>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10</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0F22FDE3">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 xml:space="preserve">开标地点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0B42EEBE">
            <w:pPr>
              <w:keepNext w:val="0"/>
              <w:keepLines w:val="0"/>
              <w:pageBreakBefore w:val="0"/>
              <w:kinsoku/>
              <w:wordWrap w:val="0"/>
              <w:overflowPunct/>
              <w:topLinePunct w:val="0"/>
              <w:autoSpaceDE/>
              <w:autoSpaceDN/>
              <w:bidi w:val="0"/>
              <w:adjustRightInd w:val="0"/>
              <w:snapToGrid w:val="0"/>
              <w:spacing w:line="360" w:lineRule="exact"/>
              <w:ind w:firstLine="210" w:firstLineChars="100"/>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开标场所：韶关市公共资源交易中心新丰分中心</w:t>
            </w:r>
          </w:p>
          <w:p w14:paraId="2E6EE26B">
            <w:pPr>
              <w:keepNext w:val="0"/>
              <w:keepLines w:val="0"/>
              <w:pageBreakBefore w:val="0"/>
              <w:kinsoku/>
              <w:wordWrap w:val="0"/>
              <w:overflowPunct/>
              <w:topLinePunct w:val="0"/>
              <w:autoSpaceDE/>
              <w:autoSpaceDN/>
              <w:bidi w:val="0"/>
              <w:adjustRightInd w:val="0"/>
              <w:snapToGrid w:val="0"/>
              <w:spacing w:line="360" w:lineRule="exact"/>
              <w:ind w:firstLine="210" w:firstLineChars="100"/>
              <w:jc w:val="left"/>
              <w:textAlignment w:val="auto"/>
              <w:rPr>
                <w:rFonts w:hint="eastAsia" w:ascii="宋体" w:hAnsi="宋体" w:eastAsia="宋体" w:cs="宋体"/>
                <w:snapToGrid w:val="0"/>
                <w:color w:val="auto"/>
                <w:kern w:val="0"/>
                <w:sz w:val="21"/>
                <w:szCs w:val="21"/>
                <w:highlight w:val="none"/>
                <w:u w:val="single"/>
                <w:lang w:val="en-US" w:eastAsia="zh-CN"/>
              </w:rPr>
            </w:pPr>
            <w:r>
              <w:rPr>
                <w:rFonts w:hint="eastAsia" w:ascii="宋体" w:hAnsi="宋体" w:eastAsia="宋体" w:cs="宋体"/>
                <w:snapToGrid w:val="0"/>
                <w:color w:val="auto"/>
                <w:kern w:val="0"/>
                <w:sz w:val="21"/>
                <w:szCs w:val="21"/>
                <w:highlight w:val="none"/>
                <w:lang w:val="en-US" w:eastAsia="zh-CN"/>
              </w:rPr>
              <w:t>地址：</w:t>
            </w:r>
            <w:r>
              <w:rPr>
                <w:rFonts w:hint="eastAsia" w:ascii="宋体" w:hAnsi="宋体" w:eastAsia="宋体" w:cs="宋体"/>
                <w:snapToGrid w:val="0"/>
                <w:color w:val="auto"/>
                <w:kern w:val="0"/>
                <w:sz w:val="21"/>
                <w:szCs w:val="21"/>
                <w:highlight w:val="none"/>
                <w:u w:val="single"/>
                <w:lang w:val="en-US" w:eastAsia="zh-CN"/>
              </w:rPr>
              <w:t>新丰县丰城街道金园路53号行政服务中心5楼（韶关市公共资源交易中心新丰分中心）</w:t>
            </w:r>
          </w:p>
          <w:p w14:paraId="4EA496AA">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400" w:lineRule="exact"/>
              <w:ind w:left="0" w:right="0" w:firstLine="220" w:firstLineChars="100"/>
              <w:jc w:val="left"/>
              <w:rPr>
                <w:rFonts w:hint="eastAsia" w:asciiTheme="minorEastAsia" w:hAnsiTheme="minorEastAsia" w:eastAsiaTheme="minorEastAsia" w:cstheme="minorEastAsia"/>
                <w:color w:val="auto"/>
                <w:spacing w:val="0"/>
                <w:sz w:val="22"/>
                <w:szCs w:val="18"/>
                <w:highlight w:val="none"/>
              </w:rPr>
            </w:pPr>
          </w:p>
        </w:tc>
      </w:tr>
      <w:tr w14:paraId="1FD2AC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6" w:hRule="exact"/>
        </w:trPr>
        <w:tc>
          <w:tcPr>
            <w:tcW w:w="1721" w:type="dxa"/>
            <w:gridSpan w:val="2"/>
            <w:tcBorders>
              <w:top w:val="single" w:color="080000" w:sz="4" w:space="0"/>
              <w:left w:val="single" w:color="080000" w:sz="4" w:space="0"/>
              <w:bottom w:val="single" w:color="080000" w:sz="4" w:space="0"/>
              <w:right w:val="single" w:color="080000" w:sz="4" w:space="0"/>
            </w:tcBorders>
            <w:noWrap w:val="0"/>
            <w:vAlign w:val="center"/>
          </w:tcPr>
          <w:p w14:paraId="5F4E94EC">
            <w:pPr>
              <w:pStyle w:val="30"/>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lang w:val="en-US" w:eastAsia="zh-CN"/>
              </w:rPr>
              <w:t>备注</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719EF49D">
            <w:pPr>
              <w:pStyle w:val="30"/>
              <w:keepNext w:val="0"/>
              <w:keepLines w:val="0"/>
              <w:pageBreakBefore w:val="0"/>
              <w:suppressLineNumbers w:val="0"/>
              <w:wordWrap w:val="0"/>
              <w:overflowPunct/>
              <w:topLinePunct w:val="0"/>
              <w:bidi w:val="0"/>
              <w:adjustRightInd w:val="0"/>
              <w:snapToGrid w:val="0"/>
              <w:spacing w:before="0" w:beforeAutospacing="0" w:after="0" w:afterAutospacing="0" w:line="400" w:lineRule="exact"/>
              <w:ind w:left="0" w:right="0" w:firstLine="210" w:firstLineChars="100"/>
              <w:jc w:val="left"/>
              <w:rPr>
                <w:rFonts w:hint="eastAsia" w:asciiTheme="minorEastAsia" w:hAnsiTheme="minorEastAsia" w:eastAsiaTheme="minorEastAsia" w:cstheme="minorEastAsia"/>
                <w:color w:val="auto"/>
                <w:spacing w:val="0"/>
                <w:sz w:val="20"/>
                <w:szCs w:val="22"/>
                <w:highlight w:val="none"/>
              </w:rPr>
            </w:pPr>
            <w:r>
              <w:rPr>
                <w:rFonts w:hint="eastAsia" w:asciiTheme="minorEastAsia" w:hAnsiTheme="minorEastAsia" w:eastAsiaTheme="minorEastAsia" w:cstheme="minorEastAsia"/>
                <w:snapToGrid w:val="0"/>
                <w:color w:val="auto"/>
                <w:spacing w:val="0"/>
                <w:kern w:val="0"/>
                <w:sz w:val="21"/>
                <w:szCs w:val="21"/>
                <w:highlight w:val="none"/>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1DB7A25C">
      <w:pPr>
        <w:keepNext w:val="0"/>
        <w:keepLines w:val="0"/>
        <w:pageBreakBefore w:val="0"/>
        <w:tabs>
          <w:tab w:val="left" w:pos="8820"/>
        </w:tabs>
        <w:wordWrap w:val="0"/>
        <w:overflowPunct/>
        <w:topLinePunct w:val="0"/>
        <w:bidi w:val="0"/>
        <w:rPr>
          <w:rFonts w:hint="eastAsia" w:ascii="宋体" w:hAnsi="宋体" w:eastAsia="宋体" w:cs="宋体"/>
          <w:b w:val="0"/>
          <w:bCs w:val="0"/>
          <w:color w:val="auto"/>
          <w:spacing w:val="0"/>
          <w:sz w:val="24"/>
          <w:szCs w:val="24"/>
          <w:highlight w:val="none"/>
        </w:rPr>
        <w:sectPr>
          <w:headerReference r:id="rId6" w:type="default"/>
          <w:footerReference r:id="rId7" w:type="default"/>
          <w:pgSz w:w="11906" w:h="16839"/>
          <w:pgMar w:top="1440" w:right="1080" w:bottom="1440" w:left="1080" w:header="0" w:footer="1085" w:gutter="0"/>
          <w:pgBorders>
            <w:top w:val="none" w:sz="0" w:space="0"/>
            <w:left w:val="none" w:sz="0" w:space="0"/>
            <w:bottom w:val="none" w:sz="0" w:space="0"/>
            <w:right w:val="none" w:sz="0" w:space="0"/>
          </w:pgBorders>
          <w:pgNumType w:fmt="decimal"/>
          <w:cols w:space="720" w:num="1"/>
        </w:sectPr>
      </w:pPr>
    </w:p>
    <w:p w14:paraId="6676F686">
      <w:pPr>
        <w:keepNext w:val="0"/>
        <w:keepLines w:val="0"/>
        <w:pageBreakBefore w:val="0"/>
        <w:wordWrap w:val="0"/>
        <w:overflowPunct/>
        <w:topLinePunct w:val="0"/>
        <w:bidi w:val="0"/>
        <w:jc w:val="center"/>
        <w:outlineLvl w:val="1"/>
        <w:rPr>
          <w:rFonts w:hint="eastAsia" w:ascii="宋体" w:hAnsi="宋体" w:eastAsia="宋体" w:cs="宋体"/>
          <w:color w:val="auto"/>
          <w:spacing w:val="0"/>
          <w:sz w:val="24"/>
          <w:szCs w:val="24"/>
          <w:highlight w:val="none"/>
        </w:rPr>
      </w:pPr>
      <w:bookmarkStart w:id="7" w:name="_Toc670"/>
      <w:r>
        <w:rPr>
          <w:rFonts w:hint="eastAsia" w:ascii="宋体" w:hAnsi="宋体" w:eastAsia="宋体" w:cs="宋体"/>
          <w:b/>
          <w:bCs/>
          <w:color w:val="auto"/>
          <w:spacing w:val="0"/>
          <w:sz w:val="24"/>
          <w:szCs w:val="24"/>
          <w:highlight w:val="none"/>
        </w:rPr>
        <w:t>第三节</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投标人须知正文</w:t>
      </w:r>
      <w:bookmarkEnd w:id="7"/>
    </w:p>
    <w:p w14:paraId="02FC90BF">
      <w:pPr>
        <w:pStyle w:val="6"/>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7EBC5C91">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5B96231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u w:val="single"/>
          <w:lang w:val="en-US" w:eastAsia="zh-CN"/>
        </w:rPr>
        <w:t>新丰县中医院病房改造及能力提升项目(一期)</w:t>
      </w:r>
      <w:r>
        <w:rPr>
          <w:rFonts w:hint="eastAsia" w:ascii="宋体" w:hAnsi="宋体" w:eastAsia="宋体" w:cs="宋体"/>
          <w:snapToGrid w:val="0"/>
          <w:color w:val="auto"/>
          <w:spacing w:val="0"/>
          <w:kern w:val="0"/>
          <w:sz w:val="24"/>
          <w:szCs w:val="24"/>
          <w:highlight w:val="none"/>
        </w:rPr>
        <w:t>经</w:t>
      </w:r>
      <w:r>
        <w:rPr>
          <w:rFonts w:hint="eastAsia" w:ascii="宋体" w:hAnsi="宋体" w:eastAsia="宋体" w:cs="宋体"/>
          <w:snapToGrid w:val="0"/>
          <w:color w:val="auto"/>
          <w:spacing w:val="0"/>
          <w:kern w:val="0"/>
          <w:sz w:val="24"/>
          <w:szCs w:val="24"/>
          <w:highlight w:val="none"/>
          <w:u w:val="single"/>
          <w:lang w:val="en-US" w:eastAsia="zh-CN"/>
        </w:rPr>
        <w:t>新丰县</w:t>
      </w:r>
      <w:r>
        <w:rPr>
          <w:rFonts w:hint="eastAsia" w:ascii="宋体" w:hAnsi="宋体" w:eastAsia="宋体" w:cs="宋体"/>
          <w:color w:val="auto"/>
          <w:spacing w:val="0"/>
          <w:sz w:val="24"/>
          <w:szCs w:val="24"/>
          <w:highlight w:val="none"/>
          <w:u w:val="single"/>
          <w:lang w:val="en-US" w:eastAsia="zh-CN"/>
        </w:rPr>
        <w:t>发展和改革局</w:t>
      </w:r>
      <w:r>
        <w:rPr>
          <w:rFonts w:hint="eastAsia" w:ascii="宋体" w:hAnsi="宋体" w:eastAsia="宋体" w:cs="宋体"/>
          <w:snapToGrid w:val="0"/>
          <w:color w:val="auto"/>
          <w:spacing w:val="0"/>
          <w:kern w:val="0"/>
          <w:sz w:val="24"/>
          <w:szCs w:val="24"/>
          <w:highlight w:val="none"/>
        </w:rPr>
        <w:t>以</w:t>
      </w:r>
      <w:r>
        <w:rPr>
          <w:rFonts w:hint="eastAsia" w:ascii="宋体" w:hAnsi="宋体" w:eastAsia="宋体" w:cs="宋体"/>
          <w:snapToGrid w:val="0"/>
          <w:color w:val="auto"/>
          <w:spacing w:val="0"/>
          <w:kern w:val="0"/>
          <w:sz w:val="24"/>
          <w:szCs w:val="24"/>
          <w:highlight w:val="none"/>
          <w:u w:val="single"/>
        </w:rPr>
        <w:t>《</w:t>
      </w:r>
      <w:r>
        <w:rPr>
          <w:rFonts w:hint="eastAsia" w:ascii="宋体" w:hAnsi="宋体" w:eastAsia="宋体" w:cs="宋体"/>
          <w:color w:val="auto"/>
          <w:spacing w:val="0"/>
          <w:sz w:val="24"/>
          <w:szCs w:val="24"/>
          <w:highlight w:val="none"/>
          <w:u w:val="single"/>
          <w:lang w:val="en-US" w:eastAsia="zh-CN"/>
        </w:rPr>
        <w:t>新丰县发展和改革局关于新丰县中医院病房改造及能力提升项目立项的批复</w:t>
      </w:r>
      <w:r>
        <w:rPr>
          <w:rFonts w:hint="eastAsia" w:ascii="宋体" w:hAnsi="宋体" w:eastAsia="宋体" w:cs="宋体"/>
          <w:snapToGrid w:val="0"/>
          <w:color w:val="auto"/>
          <w:spacing w:val="0"/>
          <w:kern w:val="0"/>
          <w:sz w:val="24"/>
          <w:szCs w:val="24"/>
          <w:highlight w:val="none"/>
          <w:u w:val="single"/>
        </w:rPr>
        <w:t>》（</w:t>
      </w:r>
      <w:r>
        <w:rPr>
          <w:rFonts w:hint="eastAsia" w:ascii="宋体" w:hAnsi="宋体" w:eastAsia="宋体" w:cs="宋体"/>
          <w:snapToGrid w:val="0"/>
          <w:color w:val="auto"/>
          <w:spacing w:val="0"/>
          <w:kern w:val="0"/>
          <w:sz w:val="24"/>
          <w:szCs w:val="24"/>
          <w:highlight w:val="none"/>
          <w:u w:val="single"/>
          <w:lang w:val="en-US" w:eastAsia="zh-CN"/>
        </w:rPr>
        <w:t>新丰发改投审〔2024〕208号</w:t>
      </w:r>
      <w:r>
        <w:rPr>
          <w:rFonts w:hint="eastAsia" w:ascii="宋体" w:hAnsi="宋体" w:eastAsia="宋体" w:cs="宋体"/>
          <w:snapToGrid w:val="0"/>
          <w:color w:val="auto"/>
          <w:spacing w:val="0"/>
          <w:kern w:val="0"/>
          <w:sz w:val="24"/>
          <w:szCs w:val="24"/>
          <w:highlight w:val="none"/>
          <w:u w:val="single"/>
        </w:rPr>
        <w:t>）</w:t>
      </w:r>
      <w:r>
        <w:rPr>
          <w:rFonts w:hint="eastAsia" w:ascii="宋体" w:hAnsi="宋体" w:eastAsia="宋体" w:cs="宋体"/>
          <w:snapToGrid w:val="0"/>
          <w:color w:val="auto"/>
          <w:spacing w:val="0"/>
          <w:kern w:val="0"/>
          <w:sz w:val="24"/>
          <w:szCs w:val="24"/>
          <w:highlight w:val="none"/>
          <w:u w:val="single"/>
          <w:lang w:val="en-US" w:eastAsia="zh-CN"/>
        </w:rPr>
        <w:t>及</w:t>
      </w:r>
      <w:r>
        <w:rPr>
          <w:rFonts w:hint="eastAsia" w:ascii="宋体" w:hAnsi="宋体" w:eastAsia="宋体" w:cs="宋体"/>
          <w:snapToGrid w:val="0"/>
          <w:color w:val="auto"/>
          <w:spacing w:val="0"/>
          <w:kern w:val="0"/>
          <w:sz w:val="24"/>
          <w:szCs w:val="24"/>
          <w:highlight w:val="none"/>
          <w:u w:val="single"/>
        </w:rPr>
        <w:t>《</w:t>
      </w:r>
      <w:r>
        <w:rPr>
          <w:rFonts w:hint="eastAsia" w:ascii="宋体" w:hAnsi="宋体" w:eastAsia="宋体" w:cs="宋体"/>
          <w:color w:val="auto"/>
          <w:spacing w:val="0"/>
          <w:sz w:val="24"/>
          <w:szCs w:val="24"/>
          <w:highlight w:val="none"/>
          <w:u w:val="single"/>
          <w:lang w:val="en-US" w:eastAsia="zh-CN"/>
        </w:rPr>
        <w:t>新丰县发展和改革局关于新丰县中医院病房改造及能力提升项目变更的复函</w:t>
      </w:r>
      <w:r>
        <w:rPr>
          <w:rFonts w:hint="eastAsia" w:ascii="宋体" w:hAnsi="宋体" w:eastAsia="宋体" w:cs="宋体"/>
          <w:snapToGrid w:val="0"/>
          <w:color w:val="auto"/>
          <w:spacing w:val="0"/>
          <w:kern w:val="0"/>
          <w:sz w:val="24"/>
          <w:szCs w:val="24"/>
          <w:highlight w:val="none"/>
          <w:u w:val="single"/>
        </w:rPr>
        <w:t>》（</w:t>
      </w:r>
      <w:r>
        <w:rPr>
          <w:rFonts w:hint="eastAsia" w:ascii="宋体" w:hAnsi="宋体" w:eastAsia="宋体" w:cs="宋体"/>
          <w:snapToGrid w:val="0"/>
          <w:color w:val="auto"/>
          <w:spacing w:val="0"/>
          <w:kern w:val="0"/>
          <w:sz w:val="24"/>
          <w:szCs w:val="24"/>
          <w:highlight w:val="none"/>
          <w:u w:val="single"/>
          <w:lang w:val="en-US" w:eastAsia="zh-CN"/>
        </w:rPr>
        <w:t>新丰发改投审〔2025〕274号</w:t>
      </w:r>
      <w:r>
        <w:rPr>
          <w:rFonts w:hint="eastAsia" w:ascii="宋体" w:hAnsi="宋体" w:eastAsia="宋体" w:cs="宋体"/>
          <w:snapToGrid w:val="0"/>
          <w:color w:val="auto"/>
          <w:spacing w:val="0"/>
          <w:kern w:val="0"/>
          <w:sz w:val="24"/>
          <w:szCs w:val="24"/>
          <w:highlight w:val="none"/>
        </w:rPr>
        <w:t>批准建设，项目代码为</w:t>
      </w:r>
      <w:r>
        <w:rPr>
          <w:rFonts w:hint="eastAsia" w:ascii="宋体" w:hAnsi="宋体" w:eastAsia="宋体" w:cs="宋体"/>
          <w:snapToGrid w:val="0"/>
          <w:color w:val="auto"/>
          <w:spacing w:val="0"/>
          <w:kern w:val="0"/>
          <w:sz w:val="24"/>
          <w:szCs w:val="24"/>
          <w:highlight w:val="none"/>
          <w:u w:val="single"/>
          <w:lang w:val="en-US" w:eastAsia="zh-CN"/>
        </w:rPr>
        <w:t>2412-440233-04-01-385293</w:t>
      </w:r>
      <w:r>
        <w:rPr>
          <w:rFonts w:hint="eastAsia" w:ascii="宋体" w:hAnsi="宋体" w:eastAsia="宋体" w:cs="宋体"/>
          <w:snapToGrid w:val="0"/>
          <w:color w:val="auto"/>
          <w:spacing w:val="0"/>
          <w:kern w:val="0"/>
          <w:sz w:val="24"/>
          <w:szCs w:val="24"/>
          <w:highlight w:val="none"/>
        </w:rPr>
        <w:t>。本项目业主为</w:t>
      </w:r>
      <w:r>
        <w:rPr>
          <w:rFonts w:hint="eastAsia" w:ascii="宋体" w:hAnsi="宋体" w:eastAsia="宋体" w:cs="宋体"/>
          <w:snapToGrid w:val="0"/>
          <w:color w:val="auto"/>
          <w:spacing w:val="0"/>
          <w:kern w:val="0"/>
          <w:sz w:val="24"/>
          <w:szCs w:val="24"/>
          <w:highlight w:val="none"/>
          <w:u w:val="single"/>
          <w:lang w:val="en-US" w:eastAsia="zh-CN"/>
        </w:rPr>
        <w:t>新丰县中医院</w:t>
      </w:r>
      <w:r>
        <w:rPr>
          <w:rFonts w:hint="eastAsia" w:ascii="宋体" w:hAnsi="宋体" w:eastAsia="宋体" w:cs="宋体"/>
          <w:snapToGrid w:val="0"/>
          <w:color w:val="auto"/>
          <w:spacing w:val="0"/>
          <w:kern w:val="0"/>
          <w:sz w:val="24"/>
          <w:szCs w:val="24"/>
          <w:highlight w:val="none"/>
        </w:rPr>
        <w:t>，建设资金</w:t>
      </w:r>
      <w:r>
        <w:rPr>
          <w:rFonts w:hint="eastAsia" w:ascii="宋体" w:hAnsi="宋体" w:eastAsia="宋体" w:cs="宋体"/>
          <w:snapToGrid w:val="0"/>
          <w:color w:val="auto"/>
          <w:spacing w:val="0"/>
          <w:kern w:val="0"/>
          <w:sz w:val="24"/>
          <w:szCs w:val="24"/>
          <w:highlight w:val="none"/>
          <w:u w:val="single"/>
          <w:lang w:val="en-US" w:eastAsia="zh-CN"/>
        </w:rPr>
        <w:t>由上级资金和县统筹安排解决</w:t>
      </w:r>
      <w:r>
        <w:rPr>
          <w:rFonts w:hint="eastAsia" w:ascii="宋体" w:hAnsi="宋体" w:eastAsia="宋体" w:cs="宋体"/>
          <w:snapToGrid w:val="0"/>
          <w:color w:val="auto"/>
          <w:spacing w:val="0"/>
          <w:kern w:val="0"/>
          <w:sz w:val="24"/>
          <w:szCs w:val="24"/>
          <w:highlight w:val="none"/>
          <w:u w:val="none"/>
          <w:lang w:eastAsia="zh-CN"/>
        </w:rPr>
        <w:t>，</w:t>
      </w:r>
      <w:r>
        <w:rPr>
          <w:rFonts w:hint="eastAsia" w:ascii="宋体" w:hAnsi="宋体" w:eastAsia="宋体" w:cs="宋体"/>
          <w:snapToGrid w:val="0"/>
          <w:color w:val="auto"/>
          <w:spacing w:val="0"/>
          <w:kern w:val="0"/>
          <w:sz w:val="24"/>
          <w:szCs w:val="24"/>
          <w:highlight w:val="none"/>
        </w:rPr>
        <w:t>出资比例为</w:t>
      </w:r>
      <w:r>
        <w:rPr>
          <w:rFonts w:hint="eastAsia" w:ascii="宋体" w:hAnsi="宋体" w:eastAsia="宋体" w:cs="宋体"/>
          <w:snapToGrid w:val="0"/>
          <w:color w:val="auto"/>
          <w:spacing w:val="0"/>
          <w:kern w:val="0"/>
          <w:sz w:val="24"/>
          <w:szCs w:val="24"/>
          <w:highlight w:val="none"/>
          <w:u w:val="single"/>
        </w:rPr>
        <w:t>100%</w:t>
      </w:r>
      <w:r>
        <w:rPr>
          <w:rFonts w:hint="eastAsia" w:ascii="宋体" w:hAnsi="宋体" w:eastAsia="宋体" w:cs="宋体"/>
          <w:snapToGrid w:val="0"/>
          <w:color w:val="auto"/>
          <w:spacing w:val="0"/>
          <w:kern w:val="0"/>
          <w:sz w:val="24"/>
          <w:szCs w:val="24"/>
          <w:highlight w:val="none"/>
          <w:lang w:eastAsia="zh-CN"/>
        </w:rPr>
        <w:t>。</w:t>
      </w:r>
      <w:r>
        <w:rPr>
          <w:rFonts w:hint="eastAsia" w:ascii="宋体" w:hAnsi="宋体" w:eastAsia="宋体" w:cs="宋体"/>
          <w:snapToGrid w:val="0"/>
          <w:color w:val="auto"/>
          <w:spacing w:val="0"/>
          <w:kern w:val="0"/>
          <w:sz w:val="24"/>
          <w:szCs w:val="24"/>
          <w:highlight w:val="none"/>
        </w:rPr>
        <w:t>招标人为</w:t>
      </w:r>
      <w:r>
        <w:rPr>
          <w:rFonts w:hint="eastAsia" w:ascii="宋体" w:hAnsi="宋体" w:eastAsia="宋体" w:cs="宋体"/>
          <w:snapToGrid w:val="0"/>
          <w:color w:val="auto"/>
          <w:spacing w:val="0"/>
          <w:kern w:val="0"/>
          <w:sz w:val="24"/>
          <w:szCs w:val="24"/>
          <w:highlight w:val="none"/>
          <w:u w:val="single"/>
          <w:lang w:val="en-US" w:eastAsia="zh-CN"/>
        </w:rPr>
        <w:t>新丰县中医院</w:t>
      </w:r>
      <w:r>
        <w:rPr>
          <w:rFonts w:hint="eastAsia" w:ascii="宋体" w:hAnsi="宋体" w:eastAsia="宋体" w:cs="宋体"/>
          <w:snapToGrid w:val="0"/>
          <w:color w:val="auto"/>
          <w:spacing w:val="0"/>
          <w:kern w:val="0"/>
          <w:sz w:val="24"/>
          <w:szCs w:val="24"/>
          <w:highlight w:val="none"/>
        </w:rPr>
        <w:t>，招标代理机构为</w:t>
      </w:r>
      <w:r>
        <w:rPr>
          <w:rFonts w:hint="eastAsia" w:ascii="宋体" w:hAnsi="宋体" w:eastAsia="宋体" w:cs="宋体"/>
          <w:color w:val="auto"/>
          <w:spacing w:val="0"/>
          <w:sz w:val="24"/>
          <w:szCs w:val="24"/>
          <w:highlight w:val="none"/>
          <w:u w:val="single"/>
          <w:lang w:eastAsia="zh-CN"/>
        </w:rPr>
        <w:t>新丰县市政工程公司</w:t>
      </w:r>
      <w:r>
        <w:rPr>
          <w:rFonts w:hint="eastAsia" w:ascii="宋体" w:hAnsi="宋体" w:eastAsia="宋体" w:cs="宋体"/>
          <w:snapToGrid w:val="0"/>
          <w:color w:val="auto"/>
          <w:spacing w:val="0"/>
          <w:kern w:val="0"/>
          <w:sz w:val="24"/>
          <w:szCs w:val="24"/>
          <w:highlight w:val="none"/>
        </w:rPr>
        <w:t>。项目已具备招标条件，现对该项目的</w:t>
      </w:r>
      <w:r>
        <w:rPr>
          <w:rFonts w:hint="eastAsia" w:ascii="宋体" w:hAnsi="宋体" w:eastAsia="宋体" w:cs="宋体"/>
          <w:snapToGrid w:val="0"/>
          <w:color w:val="auto"/>
          <w:spacing w:val="0"/>
          <w:kern w:val="0"/>
          <w:sz w:val="24"/>
          <w:szCs w:val="24"/>
          <w:highlight w:val="none"/>
          <w:u w:val="single"/>
        </w:rPr>
        <w:t>施工</w:t>
      </w:r>
      <w:r>
        <w:rPr>
          <w:rFonts w:hint="eastAsia" w:ascii="宋体" w:hAnsi="宋体" w:eastAsia="宋体" w:cs="宋体"/>
          <w:snapToGrid w:val="0"/>
          <w:color w:val="auto"/>
          <w:spacing w:val="0"/>
          <w:kern w:val="0"/>
          <w:sz w:val="24"/>
          <w:szCs w:val="24"/>
          <w:highlight w:val="none"/>
        </w:rPr>
        <w:t>进行公开招标。</w:t>
      </w:r>
    </w:p>
    <w:p w14:paraId="4A255F0A">
      <w:pPr>
        <w:keepNext w:val="0"/>
        <w:keepLines w:val="0"/>
        <w:pageBreakBefore w:val="0"/>
        <w:wordWrap w:val="0"/>
        <w:overflowPunct/>
        <w:topLinePunct w:val="0"/>
        <w:bidi w:val="0"/>
        <w:spacing w:before="79" w:line="220" w:lineRule="auto"/>
        <w:ind w:firstLine="482" w:firstLineChars="200"/>
        <w:outlineLvl w:val="2"/>
        <w:rPr>
          <w:rFonts w:hint="eastAsia" w:ascii="宋体" w:hAnsi="宋体" w:eastAsia="宋体" w:cs="宋体"/>
          <w:b/>
          <w:bCs/>
          <w:color w:val="auto"/>
          <w:spacing w:val="0"/>
          <w:sz w:val="24"/>
          <w:szCs w:val="24"/>
          <w:highlight w:val="none"/>
        </w:rPr>
      </w:pPr>
      <w:bookmarkStart w:id="8" w:name="bookmark59"/>
      <w:bookmarkEnd w:id="8"/>
      <w:bookmarkStart w:id="9" w:name="bookmark52"/>
      <w:bookmarkEnd w:id="9"/>
      <w:bookmarkStart w:id="10" w:name="bookmark73"/>
      <w:bookmarkEnd w:id="10"/>
      <w:bookmarkStart w:id="11" w:name="_Toc15993"/>
      <w:bookmarkStart w:id="12" w:name="_Toc23346"/>
      <w:r>
        <w:rPr>
          <w:rFonts w:hint="eastAsia" w:ascii="宋体" w:hAnsi="宋体" w:eastAsia="宋体" w:cs="宋体"/>
          <w:b/>
          <w:bCs/>
          <w:color w:val="auto"/>
          <w:spacing w:val="0"/>
          <w:sz w:val="24"/>
          <w:szCs w:val="24"/>
          <w:highlight w:val="none"/>
        </w:rPr>
        <w:t>1 ．项目概况、招标范围和标段划分、投标费用等</w:t>
      </w:r>
      <w:bookmarkEnd w:id="11"/>
      <w:bookmarkEnd w:id="12"/>
    </w:p>
    <w:p w14:paraId="5D044C56">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  </w:t>
      </w:r>
      <w:r>
        <w:rPr>
          <w:rFonts w:hint="eastAsia" w:ascii="宋体" w:hAnsi="宋体" w:eastAsia="宋体" w:cs="宋体"/>
          <w:color w:val="auto"/>
          <w:spacing w:val="0"/>
          <w:sz w:val="24"/>
          <w:szCs w:val="24"/>
          <w:highlight w:val="none"/>
        </w:rPr>
        <w:t>项目概况</w:t>
      </w:r>
    </w:p>
    <w:p w14:paraId="77754DC0">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u w:val="single"/>
          <w:lang w:val="en-US" w:eastAsia="zh-CN"/>
        </w:rPr>
      </w:pPr>
      <w:r>
        <w:rPr>
          <w:rFonts w:hint="eastAsia" w:ascii="宋体" w:hAnsi="宋体" w:eastAsia="宋体" w:cs="宋体"/>
          <w:b/>
          <w:bCs/>
          <w:color w:val="auto"/>
          <w:spacing w:val="0"/>
          <w:sz w:val="24"/>
          <w:szCs w:val="24"/>
          <w:highlight w:val="none"/>
        </w:rPr>
        <w:t xml:space="preserve">1.1.1  </w:t>
      </w:r>
      <w:r>
        <w:rPr>
          <w:rFonts w:hint="eastAsia" w:ascii="宋体" w:hAnsi="宋体" w:eastAsia="宋体" w:cs="宋体"/>
          <w:color w:val="auto"/>
          <w:spacing w:val="0"/>
          <w:sz w:val="24"/>
          <w:szCs w:val="24"/>
          <w:highlight w:val="none"/>
        </w:rPr>
        <w:t>建设地点：</w:t>
      </w:r>
      <w:r>
        <w:rPr>
          <w:rFonts w:hint="default" w:ascii="宋体" w:hAnsi="宋体" w:eastAsia="宋体" w:cs="宋体"/>
          <w:color w:val="auto"/>
          <w:spacing w:val="0"/>
          <w:sz w:val="24"/>
          <w:szCs w:val="24"/>
          <w:highlight w:val="none"/>
          <w:lang w:val="en-US" w:eastAsia="zh-CN"/>
        </w:rPr>
        <w:t>韶关市新丰县丰城街道东风路1号</w:t>
      </w:r>
    </w:p>
    <w:p w14:paraId="1F6C7693">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b/>
          <w:bCs/>
          <w:color w:val="auto"/>
          <w:spacing w:val="0"/>
          <w:sz w:val="24"/>
          <w:szCs w:val="24"/>
          <w:highlight w:val="none"/>
          <w:lang w:eastAsia="zh-CN"/>
        </w:rPr>
        <w:t>1.1.2</w:t>
      </w:r>
      <w:r>
        <w:rPr>
          <w:rFonts w:hint="eastAsia" w:ascii="宋体" w:hAnsi="宋体" w:eastAsia="宋体" w:cs="宋体"/>
          <w:color w:val="auto"/>
          <w:spacing w:val="0"/>
          <w:sz w:val="24"/>
          <w:szCs w:val="24"/>
          <w:highlight w:val="none"/>
          <w:lang w:eastAsia="zh-CN"/>
        </w:rPr>
        <w:t xml:space="preserve">  建设内容和规模：</w:t>
      </w:r>
    </w:p>
    <w:p w14:paraId="2B622C70">
      <w:pPr>
        <w:keepNext w:val="0"/>
        <w:keepLines w:val="0"/>
        <w:pageBreakBefore w:val="0"/>
        <w:widowControl/>
        <w:kinsoku w:val="0"/>
        <w:wordWrap w:val="0"/>
        <w:overflowPunct/>
        <w:topLinePunct w:val="0"/>
        <w:autoSpaceDE w:val="0"/>
        <w:autoSpaceDN w:val="0"/>
        <w:bidi w:val="0"/>
        <w:adjustRightInd w:val="0"/>
        <w:snapToGrid w:val="0"/>
        <w:spacing w:line="360" w:lineRule="auto"/>
        <w:ind w:right="0" w:firstLine="480" w:firstLineChars="200"/>
        <w:textAlignment w:val="baseline"/>
        <w:outlineLvl w:val="9"/>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增加消防系统、新建院区专用应急发电机房及配套电力覆盖工程，以及住院部一号楼配电系统整体更新与智能化改造等。</w:t>
      </w:r>
    </w:p>
    <w:p w14:paraId="42C3FBA4">
      <w:pPr>
        <w:keepNext w:val="0"/>
        <w:keepLines w:val="0"/>
        <w:pageBreakBefore w:val="0"/>
        <w:widowControl/>
        <w:kinsoku w:val="0"/>
        <w:wordWrap w:val="0"/>
        <w:overflowPunct/>
        <w:topLinePunct w:val="0"/>
        <w:autoSpaceDE w:val="0"/>
        <w:autoSpaceDN w:val="0"/>
        <w:bidi w:val="0"/>
        <w:adjustRightInd w:val="0"/>
        <w:snapToGrid w:val="0"/>
        <w:spacing w:line="360" w:lineRule="auto"/>
        <w:ind w:right="0" w:firstLine="482" w:firstLineChars="200"/>
        <w:textAlignment w:val="baseline"/>
        <w:outlineLvl w:val="9"/>
        <w:rPr>
          <w:rFonts w:hint="eastAsia" w:ascii="宋体" w:hAnsi="宋体" w:eastAsia="宋体" w:cs="宋体"/>
          <w:color w:val="auto"/>
          <w:spacing w:val="0"/>
          <w:sz w:val="24"/>
          <w:szCs w:val="24"/>
          <w:highlight w:val="none"/>
          <w:u w:val="single"/>
          <w:lang w:val="en-US" w:eastAsia="zh-CN"/>
        </w:rPr>
      </w:pPr>
      <w:r>
        <w:rPr>
          <w:rFonts w:hint="eastAsia" w:ascii="宋体" w:hAnsi="宋体" w:eastAsia="宋体" w:cs="宋体"/>
          <w:b/>
          <w:bCs/>
          <w:color w:val="auto"/>
          <w:spacing w:val="0"/>
          <w:sz w:val="24"/>
          <w:szCs w:val="24"/>
          <w:highlight w:val="none"/>
          <w:u w:val="none"/>
        </w:rPr>
        <w:t xml:space="preserve">1.1.3  </w:t>
      </w:r>
      <w:r>
        <w:rPr>
          <w:rFonts w:hint="eastAsia" w:ascii="宋体" w:hAnsi="宋体" w:eastAsia="宋体" w:cs="宋体"/>
          <w:color w:val="auto"/>
          <w:spacing w:val="0"/>
          <w:sz w:val="24"/>
          <w:szCs w:val="24"/>
          <w:highlight w:val="none"/>
          <w:u w:val="none"/>
        </w:rPr>
        <w:t>项目总投资：</w:t>
      </w:r>
      <w:r>
        <w:rPr>
          <w:rFonts w:hint="eastAsia" w:ascii="宋体" w:hAnsi="宋体" w:eastAsia="宋体" w:cs="宋体"/>
          <w:color w:val="auto"/>
          <w:spacing w:val="0"/>
          <w:sz w:val="24"/>
          <w:szCs w:val="24"/>
          <w:highlight w:val="none"/>
          <w:u w:val="none"/>
          <w:lang w:val="en-US" w:eastAsia="zh-CN"/>
        </w:rPr>
        <w:t>项目估算总投资2160.00万元（其中一期工程为703万元）。</w:t>
      </w:r>
    </w:p>
    <w:p w14:paraId="2C41A4AA">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b/>
          <w:bCs/>
          <w:color w:val="auto"/>
          <w:spacing w:val="0"/>
          <w:sz w:val="24"/>
          <w:szCs w:val="24"/>
          <w:highlight w:val="none"/>
          <w:u w:val="none"/>
          <w:lang w:val="en-US" w:eastAsia="zh-CN"/>
        </w:rPr>
        <w:t xml:space="preserve">1.2 </w:t>
      </w:r>
      <w:r>
        <w:rPr>
          <w:rFonts w:hint="eastAsia" w:ascii="宋体" w:hAnsi="宋体" w:eastAsia="宋体" w:cs="宋体"/>
          <w:color w:val="auto"/>
          <w:spacing w:val="0"/>
          <w:sz w:val="24"/>
          <w:szCs w:val="24"/>
          <w:highlight w:val="none"/>
          <w:u w:val="none"/>
          <w:lang w:val="en-US" w:eastAsia="zh-CN"/>
        </w:rPr>
        <w:t xml:space="preserve"> 招标范围和标段划分</w:t>
      </w:r>
    </w:p>
    <w:p w14:paraId="43D33095">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b/>
          <w:bCs/>
          <w:color w:val="auto"/>
          <w:spacing w:val="0"/>
          <w:sz w:val="24"/>
          <w:szCs w:val="24"/>
          <w:highlight w:val="none"/>
        </w:rPr>
        <w:t xml:space="preserve">1.2.1  </w:t>
      </w:r>
      <w:r>
        <w:rPr>
          <w:rFonts w:hint="eastAsia" w:ascii="宋体" w:hAnsi="宋体" w:eastAsia="宋体" w:cs="宋体"/>
          <w:color w:val="auto"/>
          <w:spacing w:val="0"/>
          <w:sz w:val="24"/>
          <w:szCs w:val="24"/>
          <w:highlight w:val="none"/>
        </w:rPr>
        <w:t>招标范围：</w:t>
      </w:r>
      <w:r>
        <w:rPr>
          <w:rFonts w:hint="eastAsia" w:ascii="宋体" w:hAnsi="宋体" w:eastAsia="宋体" w:cs="宋体"/>
          <w:color w:val="auto"/>
          <w:spacing w:val="0"/>
          <w:sz w:val="24"/>
          <w:szCs w:val="24"/>
          <w:highlight w:val="none"/>
          <w:lang w:eastAsia="zh-CN"/>
        </w:rPr>
        <w:t>按审查合格的施工图纸及工程量清单内容施工。</w:t>
      </w:r>
    </w:p>
    <w:p w14:paraId="645E2925">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rPr>
      </w:pPr>
      <w:bookmarkStart w:id="13" w:name="_Toc20855"/>
      <w:bookmarkStart w:id="14" w:name="_Toc28202"/>
      <w:bookmarkStart w:id="15" w:name="_Toc14190"/>
      <w:bookmarkStart w:id="16" w:name="_Toc24593"/>
      <w:r>
        <w:rPr>
          <w:rFonts w:hint="eastAsia" w:ascii="宋体" w:hAnsi="宋体" w:eastAsia="宋体" w:cs="宋体"/>
          <w:b/>
          <w:bCs/>
          <w:color w:val="auto"/>
          <w:spacing w:val="0"/>
          <w:sz w:val="24"/>
          <w:szCs w:val="24"/>
          <w:highlight w:val="none"/>
        </w:rPr>
        <w:t xml:space="preserve">1.2.2  </w:t>
      </w:r>
      <w:r>
        <w:rPr>
          <w:rFonts w:hint="eastAsia" w:ascii="宋体" w:hAnsi="宋体" w:eastAsia="宋体" w:cs="宋体"/>
          <w:color w:val="auto"/>
          <w:spacing w:val="0"/>
          <w:sz w:val="24"/>
          <w:szCs w:val="24"/>
          <w:highlight w:val="none"/>
        </w:rPr>
        <w:t>标段划分：本招标项目不划分标段。</w:t>
      </w:r>
      <w:bookmarkEnd w:id="13"/>
      <w:bookmarkEnd w:id="14"/>
      <w:bookmarkEnd w:id="15"/>
      <w:bookmarkEnd w:id="16"/>
    </w:p>
    <w:p w14:paraId="7002A2A2">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  </w:t>
      </w:r>
      <w:r>
        <w:rPr>
          <w:rFonts w:hint="eastAsia" w:ascii="宋体" w:hAnsi="宋体" w:eastAsia="宋体" w:cs="宋体"/>
          <w:color w:val="auto"/>
          <w:spacing w:val="0"/>
          <w:sz w:val="24"/>
          <w:szCs w:val="24"/>
          <w:highlight w:val="none"/>
        </w:rPr>
        <w:t>投标费用：投标人应承担所有准备和参加投标的相关费用，不论投标结果如何，招标人均无义务和责任承担这些费用。</w:t>
      </w:r>
    </w:p>
    <w:p w14:paraId="529045A0">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  </w:t>
      </w:r>
      <w:r>
        <w:rPr>
          <w:rFonts w:hint="eastAsia" w:ascii="宋体" w:hAnsi="宋体" w:eastAsia="宋体" w:cs="宋体"/>
          <w:color w:val="auto"/>
          <w:spacing w:val="0"/>
          <w:sz w:val="24"/>
          <w:szCs w:val="24"/>
          <w:highlight w:val="none"/>
        </w:rPr>
        <w:t xml:space="preserve">招标代理费用：  </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shd w:val="clear" w:color="auto" w:fill="FFFFFF"/>
        </w:rPr>
        <w:t xml:space="preserve"> 由</w:t>
      </w:r>
      <w:r>
        <w:rPr>
          <w:rFonts w:hint="eastAsia" w:ascii="宋体" w:hAnsi="宋体" w:eastAsia="宋体" w:cs="宋体"/>
          <w:color w:val="auto"/>
          <w:spacing w:val="0"/>
          <w:sz w:val="24"/>
          <w:szCs w:val="24"/>
          <w:highlight w:val="none"/>
        </w:rPr>
        <w:t>项目业主</w:t>
      </w:r>
      <w:r>
        <w:rPr>
          <w:rFonts w:hint="eastAsia" w:ascii="宋体" w:hAnsi="宋体" w:eastAsia="宋体" w:cs="宋体"/>
          <w:color w:val="auto"/>
          <w:spacing w:val="0"/>
          <w:sz w:val="24"/>
          <w:szCs w:val="24"/>
          <w:highlight w:val="none"/>
          <w:shd w:val="clear" w:color="auto" w:fill="FFFFFF"/>
        </w:rPr>
        <w:t>支</w:t>
      </w:r>
      <w:r>
        <w:rPr>
          <w:rFonts w:hint="eastAsia" w:ascii="宋体" w:hAnsi="宋体" w:eastAsia="宋体" w:cs="宋体"/>
          <w:color w:val="auto"/>
          <w:spacing w:val="0"/>
          <w:sz w:val="24"/>
          <w:szCs w:val="24"/>
          <w:highlight w:val="none"/>
        </w:rPr>
        <w:t>付</w:t>
      </w:r>
      <w:r>
        <w:rPr>
          <w:rFonts w:hint="eastAsia" w:ascii="宋体" w:hAnsi="宋体" w:eastAsia="宋体" w:cs="宋体"/>
          <w:color w:val="auto"/>
          <w:spacing w:val="0"/>
          <w:position w:val="-6"/>
          <w:sz w:val="24"/>
          <w:szCs w:val="24"/>
          <w:highlight w:val="none"/>
          <w:shd w:val="clear" w:color="auto" w:fill="FFFFFF"/>
          <w:lang w:eastAsia="zh-CN"/>
        </w:rPr>
        <w:t xml:space="preserve"> </w:t>
      </w:r>
      <w:r>
        <w:rPr>
          <w:rFonts w:hint="eastAsia" w:ascii="宋体" w:hAnsi="宋体" w:eastAsia="宋体" w:cs="宋体"/>
          <w:color w:val="auto"/>
          <w:spacing w:val="0"/>
          <w:sz w:val="24"/>
          <w:szCs w:val="24"/>
          <w:highlight w:val="none"/>
          <w:shd w:val="clear" w:color="auto" w:fill="FFFFFF"/>
          <w:lang w:eastAsia="zh-CN"/>
        </w:rPr>
        <w:t>☑</w:t>
      </w:r>
      <w:r>
        <w:rPr>
          <w:rFonts w:hint="eastAsia" w:ascii="宋体" w:hAnsi="宋体" w:eastAsia="宋体" w:cs="宋体"/>
          <w:color w:val="auto"/>
          <w:spacing w:val="0"/>
          <w:sz w:val="24"/>
          <w:szCs w:val="24"/>
          <w:highlight w:val="none"/>
          <w:shd w:val="clear" w:color="auto" w:fill="FFFFFF"/>
        </w:rPr>
        <w:t xml:space="preserve"> 由中标人支付。</w:t>
      </w:r>
    </w:p>
    <w:p w14:paraId="7E20DB6F">
      <w:pPr>
        <w:keepNext w:val="0"/>
        <w:keepLines w:val="0"/>
        <w:pageBreakBefore w:val="0"/>
        <w:wordWrap w:val="0"/>
        <w:overflowPunct/>
        <w:topLinePunct w:val="0"/>
        <w:bidi w:val="0"/>
        <w:spacing w:before="79" w:line="220" w:lineRule="auto"/>
        <w:ind w:firstLine="482" w:firstLineChars="200"/>
        <w:outlineLvl w:val="2"/>
        <w:rPr>
          <w:rFonts w:hint="eastAsia" w:ascii="宋体" w:hAnsi="宋体" w:eastAsia="宋体" w:cs="宋体"/>
          <w:b/>
          <w:bCs/>
          <w:color w:val="auto"/>
          <w:spacing w:val="0"/>
          <w:sz w:val="24"/>
          <w:szCs w:val="24"/>
          <w:highlight w:val="none"/>
        </w:rPr>
      </w:pPr>
      <w:bookmarkStart w:id="17" w:name="_Toc24520"/>
      <w:r>
        <w:rPr>
          <w:rFonts w:hint="eastAsia" w:ascii="宋体" w:hAnsi="宋体" w:eastAsia="宋体" w:cs="宋体"/>
          <w:b/>
          <w:bCs/>
          <w:color w:val="auto"/>
          <w:spacing w:val="0"/>
          <w:sz w:val="24"/>
          <w:szCs w:val="24"/>
          <w:highlight w:val="none"/>
        </w:rPr>
        <w:t>2．</w:t>
      </w:r>
      <w:r>
        <w:rPr>
          <w:rFonts w:hint="eastAsia" w:ascii="宋体" w:hAnsi="宋体" w:eastAsia="宋体" w:cs="宋体"/>
          <w:b/>
          <w:bCs/>
          <w:color w:val="auto"/>
          <w:spacing w:val="0"/>
          <w:sz w:val="24"/>
          <w:szCs w:val="24"/>
          <w:highlight w:val="none"/>
          <w:lang w:eastAsia="zh-CN"/>
        </w:rPr>
        <w:t>投标人</w:t>
      </w:r>
      <w:r>
        <w:rPr>
          <w:rFonts w:hint="eastAsia" w:ascii="宋体" w:hAnsi="宋体" w:eastAsia="宋体" w:cs="宋体"/>
          <w:b/>
          <w:bCs/>
          <w:color w:val="auto"/>
          <w:spacing w:val="0"/>
          <w:sz w:val="24"/>
          <w:szCs w:val="24"/>
          <w:highlight w:val="none"/>
        </w:rPr>
        <w:t>资质要求</w:t>
      </w:r>
      <w:bookmarkEnd w:id="17"/>
      <w:bookmarkStart w:id="18" w:name="_Hlt74496495"/>
      <w:bookmarkEnd w:id="18"/>
    </w:p>
    <w:p w14:paraId="285DF7BD">
      <w:pPr>
        <w:pStyle w:val="30"/>
        <w:keepNext w:val="0"/>
        <w:keepLines w:val="0"/>
        <w:pageBreakBefore w:val="0"/>
        <w:widowControl w:val="0"/>
        <w:kinsoku/>
        <w:wordWrap w:val="0"/>
        <w:overflowPunct/>
        <w:topLinePunct w:val="0"/>
        <w:autoSpaceDE/>
        <w:autoSpaceDN/>
        <w:bidi w:val="0"/>
        <w:adjustRightInd w:val="0"/>
        <w:snapToGrid w:val="0"/>
        <w:spacing w:line="400" w:lineRule="exact"/>
        <w:ind w:firstLine="482" w:firstLineChars="200"/>
        <w:jc w:val="left"/>
        <w:textAlignment w:val="auto"/>
        <w:rPr>
          <w:rFonts w:hint="eastAsia" w:ascii="宋体" w:hAnsi="宋体" w:eastAsia="宋体" w:cs="宋体"/>
          <w:color w:val="auto"/>
          <w:kern w:val="0"/>
          <w:sz w:val="24"/>
          <w:highlight w:val="none"/>
        </w:rPr>
      </w:pPr>
      <w:r>
        <w:rPr>
          <w:rFonts w:hint="eastAsia" w:ascii="宋体" w:hAnsi="宋体" w:cs="宋体"/>
          <w:b/>
          <w:bCs/>
          <w:color w:val="auto"/>
          <w:kern w:val="0"/>
          <w:sz w:val="24"/>
          <w:highlight w:val="none"/>
          <w:lang w:eastAsia="zh-CN"/>
        </w:rPr>
        <w:t>2</w:t>
      </w:r>
      <w:r>
        <w:rPr>
          <w:rFonts w:hint="eastAsia" w:ascii="宋体" w:hAnsi="宋体" w:eastAsia="宋体" w:cs="宋体"/>
          <w:b/>
          <w:bCs/>
          <w:color w:val="auto"/>
          <w:kern w:val="0"/>
          <w:sz w:val="24"/>
          <w:highlight w:val="none"/>
        </w:rPr>
        <w:t>.1</w:t>
      </w:r>
      <w:r>
        <w:rPr>
          <w:rFonts w:hint="eastAsia" w:ascii="宋体" w:hAnsi="宋体" w:eastAsia="宋体" w:cs="宋体"/>
          <w:color w:val="auto"/>
          <w:kern w:val="0"/>
          <w:sz w:val="24"/>
          <w:highlight w:val="none"/>
        </w:rPr>
        <w:t>本次招标</w:t>
      </w:r>
      <w:r>
        <w:rPr>
          <w:rFonts w:hint="eastAsia" w:ascii="宋体" w:hAnsi="宋体" w:eastAsia="宋体" w:cs="宋体"/>
          <w:b/>
          <w:bCs/>
          <w:color w:val="auto"/>
          <w:kern w:val="0"/>
          <w:sz w:val="24"/>
          <w:highlight w:val="none"/>
          <w:u w:val="single"/>
        </w:rPr>
        <w:t>接受</w:t>
      </w:r>
      <w:r>
        <w:rPr>
          <w:rFonts w:hint="eastAsia" w:ascii="宋体" w:hAnsi="宋体" w:eastAsia="宋体" w:cs="宋体"/>
          <w:color w:val="auto"/>
          <w:kern w:val="0"/>
          <w:sz w:val="24"/>
          <w:highlight w:val="none"/>
        </w:rPr>
        <w:t>联合体投标，联合体以一个投标人的身份共同投标。</w:t>
      </w:r>
    </w:p>
    <w:p w14:paraId="7969DA2F">
      <w:pPr>
        <w:pStyle w:val="30"/>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leftChars="200"/>
        <w:jc w:val="left"/>
        <w:textAlignment w:val="auto"/>
        <w:rPr>
          <w:rFonts w:hint="eastAsia" w:ascii="宋体" w:hAnsi="宋体" w:eastAsia="宋体" w:cs="宋体"/>
          <w:color w:val="auto"/>
          <w:sz w:val="24"/>
          <w:szCs w:val="24"/>
          <w:highlight w:val="none"/>
        </w:rPr>
      </w:pPr>
      <w:r>
        <w:rPr>
          <w:rFonts w:hint="eastAsia" w:ascii="宋体" w:hAnsi="宋体" w:cs="宋体"/>
          <w:b/>
          <w:bCs/>
          <w:color w:val="auto"/>
          <w:kern w:val="0"/>
          <w:sz w:val="24"/>
          <w:highlight w:val="none"/>
          <w:lang w:val="en-US" w:eastAsia="zh-CN"/>
        </w:rPr>
        <w:t>2</w:t>
      </w:r>
      <w:r>
        <w:rPr>
          <w:rFonts w:hint="eastAsia" w:ascii="宋体" w:hAnsi="宋体" w:eastAsia="宋体" w:cs="宋体"/>
          <w:b/>
          <w:bCs/>
          <w:color w:val="auto"/>
          <w:kern w:val="0"/>
          <w:sz w:val="24"/>
          <w:highlight w:val="none"/>
          <w:lang w:val="en-US" w:eastAsia="zh-CN"/>
        </w:rPr>
        <w:t>.1.1</w:t>
      </w:r>
      <w:r>
        <w:rPr>
          <w:rFonts w:hint="eastAsia" w:ascii="宋体" w:hAnsi="宋体" w:eastAsia="宋体" w:cs="宋体"/>
          <w:color w:val="auto"/>
          <w:sz w:val="24"/>
          <w:szCs w:val="24"/>
          <w:highlight w:val="none"/>
        </w:rPr>
        <w:t>联合体成员数量不超过</w:t>
      </w:r>
      <w:r>
        <w:rPr>
          <w:rFonts w:hint="eastAsia" w:ascii="宋体" w:hAnsi="宋体" w:cs="宋体"/>
          <w:color w:val="auto"/>
          <w:sz w:val="24"/>
          <w:szCs w:val="24"/>
          <w:highlight w:val="none"/>
          <w:u w:val="single"/>
          <w:lang w:val="en-US" w:eastAsia="zh-CN"/>
        </w:rPr>
        <w:t xml:space="preserve"> 2 </w:t>
      </w:r>
      <w:r>
        <w:rPr>
          <w:rFonts w:hint="eastAsia" w:ascii="宋体" w:hAnsi="宋体" w:eastAsia="宋体" w:cs="宋体"/>
          <w:color w:val="auto"/>
          <w:sz w:val="24"/>
          <w:szCs w:val="24"/>
          <w:highlight w:val="none"/>
        </w:rPr>
        <w:t>个。</w:t>
      </w:r>
    </w:p>
    <w:p w14:paraId="4E8B38C0">
      <w:pPr>
        <w:pStyle w:val="30"/>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cs="宋体"/>
          <w:b/>
          <w:bCs/>
          <w:color w:val="auto"/>
          <w:kern w:val="0"/>
          <w:sz w:val="24"/>
          <w:highlight w:val="none"/>
          <w:lang w:val="en-US" w:eastAsia="zh-CN"/>
        </w:rPr>
        <w:t>2</w:t>
      </w:r>
      <w:r>
        <w:rPr>
          <w:rFonts w:hint="eastAsia" w:ascii="宋体" w:hAnsi="宋体" w:eastAsia="宋体" w:cs="宋体"/>
          <w:b/>
          <w:bCs/>
          <w:color w:val="auto"/>
          <w:kern w:val="0"/>
          <w:sz w:val="24"/>
          <w:highlight w:val="none"/>
          <w:lang w:val="en-US" w:eastAsia="zh-CN"/>
        </w:rPr>
        <w:t xml:space="preserve">.1.2 </w:t>
      </w:r>
      <w:r>
        <w:rPr>
          <w:rFonts w:hint="eastAsia" w:ascii="宋体" w:hAnsi="宋体" w:eastAsia="宋体" w:cs="宋体"/>
          <w:color w:val="auto"/>
          <w:sz w:val="24"/>
          <w:szCs w:val="24"/>
          <w:highlight w:val="none"/>
        </w:rPr>
        <w:t>联合体各方应按招标文件提供的格式签订联合体协议书，明确联合体牵头人和各方权利义务，并承诺就中标项目向招标人承担连带责任。《联合体协议书》作为投标文件的组成部分向招标人提交。</w:t>
      </w:r>
    </w:p>
    <w:p w14:paraId="06249A5C">
      <w:pPr>
        <w:pStyle w:val="30"/>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cs="宋体"/>
          <w:b/>
          <w:bCs/>
          <w:color w:val="auto"/>
          <w:kern w:val="0"/>
          <w:sz w:val="24"/>
          <w:highlight w:val="none"/>
          <w:lang w:val="en-US" w:eastAsia="zh-CN"/>
        </w:rPr>
        <w:t>2</w:t>
      </w:r>
      <w:r>
        <w:rPr>
          <w:rFonts w:hint="eastAsia" w:ascii="宋体" w:hAnsi="宋体" w:eastAsia="宋体" w:cs="宋体"/>
          <w:b/>
          <w:bCs/>
          <w:color w:val="auto"/>
          <w:kern w:val="0"/>
          <w:sz w:val="24"/>
          <w:highlight w:val="none"/>
          <w:lang w:val="en-US" w:eastAsia="zh-CN"/>
        </w:rPr>
        <w:t>.1.3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联合体成员单位均应具备拟承担的工作内容（以《联合体协议书》的约定为准）所规定的资格条件。若同一工作内容由两个或两个以上单位共同承担，该项工作内容按照资质等级较低的单位确定联合体资质等级。</w:t>
      </w:r>
    </w:p>
    <w:p w14:paraId="4B8BE263">
      <w:pPr>
        <w:pStyle w:val="30"/>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cs="宋体"/>
          <w:b/>
          <w:bCs/>
          <w:color w:val="auto"/>
          <w:kern w:val="0"/>
          <w:sz w:val="24"/>
          <w:highlight w:val="none"/>
          <w:lang w:val="en-US" w:eastAsia="zh-CN"/>
        </w:rPr>
        <w:t>2</w:t>
      </w:r>
      <w:r>
        <w:rPr>
          <w:rFonts w:hint="eastAsia" w:ascii="宋体" w:hAnsi="宋体" w:eastAsia="宋体" w:cs="宋体"/>
          <w:b/>
          <w:bCs/>
          <w:color w:val="auto"/>
          <w:kern w:val="0"/>
          <w:sz w:val="24"/>
          <w:highlight w:val="none"/>
          <w:lang w:val="en-US" w:eastAsia="zh-CN"/>
        </w:rPr>
        <w:t>.1.</w:t>
      </w:r>
      <w:r>
        <w:rPr>
          <w:rFonts w:hint="eastAsia" w:ascii="宋体" w:hAnsi="宋体" w:cs="宋体"/>
          <w:b/>
          <w:bCs/>
          <w:color w:val="auto"/>
          <w:kern w:val="0"/>
          <w:sz w:val="24"/>
          <w:highlight w:val="none"/>
          <w:lang w:val="en-US" w:eastAsia="zh-CN"/>
        </w:rPr>
        <w:t>4</w:t>
      </w:r>
      <w:r>
        <w:rPr>
          <w:rFonts w:hint="eastAsia" w:ascii="宋体" w:hAnsi="宋体" w:eastAsia="宋体" w:cs="宋体"/>
          <w:color w:val="auto"/>
          <w:sz w:val="24"/>
          <w:szCs w:val="24"/>
          <w:highlight w:val="none"/>
        </w:rPr>
        <w:t>联合体各方不得再以自己名义单独或参加其他联合体在本招标项目中投标，否则各相关投标均无效。</w:t>
      </w:r>
    </w:p>
    <w:p w14:paraId="68E877F3">
      <w:pPr>
        <w:pStyle w:val="30"/>
        <w:keepNext w:val="0"/>
        <w:keepLines w:val="0"/>
        <w:pageBreakBefore w:val="0"/>
        <w:widowControl w:val="0"/>
        <w:kinsoku/>
        <w:wordWrap w:val="0"/>
        <w:overflowPunct/>
        <w:topLinePunct w:val="0"/>
        <w:autoSpaceDE/>
        <w:autoSpaceDN/>
        <w:bidi w:val="0"/>
        <w:adjustRightInd w:val="0"/>
        <w:snapToGrid w:val="0"/>
        <w:spacing w:line="40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SA"/>
        </w:rPr>
        <w:t xml:space="preserve">2.2 </w:t>
      </w:r>
      <w:r>
        <w:rPr>
          <w:rFonts w:hint="eastAsia" w:ascii="宋体" w:hAnsi="宋体" w:eastAsia="宋体" w:cs="宋体"/>
          <w:color w:val="auto"/>
          <w:sz w:val="24"/>
          <w:szCs w:val="24"/>
          <w:highlight w:val="none"/>
        </w:rPr>
        <w:t>资质要求</w:t>
      </w:r>
    </w:p>
    <w:p w14:paraId="43FDF970">
      <w:pPr>
        <w:pStyle w:val="30"/>
        <w:keepNext w:val="0"/>
        <w:keepLines w:val="0"/>
        <w:pageBreakBefore w:val="0"/>
        <w:widowControl w:val="0"/>
        <w:kinsoku/>
        <w:wordWrap w:val="0"/>
        <w:overflowPunct/>
        <w:topLinePunct w:val="0"/>
        <w:autoSpaceDE/>
        <w:autoSpaceDN/>
        <w:bidi w:val="0"/>
        <w:adjustRightInd w:val="0"/>
        <w:snapToGrid w:val="0"/>
        <w:spacing w:line="40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SA"/>
        </w:rPr>
        <w:t xml:space="preserve">2.2.1 </w:t>
      </w:r>
      <w:r>
        <w:rPr>
          <w:rFonts w:hint="eastAsia" w:ascii="宋体" w:hAnsi="宋体" w:eastAsia="宋体" w:cs="宋体"/>
          <w:color w:val="auto"/>
          <w:sz w:val="24"/>
          <w:szCs w:val="24"/>
          <w:highlight w:val="none"/>
        </w:rPr>
        <w:t>投标人须具备独立法人资格，按国家法律经营。</w:t>
      </w:r>
    </w:p>
    <w:p w14:paraId="5B50A4D8">
      <w:pPr>
        <w:pStyle w:val="30"/>
        <w:keepNext w:val="0"/>
        <w:keepLines w:val="0"/>
        <w:pageBreakBefore w:val="0"/>
        <w:widowControl w:val="0"/>
        <w:kinsoku/>
        <w:wordWrap w:val="0"/>
        <w:overflowPunct/>
        <w:topLinePunct w:val="0"/>
        <w:autoSpaceDE/>
        <w:autoSpaceDN/>
        <w:bidi w:val="0"/>
        <w:adjustRightInd w:val="0"/>
        <w:snapToGrid w:val="0"/>
        <w:spacing w:line="40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SA"/>
        </w:rPr>
        <w:t xml:space="preserve">2.2.2 </w:t>
      </w:r>
      <w:r>
        <w:rPr>
          <w:rFonts w:hint="eastAsia" w:ascii="宋体" w:hAnsi="宋体" w:eastAsia="宋体" w:cs="宋体"/>
          <w:color w:val="auto"/>
          <w:sz w:val="24"/>
          <w:szCs w:val="24"/>
          <w:highlight w:val="none"/>
        </w:rPr>
        <w:t>投标人须持有行政主管部门颁发的企业资质证书。</w:t>
      </w:r>
    </w:p>
    <w:p w14:paraId="27C8F69A">
      <w:pPr>
        <w:pStyle w:val="30"/>
        <w:keepNext w:val="0"/>
        <w:keepLines w:val="0"/>
        <w:pageBreakBefore w:val="0"/>
        <w:widowControl w:val="0"/>
        <w:kinsoku/>
        <w:wordWrap w:val="0"/>
        <w:overflowPunct/>
        <w:topLinePunct w:val="0"/>
        <w:autoSpaceDE/>
        <w:autoSpaceDN/>
        <w:bidi w:val="0"/>
        <w:adjustRightInd w:val="0"/>
        <w:snapToGrid w:val="0"/>
        <w:spacing w:line="40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bidi="ar-SA"/>
        </w:rPr>
        <w:t>2</w:t>
      </w:r>
      <w:r>
        <w:rPr>
          <w:rFonts w:hint="eastAsia" w:ascii="宋体" w:hAnsi="宋体" w:eastAsia="宋体" w:cs="宋体"/>
          <w:b/>
          <w:bCs/>
          <w:color w:val="auto"/>
          <w:kern w:val="0"/>
          <w:sz w:val="24"/>
          <w:szCs w:val="24"/>
          <w:highlight w:val="none"/>
          <w:lang w:val="en-US" w:eastAsia="zh-CN" w:bidi="ar-SA"/>
        </w:rPr>
        <w:t xml:space="preserve">.2.3 </w:t>
      </w:r>
      <w:r>
        <w:rPr>
          <w:rFonts w:hint="eastAsia" w:ascii="宋体" w:hAnsi="宋体" w:eastAsia="宋体" w:cs="宋体"/>
          <w:color w:val="auto"/>
          <w:sz w:val="24"/>
          <w:szCs w:val="24"/>
          <w:highlight w:val="none"/>
        </w:rPr>
        <w:t>参加投标的投标人可以是单</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独立法人或由不超过</w:t>
      </w:r>
      <w:r>
        <w:rPr>
          <w:rFonts w:hint="eastAsia" w:ascii="宋体" w:hAnsi="宋体" w:cs="宋体"/>
          <w:color w:val="auto"/>
          <w:sz w:val="24"/>
          <w:szCs w:val="24"/>
          <w:highlight w:val="none"/>
          <w:u w:val="single"/>
          <w:lang w:val="en-US" w:eastAsia="zh-CN"/>
        </w:rPr>
        <w:t xml:space="preserve"> 2 </w:t>
      </w:r>
      <w:r>
        <w:rPr>
          <w:rFonts w:hint="eastAsia" w:ascii="宋体" w:hAnsi="宋体" w:eastAsia="宋体" w:cs="宋体"/>
          <w:color w:val="auto"/>
          <w:sz w:val="24"/>
          <w:szCs w:val="24"/>
          <w:highlight w:val="none"/>
        </w:rPr>
        <w:t>家独立法人组成的联合体（必须注明其中一家为牵头人），联合体各方不得再以自己的名义单独申请，也不得同时参加两个或两个以上的联合体进行本项目的投标。单一独立法人必须至少具备以下①</w:t>
      </w:r>
      <w:r>
        <w:rPr>
          <w:rFonts w:hint="eastAsia" w:ascii="宋体" w:hAnsi="宋体" w:cs="宋体"/>
          <w:color w:val="auto"/>
          <w:sz w:val="24"/>
          <w:szCs w:val="24"/>
          <w:highlight w:val="none"/>
          <w:lang w:val="en-US" w:eastAsia="zh-CN"/>
        </w:rPr>
        <w:t>或②</w:t>
      </w:r>
      <w:r>
        <w:rPr>
          <w:rFonts w:hint="eastAsia" w:ascii="宋体" w:hAnsi="宋体" w:eastAsia="宋体" w:cs="宋体"/>
          <w:color w:val="auto"/>
          <w:sz w:val="24"/>
          <w:szCs w:val="24"/>
          <w:highlight w:val="none"/>
        </w:rPr>
        <w:t>资质，组成联合体投标的，联合后必须至少具备以下①</w:t>
      </w:r>
      <w:r>
        <w:rPr>
          <w:rFonts w:hint="eastAsia" w:ascii="宋体" w:hAnsi="宋体" w:cs="宋体"/>
          <w:color w:val="auto"/>
          <w:sz w:val="24"/>
          <w:szCs w:val="24"/>
          <w:highlight w:val="none"/>
          <w:lang w:val="en-US" w:eastAsia="zh-CN"/>
        </w:rPr>
        <w:t>或②</w:t>
      </w:r>
      <w:r>
        <w:rPr>
          <w:rFonts w:hint="eastAsia" w:ascii="宋体" w:hAnsi="宋体" w:eastAsia="宋体" w:cs="宋体"/>
          <w:color w:val="auto"/>
          <w:sz w:val="24"/>
          <w:szCs w:val="24"/>
          <w:highlight w:val="none"/>
        </w:rPr>
        <w:t>资质，联合体牵头人必须</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u w:val="single"/>
          <w:lang w:val="en-US" w:eastAsia="zh-CN"/>
        </w:rPr>
        <w:t>施工单位</w:t>
      </w:r>
      <w:r>
        <w:rPr>
          <w:rFonts w:hint="eastAsia" w:ascii="宋体" w:hAnsi="宋体" w:eastAsia="宋体" w:cs="宋体"/>
          <w:color w:val="auto"/>
          <w:sz w:val="24"/>
          <w:szCs w:val="24"/>
          <w:highlight w:val="none"/>
        </w:rPr>
        <w:t>，由同一专业的单位组成的联合体，按照资质等级较低的单位确定资质等级：</w:t>
      </w:r>
    </w:p>
    <w:p w14:paraId="558DB5E9">
      <w:pPr>
        <w:keepNext w:val="0"/>
        <w:keepLines w:val="0"/>
        <w:pageBreakBefore w:val="0"/>
        <w:kinsoku/>
        <w:wordWrap/>
        <w:overflowPunct/>
        <w:topLinePunct w:val="0"/>
        <w:autoSpaceDE/>
        <w:autoSpaceDN/>
        <w:bidi w:val="0"/>
        <w:adjustRightInd/>
        <w:snapToGrid w:val="0"/>
        <w:spacing w:line="300" w:lineRule="auto"/>
        <w:ind w:left="525" w:leftChars="250" w:firstLine="0" w:firstLineChars="0"/>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zh-CN"/>
        </w:rPr>
        <w:t>①施工资质：</w:t>
      </w:r>
      <w:r>
        <w:rPr>
          <w:rFonts w:hint="eastAsia" w:ascii="宋体" w:hAnsi="宋体" w:eastAsia="宋体" w:cs="宋体"/>
          <w:b/>
          <w:bCs/>
          <w:color w:val="auto"/>
          <w:sz w:val="24"/>
          <w:szCs w:val="24"/>
          <w:highlight w:val="none"/>
          <w:u w:val="single"/>
          <w:lang w:val="en-US" w:eastAsia="zh-CN"/>
        </w:rPr>
        <w:t>建筑</w:t>
      </w:r>
      <w:r>
        <w:rPr>
          <w:rFonts w:hint="eastAsia" w:ascii="宋体" w:hAnsi="宋体" w:eastAsia="宋体" w:cs="宋体"/>
          <w:b/>
          <w:bCs/>
          <w:color w:val="auto"/>
          <w:sz w:val="24"/>
          <w:szCs w:val="24"/>
          <w:highlight w:val="none"/>
          <w:u w:val="single"/>
        </w:rPr>
        <w:t>工程施工总承包</w:t>
      </w:r>
      <w:r>
        <w:rPr>
          <w:rFonts w:hint="eastAsia" w:ascii="宋体" w:hAnsi="宋体" w:eastAsia="宋体" w:cs="宋体"/>
          <w:b/>
          <w:bCs/>
          <w:color w:val="auto"/>
          <w:sz w:val="24"/>
          <w:szCs w:val="24"/>
          <w:highlight w:val="none"/>
          <w:u w:val="single"/>
          <w:lang w:val="en-US" w:eastAsia="zh-CN"/>
        </w:rPr>
        <w:t>叁</w:t>
      </w:r>
      <w:r>
        <w:rPr>
          <w:rFonts w:hint="eastAsia" w:ascii="宋体" w:hAnsi="宋体" w:eastAsia="宋体" w:cs="宋体"/>
          <w:b/>
          <w:bCs/>
          <w:color w:val="auto"/>
          <w:sz w:val="24"/>
          <w:szCs w:val="24"/>
          <w:highlight w:val="none"/>
          <w:u w:val="single"/>
        </w:rPr>
        <w:t>级以上（含</w:t>
      </w:r>
      <w:r>
        <w:rPr>
          <w:rFonts w:hint="eastAsia" w:ascii="宋体" w:hAnsi="宋体" w:eastAsia="宋体" w:cs="宋体"/>
          <w:b/>
          <w:bCs/>
          <w:color w:val="auto"/>
          <w:sz w:val="24"/>
          <w:szCs w:val="24"/>
          <w:highlight w:val="none"/>
          <w:u w:val="single"/>
          <w:lang w:val="en-US" w:eastAsia="zh-CN"/>
        </w:rPr>
        <w:t>叁</w:t>
      </w:r>
      <w:r>
        <w:rPr>
          <w:rFonts w:hint="eastAsia" w:ascii="宋体" w:hAnsi="宋体" w:eastAsia="宋体" w:cs="宋体"/>
          <w:b/>
          <w:bCs/>
          <w:color w:val="auto"/>
          <w:sz w:val="24"/>
          <w:szCs w:val="24"/>
          <w:highlight w:val="none"/>
          <w:u w:val="single"/>
        </w:rPr>
        <w:t>级）</w:t>
      </w:r>
      <w:r>
        <w:rPr>
          <w:rFonts w:hint="eastAsia" w:hAnsi="宋体" w:eastAsia="宋体" w:cs="宋体"/>
          <w:b/>
          <w:bCs/>
          <w:color w:val="auto"/>
          <w:sz w:val="24"/>
          <w:szCs w:val="24"/>
          <w:highlight w:val="none"/>
          <w:u w:val="single"/>
          <w:lang w:eastAsia="zh-CN"/>
        </w:rPr>
        <w:t>。</w:t>
      </w:r>
      <w:r>
        <w:rPr>
          <w:rFonts w:hint="eastAsia" w:hAnsi="宋体" w:eastAsia="宋体" w:cs="宋体"/>
          <w:b/>
          <w:bCs/>
          <w:color w:val="auto"/>
          <w:sz w:val="24"/>
          <w:szCs w:val="24"/>
          <w:highlight w:val="none"/>
          <w:u w:val="single"/>
          <w:lang w:eastAsia="zh-CN"/>
        </w:rPr>
        <w:br w:type="textWrapping"/>
      </w: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lang w:val="zh-CN"/>
        </w:rPr>
        <w:t>施工资质：</w:t>
      </w:r>
      <w:r>
        <w:rPr>
          <w:rFonts w:hint="eastAsia" w:ascii="宋体" w:hAnsi="宋体" w:eastAsia="宋体" w:cs="宋体"/>
          <w:b/>
          <w:bCs/>
          <w:color w:val="auto"/>
          <w:sz w:val="24"/>
          <w:szCs w:val="24"/>
          <w:highlight w:val="none"/>
          <w:u w:val="single"/>
          <w:lang w:val="en-US" w:eastAsia="zh-CN"/>
        </w:rPr>
        <w:t>消防设施专业承包贰</w:t>
      </w:r>
      <w:r>
        <w:rPr>
          <w:rFonts w:hint="eastAsia" w:ascii="宋体" w:hAnsi="宋体" w:eastAsia="宋体" w:cs="宋体"/>
          <w:b/>
          <w:bCs/>
          <w:color w:val="auto"/>
          <w:sz w:val="24"/>
          <w:szCs w:val="24"/>
          <w:highlight w:val="none"/>
          <w:u w:val="single"/>
        </w:rPr>
        <w:t>级以上（含</w:t>
      </w:r>
      <w:r>
        <w:rPr>
          <w:rFonts w:hint="eastAsia" w:ascii="宋体" w:hAnsi="宋体" w:eastAsia="宋体" w:cs="宋体"/>
          <w:b/>
          <w:bCs/>
          <w:color w:val="auto"/>
          <w:sz w:val="24"/>
          <w:szCs w:val="24"/>
          <w:highlight w:val="none"/>
          <w:u w:val="single"/>
          <w:lang w:val="en-US" w:eastAsia="zh-CN"/>
        </w:rPr>
        <w:t>贰</w:t>
      </w:r>
      <w:r>
        <w:rPr>
          <w:rFonts w:hint="eastAsia" w:ascii="宋体" w:hAnsi="宋体" w:eastAsia="宋体" w:cs="宋体"/>
          <w:b/>
          <w:bCs/>
          <w:color w:val="auto"/>
          <w:sz w:val="24"/>
          <w:szCs w:val="24"/>
          <w:highlight w:val="none"/>
          <w:u w:val="single"/>
        </w:rPr>
        <w:t>级）</w:t>
      </w:r>
      <w:r>
        <w:rPr>
          <w:rFonts w:hint="eastAsia" w:hAnsi="宋体" w:eastAsia="宋体" w:cs="宋体"/>
          <w:b/>
          <w:bCs/>
          <w:color w:val="auto"/>
          <w:sz w:val="24"/>
          <w:szCs w:val="24"/>
          <w:highlight w:val="none"/>
          <w:u w:val="single"/>
          <w:lang w:eastAsia="zh-CN"/>
        </w:rPr>
        <w:t>。</w:t>
      </w:r>
    </w:p>
    <w:p w14:paraId="365E0BA9">
      <w:pPr>
        <w:pStyle w:val="30"/>
        <w:keepNext w:val="0"/>
        <w:keepLines w:val="0"/>
        <w:pageBreakBefore w:val="0"/>
        <w:widowControl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bidi="ar-SA"/>
        </w:rPr>
        <w:t>2</w:t>
      </w:r>
      <w:r>
        <w:rPr>
          <w:rFonts w:hint="eastAsia" w:ascii="宋体" w:hAnsi="宋体" w:eastAsia="宋体" w:cs="宋体"/>
          <w:b/>
          <w:bCs/>
          <w:color w:val="auto"/>
          <w:kern w:val="0"/>
          <w:sz w:val="24"/>
          <w:szCs w:val="24"/>
          <w:highlight w:val="none"/>
          <w:lang w:val="en-US" w:eastAsia="zh-CN" w:bidi="ar-SA"/>
        </w:rPr>
        <w:t xml:space="preserve">.3 </w:t>
      </w:r>
      <w:r>
        <w:rPr>
          <w:rFonts w:hint="eastAsia" w:ascii="宋体" w:hAnsi="宋体" w:eastAsia="宋体" w:cs="宋体"/>
          <w:color w:val="auto"/>
          <w:sz w:val="24"/>
          <w:szCs w:val="24"/>
          <w:highlight w:val="none"/>
        </w:rPr>
        <w:t>相关人员要求</w:t>
      </w:r>
    </w:p>
    <w:p w14:paraId="23BBC65A">
      <w:pPr>
        <w:keepNext w:val="0"/>
        <w:keepLines w:val="0"/>
        <w:pageBreakBefore w:val="0"/>
        <w:kinsoku/>
        <w:wordWrap/>
        <w:overflowPunct/>
        <w:topLinePunct w:val="0"/>
        <w:autoSpaceDE/>
        <w:autoSpaceDN/>
        <w:bidi w:val="0"/>
        <w:adjustRightInd/>
        <w:snapToGrid w:val="0"/>
        <w:spacing w:line="300" w:lineRule="auto"/>
        <w:ind w:left="105" w:leftChars="50" w:firstLine="482" w:firstLineChars="200"/>
        <w:textAlignment w:val="auto"/>
        <w:rPr>
          <w:rFonts w:hint="eastAsia" w:ascii="宋体" w:hAnsi="宋体" w:eastAsia="宋体" w:cs="宋体"/>
          <w:color w:val="auto"/>
          <w:sz w:val="24"/>
          <w:szCs w:val="24"/>
          <w:highlight w:val="none"/>
          <w:lang w:val="zh-CN"/>
        </w:rPr>
      </w:pPr>
      <w:r>
        <w:rPr>
          <w:rFonts w:hint="eastAsia" w:hAnsi="宋体" w:eastAsia="宋体" w:cs="宋体"/>
          <w:b/>
          <w:bCs/>
          <w:color w:val="auto"/>
          <w:kern w:val="0"/>
          <w:sz w:val="24"/>
          <w:szCs w:val="24"/>
          <w:highlight w:val="none"/>
          <w:lang w:val="en-US" w:eastAsia="zh-CN" w:bidi="ar-SA"/>
        </w:rPr>
        <w:t>2</w:t>
      </w:r>
      <w:r>
        <w:rPr>
          <w:rFonts w:hint="eastAsia" w:ascii="宋体" w:hAnsi="宋体" w:eastAsia="宋体" w:cs="宋体"/>
          <w:b/>
          <w:bCs/>
          <w:color w:val="auto"/>
          <w:kern w:val="0"/>
          <w:sz w:val="24"/>
          <w:szCs w:val="24"/>
          <w:highlight w:val="none"/>
          <w:lang w:val="en-US" w:eastAsia="zh-CN" w:bidi="ar-SA"/>
        </w:rPr>
        <w:t xml:space="preserve">.3.1 </w:t>
      </w:r>
      <w:r>
        <w:rPr>
          <w:rFonts w:hint="eastAsia" w:ascii="宋体" w:hAnsi="宋体" w:eastAsia="宋体" w:cs="宋体"/>
          <w:color w:val="auto"/>
          <w:sz w:val="24"/>
          <w:szCs w:val="24"/>
          <w:highlight w:val="none"/>
          <w:lang w:val="zh-CN"/>
        </w:rPr>
        <w:t>拟派项目经理为具有</w:t>
      </w:r>
      <w:r>
        <w:rPr>
          <w:rFonts w:hint="eastAsia" w:ascii="宋体" w:hAnsi="宋体" w:eastAsia="宋体" w:cs="宋体"/>
          <w:b/>
          <w:bCs/>
          <w:color w:val="auto"/>
          <w:sz w:val="24"/>
          <w:szCs w:val="24"/>
          <w:highlight w:val="none"/>
          <w:u w:val="single"/>
          <w:lang w:val="en-US" w:eastAsia="zh-CN"/>
        </w:rPr>
        <w:t>建筑工程或机电工程</w:t>
      </w:r>
      <w:r>
        <w:rPr>
          <w:rFonts w:hint="eastAsia" w:ascii="宋体" w:hAnsi="宋体" w:eastAsia="宋体" w:cs="宋体"/>
          <w:color w:val="auto"/>
          <w:sz w:val="24"/>
          <w:szCs w:val="24"/>
          <w:highlight w:val="none"/>
          <w:lang w:val="zh-CN"/>
        </w:rPr>
        <w:t>专业</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val="zh-CN"/>
        </w:rPr>
        <w:t>级注册建造师，应持有住建部门印发的在使用有效期内的有效电子注册证书。同时均须具备有效安全生产考核合格证明（B证，安全生产考核合格证书或“建筑施工企业管理人员安全生产考核信息系统”考核合格信息截图），且未担任其他在施（包括已中标未开工、已开工未竣工）建设工程项目的项目经理。</w:t>
      </w:r>
    </w:p>
    <w:p w14:paraId="603D4911">
      <w:pPr>
        <w:pStyle w:val="30"/>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highlight w:val="none"/>
        </w:rPr>
      </w:pPr>
    </w:p>
    <w:p w14:paraId="608E0CDA">
      <w:pPr>
        <w:pStyle w:val="30"/>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val="en-US" w:eastAsia="zh-CN"/>
        </w:rPr>
        <w:t>.3.2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拟派项目技术负责人须具备</w:t>
      </w:r>
      <w:r>
        <w:rPr>
          <w:rFonts w:hint="eastAsia" w:ascii="宋体" w:hAnsi="宋体" w:cs="宋体"/>
          <w:b/>
          <w:bCs/>
          <w:color w:val="auto"/>
          <w:sz w:val="24"/>
          <w:szCs w:val="24"/>
          <w:highlight w:val="none"/>
          <w:u w:val="single"/>
          <w:lang w:val="en-US" w:eastAsia="zh-CN"/>
        </w:rPr>
        <w:t>建筑工程</w:t>
      </w:r>
      <w:r>
        <w:rPr>
          <w:rFonts w:hint="eastAsia" w:ascii="宋体" w:hAnsi="宋体" w:eastAsia="宋体" w:cs="宋体"/>
          <w:b/>
          <w:bCs/>
          <w:color w:val="auto"/>
          <w:sz w:val="24"/>
          <w:szCs w:val="24"/>
          <w:highlight w:val="none"/>
          <w:u w:val="single"/>
          <w:lang w:val="en-US" w:eastAsia="zh-CN"/>
        </w:rPr>
        <w:t>或机电工程</w:t>
      </w:r>
      <w:r>
        <w:rPr>
          <w:rFonts w:hint="eastAsia" w:ascii="宋体" w:hAnsi="宋体" w:eastAsia="宋体" w:cs="宋体"/>
          <w:color w:val="auto"/>
          <w:sz w:val="24"/>
          <w:szCs w:val="24"/>
          <w:highlight w:val="none"/>
        </w:rPr>
        <w:t>专业类</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rPr>
        <w:t>级或以上技术职称。</w:t>
      </w:r>
    </w:p>
    <w:p w14:paraId="69C11F7D">
      <w:pPr>
        <w:pStyle w:val="30"/>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 xml:space="preserve">2.3.3 </w:t>
      </w:r>
      <w:r>
        <w:rPr>
          <w:rFonts w:hint="eastAsia" w:ascii="宋体" w:hAnsi="宋体" w:eastAsia="宋体" w:cs="宋体"/>
          <w:color w:val="auto"/>
          <w:sz w:val="24"/>
          <w:szCs w:val="24"/>
          <w:highlight w:val="none"/>
        </w:rPr>
        <w:t>拟派专职安全生产管理人员须具备有效安全生产考核合格证明（C证，安全生产考核合格证书或广东省建筑施工企业管理人员安全生产考核系统考核合格信息打印页），且不少于</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人。</w:t>
      </w:r>
    </w:p>
    <w:p w14:paraId="3E564E2A">
      <w:pPr>
        <w:keepNext w:val="0"/>
        <w:keepLines w:val="0"/>
        <w:pageBreakBefore w:val="0"/>
        <w:wordWrap w:val="0"/>
        <w:overflowPunct/>
        <w:topLinePunct w:val="0"/>
        <w:bidi w:val="0"/>
        <w:spacing w:before="78" w:line="220" w:lineRule="auto"/>
        <w:ind w:left="48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2.4  </w:t>
      </w:r>
      <w:r>
        <w:rPr>
          <w:rFonts w:hint="eastAsia" w:ascii="宋体" w:hAnsi="宋体" w:eastAsia="宋体" w:cs="宋体"/>
          <w:color w:val="auto"/>
          <w:spacing w:val="0"/>
          <w:sz w:val="24"/>
          <w:szCs w:val="24"/>
          <w:highlight w:val="none"/>
        </w:rPr>
        <w:t>禁止投标条款</w:t>
      </w:r>
    </w:p>
    <w:p w14:paraId="3A8C3AAA">
      <w:pPr>
        <w:keepNext w:val="0"/>
        <w:keepLines w:val="0"/>
        <w:pageBreakBefore w:val="0"/>
        <w:wordWrap w:val="0"/>
        <w:overflowPunct/>
        <w:topLinePunct w:val="0"/>
        <w:bidi w:val="0"/>
        <w:spacing w:before="153" w:line="220" w:lineRule="auto"/>
        <w:ind w:left="48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2.4.1  </w:t>
      </w:r>
      <w:r>
        <w:rPr>
          <w:rFonts w:hint="eastAsia" w:ascii="宋体" w:hAnsi="宋体" w:eastAsia="宋体" w:cs="宋体"/>
          <w:color w:val="auto"/>
          <w:spacing w:val="0"/>
          <w:sz w:val="24"/>
          <w:szCs w:val="24"/>
          <w:highlight w:val="none"/>
        </w:rPr>
        <w:t>投标人不得存在下列情形之一：</w:t>
      </w:r>
    </w:p>
    <w:p w14:paraId="719B3EF1">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（1）为招标人不具有独立法人资格的附属机构（单位）；</w:t>
      </w:r>
    </w:p>
    <w:p w14:paraId="7412C721">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（2）为本招标项目前期准备提供设计或咨询服务的；</w:t>
      </w:r>
    </w:p>
    <w:p w14:paraId="6E29F103">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（3）与本招标项目的其他投标人为同一个单位负责人；</w:t>
      </w:r>
    </w:p>
    <w:p w14:paraId="1E47D278">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（4）与本招标项目的其他投标人存在控股、管理关系；</w:t>
      </w:r>
    </w:p>
    <w:p w14:paraId="6CECC839">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（5）为本招标项目的监理人；</w:t>
      </w:r>
    </w:p>
    <w:p w14:paraId="4795CBCF">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（6）为本招标项目的代建人；</w:t>
      </w:r>
    </w:p>
    <w:p w14:paraId="1A97DCE2">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（7）为本招标项目的招标代理机构；</w:t>
      </w:r>
    </w:p>
    <w:p w14:paraId="56058DDD">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（8）与本招标项目的监理人或代建人或招标代理机构同为一个 法定代表人；</w:t>
      </w:r>
    </w:p>
    <w:p w14:paraId="60FD7A1D">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（9）与本招标项目的监理人或代建人或招标代理机构存在控股或参股关系；</w:t>
      </w:r>
    </w:p>
    <w:p w14:paraId="5A71E24A">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（10）与本招标项目的监理人或代建人或招标代理机构存在相互任职或工作关系；</w:t>
      </w:r>
    </w:p>
    <w:p w14:paraId="66C2467D">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（11）被依法暂停或者取消投标资格；</w:t>
      </w:r>
    </w:p>
    <w:p w14:paraId="42610FD8">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（12）被责令停产停业、暂扣或者吊销许可证、暂扣或者吊销执照；</w:t>
      </w:r>
    </w:p>
    <w:p w14:paraId="7F58BCE6">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（13）进入清算程序，或被宣告破产，或其他丧失履约能力的情形；</w:t>
      </w:r>
    </w:p>
    <w:p w14:paraId="352E1B22">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（14）在最近三年内发生重大工程质量或安全问题（以相关行业主管部门的行政处罚决定或司法机关出具的有关法律文书为准）；</w:t>
      </w:r>
    </w:p>
    <w:p w14:paraId="5BD97EEA">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（15）被“信用中国 ”网站（https://www.creditchina.gov.cn）发布的《法人和非法人组织公共信用信息报告》列为严重失信主体名单的。</w:t>
      </w:r>
    </w:p>
    <w:p w14:paraId="58D8A3B4">
      <w:pPr>
        <w:keepNext w:val="0"/>
        <w:keepLines w:val="0"/>
        <w:pageBreakBefore w:val="0"/>
        <w:wordWrap w:val="0"/>
        <w:overflowPunct/>
        <w:topLinePunct w:val="0"/>
        <w:bidi w:val="0"/>
        <w:spacing w:before="155" w:line="219" w:lineRule="auto"/>
        <w:ind w:left="70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2.4.2  </w:t>
      </w:r>
      <w:r>
        <w:rPr>
          <w:rFonts w:hint="eastAsia" w:ascii="宋体" w:hAnsi="宋体" w:eastAsia="宋体" w:cs="宋体"/>
          <w:color w:val="auto"/>
          <w:spacing w:val="0"/>
          <w:sz w:val="24"/>
          <w:szCs w:val="24"/>
          <w:highlight w:val="none"/>
        </w:rPr>
        <w:t>招标人拒绝以下名单中的单位参加本次投标：</w:t>
      </w:r>
    </w:p>
    <w:tbl>
      <w:tblPr>
        <w:tblStyle w:val="15"/>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3772"/>
        <w:gridCol w:w="5338"/>
      </w:tblGrid>
      <w:tr w14:paraId="4E80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8" w:type="dxa"/>
            <w:vAlign w:val="center"/>
          </w:tcPr>
          <w:p w14:paraId="3696CD3B">
            <w:pPr>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序号</w:t>
            </w:r>
          </w:p>
        </w:tc>
        <w:tc>
          <w:tcPr>
            <w:tcW w:w="3772" w:type="dxa"/>
            <w:vAlign w:val="center"/>
          </w:tcPr>
          <w:p w14:paraId="628060C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单位名称</w:t>
            </w:r>
          </w:p>
        </w:tc>
        <w:tc>
          <w:tcPr>
            <w:tcW w:w="5338" w:type="dxa"/>
            <w:vAlign w:val="center"/>
          </w:tcPr>
          <w:p w14:paraId="5AAAF9E2">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拒绝原因</w:t>
            </w:r>
          </w:p>
        </w:tc>
      </w:tr>
      <w:tr w14:paraId="4530B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88" w:type="dxa"/>
            <w:vAlign w:val="center"/>
          </w:tcPr>
          <w:p w14:paraId="23409B6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1</w:t>
            </w:r>
          </w:p>
        </w:tc>
        <w:tc>
          <w:tcPr>
            <w:tcW w:w="3772" w:type="dxa"/>
            <w:vAlign w:val="center"/>
          </w:tcPr>
          <w:p w14:paraId="245CE33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新丰县中医院</w:t>
            </w:r>
          </w:p>
        </w:tc>
        <w:tc>
          <w:tcPr>
            <w:tcW w:w="5338" w:type="dxa"/>
            <w:vAlign w:val="center"/>
          </w:tcPr>
          <w:p w14:paraId="00EC361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为本招标项目的招标人</w:t>
            </w:r>
          </w:p>
        </w:tc>
      </w:tr>
      <w:tr w14:paraId="2F0E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88" w:type="dxa"/>
            <w:vAlign w:val="center"/>
          </w:tcPr>
          <w:p w14:paraId="128F6A2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2</w:t>
            </w:r>
          </w:p>
        </w:tc>
        <w:tc>
          <w:tcPr>
            <w:tcW w:w="3772" w:type="dxa"/>
            <w:vAlign w:val="center"/>
          </w:tcPr>
          <w:p w14:paraId="2FCCE67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新丰县市政工程公司</w:t>
            </w:r>
          </w:p>
        </w:tc>
        <w:tc>
          <w:tcPr>
            <w:tcW w:w="5338" w:type="dxa"/>
            <w:vAlign w:val="center"/>
          </w:tcPr>
          <w:p w14:paraId="7191518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为本招标项目的招标代理机构</w:t>
            </w:r>
          </w:p>
        </w:tc>
      </w:tr>
      <w:tr w14:paraId="05737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88" w:type="dxa"/>
            <w:vAlign w:val="center"/>
          </w:tcPr>
          <w:p w14:paraId="560396F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3</w:t>
            </w:r>
          </w:p>
        </w:tc>
        <w:tc>
          <w:tcPr>
            <w:tcW w:w="3772" w:type="dxa"/>
            <w:vAlign w:val="center"/>
          </w:tcPr>
          <w:p w14:paraId="3423648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中恒和咨询有限公司</w:t>
            </w:r>
          </w:p>
        </w:tc>
        <w:tc>
          <w:tcPr>
            <w:tcW w:w="5338" w:type="dxa"/>
            <w:vAlign w:val="center"/>
          </w:tcPr>
          <w:p w14:paraId="1805965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为本招标项目的可研编制单位</w:t>
            </w:r>
          </w:p>
        </w:tc>
      </w:tr>
      <w:tr w14:paraId="5F2A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88" w:type="dxa"/>
            <w:vAlign w:val="center"/>
          </w:tcPr>
          <w:p w14:paraId="7A01013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4</w:t>
            </w:r>
          </w:p>
        </w:tc>
        <w:tc>
          <w:tcPr>
            <w:tcW w:w="3772" w:type="dxa"/>
            <w:vAlign w:val="center"/>
          </w:tcPr>
          <w:p w14:paraId="74BCB97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深圳德普思建筑设计有限公司</w:t>
            </w:r>
          </w:p>
        </w:tc>
        <w:tc>
          <w:tcPr>
            <w:tcW w:w="5338" w:type="dxa"/>
            <w:vAlign w:val="center"/>
          </w:tcPr>
          <w:p w14:paraId="36FB3F0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为本招标项目的施工图设计单位</w:t>
            </w:r>
          </w:p>
        </w:tc>
      </w:tr>
      <w:tr w14:paraId="34BCD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88" w:type="dxa"/>
            <w:vAlign w:val="center"/>
          </w:tcPr>
          <w:p w14:paraId="727D1FB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5</w:t>
            </w:r>
          </w:p>
        </w:tc>
        <w:tc>
          <w:tcPr>
            <w:tcW w:w="3772" w:type="dxa"/>
            <w:vAlign w:val="center"/>
          </w:tcPr>
          <w:p w14:paraId="32BFD63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广东建工审图咨询有限公司</w:t>
            </w:r>
          </w:p>
        </w:tc>
        <w:tc>
          <w:tcPr>
            <w:tcW w:w="5338" w:type="dxa"/>
            <w:vAlign w:val="center"/>
          </w:tcPr>
          <w:p w14:paraId="195493D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为本招标项目的施工图审查单位</w:t>
            </w:r>
          </w:p>
        </w:tc>
      </w:tr>
      <w:tr w14:paraId="5F37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88" w:type="dxa"/>
            <w:vAlign w:val="center"/>
          </w:tcPr>
          <w:p w14:paraId="1BF81CE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6</w:t>
            </w:r>
          </w:p>
        </w:tc>
        <w:tc>
          <w:tcPr>
            <w:tcW w:w="3772" w:type="dxa"/>
            <w:vAlign w:val="center"/>
          </w:tcPr>
          <w:p w14:paraId="31AD170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default" w:asciiTheme="minorEastAsia" w:hAnsiTheme="minorEastAsia" w:eastAsiaTheme="minorEastAsia" w:cstheme="minorEastAsia"/>
                <w:snapToGrid w:val="0"/>
                <w:color w:val="auto"/>
                <w:spacing w:val="0"/>
                <w:kern w:val="0"/>
                <w:sz w:val="21"/>
                <w:szCs w:val="21"/>
                <w:highlight w:val="none"/>
                <w:lang w:val="en-US" w:eastAsia="zh-CN" w:bidi="ar-SA"/>
              </w:rPr>
              <w:t>广东中城工程项目管理有限公司</w:t>
            </w:r>
          </w:p>
        </w:tc>
        <w:tc>
          <w:tcPr>
            <w:tcW w:w="5338" w:type="dxa"/>
            <w:vAlign w:val="center"/>
          </w:tcPr>
          <w:p w14:paraId="1B6AD5E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为本招标项目的造价咨询单位</w:t>
            </w:r>
          </w:p>
        </w:tc>
      </w:tr>
      <w:tr w14:paraId="7221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88" w:type="dxa"/>
            <w:vAlign w:val="center"/>
          </w:tcPr>
          <w:p w14:paraId="47AE878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7</w:t>
            </w:r>
          </w:p>
        </w:tc>
        <w:tc>
          <w:tcPr>
            <w:tcW w:w="3772" w:type="dxa"/>
            <w:vAlign w:val="center"/>
          </w:tcPr>
          <w:p w14:paraId="76F90E4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广东粤新建设监理有限公司</w:t>
            </w:r>
          </w:p>
        </w:tc>
        <w:tc>
          <w:tcPr>
            <w:tcW w:w="5338" w:type="dxa"/>
            <w:vAlign w:val="center"/>
          </w:tcPr>
          <w:p w14:paraId="0AB453E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为本招标项目的监理单位</w:t>
            </w:r>
          </w:p>
        </w:tc>
      </w:tr>
      <w:tr w14:paraId="4E074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88" w:type="dxa"/>
            <w:vAlign w:val="center"/>
          </w:tcPr>
          <w:p w14:paraId="56338DF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8</w:t>
            </w:r>
          </w:p>
        </w:tc>
        <w:tc>
          <w:tcPr>
            <w:tcW w:w="3772" w:type="dxa"/>
            <w:vAlign w:val="center"/>
          </w:tcPr>
          <w:p w14:paraId="20B4697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新丰县卫生健康局</w:t>
            </w:r>
          </w:p>
        </w:tc>
        <w:tc>
          <w:tcPr>
            <w:tcW w:w="5338" w:type="dxa"/>
            <w:vAlign w:val="center"/>
          </w:tcPr>
          <w:p w14:paraId="44A13E7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为本招标项目的行政主管单位</w:t>
            </w:r>
          </w:p>
        </w:tc>
      </w:tr>
      <w:tr w14:paraId="168E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88" w:type="dxa"/>
            <w:vAlign w:val="center"/>
          </w:tcPr>
          <w:p w14:paraId="350092A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9</w:t>
            </w:r>
          </w:p>
        </w:tc>
        <w:tc>
          <w:tcPr>
            <w:tcW w:w="3772" w:type="dxa"/>
            <w:vAlign w:val="center"/>
          </w:tcPr>
          <w:p w14:paraId="1F9AB36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新丰县住房和城乡建设管理局</w:t>
            </w:r>
          </w:p>
        </w:tc>
        <w:tc>
          <w:tcPr>
            <w:tcW w:w="5338" w:type="dxa"/>
            <w:vAlign w:val="center"/>
          </w:tcPr>
          <w:p w14:paraId="5386697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为本招标项目的监督单位</w:t>
            </w:r>
          </w:p>
        </w:tc>
      </w:tr>
    </w:tbl>
    <w:p w14:paraId="4C0C7D15">
      <w:pPr>
        <w:keepNext w:val="0"/>
        <w:keepLines w:val="0"/>
        <w:pageBreakBefore w:val="0"/>
        <w:wordWrap w:val="0"/>
        <w:overflowPunct/>
        <w:topLinePunct w:val="0"/>
        <w:bidi w:val="0"/>
        <w:spacing w:line="93" w:lineRule="auto"/>
        <w:rPr>
          <w:rFonts w:hint="eastAsia" w:ascii="宋体" w:hAnsi="宋体" w:eastAsia="宋体" w:cs="宋体"/>
          <w:color w:val="auto"/>
          <w:spacing w:val="0"/>
          <w:sz w:val="2"/>
          <w:highlight w:val="none"/>
        </w:rPr>
      </w:pPr>
    </w:p>
    <w:p w14:paraId="76A14150">
      <w:pPr>
        <w:keepNext w:val="0"/>
        <w:keepLines w:val="0"/>
        <w:pageBreakBefore w:val="0"/>
        <w:wordWrap w:val="0"/>
        <w:overflowPunct/>
        <w:topLinePunct w:val="0"/>
        <w:bidi w:val="0"/>
        <w:spacing w:before="153" w:line="221" w:lineRule="auto"/>
        <w:ind w:left="70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2.5  </w:t>
      </w:r>
      <w:r>
        <w:rPr>
          <w:rFonts w:hint="eastAsia" w:ascii="宋体" w:hAnsi="宋体" w:eastAsia="宋体" w:cs="宋体"/>
          <w:color w:val="auto"/>
          <w:spacing w:val="0"/>
          <w:sz w:val="24"/>
          <w:szCs w:val="24"/>
          <w:highlight w:val="none"/>
        </w:rPr>
        <w:t>其他要求</w:t>
      </w:r>
    </w:p>
    <w:p w14:paraId="11BBDBCC">
      <w:pPr>
        <w:keepNext w:val="0"/>
        <w:keepLines w:val="0"/>
        <w:pageBreakBefore w:val="0"/>
        <w:wordWrap w:val="0"/>
        <w:overflowPunct/>
        <w:topLinePunct w:val="0"/>
        <w:bidi w:val="0"/>
        <w:spacing w:before="150" w:line="334" w:lineRule="auto"/>
        <w:ind w:left="232" w:right="99" w:firstLine="481"/>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lang w:eastAsia="zh-CN"/>
        </w:rPr>
        <w:t>省外企业及其拟派往本项目管理机构的所有人员均须按照《广东省住房和城乡建设厅关于取消省外建筑企业和人员进粤信息备案有关工作的通知》（粤建市﹝2015﹞52 号）规定在“进粤企业和人员诚信信息登记平台 ”录入相关信息并通过数据规范检查。</w:t>
      </w:r>
    </w:p>
    <w:p w14:paraId="15D1F416">
      <w:pPr>
        <w:keepNext w:val="0"/>
        <w:keepLines w:val="0"/>
        <w:pageBreakBefore w:val="0"/>
        <w:wordWrap w:val="0"/>
        <w:overflowPunct/>
        <w:topLinePunct w:val="0"/>
        <w:bidi w:val="0"/>
        <w:spacing w:before="79" w:line="220" w:lineRule="auto"/>
        <w:ind w:left="715"/>
        <w:outlineLvl w:val="2"/>
        <w:rPr>
          <w:rFonts w:hint="eastAsia" w:ascii="宋体" w:hAnsi="宋体" w:eastAsia="宋体" w:cs="宋体"/>
          <w:color w:val="auto"/>
          <w:spacing w:val="0"/>
          <w:sz w:val="24"/>
          <w:szCs w:val="24"/>
          <w:highlight w:val="none"/>
        </w:rPr>
      </w:pPr>
      <w:bookmarkStart w:id="19" w:name="_Toc9027"/>
      <w:bookmarkStart w:id="20" w:name="_Toc23243"/>
      <w:r>
        <w:rPr>
          <w:rFonts w:hint="eastAsia" w:ascii="宋体" w:hAnsi="宋体" w:eastAsia="宋体" w:cs="宋体"/>
          <w:b/>
          <w:bCs/>
          <w:color w:val="auto"/>
          <w:spacing w:val="0"/>
          <w:sz w:val="24"/>
          <w:szCs w:val="24"/>
          <w:highlight w:val="none"/>
        </w:rPr>
        <w:t>3．招标文件的获取</w:t>
      </w:r>
      <w:bookmarkEnd w:id="19"/>
      <w:bookmarkEnd w:id="20"/>
    </w:p>
    <w:p w14:paraId="062171A6">
      <w:pPr>
        <w:keepNext w:val="0"/>
        <w:keepLines w:val="0"/>
        <w:pageBreakBefore w:val="0"/>
        <w:wordWrap w:val="0"/>
        <w:overflowPunct/>
        <w:topLinePunct w:val="0"/>
        <w:bidi w:val="0"/>
        <w:spacing w:before="182" w:line="219" w:lineRule="auto"/>
        <w:ind w:left="70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3.1  </w:t>
      </w:r>
      <w:r>
        <w:rPr>
          <w:rFonts w:hint="eastAsia" w:ascii="宋体" w:hAnsi="宋体" w:eastAsia="宋体" w:cs="宋体"/>
          <w:color w:val="auto"/>
          <w:spacing w:val="0"/>
          <w:sz w:val="24"/>
          <w:szCs w:val="24"/>
          <w:highlight w:val="none"/>
        </w:rPr>
        <w:t>本次招标实行电子投标。</w:t>
      </w:r>
    </w:p>
    <w:p w14:paraId="1D01F43D">
      <w:pPr>
        <w:keepNext w:val="0"/>
        <w:keepLines w:val="0"/>
        <w:pageBreakBefore w:val="0"/>
        <w:wordWrap w:val="0"/>
        <w:overflowPunct/>
        <w:topLinePunct w:val="0"/>
        <w:bidi w:val="0"/>
        <w:spacing w:before="178" w:line="355" w:lineRule="auto"/>
        <w:ind w:left="0" w:leftChars="0" w:firstLine="481" w:firstLineChars="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本次招标实行电子投标。本项目招标文件随招标公告一并在全国公共资源交易平台（广东省 ·韶关市）（https://ygp.gdzwfw.gov.cn/ggzy-portal/#/440200/index）网站发布。招标文件一经发布，视为发送投标人，招标文件及相关附件由投标人自行在全国公共资源交易平台（广东省 ·韶关市）网站下载。请于招标文件获取期间,（见本章第二节“重要事项时间地点一览表 ”）招标文件获取期间与招标公告发布时间一致，投标人须登录全国公共资源交易平台（广东省 ·韶关市）（https://ygp.gdzwfw.gov.cn/ggzy-portal/#/440200/index），使用新建设工程交易系统进行下载招标文件及相关附件，并于电子投标截止时间（见本章第二节“重要事项时间地点一览表 ”）前完成电子投标。投标人可登录全国公共资源交易平台（广东省 ·韶关市）（https://ygp.gdzwfw.gov.cn/ggzy-portal/#/440200/index），在【服务指南】栏目中建设工程交易中下载《韶关市公共资源建设工程交易系统-投标人操作指南（电子评标）》（附件 2），了解网上获取招标文件操作流程。技术咨询电话：0751-8379671 伍先生，业务咨询电话：0751-8633211、8633071。</w:t>
      </w:r>
    </w:p>
    <w:p w14:paraId="2202A6B7">
      <w:pPr>
        <w:keepNext w:val="0"/>
        <w:keepLines w:val="0"/>
        <w:pageBreakBefore w:val="0"/>
        <w:wordWrap w:val="0"/>
        <w:overflowPunct/>
        <w:topLinePunct w:val="0"/>
        <w:bidi w:val="0"/>
        <w:spacing w:before="142" w:line="330" w:lineRule="auto"/>
        <w:ind w:left="11" w:right="105" w:firstLine="473"/>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3.2  </w:t>
      </w:r>
      <w:r>
        <w:rPr>
          <w:rFonts w:hint="eastAsia" w:ascii="宋体" w:hAnsi="宋体" w:eastAsia="宋体" w:cs="宋体"/>
          <w:color w:val="auto"/>
          <w:spacing w:val="0"/>
          <w:sz w:val="24"/>
          <w:szCs w:val="24"/>
          <w:highlight w:val="none"/>
        </w:rPr>
        <w:t>只有申领了数字证书（CA）、“粤企签 ”或 GDCA/SZCA/NETCA 等符合法律法规规定的电子印章，并在交易系统中完成企业信息数据入库的投标人，方可使用建设工程交易系统进行招标文件及附件获取和电子投标。</w:t>
      </w:r>
    </w:p>
    <w:p w14:paraId="4D07D799">
      <w:pPr>
        <w:keepNext w:val="0"/>
        <w:keepLines w:val="0"/>
        <w:pageBreakBefore w:val="0"/>
        <w:wordWrap w:val="0"/>
        <w:overflowPunct/>
        <w:topLinePunct w:val="0"/>
        <w:bidi w:val="0"/>
        <w:spacing w:before="32" w:line="332" w:lineRule="auto"/>
        <w:ind w:left="10" w:right="90" w:firstLine="483"/>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首次在韶关市参与建设工程招标投标活动的投标人，必须在平台系统上传企业相关资料办理企业入库事宜。投标人可登录全国公共资源交易平台（广东省 ·韶关市）（</w:t>
      </w: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"https://ygp.gdzwfw.gov.cn/ggzy-portal/#/440200/index" </w:instrText>
      </w:r>
      <w:r>
        <w:rPr>
          <w:rFonts w:hint="eastAsia" w:ascii="宋体" w:hAnsi="宋体" w:eastAsia="宋体" w:cs="宋体"/>
          <w:color w:val="auto"/>
          <w:spacing w:val="0"/>
          <w:highlight w:val="none"/>
        </w:rPr>
        <w:fldChar w:fldCharType="separate"/>
      </w:r>
      <w:r>
        <w:rPr>
          <w:rFonts w:hint="eastAsia" w:ascii="宋体" w:hAnsi="宋体" w:eastAsia="宋体" w:cs="宋体"/>
          <w:color w:val="auto"/>
          <w:spacing w:val="0"/>
          <w:sz w:val="24"/>
          <w:szCs w:val="24"/>
          <w:highlight w:val="none"/>
        </w:rPr>
        <w:t>https://ygp.gdzwfw.gov.cn/ggzy-portal/#/440200/index</w:t>
      </w:r>
      <w:r>
        <w:rPr>
          <w:rFonts w:hint="eastAsia" w:ascii="宋体" w:hAnsi="宋体" w:eastAsia="宋体" w:cs="宋体"/>
          <w:color w:val="auto"/>
          <w:spacing w:val="0"/>
          <w:sz w:val="24"/>
          <w:szCs w:val="24"/>
          <w:highlight w:val="none"/>
        </w:rPr>
        <w:fldChar w:fldCharType="end"/>
      </w:r>
      <w:r>
        <w:rPr>
          <w:rFonts w:hint="eastAsia" w:ascii="宋体" w:hAnsi="宋体" w:eastAsia="宋体" w:cs="宋体"/>
          <w:color w:val="auto"/>
          <w:spacing w:val="0"/>
          <w:sz w:val="24"/>
          <w:szCs w:val="24"/>
          <w:highlight w:val="none"/>
        </w:rPr>
        <w:t>）办理企业入库、数字证书及电子印章事宜，具体请在平台查阅相应的交易指引。</w:t>
      </w:r>
    </w:p>
    <w:p w14:paraId="7D8C8C64">
      <w:pPr>
        <w:keepNext w:val="0"/>
        <w:keepLines w:val="0"/>
        <w:pageBreakBefore w:val="0"/>
        <w:wordWrap w:val="0"/>
        <w:overflowPunct/>
        <w:topLinePunct w:val="0"/>
        <w:bidi w:val="0"/>
        <w:spacing w:before="37" w:line="329" w:lineRule="auto"/>
        <w:ind w:left="9" w:right="105" w:firstLine="507"/>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已入库企业有关信息（如单位名称、基本账号、资质、人员等）发生变化的，须及时在交易系统进行相应变更。投标人未及时变更信息而造成的损失和后果，由投标人自行承担。</w:t>
      </w:r>
    </w:p>
    <w:p w14:paraId="3E500E91">
      <w:pPr>
        <w:keepNext w:val="0"/>
        <w:keepLines w:val="0"/>
        <w:pageBreakBefore w:val="0"/>
        <w:wordWrap w:val="0"/>
        <w:overflowPunct/>
        <w:topLinePunct w:val="0"/>
        <w:bidi w:val="0"/>
        <w:spacing w:before="33" w:line="335" w:lineRule="auto"/>
        <w:ind w:left="10" w:right="105" w:firstLine="508"/>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 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25D91D7D">
      <w:pPr>
        <w:keepNext w:val="0"/>
        <w:keepLines w:val="0"/>
        <w:pageBreakBefore w:val="0"/>
        <w:wordWrap w:val="0"/>
        <w:overflowPunct/>
        <w:topLinePunct w:val="0"/>
        <w:bidi w:val="0"/>
        <w:spacing w:before="33" w:line="221" w:lineRule="auto"/>
        <w:ind w:left="48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3.3  </w:t>
      </w:r>
      <w:r>
        <w:rPr>
          <w:rFonts w:hint="eastAsia" w:ascii="宋体" w:hAnsi="宋体" w:eastAsia="宋体" w:cs="宋体"/>
          <w:color w:val="auto"/>
          <w:spacing w:val="0"/>
          <w:sz w:val="24"/>
          <w:szCs w:val="24"/>
          <w:highlight w:val="none"/>
        </w:rPr>
        <w:t>投标保证</w:t>
      </w:r>
    </w:p>
    <w:p w14:paraId="28B6DFAD">
      <w:pPr>
        <w:keepNext w:val="0"/>
        <w:keepLines w:val="0"/>
        <w:pageBreakBefore w:val="0"/>
        <w:wordWrap w:val="0"/>
        <w:overflowPunct/>
        <w:topLinePunct w:val="0"/>
        <w:bidi w:val="0"/>
        <w:spacing w:before="152" w:line="280" w:lineRule="auto"/>
        <w:ind w:left="8" w:right="105"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3.3.1  </w:t>
      </w:r>
      <w:r>
        <w:rPr>
          <w:rFonts w:hint="eastAsia" w:ascii="宋体" w:hAnsi="宋体" w:eastAsia="宋体" w:cs="宋体"/>
          <w:color w:val="auto"/>
          <w:spacing w:val="0"/>
          <w:sz w:val="24"/>
          <w:szCs w:val="24"/>
          <w:highlight w:val="none"/>
        </w:rPr>
        <w:t>投标人须缴纳金额为</w:t>
      </w:r>
      <w:r>
        <w:rPr>
          <w:rFonts w:hint="eastAsia" w:ascii="宋体" w:hAnsi="宋体" w:eastAsia="宋体" w:cs="宋体"/>
          <w:color w:val="auto"/>
          <w:spacing w:val="0"/>
          <w:sz w:val="24"/>
          <w:szCs w:val="24"/>
          <w:highlight w:val="none"/>
          <w:u w:val="single"/>
          <w:lang w:val="en-US" w:eastAsia="zh-CN"/>
        </w:rPr>
        <w:t>80000.00</w:t>
      </w:r>
      <w:r>
        <w:rPr>
          <w:rFonts w:hint="eastAsia" w:ascii="宋体" w:hAnsi="宋体" w:eastAsia="宋体" w:cs="宋体"/>
          <w:color w:val="auto"/>
          <w:spacing w:val="0"/>
          <w:sz w:val="24"/>
          <w:szCs w:val="24"/>
          <w:highlight w:val="none"/>
          <w:u w:val="none"/>
          <w:lang w:val="en-US" w:eastAsia="zh-CN"/>
        </w:rPr>
        <w:t>元</w:t>
      </w:r>
      <w:r>
        <w:rPr>
          <w:rFonts w:hint="eastAsia" w:ascii="宋体" w:hAnsi="宋体" w:eastAsia="宋体" w:cs="宋体"/>
          <w:color w:val="auto"/>
          <w:spacing w:val="0"/>
          <w:sz w:val="24"/>
          <w:szCs w:val="24"/>
          <w:highlight w:val="none"/>
        </w:rPr>
        <w:t>人民币的投标保证。联合体投标的，由联合体牵头人缴纳。</w:t>
      </w:r>
    </w:p>
    <w:p w14:paraId="45B9E994">
      <w:pPr>
        <w:keepNext w:val="0"/>
        <w:keepLines w:val="0"/>
        <w:pageBreakBefore w:val="0"/>
        <w:wordWrap w:val="0"/>
        <w:overflowPunct/>
        <w:topLinePunct w:val="0"/>
        <w:bidi w:val="0"/>
        <w:spacing w:before="35" w:line="325" w:lineRule="auto"/>
        <w:ind w:left="12" w:right="108" w:firstLine="471"/>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3.3.2  </w:t>
      </w:r>
      <w:r>
        <w:rPr>
          <w:rFonts w:hint="eastAsia" w:ascii="宋体" w:hAnsi="宋体" w:eastAsia="宋体" w:cs="宋体"/>
          <w:color w:val="auto"/>
          <w:spacing w:val="0"/>
          <w:sz w:val="24"/>
          <w:szCs w:val="24"/>
          <w:highlight w:val="none"/>
        </w:rPr>
        <w:t>投标保证的形式包括投标保证金、投标保证担保、投标保证保险三种，由投标人自主选择。</w:t>
      </w:r>
    </w:p>
    <w:p w14:paraId="025DD3A8">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auto"/>
          <w:spacing w:val="0"/>
          <w:sz w:val="24"/>
          <w:szCs w:val="24"/>
          <w:highlight w:val="none"/>
        </w:rPr>
      </w:pPr>
      <w:bookmarkStart w:id="21" w:name="bookmark117"/>
      <w:bookmarkEnd w:id="21"/>
      <w:r>
        <w:rPr>
          <w:rFonts w:hint="eastAsia" w:ascii="宋体" w:hAnsi="宋体" w:eastAsia="宋体" w:cs="宋体"/>
          <w:color w:val="auto"/>
          <w:spacing w:val="0"/>
          <w:sz w:val="24"/>
          <w:szCs w:val="24"/>
          <w:highlight w:val="none"/>
        </w:rPr>
        <w:t>（1）采用投标保证金的，投标人在建设工程交易系统获取招标文件完毕后，即可在系统申请缴纳投标保证金，获取本次招标投标保证金缴纳账号。投标人必须于投标保证金到账截止时间（见本招标文件“重要事项时间地点一览表 ”）前，从其基本账户将投标保证金转账到指定的缴纳账号。逾期到账的、从非投标人基本账户转出的，其投标无效。</w:t>
      </w:r>
    </w:p>
    <w:p w14:paraId="43708345">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（2）采用投标保证担保的，投标人应提交有效的电子保函或保证保险，电子保函或保证保险的有效期不得短于投标有效期。投标人必须在投标保证担保截止时间（详见“重要事项时间地点一览表 ”）前，使用工程建设交易系统完成网上办理电子保函或保证保险。</w:t>
      </w:r>
    </w:p>
    <w:p w14:paraId="3C81C690">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（3）采用投标保证保险的，投标人须在投标保证保险投保截止时间（见本招标文件“重要事项时间地点一览表 ”）前，使用建设工程交易系统完成网上投保。投标人可在系统选择保险机构、录入投保信息、支付保费、打印电子保单，电子保单的有效期不得短于投标有效期。投标人可登录全国公共资源交易平台（广东省·韶关市）（</w:t>
      </w:r>
      <w:r>
        <w:rPr>
          <w:rFonts w:hint="eastAsia" w:ascii="宋体" w:hAnsi="宋体" w:eastAsia="宋体" w:cs="宋体"/>
          <w:color w:val="auto"/>
          <w:spacing w:val="0"/>
          <w:sz w:val="24"/>
          <w:szCs w:val="24"/>
          <w:highlight w:val="none"/>
        </w:rPr>
        <w:fldChar w:fldCharType="begin"/>
      </w:r>
      <w:r>
        <w:rPr>
          <w:rFonts w:hint="eastAsia" w:ascii="宋体" w:hAnsi="宋体" w:eastAsia="宋体" w:cs="宋体"/>
          <w:color w:val="auto"/>
          <w:spacing w:val="0"/>
          <w:sz w:val="24"/>
          <w:szCs w:val="24"/>
          <w:highlight w:val="none"/>
        </w:rPr>
        <w:instrText xml:space="preserve"> HYPERLINK "https://ygp.gdzwfw.gov.cn/ggzy-portal/#/440200/index" </w:instrText>
      </w:r>
      <w:r>
        <w:rPr>
          <w:rFonts w:hint="eastAsia" w:ascii="宋体" w:hAnsi="宋体" w:eastAsia="宋体" w:cs="宋体"/>
          <w:color w:val="auto"/>
          <w:spacing w:val="0"/>
          <w:sz w:val="24"/>
          <w:szCs w:val="24"/>
          <w:highlight w:val="none"/>
        </w:rPr>
        <w:fldChar w:fldCharType="separate"/>
      </w:r>
      <w:r>
        <w:rPr>
          <w:rFonts w:hint="eastAsia" w:ascii="宋体" w:hAnsi="宋体" w:eastAsia="宋体" w:cs="宋体"/>
          <w:color w:val="auto"/>
          <w:spacing w:val="0"/>
          <w:sz w:val="24"/>
          <w:szCs w:val="24"/>
          <w:highlight w:val="none"/>
        </w:rPr>
        <w:t>https://ygp.gdzwfw.gov.cn/ggzy-portal/#/440200/index</w:t>
      </w:r>
      <w:r>
        <w:rPr>
          <w:rFonts w:hint="eastAsia" w:ascii="宋体" w:hAnsi="宋体" w:eastAsia="宋体" w:cs="宋体"/>
          <w:color w:val="auto"/>
          <w:spacing w:val="0"/>
          <w:sz w:val="24"/>
          <w:szCs w:val="24"/>
          <w:highlight w:val="none"/>
        </w:rPr>
        <w:fldChar w:fldCharType="end"/>
      </w:r>
      <w:r>
        <w:rPr>
          <w:rFonts w:hint="eastAsia" w:ascii="宋体" w:hAnsi="宋体" w:eastAsia="宋体" w:cs="宋体"/>
          <w:color w:val="auto"/>
          <w:spacing w:val="0"/>
          <w:sz w:val="24"/>
          <w:szCs w:val="24"/>
          <w:highlight w:val="none"/>
        </w:rPr>
        <w:t>），在【服务指南】栏目中下载《建设工程网上交易系统保险保证金缴纳操作指南》，了解网上投保具体操作流程。逾期投保的，其投标无效。</w:t>
      </w:r>
    </w:p>
    <w:p w14:paraId="1E1D4FB8">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温馨提示：1.投标人采用投标保证担保或投标保证保险的，为避免在评标过程中因有效期发生争议，建议投标人将银行保函或电子保单有效期设置为较招标文件规定的投标有效期延长不少于 20 个日历天。</w:t>
      </w:r>
    </w:p>
    <w:p w14:paraId="57AA98E3">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3.4 </w:t>
      </w:r>
      <w:r>
        <w:rPr>
          <w:rFonts w:hint="eastAsia" w:ascii="宋体" w:hAnsi="宋体" w:eastAsia="宋体" w:cs="宋体"/>
          <w:color w:val="auto"/>
          <w:spacing w:val="0"/>
          <w:sz w:val="24"/>
          <w:szCs w:val="24"/>
          <w:highlight w:val="none"/>
        </w:rPr>
        <w:t xml:space="preserve"> 若投标人因自身原因未能正确完成获取招标文件、电子投标、缴纳投标保证的，其投标无效。</w:t>
      </w:r>
    </w:p>
    <w:p w14:paraId="4DEB049B">
      <w:pPr>
        <w:keepNext w:val="0"/>
        <w:keepLines w:val="0"/>
        <w:pageBreakBefore w:val="0"/>
        <w:wordWrap w:val="0"/>
        <w:overflowPunct/>
        <w:topLinePunct w:val="0"/>
        <w:bidi w:val="0"/>
        <w:spacing w:before="79" w:line="221" w:lineRule="auto"/>
        <w:ind w:left="487"/>
        <w:outlineLvl w:val="2"/>
        <w:rPr>
          <w:rFonts w:hint="eastAsia" w:ascii="宋体" w:hAnsi="宋体" w:eastAsia="宋体" w:cs="宋体"/>
          <w:color w:val="auto"/>
          <w:spacing w:val="0"/>
          <w:sz w:val="24"/>
          <w:szCs w:val="24"/>
          <w:highlight w:val="none"/>
        </w:rPr>
      </w:pPr>
      <w:bookmarkStart w:id="22" w:name="bookmark64"/>
      <w:bookmarkEnd w:id="22"/>
      <w:bookmarkStart w:id="23" w:name="bookmark78"/>
      <w:bookmarkEnd w:id="23"/>
      <w:bookmarkStart w:id="24" w:name="_Toc15498"/>
      <w:bookmarkStart w:id="25" w:name="_Toc12428"/>
      <w:r>
        <w:rPr>
          <w:rFonts w:hint="eastAsia" w:ascii="宋体" w:hAnsi="宋体" w:eastAsia="宋体" w:cs="宋体"/>
          <w:b/>
          <w:bCs/>
          <w:color w:val="auto"/>
          <w:spacing w:val="0"/>
          <w:sz w:val="24"/>
          <w:szCs w:val="24"/>
          <w:highlight w:val="none"/>
        </w:rPr>
        <w:t>4</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pacing w:val="0"/>
          <w:sz w:val="24"/>
          <w:szCs w:val="24"/>
          <w:highlight w:val="none"/>
        </w:rPr>
        <w:t>．工期要求</w:t>
      </w:r>
      <w:bookmarkEnd w:id="24"/>
      <w:bookmarkEnd w:id="25"/>
    </w:p>
    <w:p w14:paraId="03461DC3">
      <w:pPr>
        <w:keepNext w:val="0"/>
        <w:keepLines w:val="0"/>
        <w:pageBreakBefore w:val="0"/>
        <w:wordWrap w:val="0"/>
        <w:overflowPunct/>
        <w:topLinePunct w:val="0"/>
        <w:bidi w:val="0"/>
        <w:spacing w:before="153" w:line="324" w:lineRule="auto"/>
        <w:ind w:left="30" w:right="65" w:firstLine="46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本招标项目招标工期为</w:t>
      </w:r>
      <w:r>
        <w:rPr>
          <w:rFonts w:hint="eastAsia" w:ascii="宋体" w:hAnsi="宋体" w:eastAsia="宋体" w:cs="宋体"/>
          <w:color w:val="auto"/>
          <w:spacing w:val="0"/>
          <w:sz w:val="24"/>
          <w:szCs w:val="24"/>
          <w:highlight w:val="none"/>
          <w:u w:val="single"/>
          <w:lang w:val="en-US" w:eastAsia="zh-CN"/>
        </w:rPr>
        <w:t>60个日历天</w:t>
      </w:r>
      <w:r>
        <w:rPr>
          <w:rFonts w:hint="eastAsia" w:ascii="宋体" w:hAnsi="宋体" w:eastAsia="宋体" w:cs="宋体"/>
          <w:color w:val="auto"/>
          <w:spacing w:val="0"/>
          <w:sz w:val="24"/>
          <w:szCs w:val="24"/>
          <w:highlight w:val="none"/>
        </w:rPr>
        <w:t>，中标人必须在招标工期内完成招标范围内的全部内容。</w:t>
      </w:r>
    </w:p>
    <w:p w14:paraId="474BA81B">
      <w:pPr>
        <w:keepNext w:val="0"/>
        <w:keepLines w:val="0"/>
        <w:pageBreakBefore w:val="0"/>
        <w:wordWrap w:val="0"/>
        <w:overflowPunct/>
        <w:topLinePunct w:val="0"/>
        <w:bidi w:val="0"/>
        <w:spacing w:before="78" w:line="219" w:lineRule="auto"/>
        <w:ind w:left="488"/>
        <w:outlineLvl w:val="2"/>
        <w:rPr>
          <w:rFonts w:hint="eastAsia" w:ascii="宋体" w:hAnsi="宋体" w:eastAsia="宋体" w:cs="宋体"/>
          <w:color w:val="auto"/>
          <w:spacing w:val="0"/>
          <w:sz w:val="24"/>
          <w:szCs w:val="24"/>
          <w:highlight w:val="none"/>
        </w:rPr>
      </w:pPr>
      <w:bookmarkStart w:id="26" w:name="_Toc24366"/>
      <w:bookmarkStart w:id="27" w:name="_Toc4154"/>
      <w:r>
        <w:rPr>
          <w:rFonts w:hint="eastAsia" w:ascii="宋体" w:hAnsi="宋体" w:eastAsia="宋体" w:cs="宋体"/>
          <w:b/>
          <w:bCs/>
          <w:color w:val="auto"/>
          <w:spacing w:val="0"/>
          <w:sz w:val="24"/>
          <w:szCs w:val="24"/>
          <w:highlight w:val="none"/>
        </w:rPr>
        <w:t>5</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pacing w:val="0"/>
          <w:sz w:val="24"/>
          <w:szCs w:val="24"/>
          <w:highlight w:val="none"/>
        </w:rPr>
        <w:t>．质量标准和材料、机械要求</w:t>
      </w:r>
      <w:bookmarkEnd w:id="26"/>
      <w:bookmarkEnd w:id="27"/>
    </w:p>
    <w:p w14:paraId="1002D977">
      <w:pPr>
        <w:keepNext w:val="0"/>
        <w:keepLines w:val="0"/>
        <w:pageBreakBefore w:val="0"/>
        <w:wordWrap w:val="0"/>
        <w:overflowPunct/>
        <w:topLinePunct w:val="0"/>
        <w:bidi w:val="0"/>
        <w:spacing w:before="154" w:line="279" w:lineRule="auto"/>
        <w:ind w:left="11" w:right="99" w:firstLine="47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5.1  </w:t>
      </w:r>
      <w:r>
        <w:rPr>
          <w:rFonts w:hint="eastAsia" w:ascii="宋体" w:hAnsi="宋体" w:eastAsia="宋体" w:cs="宋体"/>
          <w:color w:val="auto"/>
          <w:spacing w:val="0"/>
          <w:sz w:val="24"/>
          <w:szCs w:val="24"/>
          <w:highlight w:val="none"/>
        </w:rPr>
        <w:t>施工工艺严格按照国家和广东省的有关现行施工技术规范及标准执行，工程质量标准</w:t>
      </w:r>
      <w:r>
        <w:rPr>
          <w:rFonts w:hint="eastAsia" w:ascii="宋体" w:hAnsi="宋体" w:eastAsia="宋体" w:cs="宋体"/>
          <w:color w:val="auto"/>
          <w:spacing w:val="0"/>
          <w:sz w:val="24"/>
          <w:szCs w:val="24"/>
          <w:highlight w:val="none"/>
          <w:u w:val="single"/>
          <w:lang w:val="en-US" w:eastAsia="zh-CN"/>
        </w:rPr>
        <w:t>符合现行国家有关工程施工质量验收规范和标准的要求，达到验收合格标准</w:t>
      </w:r>
      <w:r>
        <w:rPr>
          <w:rFonts w:hint="eastAsia" w:ascii="宋体" w:hAnsi="宋体" w:eastAsia="宋体" w:cs="宋体"/>
          <w:color w:val="auto"/>
          <w:spacing w:val="0"/>
          <w:sz w:val="24"/>
          <w:szCs w:val="24"/>
          <w:highlight w:val="none"/>
        </w:rPr>
        <w:t>。</w:t>
      </w:r>
    </w:p>
    <w:p w14:paraId="1D66894B">
      <w:pPr>
        <w:keepNext w:val="0"/>
        <w:keepLines w:val="0"/>
        <w:pageBreakBefore w:val="0"/>
        <w:wordWrap w:val="0"/>
        <w:overflowPunct/>
        <w:topLinePunct w:val="0"/>
        <w:bidi w:val="0"/>
        <w:spacing w:before="154" w:line="279" w:lineRule="auto"/>
        <w:ind w:left="10" w:right="99" w:firstLine="55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5.2</w:t>
      </w:r>
      <w:r>
        <w:rPr>
          <w:rFonts w:hint="eastAsia" w:ascii="宋体" w:hAnsi="宋体" w:eastAsia="宋体" w:cs="宋体"/>
          <w:b/>
          <w:bCs/>
          <w:color w:val="auto"/>
          <w:spacing w:val="0"/>
          <w:w w:val="101"/>
          <w:sz w:val="24"/>
          <w:szCs w:val="24"/>
          <w:highlight w:val="none"/>
        </w:rPr>
        <w:t xml:space="preserve">  </w:t>
      </w:r>
      <w:r>
        <w:rPr>
          <w:rFonts w:hint="eastAsia" w:ascii="宋体" w:hAnsi="宋体" w:eastAsia="宋体" w:cs="宋体"/>
          <w:color w:val="auto"/>
          <w:spacing w:val="0"/>
          <w:sz w:val="24"/>
          <w:szCs w:val="24"/>
          <w:highlight w:val="none"/>
        </w:rPr>
        <w:t>中标人在施工中如果工程质量不符合设计要求和有关规定，招标人或监理单位要求停工和返工的必须立即执行，并承担由此产生的各种费用，工期不予顺延。</w:t>
      </w:r>
    </w:p>
    <w:p w14:paraId="63F93060">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5.3  </w:t>
      </w:r>
      <w:r>
        <w:rPr>
          <w:rFonts w:hint="eastAsia" w:ascii="宋体" w:hAnsi="宋体" w:eastAsia="宋体" w:cs="宋体"/>
          <w:color w:val="auto"/>
          <w:spacing w:val="0"/>
          <w:sz w:val="24"/>
          <w:szCs w:val="24"/>
          <w:highlight w:val="none"/>
        </w:rPr>
        <w:t>保修期限按《建设工程质量管理条例》（中华人民共和国国务院令第 279号）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14:paraId="594490DA">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5.4</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根据韶关市人民政府《关于加快推进全市绿色建筑发展工作的通知》（韶府办明电〔2013〕277 号）有关规定，结合《韶关市住建管理局关于贯彻落实&lt;广东省绿色建筑条例&gt;有关工作的通知》（韶市建字〔2021〕85 号）等有关规定，</w:t>
      </w:r>
      <w:r>
        <w:rPr>
          <w:rFonts w:hint="eastAsia" w:ascii="宋体" w:hAnsi="宋体" w:eastAsia="宋体" w:cs="宋体"/>
          <w:color w:val="auto"/>
          <w:spacing w:val="0"/>
          <w:sz w:val="24"/>
          <w:szCs w:val="24"/>
          <w:highlight w:val="none"/>
        </w:rPr>
        <w:t>本招标项目</w:t>
      </w:r>
      <w:r>
        <w:rPr>
          <w:rFonts w:hint="eastAsia" w:ascii="宋体" w:hAnsi="宋体" w:eastAsia="宋体" w:cs="宋体"/>
          <w:color w:val="auto"/>
          <w:spacing w:val="0"/>
          <w:sz w:val="24"/>
          <w:szCs w:val="24"/>
          <w:highlight w:val="none"/>
          <w:lang w:val="en-US" w:eastAsia="zh-CN"/>
        </w:rPr>
        <w:t>不</w:t>
      </w:r>
      <w:r>
        <w:rPr>
          <w:rFonts w:hint="eastAsia" w:ascii="宋体" w:hAnsi="宋体" w:eastAsia="宋体" w:cs="宋体"/>
          <w:color w:val="auto"/>
          <w:spacing w:val="0"/>
          <w:sz w:val="24"/>
          <w:szCs w:val="24"/>
          <w:highlight w:val="none"/>
        </w:rPr>
        <w:t>纳入绿色建设实施范围</w:t>
      </w:r>
      <w:r>
        <w:rPr>
          <w:rFonts w:hint="eastAsia" w:ascii="宋体" w:hAnsi="宋体" w:eastAsia="宋体" w:cs="宋体"/>
          <w:color w:val="auto"/>
          <w:spacing w:val="0"/>
          <w:sz w:val="24"/>
          <w:szCs w:val="24"/>
          <w:highlight w:val="none"/>
          <w:lang w:eastAsia="zh-CN"/>
        </w:rPr>
        <w:t>。</w:t>
      </w:r>
    </w:p>
    <w:p w14:paraId="0BEB46EA">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rPr>
        <w:t>5.5</w:t>
      </w:r>
      <w:r>
        <w:rPr>
          <w:rFonts w:hint="eastAsia" w:ascii="宋体" w:hAnsi="宋体" w:eastAsia="宋体" w:cs="宋体"/>
          <w:color w:val="auto"/>
          <w:spacing w:val="0"/>
          <w:sz w:val="24"/>
          <w:szCs w:val="24"/>
          <w:highlight w:val="none"/>
        </w:rPr>
        <w:t xml:space="preserve">  其它：</w:t>
      </w:r>
      <w:r>
        <w:rPr>
          <w:rFonts w:hint="eastAsia" w:ascii="宋体" w:hAnsi="宋体" w:eastAsia="宋体" w:cs="宋体"/>
          <w:color w:val="auto"/>
          <w:spacing w:val="0"/>
          <w:sz w:val="24"/>
          <w:szCs w:val="24"/>
          <w:highlight w:val="none"/>
          <w:lang w:eastAsia="zh-CN"/>
        </w:rPr>
        <w:t>本招标项目</w:t>
      </w:r>
      <w:r>
        <w:rPr>
          <w:rFonts w:hint="eastAsia" w:ascii="宋体" w:hAnsi="宋体" w:eastAsia="宋体" w:cs="宋体"/>
          <w:color w:val="auto"/>
          <w:spacing w:val="0"/>
          <w:sz w:val="24"/>
          <w:szCs w:val="24"/>
          <w:highlight w:val="none"/>
          <w:lang w:val="en-US" w:eastAsia="zh-CN"/>
        </w:rPr>
        <w:t>不</w:t>
      </w:r>
      <w:r>
        <w:rPr>
          <w:rFonts w:hint="eastAsia" w:ascii="宋体" w:hAnsi="宋体" w:eastAsia="宋体" w:cs="宋体"/>
          <w:color w:val="auto"/>
          <w:spacing w:val="0"/>
          <w:sz w:val="24"/>
          <w:szCs w:val="24"/>
          <w:highlight w:val="none"/>
          <w:lang w:eastAsia="zh-CN"/>
        </w:rPr>
        <w:t>纳入装配式建造建设实施范围。</w:t>
      </w:r>
    </w:p>
    <w:p w14:paraId="5EC9E7C7">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5.6</w:t>
      </w:r>
      <w:r>
        <w:rPr>
          <w:rFonts w:hint="eastAsia" w:ascii="宋体" w:hAnsi="宋体" w:eastAsia="宋体" w:cs="宋体"/>
          <w:color w:val="auto"/>
          <w:spacing w:val="0"/>
          <w:sz w:val="24"/>
          <w:szCs w:val="24"/>
          <w:highlight w:val="none"/>
        </w:rPr>
        <w:t xml:space="preserve">  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则中标人必须使用合格材料或设备。</w:t>
      </w:r>
    </w:p>
    <w:p w14:paraId="5A1434AF">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5.</w:t>
      </w:r>
      <w:r>
        <w:rPr>
          <w:rFonts w:hint="eastAsia" w:ascii="宋体" w:hAnsi="宋体" w:eastAsia="宋体" w:cs="宋体"/>
          <w:b/>
          <w:bCs/>
          <w:color w:val="auto"/>
          <w:spacing w:val="0"/>
          <w:sz w:val="24"/>
          <w:szCs w:val="24"/>
          <w:highlight w:val="none"/>
          <w:lang w:eastAsia="zh-CN"/>
        </w:rPr>
        <w:t>7</w:t>
      </w:r>
      <w:r>
        <w:rPr>
          <w:rFonts w:hint="eastAsia" w:ascii="宋体" w:hAnsi="宋体" w:eastAsia="宋体" w:cs="宋体"/>
          <w:color w:val="auto"/>
          <w:spacing w:val="0"/>
          <w:sz w:val="24"/>
          <w:szCs w:val="24"/>
          <w:highlight w:val="none"/>
        </w:rPr>
        <w:t xml:space="preserve"> 工程使用的主要材料质量要求：不低于强制标准、招标工程量清单所列的要求，主要材料必须先提供样板或相关资料给招标人和监理工程师验收，同意确定其规格、型号、颜色、等级等，并经发包人委托的第三方检测部门检测合格方可使用，所有材料必须使用合格产品。</w:t>
      </w:r>
    </w:p>
    <w:p w14:paraId="6B9F7067">
      <w:pPr>
        <w:keepNext w:val="0"/>
        <w:keepLines w:val="0"/>
        <w:pageBreakBefore w:val="0"/>
        <w:wordWrap w:val="0"/>
        <w:overflowPunct/>
        <w:topLinePunct w:val="0"/>
        <w:bidi w:val="0"/>
        <w:spacing w:before="78" w:line="220" w:lineRule="auto"/>
        <w:ind w:left="489"/>
        <w:outlineLvl w:val="2"/>
        <w:rPr>
          <w:rFonts w:hint="eastAsia" w:ascii="宋体" w:hAnsi="宋体" w:eastAsia="宋体" w:cs="宋体"/>
          <w:color w:val="auto"/>
          <w:spacing w:val="0"/>
          <w:sz w:val="24"/>
          <w:szCs w:val="24"/>
          <w:highlight w:val="none"/>
        </w:rPr>
      </w:pPr>
      <w:bookmarkStart w:id="28" w:name="_Toc7763"/>
      <w:bookmarkStart w:id="29" w:name="_Toc30402"/>
      <w:r>
        <w:rPr>
          <w:rFonts w:hint="eastAsia" w:ascii="宋体" w:hAnsi="宋体" w:eastAsia="宋体" w:cs="宋体"/>
          <w:b/>
          <w:bCs/>
          <w:color w:val="auto"/>
          <w:spacing w:val="0"/>
          <w:sz w:val="24"/>
          <w:szCs w:val="24"/>
          <w:highlight w:val="none"/>
        </w:rPr>
        <w:t>6 ．施工条件及现场踏勘</w:t>
      </w:r>
      <w:bookmarkEnd w:id="28"/>
      <w:bookmarkEnd w:id="29"/>
    </w:p>
    <w:p w14:paraId="20BA5CA5">
      <w:pPr>
        <w:keepNext w:val="0"/>
        <w:keepLines w:val="0"/>
        <w:pageBreakBefore w:val="0"/>
        <w:wordWrap w:val="0"/>
        <w:overflowPunct/>
        <w:topLinePunct w:val="0"/>
        <w:bidi w:val="0"/>
        <w:spacing w:before="155" w:line="324" w:lineRule="auto"/>
        <w:ind w:left="12" w:right="99" w:firstLine="55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6.1  </w:t>
      </w:r>
      <w:r>
        <w:rPr>
          <w:rFonts w:hint="eastAsia" w:ascii="宋体" w:hAnsi="宋体" w:eastAsia="宋体" w:cs="宋体"/>
          <w:color w:val="auto"/>
          <w:spacing w:val="0"/>
          <w:sz w:val="24"/>
          <w:szCs w:val="24"/>
          <w:highlight w:val="none"/>
        </w:rPr>
        <w:t>招标人仅在本招标项目征地红线范围内提供场地，其他一切场地费用由中标人自行负责（含临时道路</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临时道路需要招标人要求保证但不限于保留至少一条足够行人通行的临时道路</w:t>
      </w:r>
      <w:r>
        <w:rPr>
          <w:rFonts w:hint="eastAsia" w:ascii="宋体" w:hAnsi="宋体" w:eastAsia="宋体" w:cs="宋体"/>
          <w:color w:val="auto"/>
          <w:spacing w:val="0"/>
          <w:sz w:val="24"/>
          <w:szCs w:val="24"/>
          <w:highlight w:val="none"/>
        </w:rPr>
        <w:t>）。</w:t>
      </w:r>
    </w:p>
    <w:p w14:paraId="5103988C">
      <w:pPr>
        <w:keepNext w:val="0"/>
        <w:keepLines w:val="0"/>
        <w:pageBreakBefore w:val="0"/>
        <w:wordWrap w:val="0"/>
        <w:overflowPunct/>
        <w:topLinePunct w:val="0"/>
        <w:bidi w:val="0"/>
        <w:spacing w:before="155" w:line="324" w:lineRule="auto"/>
        <w:ind w:left="12" w:right="99" w:firstLine="556"/>
        <w:rPr>
          <w:rFonts w:hint="eastAsia" w:ascii="宋体" w:hAnsi="宋体" w:eastAsia="宋体" w:cs="宋体"/>
          <w:color w:val="auto"/>
          <w:spacing w:val="0"/>
          <w:sz w:val="24"/>
          <w:szCs w:val="24"/>
          <w:highlight w:val="none"/>
        </w:rPr>
      </w:pPr>
      <w:bookmarkStart w:id="30" w:name="bookmark118"/>
      <w:bookmarkEnd w:id="30"/>
      <w:r>
        <w:rPr>
          <w:rFonts w:hint="eastAsia" w:ascii="宋体" w:hAnsi="宋体" w:eastAsia="宋体" w:cs="宋体"/>
          <w:b/>
          <w:bCs/>
          <w:color w:val="auto"/>
          <w:spacing w:val="0"/>
          <w:sz w:val="24"/>
          <w:szCs w:val="24"/>
          <w:highlight w:val="none"/>
        </w:rPr>
        <w:t>6.2</w:t>
      </w:r>
      <w:r>
        <w:rPr>
          <w:rFonts w:hint="eastAsia" w:ascii="宋体" w:hAnsi="宋体" w:eastAsia="宋体" w:cs="宋体"/>
          <w:color w:val="auto"/>
          <w:spacing w:val="0"/>
          <w:sz w:val="24"/>
          <w:szCs w:val="24"/>
          <w:highlight w:val="none"/>
        </w:rPr>
        <w:t xml:space="preserve">  施工用水：</w:t>
      </w:r>
      <w:r>
        <w:rPr>
          <w:rFonts w:hint="eastAsia" w:ascii="宋体" w:hAnsi="宋体" w:eastAsia="宋体" w:cs="宋体"/>
          <w:color w:val="auto"/>
          <w:spacing w:val="0"/>
          <w:sz w:val="24"/>
          <w:szCs w:val="24"/>
          <w:highlight w:val="none"/>
          <w:u w:val="single"/>
        </w:rPr>
        <w:t xml:space="preserve"> 由中标人自行解决，费用考虑在投标报价中</w:t>
      </w:r>
      <w:r>
        <w:rPr>
          <w:rFonts w:hint="eastAsia" w:ascii="宋体" w:hAnsi="宋体" w:eastAsia="宋体" w:cs="宋体"/>
          <w:color w:val="auto"/>
          <w:spacing w:val="0"/>
          <w:sz w:val="24"/>
          <w:szCs w:val="24"/>
          <w:highlight w:val="none"/>
        </w:rPr>
        <w:t>。</w:t>
      </w:r>
    </w:p>
    <w:p w14:paraId="733D2F92">
      <w:pPr>
        <w:keepNext w:val="0"/>
        <w:keepLines w:val="0"/>
        <w:pageBreakBefore w:val="0"/>
        <w:wordWrap w:val="0"/>
        <w:overflowPunct/>
        <w:topLinePunct w:val="0"/>
        <w:bidi w:val="0"/>
        <w:spacing w:before="155" w:line="324" w:lineRule="auto"/>
        <w:ind w:left="12" w:right="99" w:firstLine="55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6.3</w:t>
      </w:r>
      <w:r>
        <w:rPr>
          <w:rFonts w:hint="eastAsia" w:ascii="宋体" w:hAnsi="宋体" w:eastAsia="宋体" w:cs="宋体"/>
          <w:color w:val="auto"/>
          <w:spacing w:val="0"/>
          <w:sz w:val="24"/>
          <w:szCs w:val="24"/>
          <w:highlight w:val="none"/>
        </w:rPr>
        <w:t xml:space="preserve">  施工用电：</w:t>
      </w:r>
      <w:r>
        <w:rPr>
          <w:rFonts w:hint="eastAsia" w:ascii="宋体" w:hAnsi="宋体" w:eastAsia="宋体" w:cs="宋体"/>
          <w:color w:val="auto"/>
          <w:spacing w:val="0"/>
          <w:sz w:val="24"/>
          <w:szCs w:val="24"/>
          <w:highlight w:val="none"/>
          <w:u w:val="single"/>
        </w:rPr>
        <w:t xml:space="preserve"> 由中标人自行解决，费用考虑在投标报价中</w:t>
      </w:r>
      <w:r>
        <w:rPr>
          <w:rFonts w:hint="eastAsia" w:ascii="宋体" w:hAnsi="宋体" w:eastAsia="宋体" w:cs="宋体"/>
          <w:color w:val="auto"/>
          <w:spacing w:val="0"/>
          <w:sz w:val="24"/>
          <w:szCs w:val="24"/>
          <w:highlight w:val="none"/>
        </w:rPr>
        <w:t>。</w:t>
      </w:r>
    </w:p>
    <w:p w14:paraId="44DCDA93">
      <w:pPr>
        <w:keepNext w:val="0"/>
        <w:keepLines w:val="0"/>
        <w:pageBreakBefore w:val="0"/>
        <w:wordWrap w:val="0"/>
        <w:overflowPunct/>
        <w:topLinePunct w:val="0"/>
        <w:bidi w:val="0"/>
        <w:spacing w:before="155" w:line="324" w:lineRule="auto"/>
        <w:ind w:left="12" w:right="99" w:firstLine="55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6.4</w:t>
      </w:r>
      <w:r>
        <w:rPr>
          <w:rFonts w:hint="eastAsia" w:ascii="宋体" w:hAnsi="宋体" w:eastAsia="宋体" w:cs="宋体"/>
          <w:color w:val="auto"/>
          <w:spacing w:val="0"/>
          <w:sz w:val="24"/>
          <w:szCs w:val="24"/>
          <w:highlight w:val="none"/>
        </w:rPr>
        <w:t xml:space="preserve">  施工用水、用电各提供一驳接点到现场边缘。要求中标人单独安装水表、电表，其水、电费按项目所在地</w:t>
      </w:r>
      <w:r>
        <w:rPr>
          <w:rFonts w:hint="eastAsia" w:ascii="宋体" w:hAnsi="宋体" w:eastAsia="宋体" w:cs="宋体"/>
          <w:color w:val="auto"/>
          <w:spacing w:val="0"/>
          <w:sz w:val="24"/>
          <w:szCs w:val="24"/>
          <w:highlight w:val="none"/>
          <w:u w:val="single"/>
          <w:lang w:val="en-US" w:eastAsia="zh-CN"/>
        </w:rPr>
        <w:t>韶关市</w:t>
      </w:r>
      <w:r>
        <w:rPr>
          <w:rFonts w:hint="eastAsia" w:ascii="宋体" w:hAnsi="宋体" w:eastAsia="宋体" w:cs="宋体"/>
          <w:color w:val="auto"/>
          <w:spacing w:val="0"/>
          <w:sz w:val="24"/>
          <w:szCs w:val="24"/>
          <w:highlight w:val="none"/>
        </w:rPr>
        <w:t>基建工程水、电计费标准计算并由中标人缴纳。</w:t>
      </w:r>
    </w:p>
    <w:p w14:paraId="52ABD7ED">
      <w:pPr>
        <w:keepNext w:val="0"/>
        <w:keepLines w:val="0"/>
        <w:pageBreakBefore w:val="0"/>
        <w:wordWrap w:val="0"/>
        <w:overflowPunct/>
        <w:topLinePunct w:val="0"/>
        <w:bidi w:val="0"/>
        <w:spacing w:before="154" w:line="299" w:lineRule="auto"/>
        <w:ind w:left="9" w:right="16" w:firstLine="55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6.5  </w:t>
      </w:r>
      <w:r>
        <w:rPr>
          <w:rFonts w:hint="eastAsia" w:ascii="宋体" w:hAnsi="宋体" w:eastAsia="宋体" w:cs="宋体"/>
          <w:color w:val="auto"/>
          <w:spacing w:val="0"/>
          <w:sz w:val="24"/>
          <w:szCs w:val="24"/>
          <w:highlight w:val="none"/>
        </w:rPr>
        <w:t>招标人不组织现场踏勘，但会在招标文件及有关设计文件中明确告知招标项目的具体位置和周边环境，并在现场设置足以识别的标识或提供足以表明招标项目具体位置的文字或图片。投标人需要了解现场情况的</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可自行进行现场踏勘。</w:t>
      </w:r>
    </w:p>
    <w:p w14:paraId="635FDD63">
      <w:pPr>
        <w:keepNext w:val="0"/>
        <w:keepLines w:val="0"/>
        <w:pageBreakBefore w:val="0"/>
        <w:wordWrap w:val="0"/>
        <w:overflowPunct/>
        <w:topLinePunct w:val="0"/>
        <w:bidi w:val="0"/>
        <w:spacing w:before="153" w:line="280" w:lineRule="auto"/>
        <w:ind w:left="9" w:right="16" w:firstLine="55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6.6  </w:t>
      </w:r>
      <w:r>
        <w:rPr>
          <w:rFonts w:hint="eastAsia" w:ascii="宋体" w:hAnsi="宋体" w:eastAsia="宋体" w:cs="宋体"/>
          <w:color w:val="auto"/>
          <w:spacing w:val="0"/>
          <w:sz w:val="24"/>
          <w:szCs w:val="24"/>
          <w:highlight w:val="none"/>
        </w:rPr>
        <w:t>在现场踏勘过程中，投标人应确保自身安全，投标人如果发生人身伤亡、财物或其他损失，法律法规有规定的按有关规定处理，没有规定的由投标人自行负责。</w:t>
      </w:r>
    </w:p>
    <w:p w14:paraId="6D263223">
      <w:pPr>
        <w:keepNext w:val="0"/>
        <w:keepLines w:val="0"/>
        <w:pageBreakBefore w:val="0"/>
        <w:wordWrap w:val="0"/>
        <w:overflowPunct/>
        <w:topLinePunct w:val="0"/>
        <w:bidi w:val="0"/>
        <w:spacing w:before="153" w:line="220" w:lineRule="auto"/>
        <w:ind w:left="568"/>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6.7  </w:t>
      </w:r>
      <w:r>
        <w:rPr>
          <w:rFonts w:hint="eastAsia" w:ascii="宋体" w:hAnsi="宋体" w:eastAsia="宋体" w:cs="宋体"/>
          <w:color w:val="auto"/>
          <w:spacing w:val="0"/>
          <w:sz w:val="24"/>
          <w:szCs w:val="24"/>
          <w:highlight w:val="none"/>
        </w:rPr>
        <w:t>现场踏勘期间的交通、食宿由投标人自行安排，费用自理。</w:t>
      </w:r>
    </w:p>
    <w:p w14:paraId="1C338073">
      <w:pPr>
        <w:keepNext w:val="0"/>
        <w:keepLines w:val="0"/>
        <w:pageBreakBefore w:val="0"/>
        <w:wordWrap w:val="0"/>
        <w:overflowPunct/>
        <w:topLinePunct w:val="0"/>
        <w:bidi w:val="0"/>
        <w:spacing w:before="78" w:line="220" w:lineRule="auto"/>
        <w:ind w:left="488"/>
        <w:outlineLvl w:val="2"/>
        <w:rPr>
          <w:rFonts w:hint="eastAsia" w:ascii="宋体" w:hAnsi="宋体" w:eastAsia="宋体" w:cs="宋体"/>
          <w:color w:val="auto"/>
          <w:spacing w:val="0"/>
          <w:sz w:val="24"/>
          <w:szCs w:val="24"/>
          <w:highlight w:val="none"/>
        </w:rPr>
      </w:pPr>
      <w:bookmarkStart w:id="31" w:name="bookmark81"/>
      <w:bookmarkEnd w:id="31"/>
      <w:bookmarkStart w:id="32" w:name="bookmark69"/>
      <w:bookmarkEnd w:id="32"/>
      <w:bookmarkStart w:id="33" w:name="bookmark67"/>
      <w:bookmarkEnd w:id="33"/>
      <w:bookmarkStart w:id="34" w:name="_Toc15543"/>
      <w:bookmarkStart w:id="35" w:name="_Toc4298"/>
      <w:r>
        <w:rPr>
          <w:rFonts w:hint="eastAsia" w:ascii="宋体" w:hAnsi="宋体" w:eastAsia="宋体" w:cs="宋体"/>
          <w:b/>
          <w:bCs/>
          <w:color w:val="auto"/>
          <w:spacing w:val="0"/>
          <w:sz w:val="24"/>
          <w:szCs w:val="24"/>
          <w:highlight w:val="none"/>
        </w:rPr>
        <w:t>7 ．招标文件的提问和答疑</w:t>
      </w:r>
      <w:bookmarkEnd w:id="34"/>
      <w:bookmarkEnd w:id="35"/>
    </w:p>
    <w:p w14:paraId="6AF83406">
      <w:pPr>
        <w:keepNext w:val="0"/>
        <w:keepLines w:val="0"/>
        <w:pageBreakBefore w:val="0"/>
        <w:wordWrap w:val="0"/>
        <w:overflowPunct/>
        <w:topLinePunct w:val="0"/>
        <w:bidi w:val="0"/>
        <w:spacing w:before="153" w:line="299" w:lineRule="auto"/>
        <w:ind w:left="9" w:right="16" w:firstLine="47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7.1  </w:t>
      </w:r>
      <w:r>
        <w:rPr>
          <w:rFonts w:hint="eastAsia" w:ascii="宋体" w:hAnsi="宋体" w:eastAsia="宋体" w:cs="宋体"/>
          <w:color w:val="auto"/>
          <w:spacing w:val="0"/>
          <w:sz w:val="24"/>
          <w:szCs w:val="24"/>
          <w:highlight w:val="none"/>
        </w:rPr>
        <w:t>投标人若对招标文件（含施工图、招标工程量清单）有疑问，应在提问截止时间（见本章第二节“重要事项时间地点一览表 ”）前使用建设工程交易系统提出问题。未在指定时间前、未采用指定方式提出的，招标人不予受理。</w:t>
      </w:r>
    </w:p>
    <w:p w14:paraId="6DA114B8">
      <w:pPr>
        <w:keepNext w:val="0"/>
        <w:keepLines w:val="0"/>
        <w:pageBreakBefore w:val="0"/>
        <w:wordWrap w:val="0"/>
        <w:overflowPunct/>
        <w:topLinePunct w:val="0"/>
        <w:bidi w:val="0"/>
        <w:spacing w:before="154" w:line="309" w:lineRule="auto"/>
        <w:ind w:left="9" w:right="16" w:firstLine="55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7.2  </w:t>
      </w:r>
      <w:r>
        <w:rPr>
          <w:rFonts w:hint="eastAsia" w:ascii="宋体" w:hAnsi="宋体" w:eastAsia="宋体" w:cs="宋体"/>
          <w:color w:val="auto"/>
          <w:spacing w:val="0"/>
          <w:sz w:val="24"/>
          <w:szCs w:val="24"/>
          <w:highlight w:val="none"/>
        </w:rPr>
        <w:t>招标人在提问截止时间（见本章第二节“重要事项时间地点一览表 ”）后 3 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38B4B7A2">
      <w:pPr>
        <w:keepNext w:val="0"/>
        <w:keepLines w:val="0"/>
        <w:pageBreakBefore w:val="0"/>
        <w:wordWrap w:val="0"/>
        <w:overflowPunct/>
        <w:topLinePunct w:val="0"/>
        <w:bidi w:val="0"/>
        <w:spacing w:before="152" w:line="219" w:lineRule="auto"/>
        <w:ind w:firstLine="482" w:firstLineChars="200"/>
        <w:jc w:val="both"/>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7.3  </w:t>
      </w:r>
      <w:r>
        <w:rPr>
          <w:rFonts w:hint="eastAsia" w:ascii="宋体" w:hAnsi="宋体" w:eastAsia="宋体" w:cs="宋体"/>
          <w:color w:val="auto"/>
          <w:spacing w:val="0"/>
          <w:sz w:val="24"/>
          <w:szCs w:val="24"/>
          <w:highlight w:val="none"/>
        </w:rPr>
        <w:t>招标人对招标文件所作的答疑（或修改）公告，构成招标文件的组成部分。</w:t>
      </w:r>
    </w:p>
    <w:p w14:paraId="7D0F7DC9">
      <w:pPr>
        <w:keepNext w:val="0"/>
        <w:keepLines w:val="0"/>
        <w:pageBreakBefore w:val="0"/>
        <w:wordWrap w:val="0"/>
        <w:overflowPunct/>
        <w:topLinePunct w:val="0"/>
        <w:bidi w:val="0"/>
        <w:spacing w:before="79" w:line="219" w:lineRule="auto"/>
        <w:ind w:left="488"/>
        <w:outlineLvl w:val="2"/>
        <w:rPr>
          <w:rFonts w:hint="eastAsia" w:ascii="宋体" w:hAnsi="宋体" w:eastAsia="宋体" w:cs="宋体"/>
          <w:color w:val="auto"/>
          <w:spacing w:val="0"/>
          <w:sz w:val="24"/>
          <w:szCs w:val="24"/>
          <w:highlight w:val="none"/>
        </w:rPr>
      </w:pPr>
      <w:bookmarkStart w:id="36" w:name="_Toc6897"/>
      <w:bookmarkStart w:id="37" w:name="_Toc32468"/>
      <w:r>
        <w:rPr>
          <w:rFonts w:hint="eastAsia" w:ascii="宋体" w:hAnsi="宋体" w:eastAsia="宋体" w:cs="宋体"/>
          <w:b/>
          <w:bCs/>
          <w:color w:val="auto"/>
          <w:spacing w:val="0"/>
          <w:sz w:val="24"/>
          <w:szCs w:val="24"/>
          <w:highlight w:val="none"/>
        </w:rPr>
        <w:t>8 ．</w:t>
      </w:r>
      <w:bookmarkEnd w:id="36"/>
      <w:r>
        <w:rPr>
          <w:rFonts w:hint="eastAsia" w:ascii="宋体" w:hAnsi="宋体" w:eastAsia="宋体" w:cs="宋体"/>
          <w:b/>
          <w:bCs/>
          <w:color w:val="auto"/>
          <w:spacing w:val="0"/>
          <w:sz w:val="24"/>
          <w:szCs w:val="24"/>
          <w:highlight w:val="none"/>
          <w:lang w:val="en-US" w:eastAsia="zh-CN"/>
        </w:rPr>
        <w:t>最高投标限价</w:t>
      </w:r>
      <w:bookmarkEnd w:id="37"/>
    </w:p>
    <w:p w14:paraId="3576ADAD">
      <w:pPr>
        <w:keepNext w:val="0"/>
        <w:keepLines w:val="0"/>
        <w:pageBreakBefore w:val="0"/>
        <w:wordWrap w:val="0"/>
        <w:overflowPunct/>
        <w:topLinePunct w:val="0"/>
        <w:bidi w:val="0"/>
        <w:spacing w:before="155" w:line="219" w:lineRule="auto"/>
        <w:ind w:left="48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8.1  </w:t>
      </w:r>
      <w:r>
        <w:rPr>
          <w:rFonts w:hint="eastAsia" w:ascii="宋体" w:hAnsi="宋体" w:eastAsia="宋体" w:cs="宋体"/>
          <w:color w:val="auto"/>
          <w:spacing w:val="0"/>
          <w:sz w:val="24"/>
          <w:szCs w:val="24"/>
          <w:highlight w:val="none"/>
        </w:rPr>
        <w:t>本招标项目按照以下依据编制</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w:t>
      </w:r>
    </w:p>
    <w:p w14:paraId="65116B5F">
      <w:pPr>
        <w:keepNext w:val="0"/>
        <w:keepLines w:val="0"/>
        <w:pageBreakBefore w:val="0"/>
        <w:wordWrap w:val="0"/>
        <w:overflowPunct/>
        <w:topLinePunct w:val="0"/>
        <w:bidi w:val="0"/>
        <w:spacing w:before="157"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w:t>
      </w:r>
    </w:p>
    <w:p w14:paraId="5E6079EC">
      <w:pPr>
        <w:keepNext w:val="0"/>
        <w:keepLines w:val="0"/>
        <w:pageBreakBefore w:val="0"/>
        <w:wordWrap w:val="0"/>
        <w:overflowPunct/>
        <w:topLinePunct w:val="0"/>
        <w:bidi w:val="0"/>
        <w:spacing w:before="153" w:line="309" w:lineRule="auto"/>
        <w:ind w:left="9" w:right="16"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54FF3A8F">
      <w:pPr>
        <w:keepNext w:val="0"/>
        <w:keepLines w:val="0"/>
        <w:pageBreakBefore w:val="0"/>
        <w:wordWrap w:val="0"/>
        <w:overflowPunct/>
        <w:topLinePunct w:val="0"/>
        <w:bidi w:val="0"/>
        <w:spacing w:before="154" w:line="221"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（3）施工图及相关资料；</w:t>
      </w:r>
    </w:p>
    <w:p w14:paraId="3458AB67">
      <w:pPr>
        <w:keepNext w:val="0"/>
        <w:keepLines w:val="0"/>
        <w:pageBreakBefore w:val="0"/>
        <w:wordWrap w:val="0"/>
        <w:overflowPunct/>
        <w:topLinePunct w:val="0"/>
        <w:bidi w:val="0"/>
        <w:spacing w:before="78" w:line="220" w:lineRule="auto"/>
        <w:ind w:left="502"/>
        <w:rPr>
          <w:rFonts w:hint="eastAsia" w:ascii="宋体" w:hAnsi="宋体" w:eastAsia="宋体" w:cs="宋体"/>
          <w:color w:val="auto"/>
          <w:spacing w:val="0"/>
          <w:sz w:val="24"/>
          <w:szCs w:val="24"/>
          <w:highlight w:val="none"/>
        </w:rPr>
      </w:pPr>
      <w:bookmarkStart w:id="38" w:name="bookmark119"/>
      <w:bookmarkEnd w:id="38"/>
      <w:r>
        <w:rPr>
          <w:rFonts w:hint="eastAsia" w:ascii="宋体" w:hAnsi="宋体" w:eastAsia="宋体" w:cs="宋体"/>
          <w:color w:val="auto"/>
          <w:spacing w:val="0"/>
          <w:sz w:val="24"/>
          <w:szCs w:val="24"/>
          <w:highlight w:val="none"/>
        </w:rPr>
        <w:t>（4）招标文件及招标工程量清单；</w:t>
      </w:r>
    </w:p>
    <w:p w14:paraId="3CD70E63">
      <w:pPr>
        <w:keepNext w:val="0"/>
        <w:keepLines w:val="0"/>
        <w:pageBreakBefore w:val="0"/>
        <w:wordWrap w:val="0"/>
        <w:overflowPunct/>
        <w:topLinePunct w:val="0"/>
        <w:bidi w:val="0"/>
        <w:spacing w:before="155" w:line="220" w:lineRule="auto"/>
        <w:ind w:left="50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（5）施工现场情况、工程特点及常规施工方案；</w:t>
      </w:r>
    </w:p>
    <w:p w14:paraId="64AAE475">
      <w:pPr>
        <w:keepNext w:val="0"/>
        <w:keepLines w:val="0"/>
        <w:pageBreakBefore w:val="0"/>
        <w:wordWrap w:val="0"/>
        <w:overflowPunct/>
        <w:topLinePunct w:val="0"/>
        <w:bidi w:val="0"/>
        <w:spacing w:before="153" w:line="278" w:lineRule="auto"/>
        <w:ind w:left="12" w:right="136"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（6）项目所在地工程造价管理机构发布的工程造价信息，工程造价信息缺项的，参照市场价格；</w:t>
      </w:r>
    </w:p>
    <w:p w14:paraId="7D623C2E">
      <w:pPr>
        <w:keepNext w:val="0"/>
        <w:keepLines w:val="0"/>
        <w:pageBreakBefore w:val="0"/>
        <w:wordWrap w:val="0"/>
        <w:overflowPunct/>
        <w:topLinePunct w:val="0"/>
        <w:bidi w:val="0"/>
        <w:spacing w:before="157" w:line="360" w:lineRule="auto"/>
        <w:ind w:left="50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（7）与建设项目相关的标准、规范、技术资料。</w:t>
      </w:r>
    </w:p>
    <w:p w14:paraId="7C477462">
      <w:pPr>
        <w:keepNext w:val="0"/>
        <w:keepLines w:val="0"/>
        <w:pageBreakBefore w:val="0"/>
        <w:wordWrap w:val="0"/>
        <w:overflowPunct/>
        <w:topLinePunct w:val="0"/>
        <w:bidi w:val="0"/>
        <w:spacing w:before="79" w:line="360" w:lineRule="auto"/>
        <w:ind w:left="11" w:firstLine="479"/>
        <w:jc w:val="both"/>
        <w:rPr>
          <w:rFonts w:hint="eastAsia" w:asciiTheme="minorEastAsia" w:hAnsiTheme="minorEastAsia" w:eastAsiaTheme="minorEastAsia" w:cstheme="minorEastAsia"/>
          <w:snapToGrid w:val="0"/>
          <w:color w:val="auto"/>
          <w:spacing w:val="0"/>
          <w:kern w:val="0"/>
          <w:sz w:val="24"/>
          <w:szCs w:val="24"/>
          <w:highlight w:val="none"/>
          <w:lang w:eastAsia="zh-CN"/>
        </w:rPr>
      </w:pPr>
      <w:r>
        <w:rPr>
          <w:rFonts w:hint="eastAsia" w:ascii="宋体" w:hAnsi="宋体" w:eastAsia="宋体" w:cs="宋体"/>
          <w:b/>
          <w:bCs/>
          <w:color w:val="auto"/>
          <w:spacing w:val="0"/>
          <w:sz w:val="24"/>
          <w:szCs w:val="24"/>
          <w:highlight w:val="none"/>
        </w:rPr>
        <w:t>8.2</w:t>
      </w:r>
      <w:r>
        <w:rPr>
          <w:rFonts w:hint="eastAsia" w:ascii="宋体" w:hAnsi="宋体" w:eastAsia="宋体" w:cs="宋体"/>
          <w:color w:val="auto"/>
          <w:spacing w:val="0"/>
          <w:sz w:val="24"/>
          <w:szCs w:val="24"/>
          <w:highlight w:val="none"/>
        </w:rPr>
        <w:t xml:space="preserve"> </w:t>
      </w:r>
      <w:r>
        <w:rPr>
          <w:rFonts w:hint="eastAsia" w:asciiTheme="minorEastAsia" w:hAnsiTheme="minorEastAsia" w:eastAsiaTheme="minorEastAsia" w:cstheme="minorEastAsia"/>
          <w:snapToGrid w:val="0"/>
          <w:color w:val="auto"/>
          <w:spacing w:val="0"/>
          <w:kern w:val="0"/>
          <w:sz w:val="24"/>
          <w:szCs w:val="24"/>
          <w:highlight w:val="none"/>
          <w:lang w:eastAsia="zh-CN"/>
        </w:rPr>
        <w:t>本招标项目的</w:t>
      </w:r>
      <w:r>
        <w:rPr>
          <w:rFonts w:hint="eastAsia" w:asciiTheme="minorEastAsia" w:hAnsiTheme="minorEastAsia" w:eastAsiaTheme="minorEastAsia" w:cstheme="minorEastAsia"/>
          <w:snapToGrid w:val="0"/>
          <w:color w:val="auto"/>
          <w:spacing w:val="0"/>
          <w:kern w:val="0"/>
          <w:sz w:val="24"/>
          <w:szCs w:val="24"/>
          <w:highlight w:val="none"/>
          <w:lang w:val="en-US" w:eastAsia="zh-CN"/>
        </w:rPr>
        <w:t>最高投标限价</w:t>
      </w:r>
      <w:r>
        <w:rPr>
          <w:rFonts w:hint="eastAsia" w:asciiTheme="minorEastAsia" w:hAnsiTheme="minorEastAsia" w:eastAsiaTheme="minorEastAsia" w:cstheme="minorEastAsia"/>
          <w:snapToGrid w:val="0"/>
          <w:color w:val="auto"/>
          <w:spacing w:val="0"/>
          <w:kern w:val="0"/>
          <w:sz w:val="24"/>
          <w:szCs w:val="24"/>
          <w:highlight w:val="none"/>
          <w:lang w:eastAsia="zh-CN"/>
        </w:rPr>
        <w:t>、工程量清单、</w:t>
      </w:r>
      <w:r>
        <w:rPr>
          <w:rFonts w:hint="eastAsia" w:asciiTheme="minorEastAsia" w:hAnsiTheme="minorEastAsia" w:eastAsiaTheme="minorEastAsia" w:cstheme="minorEastAsia"/>
          <w:snapToGrid w:val="0"/>
          <w:color w:val="auto"/>
          <w:spacing w:val="0"/>
          <w:kern w:val="0"/>
          <w:sz w:val="24"/>
          <w:szCs w:val="24"/>
          <w:highlight w:val="none"/>
          <w:lang w:val="en-US" w:eastAsia="zh-CN"/>
        </w:rPr>
        <w:t>施工图纸</w:t>
      </w:r>
      <w:r>
        <w:rPr>
          <w:rFonts w:hint="eastAsia" w:asciiTheme="minorEastAsia" w:hAnsiTheme="minorEastAsia" w:eastAsiaTheme="minorEastAsia" w:cstheme="minorEastAsia"/>
          <w:snapToGrid w:val="0"/>
          <w:color w:val="auto"/>
          <w:spacing w:val="0"/>
          <w:kern w:val="0"/>
          <w:sz w:val="24"/>
          <w:szCs w:val="24"/>
          <w:highlight w:val="none"/>
          <w:lang w:eastAsia="zh-CN"/>
        </w:rPr>
        <w:t>在投标截止时间15天前以补充公告的形式在广东省招标投标监管网（http://zbtb.gd.gov.cn）、全国公共资源交易平台（广东省·韶关市）（https://ygp.gdzwfw.gov.cn/ggzy-portal/#/440200/index）网站公布。</w:t>
      </w:r>
    </w:p>
    <w:p w14:paraId="26868648">
      <w:pPr>
        <w:keepNext w:val="0"/>
        <w:keepLines w:val="0"/>
        <w:pageBreakBefore w:val="0"/>
        <w:wordWrap w:val="0"/>
        <w:overflowPunct/>
        <w:topLinePunct w:val="0"/>
        <w:bidi w:val="0"/>
        <w:spacing w:before="79" w:line="333" w:lineRule="auto"/>
        <w:ind w:left="11" w:firstLine="479"/>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8.</w:t>
      </w:r>
      <w:r>
        <w:rPr>
          <w:rFonts w:hint="eastAsia" w:ascii="宋体" w:hAnsi="宋体" w:eastAsia="宋体" w:cs="宋体"/>
          <w:b/>
          <w:bCs/>
          <w:color w:val="auto"/>
          <w:spacing w:val="0"/>
          <w:sz w:val="24"/>
          <w:szCs w:val="24"/>
          <w:highlight w:val="none"/>
          <w:lang w:eastAsia="zh-CN"/>
        </w:rPr>
        <w:t>3</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暂估价指招标工程量清单中提供的用于支付必然发生但暂时不能确定价格的材料、工程设备的单价以及专业工程的金额；暂列金额指招标工程量清单中暂定并包括在合同价款中的一笔款项，用于工程合同签订时尚未确定或者不可预见的所需材料、工程设备、服务的采购，施工中可能发生的工程变更、合同约定调整因素出现时的合同价款调整以及发生的索赔、现场签证确认等的费用。</w:t>
      </w:r>
    </w:p>
    <w:p w14:paraId="45538B38">
      <w:pPr>
        <w:keepNext w:val="0"/>
        <w:keepLines w:val="0"/>
        <w:pageBreakBefore w:val="0"/>
        <w:wordWrap w:val="0"/>
        <w:overflowPunct/>
        <w:topLinePunct w:val="0"/>
        <w:bidi w:val="0"/>
        <w:spacing w:before="79" w:line="333" w:lineRule="auto"/>
        <w:ind w:left="11" w:firstLine="479"/>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8.</w:t>
      </w:r>
      <w:r>
        <w:rPr>
          <w:rFonts w:hint="eastAsia" w:ascii="宋体" w:hAnsi="宋体" w:eastAsia="宋体" w:cs="宋体"/>
          <w:b/>
          <w:bCs/>
          <w:color w:val="auto"/>
          <w:spacing w:val="0"/>
          <w:sz w:val="24"/>
          <w:szCs w:val="24"/>
          <w:highlight w:val="none"/>
          <w:lang w:eastAsia="zh-CN"/>
        </w:rPr>
        <w:t>4</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本招标项目以暂估价形式列入招标工程量清单中的材料、工程设备、专业工程（以下统称“暂估价项目”）包括：（详见招标工程量清单）具体以财政评审中心出具的《工程招标控制价审查意见》及《招标工程量清单》为准，在投标截止时间 15 天前以补充通知的形式在全国公共资源交易平台（广东省•韶关市）（https://ygp. gdzwfw.gov.cn/ggzy-portal/#/440200/index）公布。以上为招标人在工程量清单中 提供的用于支付必然发生但暂时不能确定价格的材料、工程设备的单价以及专业工程的金额。投标人必须按招标工程量清单中列出的单价、金额统一报价，其结算原则按 本招标文件相关条款执行。</w:t>
      </w:r>
    </w:p>
    <w:p w14:paraId="2E669A27">
      <w:pPr>
        <w:keepNext w:val="0"/>
        <w:keepLines w:val="0"/>
        <w:pageBreakBefore w:val="0"/>
        <w:wordWrap w:val="0"/>
        <w:overflowPunct/>
        <w:topLinePunct w:val="0"/>
        <w:bidi w:val="0"/>
        <w:spacing w:before="154" w:line="280" w:lineRule="auto"/>
        <w:ind w:left="12" w:right="200" w:firstLine="47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8.</w:t>
      </w:r>
      <w:r>
        <w:rPr>
          <w:rFonts w:hint="eastAsia" w:ascii="宋体" w:hAnsi="宋体" w:eastAsia="宋体" w:cs="宋体"/>
          <w:b/>
          <w:bCs/>
          <w:color w:val="auto"/>
          <w:spacing w:val="0"/>
          <w:sz w:val="24"/>
          <w:szCs w:val="24"/>
          <w:highlight w:val="none"/>
          <w:lang w:eastAsia="zh-CN"/>
        </w:rPr>
        <w:t>5</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当暂估价项目的内容、标准、要求在项目实施过程中得以深化、明确、固定后，按以下原则发包：</w:t>
      </w:r>
    </w:p>
    <w:p w14:paraId="07F7FE9F">
      <w:pPr>
        <w:keepNext w:val="0"/>
        <w:keepLines w:val="0"/>
        <w:pageBreakBefore w:val="0"/>
        <w:wordWrap w:val="0"/>
        <w:overflowPunct/>
        <w:topLinePunct w:val="0"/>
        <w:bidi w:val="0"/>
        <w:spacing w:before="153" w:line="219" w:lineRule="auto"/>
        <w:ind w:left="-3" w:leftChars="0"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（1）暂估价项目按工程、货物（指材料或工程设备，下同）的类别分类汇总的金额，达到必须招标规模标准的，由</w:t>
      </w:r>
      <w:r>
        <w:rPr>
          <w:rFonts w:hint="eastAsia" w:ascii="宋体" w:hAnsi="宋体" w:eastAsia="宋体" w:cs="宋体"/>
          <w:b/>
          <w:bCs/>
          <w:color w:val="auto"/>
          <w:spacing w:val="0"/>
          <w:sz w:val="24"/>
          <w:szCs w:val="24"/>
          <w:highlight w:val="none"/>
          <w:u w:val="single"/>
        </w:rPr>
        <w:t xml:space="preserve"> </w:t>
      </w:r>
      <w:r>
        <w:rPr>
          <w:rFonts w:hint="eastAsia" w:ascii="宋体" w:hAnsi="宋体" w:eastAsia="宋体" w:cs="宋体"/>
          <w:bCs/>
          <w:color w:val="auto"/>
          <w:spacing w:val="0"/>
          <w:sz w:val="24"/>
          <w:szCs w:val="24"/>
          <w:highlight w:val="none"/>
          <w:u w:val="single"/>
        </w:rPr>
        <w:t xml:space="preserve">中标人招标，招标人参与管理 </w:t>
      </w:r>
      <w:r>
        <w:rPr>
          <w:rFonts w:hint="eastAsia" w:ascii="宋体" w:hAnsi="宋体" w:eastAsia="宋体" w:cs="宋体"/>
          <w:bCs/>
          <w:color w:val="auto"/>
          <w:spacing w:val="0"/>
          <w:sz w:val="24"/>
          <w:szCs w:val="24"/>
          <w:highlight w:val="none"/>
        </w:rPr>
        <w:t>，</w:t>
      </w:r>
      <w:r>
        <w:rPr>
          <w:rFonts w:hint="eastAsia" w:ascii="宋体" w:hAnsi="宋体" w:eastAsia="宋体" w:cs="宋体"/>
          <w:color w:val="auto"/>
          <w:spacing w:val="0"/>
          <w:sz w:val="24"/>
          <w:szCs w:val="24"/>
          <w:highlight w:val="none"/>
        </w:rPr>
        <w:t>确定专业工程承包人（或材料、工程 设备供应商）和合同价格。</w:t>
      </w:r>
    </w:p>
    <w:p w14:paraId="1579A611">
      <w:pPr>
        <w:keepNext w:val="0"/>
        <w:keepLines w:val="0"/>
        <w:pageBreakBefore w:val="0"/>
        <w:wordWrap w:val="0"/>
        <w:overflowPunct/>
        <w:topLinePunct w:val="0"/>
        <w:bidi w:val="0"/>
        <w:spacing w:before="30" w:line="299" w:lineRule="auto"/>
        <w:ind w:left="11" w:right="65"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（2）暂估价项目按工程、货物的类别分类汇总的金额，未达到必须招标规模标准但适用政府采购规定的，按照政府采购规定确定专业工程承包人（或材料、工程设备供应商）和合同价格。</w:t>
      </w:r>
    </w:p>
    <w:p w14:paraId="4095D7CC">
      <w:pPr>
        <w:keepNext w:val="0"/>
        <w:keepLines w:val="0"/>
        <w:pageBreakBefore w:val="0"/>
        <w:wordWrap w:val="0"/>
        <w:overflowPunct/>
        <w:topLinePunct w:val="0"/>
        <w:bidi w:val="0"/>
        <w:spacing w:before="154" w:line="309" w:lineRule="auto"/>
        <w:ind w:left="11" w:right="65"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暂估价项目按工程、货物的类别分类汇总的金额，未达到必须招标规模标准也不适用政府采购规定，中标人具备相应资格条件的，由中标人承包；中标人不具备相应资格条件但具备分包权的，由中标人分包，招标人同中标人结算原则按本招标文件相关条款执行。</w:t>
      </w:r>
    </w:p>
    <w:p w14:paraId="6DAEE971">
      <w:pPr>
        <w:keepNext w:val="0"/>
        <w:keepLines w:val="0"/>
        <w:pageBreakBefore w:val="0"/>
        <w:wordWrap w:val="0"/>
        <w:overflowPunct/>
        <w:topLinePunct w:val="0"/>
        <w:bidi w:val="0"/>
        <w:spacing w:before="154" w:line="299" w:lineRule="auto"/>
        <w:ind w:left="11" w:right="65"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（4）暂估价项目按工程、货物的类别分类汇总的金额，未达到必须招标规模标准也不适用政府采购规定，中标人既不具备相应资格条件又不具备分包权的，由招标人另行发包。</w:t>
      </w:r>
    </w:p>
    <w:p w14:paraId="3B33A9BC">
      <w:pPr>
        <w:keepNext w:val="0"/>
        <w:keepLines w:val="0"/>
        <w:pageBreakBefore w:val="0"/>
        <w:wordWrap w:val="0"/>
        <w:overflowPunct/>
        <w:topLinePunct w:val="0"/>
        <w:bidi w:val="0"/>
        <w:spacing w:before="155" w:line="279" w:lineRule="auto"/>
        <w:ind w:left="9" w:right="66"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（5）暂估价项目由其他承包人承包的，纳入中标人的管理和协调范围，由其他承包人向中标人承担质量、安全、文明施工、工期责任，中标人向招标人承担责任。</w:t>
      </w:r>
    </w:p>
    <w:p w14:paraId="5DA2571A">
      <w:pPr>
        <w:keepNext w:val="0"/>
        <w:keepLines w:val="0"/>
        <w:pageBreakBefore w:val="0"/>
        <w:wordWrap w:val="0"/>
        <w:overflowPunct/>
        <w:topLinePunct w:val="0"/>
        <w:bidi w:val="0"/>
        <w:spacing w:before="155" w:line="333" w:lineRule="auto"/>
        <w:ind w:left="10" w:right="65" w:firstLine="478"/>
        <w:jc w:val="both"/>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8</w:t>
      </w:r>
      <w:r>
        <w:rPr>
          <w:rFonts w:hint="eastAsia" w:ascii="宋体" w:hAnsi="宋体" w:eastAsia="宋体" w:cs="宋体"/>
          <w:b/>
          <w:bCs/>
          <w:color w:val="auto"/>
          <w:spacing w:val="0"/>
          <w:sz w:val="24"/>
          <w:szCs w:val="24"/>
          <w:highlight w:val="none"/>
          <w:lang w:val="en-US" w:eastAsia="zh-CN"/>
        </w:rPr>
        <w:t>.6</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 xml:space="preserve">本招标项目以暂列金额形式列入招标工程量清单中的所需货物和服务的采购（以下统称“暂列金额项目 ”）若有发生，按照本节第 </w:t>
      </w:r>
      <w:r>
        <w:rPr>
          <w:rFonts w:hint="eastAsia" w:ascii="宋体" w:hAnsi="宋体" w:eastAsia="宋体" w:cs="宋体"/>
          <w:b/>
          <w:bCs/>
          <w:color w:val="auto"/>
          <w:spacing w:val="0"/>
          <w:sz w:val="24"/>
          <w:szCs w:val="24"/>
          <w:highlight w:val="none"/>
        </w:rPr>
        <w:t xml:space="preserve">8.5 </w:t>
      </w:r>
      <w:r>
        <w:rPr>
          <w:rFonts w:hint="eastAsia" w:ascii="宋体" w:hAnsi="宋体" w:eastAsia="宋体" w:cs="宋体"/>
          <w:color w:val="auto"/>
          <w:spacing w:val="0"/>
          <w:sz w:val="24"/>
          <w:szCs w:val="24"/>
          <w:highlight w:val="none"/>
        </w:rPr>
        <w:t>条的规定确定货物（或服务）供应商和合同价格。暂列金额项目由其他承包人承包的，纳入中标人的管理和协调范围</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由其他承包人向中标人承担质量、安全、文明施工、工期责任，中标人向招标人承担责任。</w:t>
      </w:r>
    </w:p>
    <w:p w14:paraId="01AB75DC">
      <w:pPr>
        <w:keepNext w:val="0"/>
        <w:keepLines w:val="0"/>
        <w:pageBreakBefore w:val="0"/>
        <w:wordWrap w:val="0"/>
        <w:overflowPunct/>
        <w:topLinePunct w:val="0"/>
        <w:bidi w:val="0"/>
        <w:spacing w:before="79" w:line="219" w:lineRule="auto"/>
        <w:ind w:left="487"/>
        <w:outlineLvl w:val="2"/>
        <w:rPr>
          <w:rFonts w:hint="eastAsia" w:ascii="宋体" w:hAnsi="宋体" w:eastAsia="宋体" w:cs="宋体"/>
          <w:color w:val="auto"/>
          <w:spacing w:val="0"/>
          <w:sz w:val="24"/>
          <w:szCs w:val="24"/>
          <w:highlight w:val="none"/>
        </w:rPr>
      </w:pPr>
      <w:bookmarkStart w:id="39" w:name="_Toc9474"/>
      <w:bookmarkStart w:id="40" w:name="_Toc22978"/>
      <w:r>
        <w:rPr>
          <w:rFonts w:hint="eastAsia" w:ascii="宋体" w:hAnsi="宋体" w:eastAsia="宋体" w:cs="宋体"/>
          <w:b/>
          <w:bCs/>
          <w:color w:val="auto"/>
          <w:spacing w:val="0"/>
          <w:sz w:val="24"/>
          <w:szCs w:val="24"/>
          <w:highlight w:val="none"/>
        </w:rPr>
        <w:t>9 ．投标报价</w:t>
      </w:r>
      <w:bookmarkEnd w:id="39"/>
      <w:bookmarkEnd w:id="40"/>
    </w:p>
    <w:p w14:paraId="4486FCA3">
      <w:pPr>
        <w:keepNext w:val="0"/>
        <w:keepLines w:val="0"/>
        <w:pageBreakBefore w:val="0"/>
        <w:wordWrap w:val="0"/>
        <w:overflowPunct/>
        <w:topLinePunct w:val="0"/>
        <w:bidi w:val="0"/>
        <w:spacing w:before="157" w:line="219" w:lineRule="auto"/>
        <w:ind w:left="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9.1  </w:t>
      </w:r>
      <w:r>
        <w:rPr>
          <w:rFonts w:hint="eastAsia" w:ascii="宋体" w:hAnsi="宋体" w:eastAsia="宋体" w:cs="宋体"/>
          <w:color w:val="auto"/>
          <w:spacing w:val="0"/>
          <w:sz w:val="24"/>
          <w:szCs w:val="24"/>
          <w:highlight w:val="none"/>
        </w:rPr>
        <w:t>投标人应按照以下依据编制投标报价：</w:t>
      </w:r>
    </w:p>
    <w:p w14:paraId="24B4853A">
      <w:pPr>
        <w:keepNext w:val="0"/>
        <w:keepLines w:val="0"/>
        <w:pageBreakBefore w:val="0"/>
        <w:wordWrap w:val="0"/>
        <w:overflowPunct/>
        <w:topLinePunct w:val="0"/>
        <w:bidi w:val="0"/>
        <w:spacing w:before="155"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w:t>
      </w:r>
    </w:p>
    <w:p w14:paraId="21850D08">
      <w:pPr>
        <w:keepNext w:val="0"/>
        <w:keepLines w:val="0"/>
        <w:pageBreakBefore w:val="0"/>
        <w:wordWrap w:val="0"/>
        <w:overflowPunct/>
        <w:topLinePunct w:val="0"/>
        <w:bidi w:val="0"/>
        <w:spacing w:before="153" w:line="309" w:lineRule="auto"/>
        <w:ind w:left="9" w:right="65"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6F4FCBC7">
      <w:pPr>
        <w:keepNext w:val="0"/>
        <w:keepLines w:val="0"/>
        <w:pageBreakBefore w:val="0"/>
        <w:wordWrap w:val="0"/>
        <w:overflowPunct/>
        <w:topLinePunct w:val="0"/>
        <w:bidi w:val="0"/>
        <w:spacing w:before="78" w:line="220" w:lineRule="auto"/>
        <w:ind w:left="501"/>
        <w:rPr>
          <w:rFonts w:hint="eastAsia" w:ascii="宋体" w:hAnsi="宋体" w:eastAsia="宋体" w:cs="宋体"/>
          <w:color w:val="auto"/>
          <w:spacing w:val="0"/>
          <w:sz w:val="24"/>
          <w:szCs w:val="24"/>
          <w:highlight w:val="none"/>
        </w:rPr>
      </w:pPr>
      <w:bookmarkStart w:id="41" w:name="bookmark120"/>
      <w:bookmarkEnd w:id="41"/>
      <w:r>
        <w:rPr>
          <w:rFonts w:hint="eastAsia" w:ascii="宋体" w:hAnsi="宋体" w:eastAsia="宋体" w:cs="宋体"/>
          <w:color w:val="auto"/>
          <w:spacing w:val="0"/>
          <w:sz w:val="24"/>
          <w:szCs w:val="24"/>
          <w:highlight w:val="none"/>
        </w:rPr>
        <w:t>（3）企业定额；</w:t>
      </w:r>
    </w:p>
    <w:p w14:paraId="48F400DD">
      <w:pPr>
        <w:keepNext w:val="0"/>
        <w:keepLines w:val="0"/>
        <w:pageBreakBefore w:val="0"/>
        <w:wordWrap w:val="0"/>
        <w:overflowPunct/>
        <w:topLinePunct w:val="0"/>
        <w:bidi w:val="0"/>
        <w:spacing w:before="155"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（4）招标文件及其答疑（或修改）公告、招标工程量清单；</w:t>
      </w:r>
    </w:p>
    <w:p w14:paraId="2500803B">
      <w:pPr>
        <w:keepNext w:val="0"/>
        <w:keepLines w:val="0"/>
        <w:pageBreakBefore w:val="0"/>
        <w:wordWrap w:val="0"/>
        <w:overflowPunct/>
        <w:topLinePunct w:val="0"/>
        <w:bidi w:val="0"/>
        <w:spacing w:before="154" w:line="221"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（5）施工图及相关资料；</w:t>
      </w:r>
    </w:p>
    <w:p w14:paraId="4349D5A0">
      <w:pPr>
        <w:keepNext w:val="0"/>
        <w:keepLines w:val="0"/>
        <w:pageBreakBefore w:val="0"/>
        <w:wordWrap w:val="0"/>
        <w:overflowPunct/>
        <w:topLinePunct w:val="0"/>
        <w:bidi w:val="0"/>
        <w:spacing w:before="152"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（6）施工现场情况、工程特点及投标时拟定的施工组织设计或施工方案；</w:t>
      </w:r>
    </w:p>
    <w:p w14:paraId="15845DDF">
      <w:pPr>
        <w:keepNext w:val="0"/>
        <w:keepLines w:val="0"/>
        <w:pageBreakBefore w:val="0"/>
        <w:wordWrap w:val="0"/>
        <w:overflowPunct/>
        <w:topLinePunct w:val="0"/>
        <w:bidi w:val="0"/>
        <w:spacing w:before="156"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（7）市场价格信息或项目所在地工程造价管理机构发布的工程造价信息；</w:t>
      </w:r>
    </w:p>
    <w:p w14:paraId="6EDB41CD">
      <w:pPr>
        <w:keepNext w:val="0"/>
        <w:keepLines w:val="0"/>
        <w:pageBreakBefore w:val="0"/>
        <w:wordWrap w:val="0"/>
        <w:overflowPunct/>
        <w:topLinePunct w:val="0"/>
        <w:bidi w:val="0"/>
        <w:spacing w:before="155"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（8）与建设项目相关的标准、规范、技术资料。</w:t>
      </w:r>
    </w:p>
    <w:p w14:paraId="1D0C2B8D">
      <w:pPr>
        <w:keepNext w:val="0"/>
        <w:keepLines w:val="0"/>
        <w:pageBreakBefore w:val="0"/>
        <w:wordWrap w:val="0"/>
        <w:overflowPunct/>
        <w:topLinePunct w:val="0"/>
        <w:bidi w:val="0"/>
        <w:spacing w:before="153" w:line="309" w:lineRule="auto"/>
        <w:ind w:left="8" w:right="150" w:firstLine="55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9.2  </w:t>
      </w:r>
      <w:r>
        <w:rPr>
          <w:rFonts w:hint="eastAsia" w:ascii="宋体" w:hAnsi="宋体" w:eastAsia="宋体" w:cs="宋体"/>
          <w:color w:val="auto"/>
          <w:spacing w:val="0"/>
          <w:sz w:val="24"/>
          <w:szCs w:val="24"/>
          <w:highlight w:val="none"/>
        </w:rPr>
        <w:t>投标人应根据招标工程量清单、工程量清单计价</w:t>
      </w:r>
      <w:r>
        <w:rPr>
          <w:rFonts w:hint="eastAsia" w:ascii="宋体" w:hAnsi="宋体" w:eastAsia="宋体" w:cs="宋体"/>
          <w:color w:val="auto"/>
          <w:spacing w:val="0"/>
          <w:sz w:val="24"/>
          <w:szCs w:val="24"/>
          <w:highlight w:val="none"/>
          <w:lang w:val="en-US" w:eastAsia="zh-CN"/>
        </w:rPr>
        <w:t>标准</w:t>
      </w:r>
      <w:r>
        <w:rPr>
          <w:rFonts w:hint="eastAsia" w:ascii="宋体" w:hAnsi="宋体" w:eastAsia="宋体" w:cs="宋体"/>
          <w:color w:val="auto"/>
          <w:spacing w:val="0"/>
          <w:sz w:val="24"/>
          <w:szCs w:val="24"/>
          <w:highlight w:val="none"/>
        </w:rPr>
        <w:t>中的工作内容、设计文件和有关要求、施工现场实际情况、投标人拟定的施工组织设计、本单位的企业定额和市场价格进行编制，自行报价，并承担一定范围内的风险费用。所谓“一定范围内的风险 ”是指合同约定的风险。</w:t>
      </w:r>
    </w:p>
    <w:p w14:paraId="0986CD58">
      <w:pPr>
        <w:keepNext w:val="0"/>
        <w:keepLines w:val="0"/>
        <w:pageBreakBefore w:val="0"/>
        <w:wordWrap w:val="0"/>
        <w:overflowPunct/>
        <w:topLinePunct w:val="0"/>
        <w:bidi w:val="0"/>
        <w:spacing w:before="152" w:line="309" w:lineRule="auto"/>
        <w:ind w:left="9" w:right="150" w:firstLine="55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9.3  </w:t>
      </w:r>
      <w:r>
        <w:rPr>
          <w:rFonts w:hint="eastAsia" w:ascii="宋体" w:hAnsi="宋体" w:eastAsia="宋体" w:cs="宋体"/>
          <w:color w:val="auto"/>
          <w:spacing w:val="0"/>
          <w:sz w:val="24"/>
          <w:szCs w:val="24"/>
          <w:highlight w:val="none"/>
        </w:rPr>
        <w:t>招标人及招标代理机构不集中组织现场踏勘，投标人需要了解现场情况的，可自行进行现场踏勘。各投标人应勘察施工现场及周围环境、地形、地貌、水文、交通等情况，以获得一切可能影响到投标的直接资料。投标人应针对现场情况编制施工组织设计，并在编制投标报价时考虑现场情况的影响。</w:t>
      </w:r>
    </w:p>
    <w:p w14:paraId="0B2C478C">
      <w:pPr>
        <w:keepNext w:val="0"/>
        <w:keepLines w:val="0"/>
        <w:pageBreakBefore w:val="0"/>
        <w:wordWrap w:val="0"/>
        <w:overflowPunct/>
        <w:topLinePunct w:val="0"/>
        <w:bidi w:val="0"/>
        <w:spacing w:before="155" w:line="279" w:lineRule="auto"/>
        <w:ind w:left="10" w:right="150" w:firstLine="55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9.4  </w:t>
      </w:r>
      <w:r>
        <w:rPr>
          <w:rFonts w:hint="eastAsia" w:ascii="宋体" w:hAnsi="宋体" w:eastAsia="宋体" w:cs="宋体"/>
          <w:color w:val="auto"/>
          <w:spacing w:val="0"/>
          <w:sz w:val="24"/>
          <w:szCs w:val="24"/>
          <w:highlight w:val="none"/>
        </w:rPr>
        <w:t>招标人向投标人提供的有关现场的数据和资料，是招标人现有的能被投标人利用的资料，招标人对投标人做出的任何推论、理解和结论均不负责任。</w:t>
      </w:r>
    </w:p>
    <w:p w14:paraId="6C93460C">
      <w:pPr>
        <w:keepNext w:val="0"/>
        <w:keepLines w:val="0"/>
        <w:pageBreakBefore w:val="0"/>
        <w:wordWrap w:val="0"/>
        <w:overflowPunct/>
        <w:topLinePunct w:val="0"/>
        <w:bidi w:val="0"/>
        <w:spacing w:before="154" w:line="299" w:lineRule="auto"/>
        <w:ind w:left="12" w:firstLine="55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9.5  </w:t>
      </w:r>
      <w:r>
        <w:rPr>
          <w:rFonts w:hint="eastAsia" w:ascii="宋体" w:hAnsi="宋体" w:eastAsia="宋体" w:cs="宋体"/>
          <w:color w:val="auto"/>
          <w:spacing w:val="0"/>
          <w:sz w:val="24"/>
          <w:szCs w:val="24"/>
          <w:highlight w:val="none"/>
        </w:rPr>
        <w:t>投标人必须按照招标工程量清单及表格填报价格。项目编码、项目名称、项目特征、计量单位、工程量必须与招标工程量清单一致。所有报价均以人民币“元 ”为单位，并保留小数点后两位。</w:t>
      </w:r>
    </w:p>
    <w:p w14:paraId="3A622CC8">
      <w:pPr>
        <w:keepNext w:val="0"/>
        <w:keepLines w:val="0"/>
        <w:pageBreakBefore w:val="0"/>
        <w:wordWrap w:val="0"/>
        <w:overflowPunct/>
        <w:topLinePunct w:val="0"/>
        <w:bidi w:val="0"/>
        <w:spacing w:before="158" w:line="314" w:lineRule="auto"/>
        <w:ind w:left="9" w:right="150" w:firstLine="55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9.6  </w:t>
      </w:r>
      <w:r>
        <w:rPr>
          <w:rFonts w:hint="eastAsia" w:ascii="宋体" w:hAnsi="宋体" w:eastAsia="宋体" w:cs="宋体"/>
          <w:color w:val="auto"/>
          <w:spacing w:val="0"/>
          <w:sz w:val="24"/>
          <w:szCs w:val="24"/>
          <w:highlight w:val="none"/>
        </w:rPr>
        <w:t>投标人只允许有一个投标总价。投标总价必须同时用大、小写表示，大、小写报价应保持一致，若不一致，以大写报价为准。招标工程量清单与计价表中列明的所有需要填写单价和合价的项目，投标人均应填写且只允许有一个报价。未填写单价和合价的项目，视为此项费用已包含在已标价工程量清单其他项目的单价和合价中，竣工结算时不得重新组价和调整。</w:t>
      </w:r>
    </w:p>
    <w:p w14:paraId="25A1C580">
      <w:pPr>
        <w:keepNext w:val="0"/>
        <w:keepLines w:val="0"/>
        <w:pageBreakBefore w:val="0"/>
        <w:wordWrap w:val="0"/>
        <w:overflowPunct/>
        <w:topLinePunct w:val="0"/>
        <w:bidi w:val="0"/>
        <w:spacing w:before="152" w:line="309" w:lineRule="auto"/>
        <w:ind w:left="7" w:right="120" w:firstLine="480"/>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 xml:space="preserve">9.7  </w:t>
      </w:r>
      <w:r>
        <w:rPr>
          <w:rFonts w:hint="eastAsia" w:ascii="宋体" w:hAnsi="宋体" w:eastAsia="宋体" w:cs="宋体"/>
          <w:color w:val="auto"/>
          <w:spacing w:val="0"/>
          <w:sz w:val="24"/>
          <w:szCs w:val="24"/>
          <w:highlight w:val="none"/>
        </w:rPr>
        <w:t>投标人的投标总价不得高于</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，也不得低于工程成本。投标人对投标总价的所有优惠（降价、让利等），均应当反映在具体清单项目或其综合单价的报价上。</w:t>
      </w:r>
      <w:r>
        <w:rPr>
          <w:rFonts w:hint="eastAsia" w:ascii="宋体" w:hAnsi="宋体" w:eastAsia="宋体" w:cs="宋体"/>
          <w:b/>
          <w:bCs/>
          <w:color w:val="auto"/>
          <w:spacing w:val="0"/>
          <w:sz w:val="24"/>
          <w:szCs w:val="24"/>
          <w:highlight w:val="none"/>
        </w:rPr>
        <w:t>如果投标人的投标总价下浮率高于</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15%时，投标人必须在投标文件中专项作出详细合理的书面说明并提供以往类似工程详细成本分析报告供评标委员会审查。</w:t>
      </w:r>
    </w:p>
    <w:p w14:paraId="5057643D">
      <w:pPr>
        <w:keepNext w:val="0"/>
        <w:keepLines w:val="0"/>
        <w:pageBreakBefore w:val="0"/>
        <w:wordWrap w:val="0"/>
        <w:overflowPunct/>
        <w:topLinePunct w:val="0"/>
        <w:bidi w:val="0"/>
        <w:outlineLvl w:val="9"/>
        <w:rPr>
          <w:rFonts w:hint="eastAsia" w:ascii="宋体" w:hAnsi="宋体" w:eastAsia="宋体" w:cs="宋体"/>
          <w:color w:val="auto"/>
          <w:spacing w:val="0"/>
          <w:highlight w:val="none"/>
          <w:lang w:eastAsia="zh-CN"/>
        </w:rPr>
      </w:pPr>
      <w:r>
        <w:rPr>
          <w:rFonts w:hint="eastAsia" w:ascii="宋体" w:hAnsi="宋体" w:eastAsia="宋体" w:cs="宋体"/>
          <w:b/>
          <w:bCs/>
          <w:color w:val="auto"/>
          <w:spacing w:val="0"/>
          <w:sz w:val="24"/>
          <w:szCs w:val="24"/>
          <w:highlight w:val="none"/>
          <w:lang w:eastAsia="zh-CN"/>
        </w:rPr>
        <w:t>投标总价下浮率=（1-投标总价</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eastAsia="zh-CN"/>
        </w:rPr>
        <w:t>100%</w:t>
      </w:r>
    </w:p>
    <w:p w14:paraId="26893D44">
      <w:pPr>
        <w:keepNext w:val="0"/>
        <w:keepLines w:val="0"/>
        <w:pageBreakBefore w:val="0"/>
        <w:wordWrap w:val="0"/>
        <w:overflowPunct/>
        <w:topLinePunct w:val="0"/>
        <w:bidi w:val="0"/>
        <w:spacing w:before="146" w:line="325" w:lineRule="auto"/>
        <w:ind w:left="29" w:right="153" w:firstLine="458"/>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9.8  </w:t>
      </w:r>
      <w:r>
        <w:rPr>
          <w:rFonts w:hint="eastAsia" w:ascii="宋体" w:hAnsi="宋体" w:eastAsia="宋体" w:cs="宋体"/>
          <w:color w:val="auto"/>
          <w:spacing w:val="0"/>
          <w:sz w:val="24"/>
          <w:szCs w:val="24"/>
          <w:highlight w:val="none"/>
        </w:rPr>
        <w:t>投标人的</w:t>
      </w:r>
      <w:r>
        <w:rPr>
          <w:rFonts w:hint="eastAsia" w:ascii="宋体" w:hAnsi="宋体" w:eastAsia="宋体" w:cs="宋体"/>
          <w:color w:val="auto"/>
          <w:spacing w:val="0"/>
          <w:sz w:val="24"/>
          <w:szCs w:val="24"/>
          <w:highlight w:val="none"/>
          <w:lang w:eastAsia="zh-CN"/>
        </w:rPr>
        <w:t>安全生产措施费</w:t>
      </w:r>
      <w:r>
        <w:rPr>
          <w:rFonts w:hint="eastAsia" w:ascii="宋体" w:hAnsi="宋体" w:eastAsia="宋体" w:cs="宋体"/>
          <w:color w:val="auto"/>
          <w:spacing w:val="0"/>
          <w:sz w:val="24"/>
          <w:szCs w:val="24"/>
          <w:highlight w:val="none"/>
        </w:rPr>
        <w:t>报价必须达到或超过</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中提供的</w:t>
      </w:r>
      <w:r>
        <w:rPr>
          <w:rFonts w:hint="eastAsia" w:ascii="宋体" w:hAnsi="宋体" w:eastAsia="宋体" w:cs="宋体"/>
          <w:color w:val="auto"/>
          <w:spacing w:val="0"/>
          <w:sz w:val="24"/>
          <w:szCs w:val="24"/>
          <w:highlight w:val="none"/>
          <w:lang w:eastAsia="zh-CN"/>
        </w:rPr>
        <w:t>安全生产措施费</w:t>
      </w:r>
      <w:r>
        <w:rPr>
          <w:rFonts w:hint="eastAsia" w:ascii="宋体" w:hAnsi="宋体" w:eastAsia="宋体" w:cs="宋体"/>
          <w:color w:val="auto"/>
          <w:spacing w:val="0"/>
          <w:sz w:val="24"/>
          <w:szCs w:val="24"/>
          <w:highlight w:val="none"/>
        </w:rPr>
        <w:t>。</w:t>
      </w:r>
    </w:p>
    <w:p w14:paraId="53807F55">
      <w:pPr>
        <w:keepNext w:val="0"/>
        <w:keepLines w:val="0"/>
        <w:pageBreakBefore w:val="0"/>
        <w:wordWrap w:val="0"/>
        <w:overflowPunct/>
        <w:topLinePunct w:val="0"/>
        <w:bidi w:val="0"/>
        <w:spacing w:before="78" w:line="309" w:lineRule="auto"/>
        <w:ind w:right="99" w:firstLine="482" w:firstLineChars="2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9.9  </w:t>
      </w:r>
      <w:r>
        <w:rPr>
          <w:rFonts w:hint="eastAsia" w:ascii="宋体" w:hAnsi="宋体" w:eastAsia="宋体" w:cs="宋体"/>
          <w:color w:val="auto"/>
          <w:spacing w:val="0"/>
          <w:sz w:val="24"/>
          <w:szCs w:val="24"/>
          <w:highlight w:val="none"/>
        </w:rPr>
        <w:t>投标人必须按照招标工程量清单中提供的暂列金额和暂估价统一报价。投标人应充分考虑暂估价项目（或暂列金额项目）的管理和协调所发生的费用，并将其纳入已标价工程量清单中的适当项目。招标人视该项管理和协调所发生的费用已包含在其它有价款的竞争性报价内，不再另行支付。</w:t>
      </w:r>
    </w:p>
    <w:p w14:paraId="2C55C240">
      <w:pPr>
        <w:keepNext w:val="0"/>
        <w:keepLines w:val="0"/>
        <w:pageBreakBefore w:val="0"/>
        <w:wordWrap w:val="0"/>
        <w:overflowPunct/>
        <w:topLinePunct w:val="0"/>
        <w:bidi w:val="0"/>
        <w:spacing w:before="78" w:line="220" w:lineRule="auto"/>
        <w:ind w:left="496"/>
        <w:outlineLvl w:val="2"/>
        <w:rPr>
          <w:rFonts w:hint="eastAsia" w:ascii="宋体" w:hAnsi="宋体" w:eastAsia="宋体" w:cs="宋体"/>
          <w:color w:val="auto"/>
          <w:spacing w:val="0"/>
          <w:sz w:val="24"/>
          <w:szCs w:val="24"/>
          <w:highlight w:val="none"/>
        </w:rPr>
      </w:pPr>
      <w:bookmarkStart w:id="42" w:name="_Toc13188"/>
      <w:bookmarkStart w:id="43" w:name="_Toc16322"/>
      <w:r>
        <w:rPr>
          <w:rFonts w:hint="eastAsia" w:ascii="宋体" w:hAnsi="宋体" w:eastAsia="宋体" w:cs="宋体"/>
          <w:b/>
          <w:bCs/>
          <w:color w:val="auto"/>
          <w:spacing w:val="0"/>
          <w:sz w:val="24"/>
          <w:szCs w:val="24"/>
          <w:highlight w:val="none"/>
        </w:rPr>
        <w:t>10 ．投标文件的编制要求</w:t>
      </w:r>
      <w:bookmarkEnd w:id="42"/>
      <w:bookmarkEnd w:id="43"/>
    </w:p>
    <w:p w14:paraId="1F54BDA4">
      <w:pPr>
        <w:keepNext w:val="0"/>
        <w:keepLines w:val="0"/>
        <w:pageBreakBefore w:val="0"/>
        <w:wordWrap w:val="0"/>
        <w:overflowPunct/>
        <w:topLinePunct w:val="0"/>
        <w:bidi w:val="0"/>
        <w:spacing w:before="152" w:line="222" w:lineRule="auto"/>
        <w:ind w:left="496"/>
        <w:outlineLvl w:val="3"/>
        <w:rPr>
          <w:rFonts w:hint="eastAsia" w:ascii="宋体" w:hAnsi="宋体" w:eastAsia="宋体" w:cs="宋体"/>
          <w:color w:val="auto"/>
          <w:spacing w:val="0"/>
          <w:sz w:val="24"/>
          <w:szCs w:val="24"/>
          <w:highlight w:val="none"/>
        </w:rPr>
      </w:pPr>
      <w:bookmarkStart w:id="44" w:name="_Toc22937"/>
      <w:bookmarkStart w:id="45" w:name="_Toc20590"/>
      <w:r>
        <w:rPr>
          <w:rFonts w:hint="eastAsia" w:ascii="宋体" w:hAnsi="宋体" w:eastAsia="宋体" w:cs="宋体"/>
          <w:b/>
          <w:bCs/>
          <w:color w:val="auto"/>
          <w:spacing w:val="0"/>
          <w:sz w:val="24"/>
          <w:szCs w:val="24"/>
          <w:highlight w:val="none"/>
        </w:rPr>
        <w:t xml:space="preserve">10.1  </w:t>
      </w:r>
      <w:r>
        <w:rPr>
          <w:rFonts w:hint="eastAsia" w:ascii="宋体" w:hAnsi="宋体" w:eastAsia="宋体" w:cs="宋体"/>
          <w:color w:val="auto"/>
          <w:spacing w:val="0"/>
          <w:sz w:val="24"/>
          <w:szCs w:val="24"/>
          <w:highlight w:val="none"/>
        </w:rPr>
        <w:t>一般要求</w:t>
      </w:r>
      <w:bookmarkEnd w:id="44"/>
      <w:bookmarkEnd w:id="45"/>
    </w:p>
    <w:p w14:paraId="02B08D9F">
      <w:pPr>
        <w:keepNext w:val="0"/>
        <w:keepLines w:val="0"/>
        <w:pageBreakBefore w:val="0"/>
        <w:wordWrap w:val="0"/>
        <w:overflowPunct/>
        <w:topLinePunct w:val="0"/>
        <w:bidi w:val="0"/>
        <w:spacing w:before="118" w:line="295" w:lineRule="auto"/>
        <w:ind w:left="11" w:right="99"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投标文件应按第六章投标文件格式规定的内容，投标人提交的投标文件应当使用招标文件所提供的投标文件全部格式。</w:t>
      </w:r>
    </w:p>
    <w:p w14:paraId="6C56DEED">
      <w:pPr>
        <w:keepNext w:val="0"/>
        <w:keepLines w:val="0"/>
        <w:pageBreakBefore w:val="0"/>
        <w:wordWrap w:val="0"/>
        <w:overflowPunct/>
        <w:topLinePunct w:val="0"/>
        <w:bidi w:val="0"/>
        <w:spacing w:before="68" w:line="299" w:lineRule="auto"/>
        <w:ind w:left="11" w:right="99" w:firstLine="56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10.1.1  </w:t>
      </w:r>
      <w:r>
        <w:rPr>
          <w:rFonts w:hint="eastAsia" w:ascii="宋体" w:hAnsi="宋体" w:eastAsia="宋体" w:cs="宋体"/>
          <w:color w:val="auto"/>
          <w:spacing w:val="0"/>
          <w:sz w:val="24"/>
          <w:szCs w:val="24"/>
          <w:highlight w:val="none"/>
        </w:rPr>
        <w:t>投标人必须响应招标文件，并在充分理解招标人提供的全部文件、设计图纸、资料及现场条件的基础上编制投标文件。因投标文件不符合招标文件的要求而造成的损失和后果，由投标人自行承担。</w:t>
      </w:r>
    </w:p>
    <w:p w14:paraId="3FFC15B9">
      <w:pPr>
        <w:keepNext w:val="0"/>
        <w:keepLines w:val="0"/>
        <w:pageBreakBefore w:val="0"/>
        <w:wordWrap w:val="0"/>
        <w:overflowPunct/>
        <w:topLinePunct w:val="0"/>
        <w:bidi w:val="0"/>
        <w:spacing w:before="123" w:line="290" w:lineRule="auto"/>
        <w:ind w:left="8" w:firstLine="56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10.1.2  </w:t>
      </w:r>
      <w:r>
        <w:rPr>
          <w:rFonts w:hint="eastAsia" w:ascii="宋体" w:hAnsi="宋体" w:eastAsia="宋体" w:cs="宋体"/>
          <w:color w:val="auto"/>
          <w:spacing w:val="0"/>
          <w:sz w:val="24"/>
          <w:szCs w:val="24"/>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 ·韶关市）交易指引。</w:t>
      </w:r>
    </w:p>
    <w:p w14:paraId="59ADE83A">
      <w:pPr>
        <w:keepNext w:val="0"/>
        <w:keepLines w:val="0"/>
        <w:pageBreakBefore w:val="0"/>
        <w:wordWrap w:val="0"/>
        <w:overflowPunct/>
        <w:topLinePunct w:val="0"/>
        <w:bidi w:val="0"/>
        <w:spacing w:before="1" w:line="219" w:lineRule="auto"/>
        <w:ind w:left="57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10.1.3  </w:t>
      </w:r>
      <w:r>
        <w:rPr>
          <w:rFonts w:hint="eastAsia" w:ascii="宋体" w:hAnsi="宋体" w:eastAsia="宋体" w:cs="宋体"/>
          <w:color w:val="auto"/>
          <w:spacing w:val="0"/>
          <w:sz w:val="24"/>
          <w:szCs w:val="24"/>
          <w:highlight w:val="none"/>
        </w:rPr>
        <w:t>投标文件需按以下要求签字、盖章：电子投标文件：</w:t>
      </w:r>
    </w:p>
    <w:p w14:paraId="428A1CF9">
      <w:pPr>
        <w:keepNext w:val="0"/>
        <w:keepLines w:val="0"/>
        <w:pageBreakBefore w:val="0"/>
        <w:wordWrap w:val="0"/>
        <w:overflowPunct/>
        <w:topLinePunct w:val="0"/>
        <w:bidi w:val="0"/>
        <w:spacing w:before="111" w:line="279" w:lineRule="auto"/>
        <w:ind w:right="133" w:firstLine="57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"10.1.3.1"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10.1.3.1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投标文件封面、组成内容中凡注明“签字 ”处由要求的人员签字或电子签章；凡注明“签字或盖章 ”处由要求的人员签字或盖其私章（电子印章）；凡注明 “签字并盖执业印章 ”处由要求的人员签字并盖其执业印章。</w:t>
      </w:r>
    </w:p>
    <w:p w14:paraId="70886EB7">
      <w:pPr>
        <w:keepNext w:val="0"/>
        <w:keepLines w:val="0"/>
        <w:pageBreakBefore w:val="0"/>
        <w:wordWrap w:val="0"/>
        <w:overflowPunct/>
        <w:topLinePunct w:val="0"/>
        <w:bidi w:val="0"/>
        <w:spacing w:before="112" w:line="264" w:lineRule="auto"/>
        <w:ind w:left="13" w:right="133" w:firstLine="5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"10.1.3.2"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10.1.3.2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投标文件封套、封面、组成内容中凡要求录入投标人名称且注明“盖单位章 ”处盖单位法人公章（电子印章）。</w:t>
      </w:r>
    </w:p>
    <w:p w14:paraId="1FE02488">
      <w:pPr>
        <w:keepNext w:val="0"/>
        <w:keepLines w:val="0"/>
        <w:pageBreakBefore w:val="0"/>
        <w:wordWrap w:val="0"/>
        <w:overflowPunct/>
        <w:topLinePunct w:val="0"/>
        <w:bidi w:val="0"/>
        <w:spacing w:before="146" w:line="279" w:lineRule="auto"/>
        <w:ind w:left="16" w:right="135" w:firstLine="56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"10.1.3.3"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10.1.3.3</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投标文件的签字均为签字人本人亲笔署名或签章（电子印章），其余部分的复印件无须另行签字、盖章。</w:t>
      </w:r>
    </w:p>
    <w:p w14:paraId="44F21114">
      <w:pPr>
        <w:keepNext w:val="0"/>
        <w:keepLines w:val="0"/>
        <w:pageBreakBefore w:val="0"/>
        <w:wordWrap w:val="0"/>
        <w:overflowPunct/>
        <w:topLinePunct w:val="0"/>
        <w:bidi w:val="0"/>
        <w:spacing w:before="155" w:line="219" w:lineRule="auto"/>
        <w:ind w:left="0" w:leftChars="0" w:firstLine="482" w:firstLineChars="200"/>
        <w:outlineLvl w:val="3"/>
        <w:rPr>
          <w:rFonts w:hint="eastAsia" w:ascii="宋体" w:hAnsi="宋体" w:eastAsia="宋体" w:cs="宋体"/>
          <w:b w:val="0"/>
          <w:bCs w:val="0"/>
          <w:color w:val="auto"/>
          <w:spacing w:val="0"/>
          <w:sz w:val="24"/>
          <w:szCs w:val="24"/>
          <w:highlight w:val="none"/>
        </w:rPr>
      </w:pPr>
      <w:bookmarkStart w:id="46" w:name="_Toc21271"/>
      <w:bookmarkStart w:id="47" w:name="_Toc20223"/>
      <w:r>
        <w:rPr>
          <w:rFonts w:hint="eastAsia" w:ascii="宋体" w:hAnsi="宋体" w:eastAsia="宋体" w:cs="宋体"/>
          <w:b/>
          <w:bCs/>
          <w:color w:val="auto"/>
          <w:spacing w:val="0"/>
          <w:sz w:val="24"/>
          <w:szCs w:val="24"/>
          <w:highlight w:val="none"/>
        </w:rPr>
        <w:t xml:space="preserve">10.1.3.4 </w:t>
      </w:r>
      <w:r>
        <w:rPr>
          <w:rFonts w:hint="eastAsia" w:ascii="宋体" w:hAnsi="宋体" w:eastAsia="宋体" w:cs="宋体"/>
          <w:color w:val="auto"/>
          <w:spacing w:val="0"/>
          <w:sz w:val="24"/>
          <w:szCs w:val="24"/>
          <w:highlight w:val="none"/>
        </w:rPr>
        <w:t>联合体投标的，除《联合体协议书》外，由联合体牵头人按以上要求签亲笔署名或签章（电子印章）即可。</w:t>
      </w:r>
    </w:p>
    <w:p w14:paraId="712CD189">
      <w:pPr>
        <w:keepNext w:val="0"/>
        <w:keepLines w:val="0"/>
        <w:pageBreakBefore w:val="0"/>
        <w:wordWrap w:val="0"/>
        <w:overflowPunct/>
        <w:topLinePunct w:val="0"/>
        <w:bidi w:val="0"/>
        <w:spacing w:before="155" w:line="219" w:lineRule="auto"/>
        <w:ind w:left="500"/>
        <w:outlineLvl w:val="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10.2  </w:t>
      </w:r>
      <w:r>
        <w:rPr>
          <w:rFonts w:hint="eastAsia" w:ascii="宋体" w:hAnsi="宋体" w:eastAsia="宋体" w:cs="宋体"/>
          <w:color w:val="auto"/>
          <w:spacing w:val="0"/>
          <w:sz w:val="24"/>
          <w:szCs w:val="24"/>
          <w:highlight w:val="none"/>
        </w:rPr>
        <w:t>商务标书的编制要求</w:t>
      </w:r>
      <w:bookmarkEnd w:id="46"/>
      <w:bookmarkEnd w:id="47"/>
    </w:p>
    <w:p w14:paraId="019ECCDB">
      <w:pPr>
        <w:keepNext w:val="0"/>
        <w:keepLines w:val="0"/>
        <w:pageBreakBefore w:val="0"/>
        <w:wordWrap w:val="0"/>
        <w:overflowPunct/>
        <w:topLinePunct w:val="0"/>
        <w:bidi w:val="0"/>
        <w:spacing w:before="157" w:line="219" w:lineRule="auto"/>
        <w:ind w:left="581"/>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10.2.1 </w:t>
      </w:r>
      <w:r>
        <w:rPr>
          <w:rFonts w:hint="eastAsia" w:ascii="宋体" w:hAnsi="宋体" w:eastAsia="宋体" w:cs="宋体"/>
          <w:color w:val="auto"/>
          <w:spacing w:val="0"/>
          <w:sz w:val="24"/>
          <w:szCs w:val="24"/>
          <w:highlight w:val="none"/>
        </w:rPr>
        <w:t>商务标书包括但不限于以下内容：</w:t>
      </w:r>
    </w:p>
    <w:p w14:paraId="31EB0ABF">
      <w:pPr>
        <w:keepNext w:val="0"/>
        <w:keepLines w:val="0"/>
        <w:pageBreakBefore w:val="0"/>
        <w:wordWrap w:val="0"/>
        <w:overflowPunct/>
        <w:topLinePunct w:val="0"/>
        <w:bidi w:val="0"/>
        <w:spacing w:before="154" w:line="220"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（1）封面（格式一）；</w:t>
      </w:r>
    </w:p>
    <w:p w14:paraId="4A190F17">
      <w:pPr>
        <w:keepNext w:val="0"/>
        <w:keepLines w:val="0"/>
        <w:pageBreakBefore w:val="0"/>
        <w:wordWrap w:val="0"/>
        <w:overflowPunct/>
        <w:topLinePunct w:val="0"/>
        <w:bidi w:val="0"/>
        <w:spacing w:before="153" w:line="222"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目录；</w:t>
      </w:r>
    </w:p>
    <w:p w14:paraId="1F18C31C">
      <w:pPr>
        <w:keepNext w:val="0"/>
        <w:keepLines w:val="0"/>
        <w:pageBreakBefore w:val="0"/>
        <w:wordWrap w:val="0"/>
        <w:overflowPunct/>
        <w:topLinePunct w:val="0"/>
        <w:bidi w:val="0"/>
        <w:spacing w:before="153" w:line="220"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（3）《投标函》（格式二）；</w:t>
      </w:r>
    </w:p>
    <w:p w14:paraId="2E24DC11">
      <w:pPr>
        <w:keepNext w:val="0"/>
        <w:keepLines w:val="0"/>
        <w:pageBreakBefore w:val="0"/>
        <w:wordWrap w:val="0"/>
        <w:overflowPunct/>
        <w:topLinePunct w:val="0"/>
        <w:bidi w:val="0"/>
        <w:spacing w:before="153" w:line="220"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（4）《各项承诺一览表》（格式三）；</w:t>
      </w:r>
    </w:p>
    <w:p w14:paraId="54330406">
      <w:pPr>
        <w:keepNext w:val="0"/>
        <w:keepLines w:val="0"/>
        <w:pageBreakBefore w:val="0"/>
        <w:wordWrap w:val="0"/>
        <w:overflowPunct/>
        <w:topLinePunct w:val="0"/>
        <w:bidi w:val="0"/>
        <w:spacing w:before="154"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（5）《授权委托书》（格式四）；</w:t>
      </w:r>
    </w:p>
    <w:p w14:paraId="05B4FE81">
      <w:pPr>
        <w:keepNext w:val="0"/>
        <w:keepLines w:val="0"/>
        <w:pageBreakBefore w:val="0"/>
        <w:wordWrap w:val="0"/>
        <w:overflowPunct/>
        <w:topLinePunct w:val="0"/>
        <w:bidi w:val="0"/>
        <w:spacing w:before="156" w:line="220"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（6）《法定代表人身份证明》（格式五）；</w:t>
      </w:r>
    </w:p>
    <w:p w14:paraId="49E985F1">
      <w:pPr>
        <w:keepNext w:val="0"/>
        <w:keepLines w:val="0"/>
        <w:pageBreakBefore w:val="0"/>
        <w:wordWrap w:val="0"/>
        <w:overflowPunct/>
        <w:topLinePunct w:val="0"/>
        <w:bidi w:val="0"/>
        <w:spacing w:before="154"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（7）《联合体协议书》</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如有</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（格式六）及所附资料；</w:t>
      </w:r>
    </w:p>
    <w:p w14:paraId="37DFCCB5">
      <w:pPr>
        <w:keepNext w:val="0"/>
        <w:keepLines w:val="0"/>
        <w:pageBreakBefore w:val="0"/>
        <w:wordWrap w:val="0"/>
        <w:overflowPunct/>
        <w:topLinePunct w:val="0"/>
        <w:bidi w:val="0"/>
        <w:spacing w:before="153" w:line="309" w:lineRule="auto"/>
        <w:ind w:left="13" w:right="133"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投标保证缴纳证明（投标人采用投标保证金的，附建设工程交易系统《缴纳投标保证金通知书》页面截图和银行转账单彩色扫描件；采用投标保证担保的，附银行保函彩色扫描件；采用投标保证保险的，附电子保单和</w:t>
      </w:r>
      <w:r>
        <w:rPr>
          <w:rFonts w:hint="eastAsia" w:ascii="宋体" w:hAnsi="宋体" w:eastAsia="宋体" w:cs="宋体"/>
          <w:b/>
          <w:bCs/>
          <w:color w:val="auto"/>
          <w:spacing w:val="0"/>
          <w:sz w:val="24"/>
          <w:szCs w:val="24"/>
          <w:highlight w:val="none"/>
        </w:rPr>
        <w:t>《韶关市公共资源交易一体化平台保证金缴纳信息》页面截图</w:t>
      </w:r>
      <w:r>
        <w:rPr>
          <w:rFonts w:hint="eastAsia" w:ascii="宋体" w:hAnsi="宋体" w:eastAsia="宋体" w:cs="宋体"/>
          <w:color w:val="auto"/>
          <w:spacing w:val="0"/>
          <w:sz w:val="24"/>
          <w:szCs w:val="24"/>
          <w:highlight w:val="none"/>
        </w:rPr>
        <w:t>）；</w:t>
      </w:r>
    </w:p>
    <w:p w14:paraId="65B9BA93">
      <w:pPr>
        <w:keepNext w:val="0"/>
        <w:keepLines w:val="0"/>
        <w:pageBreakBefore w:val="0"/>
        <w:wordWrap w:val="0"/>
        <w:overflowPunct/>
        <w:topLinePunct w:val="0"/>
        <w:bidi w:val="0"/>
        <w:spacing w:before="156"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（9）《投标人基本情况表》（格式七）及所附资料；</w:t>
      </w:r>
    </w:p>
    <w:p w14:paraId="3BFA4E07">
      <w:pPr>
        <w:keepNext w:val="0"/>
        <w:keepLines w:val="0"/>
        <w:pageBreakBefore w:val="0"/>
        <w:wordWrap w:val="0"/>
        <w:overflowPunct/>
        <w:topLinePunct w:val="0"/>
        <w:bidi w:val="0"/>
        <w:spacing w:before="155"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（10）《项目经理简历表》（格式八）及所附资料；</w:t>
      </w:r>
    </w:p>
    <w:p w14:paraId="6715BECA">
      <w:pPr>
        <w:keepNext w:val="0"/>
        <w:keepLines w:val="0"/>
        <w:pageBreakBefore w:val="0"/>
        <w:wordWrap w:val="0"/>
        <w:overflowPunct/>
        <w:topLinePunct w:val="0"/>
        <w:bidi w:val="0"/>
        <w:spacing w:before="154" w:line="220"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（11）《项目经理任职声明》（格式九）；</w:t>
      </w:r>
    </w:p>
    <w:p w14:paraId="19251316">
      <w:pPr>
        <w:keepNext w:val="0"/>
        <w:keepLines w:val="0"/>
        <w:pageBreakBefore w:val="0"/>
        <w:wordWrap w:val="0"/>
        <w:overflowPunct/>
        <w:topLinePunct w:val="0"/>
        <w:bidi w:val="0"/>
        <w:spacing w:before="156"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（12）《项目技术负责人简历表》（格式十）及所附资料；</w:t>
      </w:r>
    </w:p>
    <w:p w14:paraId="3D769AD2">
      <w:pPr>
        <w:keepNext w:val="0"/>
        <w:keepLines w:val="0"/>
        <w:pageBreakBefore w:val="0"/>
        <w:wordWrap w:val="0"/>
        <w:overflowPunct/>
        <w:topLinePunct w:val="0"/>
        <w:bidi w:val="0"/>
        <w:spacing w:before="154"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（13）《项</w:t>
      </w:r>
      <w:bookmarkStart w:id="48" w:name="OLE_LINK7"/>
      <w:r>
        <w:rPr>
          <w:rFonts w:hint="eastAsia" w:ascii="宋体" w:hAnsi="宋体" w:eastAsia="宋体" w:cs="宋体"/>
          <w:color w:val="auto"/>
          <w:spacing w:val="0"/>
          <w:sz w:val="24"/>
          <w:szCs w:val="24"/>
          <w:highlight w:val="none"/>
        </w:rPr>
        <w:t>目管理机构组成表》（格式十一）及</w:t>
      </w:r>
      <w:bookmarkEnd w:id="48"/>
      <w:r>
        <w:rPr>
          <w:rFonts w:hint="eastAsia" w:ascii="宋体" w:hAnsi="宋体" w:eastAsia="宋体" w:cs="宋体"/>
          <w:color w:val="auto"/>
          <w:spacing w:val="0"/>
          <w:sz w:val="24"/>
          <w:szCs w:val="24"/>
          <w:highlight w:val="none"/>
        </w:rPr>
        <w:t>所附资料；</w:t>
      </w:r>
    </w:p>
    <w:p w14:paraId="72296F36">
      <w:pPr>
        <w:keepNext w:val="0"/>
        <w:keepLines w:val="0"/>
        <w:pageBreakBefore w:val="0"/>
        <w:wordWrap w:val="0"/>
        <w:overflowPunct/>
        <w:topLinePunct w:val="0"/>
        <w:bidi w:val="0"/>
        <w:spacing w:before="155"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（14）本节第 </w:t>
      </w:r>
      <w:r>
        <w:rPr>
          <w:rFonts w:hint="eastAsia" w:ascii="宋体" w:hAnsi="宋体" w:eastAsia="宋体" w:cs="宋体"/>
          <w:b/>
          <w:bCs/>
          <w:color w:val="auto"/>
          <w:spacing w:val="0"/>
          <w:sz w:val="24"/>
          <w:szCs w:val="24"/>
          <w:highlight w:val="none"/>
        </w:rPr>
        <w:t xml:space="preserve">15.5.1 </w:t>
      </w:r>
      <w:r>
        <w:rPr>
          <w:rFonts w:hint="eastAsia" w:ascii="宋体" w:hAnsi="宋体" w:eastAsia="宋体" w:cs="宋体"/>
          <w:color w:val="auto"/>
          <w:spacing w:val="0"/>
          <w:sz w:val="24"/>
          <w:szCs w:val="24"/>
          <w:highlight w:val="none"/>
        </w:rPr>
        <w:t>目“评标方法 ”要求提供的评审资料；</w:t>
      </w:r>
    </w:p>
    <w:p w14:paraId="09FFCDE8">
      <w:pPr>
        <w:keepNext w:val="0"/>
        <w:keepLines w:val="0"/>
        <w:pageBreakBefore w:val="0"/>
        <w:wordWrap w:val="0"/>
        <w:overflowPunct/>
        <w:topLinePunct w:val="0"/>
        <w:bidi w:val="0"/>
        <w:spacing w:before="78" w:line="299" w:lineRule="auto"/>
        <w:ind w:left="8" w:right="61" w:firstLine="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（15）投标人认为有必要补充的其他资料。（例如投标人已经工商变更，但其企业资质证书、安全生产许可证或其员工执业资格注册证书上的企业名称未能在投标期间完成变更的书面说明和佐证材料等）</w:t>
      </w:r>
    </w:p>
    <w:p w14:paraId="5690752B">
      <w:pPr>
        <w:keepNext w:val="0"/>
        <w:keepLines w:val="0"/>
        <w:pageBreakBefore w:val="0"/>
        <w:wordWrap w:val="0"/>
        <w:overflowPunct/>
        <w:topLinePunct w:val="0"/>
        <w:bidi w:val="0"/>
        <w:spacing w:before="155" w:line="262" w:lineRule="auto"/>
        <w:ind w:left="9" w:right="61" w:firstLine="48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10.2.2  </w:t>
      </w:r>
      <w:r>
        <w:rPr>
          <w:rFonts w:hint="eastAsia" w:ascii="宋体" w:hAnsi="宋体" w:eastAsia="宋体" w:cs="宋体"/>
          <w:color w:val="auto"/>
          <w:spacing w:val="0"/>
          <w:sz w:val="24"/>
          <w:szCs w:val="24"/>
          <w:highlight w:val="none"/>
        </w:rPr>
        <w:t xml:space="preserve">本节第 </w:t>
      </w:r>
      <w:r>
        <w:rPr>
          <w:rFonts w:hint="eastAsia" w:ascii="宋体" w:hAnsi="宋体" w:eastAsia="宋体" w:cs="宋体"/>
          <w:b/>
          <w:bCs/>
          <w:color w:val="auto"/>
          <w:spacing w:val="0"/>
          <w:sz w:val="24"/>
          <w:szCs w:val="24"/>
          <w:highlight w:val="none"/>
        </w:rPr>
        <w:t xml:space="preserve">10.2.1  </w:t>
      </w:r>
      <w:r>
        <w:rPr>
          <w:rFonts w:hint="eastAsia" w:ascii="宋体" w:hAnsi="宋体" w:eastAsia="宋体" w:cs="宋体"/>
          <w:color w:val="auto"/>
          <w:spacing w:val="0"/>
          <w:sz w:val="24"/>
          <w:szCs w:val="24"/>
          <w:highlight w:val="none"/>
        </w:rPr>
        <w:t>目中所列出的商务标书组成内容中，第（1）至第（13）项所有投标人均应提供，</w:t>
      </w:r>
      <w:r>
        <w:rPr>
          <w:rFonts w:hint="eastAsia" w:ascii="宋体" w:hAnsi="宋体" w:eastAsia="宋体" w:cs="宋体"/>
          <w:b/>
          <w:bCs/>
          <w:color w:val="auto"/>
          <w:spacing w:val="0"/>
          <w:sz w:val="24"/>
          <w:szCs w:val="24"/>
          <w:highlight w:val="none"/>
        </w:rPr>
        <w:t>但非联合体投标的，无需提供第（7）项内容。</w:t>
      </w:r>
    </w:p>
    <w:p w14:paraId="7DCE5067">
      <w:pPr>
        <w:keepNext w:val="0"/>
        <w:keepLines w:val="0"/>
        <w:pageBreakBefore w:val="0"/>
        <w:wordWrap w:val="0"/>
        <w:overflowPunct/>
        <w:topLinePunct w:val="0"/>
        <w:bidi w:val="0"/>
        <w:spacing w:before="199" w:line="279" w:lineRule="auto"/>
        <w:ind w:right="61" w:firstLine="482" w:firstLineChars="2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10.2.3 </w:t>
      </w:r>
      <w:r>
        <w:rPr>
          <w:rFonts w:hint="eastAsia" w:ascii="宋体" w:hAnsi="宋体" w:eastAsia="宋体" w:cs="宋体"/>
          <w:color w:val="auto"/>
          <w:spacing w:val="0"/>
          <w:sz w:val="24"/>
          <w:szCs w:val="24"/>
          <w:highlight w:val="none"/>
        </w:rPr>
        <w:t>商务标书的组成内容按本节第 10.2.1 目规定的顺序整理、编排后，逐页（页码起始从封面开始）连续标记页码。</w:t>
      </w:r>
    </w:p>
    <w:p w14:paraId="2508E257">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21FAC894">
      <w:pPr>
        <w:keepNext w:val="0"/>
        <w:keepLines w:val="0"/>
        <w:pageBreakBefore w:val="0"/>
        <w:wordWrap w:val="0"/>
        <w:overflowPunct/>
        <w:topLinePunct w:val="0"/>
        <w:bidi w:val="0"/>
        <w:spacing w:before="78" w:line="219" w:lineRule="auto"/>
        <w:ind w:left="496"/>
        <w:outlineLvl w:val="3"/>
        <w:rPr>
          <w:rFonts w:hint="eastAsia" w:ascii="宋体" w:hAnsi="宋体" w:eastAsia="宋体" w:cs="宋体"/>
          <w:color w:val="auto"/>
          <w:spacing w:val="0"/>
          <w:sz w:val="24"/>
          <w:szCs w:val="24"/>
          <w:highlight w:val="none"/>
        </w:rPr>
      </w:pPr>
      <w:bookmarkStart w:id="49" w:name="_Toc29370"/>
      <w:bookmarkStart w:id="50" w:name="_Toc10602"/>
      <w:r>
        <w:rPr>
          <w:rFonts w:hint="eastAsia" w:ascii="宋体" w:hAnsi="宋体" w:eastAsia="宋体" w:cs="宋体"/>
          <w:b/>
          <w:bCs/>
          <w:color w:val="auto"/>
          <w:spacing w:val="0"/>
          <w:sz w:val="24"/>
          <w:szCs w:val="24"/>
          <w:highlight w:val="none"/>
        </w:rPr>
        <w:t xml:space="preserve">10.3  </w:t>
      </w:r>
      <w:r>
        <w:rPr>
          <w:rFonts w:hint="eastAsia" w:ascii="宋体" w:hAnsi="宋体" w:eastAsia="宋体" w:cs="宋体"/>
          <w:color w:val="auto"/>
          <w:spacing w:val="0"/>
          <w:sz w:val="24"/>
          <w:szCs w:val="24"/>
          <w:highlight w:val="none"/>
        </w:rPr>
        <w:t>经济标书的编制要求</w:t>
      </w:r>
      <w:bookmarkEnd w:id="49"/>
      <w:bookmarkEnd w:id="50"/>
    </w:p>
    <w:p w14:paraId="58AE3CD4">
      <w:pPr>
        <w:keepNext w:val="0"/>
        <w:keepLines w:val="0"/>
        <w:pageBreakBefore w:val="0"/>
        <w:wordWrap w:val="0"/>
        <w:overflowPunct/>
        <w:topLinePunct w:val="0"/>
        <w:bidi w:val="0"/>
        <w:spacing w:before="154"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10.3.1  </w:t>
      </w:r>
      <w:r>
        <w:rPr>
          <w:rFonts w:hint="eastAsia" w:ascii="宋体" w:hAnsi="宋体" w:eastAsia="宋体" w:cs="宋体"/>
          <w:color w:val="auto"/>
          <w:spacing w:val="0"/>
          <w:sz w:val="24"/>
          <w:szCs w:val="24"/>
          <w:highlight w:val="none"/>
        </w:rPr>
        <w:t>经济标书包括以下内容：</w:t>
      </w:r>
    </w:p>
    <w:p w14:paraId="45B78DBA">
      <w:pPr>
        <w:keepNext w:val="0"/>
        <w:keepLines w:val="0"/>
        <w:pageBreakBefore w:val="0"/>
        <w:wordWrap w:val="0"/>
        <w:overflowPunct/>
        <w:topLinePunct w:val="0"/>
        <w:bidi w:val="0"/>
        <w:spacing w:before="156"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（1）封面（格式一）；</w:t>
      </w:r>
    </w:p>
    <w:p w14:paraId="4F28CB15">
      <w:pPr>
        <w:keepNext w:val="0"/>
        <w:keepLines w:val="0"/>
        <w:pageBreakBefore w:val="0"/>
        <w:wordWrap w:val="0"/>
        <w:overflowPunct/>
        <w:topLinePunct w:val="0"/>
        <w:bidi w:val="0"/>
        <w:spacing w:before="153" w:line="222"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目录；</w:t>
      </w:r>
    </w:p>
    <w:p w14:paraId="0B134D18">
      <w:pPr>
        <w:keepNext w:val="0"/>
        <w:keepLines w:val="0"/>
        <w:pageBreakBefore w:val="0"/>
        <w:wordWrap w:val="0"/>
        <w:overflowPunct/>
        <w:topLinePunct w:val="0"/>
        <w:bidi w:val="0"/>
        <w:spacing w:before="150"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（3）《投标总价》；</w:t>
      </w:r>
    </w:p>
    <w:p w14:paraId="470AD640">
      <w:pPr>
        <w:keepNext w:val="0"/>
        <w:keepLines w:val="0"/>
        <w:pageBreakBefore w:val="0"/>
        <w:wordWrap w:val="0"/>
        <w:overflowPunct/>
        <w:topLinePunct w:val="0"/>
        <w:bidi w:val="0"/>
        <w:spacing w:before="155" w:line="220" w:lineRule="auto"/>
        <w:ind w:left="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说明：《投标总价》的格式按照《</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》（GB/T50500-2024）执行，并应满足以下要求：</w:t>
      </w:r>
    </w:p>
    <w:p w14:paraId="1DBC1738">
      <w:pPr>
        <w:keepNext w:val="0"/>
        <w:keepLines w:val="0"/>
        <w:pageBreakBefore w:val="0"/>
        <w:wordWrap w:val="0"/>
        <w:overflowPunct/>
        <w:topLinePunct w:val="0"/>
        <w:bidi w:val="0"/>
        <w:spacing w:before="150" w:line="309" w:lineRule="auto"/>
        <w:ind w:left="8" w:firstLine="482"/>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a </w:t>
      </w:r>
      <w:r>
        <w:rPr>
          <w:rFonts w:hint="eastAsia" w:ascii="宋体" w:hAnsi="宋体" w:eastAsia="宋体" w:cs="宋体"/>
          <w:color w:val="auto"/>
          <w:spacing w:val="0"/>
          <w:sz w:val="24"/>
          <w:szCs w:val="24"/>
          <w:highlight w:val="none"/>
        </w:rPr>
        <w:t>．《投标总价》后应附编制人的造价工程师注册证书彩色扫描件（须扫描至变更注册栏，</w:t>
      </w:r>
      <w:r>
        <w:rPr>
          <w:rFonts w:hint="eastAsia" w:ascii="宋体" w:hAnsi="宋体" w:eastAsia="宋体" w:cs="宋体"/>
          <w:b/>
          <w:bCs/>
          <w:color w:val="auto"/>
          <w:spacing w:val="0"/>
          <w:sz w:val="24"/>
          <w:szCs w:val="24"/>
          <w:highlight w:val="none"/>
        </w:rPr>
        <w:t>一级造价师或二级造价师均可提供电子证书</w:t>
      </w:r>
      <w:r>
        <w:rPr>
          <w:rFonts w:hint="eastAsia" w:ascii="宋体" w:hAnsi="宋体" w:eastAsia="宋体" w:cs="宋体"/>
          <w:color w:val="auto"/>
          <w:spacing w:val="0"/>
          <w:sz w:val="24"/>
          <w:szCs w:val="24"/>
          <w:highlight w:val="none"/>
        </w:rPr>
        <w:t>）；投标人委托造价咨询单位编制《投标总价》的，在该扉页“投标人”栏目加盖造价咨询人公章，并在该扉页后附造价咨询人的营业执照副本彩色扫描件。</w:t>
      </w:r>
    </w:p>
    <w:p w14:paraId="11E213A5">
      <w:pPr>
        <w:keepNext w:val="0"/>
        <w:keepLines w:val="0"/>
        <w:pageBreakBefore w:val="0"/>
        <w:wordWrap w:val="0"/>
        <w:overflowPunct/>
        <w:topLinePunct w:val="0"/>
        <w:bidi w:val="0"/>
        <w:spacing w:before="119" w:line="314" w:lineRule="auto"/>
        <w:ind w:left="10" w:right="61"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b.  </w:t>
      </w:r>
      <w:r>
        <w:rPr>
          <w:rFonts w:hint="eastAsia" w:ascii="宋体" w:hAnsi="宋体" w:eastAsia="宋体" w:cs="宋体"/>
          <w:color w:val="auto"/>
          <w:spacing w:val="0"/>
          <w:sz w:val="24"/>
          <w:szCs w:val="24"/>
          <w:highlight w:val="none"/>
        </w:rPr>
        <w:t>投标人认为有必要补充的其他资料（例如关于投标总价下浮率超过 15%的书面说明和佐证材料）。</w:t>
      </w:r>
    </w:p>
    <w:p w14:paraId="18794571">
      <w:pPr>
        <w:keepNext w:val="0"/>
        <w:keepLines w:val="0"/>
        <w:pageBreakBefore w:val="0"/>
        <w:wordWrap w:val="0"/>
        <w:overflowPunct/>
        <w:topLinePunct w:val="0"/>
        <w:bidi w:val="0"/>
        <w:spacing w:before="99" w:line="280" w:lineRule="auto"/>
        <w:ind w:left="10" w:right="63" w:firstLine="48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10.3.2  </w:t>
      </w:r>
      <w:r>
        <w:rPr>
          <w:rFonts w:hint="eastAsia" w:ascii="宋体" w:hAnsi="宋体" w:eastAsia="宋体" w:cs="宋体"/>
          <w:color w:val="auto"/>
          <w:spacing w:val="0"/>
          <w:sz w:val="24"/>
          <w:szCs w:val="24"/>
          <w:highlight w:val="none"/>
        </w:rPr>
        <w:t xml:space="preserve">本节第 </w:t>
      </w:r>
      <w:r>
        <w:rPr>
          <w:rFonts w:hint="eastAsia" w:ascii="宋体" w:hAnsi="宋体" w:eastAsia="宋体" w:cs="宋体"/>
          <w:b/>
          <w:bCs/>
          <w:color w:val="auto"/>
          <w:spacing w:val="0"/>
          <w:sz w:val="24"/>
          <w:szCs w:val="24"/>
          <w:highlight w:val="none"/>
        </w:rPr>
        <w:t xml:space="preserve">10.3.1  </w:t>
      </w:r>
      <w:r>
        <w:rPr>
          <w:rFonts w:hint="eastAsia" w:ascii="宋体" w:hAnsi="宋体" w:eastAsia="宋体" w:cs="宋体"/>
          <w:color w:val="auto"/>
          <w:spacing w:val="0"/>
          <w:sz w:val="24"/>
          <w:szCs w:val="24"/>
          <w:highlight w:val="none"/>
        </w:rPr>
        <w:t>目中所列出的经济标书组成内容中，第（1）至第（3）项所有投标人均应提供。</w:t>
      </w:r>
    </w:p>
    <w:p w14:paraId="4A4F5FB9">
      <w:pPr>
        <w:keepNext w:val="0"/>
        <w:keepLines w:val="0"/>
        <w:pageBreakBefore w:val="0"/>
        <w:wordWrap w:val="0"/>
        <w:overflowPunct/>
        <w:topLinePunct w:val="0"/>
        <w:bidi w:val="0"/>
        <w:spacing w:before="155" w:line="279" w:lineRule="auto"/>
        <w:ind w:left="8" w:right="61" w:firstLine="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10.3.3 </w:t>
      </w:r>
      <w:r>
        <w:rPr>
          <w:rFonts w:hint="eastAsia" w:ascii="宋体" w:hAnsi="宋体" w:eastAsia="宋体" w:cs="宋体"/>
          <w:color w:val="auto"/>
          <w:spacing w:val="0"/>
          <w:sz w:val="24"/>
          <w:szCs w:val="24"/>
          <w:highlight w:val="none"/>
        </w:rPr>
        <w:t>经济标书的组成内容按本节第 10.3.1 目规定的顺序整理、编排后，逐页（页码起始从封面开始）连续标记页码。</w:t>
      </w:r>
    </w:p>
    <w:p w14:paraId="264838D4">
      <w:pPr>
        <w:keepNext w:val="0"/>
        <w:keepLines w:val="0"/>
        <w:pageBreakBefore w:val="0"/>
        <w:wordWrap w:val="0"/>
        <w:overflowPunct/>
        <w:topLinePunct w:val="0"/>
        <w:bidi w:val="0"/>
        <w:spacing w:before="82" w:line="213" w:lineRule="auto"/>
        <w:ind w:left="496"/>
        <w:outlineLvl w:val="3"/>
        <w:rPr>
          <w:rFonts w:hint="eastAsia" w:ascii="宋体" w:hAnsi="宋体" w:eastAsia="宋体" w:cs="宋体"/>
          <w:color w:val="auto"/>
          <w:spacing w:val="0"/>
          <w:sz w:val="25"/>
          <w:szCs w:val="25"/>
          <w:highlight w:val="none"/>
        </w:rPr>
      </w:pPr>
      <w:r>
        <w:rPr>
          <w:rFonts w:hint="eastAsia" w:ascii="宋体" w:hAnsi="宋体" w:eastAsia="宋体" w:cs="宋体"/>
          <w:b/>
          <w:bCs/>
          <w:color w:val="auto"/>
          <w:spacing w:val="0"/>
          <w:sz w:val="24"/>
          <w:szCs w:val="24"/>
          <w:highlight w:val="none"/>
        </w:rPr>
        <w:t xml:space="preserve">10.4  </w:t>
      </w:r>
      <w:r>
        <w:rPr>
          <w:rFonts w:hint="eastAsia" w:ascii="宋体" w:hAnsi="宋体" w:eastAsia="宋体" w:cs="宋体"/>
          <w:color w:val="auto"/>
          <w:spacing w:val="0"/>
          <w:sz w:val="24"/>
          <w:szCs w:val="24"/>
          <w:highlight w:val="none"/>
        </w:rPr>
        <w:t>施工组织设计的编制要求</w:t>
      </w:r>
    </w:p>
    <w:p w14:paraId="32650AA7">
      <w:pPr>
        <w:keepNext w:val="0"/>
        <w:keepLines w:val="0"/>
        <w:pageBreakBefore w:val="0"/>
        <w:wordWrap w:val="0"/>
        <w:overflowPunct/>
        <w:topLinePunct w:val="0"/>
        <w:bidi w:val="0"/>
        <w:spacing w:before="151"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10.4.1 </w:t>
      </w:r>
      <w:r>
        <w:rPr>
          <w:rFonts w:hint="eastAsia" w:ascii="宋体" w:hAnsi="宋体" w:eastAsia="宋体" w:cs="宋体"/>
          <w:color w:val="auto"/>
          <w:spacing w:val="0"/>
          <w:sz w:val="24"/>
          <w:szCs w:val="24"/>
          <w:highlight w:val="none"/>
        </w:rPr>
        <w:t>施工组织设计的编制依据包括且不限于：</w:t>
      </w:r>
    </w:p>
    <w:p w14:paraId="2CC53D1B">
      <w:pPr>
        <w:keepNext w:val="0"/>
        <w:keepLines w:val="0"/>
        <w:pageBreakBefore w:val="0"/>
        <w:wordWrap w:val="0"/>
        <w:overflowPunct/>
        <w:topLinePunct w:val="0"/>
        <w:bidi w:val="0"/>
        <w:spacing w:before="156"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（1）招标文件及其答疑（或修改）公告；</w:t>
      </w:r>
    </w:p>
    <w:p w14:paraId="3CBC08F9">
      <w:pPr>
        <w:keepNext w:val="0"/>
        <w:keepLines w:val="0"/>
        <w:pageBreakBefore w:val="0"/>
        <w:wordWrap w:val="0"/>
        <w:overflowPunct/>
        <w:topLinePunct w:val="0"/>
        <w:bidi w:val="0"/>
        <w:spacing w:before="155" w:line="221"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（2）施工图及相关资料；</w:t>
      </w:r>
    </w:p>
    <w:p w14:paraId="1FF9E32E">
      <w:pPr>
        <w:keepNext w:val="0"/>
        <w:keepLines w:val="0"/>
        <w:pageBreakBefore w:val="0"/>
        <w:wordWrap w:val="0"/>
        <w:overflowPunct/>
        <w:topLinePunct w:val="0"/>
        <w:bidi w:val="0"/>
        <w:spacing w:before="152"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（3）施工现场情况、工程特点；</w:t>
      </w:r>
    </w:p>
    <w:p w14:paraId="1F6D01DE">
      <w:pPr>
        <w:keepNext w:val="0"/>
        <w:keepLines w:val="0"/>
        <w:pageBreakBefore w:val="0"/>
        <w:wordWrap w:val="0"/>
        <w:overflowPunct/>
        <w:topLinePunct w:val="0"/>
        <w:bidi w:val="0"/>
        <w:spacing w:before="78"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（4）相关法律、法规、规定；</w:t>
      </w:r>
    </w:p>
    <w:p w14:paraId="67890EFC">
      <w:pPr>
        <w:keepNext w:val="0"/>
        <w:keepLines w:val="0"/>
        <w:pageBreakBefore w:val="0"/>
        <w:wordWrap w:val="0"/>
        <w:overflowPunct/>
        <w:topLinePunct w:val="0"/>
        <w:bidi w:val="0"/>
        <w:spacing w:before="153" w:line="299" w:lineRule="auto"/>
        <w:ind w:left="10" w:right="21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2455FECA">
      <w:pPr>
        <w:keepNext w:val="0"/>
        <w:keepLines w:val="0"/>
        <w:pageBreakBefore w:val="0"/>
        <w:wordWrap w:val="0"/>
        <w:overflowPunct/>
        <w:topLinePunct w:val="0"/>
        <w:bidi w:val="0"/>
        <w:spacing w:before="155"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（6）企业内部标准、工法。</w:t>
      </w:r>
    </w:p>
    <w:p w14:paraId="3E0DE143">
      <w:pPr>
        <w:keepNext w:val="0"/>
        <w:keepLines w:val="0"/>
        <w:pageBreakBefore w:val="0"/>
        <w:wordWrap w:val="0"/>
        <w:overflowPunct/>
        <w:topLinePunct w:val="0"/>
        <w:bidi w:val="0"/>
        <w:spacing w:before="153" w:line="220"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10.4.2 </w:t>
      </w:r>
      <w:r>
        <w:rPr>
          <w:rFonts w:hint="eastAsia" w:ascii="宋体" w:hAnsi="宋体" w:eastAsia="宋体" w:cs="宋体"/>
          <w:color w:val="auto"/>
          <w:spacing w:val="0"/>
          <w:sz w:val="24"/>
          <w:szCs w:val="24"/>
          <w:highlight w:val="none"/>
        </w:rPr>
        <w:t>施工组织设计包括但不限于以下内容：</w:t>
      </w:r>
    </w:p>
    <w:p w14:paraId="0A616D39">
      <w:pPr>
        <w:keepNext w:val="0"/>
        <w:keepLines w:val="0"/>
        <w:pageBreakBefore w:val="0"/>
        <w:wordWrap w:val="0"/>
        <w:overflowPunct/>
        <w:topLinePunct w:val="0"/>
        <w:bidi w:val="0"/>
        <w:spacing w:before="153"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（1）封面（格式一）；</w:t>
      </w:r>
    </w:p>
    <w:p w14:paraId="781D260F">
      <w:pPr>
        <w:keepNext w:val="0"/>
        <w:keepLines w:val="0"/>
        <w:pageBreakBefore w:val="0"/>
        <w:wordWrap w:val="0"/>
        <w:overflowPunct/>
        <w:topLinePunct w:val="0"/>
        <w:bidi w:val="0"/>
        <w:spacing w:before="156" w:line="222"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（2）目录；</w:t>
      </w:r>
    </w:p>
    <w:p w14:paraId="647BA50A">
      <w:pPr>
        <w:keepNext w:val="0"/>
        <w:keepLines w:val="0"/>
        <w:pageBreakBefore w:val="0"/>
        <w:wordWrap w:val="0"/>
        <w:overflowPunct/>
        <w:topLinePunct w:val="0"/>
        <w:bidi w:val="0"/>
        <w:spacing w:before="150"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（3）总体概述（包括施工程序总体设想及施工段划分等内容）；</w:t>
      </w:r>
    </w:p>
    <w:p w14:paraId="738A6B2B">
      <w:pPr>
        <w:keepNext w:val="0"/>
        <w:keepLines w:val="0"/>
        <w:pageBreakBefore w:val="0"/>
        <w:wordWrap w:val="0"/>
        <w:overflowPunct/>
        <w:topLinePunct w:val="0"/>
        <w:bidi w:val="0"/>
        <w:spacing w:before="154" w:line="299" w:lineRule="auto"/>
        <w:ind w:left="9" w:right="211"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（4）施工总进度计划及保证措施（包括进度管理目标；以横道图或标明关键线路的网络进度计划；保障进度计划需要的人、材、机需求计划及保证措施；违约责任承诺等内容）；</w:t>
      </w:r>
    </w:p>
    <w:p w14:paraId="29D24596">
      <w:pPr>
        <w:keepNext w:val="0"/>
        <w:keepLines w:val="0"/>
        <w:pageBreakBefore w:val="0"/>
        <w:wordWrap w:val="0"/>
        <w:overflowPunct/>
        <w:topLinePunct w:val="0"/>
        <w:bidi w:val="0"/>
        <w:spacing w:before="153"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（5）质量保证措施（包括质量管理目标；相应保证措施；违约责任承诺等内容</w:t>
      </w:r>
      <w:r>
        <w:rPr>
          <w:rFonts w:hint="eastAsia" w:ascii="宋体" w:hAnsi="宋体" w:eastAsia="宋体" w:cs="宋体"/>
          <w:color w:val="auto"/>
          <w:spacing w:val="0"/>
          <w:w w:val="97"/>
          <w:sz w:val="24"/>
          <w:szCs w:val="24"/>
          <w:highlight w:val="none"/>
        </w:rPr>
        <w:t>）；</w:t>
      </w:r>
    </w:p>
    <w:p w14:paraId="0C06049B">
      <w:pPr>
        <w:keepNext w:val="0"/>
        <w:keepLines w:val="0"/>
        <w:pageBreakBefore w:val="0"/>
        <w:wordWrap w:val="0"/>
        <w:overflowPunct/>
        <w:topLinePunct w:val="0"/>
        <w:bidi w:val="0"/>
        <w:spacing w:before="156" w:line="279" w:lineRule="auto"/>
        <w:ind w:left="11" w:right="211"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（6）施工技术措施（包括关键施工技术、工艺及工程项目实施的重点、难点分析和解决方案；新技术应用与承诺等内容）；</w:t>
      </w:r>
    </w:p>
    <w:p w14:paraId="7DBAE162">
      <w:pPr>
        <w:keepNext w:val="0"/>
        <w:keepLines w:val="0"/>
        <w:pageBreakBefore w:val="0"/>
        <w:wordWrap w:val="0"/>
        <w:overflowPunct/>
        <w:topLinePunct w:val="0"/>
        <w:bidi w:val="0"/>
        <w:spacing w:before="118" w:line="297" w:lineRule="auto"/>
        <w:ind w:left="11" w:right="31"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（7）绿色施工、安全防护、文明施工措施计划(应对建设单位组织的勘察设计等单位在施工招标文件中列出的危大工程清单(详见格式十三)进行投标文件回应，如有)；</w:t>
      </w:r>
    </w:p>
    <w:p w14:paraId="5355E3A3">
      <w:pPr>
        <w:keepNext w:val="0"/>
        <w:keepLines w:val="0"/>
        <w:pageBreakBefore w:val="0"/>
        <w:wordWrap w:val="0"/>
        <w:overflowPunct/>
        <w:topLinePunct w:val="0"/>
        <w:bidi w:val="0"/>
        <w:spacing w:before="118" w:line="297" w:lineRule="auto"/>
        <w:ind w:left="11" w:right="31"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（8）施工现场总平面布置（</w:t>
      </w:r>
      <w:bookmarkStart w:id="51" w:name="OLE_LINK8"/>
      <w:r>
        <w:rPr>
          <w:rFonts w:hint="eastAsia" w:ascii="宋体" w:hAnsi="宋体" w:eastAsia="宋体" w:cs="宋体"/>
          <w:color w:val="auto"/>
          <w:spacing w:val="0"/>
          <w:sz w:val="24"/>
          <w:szCs w:val="24"/>
          <w:highlight w:val="none"/>
        </w:rPr>
        <w:t>投标人应递交一份施工现场总平面布置图，绘出现场临时设施布置图表并附文字说明，说明临时设施、加工车间、现场办公、设备及仓储、供电、供水、卫生、生活、道路、消防等设施的情况和布置</w:t>
      </w:r>
      <w:bookmarkEnd w:id="51"/>
      <w:r>
        <w:rPr>
          <w:rFonts w:hint="eastAsia" w:ascii="宋体" w:hAnsi="宋体" w:eastAsia="宋体" w:cs="宋体"/>
          <w:color w:val="auto"/>
          <w:spacing w:val="0"/>
          <w:sz w:val="24"/>
          <w:szCs w:val="24"/>
          <w:highlight w:val="none"/>
        </w:rPr>
        <w:t>）；</w:t>
      </w:r>
    </w:p>
    <w:p w14:paraId="45848756">
      <w:pPr>
        <w:keepNext w:val="0"/>
        <w:keepLines w:val="0"/>
        <w:pageBreakBefore w:val="0"/>
        <w:wordWrap w:val="0"/>
        <w:overflowPunct/>
        <w:topLinePunct w:val="0"/>
        <w:bidi w:val="0"/>
        <w:spacing w:before="155"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（9）项目管理机构。</w:t>
      </w:r>
    </w:p>
    <w:p w14:paraId="2D29EF4D">
      <w:pPr>
        <w:keepNext w:val="0"/>
        <w:keepLines w:val="0"/>
        <w:pageBreakBefore w:val="0"/>
        <w:wordWrap w:val="0"/>
        <w:overflowPunct/>
        <w:topLinePunct w:val="0"/>
        <w:bidi w:val="0"/>
        <w:spacing w:before="154" w:line="280" w:lineRule="auto"/>
        <w:ind w:right="211"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（10）投标人认为有必要补充的其他内容（例如对总包管理的认识以及对专业分包工程的管理、协调、配合、服务方案）。</w:t>
      </w:r>
    </w:p>
    <w:p w14:paraId="62C6C749">
      <w:pPr>
        <w:keepNext w:val="0"/>
        <w:keepLines w:val="0"/>
        <w:pageBreakBefore w:val="0"/>
        <w:wordWrap w:val="0"/>
        <w:overflowPunct/>
        <w:topLinePunct w:val="0"/>
        <w:bidi w:val="0"/>
        <w:spacing w:before="152" w:line="279" w:lineRule="auto"/>
        <w:ind w:right="196" w:firstLine="482" w:firstLineChars="2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10.4.3  </w:t>
      </w:r>
      <w:r>
        <w:rPr>
          <w:rFonts w:hint="eastAsia" w:ascii="宋体" w:hAnsi="宋体" w:eastAsia="宋体" w:cs="宋体"/>
          <w:color w:val="auto"/>
          <w:spacing w:val="0"/>
          <w:sz w:val="24"/>
          <w:szCs w:val="24"/>
          <w:highlight w:val="none"/>
        </w:rPr>
        <w:t xml:space="preserve">本节第 </w:t>
      </w:r>
      <w:r>
        <w:rPr>
          <w:rFonts w:hint="eastAsia" w:ascii="宋体" w:hAnsi="宋体" w:eastAsia="宋体" w:cs="宋体"/>
          <w:b/>
          <w:bCs/>
          <w:color w:val="auto"/>
          <w:spacing w:val="0"/>
          <w:sz w:val="24"/>
          <w:szCs w:val="24"/>
          <w:highlight w:val="none"/>
        </w:rPr>
        <w:t xml:space="preserve">10.4.2  </w:t>
      </w:r>
      <w:r>
        <w:rPr>
          <w:rFonts w:hint="eastAsia" w:ascii="宋体" w:hAnsi="宋体" w:eastAsia="宋体" w:cs="宋体"/>
          <w:color w:val="auto"/>
          <w:spacing w:val="0"/>
          <w:sz w:val="24"/>
          <w:szCs w:val="24"/>
          <w:highlight w:val="none"/>
        </w:rPr>
        <w:t>目中所列出的施工组织设计组成内容中，第（1）至第（9）项所有投标人均应提供。</w:t>
      </w:r>
    </w:p>
    <w:p w14:paraId="393F6AD6">
      <w:pPr>
        <w:keepNext w:val="0"/>
        <w:keepLines w:val="0"/>
        <w:pageBreakBefore w:val="0"/>
        <w:wordWrap w:val="0"/>
        <w:overflowPunct/>
        <w:topLinePunct w:val="0"/>
        <w:bidi w:val="0"/>
        <w:spacing w:before="157" w:line="279" w:lineRule="auto"/>
        <w:ind w:right="211" w:firstLine="482" w:firstLineChars="2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10.4.4 </w:t>
      </w:r>
      <w:r>
        <w:rPr>
          <w:rFonts w:hint="eastAsia" w:ascii="宋体" w:hAnsi="宋体" w:eastAsia="宋体" w:cs="宋体"/>
          <w:color w:val="auto"/>
          <w:spacing w:val="0"/>
          <w:sz w:val="24"/>
          <w:szCs w:val="24"/>
          <w:highlight w:val="none"/>
        </w:rPr>
        <w:t>施工组织设计的组成内容按本节第 10.4.2 目规定的顺序整理、编排后，逐页（页码起始从封面开始）连续标记页码。</w:t>
      </w:r>
    </w:p>
    <w:p w14:paraId="09DCBEEA">
      <w:pPr>
        <w:keepNext w:val="0"/>
        <w:keepLines w:val="0"/>
        <w:pageBreakBefore w:val="0"/>
        <w:wordWrap w:val="0"/>
        <w:overflowPunct/>
        <w:topLinePunct w:val="0"/>
        <w:bidi w:val="0"/>
        <w:ind w:firstLine="480"/>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b/>
          <w:bCs/>
          <w:color w:val="auto"/>
          <w:spacing w:val="0"/>
          <w:sz w:val="24"/>
          <w:szCs w:val="24"/>
          <w:highlight w:val="none"/>
        </w:rPr>
        <w:t>10.4.5</w:t>
      </w:r>
      <w:bookmarkStart w:id="52" w:name="OLE_LINK9"/>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施工组织设计的正文不得超过</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200</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页</w:t>
      </w:r>
      <w:r>
        <w:rPr>
          <w:rFonts w:hint="eastAsia" w:ascii="宋体" w:hAnsi="宋体" w:eastAsia="宋体" w:cs="宋体"/>
          <w:color w:val="auto"/>
          <w:spacing w:val="0"/>
          <w:sz w:val="24"/>
          <w:szCs w:val="24"/>
          <w:highlight w:val="none"/>
          <w:lang w:eastAsia="zh-CN"/>
        </w:rPr>
        <w:t>。</w:t>
      </w:r>
      <w:bookmarkEnd w:id="52"/>
      <w:bookmarkStart w:id="53" w:name="bookmark121"/>
      <w:bookmarkEnd w:id="53"/>
    </w:p>
    <w:p w14:paraId="1A196123">
      <w:pP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4408858C">
      <w:pPr>
        <w:keepNext w:val="0"/>
        <w:keepLines w:val="0"/>
        <w:pageBreakBefore w:val="0"/>
        <w:wordWrap w:val="0"/>
        <w:overflowPunct/>
        <w:topLinePunct w:val="0"/>
        <w:bidi w:val="0"/>
        <w:spacing w:before="78" w:line="219" w:lineRule="auto"/>
        <w:ind w:left="496"/>
        <w:outlineLvl w:val="3"/>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rPr>
        <w:t>10.</w:t>
      </w:r>
      <w:r>
        <w:rPr>
          <w:rFonts w:hint="eastAsia" w:ascii="宋体" w:hAnsi="宋体" w:eastAsia="宋体" w:cs="宋体"/>
          <w:b/>
          <w:bCs/>
          <w:color w:val="auto"/>
          <w:spacing w:val="0"/>
          <w:sz w:val="24"/>
          <w:szCs w:val="24"/>
          <w:highlight w:val="none"/>
          <w:lang w:val="en-US" w:eastAsia="zh-CN"/>
        </w:rPr>
        <w:t>5</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定标文件的编制要求</w:t>
      </w:r>
    </w:p>
    <w:p w14:paraId="504314F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0.5</w:t>
      </w:r>
      <w:r>
        <w:rPr>
          <w:rFonts w:hint="eastAsia" w:ascii="宋体" w:hAnsi="宋体" w:eastAsia="宋体" w:cs="宋体"/>
          <w:b w:val="0"/>
          <w:bCs w:val="0"/>
          <w:color w:val="auto"/>
          <w:sz w:val="24"/>
          <w:highlight w:val="none"/>
        </w:rPr>
        <w:t xml:space="preserve">.1 </w:t>
      </w:r>
      <w:r>
        <w:rPr>
          <w:rFonts w:hint="eastAsia" w:ascii="宋体" w:hAnsi="宋体" w:eastAsia="宋体" w:cs="宋体"/>
          <w:b w:val="0"/>
          <w:bCs w:val="0"/>
          <w:color w:val="auto"/>
          <w:sz w:val="24"/>
          <w:highlight w:val="none"/>
          <w:lang w:val="en-US" w:eastAsia="zh-CN"/>
        </w:rPr>
        <w:t>定标文件</w:t>
      </w:r>
      <w:r>
        <w:rPr>
          <w:rFonts w:hint="eastAsia" w:ascii="宋体" w:hAnsi="宋体" w:eastAsia="宋体" w:cs="宋体"/>
          <w:b w:val="0"/>
          <w:bCs w:val="0"/>
          <w:color w:val="auto"/>
          <w:sz w:val="24"/>
          <w:highlight w:val="none"/>
        </w:rPr>
        <w:t>包括以下内容</w:t>
      </w:r>
      <w:r>
        <w:rPr>
          <w:rFonts w:hint="eastAsia" w:ascii="宋体" w:hAnsi="宋体" w:eastAsia="宋体" w:cs="宋体"/>
          <w:b w:val="0"/>
          <w:bCs w:val="0"/>
          <w:color w:val="auto"/>
          <w:sz w:val="24"/>
          <w:highlight w:val="none"/>
          <w:lang w:eastAsia="zh-CN"/>
        </w:rPr>
        <w:t>（</w:t>
      </w:r>
      <w:r>
        <w:rPr>
          <w:rFonts w:hint="default" w:ascii="宋体" w:hAnsi="宋体" w:eastAsia="宋体" w:cs="宋体"/>
          <w:b w:val="0"/>
          <w:bCs w:val="0"/>
          <w:color w:val="auto"/>
          <w:sz w:val="24"/>
          <w:highlight w:val="none"/>
          <w:lang w:val="en-US" w:eastAsia="zh-CN"/>
        </w:rPr>
        <w:t>定标文件只适用于定标阶段提交给定标委员会查阅，评标委员会评标时不采用定标文件评审</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w:t>
      </w:r>
    </w:p>
    <w:p w14:paraId="49C08FDD">
      <w:pPr>
        <w:keepNext w:val="0"/>
        <w:keepLines w:val="0"/>
        <w:pageBreakBefore w:val="0"/>
        <w:wordWrap w:val="0"/>
        <w:overflowPunct/>
        <w:topLinePunct w:val="0"/>
        <w:bidi w:val="0"/>
        <w:spacing w:before="156"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（1）封面（格式</w:t>
      </w:r>
      <w:r>
        <w:rPr>
          <w:rFonts w:hint="eastAsia" w:ascii="宋体" w:hAnsi="宋体" w:eastAsia="宋体" w:cs="宋体"/>
          <w:color w:val="auto"/>
          <w:spacing w:val="0"/>
          <w:sz w:val="24"/>
          <w:szCs w:val="24"/>
          <w:highlight w:val="none"/>
          <w:lang w:val="en-US" w:eastAsia="zh-CN"/>
        </w:rPr>
        <w:t>十六</w:t>
      </w:r>
      <w:r>
        <w:rPr>
          <w:rFonts w:hint="eastAsia" w:ascii="宋体" w:hAnsi="宋体" w:eastAsia="宋体" w:cs="宋体"/>
          <w:color w:val="auto"/>
          <w:spacing w:val="0"/>
          <w:sz w:val="24"/>
          <w:szCs w:val="24"/>
          <w:highlight w:val="none"/>
        </w:rPr>
        <w:t>）；</w:t>
      </w:r>
    </w:p>
    <w:p w14:paraId="0BE569D4">
      <w:pPr>
        <w:keepNext w:val="0"/>
        <w:keepLines w:val="0"/>
        <w:pageBreakBefore w:val="0"/>
        <w:wordWrap w:val="0"/>
        <w:overflowPunct/>
        <w:topLinePunct w:val="0"/>
        <w:bidi w:val="0"/>
        <w:spacing w:before="153" w:line="222"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目录；</w:t>
      </w:r>
    </w:p>
    <w:p w14:paraId="6615EA3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w:t>
      </w:r>
      <w:r>
        <w:rPr>
          <w:rFonts w:hint="eastAsia" w:ascii="宋体" w:hAnsi="宋体" w:eastAsia="宋体" w:cs="宋体"/>
          <w:b w:val="0"/>
          <w:bCs w:val="0"/>
          <w:color w:val="auto"/>
          <w:sz w:val="24"/>
          <w:highlight w:val="none"/>
          <w:lang w:val="en-US" w:eastAsia="zh-CN"/>
        </w:rPr>
        <w:t xml:space="preserve"> 定标因素评审资料（格式十七）</w:t>
      </w:r>
    </w:p>
    <w:p w14:paraId="2451D94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b/>
          <w:bCs/>
          <w:highlight w:val="none"/>
        </w:rPr>
      </w:pPr>
      <w:r>
        <w:rPr>
          <w:rFonts w:hint="eastAsia" w:ascii="宋体" w:hAnsi="宋体" w:eastAsia="宋体" w:cs="宋体"/>
          <w:b/>
          <w:bCs/>
          <w:color w:val="auto"/>
          <w:sz w:val="24"/>
          <w:highlight w:val="none"/>
          <w:lang w:val="en-US" w:eastAsia="zh-CN"/>
        </w:rPr>
        <w:t>注：第10.5的定标文件按照本章节第16.5定标因素所列提供，其中第16.5.6无需提供，其余</w:t>
      </w:r>
      <w:r>
        <w:rPr>
          <w:rFonts w:hint="eastAsia" w:ascii="宋体" w:hAnsi="宋体" w:eastAsia="宋体" w:cs="宋体"/>
          <w:b/>
          <w:bCs/>
          <w:color w:val="auto"/>
          <w:sz w:val="24"/>
          <w:highlight w:val="none"/>
        </w:rPr>
        <w:t>所有投标人均应提供。</w:t>
      </w:r>
    </w:p>
    <w:p w14:paraId="1FFEADB9">
      <w:pPr>
        <w:keepNext w:val="0"/>
        <w:keepLines w:val="0"/>
        <w:pageBreakBefore w:val="0"/>
        <w:wordWrap w:val="0"/>
        <w:overflowPunct/>
        <w:topLinePunct w:val="0"/>
        <w:bidi w:val="0"/>
        <w:spacing w:before="78" w:line="221" w:lineRule="auto"/>
        <w:ind w:left="496"/>
        <w:outlineLvl w:val="2"/>
        <w:rPr>
          <w:rFonts w:hint="eastAsia" w:ascii="宋体" w:hAnsi="宋体" w:eastAsia="宋体" w:cs="宋体"/>
          <w:color w:val="auto"/>
          <w:spacing w:val="0"/>
          <w:sz w:val="24"/>
          <w:szCs w:val="24"/>
          <w:highlight w:val="none"/>
        </w:rPr>
      </w:pPr>
      <w:bookmarkStart w:id="54" w:name="_Toc21936"/>
      <w:bookmarkStart w:id="55" w:name="_Toc20233"/>
      <w:r>
        <w:rPr>
          <w:rFonts w:hint="eastAsia" w:ascii="宋体" w:hAnsi="宋体" w:eastAsia="宋体" w:cs="宋体"/>
          <w:b/>
          <w:bCs/>
          <w:color w:val="auto"/>
          <w:spacing w:val="0"/>
          <w:sz w:val="24"/>
          <w:szCs w:val="24"/>
          <w:highlight w:val="none"/>
        </w:rPr>
        <w:t xml:space="preserve">11. </w:t>
      </w:r>
      <w:r>
        <w:rPr>
          <w:rFonts w:hint="eastAsia" w:ascii="宋体" w:hAnsi="宋体" w:eastAsia="宋体" w:cs="宋体"/>
          <w:color w:val="auto"/>
          <w:spacing w:val="0"/>
          <w:sz w:val="24"/>
          <w:szCs w:val="24"/>
          <w:highlight w:val="none"/>
        </w:rPr>
        <w:t>电子投标：</w:t>
      </w:r>
      <w:bookmarkEnd w:id="54"/>
      <w:bookmarkEnd w:id="55"/>
    </w:p>
    <w:p w14:paraId="5D9575E6">
      <w:pPr>
        <w:keepNext w:val="0"/>
        <w:keepLines w:val="0"/>
        <w:pageBreakBefore w:val="0"/>
        <w:wordWrap w:val="0"/>
        <w:overflowPunct/>
        <w:topLinePunct w:val="0"/>
        <w:bidi w:val="0"/>
        <w:spacing w:before="112" w:line="295" w:lineRule="auto"/>
        <w:ind w:left="10" w:firstLine="48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11.1  </w:t>
      </w:r>
      <w:r>
        <w:rPr>
          <w:rFonts w:hint="eastAsia" w:ascii="宋体" w:hAnsi="宋体" w:eastAsia="宋体" w:cs="宋体"/>
          <w:color w:val="auto"/>
          <w:spacing w:val="0"/>
          <w:sz w:val="24"/>
          <w:szCs w:val="24"/>
          <w:highlight w:val="none"/>
        </w:rPr>
        <w:t>在建设工程交易系统上传加盖了电子印章的投标文件、录入相关信息及标书页码信息，</w:t>
      </w:r>
      <w:r>
        <w:rPr>
          <w:rFonts w:hint="eastAsia" w:ascii="宋体" w:hAnsi="宋体" w:eastAsia="宋体" w:cs="宋体"/>
          <w:b/>
          <w:bCs/>
          <w:color w:val="auto"/>
          <w:spacing w:val="0"/>
          <w:sz w:val="24"/>
          <w:szCs w:val="24"/>
          <w:highlight w:val="none"/>
        </w:rPr>
        <w:t>（页码起始从封面开始）</w:t>
      </w:r>
      <w:r>
        <w:rPr>
          <w:rFonts w:hint="eastAsia" w:ascii="宋体" w:hAnsi="宋体" w:eastAsia="宋体" w:cs="宋体"/>
          <w:color w:val="auto"/>
          <w:spacing w:val="0"/>
          <w:sz w:val="24"/>
          <w:szCs w:val="24"/>
          <w:highlight w:val="none"/>
        </w:rPr>
        <w:t>并提交投标标书。提交标书为已加密投标文件。 具体操作参照《韶关市公共资源建设工程交易系统-投标人操作指南（电子评标）》。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6D6B8FF1">
      <w:pPr>
        <w:keepNext w:val="0"/>
        <w:keepLines w:val="0"/>
        <w:pageBreakBefore w:val="0"/>
        <w:wordWrap w:val="0"/>
        <w:overflowPunct/>
        <w:topLinePunct w:val="0"/>
        <w:bidi w:val="0"/>
        <w:spacing w:before="115" w:line="286" w:lineRule="auto"/>
        <w:ind w:left="10" w:right="81" w:firstLine="485"/>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11.2  </w:t>
      </w:r>
      <w:r>
        <w:rPr>
          <w:rFonts w:hint="eastAsia" w:ascii="宋体" w:hAnsi="宋体" w:eastAsia="宋体" w:cs="宋体"/>
          <w:color w:val="auto"/>
          <w:spacing w:val="0"/>
          <w:sz w:val="24"/>
          <w:szCs w:val="24"/>
          <w:highlight w:val="none"/>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5E60D4C8">
      <w:pPr>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78" w:line="286" w:lineRule="auto"/>
        <w:ind w:firstLine="482" w:firstLineChars="200"/>
        <w:textAlignment w:val="baseline"/>
        <w:outlineLvl w:val="2"/>
        <w:rPr>
          <w:rFonts w:hint="eastAsia" w:ascii="宋体" w:hAnsi="宋体" w:eastAsia="宋体" w:cs="宋体"/>
          <w:b/>
          <w:bCs/>
          <w:color w:val="auto"/>
          <w:spacing w:val="0"/>
          <w:sz w:val="24"/>
          <w:szCs w:val="24"/>
          <w:highlight w:val="none"/>
        </w:rPr>
      </w:pPr>
      <w:bookmarkStart w:id="56" w:name="_Toc2254"/>
      <w:r>
        <w:rPr>
          <w:rFonts w:hint="eastAsia" w:ascii="宋体" w:hAnsi="宋体" w:eastAsia="宋体" w:cs="宋体"/>
          <w:b/>
          <w:bCs/>
          <w:color w:val="auto"/>
          <w:spacing w:val="0"/>
          <w:sz w:val="24"/>
          <w:szCs w:val="24"/>
          <w:highlight w:val="none"/>
          <w:lang w:val="en-US" w:eastAsia="zh-CN"/>
        </w:rPr>
        <w:t>12.</w:t>
      </w:r>
      <w:r>
        <w:rPr>
          <w:rFonts w:hint="eastAsia" w:ascii="宋体" w:hAnsi="宋体" w:eastAsia="宋体" w:cs="宋体"/>
          <w:b/>
          <w:bCs/>
          <w:color w:val="auto"/>
          <w:spacing w:val="0"/>
          <w:w w:val="101"/>
          <w:sz w:val="24"/>
          <w:szCs w:val="24"/>
          <w:highlight w:val="none"/>
        </w:rPr>
        <w:t xml:space="preserve"> </w:t>
      </w:r>
      <w:bookmarkStart w:id="57" w:name="_Toc29834"/>
      <w:r>
        <w:rPr>
          <w:rFonts w:hint="eastAsia" w:ascii="宋体" w:hAnsi="宋体" w:eastAsia="宋体" w:cs="宋体"/>
          <w:b/>
          <w:bCs/>
          <w:color w:val="auto"/>
          <w:spacing w:val="0"/>
          <w:sz w:val="24"/>
          <w:szCs w:val="24"/>
          <w:highlight w:val="none"/>
        </w:rPr>
        <w:t>电子投标及投标解密失败及突发情况的补救方案</w:t>
      </w:r>
      <w:bookmarkEnd w:id="56"/>
      <w:bookmarkEnd w:id="57"/>
    </w:p>
    <w:p w14:paraId="36528AF2">
      <w:pPr>
        <w:keepNext w:val="0"/>
        <w:keepLines w:val="0"/>
        <w:pageBreakBefore w:val="0"/>
        <w:widowControl/>
        <w:kinsoku w:val="0"/>
        <w:wordWrap w:val="0"/>
        <w:overflowPunct/>
        <w:topLinePunct w:val="0"/>
        <w:autoSpaceDE w:val="0"/>
        <w:autoSpaceDN w:val="0"/>
        <w:bidi w:val="0"/>
        <w:adjustRightInd w:val="0"/>
        <w:snapToGrid w:val="0"/>
        <w:spacing w:before="78" w:line="286" w:lineRule="auto"/>
        <w:ind w:firstLine="482"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12.1 </w:t>
      </w:r>
      <w:r>
        <w:rPr>
          <w:rFonts w:hint="eastAsia" w:ascii="宋体" w:hAnsi="宋体" w:eastAsia="宋体" w:cs="宋体"/>
          <w:color w:val="auto"/>
          <w:spacing w:val="0"/>
          <w:sz w:val="24"/>
          <w:szCs w:val="24"/>
          <w:highlight w:val="none"/>
        </w:rPr>
        <w:t>按照交易平台关于全流程电子化项目的相关指南进行操作。详见：全国公共资源交易平台（广东省 ·韶关市）（https://ygp.gdzwfw.gov.cn/ggzy-portal/#/44 0200/index）服务指南栏目发布的最新版操作指引。</w:t>
      </w:r>
    </w:p>
    <w:p w14:paraId="377D15DB">
      <w:pPr>
        <w:keepNext w:val="0"/>
        <w:keepLines w:val="0"/>
        <w:pageBreakBefore w:val="0"/>
        <w:widowControl/>
        <w:kinsoku w:val="0"/>
        <w:wordWrap w:val="0"/>
        <w:overflowPunct/>
        <w:topLinePunct w:val="0"/>
        <w:autoSpaceDE w:val="0"/>
        <w:autoSpaceDN w:val="0"/>
        <w:bidi w:val="0"/>
        <w:adjustRightInd w:val="0"/>
        <w:snapToGrid w:val="0"/>
        <w:spacing w:before="113" w:line="286" w:lineRule="auto"/>
        <w:ind w:left="496"/>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12.2  </w:t>
      </w:r>
      <w:r>
        <w:rPr>
          <w:rFonts w:hint="eastAsia" w:ascii="宋体" w:hAnsi="宋体" w:eastAsia="宋体" w:cs="宋体"/>
          <w:color w:val="auto"/>
          <w:spacing w:val="0"/>
          <w:sz w:val="24"/>
          <w:szCs w:val="24"/>
          <w:highlight w:val="none"/>
        </w:rPr>
        <w:t>补救方案：</w:t>
      </w:r>
    </w:p>
    <w:p w14:paraId="62364ED5">
      <w:pPr>
        <w:keepNext w:val="0"/>
        <w:keepLines w:val="0"/>
        <w:pageBreakBefore w:val="0"/>
        <w:wordWrap w:val="0"/>
        <w:overflowPunct/>
        <w:topLinePunct w:val="0"/>
        <w:bidi w:val="0"/>
        <w:spacing w:before="115" w:line="220"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12.2.1  </w:t>
      </w:r>
      <w:r>
        <w:rPr>
          <w:rFonts w:hint="eastAsia" w:ascii="宋体" w:hAnsi="宋体" w:eastAsia="宋体" w:cs="宋体"/>
          <w:color w:val="auto"/>
          <w:spacing w:val="0"/>
          <w:sz w:val="24"/>
          <w:szCs w:val="24"/>
          <w:highlight w:val="none"/>
        </w:rPr>
        <w:t>投标文件解密失败的补救方案：</w:t>
      </w:r>
    </w:p>
    <w:p w14:paraId="43612194">
      <w:pPr>
        <w:keepNext w:val="0"/>
        <w:keepLines w:val="0"/>
        <w:pageBreakBefore w:val="0"/>
        <w:wordWrap w:val="0"/>
        <w:overflowPunct/>
        <w:topLinePunct w:val="0"/>
        <w:bidi w:val="0"/>
        <w:spacing w:before="115" w:line="298" w:lineRule="auto"/>
        <w:ind w:right="81"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 30 分钟内）内</w:t>
      </w:r>
      <w:bookmarkStart w:id="58" w:name="bookmark122"/>
      <w:bookmarkEnd w:id="58"/>
      <w:r>
        <w:rPr>
          <w:rFonts w:hint="eastAsia" w:ascii="宋体" w:hAnsi="宋体" w:eastAsia="宋体" w:cs="宋体"/>
          <w:color w:val="auto"/>
          <w:spacing w:val="0"/>
          <w:sz w:val="24"/>
          <w:szCs w:val="24"/>
          <w:highlight w:val="none"/>
        </w:rPr>
        <w:t>重新提交投标文件继续开标程序。</w:t>
      </w:r>
    </w:p>
    <w:p w14:paraId="701B225B">
      <w:pPr>
        <w:keepNext w:val="0"/>
        <w:keepLines w:val="0"/>
        <w:pageBreakBefore w:val="0"/>
        <w:wordWrap w:val="0"/>
        <w:overflowPunct/>
        <w:topLinePunct w:val="0"/>
        <w:bidi w:val="0"/>
        <w:spacing w:before="114" w:line="220"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12.2.2  </w:t>
      </w:r>
      <w:r>
        <w:rPr>
          <w:rFonts w:hint="eastAsia" w:ascii="宋体" w:hAnsi="宋体" w:eastAsia="宋体" w:cs="宋体"/>
          <w:color w:val="auto"/>
          <w:spacing w:val="0"/>
          <w:sz w:val="24"/>
          <w:szCs w:val="24"/>
          <w:highlight w:val="none"/>
        </w:rPr>
        <w:t>评标时突发情况的补救方案</w:t>
      </w:r>
    </w:p>
    <w:p w14:paraId="39E507D8">
      <w:pPr>
        <w:keepNext w:val="0"/>
        <w:keepLines w:val="0"/>
        <w:pageBreakBefore w:val="0"/>
        <w:wordWrap w:val="0"/>
        <w:overflowPunct/>
        <w:topLinePunct w:val="0"/>
        <w:bidi w:val="0"/>
        <w:spacing w:before="114" w:line="303" w:lineRule="auto"/>
        <w:ind w:right="81"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在评标过程中，因主场或副场网络故障、电子设备或者评标系统故障，以及其他原因导致无法继续进行评标时，在 4 小时以内解除故障的可继续评标，超过 4 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588029FB">
      <w:pPr>
        <w:keepNext w:val="0"/>
        <w:keepLines w:val="0"/>
        <w:pageBreakBefore w:val="0"/>
        <w:wordWrap w:val="0"/>
        <w:overflowPunct/>
        <w:topLinePunct w:val="0"/>
        <w:bidi w:val="0"/>
        <w:spacing w:before="69" w:line="324" w:lineRule="auto"/>
        <w:ind w:left="11" w:right="81" w:firstLine="484"/>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12.2.3  </w:t>
      </w:r>
      <w:r>
        <w:rPr>
          <w:rFonts w:hint="eastAsia" w:ascii="宋体" w:hAnsi="宋体" w:eastAsia="宋体" w:cs="宋体"/>
          <w:color w:val="auto"/>
          <w:spacing w:val="0"/>
          <w:sz w:val="24"/>
          <w:szCs w:val="24"/>
          <w:highlight w:val="none"/>
        </w:rPr>
        <w:t>除发生上述情况外，开标评标均以投标人（联合体投标的，由联合体牵头人）通过交易平台网上递交的电子投标文件为准。</w:t>
      </w:r>
    </w:p>
    <w:p w14:paraId="4E0357A1">
      <w:pPr>
        <w:keepNext w:val="0"/>
        <w:keepLines w:val="0"/>
        <w:pageBreakBefore w:val="0"/>
        <w:wordWrap w:val="0"/>
        <w:overflowPunct/>
        <w:topLinePunct w:val="0"/>
        <w:bidi w:val="0"/>
        <w:spacing w:before="78" w:line="220" w:lineRule="auto"/>
        <w:ind w:left="496"/>
        <w:outlineLvl w:val="2"/>
        <w:rPr>
          <w:rFonts w:hint="eastAsia" w:ascii="宋体" w:hAnsi="宋体" w:eastAsia="宋体" w:cs="宋体"/>
          <w:color w:val="auto"/>
          <w:spacing w:val="0"/>
          <w:sz w:val="24"/>
          <w:szCs w:val="24"/>
          <w:highlight w:val="none"/>
        </w:rPr>
      </w:pPr>
      <w:bookmarkStart w:id="59" w:name="_Toc27195"/>
      <w:bookmarkStart w:id="60" w:name="_Toc21046"/>
      <w:r>
        <w:rPr>
          <w:rFonts w:hint="eastAsia" w:ascii="宋体" w:hAnsi="宋体" w:eastAsia="宋体" w:cs="宋体"/>
          <w:b/>
          <w:bCs/>
          <w:color w:val="auto"/>
          <w:spacing w:val="0"/>
          <w:sz w:val="24"/>
          <w:szCs w:val="24"/>
          <w:highlight w:val="none"/>
        </w:rPr>
        <w:t>13 ．投标文件的提交</w:t>
      </w:r>
      <w:bookmarkEnd w:id="59"/>
      <w:bookmarkEnd w:id="60"/>
    </w:p>
    <w:p w14:paraId="3F8D164E">
      <w:pPr>
        <w:keepNext w:val="0"/>
        <w:keepLines w:val="0"/>
        <w:pageBreakBefore w:val="0"/>
        <w:wordWrap w:val="0"/>
        <w:overflowPunct/>
        <w:topLinePunct w:val="0"/>
        <w:bidi w:val="0"/>
        <w:spacing w:before="123" w:line="278" w:lineRule="auto"/>
        <w:ind w:left="13" w:right="81" w:firstLine="482"/>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13.1  </w:t>
      </w:r>
      <w:r>
        <w:rPr>
          <w:rFonts w:hint="eastAsia" w:ascii="宋体" w:hAnsi="宋体" w:eastAsia="宋体" w:cs="宋体"/>
          <w:color w:val="auto"/>
          <w:spacing w:val="0"/>
          <w:sz w:val="24"/>
          <w:szCs w:val="24"/>
          <w:highlight w:val="none"/>
        </w:rPr>
        <w:t>在投标文件提交截止时间前，投标人通过全国公共资源交易平台（广东省 ·韶关市）提交已加密投标文件。逾期提交的电子投标文件，全国公共资源交易平台（广东省 ·韶关市）将予以拒收。</w:t>
      </w:r>
    </w:p>
    <w:p w14:paraId="41832DDC">
      <w:pPr>
        <w:keepNext w:val="0"/>
        <w:keepLines w:val="0"/>
        <w:pageBreakBefore w:val="0"/>
        <w:wordWrap w:val="0"/>
        <w:overflowPunct/>
        <w:topLinePunct w:val="0"/>
        <w:bidi w:val="0"/>
        <w:spacing w:before="115"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13.2  </w:t>
      </w:r>
      <w:r>
        <w:rPr>
          <w:rFonts w:hint="eastAsia" w:ascii="宋体" w:hAnsi="宋体" w:eastAsia="宋体" w:cs="宋体"/>
          <w:color w:val="auto"/>
          <w:spacing w:val="0"/>
          <w:sz w:val="24"/>
          <w:szCs w:val="24"/>
          <w:highlight w:val="none"/>
        </w:rPr>
        <w:t>提交时间和地点：见本章第二节“重要事项时间地点一览表 ”</w:t>
      </w:r>
    </w:p>
    <w:p w14:paraId="51B2BDE9">
      <w:pPr>
        <w:keepNext w:val="0"/>
        <w:keepLines w:val="0"/>
        <w:pageBreakBefore w:val="0"/>
        <w:wordWrap w:val="0"/>
        <w:overflowPunct/>
        <w:topLinePunct w:val="0"/>
        <w:bidi w:val="0"/>
        <w:spacing w:before="113" w:line="279" w:lineRule="auto"/>
        <w:ind w:left="9" w:right="24" w:firstLine="48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13.3  </w:t>
      </w:r>
      <w:r>
        <w:rPr>
          <w:rFonts w:hint="eastAsia" w:ascii="宋体" w:hAnsi="宋体" w:eastAsia="宋体" w:cs="宋体"/>
          <w:color w:val="auto"/>
          <w:spacing w:val="0"/>
          <w:sz w:val="24"/>
          <w:szCs w:val="24"/>
          <w:highlight w:val="none"/>
        </w:rPr>
        <w:t>递交时间和地点：投标人如有招标文件要求提交的用于评审的证书、证件、证明原件（附一式两份清单），由投标人法定代表人或其委托代理人在指定的时间和地点递交（见“重要事项时间地点一览表 ”）。</w:t>
      </w:r>
    </w:p>
    <w:p w14:paraId="73970F50">
      <w:pPr>
        <w:keepNext w:val="0"/>
        <w:keepLines w:val="0"/>
        <w:pageBreakBefore w:val="0"/>
        <w:wordWrap w:val="0"/>
        <w:overflowPunct/>
        <w:topLinePunct w:val="0"/>
        <w:bidi w:val="0"/>
        <w:spacing w:before="112" w:line="219" w:lineRule="auto"/>
        <w:ind w:firstLine="482" w:firstLineChars="200"/>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13.4  </w:t>
      </w:r>
      <w:r>
        <w:rPr>
          <w:rFonts w:hint="eastAsia" w:ascii="宋体" w:hAnsi="宋体" w:eastAsia="宋体" w:cs="宋体"/>
          <w:color w:val="auto"/>
          <w:spacing w:val="0"/>
          <w:sz w:val="24"/>
          <w:szCs w:val="24"/>
          <w:highlight w:val="none"/>
        </w:rPr>
        <w:t>代理机构对因不可抗力事件造成的投标文件的损坏、丢失的，不承担责任。</w:t>
      </w:r>
    </w:p>
    <w:p w14:paraId="3C8AC39F">
      <w:pPr>
        <w:keepNext w:val="0"/>
        <w:keepLines w:val="0"/>
        <w:pageBreakBefore w:val="0"/>
        <w:wordWrap w:val="0"/>
        <w:overflowPunct/>
        <w:topLinePunct w:val="0"/>
        <w:bidi w:val="0"/>
        <w:spacing w:before="116" w:line="220"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13.5  </w:t>
      </w:r>
      <w:r>
        <w:rPr>
          <w:rFonts w:hint="eastAsia" w:ascii="宋体" w:hAnsi="宋体" w:eastAsia="宋体" w:cs="宋体"/>
          <w:color w:val="auto"/>
          <w:spacing w:val="0"/>
          <w:sz w:val="24"/>
          <w:szCs w:val="24"/>
          <w:highlight w:val="none"/>
        </w:rPr>
        <w:t>出现下述情形之一，属于未成功提交投标文件，按无效投标处理：</w:t>
      </w:r>
    </w:p>
    <w:p w14:paraId="00C0D19A">
      <w:pPr>
        <w:keepNext w:val="0"/>
        <w:keepLines w:val="0"/>
        <w:pageBreakBefore w:val="0"/>
        <w:wordWrap w:val="0"/>
        <w:overflowPunct/>
        <w:topLinePunct w:val="0"/>
        <w:bidi w:val="0"/>
        <w:spacing w:before="115" w:line="219" w:lineRule="auto"/>
        <w:ind w:left="74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（1）至提交投标文件截止时，投标文件未完整上传及提交标书；</w:t>
      </w:r>
    </w:p>
    <w:p w14:paraId="6863FD8E">
      <w:pPr>
        <w:keepNext w:val="0"/>
        <w:keepLines w:val="0"/>
        <w:pageBreakBefore w:val="0"/>
        <w:wordWrap w:val="0"/>
        <w:overflowPunct/>
        <w:topLinePunct w:val="0"/>
        <w:bidi w:val="0"/>
        <w:spacing w:before="114" w:line="220" w:lineRule="auto"/>
        <w:ind w:left="74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（2）解密失败且在规定时间内未重新提交投标文件的；</w:t>
      </w:r>
    </w:p>
    <w:p w14:paraId="51DF1C5D">
      <w:pPr>
        <w:keepNext w:val="0"/>
        <w:keepLines w:val="0"/>
        <w:pageBreakBefore w:val="0"/>
        <w:wordWrap w:val="0"/>
        <w:overflowPunct/>
        <w:topLinePunct w:val="0"/>
        <w:bidi w:val="0"/>
        <w:spacing w:before="115" w:line="220" w:lineRule="auto"/>
        <w:ind w:left="74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（3）投标文件损坏或格式不正确的；</w:t>
      </w:r>
    </w:p>
    <w:p w14:paraId="34A7B5FF">
      <w:pPr>
        <w:keepNext w:val="0"/>
        <w:keepLines w:val="0"/>
        <w:pageBreakBefore w:val="0"/>
        <w:wordWrap w:val="0"/>
        <w:overflowPunct/>
        <w:topLinePunct w:val="0"/>
        <w:bidi w:val="0"/>
        <w:spacing w:before="115"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13.6  </w:t>
      </w:r>
      <w:r>
        <w:rPr>
          <w:rFonts w:hint="eastAsia" w:ascii="宋体" w:hAnsi="宋体" w:eastAsia="宋体" w:cs="宋体"/>
          <w:color w:val="auto"/>
          <w:spacing w:val="0"/>
          <w:sz w:val="24"/>
          <w:szCs w:val="24"/>
          <w:highlight w:val="none"/>
        </w:rPr>
        <w:t>联合体投标的，由联合体牵头人按以上要求递交相关资料。</w:t>
      </w:r>
    </w:p>
    <w:p w14:paraId="0F442067">
      <w:pPr>
        <w:keepNext w:val="0"/>
        <w:keepLines w:val="0"/>
        <w:pageBreakBefore w:val="0"/>
        <w:widowControl/>
        <w:kinsoku w:val="0"/>
        <w:wordWrap w:val="0"/>
        <w:overflowPunct/>
        <w:topLinePunct w:val="0"/>
        <w:autoSpaceDE w:val="0"/>
        <w:autoSpaceDN w:val="0"/>
        <w:bidi w:val="0"/>
        <w:adjustRightInd w:val="0"/>
        <w:snapToGrid w:val="0"/>
        <w:spacing w:before="113" w:line="286" w:lineRule="auto"/>
        <w:ind w:left="11" w:right="23"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13.7  </w:t>
      </w:r>
      <w:r>
        <w:rPr>
          <w:rFonts w:hint="eastAsia" w:ascii="宋体" w:hAnsi="宋体" w:eastAsia="宋体" w:cs="宋体"/>
          <w:color w:val="auto"/>
          <w:spacing w:val="0"/>
          <w:sz w:val="24"/>
          <w:szCs w:val="24"/>
          <w:highlight w:val="none"/>
        </w:rPr>
        <w:t>招标人或其授权的招标代理机构核对、接收投标人递交的投标相关资料后，应向投标人出具标明签收人和签收时间的凭证，并妥善保管。</w:t>
      </w:r>
    </w:p>
    <w:p w14:paraId="01ECA8D8">
      <w:pPr>
        <w:keepNext w:val="0"/>
        <w:keepLines w:val="0"/>
        <w:pageBreakBefore w:val="0"/>
        <w:wordWrap w:val="0"/>
        <w:overflowPunct/>
        <w:topLinePunct w:val="0"/>
        <w:bidi w:val="0"/>
        <w:spacing w:before="113" w:line="279" w:lineRule="auto"/>
        <w:ind w:left="9" w:right="24" w:firstLine="48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13.8 </w:t>
      </w:r>
      <w:r>
        <w:rPr>
          <w:rFonts w:hint="eastAsia" w:ascii="宋体" w:hAnsi="宋体" w:eastAsia="宋体" w:cs="宋体"/>
          <w:color w:val="auto"/>
          <w:spacing w:val="0"/>
          <w:sz w:val="24"/>
          <w:szCs w:val="24"/>
          <w:highlight w:val="none"/>
        </w:rPr>
        <w:t xml:space="preserve"> 本次招标投标有效期为</w:t>
      </w:r>
      <w:r>
        <w:rPr>
          <w:rFonts w:hint="eastAsia" w:ascii="宋体" w:hAnsi="宋体" w:eastAsia="宋体" w:cs="宋体"/>
          <w:color w:val="auto"/>
          <w:spacing w:val="0"/>
          <w:sz w:val="24"/>
          <w:szCs w:val="24"/>
          <w:highlight w:val="none"/>
          <w:u w:val="single"/>
          <w:lang w:eastAsia="zh-CN"/>
        </w:rPr>
        <w:t>90</w:t>
      </w:r>
      <w:r>
        <w:rPr>
          <w:rFonts w:hint="eastAsia" w:ascii="宋体" w:hAnsi="宋体" w:eastAsia="宋体" w:cs="宋体"/>
          <w:color w:val="auto"/>
          <w:spacing w:val="0"/>
          <w:sz w:val="24"/>
          <w:szCs w:val="24"/>
          <w:highlight w:val="none"/>
        </w:rPr>
        <w:t>个日历天，投标有效期从提交投标文件的截止之日起计算。在此期间，投标人不得撤销或修改其投标文件，否则其投标保证不予退还。</w:t>
      </w:r>
    </w:p>
    <w:p w14:paraId="7CFC1188">
      <w:pPr>
        <w:keepNext w:val="0"/>
        <w:keepLines w:val="0"/>
        <w:pageBreakBefore w:val="0"/>
        <w:wordWrap w:val="0"/>
        <w:overflowPunct/>
        <w:topLinePunct w:val="0"/>
        <w:bidi w:val="0"/>
        <w:spacing w:before="145" w:line="221" w:lineRule="auto"/>
        <w:ind w:left="496"/>
        <w:outlineLvl w:val="2"/>
        <w:rPr>
          <w:rFonts w:hint="eastAsia" w:ascii="宋体" w:hAnsi="宋体" w:eastAsia="宋体" w:cs="宋体"/>
          <w:color w:val="auto"/>
          <w:spacing w:val="0"/>
          <w:sz w:val="24"/>
          <w:szCs w:val="24"/>
          <w:highlight w:val="none"/>
        </w:rPr>
      </w:pPr>
      <w:bookmarkStart w:id="61" w:name="_Toc32459"/>
      <w:bookmarkStart w:id="62" w:name="_Toc22047"/>
      <w:r>
        <w:rPr>
          <w:rFonts w:hint="eastAsia" w:ascii="宋体" w:hAnsi="宋体" w:eastAsia="宋体" w:cs="宋体"/>
          <w:b/>
          <w:bCs/>
          <w:color w:val="auto"/>
          <w:spacing w:val="0"/>
          <w:sz w:val="24"/>
          <w:szCs w:val="24"/>
          <w:highlight w:val="none"/>
        </w:rPr>
        <w:t>14 ．开标</w:t>
      </w:r>
      <w:bookmarkEnd w:id="61"/>
      <w:bookmarkEnd w:id="62"/>
    </w:p>
    <w:p w14:paraId="4E6C0717">
      <w:pPr>
        <w:keepNext w:val="0"/>
        <w:keepLines w:val="0"/>
        <w:pageBreakBefore w:val="0"/>
        <w:wordWrap w:val="0"/>
        <w:overflowPunct/>
        <w:topLinePunct w:val="0"/>
        <w:bidi w:val="0"/>
        <w:spacing w:before="155" w:line="329" w:lineRule="auto"/>
        <w:ind w:left="10" w:right="81" w:firstLine="485"/>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14.1  </w:t>
      </w:r>
      <w:r>
        <w:rPr>
          <w:rFonts w:hint="eastAsia" w:ascii="宋体" w:hAnsi="宋体" w:eastAsia="宋体" w:cs="宋体"/>
          <w:color w:val="auto"/>
          <w:spacing w:val="0"/>
          <w:sz w:val="24"/>
          <w:szCs w:val="24"/>
          <w:highlight w:val="none"/>
        </w:rPr>
        <w:t>招标人邀请所有正确获取招标文件、电子投标、缴纳投标保证的投标人参加开标，投标人可自主决定是否参加。投标人可登陆交易平台观看开标实况、提出异议或进行澄清、确认等操作（具体按招标文件和系统操作手册为准）。投标人不参加开</w:t>
      </w:r>
      <w:bookmarkStart w:id="63" w:name="bookmark123"/>
      <w:bookmarkEnd w:id="63"/>
      <w:r>
        <w:rPr>
          <w:rFonts w:hint="eastAsia" w:ascii="宋体" w:hAnsi="宋体" w:eastAsia="宋体" w:cs="宋体"/>
          <w:color w:val="auto"/>
          <w:spacing w:val="0"/>
          <w:sz w:val="24"/>
          <w:szCs w:val="24"/>
          <w:highlight w:val="none"/>
        </w:rPr>
        <w:t>标的，视其默认开标结果，以及放弃在开标期间见证、监督、投诉、申辩的权利。</w:t>
      </w:r>
    </w:p>
    <w:p w14:paraId="671D1BF7">
      <w:pPr>
        <w:keepNext w:val="0"/>
        <w:keepLines w:val="0"/>
        <w:pageBreakBefore w:val="0"/>
        <w:wordWrap w:val="0"/>
        <w:overflowPunct/>
        <w:topLinePunct w:val="0"/>
        <w:bidi w:val="0"/>
        <w:spacing w:before="156"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14.1.1  </w:t>
      </w:r>
      <w:r>
        <w:rPr>
          <w:rFonts w:hint="eastAsia" w:ascii="宋体" w:hAnsi="宋体" w:eastAsia="宋体" w:cs="宋体"/>
          <w:color w:val="auto"/>
          <w:spacing w:val="0"/>
          <w:sz w:val="24"/>
          <w:szCs w:val="24"/>
          <w:highlight w:val="none"/>
        </w:rPr>
        <w:t>开标时间和地点：见本章第二节“重要事项时间地点一览表 ”。</w:t>
      </w:r>
    </w:p>
    <w:p w14:paraId="23B4AB0A">
      <w:pPr>
        <w:keepNext w:val="0"/>
        <w:keepLines w:val="0"/>
        <w:pageBreakBefore w:val="0"/>
        <w:widowControl/>
        <w:kinsoku w:val="0"/>
        <w:wordWrap w:val="0"/>
        <w:overflowPunct/>
        <w:topLinePunct w:val="0"/>
        <w:autoSpaceDE w:val="0"/>
        <w:autoSpaceDN w:val="0"/>
        <w:bidi w:val="0"/>
        <w:adjustRightInd w:val="0"/>
        <w:snapToGrid w:val="0"/>
        <w:spacing w:before="153" w:line="320" w:lineRule="auto"/>
        <w:ind w:left="11"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14.1.2 </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开标前 24 小时，若建设工程交易系统显示缴纳投标保证（包括投标保证金、投标保证担保、投标保证保险）的投标人数量不足 3 个时，招标人将取消原定于次日召开的开标活动。投标人可在投标保证缴纳截止时间（见本章第二节“重要事项时间 地点一览表 ”）至电子投标截止时间（见本章第二节“重要事项时间地点一览表 ”） 期间登录全国公共资源交易平台（广东省 ·韶关市）（https://ygp.gdzwfw.gov.cn/ ggzy-portal/#/440200/index）查询是否发布了取消开标活动的相关信息。</w:t>
      </w:r>
    </w:p>
    <w:p w14:paraId="13487771">
      <w:pPr>
        <w:keepNext w:val="0"/>
        <w:keepLines w:val="0"/>
        <w:pageBreakBefore w:val="0"/>
        <w:wordWrap w:val="0"/>
        <w:overflowPunct/>
        <w:topLinePunct w:val="0"/>
        <w:bidi w:val="0"/>
        <w:spacing w:before="159" w:line="319" w:lineRule="auto"/>
        <w:ind w:left="10" w:right="80" w:firstLine="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14.1.3</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本项目实行全流程电子化招标投标，投标人在交易平台按要求上传加盖电子印章并经加密的电子投标文件，并在交易平台录入准确的页码信息即可完成在线投标</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40F3EB23">
      <w:pPr>
        <w:keepNext w:val="0"/>
        <w:keepLines w:val="0"/>
        <w:pageBreakBefore w:val="0"/>
        <w:wordWrap w:val="0"/>
        <w:overflowPunct/>
        <w:topLinePunct w:val="0"/>
        <w:bidi w:val="0"/>
        <w:spacing w:before="152" w:line="221"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14.2  </w:t>
      </w:r>
      <w:r>
        <w:rPr>
          <w:rFonts w:hint="eastAsia" w:ascii="宋体" w:hAnsi="宋体" w:eastAsia="宋体" w:cs="宋体"/>
          <w:color w:val="auto"/>
          <w:spacing w:val="0"/>
          <w:sz w:val="24"/>
          <w:szCs w:val="24"/>
          <w:highlight w:val="none"/>
        </w:rPr>
        <w:t>开标程序</w:t>
      </w:r>
    </w:p>
    <w:p w14:paraId="4481CD9D">
      <w:pPr>
        <w:keepNext w:val="0"/>
        <w:keepLines w:val="0"/>
        <w:pageBreakBefore w:val="0"/>
        <w:wordWrap w:val="0"/>
        <w:overflowPunct/>
        <w:topLinePunct w:val="0"/>
        <w:bidi w:val="0"/>
        <w:spacing w:before="42" w:line="219" w:lineRule="auto"/>
        <w:ind w:left="501"/>
        <w:outlineLvl w:val="9"/>
        <w:rPr>
          <w:rFonts w:hint="eastAsia" w:ascii="宋体" w:hAnsi="宋体" w:eastAsia="宋体" w:cs="宋体"/>
          <w:color w:val="auto"/>
          <w:spacing w:val="0"/>
          <w:sz w:val="24"/>
          <w:szCs w:val="24"/>
          <w:highlight w:val="none"/>
        </w:rPr>
      </w:pPr>
      <w:bookmarkStart w:id="64" w:name="_Toc8314"/>
      <w:bookmarkStart w:id="65" w:name="_Toc15587"/>
      <w:bookmarkStart w:id="66" w:name="_Toc10291"/>
      <w:bookmarkStart w:id="67" w:name="_Toc10685"/>
      <w:r>
        <w:rPr>
          <w:rFonts w:hint="eastAsia" w:ascii="宋体" w:hAnsi="宋体" w:eastAsia="宋体" w:cs="宋体"/>
          <w:color w:val="auto"/>
          <w:spacing w:val="0"/>
          <w:sz w:val="24"/>
          <w:szCs w:val="24"/>
          <w:highlight w:val="none"/>
        </w:rPr>
        <w:t>（1）主持人（招标人代表或招标人授权的招标代理机构人员）宣读开标纪律。</w:t>
      </w:r>
      <w:bookmarkEnd w:id="64"/>
      <w:bookmarkEnd w:id="65"/>
      <w:bookmarkEnd w:id="66"/>
      <w:bookmarkEnd w:id="67"/>
    </w:p>
    <w:p w14:paraId="22E65A61">
      <w:pPr>
        <w:keepNext w:val="0"/>
        <w:keepLines w:val="0"/>
        <w:pageBreakBefore w:val="0"/>
        <w:wordWrap w:val="0"/>
        <w:overflowPunct/>
        <w:topLinePunct w:val="0"/>
        <w:bidi w:val="0"/>
        <w:spacing w:before="181" w:line="219" w:lineRule="auto"/>
        <w:ind w:left="501"/>
        <w:outlineLvl w:val="9"/>
        <w:rPr>
          <w:rFonts w:hint="eastAsia" w:ascii="宋体" w:hAnsi="宋体" w:eastAsia="宋体" w:cs="宋体"/>
          <w:color w:val="auto"/>
          <w:spacing w:val="0"/>
          <w:sz w:val="24"/>
          <w:szCs w:val="24"/>
          <w:highlight w:val="none"/>
        </w:rPr>
      </w:pPr>
      <w:bookmarkStart w:id="68" w:name="_Toc16292"/>
      <w:bookmarkStart w:id="69" w:name="_Toc20238"/>
      <w:bookmarkStart w:id="70" w:name="_Toc30853"/>
      <w:bookmarkStart w:id="71" w:name="_Toc2011"/>
      <w:r>
        <w:rPr>
          <w:rFonts w:hint="eastAsia" w:ascii="宋体" w:hAnsi="宋体" w:eastAsia="宋体" w:cs="宋体"/>
          <w:color w:val="auto"/>
          <w:spacing w:val="0"/>
          <w:sz w:val="24"/>
          <w:szCs w:val="24"/>
          <w:highlight w:val="none"/>
        </w:rPr>
        <w:t>（2）主持人宣布唱标人、记录人、见证人、监督人等有关人员姓名。</w:t>
      </w:r>
      <w:bookmarkEnd w:id="68"/>
      <w:bookmarkEnd w:id="69"/>
      <w:bookmarkEnd w:id="70"/>
      <w:bookmarkEnd w:id="71"/>
    </w:p>
    <w:p w14:paraId="5C102337">
      <w:pPr>
        <w:keepNext w:val="0"/>
        <w:keepLines w:val="0"/>
        <w:pageBreakBefore w:val="0"/>
        <w:wordWrap w:val="0"/>
        <w:overflowPunct/>
        <w:topLinePunct w:val="0"/>
        <w:bidi w:val="0"/>
        <w:spacing w:before="183" w:line="219" w:lineRule="auto"/>
        <w:ind w:left="501"/>
        <w:outlineLvl w:val="9"/>
        <w:rPr>
          <w:rFonts w:hint="eastAsia" w:ascii="宋体" w:hAnsi="宋体" w:eastAsia="宋体" w:cs="宋体"/>
          <w:color w:val="auto"/>
          <w:spacing w:val="0"/>
          <w:sz w:val="24"/>
          <w:szCs w:val="24"/>
          <w:highlight w:val="none"/>
        </w:rPr>
      </w:pPr>
      <w:bookmarkStart w:id="72" w:name="_Toc1974"/>
      <w:bookmarkStart w:id="73" w:name="_Toc31716"/>
      <w:bookmarkStart w:id="74" w:name="_Toc26494"/>
      <w:bookmarkStart w:id="75" w:name="_Toc17462"/>
      <w:r>
        <w:rPr>
          <w:rFonts w:hint="eastAsia" w:ascii="宋体" w:hAnsi="宋体" w:eastAsia="宋体" w:cs="宋体"/>
          <w:color w:val="auto"/>
          <w:spacing w:val="0"/>
          <w:sz w:val="24"/>
          <w:szCs w:val="24"/>
          <w:highlight w:val="none"/>
        </w:rPr>
        <w:t>（3）唱标人公布在投标截止时间前进行投标文件的投标人数量和名称</w:t>
      </w:r>
      <w:bookmarkEnd w:id="72"/>
      <w:bookmarkEnd w:id="73"/>
      <w:bookmarkEnd w:id="74"/>
      <w:bookmarkEnd w:id="75"/>
    </w:p>
    <w:p w14:paraId="1FA0369B">
      <w:pPr>
        <w:keepNext w:val="0"/>
        <w:keepLines w:val="0"/>
        <w:pageBreakBefore w:val="0"/>
        <w:wordWrap w:val="0"/>
        <w:overflowPunct/>
        <w:topLinePunct w:val="0"/>
        <w:bidi w:val="0"/>
        <w:spacing w:before="181" w:line="219" w:lineRule="auto"/>
        <w:ind w:left="501"/>
        <w:outlineLvl w:val="9"/>
        <w:rPr>
          <w:rFonts w:hint="eastAsia" w:ascii="宋体" w:hAnsi="宋体" w:eastAsia="宋体" w:cs="宋体"/>
          <w:color w:val="auto"/>
          <w:spacing w:val="0"/>
          <w:sz w:val="24"/>
          <w:szCs w:val="24"/>
          <w:highlight w:val="none"/>
        </w:rPr>
      </w:pPr>
      <w:bookmarkStart w:id="76" w:name="_Toc8179"/>
      <w:bookmarkStart w:id="77" w:name="_Toc20559"/>
      <w:bookmarkStart w:id="78" w:name="_Toc27967"/>
      <w:bookmarkStart w:id="79" w:name="_Toc15860"/>
      <w:r>
        <w:rPr>
          <w:rFonts w:hint="eastAsia" w:ascii="宋体" w:hAnsi="宋体" w:eastAsia="宋体" w:cs="宋体"/>
          <w:color w:val="auto"/>
          <w:spacing w:val="0"/>
          <w:sz w:val="24"/>
          <w:szCs w:val="24"/>
          <w:highlight w:val="none"/>
        </w:rPr>
        <w:t>（4）招标代理机构会同交易场所工作人员对投标人的电子投标信息进行解密，</w:t>
      </w:r>
      <w:bookmarkEnd w:id="76"/>
      <w:bookmarkEnd w:id="77"/>
      <w:bookmarkEnd w:id="78"/>
      <w:bookmarkEnd w:id="79"/>
    </w:p>
    <w:p w14:paraId="74589B6E">
      <w:pPr>
        <w:keepNext w:val="0"/>
        <w:keepLines w:val="0"/>
        <w:pageBreakBefore w:val="0"/>
        <w:wordWrap w:val="0"/>
        <w:overflowPunct/>
        <w:topLinePunct w:val="0"/>
        <w:bidi w:val="0"/>
        <w:spacing w:before="183" w:line="22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建设工程交易系统自动生成《投标保证缴纳情况表》和《开标一览表》。</w:t>
      </w:r>
    </w:p>
    <w:p w14:paraId="4C7816EA">
      <w:pPr>
        <w:keepNext w:val="0"/>
        <w:keepLines w:val="0"/>
        <w:pageBreakBefore w:val="0"/>
        <w:wordWrap w:val="0"/>
        <w:overflowPunct/>
        <w:topLinePunct w:val="0"/>
        <w:bidi w:val="0"/>
        <w:spacing w:before="182" w:line="360" w:lineRule="auto"/>
        <w:ind w:firstLine="482" w:firstLineChars="200"/>
        <w:outlineLvl w:val="9"/>
        <w:rPr>
          <w:rFonts w:hint="eastAsia" w:ascii="宋体" w:hAnsi="宋体" w:eastAsia="宋体" w:cs="宋体"/>
          <w:color w:val="auto"/>
          <w:spacing w:val="0"/>
          <w:sz w:val="24"/>
          <w:szCs w:val="24"/>
          <w:highlight w:val="none"/>
        </w:rPr>
      </w:pPr>
      <w:bookmarkStart w:id="80" w:name="_Toc28812"/>
      <w:bookmarkStart w:id="81" w:name="_Toc2199"/>
      <w:bookmarkStart w:id="82" w:name="_Toc28266"/>
      <w:bookmarkStart w:id="83" w:name="_Toc26216"/>
      <w:r>
        <w:rPr>
          <w:rFonts w:hint="eastAsia" w:ascii="宋体" w:hAnsi="宋体" w:eastAsia="宋体" w:cs="宋体"/>
          <w:b/>
          <w:bCs/>
          <w:color w:val="auto"/>
          <w:spacing w:val="0"/>
          <w:sz w:val="24"/>
          <w:szCs w:val="24"/>
          <w:highlight w:val="none"/>
        </w:rPr>
        <w:t>温馨提示：因本项目实行全流程电子化招标投标，投标人无须进行现场签到，可</w:t>
      </w:r>
      <w:bookmarkEnd w:id="80"/>
      <w:bookmarkEnd w:id="81"/>
      <w:bookmarkEnd w:id="82"/>
      <w:r>
        <w:rPr>
          <w:rFonts w:hint="eastAsia" w:ascii="宋体" w:hAnsi="宋体" w:eastAsia="宋体" w:cs="宋体"/>
          <w:b/>
          <w:bCs/>
          <w:color w:val="auto"/>
          <w:spacing w:val="0"/>
          <w:sz w:val="24"/>
          <w:szCs w:val="24"/>
          <w:highlight w:val="none"/>
        </w:rPr>
        <w:t>登录交易平台观看开标实况、提出异议或进行澄清、确认等操作，对开标事项的异议未在开标期间提出的，招标</w:t>
      </w:r>
      <w:r>
        <w:rPr>
          <w:rFonts w:hint="eastAsia" w:ascii="宋体" w:hAnsi="宋体" w:eastAsia="宋体" w:cs="宋体"/>
          <w:b/>
          <w:bCs/>
          <w:color w:val="auto"/>
          <w:spacing w:val="0"/>
          <w:sz w:val="24"/>
          <w:szCs w:val="24"/>
          <w:highlight w:val="none"/>
          <w:lang w:eastAsia="zh-CN"/>
        </w:rPr>
        <w:t>人不</w:t>
      </w:r>
      <w:r>
        <w:rPr>
          <w:rFonts w:hint="eastAsia" w:ascii="宋体" w:hAnsi="宋体" w:eastAsia="宋体" w:cs="宋体"/>
          <w:b/>
          <w:bCs/>
          <w:color w:val="auto"/>
          <w:spacing w:val="0"/>
          <w:sz w:val="24"/>
          <w:szCs w:val="24"/>
          <w:highlight w:val="none"/>
        </w:rPr>
        <w:t>予受理。具体按招标文件和系统操作手册为准。</w:t>
      </w:r>
      <w:bookmarkEnd w:id="83"/>
    </w:p>
    <w:p w14:paraId="324154A1">
      <w:pPr>
        <w:keepNext w:val="0"/>
        <w:keepLines w:val="0"/>
        <w:pageBreakBefore w:val="0"/>
        <w:wordWrap w:val="0"/>
        <w:overflowPunct/>
        <w:topLinePunct w:val="0"/>
        <w:bidi w:val="0"/>
        <w:spacing w:before="143" w:line="299" w:lineRule="auto"/>
        <w:ind w:left="11" w:right="80" w:firstLine="48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14.3  </w:t>
      </w:r>
      <w:r>
        <w:rPr>
          <w:rFonts w:hint="eastAsia" w:ascii="宋体" w:hAnsi="宋体" w:eastAsia="宋体" w:cs="宋体"/>
          <w:color w:val="auto"/>
          <w:spacing w:val="0"/>
          <w:sz w:val="24"/>
          <w:szCs w:val="24"/>
          <w:highlight w:val="none"/>
        </w:rPr>
        <w:t>投标人对开标相关事项（如开标程序等）有异议的，必须在开标期间和开标现场提出，招标人或其授权的招标代理机构应当场作出答复，并记录在案。对开标事项的异议未在开标期间和开标现场提出的，招标人不予受理。</w:t>
      </w:r>
    </w:p>
    <w:p w14:paraId="367BD1D2">
      <w:pPr>
        <w:keepNext w:val="0"/>
        <w:keepLines w:val="0"/>
        <w:pageBreakBefore w:val="0"/>
        <w:wordWrap w:val="0"/>
        <w:overflowPunct/>
        <w:topLinePunct w:val="0"/>
        <w:bidi w:val="0"/>
        <w:spacing w:before="155" w:line="279" w:lineRule="auto"/>
        <w:ind w:left="8" w:right="82" w:firstLine="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14.4 </w:t>
      </w:r>
      <w:r>
        <w:rPr>
          <w:rFonts w:hint="eastAsia" w:ascii="宋体" w:hAnsi="宋体" w:eastAsia="宋体" w:cs="宋体"/>
          <w:color w:val="auto"/>
          <w:spacing w:val="0"/>
          <w:sz w:val="24"/>
          <w:szCs w:val="24"/>
          <w:highlight w:val="none"/>
        </w:rPr>
        <w:t>招标代理机构将资料原件（如有）、《开标一览表》以及其他有关资料移交评标委员会。</w:t>
      </w:r>
    </w:p>
    <w:p w14:paraId="77B0C3F1">
      <w:pP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br w:type="page"/>
      </w:r>
    </w:p>
    <w:p w14:paraId="70937984">
      <w:pPr>
        <w:keepNext w:val="0"/>
        <w:keepLines w:val="0"/>
        <w:pageBreakBefore w:val="0"/>
        <w:wordWrap w:val="0"/>
        <w:overflowPunct/>
        <w:topLinePunct w:val="0"/>
        <w:bidi w:val="0"/>
        <w:spacing w:before="78" w:line="221" w:lineRule="auto"/>
        <w:ind w:left="496"/>
        <w:outlineLvl w:val="2"/>
        <w:rPr>
          <w:rFonts w:hint="eastAsia" w:ascii="宋体" w:hAnsi="宋体" w:eastAsia="宋体" w:cs="宋体"/>
          <w:color w:val="auto"/>
          <w:spacing w:val="0"/>
          <w:highlight w:val="none"/>
        </w:rPr>
      </w:pPr>
      <w:bookmarkStart w:id="84" w:name="_Toc22486"/>
      <w:bookmarkStart w:id="85" w:name="_Toc961"/>
      <w:r>
        <w:rPr>
          <w:rFonts w:hint="eastAsia" w:ascii="宋体" w:hAnsi="宋体" w:eastAsia="宋体" w:cs="宋体"/>
          <w:b/>
          <w:bCs/>
          <w:color w:val="auto"/>
          <w:spacing w:val="0"/>
          <w:sz w:val="24"/>
          <w:szCs w:val="24"/>
          <w:highlight w:val="none"/>
        </w:rPr>
        <w:t>15 ．评标</w:t>
      </w:r>
      <w:bookmarkEnd w:id="84"/>
      <w:bookmarkEnd w:id="85"/>
    </w:p>
    <w:p w14:paraId="42D28C78">
      <w:pPr>
        <w:keepNext w:val="0"/>
        <w:keepLines w:val="0"/>
        <w:pageBreakBefore w:val="0"/>
        <w:wordWrap w:val="0"/>
        <w:overflowPunct/>
        <w:topLinePunct w:val="0"/>
        <w:bidi w:val="0"/>
        <w:spacing w:before="78" w:line="331" w:lineRule="auto"/>
        <w:ind w:left="8" w:right="65" w:firstLine="480"/>
        <w:rPr>
          <w:rFonts w:hint="eastAsia" w:ascii="宋体" w:hAnsi="宋体" w:eastAsia="宋体" w:cs="宋体"/>
          <w:color w:val="auto"/>
          <w:spacing w:val="0"/>
          <w:sz w:val="24"/>
          <w:szCs w:val="24"/>
          <w:highlight w:val="none"/>
        </w:rPr>
      </w:pPr>
      <w:bookmarkStart w:id="86" w:name="bookmark124"/>
      <w:bookmarkEnd w:id="86"/>
      <w:bookmarkStart w:id="87" w:name="_Toc17375"/>
      <w:bookmarkStart w:id="88" w:name="_Toc16801"/>
      <w:bookmarkStart w:id="89" w:name="_Toc3020"/>
      <w:r>
        <w:rPr>
          <w:rFonts w:hint="eastAsia" w:ascii="宋体" w:hAnsi="宋体" w:eastAsia="宋体" w:cs="宋体"/>
          <w:color w:val="auto"/>
          <w:spacing w:val="0"/>
          <w:sz w:val="24"/>
          <w:szCs w:val="24"/>
          <w:highlight w:val="none"/>
        </w:rPr>
        <w:t>评标分为初步评审和详细评审两个阶段，由评标委员会在有关部门的监督下，严格按照本招标文件指定的评标方法，对投标人的投标文件进行审查、评审。评标委员会完成评标后，向招标人推荐</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b/>
          <w:bCs/>
          <w:color w:val="auto"/>
          <w:spacing w:val="0"/>
          <w:sz w:val="24"/>
          <w:szCs w:val="24"/>
          <w:highlight w:val="none"/>
          <w:u w:val="single"/>
          <w:lang w:val="en-US" w:eastAsia="zh-CN"/>
        </w:rPr>
        <w:t>5</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个</w:t>
      </w:r>
      <w:r>
        <w:rPr>
          <w:rFonts w:hint="eastAsia" w:ascii="宋体" w:hAnsi="宋体" w:eastAsia="宋体" w:cs="宋体"/>
          <w:b/>
          <w:bCs/>
          <w:color w:val="auto"/>
          <w:spacing w:val="0"/>
          <w:sz w:val="24"/>
          <w:szCs w:val="24"/>
          <w:highlight w:val="none"/>
          <w:lang w:val="en-US" w:eastAsia="zh-CN"/>
        </w:rPr>
        <w:t>定</w:t>
      </w:r>
      <w:r>
        <w:rPr>
          <w:rFonts w:hint="eastAsia" w:ascii="宋体" w:hAnsi="宋体" w:eastAsia="宋体" w:cs="宋体"/>
          <w:b/>
          <w:bCs/>
          <w:color w:val="auto"/>
          <w:spacing w:val="0"/>
          <w:sz w:val="24"/>
          <w:szCs w:val="24"/>
          <w:highlight w:val="none"/>
        </w:rPr>
        <w:t>标候选人</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如不足5个，则往下递减，但不可少于3个</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color w:val="auto"/>
          <w:spacing w:val="0"/>
          <w:sz w:val="24"/>
          <w:szCs w:val="24"/>
          <w:highlight w:val="none"/>
        </w:rPr>
        <w:t>，并向招标人提交由全体评标委员会成员签字的评标报告。</w:t>
      </w:r>
    </w:p>
    <w:p w14:paraId="4EA478A4">
      <w:pPr>
        <w:keepNext w:val="0"/>
        <w:keepLines w:val="0"/>
        <w:pageBreakBefore w:val="0"/>
        <w:wordWrap w:val="0"/>
        <w:overflowPunct/>
        <w:topLinePunct w:val="0"/>
        <w:bidi w:val="0"/>
        <w:spacing w:before="38"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  </w:t>
      </w:r>
      <w:r>
        <w:rPr>
          <w:rFonts w:hint="eastAsia" w:ascii="宋体" w:hAnsi="宋体" w:eastAsia="宋体" w:cs="宋体"/>
          <w:color w:val="auto"/>
          <w:spacing w:val="0"/>
          <w:sz w:val="24"/>
          <w:szCs w:val="24"/>
          <w:highlight w:val="none"/>
        </w:rPr>
        <w:t>评标委员会</w:t>
      </w:r>
    </w:p>
    <w:p w14:paraId="07FACA56">
      <w:pPr>
        <w:keepNext w:val="0"/>
        <w:keepLines w:val="0"/>
        <w:pageBreakBefore w:val="0"/>
        <w:wordWrap w:val="0"/>
        <w:overflowPunct/>
        <w:topLinePunct w:val="0"/>
        <w:bidi w:val="0"/>
        <w:spacing w:before="155" w:line="324" w:lineRule="auto"/>
        <w:ind w:left="10" w:right="65" w:firstLine="48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15.1.1 </w:t>
      </w:r>
      <w:r>
        <w:rPr>
          <w:rFonts w:hint="eastAsia" w:ascii="宋体" w:hAnsi="宋体" w:eastAsia="宋体" w:cs="宋体"/>
          <w:color w:val="auto"/>
          <w:spacing w:val="0"/>
          <w:sz w:val="24"/>
          <w:szCs w:val="24"/>
          <w:highlight w:val="none"/>
        </w:rPr>
        <w:t>评标委员会由</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7</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人组成，其中招标人代表</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2</w:t>
      </w:r>
      <w:r>
        <w:rPr>
          <w:rFonts w:hint="eastAsia" w:ascii="宋体" w:hAnsi="宋体" w:eastAsia="宋体" w:cs="宋体"/>
          <w:color w:val="auto"/>
          <w:spacing w:val="0"/>
          <w:sz w:val="24"/>
          <w:szCs w:val="24"/>
          <w:highlight w:val="none"/>
        </w:rPr>
        <w:t>人，专家</w:t>
      </w:r>
      <w:r>
        <w:rPr>
          <w:rFonts w:hint="eastAsia" w:ascii="宋体" w:hAnsi="宋体" w:eastAsia="宋体" w:cs="宋体"/>
          <w:color w:val="auto"/>
          <w:spacing w:val="0"/>
          <w:sz w:val="24"/>
          <w:szCs w:val="24"/>
          <w:highlight w:val="none"/>
          <w:u w:val="single"/>
        </w:rPr>
        <w:t xml:space="preserve"> 5 </w:t>
      </w:r>
      <w:r>
        <w:rPr>
          <w:rFonts w:hint="eastAsia" w:ascii="宋体" w:hAnsi="宋体" w:eastAsia="宋体" w:cs="宋体"/>
          <w:color w:val="auto"/>
          <w:spacing w:val="0"/>
          <w:sz w:val="24"/>
          <w:szCs w:val="24"/>
          <w:highlight w:val="none"/>
        </w:rPr>
        <w:t>人。专家从</w:t>
      </w:r>
      <w:r>
        <w:rPr>
          <w:rFonts w:hint="eastAsia" w:ascii="宋体" w:hAnsi="宋体" w:eastAsia="宋体" w:cs="宋体"/>
          <w:color w:val="auto"/>
          <w:spacing w:val="0"/>
          <w:sz w:val="24"/>
          <w:szCs w:val="24"/>
          <w:highlight w:val="none"/>
          <w:u w:val="none"/>
        </w:rPr>
        <w:t>广东省综合评标评审专家库</w:t>
      </w:r>
      <w:r>
        <w:rPr>
          <w:rFonts w:hint="eastAsia" w:ascii="宋体" w:hAnsi="宋体" w:eastAsia="宋体" w:cs="宋体"/>
          <w:color w:val="auto"/>
          <w:spacing w:val="0"/>
          <w:sz w:val="24"/>
          <w:szCs w:val="24"/>
          <w:highlight w:val="none"/>
          <w:u w:val="single"/>
          <w:lang w:eastAsia="zh-CN"/>
        </w:rPr>
        <w:t>（</w:t>
      </w:r>
      <w:r>
        <w:rPr>
          <w:rFonts w:hint="eastAsia" w:ascii="宋体" w:hAnsi="宋体" w:eastAsia="宋体" w:cs="宋体"/>
          <w:color w:val="auto"/>
          <w:spacing w:val="0"/>
          <w:sz w:val="24"/>
          <w:szCs w:val="24"/>
          <w:highlight w:val="none"/>
          <w:u w:val="single"/>
        </w:rPr>
        <w:t>韶关区域</w:t>
      </w:r>
      <w:r>
        <w:rPr>
          <w:rFonts w:hint="eastAsia" w:ascii="宋体" w:hAnsi="宋体" w:eastAsia="宋体" w:cs="宋体"/>
          <w:color w:val="auto"/>
          <w:spacing w:val="0"/>
          <w:sz w:val="24"/>
          <w:szCs w:val="24"/>
          <w:highlight w:val="none"/>
          <w:u w:val="single"/>
          <w:lang w:eastAsia="zh-CN"/>
        </w:rPr>
        <w:t>）</w:t>
      </w:r>
      <w:r>
        <w:rPr>
          <w:rFonts w:hint="eastAsia" w:ascii="宋体" w:hAnsi="宋体" w:eastAsia="宋体" w:cs="宋体"/>
          <w:color w:val="auto"/>
          <w:spacing w:val="0"/>
          <w:sz w:val="24"/>
          <w:szCs w:val="24"/>
          <w:highlight w:val="none"/>
        </w:rPr>
        <w:t>中随机抽取，其中技术类专家</w:t>
      </w:r>
      <w:r>
        <w:rPr>
          <w:rFonts w:hint="eastAsia" w:ascii="宋体" w:hAnsi="宋体" w:eastAsia="宋体" w:cs="宋体"/>
          <w:color w:val="auto"/>
          <w:spacing w:val="0"/>
          <w:sz w:val="24"/>
          <w:szCs w:val="24"/>
          <w:highlight w:val="none"/>
          <w:u w:val="single"/>
        </w:rPr>
        <w:t xml:space="preserve"> 3 </w:t>
      </w:r>
      <w:r>
        <w:rPr>
          <w:rFonts w:hint="eastAsia" w:ascii="宋体" w:hAnsi="宋体" w:eastAsia="宋体" w:cs="宋体"/>
          <w:color w:val="auto"/>
          <w:spacing w:val="0"/>
          <w:sz w:val="24"/>
          <w:szCs w:val="24"/>
          <w:highlight w:val="none"/>
        </w:rPr>
        <w:t>人，经济类专家</w:t>
      </w:r>
      <w:r>
        <w:rPr>
          <w:rFonts w:hint="eastAsia" w:ascii="宋体" w:hAnsi="宋体" w:eastAsia="宋体" w:cs="宋体"/>
          <w:color w:val="auto"/>
          <w:spacing w:val="0"/>
          <w:sz w:val="24"/>
          <w:szCs w:val="24"/>
          <w:highlight w:val="none"/>
          <w:u w:val="single"/>
        </w:rPr>
        <w:t xml:space="preserve"> 2 </w:t>
      </w:r>
      <w:r>
        <w:rPr>
          <w:rFonts w:hint="eastAsia" w:ascii="宋体" w:hAnsi="宋体" w:eastAsia="宋体" w:cs="宋体"/>
          <w:color w:val="auto"/>
          <w:spacing w:val="0"/>
          <w:sz w:val="24"/>
          <w:szCs w:val="24"/>
          <w:highlight w:val="none"/>
        </w:rPr>
        <w:t>人。评标委员会设负责人，由评标委员会成员推举产生。评标委员会负责人与评标委员会的其他成员有同等的表决权。</w:t>
      </w:r>
    </w:p>
    <w:p w14:paraId="059C36AA">
      <w:pPr>
        <w:keepNext w:val="0"/>
        <w:keepLines w:val="0"/>
        <w:pageBreakBefore w:val="0"/>
        <w:wordWrap w:val="0"/>
        <w:overflowPunct/>
        <w:topLinePunct w:val="0"/>
        <w:bidi w:val="0"/>
        <w:spacing w:before="32" w:line="280" w:lineRule="auto"/>
        <w:ind w:left="13" w:right="7" w:firstLine="561"/>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15.1.2  </w:t>
      </w:r>
      <w:r>
        <w:rPr>
          <w:rFonts w:hint="eastAsia" w:ascii="宋体" w:hAnsi="宋体" w:eastAsia="宋体" w:cs="宋体"/>
          <w:color w:val="auto"/>
          <w:spacing w:val="0"/>
          <w:sz w:val="24"/>
          <w:szCs w:val="24"/>
          <w:highlight w:val="none"/>
        </w:rPr>
        <w:t>评标委员会应认真、公正、诚实、廉洁地履行职责。有下列情形之一的，不得担任评标委员会成员：</w:t>
      </w:r>
    </w:p>
    <w:p w14:paraId="63C8129C">
      <w:pPr>
        <w:keepNext w:val="0"/>
        <w:keepLines w:val="0"/>
        <w:pageBreakBefore w:val="0"/>
        <w:wordWrap w:val="0"/>
        <w:overflowPunct/>
        <w:topLinePunct w:val="0"/>
        <w:bidi w:val="0"/>
        <w:spacing w:before="154" w:line="220" w:lineRule="auto"/>
        <w:ind w:left="5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（1）投标人或投标人主要负责人的近亲属；</w:t>
      </w:r>
    </w:p>
    <w:p w14:paraId="1EEDB855">
      <w:pPr>
        <w:keepNext w:val="0"/>
        <w:keepLines w:val="0"/>
        <w:pageBreakBefore w:val="0"/>
        <w:wordWrap w:val="0"/>
        <w:overflowPunct/>
        <w:topLinePunct w:val="0"/>
        <w:bidi w:val="0"/>
        <w:spacing w:before="153" w:line="220" w:lineRule="auto"/>
        <w:ind w:left="5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（2）项目主管部门或者行政监督部门的人员；</w:t>
      </w:r>
    </w:p>
    <w:p w14:paraId="42600ECE">
      <w:pPr>
        <w:keepNext w:val="0"/>
        <w:keepLines w:val="0"/>
        <w:pageBreakBefore w:val="0"/>
        <w:wordWrap w:val="0"/>
        <w:overflowPunct/>
        <w:topLinePunct w:val="0"/>
        <w:bidi w:val="0"/>
        <w:spacing w:before="155" w:line="221" w:lineRule="auto"/>
        <w:ind w:left="5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（3）与投标人有经济利益关系，可能影响对投标公正评审的；</w:t>
      </w:r>
    </w:p>
    <w:p w14:paraId="4E2648B8">
      <w:pPr>
        <w:keepNext w:val="0"/>
        <w:keepLines w:val="0"/>
        <w:pageBreakBefore w:val="0"/>
        <w:wordWrap w:val="0"/>
        <w:overflowPunct/>
        <w:topLinePunct w:val="0"/>
        <w:bidi w:val="0"/>
        <w:spacing w:before="153" w:line="279" w:lineRule="auto"/>
        <w:ind w:left="8" w:right="65" w:firstLine="57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（4）曾因在招标、评标以及其他与招标投标有关活动中从事违法行为而受过行政处罚或刑事处罚的。</w:t>
      </w:r>
    </w:p>
    <w:p w14:paraId="426C15BC">
      <w:pPr>
        <w:keepNext w:val="0"/>
        <w:keepLines w:val="0"/>
        <w:pageBreakBefore w:val="0"/>
        <w:wordWrap w:val="0"/>
        <w:overflowPunct/>
        <w:topLinePunct w:val="0"/>
        <w:bidi w:val="0"/>
        <w:spacing w:before="155" w:line="219" w:lineRule="auto"/>
        <w:ind w:left="48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评标委员会成员有以上情形之一的，应主动提出回避。</w:t>
      </w:r>
    </w:p>
    <w:p w14:paraId="01D44039">
      <w:pPr>
        <w:keepNext w:val="0"/>
        <w:keepLines w:val="0"/>
        <w:pageBreakBefore w:val="0"/>
        <w:wordWrap w:val="0"/>
        <w:overflowPunct/>
        <w:topLinePunct w:val="0"/>
        <w:bidi w:val="0"/>
        <w:spacing w:before="154" w:line="279" w:lineRule="auto"/>
        <w:ind w:left="8" w:right="65" w:firstLine="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15.1.3  </w:t>
      </w:r>
      <w:r>
        <w:rPr>
          <w:rFonts w:hint="eastAsia" w:ascii="宋体" w:hAnsi="宋体" w:eastAsia="宋体" w:cs="宋体"/>
          <w:color w:val="auto"/>
          <w:spacing w:val="0"/>
          <w:sz w:val="24"/>
          <w:szCs w:val="24"/>
          <w:highlight w:val="none"/>
        </w:rPr>
        <w:t>评标全过程实行封闭式管理，在中标结果公布前，禁止评标委员会成员以任何方式私下接触投标人。</w:t>
      </w:r>
    </w:p>
    <w:p w14:paraId="376321F7">
      <w:pPr>
        <w:keepNext w:val="0"/>
        <w:keepLines w:val="0"/>
        <w:pageBreakBefore w:val="0"/>
        <w:wordWrap w:val="0"/>
        <w:overflowPunct/>
        <w:topLinePunct w:val="0"/>
        <w:bidi w:val="0"/>
        <w:spacing w:before="157" w:line="298" w:lineRule="auto"/>
        <w:ind w:left="11" w:right="65" w:firstLine="48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15.1.4  </w:t>
      </w:r>
      <w:r>
        <w:rPr>
          <w:rFonts w:hint="eastAsia" w:ascii="宋体" w:hAnsi="宋体" w:eastAsia="宋体" w:cs="宋体"/>
          <w:color w:val="auto"/>
          <w:spacing w:val="0"/>
          <w:sz w:val="24"/>
          <w:szCs w:val="24"/>
          <w:highlight w:val="none"/>
        </w:rPr>
        <w:t>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0CE97C21">
      <w:pPr>
        <w:keepNext w:val="0"/>
        <w:keepLines w:val="0"/>
        <w:pageBreakBefore w:val="0"/>
        <w:wordWrap w:val="0"/>
        <w:overflowPunct/>
        <w:topLinePunct w:val="0"/>
        <w:bidi w:val="0"/>
        <w:spacing w:before="156" w:line="309" w:lineRule="auto"/>
        <w:ind w:left="8" w:right="65" w:firstLine="56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15.1.5  </w:t>
      </w:r>
      <w:r>
        <w:rPr>
          <w:rFonts w:hint="eastAsia" w:ascii="宋体" w:hAnsi="宋体" w:eastAsia="宋体" w:cs="宋体"/>
          <w:color w:val="auto"/>
          <w:spacing w:val="0"/>
          <w:sz w:val="24"/>
          <w:szCs w:val="24"/>
          <w:highlight w:val="none"/>
        </w:rPr>
        <w:t>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73BFB3D1">
      <w:pPr>
        <w:keepNext w:val="0"/>
        <w:keepLines w:val="0"/>
        <w:pageBreakBefore w:val="0"/>
        <w:wordWrap w:val="0"/>
        <w:overflowPunct/>
        <w:topLinePunct w:val="0"/>
        <w:bidi w:val="0"/>
        <w:spacing w:before="79" w:line="221" w:lineRule="auto"/>
        <w:ind w:left="577"/>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15.2  </w:t>
      </w:r>
      <w:r>
        <w:rPr>
          <w:rFonts w:hint="eastAsia" w:ascii="宋体" w:hAnsi="宋体" w:eastAsia="宋体" w:cs="宋体"/>
          <w:color w:val="auto"/>
          <w:spacing w:val="0"/>
          <w:sz w:val="24"/>
          <w:szCs w:val="24"/>
          <w:highlight w:val="none"/>
        </w:rPr>
        <w:t>评标方法</w:t>
      </w:r>
    </w:p>
    <w:p w14:paraId="74A36995">
      <w:pPr>
        <w:keepNext w:val="0"/>
        <w:keepLines w:val="0"/>
        <w:pageBreakBefore w:val="0"/>
        <w:wordWrap w:val="0"/>
        <w:overflowPunct/>
        <w:topLinePunct w:val="0"/>
        <w:bidi w:val="0"/>
        <w:spacing w:before="78" w:line="326" w:lineRule="auto"/>
        <w:ind w:left="231" w:right="181" w:firstLine="560"/>
        <w:rPr>
          <w:rFonts w:hint="eastAsia" w:ascii="宋体" w:hAnsi="宋体" w:eastAsia="宋体" w:cs="宋体"/>
          <w:color w:val="auto"/>
          <w:spacing w:val="0"/>
          <w:highlight w:val="none"/>
        </w:rPr>
      </w:pPr>
      <w:bookmarkStart w:id="90" w:name="bookmark125"/>
      <w:bookmarkEnd w:id="90"/>
      <w:r>
        <w:rPr>
          <w:rFonts w:hint="eastAsia" w:ascii="宋体" w:hAnsi="宋体" w:eastAsia="宋体" w:cs="宋体"/>
          <w:color w:val="auto"/>
          <w:spacing w:val="0"/>
          <w:sz w:val="24"/>
          <w:szCs w:val="24"/>
          <w:highlight w:val="none"/>
        </w:rPr>
        <w:t>根据有关法律、法规的相关规定，结合本招标项目资金来源和规模特点，本次招标采用</w:t>
      </w:r>
      <w:r>
        <w:rPr>
          <w:rFonts w:hint="eastAsia" w:ascii="宋体" w:hAnsi="宋体" w:eastAsia="宋体" w:cs="宋体"/>
          <w:b/>
          <w:bCs/>
          <w:color w:val="auto"/>
          <w:spacing w:val="0"/>
          <w:sz w:val="24"/>
          <w:szCs w:val="24"/>
          <w:highlight w:val="none"/>
          <w:u w:val="single"/>
        </w:rPr>
        <w:t xml:space="preserve"> 综合评估法 </w:t>
      </w:r>
      <w:r>
        <w:rPr>
          <w:rFonts w:hint="eastAsia" w:ascii="宋体" w:hAnsi="宋体" w:eastAsia="宋体" w:cs="宋体"/>
          <w:color w:val="auto"/>
          <w:spacing w:val="0"/>
          <w:sz w:val="24"/>
          <w:szCs w:val="24"/>
          <w:highlight w:val="none"/>
          <w:u w:val="single"/>
        </w:rPr>
        <w:t>（</w:t>
      </w:r>
      <w:r>
        <w:rPr>
          <w:rFonts w:hint="eastAsia" w:ascii="宋体" w:hAnsi="宋体" w:eastAsia="宋体" w:cs="宋体"/>
          <w:color w:val="auto"/>
          <w:spacing w:val="0"/>
          <w:sz w:val="24"/>
          <w:szCs w:val="24"/>
          <w:highlight w:val="none"/>
        </w:rPr>
        <w:t>评标方法名称）进行评标。</w:t>
      </w:r>
    </w:p>
    <w:p w14:paraId="16F8291A">
      <w:pPr>
        <w:keepNext w:val="0"/>
        <w:keepLines w:val="0"/>
        <w:pageBreakBefore w:val="0"/>
        <w:wordWrap w:val="0"/>
        <w:overflowPunct/>
        <w:topLinePunct w:val="0"/>
        <w:bidi w:val="0"/>
        <w:spacing w:before="154" w:line="269" w:lineRule="auto"/>
        <w:ind w:left="220" w:right="33" w:firstLine="496"/>
        <w:rPr>
          <w:rFonts w:hint="eastAsia" w:ascii="宋体" w:hAnsi="宋体" w:eastAsia="宋体" w:cs="宋体"/>
          <w:color w:val="auto"/>
          <w:spacing w:val="0"/>
          <w:sz w:val="25"/>
          <w:szCs w:val="25"/>
          <w:highlight w:val="none"/>
        </w:rPr>
      </w:pPr>
      <w:r>
        <w:rPr>
          <w:rFonts w:hint="eastAsia" w:ascii="宋体" w:hAnsi="宋体" w:eastAsia="宋体" w:cs="宋体"/>
          <w:b/>
          <w:bCs/>
          <w:color w:val="auto"/>
          <w:spacing w:val="0"/>
          <w:sz w:val="24"/>
          <w:szCs w:val="24"/>
          <w:highlight w:val="none"/>
        </w:rPr>
        <w:t xml:space="preserve">15.3  </w:t>
      </w:r>
      <w:r>
        <w:rPr>
          <w:rFonts w:hint="eastAsia" w:ascii="宋体" w:hAnsi="宋体" w:eastAsia="宋体" w:cs="宋体"/>
          <w:color w:val="auto"/>
          <w:spacing w:val="0"/>
          <w:sz w:val="24"/>
          <w:szCs w:val="24"/>
          <w:highlight w:val="none"/>
        </w:rPr>
        <w:t>评审范围：评标委员会应对所有投标人的投标文件进行评审。</w:t>
      </w:r>
    </w:p>
    <w:p w14:paraId="7E7B141D">
      <w:pPr>
        <w:keepNext w:val="0"/>
        <w:keepLines w:val="0"/>
        <w:pageBreakBefore w:val="0"/>
        <w:wordWrap w:val="0"/>
        <w:overflowPunct/>
        <w:topLinePunct w:val="0"/>
        <w:bidi w:val="0"/>
        <w:spacing w:before="153" w:line="220" w:lineRule="auto"/>
        <w:ind w:left="71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15.4  </w:t>
      </w:r>
      <w:r>
        <w:rPr>
          <w:rFonts w:hint="eastAsia" w:ascii="宋体" w:hAnsi="宋体" w:eastAsia="宋体" w:cs="宋体"/>
          <w:color w:val="auto"/>
          <w:spacing w:val="0"/>
          <w:sz w:val="24"/>
          <w:szCs w:val="24"/>
          <w:highlight w:val="none"/>
        </w:rPr>
        <w:t>初步评审阶段</w:t>
      </w:r>
    </w:p>
    <w:p w14:paraId="513D8358">
      <w:pPr>
        <w:keepNext w:val="0"/>
        <w:keepLines w:val="0"/>
        <w:pageBreakBefore w:val="0"/>
        <w:wordWrap w:val="0"/>
        <w:overflowPunct/>
        <w:topLinePunct w:val="0"/>
        <w:bidi w:val="0"/>
        <w:spacing w:before="153" w:line="220" w:lineRule="auto"/>
        <w:ind w:left="70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初步评审阶段分为资格评审、形式评审和响应性评审三个环节。</w:t>
      </w:r>
    </w:p>
    <w:p w14:paraId="30E6A985">
      <w:pPr>
        <w:keepNext w:val="0"/>
        <w:keepLines w:val="0"/>
        <w:pageBreakBefore w:val="0"/>
        <w:tabs>
          <w:tab w:val="left" w:pos="3360"/>
        </w:tabs>
        <w:wordWrap w:val="0"/>
        <w:overflowPunct/>
        <w:topLinePunct w:val="0"/>
        <w:bidi w:val="0"/>
        <w:spacing w:before="155" w:line="279" w:lineRule="auto"/>
        <w:ind w:left="719" w:right="6040" w:rightChars="0" w:hanging="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15.4.1 </w:t>
      </w:r>
      <w:r>
        <w:rPr>
          <w:rFonts w:hint="eastAsia" w:ascii="宋体" w:hAnsi="宋体" w:eastAsia="宋体" w:cs="宋体"/>
          <w:color w:val="auto"/>
          <w:spacing w:val="0"/>
          <w:sz w:val="24"/>
          <w:szCs w:val="24"/>
          <w:highlight w:val="none"/>
        </w:rPr>
        <w:t xml:space="preserve"> 资格评审环节资格评审事项</w:t>
      </w:r>
      <w:r>
        <w:rPr>
          <w:rFonts w:hint="eastAsia" w:ascii="宋体" w:hAnsi="宋体" w:eastAsia="宋体" w:cs="宋体"/>
          <w:color w:val="auto"/>
          <w:spacing w:val="0"/>
          <w:sz w:val="24"/>
          <w:szCs w:val="24"/>
          <w:highlight w:val="none"/>
          <w:lang w:val="en-US" w:eastAsia="zh-CN"/>
        </w:rPr>
        <w:t>包括</w:t>
      </w:r>
      <w:r>
        <w:rPr>
          <w:rFonts w:hint="eastAsia" w:ascii="宋体" w:hAnsi="宋体" w:eastAsia="宋体" w:cs="宋体"/>
          <w:color w:val="auto"/>
          <w:spacing w:val="0"/>
          <w:sz w:val="24"/>
          <w:szCs w:val="24"/>
          <w:highlight w:val="none"/>
        </w:rPr>
        <w:t>：</w:t>
      </w:r>
    </w:p>
    <w:p w14:paraId="02385A91">
      <w:pPr>
        <w:keepNext w:val="0"/>
        <w:keepLines w:val="0"/>
        <w:pageBreakBefore w:val="0"/>
        <w:wordWrap w:val="0"/>
        <w:overflowPunct/>
        <w:topLinePunct w:val="0"/>
        <w:bidi w:val="0"/>
        <w:spacing w:before="152" w:line="315" w:lineRule="auto"/>
        <w:ind w:left="23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（1）投标人是否符合本章第三节第 </w:t>
      </w:r>
      <w:r>
        <w:rPr>
          <w:rFonts w:hint="eastAsia" w:ascii="宋体" w:hAnsi="宋体" w:eastAsia="宋体" w:cs="宋体"/>
          <w:b/>
          <w:bCs/>
          <w:color w:val="auto"/>
          <w:spacing w:val="0"/>
          <w:sz w:val="24"/>
          <w:szCs w:val="24"/>
          <w:highlight w:val="none"/>
        </w:rPr>
        <w:t xml:space="preserve">2.4 </w:t>
      </w:r>
      <w:r>
        <w:rPr>
          <w:rFonts w:hint="eastAsia" w:ascii="宋体" w:hAnsi="宋体" w:eastAsia="宋体" w:cs="宋体"/>
          <w:color w:val="auto"/>
          <w:spacing w:val="0"/>
          <w:sz w:val="24"/>
          <w:szCs w:val="24"/>
          <w:highlight w:val="none"/>
        </w:rPr>
        <w:t>条“禁止投标条款 ”规定。如果“禁止投标条款 ”包括失信惩戒的，投标人信用信息的获取采用现场实时查询的方式实施。由</w:t>
      </w:r>
      <w:r>
        <w:rPr>
          <w:rFonts w:hint="eastAsia" w:ascii="宋体" w:hAnsi="宋体" w:eastAsia="宋体" w:cs="宋体"/>
          <w:color w:val="auto"/>
          <w:spacing w:val="0"/>
          <w:sz w:val="24"/>
          <w:szCs w:val="24"/>
          <w:highlight w:val="none"/>
          <w:lang w:val="en-US" w:eastAsia="zh-CN"/>
        </w:rPr>
        <w:t>评标委员会</w:t>
      </w:r>
      <w:r>
        <w:rPr>
          <w:rFonts w:hint="eastAsia" w:ascii="宋体" w:hAnsi="宋体" w:eastAsia="宋体" w:cs="宋体"/>
          <w:color w:val="auto"/>
          <w:spacing w:val="0"/>
          <w:sz w:val="24"/>
          <w:szCs w:val="24"/>
          <w:highlight w:val="none"/>
        </w:rPr>
        <w:t xml:space="preserve">登录信用中国网站（https://www.creditchina.gov.cn），在企业查询界面下载和打印《法人和非法人组织公共信用信息报告》。 </w:t>
      </w:r>
    </w:p>
    <w:p w14:paraId="574B216F">
      <w:pPr>
        <w:keepNext w:val="0"/>
        <w:keepLines w:val="0"/>
        <w:pageBreakBefore w:val="0"/>
        <w:wordWrap w:val="0"/>
        <w:overflowPunct/>
        <w:topLinePunct w:val="0"/>
        <w:bidi w:val="0"/>
        <w:spacing w:before="155" w:line="219" w:lineRule="auto"/>
        <w:ind w:left="72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（2）投标人名称是否与营业执照、资质证书、安全生产许可证一致。</w:t>
      </w:r>
    </w:p>
    <w:p w14:paraId="06491F7F">
      <w:pPr>
        <w:keepNext w:val="0"/>
        <w:keepLines w:val="0"/>
        <w:pageBreakBefore w:val="0"/>
        <w:widowControl/>
        <w:kinsoku w:val="0"/>
        <w:wordWrap w:val="0"/>
        <w:overflowPunct/>
        <w:topLinePunct w:val="0"/>
        <w:autoSpaceDE w:val="0"/>
        <w:autoSpaceDN w:val="0"/>
        <w:bidi w:val="0"/>
        <w:adjustRightInd w:val="0"/>
        <w:snapToGrid w:val="0"/>
        <w:spacing w:before="155" w:line="286" w:lineRule="auto"/>
        <w:ind w:left="232" w:right="96"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（3）投标人的资质是否符合招标文件规定；其营业执照、资质证书、安全生产许可证（含实时网页查询页，可参考网址 https://zlaq.mohurd.gov.cn/fwmh/bjxcjgl/fwm</w:t>
      </w:r>
      <w:bookmarkStart w:id="91" w:name="bookmark126"/>
      <w:bookmarkEnd w:id="91"/>
      <w:r>
        <w:rPr>
          <w:rFonts w:hint="eastAsia" w:ascii="宋体" w:hAnsi="宋体" w:eastAsia="宋体" w:cs="宋体"/>
          <w:color w:val="auto"/>
          <w:spacing w:val="0"/>
          <w:position w:val="3"/>
          <w:sz w:val="24"/>
          <w:szCs w:val="24"/>
          <w:highlight w:val="none"/>
        </w:rPr>
        <w:t>h/pages/construction_safety/qyaqscxkz/qyaqscxkz）是否合法、有效、准确。</w:t>
      </w:r>
    </w:p>
    <w:p w14:paraId="62284951">
      <w:pPr>
        <w:keepNext w:val="0"/>
        <w:keepLines w:val="0"/>
        <w:pageBreakBefore w:val="0"/>
        <w:wordWrap w:val="0"/>
        <w:overflowPunct/>
        <w:topLinePunct w:val="0"/>
        <w:bidi w:val="0"/>
        <w:spacing w:before="144"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（4）《项目经理简历表》中拟派项目经理是否与《开标一览表》一致。</w:t>
      </w:r>
    </w:p>
    <w:p w14:paraId="077E1DF6">
      <w:pPr>
        <w:keepNext w:val="0"/>
        <w:keepLines w:val="0"/>
        <w:pageBreakBefore w:val="0"/>
        <w:wordWrap w:val="0"/>
        <w:overflowPunct/>
        <w:topLinePunct w:val="0"/>
        <w:bidi w:val="0"/>
        <w:spacing w:before="151" w:line="315" w:lineRule="auto"/>
        <w:ind w:left="11"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拟派项目经理、项目技术负责人、专职安全员的条件是否符合招标文件规定；拟派的项目经理是否在投标文件《项目经理简历表》中签字确认；项目技术负责人是否在投标文件《项目技术负责人简历表》中签字确认；项目管理机构组成人员的各类证书、证件、证明是否合法、有效、准确；是否擅自修改、遗漏《项目经理任职声明》的实质性内容。</w:t>
      </w:r>
    </w:p>
    <w:p w14:paraId="65B40B4B">
      <w:pPr>
        <w:keepNext w:val="0"/>
        <w:keepLines w:val="0"/>
        <w:pageBreakBefore w:val="0"/>
        <w:wordWrap w:val="0"/>
        <w:overflowPunct/>
        <w:topLinePunct w:val="0"/>
        <w:bidi w:val="0"/>
        <w:spacing w:before="156" w:line="298" w:lineRule="auto"/>
        <w:ind w:left="9"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联合体投标的，是否提交《联合体协议书》；是否擅自修改、遗漏《联合体协议书》的实质性内容；联合体成员的数量、资质是否符合招标文件规定；联合体成员是否以自己名义单独或者参加其他联合体参与本招标项目投标。</w:t>
      </w:r>
    </w:p>
    <w:p w14:paraId="7874A7F2">
      <w:pPr>
        <w:keepNext w:val="0"/>
        <w:keepLines w:val="0"/>
        <w:pageBreakBefore w:val="0"/>
        <w:wordWrap w:val="0"/>
        <w:overflowPunct/>
        <w:topLinePunct w:val="0"/>
        <w:bidi w:val="0"/>
        <w:spacing w:before="155" w:line="360" w:lineRule="auto"/>
        <w:ind w:left="8" w:right="2" w:firstLine="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（7）投标人为外省建筑企业的，是否按规定在“进粤企业和人员诚信信息登记平台 ”录入企业及其拟派人员有关信息并通过数据规范检查。</w:t>
      </w:r>
    </w:p>
    <w:p w14:paraId="3F2C05D3">
      <w:pPr>
        <w:keepNext w:val="0"/>
        <w:keepLines w:val="0"/>
        <w:pageBreakBefore w:val="0"/>
        <w:wordWrap w:val="0"/>
        <w:overflowPunct/>
        <w:topLinePunct w:val="0"/>
        <w:bidi w:val="0"/>
        <w:spacing w:before="15" w:line="360" w:lineRule="auto"/>
        <w:ind w:right="2" w:firstLine="482" w:firstLineChars="200"/>
        <w:jc w:val="both"/>
        <w:outlineLvl w:val="9"/>
        <w:rPr>
          <w:rFonts w:hint="eastAsia" w:ascii="宋体" w:hAnsi="宋体" w:eastAsia="宋体" w:cs="宋体"/>
          <w:color w:val="auto"/>
          <w:spacing w:val="0"/>
          <w:sz w:val="24"/>
          <w:szCs w:val="24"/>
          <w:highlight w:val="none"/>
        </w:rPr>
      </w:pPr>
      <w:bookmarkStart w:id="92" w:name="_Toc22778"/>
      <w:r>
        <w:rPr>
          <w:rFonts w:hint="eastAsia" w:ascii="宋体" w:hAnsi="宋体" w:eastAsia="宋体" w:cs="宋体"/>
          <w:b/>
          <w:bCs/>
          <w:color w:val="auto"/>
          <w:spacing w:val="0"/>
          <w:sz w:val="24"/>
          <w:szCs w:val="24"/>
          <w:highlight w:val="none"/>
        </w:rPr>
        <w:t xml:space="preserve">15.4.2 </w:t>
      </w:r>
      <w:r>
        <w:rPr>
          <w:rFonts w:hint="eastAsia" w:ascii="宋体" w:hAnsi="宋体" w:eastAsia="宋体" w:cs="宋体"/>
          <w:color w:val="auto"/>
          <w:spacing w:val="0"/>
          <w:sz w:val="24"/>
          <w:szCs w:val="24"/>
          <w:highlight w:val="none"/>
        </w:rPr>
        <w:t xml:space="preserve"> 形式评审环节</w:t>
      </w:r>
    </w:p>
    <w:p w14:paraId="6CA1C88A">
      <w:pPr>
        <w:keepNext w:val="0"/>
        <w:keepLines w:val="0"/>
        <w:pageBreakBefore w:val="0"/>
        <w:wordWrap w:val="0"/>
        <w:overflowPunct/>
        <w:topLinePunct w:val="0"/>
        <w:bidi w:val="0"/>
        <w:spacing w:before="15" w:line="360" w:lineRule="auto"/>
        <w:ind w:right="2" w:firstLine="480" w:firstLineChars="200"/>
        <w:jc w:val="both"/>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形式评审事</w:t>
      </w:r>
      <w:r>
        <w:rPr>
          <w:rFonts w:hint="eastAsia" w:ascii="宋体" w:hAnsi="宋体" w:eastAsia="宋体" w:cs="宋体"/>
          <w:color w:val="auto"/>
          <w:spacing w:val="0"/>
          <w:sz w:val="24"/>
          <w:szCs w:val="24"/>
          <w:highlight w:val="none"/>
          <w:lang w:eastAsia="zh-CN"/>
        </w:rPr>
        <w:t>项包括</w:t>
      </w:r>
      <w:bookmarkEnd w:id="92"/>
      <w:r>
        <w:rPr>
          <w:rFonts w:hint="eastAsia" w:ascii="宋体" w:hAnsi="宋体" w:eastAsia="宋体" w:cs="宋体"/>
          <w:color w:val="auto"/>
          <w:spacing w:val="0"/>
          <w:sz w:val="24"/>
          <w:szCs w:val="24"/>
          <w:highlight w:val="none"/>
          <w:lang w:eastAsia="zh-CN"/>
        </w:rPr>
        <w:t>：</w:t>
      </w:r>
    </w:p>
    <w:p w14:paraId="290BCF8D">
      <w:pPr>
        <w:keepNext w:val="0"/>
        <w:keepLines w:val="0"/>
        <w:pageBreakBefore w:val="0"/>
        <w:wordWrap w:val="0"/>
        <w:overflowPunct/>
        <w:topLinePunct w:val="0"/>
        <w:bidi w:val="0"/>
        <w:spacing w:before="40" w:line="360" w:lineRule="auto"/>
        <w:ind w:left="501"/>
        <w:outlineLvl w:val="9"/>
        <w:rPr>
          <w:rFonts w:hint="eastAsia" w:ascii="宋体" w:hAnsi="宋体" w:eastAsia="宋体" w:cs="宋体"/>
          <w:color w:val="auto"/>
          <w:spacing w:val="0"/>
          <w:sz w:val="24"/>
          <w:szCs w:val="24"/>
          <w:highlight w:val="none"/>
        </w:rPr>
      </w:pPr>
      <w:bookmarkStart w:id="93" w:name="_Toc4914"/>
      <w:bookmarkStart w:id="94" w:name="_Toc20481"/>
      <w:bookmarkStart w:id="95" w:name="_Toc13304"/>
      <w:bookmarkStart w:id="96" w:name="_Toc23632"/>
      <w:r>
        <w:rPr>
          <w:rFonts w:hint="eastAsia" w:ascii="宋体" w:hAnsi="宋体" w:eastAsia="宋体" w:cs="宋体"/>
          <w:color w:val="auto"/>
          <w:spacing w:val="0"/>
          <w:sz w:val="24"/>
          <w:szCs w:val="24"/>
          <w:highlight w:val="none"/>
        </w:rPr>
        <w:t>（1）各分册是否按招标文件规定加盖电子印章。</w:t>
      </w:r>
      <w:bookmarkEnd w:id="93"/>
      <w:bookmarkEnd w:id="94"/>
      <w:bookmarkEnd w:id="95"/>
      <w:bookmarkEnd w:id="96"/>
    </w:p>
    <w:p w14:paraId="6A8E625A">
      <w:pPr>
        <w:keepNext w:val="0"/>
        <w:keepLines w:val="0"/>
        <w:pageBreakBefore w:val="0"/>
        <w:wordWrap w:val="0"/>
        <w:overflowPunct/>
        <w:topLinePunct w:val="0"/>
        <w:bidi w:val="0"/>
        <w:spacing w:before="15" w:line="360" w:lineRule="auto"/>
        <w:ind w:firstLine="480" w:firstLineChars="200"/>
        <w:outlineLvl w:val="9"/>
        <w:rPr>
          <w:rFonts w:hint="eastAsia" w:ascii="宋体" w:hAnsi="宋体" w:eastAsia="宋体" w:cs="宋体"/>
          <w:color w:val="auto"/>
          <w:spacing w:val="0"/>
          <w:sz w:val="24"/>
          <w:szCs w:val="24"/>
          <w:highlight w:val="none"/>
          <w:lang w:eastAsia="zh-CN"/>
        </w:rPr>
      </w:pPr>
      <w:bookmarkStart w:id="97" w:name="_Toc27432"/>
      <w:bookmarkStart w:id="98" w:name="_Toc28409"/>
      <w:bookmarkStart w:id="99" w:name="_Toc10806"/>
      <w:bookmarkStart w:id="100" w:name="_Toc12756"/>
      <w:r>
        <w:rPr>
          <w:rFonts w:hint="eastAsia" w:ascii="宋体" w:hAnsi="宋体" w:eastAsia="宋体" w:cs="宋体"/>
          <w:color w:val="auto"/>
          <w:spacing w:val="0"/>
          <w:sz w:val="24"/>
          <w:szCs w:val="24"/>
          <w:highlight w:val="none"/>
        </w:rPr>
        <w:t>（2）本节第</w:t>
      </w:r>
      <w:r>
        <w:rPr>
          <w:rFonts w:hint="eastAsia" w:ascii="宋体" w:hAnsi="宋体" w:eastAsia="宋体" w:cs="宋体"/>
          <w:b/>
          <w:bCs/>
          <w:color w:val="auto"/>
          <w:spacing w:val="0"/>
          <w:sz w:val="24"/>
          <w:szCs w:val="24"/>
          <w:highlight w:val="none"/>
        </w:rPr>
        <w:t xml:space="preserve"> 10.2.2 </w:t>
      </w:r>
      <w:r>
        <w:rPr>
          <w:rFonts w:hint="eastAsia" w:ascii="宋体" w:hAnsi="宋体" w:eastAsia="宋体" w:cs="宋体"/>
          <w:color w:val="auto"/>
          <w:spacing w:val="0"/>
          <w:sz w:val="24"/>
          <w:szCs w:val="24"/>
          <w:highlight w:val="none"/>
        </w:rPr>
        <w:t xml:space="preserve"> 目、第 </w:t>
      </w:r>
      <w:r>
        <w:rPr>
          <w:rFonts w:hint="eastAsia" w:ascii="宋体" w:hAnsi="宋体" w:eastAsia="宋体" w:cs="宋体"/>
          <w:b/>
          <w:bCs/>
          <w:color w:val="auto"/>
          <w:spacing w:val="0"/>
          <w:sz w:val="24"/>
          <w:szCs w:val="24"/>
          <w:highlight w:val="none"/>
        </w:rPr>
        <w:t xml:space="preserve">10.3.2 </w:t>
      </w:r>
      <w:r>
        <w:rPr>
          <w:rFonts w:hint="eastAsia" w:ascii="宋体" w:hAnsi="宋体" w:eastAsia="宋体" w:cs="宋体"/>
          <w:color w:val="auto"/>
          <w:spacing w:val="0"/>
          <w:sz w:val="24"/>
          <w:szCs w:val="24"/>
          <w:highlight w:val="none"/>
        </w:rPr>
        <w:t xml:space="preserve"> 目、第</w:t>
      </w:r>
      <w:r>
        <w:rPr>
          <w:rFonts w:hint="eastAsia" w:ascii="宋体" w:hAnsi="宋体" w:eastAsia="宋体" w:cs="宋体"/>
          <w:b/>
          <w:bCs/>
          <w:color w:val="auto"/>
          <w:spacing w:val="0"/>
          <w:sz w:val="24"/>
          <w:szCs w:val="24"/>
          <w:highlight w:val="none"/>
        </w:rPr>
        <w:t xml:space="preserve"> 10.4.3 </w:t>
      </w:r>
      <w:r>
        <w:rPr>
          <w:rFonts w:hint="eastAsia" w:ascii="宋体" w:hAnsi="宋体" w:eastAsia="宋体" w:cs="宋体"/>
          <w:color w:val="auto"/>
          <w:spacing w:val="0"/>
          <w:sz w:val="24"/>
          <w:szCs w:val="24"/>
          <w:highlight w:val="none"/>
        </w:rPr>
        <w:t xml:space="preserve"> 目中规定的“所有投标人均应提</w:t>
      </w:r>
      <w:bookmarkEnd w:id="97"/>
      <w:bookmarkEnd w:id="98"/>
      <w:bookmarkEnd w:id="99"/>
      <w:r>
        <w:rPr>
          <w:rFonts w:hint="eastAsia" w:ascii="宋体" w:hAnsi="宋体" w:eastAsia="宋体" w:cs="宋体"/>
          <w:color w:val="auto"/>
          <w:spacing w:val="0"/>
          <w:sz w:val="24"/>
          <w:szCs w:val="24"/>
          <w:highlight w:val="none"/>
        </w:rPr>
        <w:t>供 ”的组成内容（包括该组成内容的所附资料）是否完整、齐全</w:t>
      </w:r>
      <w:bookmarkEnd w:id="100"/>
      <w:r>
        <w:rPr>
          <w:rFonts w:hint="eastAsia" w:ascii="宋体" w:hAnsi="宋体" w:eastAsia="宋体" w:cs="宋体"/>
          <w:color w:val="auto"/>
          <w:spacing w:val="0"/>
          <w:sz w:val="24"/>
          <w:szCs w:val="24"/>
          <w:highlight w:val="none"/>
          <w:lang w:eastAsia="zh-CN"/>
        </w:rPr>
        <w:t>。</w:t>
      </w:r>
    </w:p>
    <w:p w14:paraId="438D1D33">
      <w:pPr>
        <w:keepNext w:val="0"/>
        <w:keepLines w:val="0"/>
        <w:pageBreakBefore w:val="0"/>
        <w:wordWrap w:val="0"/>
        <w:overflowPunct/>
        <w:topLinePunct w:val="0"/>
        <w:bidi w:val="0"/>
        <w:spacing w:before="15" w:line="360" w:lineRule="auto"/>
        <w:ind w:right="2" w:firstLine="480" w:firstLineChars="200"/>
        <w:jc w:val="both"/>
        <w:outlineLvl w:val="9"/>
        <w:rPr>
          <w:rFonts w:hint="eastAsia" w:ascii="宋体" w:hAnsi="宋体" w:eastAsia="宋体" w:cs="宋体"/>
          <w:color w:val="auto"/>
          <w:spacing w:val="0"/>
          <w:sz w:val="24"/>
          <w:szCs w:val="24"/>
          <w:highlight w:val="none"/>
        </w:rPr>
      </w:pPr>
      <w:bookmarkStart w:id="101" w:name="_Toc22691"/>
      <w:bookmarkStart w:id="102" w:name="_Toc17918"/>
      <w:bookmarkStart w:id="103" w:name="_Toc15678"/>
      <w:bookmarkStart w:id="104" w:name="_Toc9581"/>
      <w:r>
        <w:rPr>
          <w:rFonts w:hint="eastAsia" w:ascii="宋体" w:hAnsi="宋体" w:eastAsia="宋体" w:cs="宋体"/>
          <w:color w:val="auto"/>
          <w:spacing w:val="0"/>
          <w:sz w:val="24"/>
          <w:szCs w:val="24"/>
          <w:highlight w:val="none"/>
          <w:lang w:eastAsia="zh-CN"/>
        </w:rPr>
        <w:t>（3）</w:t>
      </w:r>
      <w:r>
        <w:rPr>
          <w:rFonts w:hint="eastAsia" w:ascii="宋体" w:hAnsi="宋体" w:eastAsia="宋体" w:cs="宋体"/>
          <w:color w:val="auto"/>
          <w:spacing w:val="0"/>
          <w:sz w:val="24"/>
          <w:szCs w:val="24"/>
          <w:highlight w:val="none"/>
        </w:rPr>
        <w:t>施工组织设计采用“暗标 ”方式进行评审的，施工组织设计的规格颜色、文字排版、正文篇幅（若有）是否符合规定；其任何部位是否出现手写以及涂改、行间插字或删除痕迹；其任何部位是否出现投标人的名称和其它可识别投标人身份的字符、徽标、人员名称以及其他特殊标记。</w:t>
      </w:r>
      <w:bookmarkEnd w:id="101"/>
      <w:bookmarkEnd w:id="102"/>
      <w:bookmarkEnd w:id="103"/>
      <w:bookmarkEnd w:id="104"/>
    </w:p>
    <w:p w14:paraId="59F478D8">
      <w:pPr>
        <w:keepNext w:val="0"/>
        <w:keepLines w:val="0"/>
        <w:pageBreakBefore w:val="0"/>
        <w:wordWrap w:val="0"/>
        <w:overflowPunct/>
        <w:topLinePunct w:val="0"/>
        <w:bidi w:val="0"/>
        <w:spacing w:before="15" w:line="360" w:lineRule="auto"/>
        <w:ind w:right="2" w:firstLine="482" w:firstLineChars="200"/>
        <w:jc w:val="both"/>
        <w:outlineLvl w:val="9"/>
        <w:rPr>
          <w:rFonts w:hint="eastAsia" w:ascii="宋体" w:hAnsi="宋体" w:eastAsia="宋体" w:cs="宋体"/>
          <w:b/>
          <w:bCs/>
          <w:color w:val="auto"/>
          <w:spacing w:val="0"/>
          <w:sz w:val="24"/>
          <w:szCs w:val="24"/>
          <w:highlight w:val="none"/>
        </w:rPr>
      </w:pPr>
      <w:bookmarkStart w:id="105" w:name="_Toc14202"/>
      <w:bookmarkStart w:id="106" w:name="_Toc22642"/>
      <w:bookmarkStart w:id="107" w:name="_Toc22562"/>
      <w:bookmarkStart w:id="108" w:name="_Toc16645"/>
    </w:p>
    <w:p w14:paraId="4C13FFD3">
      <w:pPr>
        <w:keepNext w:val="0"/>
        <w:keepLines w:val="0"/>
        <w:pageBreakBefore w:val="0"/>
        <w:wordWrap w:val="0"/>
        <w:overflowPunct/>
        <w:topLinePunct w:val="0"/>
        <w:bidi w:val="0"/>
        <w:spacing w:before="15" w:line="360" w:lineRule="auto"/>
        <w:ind w:right="2" w:firstLine="482" w:firstLineChars="200"/>
        <w:jc w:val="both"/>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15.4.3  </w:t>
      </w:r>
      <w:r>
        <w:rPr>
          <w:rFonts w:hint="eastAsia" w:ascii="宋体" w:hAnsi="宋体" w:eastAsia="宋体" w:cs="宋体"/>
          <w:color w:val="auto"/>
          <w:spacing w:val="0"/>
          <w:sz w:val="24"/>
          <w:szCs w:val="24"/>
          <w:highlight w:val="none"/>
        </w:rPr>
        <w:t xml:space="preserve">响应性评审环节 </w:t>
      </w:r>
    </w:p>
    <w:p w14:paraId="3519CDD1">
      <w:pPr>
        <w:keepNext w:val="0"/>
        <w:keepLines w:val="0"/>
        <w:pageBreakBefore w:val="0"/>
        <w:wordWrap w:val="0"/>
        <w:overflowPunct/>
        <w:topLinePunct w:val="0"/>
        <w:bidi w:val="0"/>
        <w:spacing w:before="15" w:line="360" w:lineRule="auto"/>
        <w:ind w:right="2" w:firstLine="480" w:firstLineChars="200"/>
        <w:jc w:val="both"/>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响应性评项包括：</w:t>
      </w:r>
      <w:bookmarkEnd w:id="105"/>
      <w:bookmarkEnd w:id="106"/>
      <w:bookmarkEnd w:id="107"/>
      <w:bookmarkEnd w:id="108"/>
    </w:p>
    <w:p w14:paraId="3B227407">
      <w:pPr>
        <w:keepNext w:val="0"/>
        <w:keepLines w:val="0"/>
        <w:pageBreakBefore w:val="0"/>
        <w:wordWrap w:val="0"/>
        <w:overflowPunct/>
        <w:topLinePunct w:val="0"/>
        <w:bidi w:val="0"/>
        <w:spacing w:before="155" w:line="360" w:lineRule="auto"/>
        <w:ind w:left="9"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（1）投标有效期、质量标准、工期等是否响应招标文件实质性要求；是否擅自修改、遗漏《投标函》《各项承诺一览表》的实质性内容。</w:t>
      </w:r>
    </w:p>
    <w:p w14:paraId="74AB4830">
      <w:pPr>
        <w:keepNext w:val="0"/>
        <w:keepLines w:val="0"/>
        <w:pageBreakBefore w:val="0"/>
        <w:wordWrap w:val="0"/>
        <w:overflowPunct/>
        <w:topLinePunct w:val="0"/>
        <w:bidi w:val="0"/>
        <w:spacing w:before="152" w:line="36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（2）编制《投标总价》的造价工程师，其注册证书是否合法、有效。</w:t>
      </w:r>
    </w:p>
    <w:p w14:paraId="52F8B469">
      <w:pPr>
        <w:keepNext w:val="0"/>
        <w:keepLines w:val="0"/>
        <w:pageBreakBefore w:val="0"/>
        <w:wordWrap w:val="0"/>
        <w:overflowPunct/>
        <w:topLinePunct w:val="0"/>
        <w:bidi w:val="0"/>
        <w:spacing w:before="158" w:line="360" w:lineRule="auto"/>
        <w:ind w:left="21" w:right="2"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（3）投标人委托造价咨询单位编制《投标总价》的，是否在《投标总价》“投标人 ”栏目加盖造价咨询人公章；是否提供造价咨询人的营业执照副本彩色扫描件；</w:t>
      </w:r>
    </w:p>
    <w:p w14:paraId="364BA91D">
      <w:pPr>
        <w:keepNext w:val="0"/>
        <w:keepLines w:val="0"/>
        <w:pageBreakBefore w:val="0"/>
        <w:wordWrap w:val="0"/>
        <w:overflowPunct/>
        <w:topLinePunct w:val="0"/>
        <w:bidi w:val="0"/>
        <w:spacing w:before="158" w:line="328" w:lineRule="auto"/>
        <w:ind w:left="9" w:firstLine="491"/>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（4）投标总价是否唯一；投标总价是否超出</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安全生产措施费</w:t>
      </w:r>
      <w:r>
        <w:rPr>
          <w:rFonts w:hint="eastAsia" w:ascii="宋体" w:hAnsi="宋体" w:eastAsia="宋体" w:cs="宋体"/>
          <w:color w:val="auto"/>
          <w:spacing w:val="0"/>
          <w:sz w:val="24"/>
          <w:szCs w:val="24"/>
          <w:highlight w:val="none"/>
        </w:rPr>
        <w:t>是否达到最低要求；暂列金额、暂估价是否按照招标工程量清单统一报价；投标人是否以低于成本的价格竞标。</w:t>
      </w:r>
    </w:p>
    <w:p w14:paraId="4FD03933">
      <w:pPr>
        <w:keepNext w:val="0"/>
        <w:keepLines w:val="0"/>
        <w:pageBreakBefore w:val="0"/>
        <w:wordWrap w:val="0"/>
        <w:overflowPunct/>
        <w:topLinePunct w:val="0"/>
        <w:bidi w:val="0"/>
        <w:spacing w:before="38" w:line="360" w:lineRule="auto"/>
        <w:ind w:right="2" w:firstLine="482" w:firstLineChars="200"/>
        <w:jc w:val="both"/>
        <w:rPr>
          <w:rFonts w:hint="eastAsia" w:ascii="宋体" w:hAnsi="宋体" w:eastAsia="宋体" w:cs="宋体"/>
          <w:color w:val="auto"/>
          <w:spacing w:val="0"/>
          <w:position w:val="-8"/>
          <w:sz w:val="24"/>
          <w:szCs w:val="24"/>
          <w:highlight w:val="none"/>
        </w:rPr>
      </w:pPr>
      <w:r>
        <w:rPr>
          <w:rFonts w:hint="eastAsia" w:ascii="宋体" w:hAnsi="宋体" w:eastAsia="宋体" w:cs="宋体"/>
          <w:b/>
          <w:bCs/>
          <w:color w:val="auto"/>
          <w:spacing w:val="0"/>
          <w:sz w:val="24"/>
          <w:szCs w:val="24"/>
          <w:highlight w:val="none"/>
        </w:rPr>
        <w:t>注：如果某投标人的投标总价下浮率超过</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15% ，又未提供相应书面说明和佐证</w:t>
      </w:r>
      <w:bookmarkStart w:id="109" w:name="bookmark127"/>
      <w:bookmarkEnd w:id="109"/>
      <w:r>
        <w:rPr>
          <w:rFonts w:hint="eastAsia" w:ascii="宋体" w:hAnsi="宋体" w:eastAsia="宋体" w:cs="宋体"/>
          <w:b/>
          <w:bCs/>
          <w:color w:val="auto"/>
          <w:spacing w:val="0"/>
          <w:sz w:val="24"/>
          <w:szCs w:val="24"/>
          <w:highlight w:val="none"/>
        </w:rPr>
        <w:t>材料或提供的书面说明和佐证材料不能令人信服的，评标委员会应认定其以低于成本的价格竞标，并否决其投标。评标委员会接受该投标人的投标总价而未否决其投标的，应在评标报告中说明判断理由。投标总价下浮率＝（1－投标总价÷</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b/>
          <w:bCs/>
          <w:color w:val="auto"/>
          <w:spacing w:val="0"/>
          <w:sz w:val="24"/>
          <w:szCs w:val="24"/>
          <w:highlight w:val="none"/>
        </w:rPr>
        <w:t>）×100% 。</w:t>
      </w:r>
    </w:p>
    <w:p w14:paraId="4E33E3DD">
      <w:pPr>
        <w:keepNext w:val="0"/>
        <w:keepLines w:val="0"/>
        <w:pageBreakBefore w:val="0"/>
        <w:wordWrap w:val="0"/>
        <w:overflowPunct/>
        <w:topLinePunct w:val="0"/>
        <w:bidi w:val="0"/>
        <w:spacing w:before="157" w:line="360" w:lineRule="auto"/>
        <w:ind w:left="11" w:right="114" w:firstLine="501" w:firstLineChars="209"/>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（5）施工组织设计的质量、进度保障措施是否符合国家和省市现行有关规范、规定、标准，是否能实现工程质量、进度管理目标。</w:t>
      </w:r>
    </w:p>
    <w:p w14:paraId="556B94DC">
      <w:pPr>
        <w:keepNext w:val="0"/>
        <w:keepLines w:val="0"/>
        <w:pageBreakBefore w:val="0"/>
        <w:wordWrap w:val="0"/>
        <w:overflowPunct/>
        <w:topLinePunct w:val="0"/>
        <w:bidi w:val="0"/>
        <w:spacing w:before="82" w:line="211" w:lineRule="auto"/>
        <w:ind w:left="580"/>
        <w:outlineLvl w:val="9"/>
        <w:rPr>
          <w:rFonts w:hint="eastAsia" w:ascii="宋体" w:hAnsi="宋体" w:eastAsia="宋体" w:cs="宋体"/>
          <w:color w:val="auto"/>
          <w:spacing w:val="0"/>
          <w:sz w:val="25"/>
          <w:szCs w:val="25"/>
          <w:highlight w:val="none"/>
        </w:rPr>
      </w:pPr>
      <w:bookmarkStart w:id="110" w:name="_Toc18204"/>
      <w:bookmarkStart w:id="111" w:name="_Toc19814"/>
      <w:bookmarkStart w:id="112" w:name="_Toc15367"/>
      <w:bookmarkStart w:id="113" w:name="_Toc32114"/>
      <w:r>
        <w:rPr>
          <w:rFonts w:hint="eastAsia" w:ascii="宋体" w:hAnsi="宋体" w:eastAsia="宋体" w:cs="宋体"/>
          <w:b/>
          <w:bCs/>
          <w:color w:val="auto"/>
          <w:spacing w:val="0"/>
          <w:sz w:val="24"/>
          <w:szCs w:val="24"/>
          <w:highlight w:val="none"/>
        </w:rPr>
        <w:t xml:space="preserve">15.4.4  </w:t>
      </w:r>
      <w:r>
        <w:rPr>
          <w:rFonts w:hint="eastAsia" w:ascii="宋体" w:hAnsi="宋体" w:eastAsia="宋体" w:cs="宋体"/>
          <w:color w:val="auto"/>
          <w:spacing w:val="0"/>
          <w:sz w:val="24"/>
          <w:szCs w:val="24"/>
          <w:highlight w:val="none"/>
        </w:rPr>
        <w:t>否决投标说明</w:t>
      </w:r>
      <w:bookmarkEnd w:id="110"/>
      <w:bookmarkEnd w:id="111"/>
      <w:bookmarkEnd w:id="112"/>
      <w:bookmarkEnd w:id="113"/>
    </w:p>
    <w:p w14:paraId="09D6B103">
      <w:pPr>
        <w:keepNext w:val="0"/>
        <w:keepLines w:val="0"/>
        <w:pageBreakBefore w:val="0"/>
        <w:wordWrap w:val="0"/>
        <w:overflowPunct/>
        <w:topLinePunct w:val="0"/>
        <w:bidi w:val="0"/>
        <w:spacing w:before="152" w:line="333" w:lineRule="auto"/>
        <w:ind w:left="11" w:right="175" w:firstLine="561"/>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初步评审阶段各个环节否决投标的全部条件，在本章第四节“否决投标条件 ”第</w:t>
      </w:r>
      <w:r>
        <w:rPr>
          <w:rFonts w:hint="eastAsia" w:ascii="宋体" w:hAnsi="宋体" w:eastAsia="宋体" w:cs="宋体"/>
          <w:b/>
          <w:bCs/>
          <w:color w:val="auto"/>
          <w:spacing w:val="0"/>
          <w:sz w:val="24"/>
          <w:szCs w:val="24"/>
          <w:highlight w:val="none"/>
        </w:rPr>
        <w:t xml:space="preserve">1 </w:t>
      </w:r>
      <w:r>
        <w:rPr>
          <w:rFonts w:hint="eastAsia" w:ascii="宋体" w:hAnsi="宋体" w:eastAsia="宋体" w:cs="宋体"/>
          <w:color w:val="auto"/>
          <w:spacing w:val="0"/>
          <w:sz w:val="24"/>
          <w:szCs w:val="24"/>
          <w:highlight w:val="none"/>
        </w:rPr>
        <w:t xml:space="preserve">条至第 </w:t>
      </w:r>
      <w:r>
        <w:rPr>
          <w:rFonts w:hint="eastAsia" w:ascii="宋体" w:hAnsi="宋体" w:eastAsia="宋体" w:cs="宋体"/>
          <w:b/>
          <w:bCs/>
          <w:color w:val="auto"/>
          <w:spacing w:val="0"/>
          <w:sz w:val="24"/>
          <w:szCs w:val="24"/>
          <w:highlight w:val="none"/>
        </w:rPr>
        <w:t xml:space="preserve">4 </w:t>
      </w:r>
      <w:r>
        <w:rPr>
          <w:rFonts w:hint="eastAsia" w:ascii="宋体" w:hAnsi="宋体" w:eastAsia="宋体" w:cs="宋体"/>
          <w:color w:val="auto"/>
          <w:spacing w:val="0"/>
          <w:sz w:val="24"/>
          <w:szCs w:val="24"/>
          <w:highlight w:val="none"/>
        </w:rPr>
        <w:t>条中集中列示。投标人有其中所列任何一种情形的，由评标委员会否决其投标。在初步评审阶段任何环节被否决的投标人，不进入下一环节（或阶段）评审。在初步评审阶段任何环节</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评标委员会经评审，认为所有投标都不符合招标文件要求的，可否决所有投标，项目的所有投标被否决的，招标人应依法重新组织招标。</w:t>
      </w:r>
    </w:p>
    <w:p w14:paraId="10CC8727">
      <w:pPr>
        <w:keepNext w:val="0"/>
        <w:keepLines w:val="0"/>
        <w:pageBreakBefore w:val="0"/>
        <w:wordWrap w:val="0"/>
        <w:overflowPunct/>
        <w:topLinePunct w:val="0"/>
        <w:bidi w:val="0"/>
        <w:spacing w:before="78" w:line="221" w:lineRule="auto"/>
        <w:ind w:left="5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drawing>
          <wp:anchor distT="0" distB="0" distL="114300" distR="114300" simplePos="0" relativeHeight="251669504" behindDoc="1" locked="0" layoutInCell="1" allowOverlap="1">
            <wp:simplePos x="0" y="0"/>
            <wp:positionH relativeFrom="column">
              <wp:posOffset>4789170</wp:posOffset>
            </wp:positionH>
            <wp:positionV relativeFrom="paragraph">
              <wp:posOffset>236220</wp:posOffset>
            </wp:positionV>
            <wp:extent cx="6350" cy="279400"/>
            <wp:effectExtent l="0" t="0" r="0" b="0"/>
            <wp:wrapNone/>
            <wp:docPr id="31" name="IM 46"/>
            <wp:cNvGraphicFramePr/>
            <a:graphic xmlns:a="http://schemas.openxmlformats.org/drawingml/2006/main">
              <a:graphicData uri="http://schemas.openxmlformats.org/drawingml/2006/picture">
                <pic:pic xmlns:pic="http://schemas.openxmlformats.org/drawingml/2006/picture">
                  <pic:nvPicPr>
                    <pic:cNvPr id="31" name="IM 46"/>
                    <pic:cNvPicPr/>
                  </pic:nvPicPr>
                  <pic:blipFill>
                    <a:blip r:embed="rId28"/>
                    <a:stretch>
                      <a:fillRect/>
                    </a:stretch>
                  </pic:blipFill>
                  <pic:spPr>
                    <a:xfrm>
                      <a:off x="0" y="0"/>
                      <a:ext cx="6350" cy="279400"/>
                    </a:xfrm>
                    <a:prstGeom prst="rect">
                      <a:avLst/>
                    </a:prstGeom>
                    <a:noFill/>
                    <a:ln>
                      <a:noFill/>
                    </a:ln>
                  </pic:spPr>
                </pic:pic>
              </a:graphicData>
            </a:graphic>
          </wp:anchor>
        </w:drawing>
      </w:r>
      <w:bookmarkStart w:id="114" w:name="bookmark128"/>
      <w:bookmarkEnd w:id="114"/>
      <w:r>
        <w:rPr>
          <w:rFonts w:hint="eastAsia" w:ascii="宋体" w:hAnsi="宋体" w:eastAsia="宋体" w:cs="宋体"/>
          <w:b/>
          <w:bCs/>
          <w:color w:val="auto"/>
          <w:spacing w:val="0"/>
          <w:sz w:val="24"/>
          <w:szCs w:val="24"/>
          <w:highlight w:val="none"/>
        </w:rPr>
        <w:t xml:space="preserve">15.5  </w:t>
      </w:r>
      <w:r>
        <w:rPr>
          <w:rFonts w:hint="eastAsia" w:ascii="宋体" w:hAnsi="宋体" w:eastAsia="宋体" w:cs="宋体"/>
          <w:color w:val="auto"/>
          <w:spacing w:val="0"/>
          <w:sz w:val="24"/>
          <w:szCs w:val="24"/>
          <w:highlight w:val="none"/>
        </w:rPr>
        <w:t>详细评审阶段</w:t>
      </w:r>
    </w:p>
    <w:p w14:paraId="269EBC2C">
      <w:pPr>
        <w:keepNext w:val="0"/>
        <w:keepLines w:val="0"/>
        <w:pageBreakBefore w:val="0"/>
        <w:wordWrap w:val="0"/>
        <w:overflowPunct/>
        <w:topLinePunct w:val="0"/>
        <w:bidi w:val="0"/>
        <w:spacing w:before="81" w:line="211" w:lineRule="auto"/>
        <w:ind w:left="498"/>
        <w:outlineLvl w:val="9"/>
        <w:rPr>
          <w:rFonts w:hint="eastAsia" w:ascii="宋体" w:hAnsi="宋体" w:eastAsia="宋体" w:cs="宋体"/>
          <w:color w:val="auto"/>
          <w:spacing w:val="0"/>
          <w:sz w:val="25"/>
          <w:szCs w:val="25"/>
          <w:highlight w:val="none"/>
        </w:rPr>
      </w:pPr>
      <w:bookmarkStart w:id="115" w:name="_Toc14991"/>
      <w:bookmarkStart w:id="116" w:name="_Toc10503"/>
      <w:bookmarkStart w:id="117" w:name="_Toc28572"/>
      <w:bookmarkStart w:id="118" w:name="_Toc4119"/>
      <w:r>
        <w:rPr>
          <w:rFonts w:hint="eastAsia" w:ascii="宋体" w:hAnsi="宋体" w:eastAsia="宋体" w:cs="宋体"/>
          <w:b/>
          <w:bCs/>
          <w:color w:val="auto"/>
          <w:spacing w:val="0"/>
          <w:sz w:val="24"/>
          <w:szCs w:val="24"/>
          <w:highlight w:val="none"/>
        </w:rPr>
        <w:t xml:space="preserve">15.5.1  </w:t>
      </w:r>
      <w:r>
        <w:rPr>
          <w:rFonts w:hint="eastAsia" w:ascii="宋体" w:hAnsi="宋体" w:eastAsia="宋体" w:cs="宋体"/>
          <w:color w:val="auto"/>
          <w:spacing w:val="0"/>
          <w:sz w:val="24"/>
          <w:szCs w:val="24"/>
          <w:highlight w:val="none"/>
        </w:rPr>
        <w:t>“综合评估法 ”评审程序</w:t>
      </w:r>
      <w:bookmarkEnd w:id="115"/>
      <w:bookmarkEnd w:id="116"/>
      <w:bookmarkEnd w:id="117"/>
      <w:bookmarkEnd w:id="118"/>
    </w:p>
    <w:p w14:paraId="40207E1F">
      <w:pPr>
        <w:keepNext w:val="0"/>
        <w:keepLines w:val="0"/>
        <w:pageBreakBefore w:val="0"/>
        <w:wordWrap w:val="0"/>
        <w:overflowPunct/>
        <w:topLinePunct w:val="0"/>
        <w:bidi w:val="0"/>
        <w:spacing w:before="152" w:line="329" w:lineRule="auto"/>
        <w:ind w:left="14" w:right="81" w:firstLine="47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评审内容分为商务技术和投标报价两大部分。其中，商务技术合计满分</w:t>
      </w:r>
      <w:r>
        <w:rPr>
          <w:rFonts w:hint="eastAsia" w:ascii="宋体" w:hAnsi="宋体" w:eastAsia="宋体" w:cs="宋体"/>
          <w:color w:val="auto"/>
          <w:spacing w:val="0"/>
          <w:sz w:val="24"/>
          <w:szCs w:val="24"/>
          <w:highlight w:val="none"/>
          <w:lang w:eastAsia="zh-CN"/>
        </w:rPr>
        <w:t>100</w:t>
      </w:r>
      <w:r>
        <w:rPr>
          <w:rFonts w:hint="eastAsia" w:ascii="宋体" w:hAnsi="宋体" w:eastAsia="宋体" w:cs="宋体"/>
          <w:color w:val="auto"/>
          <w:spacing w:val="0"/>
          <w:sz w:val="24"/>
          <w:szCs w:val="24"/>
          <w:highlight w:val="none"/>
        </w:rPr>
        <w:t>分，权重为</w:t>
      </w:r>
      <w:r>
        <w:rPr>
          <w:rFonts w:hint="eastAsia" w:ascii="宋体" w:hAnsi="宋体" w:eastAsia="宋体" w:cs="宋体"/>
          <w:color w:val="auto"/>
          <w:spacing w:val="0"/>
          <w:sz w:val="24"/>
          <w:szCs w:val="24"/>
          <w:highlight w:val="none"/>
          <w:lang w:eastAsia="zh-CN"/>
        </w:rPr>
        <w:t>40</w:t>
      </w:r>
      <w:r>
        <w:rPr>
          <w:rFonts w:hint="eastAsia" w:ascii="宋体" w:hAnsi="宋体" w:eastAsia="宋体" w:cs="宋体"/>
          <w:color w:val="auto"/>
          <w:spacing w:val="0"/>
          <w:sz w:val="24"/>
          <w:szCs w:val="24"/>
          <w:highlight w:val="none"/>
        </w:rPr>
        <w:t>%；投标报价满分 100 分，权重为</w:t>
      </w:r>
      <w:r>
        <w:rPr>
          <w:rFonts w:hint="eastAsia" w:ascii="宋体" w:hAnsi="宋体" w:eastAsia="宋体" w:cs="宋体"/>
          <w:color w:val="auto"/>
          <w:spacing w:val="0"/>
          <w:sz w:val="24"/>
          <w:szCs w:val="24"/>
          <w:highlight w:val="none"/>
          <w:lang w:eastAsia="zh-CN"/>
        </w:rPr>
        <w:t>60</w:t>
      </w:r>
      <w:r>
        <w:rPr>
          <w:rFonts w:hint="eastAsia" w:ascii="宋体" w:hAnsi="宋体" w:eastAsia="宋体" w:cs="宋体"/>
          <w:color w:val="auto"/>
          <w:spacing w:val="0"/>
          <w:sz w:val="24"/>
          <w:szCs w:val="24"/>
          <w:highlight w:val="none"/>
        </w:rPr>
        <w:t>% 。两大部分权重之和应为 100%。</w:t>
      </w:r>
    </w:p>
    <w:p w14:paraId="17D2E71D">
      <w:pPr>
        <w:keepNext w:val="0"/>
        <w:keepLines w:val="0"/>
        <w:pageBreakBefore w:val="0"/>
        <w:wordWrap w:val="0"/>
        <w:overflowPunct/>
        <w:topLinePunct w:val="0"/>
        <w:bidi w:val="0"/>
        <w:spacing w:before="153" w:line="324" w:lineRule="auto"/>
        <w:ind w:left="14" w:right="81"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除特别注明外，综合得分以及商务技术得分、投标报价得分的中间过程计算值和最终值，均按“ 四舍五入 ”原则精确到两位小数。</w:t>
      </w:r>
    </w:p>
    <w:p w14:paraId="6D824175">
      <w:pPr>
        <w:keepNext w:val="0"/>
        <w:keepLines w:val="0"/>
        <w:pageBreakBefore w:val="0"/>
        <w:wordWrap w:val="0"/>
        <w:overflowPunct/>
        <w:topLinePunct w:val="0"/>
        <w:bidi w:val="0"/>
        <w:spacing w:before="38" w:line="220" w:lineRule="auto"/>
        <w:ind w:left="503"/>
        <w:outlineLvl w:val="9"/>
        <w:rPr>
          <w:rFonts w:hint="eastAsia" w:ascii="宋体" w:hAnsi="宋体" w:eastAsia="宋体" w:cs="宋体"/>
          <w:color w:val="auto"/>
          <w:spacing w:val="0"/>
          <w:sz w:val="24"/>
          <w:szCs w:val="24"/>
          <w:highlight w:val="none"/>
        </w:rPr>
      </w:pPr>
      <w:bookmarkStart w:id="119" w:name="_Toc17510"/>
      <w:bookmarkStart w:id="120" w:name="_Toc10398"/>
      <w:bookmarkStart w:id="121" w:name="_Toc22949"/>
      <w:bookmarkStart w:id="122" w:name="_Toc18029"/>
      <w:r>
        <w:rPr>
          <w:rFonts w:hint="eastAsia" w:ascii="宋体" w:hAnsi="宋体" w:eastAsia="宋体" w:cs="宋体"/>
          <w:color w:val="auto"/>
          <w:spacing w:val="0"/>
          <w:sz w:val="24"/>
          <w:szCs w:val="24"/>
          <w:highlight w:val="none"/>
        </w:rPr>
        <w:t>（1）商务技术得分 M</w:t>
      </w:r>
      <w:bookmarkEnd w:id="119"/>
      <w:bookmarkEnd w:id="120"/>
      <w:bookmarkEnd w:id="121"/>
      <w:bookmarkEnd w:id="122"/>
    </w:p>
    <w:p w14:paraId="120A17FE">
      <w:pPr>
        <w:keepNext w:val="0"/>
        <w:keepLines w:val="0"/>
        <w:pageBreakBefore w:val="0"/>
        <w:wordWrap w:val="0"/>
        <w:overflowPunct/>
        <w:topLinePunct w:val="0"/>
        <w:bidi w:val="0"/>
        <w:spacing w:before="153" w:line="279" w:lineRule="auto"/>
        <w:ind w:left="15" w:right="81" w:firstLine="47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a </w:t>
      </w:r>
      <w:r>
        <w:rPr>
          <w:rFonts w:hint="eastAsia" w:ascii="宋体" w:hAnsi="宋体" w:eastAsia="宋体" w:cs="宋体"/>
          <w:color w:val="auto"/>
          <w:spacing w:val="0"/>
          <w:sz w:val="24"/>
          <w:szCs w:val="24"/>
          <w:highlight w:val="none"/>
        </w:rPr>
        <w:t>．评标委员会按照《综合评分表》商务部分指定的评分标准对各评分因素进行打分。各评分因素得分之和即为某投标人的商务得分 M</w:t>
      </w:r>
      <w:r>
        <w:rPr>
          <w:rFonts w:hint="eastAsia" w:ascii="宋体" w:hAnsi="宋体" w:eastAsia="宋体" w:cs="宋体"/>
          <w:color w:val="auto"/>
          <w:spacing w:val="0"/>
          <w:position w:val="-1"/>
          <w:sz w:val="15"/>
          <w:szCs w:val="15"/>
          <w:highlight w:val="none"/>
        </w:rPr>
        <w:t>1</w:t>
      </w:r>
      <w:r>
        <w:rPr>
          <w:rFonts w:hint="eastAsia" w:ascii="宋体" w:hAnsi="宋体" w:eastAsia="宋体" w:cs="宋体"/>
          <w:color w:val="auto"/>
          <w:spacing w:val="0"/>
          <w:sz w:val="24"/>
          <w:szCs w:val="24"/>
          <w:highlight w:val="none"/>
        </w:rPr>
        <w:t>。</w:t>
      </w:r>
    </w:p>
    <w:p w14:paraId="1339ADCB">
      <w:pPr>
        <w:keepNext w:val="0"/>
        <w:keepLines w:val="0"/>
        <w:pageBreakBefore w:val="0"/>
        <w:wordWrap w:val="0"/>
        <w:overflowPunct/>
        <w:topLinePunct w:val="0"/>
        <w:bidi w:val="0"/>
        <w:spacing w:before="154" w:line="299" w:lineRule="auto"/>
        <w:ind w:left="12" w:right="81"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b </w:t>
      </w:r>
      <w:r>
        <w:rPr>
          <w:rFonts w:hint="eastAsia" w:ascii="宋体" w:hAnsi="宋体" w:eastAsia="宋体" w:cs="宋体"/>
          <w:color w:val="auto"/>
          <w:spacing w:val="0"/>
          <w:sz w:val="24"/>
          <w:szCs w:val="24"/>
          <w:highlight w:val="none"/>
        </w:rPr>
        <w:t>．评标委员会各成员独立按照《综合评分表》技术部分（施工组织设计）指定的评分标准对各评分因素进行打分，累加后得出技术评分。将评标委员会所有成员的技术评分去掉最高分和最低分后，取算术平均值，即为某投标人的技术得分 M</w:t>
      </w:r>
      <w:r>
        <w:rPr>
          <w:rFonts w:hint="eastAsia" w:ascii="宋体" w:hAnsi="宋体" w:eastAsia="宋体" w:cs="宋体"/>
          <w:color w:val="auto"/>
          <w:spacing w:val="0"/>
          <w:position w:val="-1"/>
          <w:sz w:val="15"/>
          <w:szCs w:val="15"/>
          <w:highlight w:val="none"/>
        </w:rPr>
        <w:t>2</w:t>
      </w:r>
      <w:r>
        <w:rPr>
          <w:rFonts w:hint="eastAsia" w:ascii="宋体" w:hAnsi="宋体" w:eastAsia="宋体" w:cs="宋体"/>
          <w:color w:val="auto"/>
          <w:spacing w:val="0"/>
          <w:sz w:val="24"/>
          <w:szCs w:val="24"/>
          <w:highlight w:val="none"/>
        </w:rPr>
        <w:t>。</w:t>
      </w:r>
    </w:p>
    <w:p w14:paraId="0BBD9A29">
      <w:pPr>
        <w:keepNext w:val="0"/>
        <w:keepLines w:val="0"/>
        <w:pageBreakBefore w:val="0"/>
        <w:wordWrap w:val="0"/>
        <w:overflowPunct/>
        <w:topLinePunct w:val="0"/>
        <w:bidi w:val="0"/>
        <w:spacing w:before="155" w:line="231" w:lineRule="auto"/>
        <w:ind w:left="491"/>
        <w:rPr>
          <w:rFonts w:hint="eastAsia" w:ascii="宋体" w:hAnsi="宋体" w:eastAsia="宋体" w:cs="宋体"/>
          <w:color w:val="auto"/>
          <w:spacing w:val="0"/>
          <w:sz w:val="15"/>
          <w:szCs w:val="15"/>
          <w:highlight w:val="none"/>
        </w:rPr>
      </w:pPr>
      <w:r>
        <w:rPr>
          <w:rFonts w:hint="eastAsia" w:ascii="宋体" w:hAnsi="宋体" w:eastAsia="宋体" w:cs="宋体"/>
          <w:b/>
          <w:bCs/>
          <w:color w:val="auto"/>
          <w:spacing w:val="0"/>
          <w:sz w:val="24"/>
          <w:szCs w:val="24"/>
          <w:highlight w:val="none"/>
        </w:rPr>
        <w:t xml:space="preserve">c </w:t>
      </w:r>
      <w:r>
        <w:rPr>
          <w:rFonts w:hint="eastAsia" w:ascii="宋体" w:hAnsi="宋体" w:eastAsia="宋体" w:cs="宋体"/>
          <w:color w:val="auto"/>
          <w:spacing w:val="0"/>
          <w:sz w:val="24"/>
          <w:szCs w:val="24"/>
          <w:highlight w:val="none"/>
        </w:rPr>
        <w:t>．M ＝M</w:t>
      </w:r>
      <w:r>
        <w:rPr>
          <w:rFonts w:hint="eastAsia" w:ascii="宋体" w:hAnsi="宋体" w:eastAsia="宋体" w:cs="宋体"/>
          <w:color w:val="auto"/>
          <w:spacing w:val="0"/>
          <w:position w:val="-1"/>
          <w:sz w:val="15"/>
          <w:szCs w:val="15"/>
          <w:highlight w:val="none"/>
        </w:rPr>
        <w:t>1</w:t>
      </w:r>
      <w:r>
        <w:rPr>
          <w:rFonts w:hint="eastAsia" w:ascii="宋体" w:hAnsi="宋体" w:eastAsia="宋体" w:cs="宋体"/>
          <w:color w:val="auto"/>
          <w:spacing w:val="0"/>
          <w:sz w:val="24"/>
          <w:szCs w:val="24"/>
          <w:highlight w:val="none"/>
        </w:rPr>
        <w:t>＋M</w:t>
      </w:r>
      <w:r>
        <w:rPr>
          <w:rFonts w:hint="eastAsia" w:ascii="宋体" w:hAnsi="宋体" w:eastAsia="宋体" w:cs="宋体"/>
          <w:color w:val="auto"/>
          <w:spacing w:val="0"/>
          <w:position w:val="-1"/>
          <w:sz w:val="15"/>
          <w:szCs w:val="15"/>
          <w:highlight w:val="none"/>
        </w:rPr>
        <w:t>2</w:t>
      </w:r>
    </w:p>
    <w:p w14:paraId="77066CCD">
      <w:pPr>
        <w:keepNext w:val="0"/>
        <w:keepLines w:val="0"/>
        <w:pageBreakBefore w:val="0"/>
        <w:wordWrap w:val="0"/>
        <w:overflowPunct/>
        <w:topLinePunct w:val="0"/>
        <w:bidi w:val="0"/>
        <w:spacing w:before="139" w:line="220" w:lineRule="auto"/>
        <w:ind w:left="49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式中：M</w:t>
      </w:r>
      <w:r>
        <w:rPr>
          <w:rFonts w:hint="eastAsia" w:ascii="宋体" w:hAnsi="宋体" w:eastAsia="宋体" w:cs="宋体"/>
          <w:color w:val="auto"/>
          <w:spacing w:val="0"/>
          <w:position w:val="-1"/>
          <w:sz w:val="15"/>
          <w:szCs w:val="15"/>
          <w:highlight w:val="none"/>
        </w:rPr>
        <w:t>1</w:t>
      </w:r>
      <w:r>
        <w:rPr>
          <w:rFonts w:hint="eastAsia" w:ascii="宋体" w:hAnsi="宋体" w:eastAsia="宋体" w:cs="宋体"/>
          <w:color w:val="auto"/>
          <w:spacing w:val="0"/>
          <w:w w:val="101"/>
          <w:position w:val="-1"/>
          <w:sz w:val="15"/>
          <w:szCs w:val="15"/>
          <w:highlight w:val="none"/>
        </w:rPr>
        <w:t xml:space="preserve"> </w:t>
      </w:r>
      <w:r>
        <w:rPr>
          <w:rFonts w:hint="eastAsia" w:ascii="宋体" w:hAnsi="宋体" w:eastAsia="宋体" w:cs="宋体"/>
          <w:color w:val="auto"/>
          <w:spacing w:val="0"/>
          <w:sz w:val="24"/>
          <w:szCs w:val="24"/>
          <w:highlight w:val="none"/>
        </w:rPr>
        <w:t>为某投标人的商务得分，M</w:t>
      </w:r>
      <w:r>
        <w:rPr>
          <w:rFonts w:hint="eastAsia" w:ascii="宋体" w:hAnsi="宋体" w:eastAsia="宋体" w:cs="宋体"/>
          <w:color w:val="auto"/>
          <w:spacing w:val="0"/>
          <w:position w:val="-1"/>
          <w:sz w:val="15"/>
          <w:szCs w:val="15"/>
          <w:highlight w:val="none"/>
        </w:rPr>
        <w:t xml:space="preserve">2 </w:t>
      </w:r>
      <w:r>
        <w:rPr>
          <w:rFonts w:hint="eastAsia" w:ascii="宋体" w:hAnsi="宋体" w:eastAsia="宋体" w:cs="宋体"/>
          <w:color w:val="auto"/>
          <w:spacing w:val="0"/>
          <w:sz w:val="24"/>
          <w:szCs w:val="24"/>
          <w:highlight w:val="none"/>
        </w:rPr>
        <w:t>为某投标人的技术得分。</w:t>
      </w:r>
    </w:p>
    <w:p w14:paraId="741F8731">
      <w:pPr>
        <w:keepNext w:val="0"/>
        <w:keepLines w:val="0"/>
        <w:pageBreakBefore w:val="0"/>
        <w:wordWrap w:val="0"/>
        <w:overflowPunct/>
        <w:topLinePunct w:val="0"/>
        <w:bidi w:val="0"/>
        <w:spacing w:before="153" w:line="219" w:lineRule="auto"/>
        <w:ind w:left="503"/>
        <w:outlineLvl w:val="9"/>
        <w:rPr>
          <w:rFonts w:hint="eastAsia" w:ascii="宋体" w:hAnsi="宋体" w:eastAsia="宋体" w:cs="宋体"/>
          <w:color w:val="auto"/>
          <w:spacing w:val="0"/>
          <w:sz w:val="24"/>
          <w:szCs w:val="24"/>
          <w:highlight w:val="none"/>
        </w:rPr>
      </w:pPr>
      <w:bookmarkStart w:id="123" w:name="_Toc16136"/>
      <w:bookmarkStart w:id="124" w:name="_Toc27609"/>
      <w:bookmarkStart w:id="125" w:name="_Toc3958"/>
      <w:bookmarkStart w:id="126" w:name="_Toc14059"/>
      <w:r>
        <w:rPr>
          <w:rFonts w:hint="eastAsia" w:ascii="宋体" w:hAnsi="宋体" w:eastAsia="宋体" w:cs="宋体"/>
          <w:color w:val="auto"/>
          <w:spacing w:val="0"/>
          <w:sz w:val="24"/>
          <w:szCs w:val="24"/>
          <w:highlight w:val="none"/>
        </w:rPr>
        <w:t>（2）投标报价得分 N</w:t>
      </w:r>
      <w:bookmarkEnd w:id="123"/>
      <w:bookmarkEnd w:id="124"/>
      <w:bookmarkEnd w:id="125"/>
      <w:bookmarkEnd w:id="126"/>
    </w:p>
    <w:p w14:paraId="786741F9">
      <w:pPr>
        <w:keepNext w:val="0"/>
        <w:keepLines w:val="0"/>
        <w:pageBreakBefore w:val="0"/>
        <w:wordWrap w:val="0"/>
        <w:overflowPunct/>
        <w:topLinePunct w:val="0"/>
        <w:bidi w:val="0"/>
        <w:spacing w:before="157" w:line="219" w:lineRule="auto"/>
        <w:ind w:firstLine="482" w:firstLineChars="200"/>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a </w:t>
      </w:r>
      <w:r>
        <w:rPr>
          <w:rFonts w:hint="eastAsia" w:ascii="宋体" w:hAnsi="宋体" w:eastAsia="宋体" w:cs="宋体"/>
          <w:color w:val="auto"/>
          <w:spacing w:val="0"/>
          <w:sz w:val="24"/>
          <w:szCs w:val="24"/>
          <w:highlight w:val="none"/>
        </w:rPr>
        <w:t>．评标委员会按照《综合评分表》投标报价部分指定的方法计算评标基准价 D。</w:t>
      </w:r>
    </w:p>
    <w:p w14:paraId="4AA96151">
      <w:pPr>
        <w:keepNext w:val="0"/>
        <w:keepLines w:val="0"/>
        <w:pageBreakBefore w:val="0"/>
        <w:wordWrap w:val="0"/>
        <w:overflowPunct/>
        <w:topLinePunct w:val="0"/>
        <w:bidi w:val="0"/>
        <w:spacing w:before="155" w:line="299" w:lineRule="auto"/>
        <w:ind w:left="12" w:right="83"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b </w:t>
      </w:r>
      <w:r>
        <w:rPr>
          <w:rFonts w:hint="eastAsia" w:ascii="宋体" w:hAnsi="宋体" w:eastAsia="宋体" w:cs="宋体"/>
          <w:color w:val="auto"/>
          <w:spacing w:val="0"/>
          <w:sz w:val="24"/>
          <w:szCs w:val="24"/>
          <w:highlight w:val="none"/>
        </w:rPr>
        <w:t xml:space="preserve">．采用内插法计算某投标人的投标报价得分 N ，即当投标人的投标总价等于评标基准价时得 100 分，每高于评标基准价一个百分点扣 </w:t>
      </w:r>
      <w:r>
        <w:rPr>
          <w:rFonts w:hint="eastAsia" w:ascii="宋体" w:hAnsi="宋体" w:eastAsia="宋体" w:cs="宋体"/>
          <w:b/>
          <w:bCs/>
          <w:color w:val="auto"/>
          <w:spacing w:val="0"/>
          <w:sz w:val="24"/>
          <w:szCs w:val="24"/>
          <w:highlight w:val="none"/>
        </w:rPr>
        <w:t xml:space="preserve">1 分, </w:t>
      </w:r>
      <w:r>
        <w:rPr>
          <w:rFonts w:hint="eastAsia" w:ascii="宋体" w:hAnsi="宋体" w:eastAsia="宋体" w:cs="宋体"/>
          <w:color w:val="auto"/>
          <w:spacing w:val="0"/>
          <w:sz w:val="24"/>
          <w:szCs w:val="24"/>
          <w:highlight w:val="none"/>
        </w:rPr>
        <w:t xml:space="preserve">每低于评标基准价一个百分点扣 </w:t>
      </w:r>
      <w:r>
        <w:rPr>
          <w:rFonts w:hint="eastAsia" w:ascii="宋体" w:hAnsi="宋体" w:eastAsia="宋体" w:cs="宋体"/>
          <w:b/>
          <w:bCs/>
          <w:color w:val="auto"/>
          <w:spacing w:val="0"/>
          <w:sz w:val="24"/>
          <w:szCs w:val="24"/>
          <w:highlight w:val="none"/>
        </w:rPr>
        <w:t>0.5 分</w:t>
      </w:r>
      <w:r>
        <w:rPr>
          <w:rFonts w:hint="eastAsia" w:ascii="宋体" w:hAnsi="宋体" w:eastAsia="宋体" w:cs="宋体"/>
          <w:color w:val="auto"/>
          <w:spacing w:val="0"/>
          <w:sz w:val="24"/>
          <w:szCs w:val="24"/>
          <w:highlight w:val="none"/>
        </w:rPr>
        <w:t>，扣完为止。公式如下：</w:t>
      </w:r>
    </w:p>
    <w:p w14:paraId="26BB5A3A">
      <w:pPr>
        <w:keepNext w:val="0"/>
        <w:keepLines w:val="0"/>
        <w:pageBreakBefore w:val="0"/>
        <w:wordWrap w:val="0"/>
        <w:overflowPunct/>
        <w:topLinePunct w:val="0"/>
        <w:bidi w:val="0"/>
        <w:spacing w:before="118" w:line="333" w:lineRule="exact"/>
        <w:ind w:left="241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N ＝100－（| Di－D | ÷D） × 100×E</w:t>
      </w:r>
    </w:p>
    <w:p w14:paraId="3CCB328A">
      <w:pPr>
        <w:keepNext w:val="0"/>
        <w:keepLines w:val="0"/>
        <w:pageBreakBefore w:val="0"/>
        <w:wordWrap w:val="0"/>
        <w:overflowPunct/>
        <w:topLinePunct w:val="0"/>
        <w:bidi w:val="0"/>
        <w:spacing w:before="106" w:line="316" w:lineRule="auto"/>
        <w:ind w:left="7" w:right="17"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式中：D 为评标基准价；Di为某投标人的投标总价；E 为扣分因子，当 Di＞D时，E ＝</w:t>
      </w:r>
      <w:r>
        <w:rPr>
          <w:rFonts w:hint="eastAsia" w:ascii="宋体" w:hAnsi="宋体" w:eastAsia="宋体" w:cs="宋体"/>
          <w:b/>
          <w:bCs/>
          <w:color w:val="auto"/>
          <w:spacing w:val="0"/>
          <w:sz w:val="24"/>
          <w:szCs w:val="24"/>
          <w:highlight w:val="none"/>
        </w:rPr>
        <w:t>1 ；</w:t>
      </w:r>
      <w:r>
        <w:rPr>
          <w:rFonts w:hint="eastAsia" w:ascii="宋体" w:hAnsi="宋体" w:eastAsia="宋体" w:cs="宋体"/>
          <w:color w:val="auto"/>
          <w:spacing w:val="0"/>
          <w:sz w:val="24"/>
          <w:szCs w:val="24"/>
          <w:highlight w:val="none"/>
        </w:rPr>
        <w:t>当 Di＜D</w:t>
      </w:r>
      <w:r>
        <w:rPr>
          <w:rFonts w:hint="eastAsia" w:ascii="宋体" w:hAnsi="宋体" w:eastAsia="宋体" w:cs="宋体"/>
          <w:color w:val="auto"/>
          <w:spacing w:val="0"/>
          <w:w w:val="101"/>
          <w:sz w:val="24"/>
          <w:szCs w:val="24"/>
          <w:highlight w:val="none"/>
        </w:rPr>
        <w:t xml:space="preserve"> </w:t>
      </w:r>
      <w:r>
        <w:rPr>
          <w:rFonts w:hint="eastAsia" w:ascii="宋体" w:hAnsi="宋体" w:eastAsia="宋体" w:cs="宋体"/>
          <w:color w:val="auto"/>
          <w:spacing w:val="0"/>
          <w:sz w:val="24"/>
          <w:szCs w:val="24"/>
          <w:highlight w:val="none"/>
        </w:rPr>
        <w:t xml:space="preserve">时，E </w:t>
      </w:r>
      <w:r>
        <w:rPr>
          <w:rFonts w:hint="eastAsia" w:ascii="宋体" w:hAnsi="宋体" w:eastAsia="宋体" w:cs="宋体"/>
          <w:b/>
          <w:bCs/>
          <w:color w:val="auto"/>
          <w:spacing w:val="0"/>
          <w:sz w:val="24"/>
          <w:szCs w:val="24"/>
          <w:highlight w:val="none"/>
        </w:rPr>
        <w:t>＝0.5</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pacing w:val="0"/>
          <w:sz w:val="24"/>
          <w:szCs w:val="24"/>
          <w:highlight w:val="none"/>
        </w:rPr>
        <w:t>。</w:t>
      </w:r>
    </w:p>
    <w:p w14:paraId="43895868">
      <w:pPr>
        <w:keepNext w:val="0"/>
        <w:keepLines w:val="0"/>
        <w:pageBreakBefore w:val="0"/>
        <w:wordWrap w:val="0"/>
        <w:overflowPunct/>
        <w:topLinePunct w:val="0"/>
        <w:bidi w:val="0"/>
        <w:spacing w:before="95" w:line="220" w:lineRule="auto"/>
        <w:ind w:left="503"/>
        <w:outlineLvl w:val="9"/>
        <w:rPr>
          <w:rFonts w:hint="eastAsia" w:ascii="宋体" w:hAnsi="宋体" w:eastAsia="宋体" w:cs="宋体"/>
          <w:color w:val="auto"/>
          <w:spacing w:val="0"/>
          <w:sz w:val="24"/>
          <w:szCs w:val="24"/>
          <w:highlight w:val="none"/>
        </w:rPr>
      </w:pPr>
      <w:bookmarkStart w:id="127" w:name="_Toc3861"/>
      <w:bookmarkStart w:id="128" w:name="_Toc7915"/>
      <w:bookmarkStart w:id="129" w:name="_Toc576"/>
      <w:bookmarkStart w:id="130" w:name="_Toc4990"/>
      <w:r>
        <w:rPr>
          <w:rFonts w:hint="eastAsia" w:ascii="宋体" w:hAnsi="宋体" w:eastAsia="宋体" w:cs="宋体"/>
          <w:color w:val="auto"/>
          <w:spacing w:val="0"/>
          <w:sz w:val="24"/>
          <w:szCs w:val="24"/>
          <w:highlight w:val="none"/>
        </w:rPr>
        <w:t>（3）综合得分</w:t>
      </w:r>
      <w:bookmarkEnd w:id="127"/>
      <w:bookmarkEnd w:id="128"/>
      <w:bookmarkEnd w:id="129"/>
      <w:bookmarkEnd w:id="130"/>
    </w:p>
    <w:p w14:paraId="13D70E4A">
      <w:pPr>
        <w:keepNext w:val="0"/>
        <w:keepLines w:val="0"/>
        <w:pageBreakBefore w:val="0"/>
        <w:wordWrap w:val="0"/>
        <w:overflowPunct/>
        <w:topLinePunct w:val="0"/>
        <w:bidi w:val="0"/>
        <w:spacing w:before="153" w:line="220" w:lineRule="auto"/>
        <w:ind w:left="49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综合得分换算为百分制，满分 100 分，公式如下：</w:t>
      </w:r>
    </w:p>
    <w:p w14:paraId="2B96078E">
      <w:pPr>
        <w:keepNext w:val="0"/>
        <w:keepLines w:val="0"/>
        <w:pageBreakBefore w:val="0"/>
        <w:wordWrap w:val="0"/>
        <w:overflowPunct/>
        <w:topLinePunct w:val="0"/>
        <w:bidi w:val="0"/>
        <w:spacing w:before="155" w:line="324" w:lineRule="auto"/>
        <w:ind w:left="496" w:right="532" w:hanging="3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综合得分＝M÷商务技术合计满分×100×商务技术权重＋N×投标报价权重</w:t>
      </w:r>
    </w:p>
    <w:p w14:paraId="15423E52">
      <w:pPr>
        <w:keepNext w:val="0"/>
        <w:keepLines w:val="0"/>
        <w:pageBreakBefore w:val="0"/>
        <w:wordWrap w:val="0"/>
        <w:overflowPunct/>
        <w:topLinePunct w:val="0"/>
        <w:bidi w:val="0"/>
        <w:spacing w:before="155" w:line="324" w:lineRule="auto"/>
        <w:ind w:left="496" w:right="532" w:hanging="3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式中：M 为商务技术得分，N 为投标报价得分。</w:t>
      </w:r>
    </w:p>
    <w:p w14:paraId="2F23EBA4">
      <w:pPr>
        <w:keepNext w:val="0"/>
        <w:keepLines w:val="0"/>
        <w:pageBreakBefore w:val="0"/>
        <w:wordWrap w:val="0"/>
        <w:overflowPunct/>
        <w:topLinePunct w:val="0"/>
        <w:bidi w:val="0"/>
        <w:spacing w:before="78" w:line="329" w:lineRule="auto"/>
        <w:ind w:left="276" w:right="263" w:hanging="1"/>
        <w:jc w:val="both"/>
        <w:rPr>
          <w:rFonts w:hint="default"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rPr>
        <w:t>15.</w:t>
      </w:r>
      <w:r>
        <w:rPr>
          <w:rFonts w:hint="eastAsia" w:ascii="宋体" w:hAnsi="宋体" w:eastAsia="宋体" w:cs="宋体"/>
          <w:b/>
          <w:bCs/>
          <w:color w:val="auto"/>
          <w:spacing w:val="0"/>
          <w:sz w:val="24"/>
          <w:szCs w:val="24"/>
          <w:highlight w:val="none"/>
          <w:lang w:val="en-US" w:eastAsia="zh-CN"/>
        </w:rPr>
        <w:t>6 推荐定标候选人</w:t>
      </w:r>
    </w:p>
    <w:p w14:paraId="29A01266">
      <w:pPr>
        <w:keepNext w:val="0"/>
        <w:keepLines w:val="0"/>
        <w:pageBreakBefore w:val="0"/>
        <w:shd w:val="clear" w:color="auto" w:fill="auto"/>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color w:val="auto"/>
          <w:sz w:val="24"/>
          <w:highlight w:val="none"/>
        </w:rPr>
        <w:t>评标委员会按照</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评审</w:t>
      </w:r>
      <w:r>
        <w:rPr>
          <w:rFonts w:hint="eastAsia" w:ascii="宋体" w:hAnsi="宋体" w:eastAsia="宋体" w:cs="宋体"/>
          <w:color w:val="auto"/>
          <w:sz w:val="24"/>
          <w:highlight w:val="none"/>
          <w:lang w:val="en-US" w:eastAsia="zh-CN"/>
        </w:rPr>
        <w:t>结果</w:t>
      </w:r>
      <w:r>
        <w:rPr>
          <w:rFonts w:ascii="宋体" w:hAnsi="宋体" w:eastAsia="宋体" w:cs="宋体"/>
          <w:snapToGrid w:val="0"/>
          <w:color w:val="auto"/>
          <w:spacing w:val="-1"/>
          <w:kern w:val="0"/>
          <w:sz w:val="24"/>
          <w:szCs w:val="24"/>
          <w:highlight w:val="none"/>
          <w:lang w:eastAsia="en-US"/>
        </w:rPr>
        <w:t>向招标人提交书</w:t>
      </w:r>
      <w:r>
        <w:rPr>
          <w:rFonts w:ascii="宋体" w:hAnsi="宋体" w:eastAsia="宋体" w:cs="宋体"/>
          <w:snapToGrid w:val="0"/>
          <w:color w:val="auto"/>
          <w:spacing w:val="-2"/>
          <w:kern w:val="0"/>
          <w:sz w:val="24"/>
          <w:szCs w:val="24"/>
          <w:highlight w:val="none"/>
          <w:lang w:eastAsia="en-US"/>
        </w:rPr>
        <w:t>面评标报告和</w:t>
      </w:r>
      <w:r>
        <w:rPr>
          <w:rFonts w:hint="eastAsia" w:ascii="宋体" w:hAnsi="宋体" w:eastAsia="宋体" w:cs="宋体"/>
          <w:snapToGrid w:val="0"/>
          <w:color w:val="auto"/>
          <w:spacing w:val="-2"/>
          <w:kern w:val="0"/>
          <w:sz w:val="24"/>
          <w:szCs w:val="24"/>
          <w:highlight w:val="none"/>
          <w:lang w:val="en-US" w:eastAsia="zh-CN"/>
        </w:rPr>
        <w:t>定</w:t>
      </w:r>
      <w:r>
        <w:rPr>
          <w:rFonts w:ascii="宋体" w:hAnsi="宋体" w:eastAsia="宋体" w:cs="宋体"/>
          <w:snapToGrid w:val="0"/>
          <w:color w:val="auto"/>
          <w:spacing w:val="-2"/>
          <w:kern w:val="0"/>
          <w:sz w:val="24"/>
          <w:szCs w:val="24"/>
          <w:highlight w:val="none"/>
          <w:lang w:eastAsia="en-US"/>
        </w:rPr>
        <w:t>标候选人名单</w:t>
      </w:r>
      <w:r>
        <w:rPr>
          <w:rFonts w:hint="eastAsia" w:ascii="宋体" w:hAnsi="宋体" w:eastAsia="宋体" w:cs="宋体"/>
          <w:snapToGrid w:val="0"/>
          <w:color w:val="auto"/>
          <w:kern w:val="0"/>
          <w:sz w:val="24"/>
          <w:szCs w:val="24"/>
          <w:highlight w:val="none"/>
          <w:lang w:eastAsia="en-US"/>
        </w:rPr>
        <w:t>（按企业统一社会信用代码后4位</w:t>
      </w:r>
      <w:r>
        <w:rPr>
          <w:rFonts w:hint="eastAsia" w:ascii="宋体" w:hAnsi="宋体" w:eastAsia="宋体" w:cs="宋体"/>
          <w:snapToGrid w:val="0"/>
          <w:color w:val="auto"/>
          <w:kern w:val="0"/>
          <w:sz w:val="24"/>
          <w:szCs w:val="24"/>
          <w:highlight w:val="none"/>
          <w:lang w:val="en-US" w:eastAsia="zh-CN"/>
        </w:rPr>
        <w:t>由</w:t>
      </w:r>
      <w:r>
        <w:rPr>
          <w:rFonts w:hint="eastAsia" w:ascii="宋体" w:hAnsi="宋体" w:eastAsia="宋体" w:cs="宋体"/>
          <w:snapToGrid w:val="0"/>
          <w:color w:val="auto"/>
          <w:kern w:val="0"/>
          <w:sz w:val="24"/>
          <w:szCs w:val="24"/>
          <w:highlight w:val="none"/>
          <w:lang w:eastAsia="en-US"/>
        </w:rPr>
        <w:t>大</w:t>
      </w:r>
      <w:r>
        <w:rPr>
          <w:rFonts w:hint="eastAsia" w:ascii="宋体" w:hAnsi="宋体" w:eastAsia="宋体" w:cs="宋体"/>
          <w:snapToGrid w:val="0"/>
          <w:color w:val="auto"/>
          <w:kern w:val="0"/>
          <w:sz w:val="24"/>
          <w:szCs w:val="24"/>
          <w:highlight w:val="none"/>
          <w:lang w:val="en-US" w:eastAsia="zh-CN"/>
        </w:rPr>
        <w:t>到</w:t>
      </w:r>
      <w:r>
        <w:rPr>
          <w:rFonts w:hint="eastAsia" w:ascii="宋体" w:hAnsi="宋体" w:eastAsia="宋体" w:cs="宋体"/>
          <w:snapToGrid w:val="0"/>
          <w:color w:val="auto"/>
          <w:kern w:val="0"/>
          <w:sz w:val="24"/>
          <w:szCs w:val="24"/>
          <w:highlight w:val="none"/>
          <w:lang w:eastAsia="en-US"/>
        </w:rPr>
        <w:t>小</w:t>
      </w:r>
      <w:r>
        <w:rPr>
          <w:rFonts w:hint="eastAsia" w:ascii="宋体" w:hAnsi="宋体" w:eastAsia="宋体" w:cs="宋体"/>
          <w:snapToGrid w:val="0"/>
          <w:color w:val="auto"/>
          <w:kern w:val="0"/>
          <w:sz w:val="24"/>
          <w:szCs w:val="24"/>
          <w:highlight w:val="none"/>
          <w:lang w:val="en-US" w:eastAsia="zh-CN"/>
        </w:rPr>
        <w:t>排序，如遇</w:t>
      </w:r>
      <w:r>
        <w:rPr>
          <w:rFonts w:hint="eastAsia" w:ascii="宋体" w:hAnsi="宋体" w:eastAsia="宋体" w:cs="宋体"/>
          <w:snapToGrid w:val="0"/>
          <w:color w:val="auto"/>
          <w:kern w:val="0"/>
          <w:sz w:val="24"/>
          <w:szCs w:val="24"/>
          <w:highlight w:val="none"/>
          <w:lang w:eastAsia="en-US"/>
        </w:rPr>
        <w:t>社会信用代码后4位</w:t>
      </w:r>
      <w:r>
        <w:rPr>
          <w:rFonts w:hint="eastAsia" w:ascii="宋体" w:hAnsi="宋体" w:eastAsia="宋体" w:cs="宋体"/>
          <w:snapToGrid w:val="0"/>
          <w:color w:val="auto"/>
          <w:kern w:val="0"/>
          <w:sz w:val="24"/>
          <w:szCs w:val="24"/>
          <w:highlight w:val="none"/>
          <w:lang w:val="en-US" w:eastAsia="zh-CN"/>
        </w:rPr>
        <w:t>为英文字母，则用0代替）</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评标委员会推荐定标候选人后，</w:t>
      </w:r>
      <w:r>
        <w:rPr>
          <w:rFonts w:hint="eastAsia" w:ascii="宋体" w:hAnsi="宋体" w:eastAsia="宋体" w:cs="宋体"/>
          <w:color w:val="auto"/>
          <w:sz w:val="24"/>
          <w:highlight w:val="none"/>
        </w:rPr>
        <w:t>招标人应</w:t>
      </w:r>
      <w:r>
        <w:rPr>
          <w:rFonts w:hint="eastAsia" w:ascii="宋体" w:hAnsi="宋体" w:eastAsia="宋体" w:cs="宋体"/>
          <w:color w:val="auto"/>
          <w:sz w:val="24"/>
          <w:highlight w:val="none"/>
          <w:lang w:eastAsia="zh-CN"/>
        </w:rPr>
        <w:t>于评标会结束后</w:t>
      </w:r>
      <w:r>
        <w:rPr>
          <w:rFonts w:hint="eastAsia" w:ascii="宋体" w:hAnsi="宋体" w:eastAsia="宋体" w:cs="宋体"/>
          <w:color w:val="auto"/>
          <w:sz w:val="24"/>
          <w:highlight w:val="none"/>
          <w:lang w:val="en-US" w:eastAsia="zh-CN"/>
        </w:rPr>
        <w:t>3个工作日内将</w:t>
      </w:r>
      <w:r>
        <w:rPr>
          <w:rFonts w:hint="eastAsia" w:ascii="宋体" w:hAnsi="宋体" w:eastAsia="宋体" w:cs="宋体"/>
          <w:color w:val="auto"/>
          <w:sz w:val="24"/>
          <w:highlight w:val="none"/>
          <w:lang w:eastAsia="zh-CN"/>
        </w:rPr>
        <w:t>定</w:t>
      </w:r>
      <w:r>
        <w:rPr>
          <w:rFonts w:hint="eastAsia" w:ascii="宋体" w:hAnsi="宋体" w:eastAsia="宋体" w:cs="宋体"/>
          <w:color w:val="auto"/>
          <w:sz w:val="24"/>
          <w:highlight w:val="none"/>
        </w:rPr>
        <w:t>标候选</w:t>
      </w:r>
      <w:r>
        <w:rPr>
          <w:rFonts w:hint="eastAsia" w:ascii="宋体" w:hAnsi="宋体" w:eastAsia="宋体" w:cs="宋体"/>
          <w:color w:val="auto"/>
          <w:sz w:val="24"/>
          <w:highlight w:val="none"/>
          <w:lang w:eastAsia="zh-CN"/>
        </w:rPr>
        <w:t>人和评标情况</w:t>
      </w:r>
      <w:r>
        <w:rPr>
          <w:rFonts w:hint="eastAsia" w:ascii="宋体" w:hAnsi="宋体" w:eastAsia="宋体" w:cs="宋体"/>
          <w:color w:val="auto"/>
          <w:sz w:val="24"/>
          <w:highlight w:val="none"/>
          <w:lang w:val="en-US" w:eastAsia="zh-CN"/>
        </w:rPr>
        <w:t>在广东省招标投标监管网和</w:t>
      </w:r>
      <w:r>
        <w:rPr>
          <w:rFonts w:hint="eastAsia" w:ascii="宋体" w:hAnsi="宋体" w:eastAsia="宋体" w:cs="宋体"/>
          <w:color w:val="auto"/>
          <w:sz w:val="24"/>
          <w:highlight w:val="none"/>
        </w:rPr>
        <w:t>韶关市公共资源交易中心</w:t>
      </w:r>
      <w:r>
        <w:rPr>
          <w:rFonts w:hint="eastAsia" w:ascii="宋体" w:hAnsi="宋体" w:eastAsia="宋体" w:cs="宋体"/>
          <w:color w:val="auto"/>
          <w:sz w:val="24"/>
          <w:highlight w:val="none"/>
          <w:lang w:eastAsia="zh-CN"/>
        </w:rPr>
        <w:t>建设工程交易系统</w:t>
      </w:r>
      <w:r>
        <w:rPr>
          <w:rFonts w:hint="eastAsia" w:ascii="宋体" w:hAnsi="宋体" w:eastAsia="宋体" w:cs="宋体"/>
          <w:color w:val="auto"/>
          <w:sz w:val="24"/>
          <w:highlight w:val="none"/>
          <w:lang w:val="en-US" w:eastAsia="zh-CN"/>
        </w:rPr>
        <w:t>上</w:t>
      </w:r>
      <w:r>
        <w:rPr>
          <w:rFonts w:hint="eastAsia" w:ascii="宋体" w:hAnsi="宋体" w:eastAsia="宋体" w:cs="宋体"/>
          <w:color w:val="auto"/>
          <w:sz w:val="24"/>
          <w:highlight w:val="none"/>
        </w:rPr>
        <w:t>公示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公示时间不少于3个工作日。</w:t>
      </w:r>
      <w:r>
        <w:rPr>
          <w:rFonts w:hint="eastAsia" w:ascii="宋体" w:hAnsi="宋体" w:eastAsia="宋体" w:cs="宋体"/>
          <w:color w:val="auto"/>
          <w:kern w:val="0"/>
          <w:sz w:val="24"/>
          <w:szCs w:val="24"/>
          <w:highlight w:val="none"/>
          <w:u w:val="none" w:color="auto"/>
          <w:lang w:eastAsia="zh-CN"/>
        </w:rPr>
        <w:t>公示主要内容包括：（</w:t>
      </w:r>
      <w:r>
        <w:rPr>
          <w:rFonts w:hint="eastAsia" w:ascii="宋体" w:hAnsi="宋体" w:eastAsia="宋体" w:cs="宋体"/>
          <w:b w:val="0"/>
          <w:bCs w:val="0"/>
          <w:color w:val="auto"/>
          <w:spacing w:val="0"/>
          <w:position w:val="0"/>
          <w:sz w:val="24"/>
          <w:szCs w:val="24"/>
          <w:highlight w:val="none"/>
          <w:u w:val="none" w:color="auto"/>
          <w:lang w:val="en-US" w:eastAsia="zh-CN"/>
        </w:rPr>
        <w:t>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14:paraId="0E2DF559">
      <w:pPr>
        <w:keepNext w:val="0"/>
        <w:keepLines w:val="0"/>
        <w:pageBreakBefore w:val="0"/>
        <w:widowControl/>
        <w:kinsoku w:val="0"/>
        <w:wordWrap w:val="0"/>
        <w:overflowPunct/>
        <w:topLinePunct w:val="0"/>
        <w:autoSpaceDE w:val="0"/>
        <w:autoSpaceDN w:val="0"/>
        <w:bidi w:val="0"/>
        <w:adjustRightInd w:val="0"/>
        <w:snapToGrid w:val="0"/>
        <w:spacing w:before="153" w:line="360" w:lineRule="auto"/>
        <w:ind w:left="493" w:firstLine="602" w:firstLineChars="200"/>
        <w:textAlignment w:val="baseline"/>
        <w:rPr>
          <w:rFonts w:hint="eastAsia" w:ascii="宋体" w:hAnsi="宋体" w:eastAsia="宋体" w:cs="宋体"/>
          <w:b/>
          <w:bCs/>
          <w:color w:val="auto"/>
          <w:spacing w:val="0"/>
          <w:sz w:val="30"/>
          <w:szCs w:val="30"/>
          <w:highlight w:val="none"/>
        </w:rPr>
      </w:pPr>
      <w:r>
        <w:rPr>
          <w:rFonts w:hint="eastAsia" w:ascii="宋体" w:hAnsi="宋体" w:eastAsia="宋体" w:cs="宋体"/>
          <w:b/>
          <w:bCs/>
          <w:color w:val="auto"/>
          <w:spacing w:val="0"/>
          <w:sz w:val="30"/>
          <w:szCs w:val="30"/>
          <w:highlight w:val="none"/>
        </w:rPr>
        <w:br w:type="page"/>
      </w:r>
    </w:p>
    <w:p w14:paraId="6C62DB67">
      <w:pPr>
        <w:keepNext w:val="0"/>
        <w:keepLines w:val="0"/>
        <w:pageBreakBefore w:val="0"/>
        <w:wordWrap w:val="0"/>
        <w:overflowPunct/>
        <w:topLinePunct w:val="0"/>
        <w:bidi w:val="0"/>
        <w:spacing w:before="98" w:line="221" w:lineRule="auto"/>
        <w:ind w:left="4248"/>
        <w:outlineLvl w:val="9"/>
        <w:rPr>
          <w:rFonts w:hint="eastAsia" w:ascii="宋体" w:hAnsi="宋体" w:eastAsia="宋体" w:cs="宋体"/>
          <w:b/>
          <w:bCs/>
          <w:color w:val="auto"/>
          <w:spacing w:val="0"/>
          <w:sz w:val="30"/>
          <w:szCs w:val="30"/>
          <w:highlight w:val="none"/>
        </w:rPr>
      </w:pPr>
      <w:r>
        <w:rPr>
          <w:rFonts w:hint="eastAsia" w:ascii="宋体" w:hAnsi="宋体" w:eastAsia="宋体" w:cs="宋体"/>
          <w:b/>
          <w:bCs/>
          <w:color w:val="auto"/>
          <w:spacing w:val="0"/>
          <w:sz w:val="30"/>
          <w:szCs w:val="30"/>
          <w:highlight w:val="none"/>
        </w:rPr>
        <w:t>综合评分表</w:t>
      </w:r>
      <w:bookmarkEnd w:id="87"/>
      <w:bookmarkEnd w:id="88"/>
      <w:bookmarkEnd w:id="89"/>
    </w:p>
    <w:tbl>
      <w:tblPr>
        <w:tblStyle w:val="15"/>
        <w:tblW w:w="10307" w:type="dxa"/>
        <w:jc w:val="center"/>
        <w:tblLayout w:type="fixed"/>
        <w:tblCellMar>
          <w:top w:w="0" w:type="dxa"/>
          <w:left w:w="108" w:type="dxa"/>
          <w:bottom w:w="0" w:type="dxa"/>
          <w:right w:w="108" w:type="dxa"/>
        </w:tblCellMar>
      </w:tblPr>
      <w:tblGrid>
        <w:gridCol w:w="1216"/>
        <w:gridCol w:w="3733"/>
        <w:gridCol w:w="5358"/>
      </w:tblGrid>
      <w:tr w14:paraId="3A11EBAA">
        <w:trPr>
          <w:trHeight w:val="587" w:hRule="exact"/>
          <w:jc w:val="center"/>
        </w:trPr>
        <w:tc>
          <w:tcPr>
            <w:tcW w:w="10307" w:type="dxa"/>
            <w:gridSpan w:val="3"/>
            <w:tcBorders>
              <w:top w:val="single" w:color="auto" w:sz="4" w:space="0"/>
              <w:left w:val="single" w:color="auto" w:sz="4" w:space="0"/>
              <w:bottom w:val="single" w:color="auto" w:sz="4" w:space="0"/>
              <w:right w:val="single" w:color="auto" w:sz="4" w:space="0"/>
            </w:tcBorders>
            <w:shd w:val="clear" w:color="auto" w:fill="D7D7D7"/>
            <w:noWrap w:val="0"/>
            <w:vAlign w:val="center"/>
          </w:tcPr>
          <w:p w14:paraId="28B1DA57">
            <w:pPr>
              <w:widowControl w:val="0"/>
              <w:tabs>
                <w:tab w:val="left" w:pos="1354"/>
                <w:tab w:val="left" w:pos="1459"/>
                <w:tab w:val="center" w:pos="3902"/>
                <w:tab w:val="right" w:pos="7805"/>
              </w:tabs>
              <w:wordWrap w:val="0"/>
              <w:spacing w:after="0" w:line="240" w:lineRule="auto"/>
              <w:jc w:val="both"/>
              <w:rPr>
                <w:rFonts w:hint="eastAsia" w:asciiTheme="minorEastAsia" w:hAnsiTheme="minorEastAsia" w:eastAsiaTheme="minorEastAsia" w:cstheme="minorEastAsia"/>
                <w:snapToGrid w:val="0"/>
                <w:kern w:val="0"/>
                <w:sz w:val="21"/>
                <w:szCs w:val="21"/>
                <w:highlight w:val="none"/>
                <w:lang w:val="en-US" w:eastAsia="zh-CN" w:bidi="ar-SA"/>
              </w:rPr>
            </w:pPr>
            <w:r>
              <w:rPr>
                <w:rFonts w:hint="eastAsia" w:asciiTheme="minorEastAsia" w:hAnsiTheme="minorEastAsia" w:eastAsiaTheme="minorEastAsia" w:cstheme="minorEastAsia"/>
                <w:b/>
                <w:bCs/>
                <w:snapToGrid w:val="0"/>
                <w:kern w:val="0"/>
                <w:sz w:val="24"/>
                <w:szCs w:val="24"/>
                <w:highlight w:val="none"/>
                <w:lang w:val="en-US" w:eastAsia="zh-CN" w:bidi="ar-SA"/>
              </w:rPr>
              <w:t>商务部分，满分：</w:t>
            </w:r>
            <w:r>
              <w:rPr>
                <w:rFonts w:hint="eastAsia" w:asciiTheme="minorEastAsia" w:hAnsiTheme="minorEastAsia" w:eastAsiaTheme="minorEastAsia" w:cstheme="minorEastAsia"/>
                <w:b/>
                <w:bCs/>
                <w:snapToGrid w:val="0"/>
                <w:kern w:val="0"/>
                <w:sz w:val="24"/>
                <w:szCs w:val="24"/>
                <w:highlight w:val="none"/>
                <w:u w:val="single"/>
                <w:lang w:val="en-US" w:eastAsia="zh-CN" w:bidi="ar-SA"/>
              </w:rPr>
              <w:t xml:space="preserve">  80  </w:t>
            </w:r>
            <w:r>
              <w:rPr>
                <w:rFonts w:hint="eastAsia" w:asciiTheme="minorEastAsia" w:hAnsiTheme="minorEastAsia" w:eastAsiaTheme="minorEastAsia" w:cstheme="minorEastAsia"/>
                <w:b/>
                <w:bCs/>
                <w:snapToGrid w:val="0"/>
                <w:kern w:val="0"/>
                <w:sz w:val="24"/>
                <w:szCs w:val="24"/>
                <w:highlight w:val="none"/>
                <w:lang w:val="en-US" w:eastAsia="zh-CN" w:bidi="ar-SA"/>
              </w:rPr>
              <w:t>分。</w:t>
            </w:r>
          </w:p>
        </w:tc>
      </w:tr>
      <w:tr w14:paraId="12372085">
        <w:tblPrEx>
          <w:tblCellMar>
            <w:top w:w="0" w:type="dxa"/>
            <w:left w:w="108" w:type="dxa"/>
            <w:bottom w:w="0" w:type="dxa"/>
            <w:right w:w="108" w:type="dxa"/>
          </w:tblCellMar>
        </w:tblPrEx>
        <w:trPr>
          <w:trHeight w:val="583"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1630ABC1">
            <w:pPr>
              <w:widowControl w:val="0"/>
              <w:tabs>
                <w:tab w:val="left" w:pos="1354"/>
                <w:tab w:val="left" w:pos="1459"/>
                <w:tab w:val="center" w:pos="3902"/>
                <w:tab w:val="right" w:pos="7805"/>
              </w:tabs>
              <w:wordWrap w:val="0"/>
              <w:adjustRightInd w:val="0"/>
              <w:spacing w:after="0" w:line="240" w:lineRule="auto"/>
              <w:jc w:val="center"/>
              <w:rPr>
                <w:rFonts w:hint="eastAsia" w:asciiTheme="minorEastAsia" w:hAnsiTheme="minorEastAsia" w:eastAsiaTheme="minorEastAsia" w:cstheme="minorEastAsia"/>
                <w:snapToGrid w:val="0"/>
                <w:kern w:val="0"/>
                <w:sz w:val="21"/>
                <w:szCs w:val="21"/>
                <w:highlight w:val="none"/>
                <w:lang w:val="en-US" w:eastAsia="zh-CN" w:bidi="ar-SA"/>
              </w:rPr>
            </w:pPr>
            <w:r>
              <w:rPr>
                <w:rFonts w:hint="eastAsia" w:asciiTheme="minorEastAsia" w:hAnsiTheme="minorEastAsia" w:eastAsiaTheme="minorEastAsia" w:cstheme="minorEastAsia"/>
                <w:snapToGrid w:val="0"/>
                <w:kern w:val="0"/>
                <w:sz w:val="21"/>
                <w:szCs w:val="21"/>
                <w:highlight w:val="none"/>
                <w:lang w:val="en-US" w:eastAsia="zh-CN" w:bidi="ar-SA"/>
              </w:rPr>
              <w:t>评分因素</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6B1D403E">
            <w:pPr>
              <w:widowControl w:val="0"/>
              <w:tabs>
                <w:tab w:val="left" w:pos="1354"/>
                <w:tab w:val="left" w:pos="1459"/>
                <w:tab w:val="center" w:pos="3902"/>
                <w:tab w:val="right" w:pos="7805"/>
              </w:tabs>
              <w:wordWrap w:val="0"/>
              <w:adjustRightInd w:val="0"/>
              <w:spacing w:after="0" w:line="240" w:lineRule="auto"/>
              <w:jc w:val="center"/>
              <w:rPr>
                <w:rFonts w:hint="eastAsia" w:asciiTheme="minorEastAsia" w:hAnsiTheme="minorEastAsia" w:eastAsiaTheme="minorEastAsia" w:cstheme="minorEastAsia"/>
                <w:snapToGrid w:val="0"/>
                <w:kern w:val="0"/>
                <w:sz w:val="21"/>
                <w:szCs w:val="21"/>
                <w:highlight w:val="none"/>
                <w:lang w:val="en-US" w:eastAsia="zh-CN" w:bidi="ar-SA"/>
              </w:rPr>
            </w:pPr>
            <w:r>
              <w:rPr>
                <w:rFonts w:hint="eastAsia" w:asciiTheme="minorEastAsia" w:hAnsiTheme="minorEastAsia" w:eastAsiaTheme="minorEastAsia" w:cstheme="minorEastAsia"/>
                <w:snapToGrid w:val="0"/>
                <w:kern w:val="0"/>
                <w:sz w:val="21"/>
                <w:szCs w:val="21"/>
                <w:highlight w:val="none"/>
                <w:lang w:val="en-US" w:eastAsia="zh-CN" w:bidi="ar-SA"/>
              </w:rPr>
              <w:t>评分标准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5BCE2DCE">
            <w:pPr>
              <w:widowControl w:val="0"/>
              <w:tabs>
                <w:tab w:val="left" w:pos="1354"/>
                <w:tab w:val="left" w:pos="1459"/>
                <w:tab w:val="center" w:pos="3902"/>
                <w:tab w:val="right" w:pos="7805"/>
              </w:tabs>
              <w:wordWrap w:val="0"/>
              <w:adjustRightInd w:val="0"/>
              <w:spacing w:after="0" w:line="240" w:lineRule="auto"/>
              <w:jc w:val="center"/>
              <w:rPr>
                <w:rFonts w:hint="eastAsia" w:asciiTheme="minorEastAsia" w:hAnsiTheme="minorEastAsia" w:eastAsiaTheme="minorEastAsia" w:cstheme="minorEastAsia"/>
                <w:snapToGrid w:val="0"/>
                <w:kern w:val="0"/>
                <w:sz w:val="21"/>
                <w:szCs w:val="21"/>
                <w:highlight w:val="none"/>
                <w:lang w:val="en-US" w:eastAsia="zh-CN" w:bidi="ar-SA"/>
              </w:rPr>
            </w:pPr>
            <w:r>
              <w:rPr>
                <w:rFonts w:hint="eastAsia" w:asciiTheme="minorEastAsia" w:hAnsiTheme="minorEastAsia" w:eastAsiaTheme="minorEastAsia" w:cstheme="minorEastAsia"/>
                <w:snapToGrid w:val="0"/>
                <w:kern w:val="0"/>
                <w:sz w:val="21"/>
                <w:szCs w:val="21"/>
                <w:highlight w:val="none"/>
                <w:lang w:val="en-US" w:eastAsia="zh-CN" w:bidi="ar-SA"/>
              </w:rPr>
              <w:t>备注</w:t>
            </w:r>
          </w:p>
        </w:tc>
      </w:tr>
      <w:tr w14:paraId="55F368F5">
        <w:tblPrEx>
          <w:tblCellMar>
            <w:top w:w="0" w:type="dxa"/>
            <w:left w:w="108" w:type="dxa"/>
            <w:bottom w:w="0" w:type="dxa"/>
            <w:right w:w="108" w:type="dxa"/>
          </w:tblCellMar>
        </w:tblPrEx>
        <w:trPr>
          <w:trHeight w:val="8334"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6B07DA46">
            <w:pPr>
              <w:pStyle w:val="6"/>
              <w:keepNext w:val="0"/>
              <w:keepLines w:val="0"/>
              <w:pageBreakBefore w:val="0"/>
              <w:widowControl w:val="0"/>
              <w:kinsoku/>
              <w:wordWrap w:val="0"/>
              <w:overflowPunct/>
              <w:topLinePunct w:val="0"/>
              <w:autoSpaceDE/>
              <w:autoSpaceDN/>
              <w:bidi w:val="0"/>
              <w:adjustRightInd w:val="0"/>
              <w:snapToGrid w:val="0"/>
              <w:spacing w:after="0" w:afterLines="0" w:line="36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rPr>
            </w:pPr>
            <w:r>
              <w:rPr>
                <w:rFonts w:hint="eastAsia" w:ascii="宋体" w:hAnsi="宋体" w:eastAsia="宋体" w:cs="宋体"/>
                <w:caps w:val="0"/>
                <w:smallCaps w:val="0"/>
                <w:snapToGrid w:val="0"/>
                <w:color w:val="auto"/>
                <w:spacing w:val="0"/>
                <w:kern w:val="0"/>
                <w:sz w:val="24"/>
                <w:szCs w:val="24"/>
                <w:highlight w:val="none"/>
                <w:lang w:val="en-US" w:eastAsia="zh-CN"/>
              </w:rPr>
              <w:t>企业奖项 (10分)</w:t>
            </w:r>
          </w:p>
          <w:p w14:paraId="55C58B16">
            <w:pPr>
              <w:pStyle w:val="6"/>
              <w:keepNext w:val="0"/>
              <w:keepLines w:val="0"/>
              <w:pageBreakBefore w:val="0"/>
              <w:widowControl w:val="0"/>
              <w:kinsoku/>
              <w:wordWrap w:val="0"/>
              <w:overflowPunct/>
              <w:topLinePunct w:val="0"/>
              <w:autoSpaceDE/>
              <w:autoSpaceDN/>
              <w:bidi w:val="0"/>
              <w:adjustRightInd w:val="0"/>
              <w:snapToGrid w:val="0"/>
              <w:spacing w:after="0" w:afterLines="0" w:line="36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rPr>
            </w:pPr>
            <w:r>
              <w:rPr>
                <w:rFonts w:hint="eastAsia" w:ascii="宋体" w:hAnsi="宋体" w:eastAsia="宋体" w:cs="宋体"/>
                <w:b/>
                <w:bCs/>
                <w:caps w:val="0"/>
                <w:smallCaps w:val="0"/>
                <w:snapToGrid w:val="0"/>
                <w:color w:val="auto"/>
                <w:spacing w:val="0"/>
                <w:kern w:val="0"/>
                <w:sz w:val="24"/>
                <w:szCs w:val="24"/>
                <w:highlight w:val="none"/>
                <w:lang w:val="en-US" w:eastAsia="zh-CN"/>
              </w:rPr>
              <w:t>（联合体任意一方提供）</w:t>
            </w:r>
          </w:p>
          <w:p w14:paraId="34BB37CB">
            <w:pPr>
              <w:pStyle w:val="6"/>
              <w:keepNext w:val="0"/>
              <w:keepLines w:val="0"/>
              <w:pageBreakBefore w:val="0"/>
              <w:widowControl w:val="0"/>
              <w:kinsoku/>
              <w:wordWrap w:val="0"/>
              <w:overflowPunct/>
              <w:topLinePunct w:val="0"/>
              <w:autoSpaceDE/>
              <w:autoSpaceDN/>
              <w:bidi w:val="0"/>
              <w:adjustRightInd w:val="0"/>
              <w:snapToGrid w:val="0"/>
              <w:spacing w:after="0" w:afterLines="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napToGrid w:val="0"/>
                <w:color w:val="auto"/>
                <w:kern w:val="0"/>
                <w:sz w:val="21"/>
                <w:szCs w:val="21"/>
                <w:highlight w:val="none"/>
                <w:lang w:eastAsia="zh-CN"/>
              </w:rPr>
            </w:pPr>
          </w:p>
        </w:tc>
        <w:tc>
          <w:tcPr>
            <w:tcW w:w="3733" w:type="dxa"/>
            <w:tcBorders>
              <w:top w:val="single" w:color="auto" w:sz="4" w:space="0"/>
              <w:left w:val="single" w:color="auto" w:sz="4" w:space="0"/>
              <w:bottom w:val="single" w:color="auto" w:sz="4" w:space="0"/>
              <w:right w:val="single" w:color="auto" w:sz="4" w:space="0"/>
            </w:tcBorders>
            <w:noWrap w:val="0"/>
            <w:vAlign w:val="center"/>
          </w:tcPr>
          <w:p w14:paraId="7237D1FB">
            <w:pPr>
              <w:pStyle w:val="6"/>
              <w:wordWrap w:val="0"/>
              <w:spacing w:before="0" w:beforeAutospacing="0" w:after="0"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企业近</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年来（</w:t>
            </w:r>
            <w:r>
              <w:rPr>
                <w:rFonts w:hint="eastAsia" w:ascii="宋体" w:hAnsi="宋体" w:eastAsia="宋体" w:cs="宋体"/>
                <w:color w:val="auto"/>
                <w:kern w:val="0"/>
                <w:sz w:val="24"/>
                <w:szCs w:val="24"/>
                <w:highlight w:val="none"/>
                <w:lang w:val="en-US" w:eastAsia="zh-CN"/>
              </w:rPr>
              <w:t>2021</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日至</w:t>
            </w:r>
            <w:r>
              <w:rPr>
                <w:rFonts w:hint="eastAsia" w:ascii="宋体" w:hAnsi="宋体" w:eastAsia="宋体" w:cs="宋体"/>
                <w:color w:val="auto"/>
                <w:kern w:val="0"/>
                <w:sz w:val="24"/>
                <w:szCs w:val="24"/>
                <w:highlight w:val="none"/>
                <w:lang w:val="en-US" w:eastAsia="zh-CN"/>
              </w:rPr>
              <w:t>今</w:t>
            </w:r>
            <w:r>
              <w:rPr>
                <w:rFonts w:hint="eastAsia" w:ascii="宋体" w:hAnsi="宋体" w:eastAsia="宋体" w:cs="宋体"/>
                <w:color w:val="auto"/>
                <w:kern w:val="0"/>
                <w:sz w:val="24"/>
                <w:szCs w:val="24"/>
                <w:highlight w:val="none"/>
              </w:rPr>
              <w:t>）获得</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房屋建筑类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类奖项情况：      </w:t>
            </w:r>
          </w:p>
          <w:p w14:paraId="56228FE6">
            <w:pPr>
              <w:pStyle w:val="6"/>
              <w:wordWrap w:val="0"/>
              <w:spacing w:before="0" w:beforeAutospacing="0" w:after="0"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1．获得国家级奖项的，每个得</w:t>
            </w:r>
            <w:r>
              <w:rPr>
                <w:rFonts w:hint="eastAsia" w:ascii="宋体" w:hAnsi="宋体" w:eastAsia="宋体" w:cs="宋体"/>
                <w:color w:val="auto"/>
                <w:kern w:val="0"/>
                <w:sz w:val="24"/>
                <w:szCs w:val="24"/>
                <w:highlight w:val="none"/>
                <w:u w:val="single"/>
              </w:rPr>
              <w:t xml:space="preserve"> 8 </w:t>
            </w:r>
            <w:r>
              <w:rPr>
                <w:rFonts w:hint="eastAsia" w:ascii="宋体" w:hAnsi="宋体" w:eastAsia="宋体" w:cs="宋体"/>
                <w:color w:val="auto"/>
                <w:kern w:val="0"/>
                <w:sz w:val="24"/>
                <w:szCs w:val="24"/>
                <w:highlight w:val="none"/>
              </w:rPr>
              <w:t>分。</w:t>
            </w:r>
          </w:p>
          <w:p w14:paraId="621B42AF">
            <w:pPr>
              <w:pStyle w:val="6"/>
              <w:wordWrap w:val="0"/>
              <w:spacing w:before="0" w:beforeAutospacing="0" w:after="0"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2．获得省级奖项的，每</w:t>
            </w:r>
            <w:r>
              <w:rPr>
                <w:rFonts w:hint="eastAsia" w:ascii="宋体" w:hAnsi="宋体" w:eastAsia="宋体" w:cs="宋体"/>
                <w:color w:val="auto"/>
                <w:kern w:val="0"/>
                <w:sz w:val="24"/>
                <w:szCs w:val="24"/>
                <w:highlight w:val="none"/>
                <w:u w:val="single"/>
              </w:rPr>
              <w:t>个得 6 分</w:t>
            </w:r>
            <w:r>
              <w:rPr>
                <w:rFonts w:hint="eastAsia" w:ascii="宋体" w:hAnsi="宋体" w:eastAsia="宋体" w:cs="宋体"/>
                <w:color w:val="auto"/>
                <w:kern w:val="0"/>
                <w:sz w:val="24"/>
                <w:szCs w:val="24"/>
                <w:highlight w:val="none"/>
              </w:rPr>
              <w:t>。</w:t>
            </w:r>
          </w:p>
          <w:p w14:paraId="29B1D25F">
            <w:pPr>
              <w:pStyle w:val="6"/>
              <w:wordWrap w:val="0"/>
              <w:spacing w:before="0" w:beforeAutospacing="0" w:after="0"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3．获得地市级奖项的，每个</w:t>
            </w:r>
            <w:r>
              <w:rPr>
                <w:rFonts w:hint="eastAsia" w:ascii="宋体" w:hAnsi="宋体" w:eastAsia="宋体" w:cs="宋体"/>
                <w:color w:val="auto"/>
                <w:kern w:val="0"/>
                <w:sz w:val="24"/>
                <w:szCs w:val="24"/>
                <w:highlight w:val="none"/>
                <w:u w:val="single"/>
              </w:rPr>
              <w:t>得</w:t>
            </w:r>
            <w:r>
              <w:rPr>
                <w:rFonts w:hint="eastAsia" w:ascii="宋体" w:hAnsi="宋体" w:eastAsia="宋体" w:cs="宋体"/>
                <w:color w:val="auto"/>
                <w:kern w:val="0"/>
                <w:sz w:val="24"/>
                <w:szCs w:val="24"/>
                <w:highlight w:val="none"/>
                <w:u w:val="single"/>
                <w:lang w:val="en-US" w:eastAsia="zh-CN"/>
              </w:rPr>
              <w:t>5</w:t>
            </w:r>
            <w:r>
              <w:rPr>
                <w:rFonts w:hint="eastAsia" w:ascii="宋体" w:hAnsi="宋体" w:eastAsia="宋体" w:cs="宋体"/>
                <w:color w:val="auto"/>
                <w:kern w:val="0"/>
                <w:sz w:val="24"/>
                <w:szCs w:val="24"/>
                <w:highlight w:val="none"/>
                <w:u w:val="single"/>
              </w:rPr>
              <w:t xml:space="preserve"> 分</w:t>
            </w:r>
            <w:r>
              <w:rPr>
                <w:rFonts w:hint="eastAsia" w:ascii="宋体" w:hAnsi="宋体" w:eastAsia="宋体" w:cs="宋体"/>
                <w:color w:val="auto"/>
                <w:kern w:val="0"/>
                <w:sz w:val="24"/>
                <w:szCs w:val="24"/>
                <w:highlight w:val="none"/>
              </w:rPr>
              <w:t>。</w:t>
            </w:r>
          </w:p>
          <w:p w14:paraId="61809E57">
            <w:pPr>
              <w:pStyle w:val="6"/>
              <w:wordWrap w:val="0"/>
              <w:spacing w:before="0" w:beforeAutospacing="0" w:after="0"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4．以上奖项均未获得的，不予计分。</w:t>
            </w:r>
          </w:p>
          <w:p w14:paraId="74BA2153">
            <w:pPr>
              <w:pStyle w:val="6"/>
              <w:wordWrap w:val="0"/>
              <w:spacing w:before="0" w:beforeAutospacing="0" w:after="0"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5．本项最高得10分。</w:t>
            </w:r>
          </w:p>
          <w:p w14:paraId="271C6732">
            <w:pPr>
              <w:pStyle w:val="6"/>
              <w:keepNext w:val="0"/>
              <w:keepLines w:val="0"/>
              <w:pageBreakBefore w:val="0"/>
              <w:widowControl w:val="0"/>
              <w:kinsoku/>
              <w:wordWrap w:val="0"/>
              <w:overflowPunct/>
              <w:topLinePunct w:val="0"/>
              <w:autoSpaceDE/>
              <w:autoSpaceDN/>
              <w:bidi w:val="0"/>
              <w:adjustRightInd w:val="0"/>
              <w:snapToGrid w:val="0"/>
              <w:spacing w:after="0" w:afterLines="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napToGrid w:val="0"/>
                <w:color w:val="auto"/>
                <w:kern w:val="0"/>
                <w:sz w:val="21"/>
                <w:szCs w:val="21"/>
                <w:highlight w:val="none"/>
                <w:lang w:eastAsia="zh-CN"/>
              </w:rPr>
            </w:pPr>
          </w:p>
        </w:tc>
        <w:tc>
          <w:tcPr>
            <w:tcW w:w="5358" w:type="dxa"/>
            <w:tcBorders>
              <w:top w:val="single" w:color="auto" w:sz="4" w:space="0"/>
              <w:left w:val="single" w:color="auto" w:sz="4" w:space="0"/>
              <w:bottom w:val="single" w:color="auto" w:sz="4" w:space="0"/>
              <w:right w:val="single" w:color="auto" w:sz="4" w:space="0"/>
            </w:tcBorders>
            <w:noWrap w:val="0"/>
            <w:vAlign w:val="center"/>
          </w:tcPr>
          <w:p w14:paraId="13026F53">
            <w:pPr>
              <w:widowControl/>
              <w:spacing w:beforeAutospacing="0" w:after="0" w:afterAutospacing="0"/>
              <w:ind w:left="0" w:firstLine="0"/>
              <w:jc w:val="both"/>
              <w:rPr>
                <w:rFonts w:hint="eastAsia" w:ascii="宋体" w:hAnsi="宋体" w:eastAsia="宋体" w:cs="宋体"/>
                <w:i w:val="0"/>
                <w:caps w:val="0"/>
                <w:color w:val="auto"/>
                <w:spacing w:val="0"/>
                <w:sz w:val="24"/>
                <w:szCs w:val="24"/>
                <w:highlight w:val="none"/>
                <w:u w:val="none"/>
              </w:rPr>
            </w:pPr>
            <w:r>
              <w:rPr>
                <w:rFonts w:hint="eastAsia" w:ascii="宋体" w:hAnsi="宋体" w:eastAsia="宋体" w:cs="宋体"/>
                <w:i w:val="0"/>
                <w:caps w:val="0"/>
                <w:color w:val="auto"/>
                <w:spacing w:val="0"/>
                <w:kern w:val="0"/>
                <w:sz w:val="24"/>
                <w:szCs w:val="24"/>
                <w:highlight w:val="none"/>
                <w:u w:val="none"/>
                <w:lang w:val="en-US" w:eastAsia="zh-CN" w:bidi="ar"/>
              </w:rPr>
              <w:t>1.允许投标人提交多个业绩，但同一业绩只按最高级别奖项计分一次。</w:t>
            </w:r>
          </w:p>
          <w:p w14:paraId="029B271E">
            <w:pPr>
              <w:widowControl/>
              <w:spacing w:beforeAutospacing="0" w:after="0" w:afterAutospacing="0"/>
              <w:ind w:left="0" w:firstLine="0"/>
              <w:jc w:val="both"/>
              <w:rPr>
                <w:rFonts w:hint="eastAsia" w:ascii="宋体" w:hAnsi="宋体" w:eastAsia="宋体" w:cs="宋体"/>
                <w:i w:val="0"/>
                <w:caps w:val="0"/>
                <w:color w:val="auto"/>
                <w:spacing w:val="0"/>
                <w:sz w:val="24"/>
                <w:szCs w:val="24"/>
                <w:highlight w:val="none"/>
                <w:u w:val="none"/>
              </w:rPr>
            </w:pPr>
            <w:r>
              <w:rPr>
                <w:rFonts w:hint="eastAsia" w:ascii="宋体" w:hAnsi="宋体" w:eastAsia="宋体" w:cs="宋体"/>
                <w:i w:val="0"/>
                <w:caps w:val="0"/>
                <w:color w:val="auto"/>
                <w:spacing w:val="0"/>
                <w:kern w:val="0"/>
                <w:sz w:val="24"/>
                <w:szCs w:val="24"/>
                <w:highlight w:val="none"/>
                <w:u w:val="none"/>
                <w:lang w:val="en-US" w:eastAsia="zh-CN" w:bidi="ar"/>
              </w:rPr>
              <w:t>2.需附有关奖项证明扫描件，</w:t>
            </w:r>
            <w:r>
              <w:rPr>
                <w:rFonts w:hint="eastAsia" w:ascii="宋体" w:hAnsi="宋体" w:eastAsia="宋体" w:cs="宋体"/>
                <w:b/>
                <w:i w:val="0"/>
                <w:caps w:val="0"/>
                <w:color w:val="auto"/>
                <w:spacing w:val="0"/>
                <w:kern w:val="0"/>
                <w:sz w:val="24"/>
                <w:szCs w:val="24"/>
                <w:highlight w:val="none"/>
                <w:u w:val="none"/>
                <w:lang w:val="en-US" w:eastAsia="zh-CN" w:bidi="ar"/>
              </w:rPr>
              <w:t>同时提供原件核查。</w:t>
            </w:r>
          </w:p>
          <w:p w14:paraId="4CE441BA">
            <w:pPr>
              <w:widowControl/>
              <w:spacing w:beforeAutospacing="0" w:after="0" w:afterAutospacing="0"/>
              <w:ind w:left="0" w:firstLine="0"/>
              <w:jc w:val="both"/>
              <w:rPr>
                <w:rFonts w:hint="eastAsia" w:ascii="宋体" w:hAnsi="宋体" w:eastAsia="宋体" w:cs="宋体"/>
                <w:i w:val="0"/>
                <w:caps w:val="0"/>
                <w:color w:val="auto"/>
                <w:spacing w:val="0"/>
                <w:sz w:val="24"/>
                <w:szCs w:val="24"/>
                <w:highlight w:val="none"/>
                <w:u w:val="none"/>
              </w:rPr>
            </w:pPr>
            <w:r>
              <w:rPr>
                <w:rFonts w:hint="eastAsia" w:ascii="宋体" w:hAnsi="宋体" w:eastAsia="宋体" w:cs="宋体"/>
                <w:i w:val="0"/>
                <w:caps w:val="0"/>
                <w:color w:val="auto"/>
                <w:spacing w:val="0"/>
                <w:kern w:val="0"/>
                <w:sz w:val="24"/>
                <w:szCs w:val="24"/>
                <w:highlight w:val="none"/>
                <w:u w:val="none"/>
                <w:lang w:val="en-US" w:eastAsia="zh-CN" w:bidi="ar"/>
              </w:rPr>
              <w:t>3.颁发机构限定以下范围：</w:t>
            </w:r>
          </w:p>
          <w:p w14:paraId="3234C14F">
            <w:pPr>
              <w:pStyle w:val="13"/>
              <w:widowControl/>
              <w:spacing w:beforeAutospacing="0" w:after="90" w:afterAutospacing="0" w:line="216" w:lineRule="atLeast"/>
              <w:ind w:left="0" w:right="0" w:firstLine="0"/>
              <w:jc w:val="both"/>
              <w:rPr>
                <w:rFonts w:hint="eastAsia" w:ascii="宋体" w:hAnsi="宋体" w:eastAsia="宋体" w:cs="宋体"/>
                <w:i w:val="0"/>
                <w:caps w:val="0"/>
                <w:color w:val="auto"/>
                <w:spacing w:val="0"/>
                <w:sz w:val="24"/>
                <w:szCs w:val="24"/>
                <w:highlight w:val="none"/>
                <w:u w:val="none"/>
              </w:rPr>
            </w:pPr>
            <w:r>
              <w:rPr>
                <w:rFonts w:hint="eastAsia" w:ascii="宋体" w:hAnsi="宋体" w:eastAsia="宋体" w:cs="宋体"/>
                <w:i w:val="0"/>
                <w:caps w:val="0"/>
                <w:color w:val="auto"/>
                <w:spacing w:val="0"/>
                <w:sz w:val="24"/>
                <w:szCs w:val="24"/>
                <w:highlight w:val="none"/>
                <w:u w:val="none"/>
              </w:rPr>
              <w:t>①国家级奖项：</w:t>
            </w:r>
            <w:r>
              <w:rPr>
                <w:rFonts w:hint="eastAsia" w:ascii="宋体" w:hAnsi="宋体" w:eastAsia="宋体" w:cs="宋体"/>
                <w:i w:val="0"/>
                <w:caps w:val="0"/>
                <w:color w:val="auto"/>
                <w:spacing w:val="0"/>
                <w:sz w:val="24"/>
                <w:szCs w:val="24"/>
                <w:highlight w:val="none"/>
                <w:u w:val="single"/>
              </w:rPr>
              <w:t>国务院、住建部、国家级建筑行业协会、国家级</w:t>
            </w:r>
            <w:r>
              <w:rPr>
                <w:rFonts w:hint="eastAsia" w:ascii="宋体" w:hAnsi="宋体" w:eastAsia="宋体" w:cs="宋体"/>
                <w:color w:val="auto"/>
                <w:kern w:val="0"/>
                <w:sz w:val="24"/>
                <w:szCs w:val="24"/>
                <w:highlight w:val="none"/>
                <w:u w:val="single"/>
                <w:lang w:val="en-US" w:eastAsia="zh-CN"/>
              </w:rPr>
              <w:t>房屋建筑</w:t>
            </w:r>
            <w:r>
              <w:rPr>
                <w:rFonts w:hint="eastAsia" w:ascii="宋体" w:hAnsi="宋体" w:eastAsia="宋体" w:cs="宋体"/>
                <w:i w:val="0"/>
                <w:caps w:val="0"/>
                <w:color w:val="auto"/>
                <w:spacing w:val="0"/>
                <w:sz w:val="24"/>
                <w:szCs w:val="24"/>
                <w:highlight w:val="none"/>
                <w:u w:val="single"/>
              </w:rPr>
              <w:t>类行业协会；（相关协会需经民政部门备案）；</w:t>
            </w:r>
          </w:p>
          <w:p w14:paraId="71620611">
            <w:pPr>
              <w:pStyle w:val="13"/>
              <w:widowControl/>
              <w:spacing w:beforeAutospacing="0" w:after="90" w:afterAutospacing="0" w:line="216" w:lineRule="atLeast"/>
              <w:ind w:left="0" w:right="0" w:firstLine="0"/>
              <w:jc w:val="both"/>
              <w:rPr>
                <w:rFonts w:hint="eastAsia" w:ascii="宋体" w:hAnsi="宋体" w:eastAsia="宋体" w:cs="宋体"/>
                <w:i w:val="0"/>
                <w:caps w:val="0"/>
                <w:color w:val="auto"/>
                <w:spacing w:val="0"/>
                <w:sz w:val="24"/>
                <w:szCs w:val="24"/>
                <w:highlight w:val="none"/>
                <w:u w:val="none"/>
              </w:rPr>
            </w:pPr>
            <w:r>
              <w:rPr>
                <w:rFonts w:hint="eastAsia" w:ascii="宋体" w:hAnsi="宋体" w:eastAsia="宋体" w:cs="宋体"/>
                <w:i w:val="0"/>
                <w:caps w:val="0"/>
                <w:color w:val="auto"/>
                <w:spacing w:val="0"/>
                <w:sz w:val="24"/>
                <w:szCs w:val="24"/>
                <w:highlight w:val="none"/>
                <w:u w:val="none"/>
              </w:rPr>
              <w:t>②省级奖项：</w:t>
            </w:r>
            <w:r>
              <w:rPr>
                <w:rFonts w:hint="eastAsia" w:ascii="宋体" w:hAnsi="宋体" w:eastAsia="宋体" w:cs="宋体"/>
                <w:i w:val="0"/>
                <w:caps w:val="0"/>
                <w:color w:val="auto"/>
                <w:spacing w:val="0"/>
                <w:sz w:val="24"/>
                <w:szCs w:val="24"/>
                <w:highlight w:val="none"/>
                <w:u w:val="single"/>
              </w:rPr>
              <w:t>省级人民政府、省级住建部门、省级建筑行业协会、省级</w:t>
            </w:r>
            <w:r>
              <w:rPr>
                <w:rFonts w:hint="eastAsia" w:ascii="宋体" w:hAnsi="宋体" w:eastAsia="宋体" w:cs="宋体"/>
                <w:color w:val="auto"/>
                <w:kern w:val="0"/>
                <w:sz w:val="24"/>
                <w:szCs w:val="24"/>
                <w:highlight w:val="none"/>
                <w:u w:val="single"/>
                <w:lang w:val="en-US" w:eastAsia="zh-CN"/>
              </w:rPr>
              <w:t>房屋建筑</w:t>
            </w:r>
            <w:r>
              <w:rPr>
                <w:rFonts w:hint="eastAsia" w:ascii="宋体" w:hAnsi="宋体" w:eastAsia="宋体" w:cs="宋体"/>
                <w:i w:val="0"/>
                <w:caps w:val="0"/>
                <w:color w:val="auto"/>
                <w:spacing w:val="0"/>
                <w:sz w:val="24"/>
                <w:szCs w:val="24"/>
                <w:highlight w:val="none"/>
                <w:u w:val="single"/>
              </w:rPr>
              <w:t>类行业协会；（相关协会需经民政部门备案）；</w:t>
            </w:r>
          </w:p>
          <w:p w14:paraId="7F44204E">
            <w:pPr>
              <w:pStyle w:val="13"/>
              <w:widowControl/>
              <w:spacing w:beforeAutospacing="0" w:after="90" w:afterAutospacing="0" w:line="216" w:lineRule="atLeast"/>
              <w:ind w:left="0" w:right="0" w:firstLine="0"/>
              <w:jc w:val="both"/>
              <w:rPr>
                <w:rFonts w:hint="eastAsia" w:ascii="宋体" w:hAnsi="宋体" w:eastAsia="宋体" w:cs="宋体"/>
                <w:i w:val="0"/>
                <w:caps w:val="0"/>
                <w:color w:val="auto"/>
                <w:spacing w:val="0"/>
                <w:sz w:val="24"/>
                <w:szCs w:val="24"/>
                <w:highlight w:val="none"/>
                <w:u w:val="none"/>
              </w:rPr>
            </w:pPr>
            <w:r>
              <w:rPr>
                <w:rFonts w:hint="eastAsia" w:ascii="宋体" w:hAnsi="宋体" w:eastAsia="宋体" w:cs="宋体"/>
                <w:i w:val="0"/>
                <w:caps w:val="0"/>
                <w:color w:val="auto"/>
                <w:spacing w:val="0"/>
                <w:sz w:val="24"/>
                <w:szCs w:val="24"/>
                <w:highlight w:val="none"/>
                <w:u w:val="none"/>
              </w:rPr>
              <w:t>③地市级奖项：</w:t>
            </w:r>
            <w:r>
              <w:rPr>
                <w:rFonts w:hint="eastAsia" w:ascii="宋体" w:hAnsi="宋体" w:eastAsia="宋体" w:cs="宋体"/>
                <w:i w:val="0"/>
                <w:caps w:val="0"/>
                <w:color w:val="auto"/>
                <w:spacing w:val="0"/>
                <w:sz w:val="24"/>
                <w:szCs w:val="24"/>
                <w:highlight w:val="none"/>
                <w:u w:val="single"/>
              </w:rPr>
              <w:t>地市级人民政府、地市级住建部门、市级建筑行业协会、市级</w:t>
            </w:r>
            <w:r>
              <w:rPr>
                <w:rFonts w:hint="eastAsia" w:ascii="宋体" w:hAnsi="宋体" w:eastAsia="宋体" w:cs="宋体"/>
                <w:color w:val="auto"/>
                <w:kern w:val="0"/>
                <w:sz w:val="24"/>
                <w:szCs w:val="24"/>
                <w:highlight w:val="none"/>
                <w:u w:val="single"/>
                <w:lang w:val="en-US" w:eastAsia="zh-CN"/>
              </w:rPr>
              <w:t>房屋建筑</w:t>
            </w:r>
            <w:r>
              <w:rPr>
                <w:rFonts w:hint="eastAsia" w:ascii="宋体" w:hAnsi="宋体" w:eastAsia="宋体" w:cs="宋体"/>
                <w:i w:val="0"/>
                <w:caps w:val="0"/>
                <w:color w:val="auto"/>
                <w:spacing w:val="0"/>
                <w:sz w:val="24"/>
                <w:szCs w:val="24"/>
                <w:highlight w:val="none"/>
                <w:u w:val="single"/>
              </w:rPr>
              <w:t>类行业协会。（相关协会需经民政部门备案）。</w:t>
            </w:r>
          </w:p>
          <w:p w14:paraId="37FCC766">
            <w:pPr>
              <w:widowControl/>
              <w:spacing w:beforeAutospacing="0" w:after="0" w:afterAutospacing="0"/>
              <w:ind w:left="0" w:firstLine="0"/>
              <w:jc w:val="both"/>
              <w:rPr>
                <w:rFonts w:hint="eastAsia" w:ascii="宋体" w:hAnsi="宋体" w:eastAsia="宋体" w:cs="宋体"/>
                <w:i w:val="0"/>
                <w:caps w:val="0"/>
                <w:color w:val="auto"/>
                <w:spacing w:val="0"/>
                <w:sz w:val="24"/>
                <w:szCs w:val="24"/>
                <w:highlight w:val="none"/>
                <w:u w:val="none"/>
              </w:rPr>
            </w:pPr>
            <w:r>
              <w:rPr>
                <w:rFonts w:hint="eastAsia" w:ascii="宋体" w:hAnsi="宋体" w:eastAsia="宋体" w:cs="宋体"/>
                <w:i w:val="0"/>
                <w:caps w:val="0"/>
                <w:color w:val="auto"/>
                <w:spacing w:val="0"/>
                <w:kern w:val="0"/>
                <w:sz w:val="24"/>
                <w:szCs w:val="24"/>
                <w:highlight w:val="none"/>
                <w:u w:val="none"/>
                <w:lang w:val="en-US" w:eastAsia="zh-CN" w:bidi="ar"/>
              </w:rPr>
              <w:t>4.获奖时间以奖项证明的落款日期为准。</w:t>
            </w:r>
          </w:p>
          <w:p w14:paraId="2B1F836B">
            <w:pPr>
              <w:pStyle w:val="13"/>
              <w:widowControl/>
              <w:spacing w:beforeAutospacing="0" w:after="0" w:afterAutospacing="0" w:line="216" w:lineRule="atLeast"/>
              <w:ind w:left="0" w:right="0" w:firstLine="0"/>
              <w:jc w:val="both"/>
              <w:rPr>
                <w:rFonts w:hint="eastAsia" w:ascii="宋体" w:hAnsi="宋体" w:eastAsia="宋体" w:cs="宋体"/>
                <w:i w:val="0"/>
                <w:caps w:val="0"/>
                <w:color w:val="auto"/>
                <w:spacing w:val="0"/>
                <w:sz w:val="24"/>
                <w:szCs w:val="24"/>
                <w:highlight w:val="none"/>
                <w:u w:val="none"/>
              </w:rPr>
            </w:pPr>
            <w:r>
              <w:rPr>
                <w:rFonts w:hint="eastAsia" w:ascii="宋体" w:hAnsi="宋体" w:eastAsia="宋体" w:cs="宋体"/>
                <w:i w:val="0"/>
                <w:caps w:val="0"/>
                <w:color w:val="auto"/>
                <w:spacing w:val="0"/>
                <w:sz w:val="24"/>
                <w:szCs w:val="24"/>
                <w:highlight w:val="none"/>
                <w:u w:val="none"/>
              </w:rPr>
              <w:t>5．任一奖项有以下情形之一的，该奖项视为无效，不予计分：</w:t>
            </w:r>
          </w:p>
          <w:p w14:paraId="051BE17F">
            <w:pPr>
              <w:pStyle w:val="13"/>
              <w:widowControl/>
              <w:spacing w:beforeAutospacing="0" w:after="0" w:afterAutospacing="0" w:line="216" w:lineRule="atLeast"/>
              <w:ind w:left="0" w:right="0" w:firstLine="0"/>
              <w:jc w:val="both"/>
              <w:rPr>
                <w:rFonts w:hint="eastAsia" w:ascii="宋体" w:hAnsi="宋体" w:eastAsia="宋体" w:cs="宋体"/>
                <w:i w:val="0"/>
                <w:caps w:val="0"/>
                <w:color w:val="auto"/>
                <w:spacing w:val="0"/>
                <w:sz w:val="24"/>
                <w:szCs w:val="24"/>
                <w:highlight w:val="none"/>
                <w:u w:val="none"/>
              </w:rPr>
            </w:pPr>
            <w:r>
              <w:rPr>
                <w:rFonts w:hint="eastAsia" w:ascii="宋体" w:hAnsi="宋体" w:eastAsia="宋体" w:cs="宋体"/>
                <w:i w:val="0"/>
                <w:caps w:val="0"/>
                <w:color w:val="auto"/>
                <w:spacing w:val="0"/>
                <w:sz w:val="24"/>
                <w:szCs w:val="24"/>
                <w:highlight w:val="none"/>
                <w:u w:val="none"/>
              </w:rPr>
              <w:t>①奖项不属于指定类别的；</w:t>
            </w:r>
          </w:p>
          <w:p w14:paraId="52B9E9AE">
            <w:pPr>
              <w:pStyle w:val="13"/>
              <w:widowControl/>
              <w:spacing w:beforeAutospacing="0" w:after="0" w:afterAutospacing="0" w:line="216" w:lineRule="atLeast"/>
              <w:ind w:left="0" w:right="0" w:firstLine="0"/>
              <w:jc w:val="both"/>
              <w:rPr>
                <w:rFonts w:hint="eastAsia" w:ascii="宋体" w:hAnsi="宋体" w:eastAsia="宋体" w:cs="宋体"/>
                <w:i w:val="0"/>
                <w:caps w:val="0"/>
                <w:color w:val="auto"/>
                <w:spacing w:val="0"/>
                <w:sz w:val="24"/>
                <w:szCs w:val="24"/>
                <w:highlight w:val="none"/>
                <w:u w:val="none"/>
              </w:rPr>
            </w:pPr>
            <w:r>
              <w:rPr>
                <w:rFonts w:hint="eastAsia" w:ascii="宋体" w:hAnsi="宋体" w:eastAsia="宋体" w:cs="宋体"/>
                <w:i w:val="0"/>
                <w:caps w:val="0"/>
                <w:color w:val="auto"/>
                <w:spacing w:val="0"/>
                <w:sz w:val="24"/>
                <w:szCs w:val="24"/>
                <w:highlight w:val="none"/>
                <w:u w:val="none"/>
              </w:rPr>
              <w:t>②颁发机构不符合要求的；</w:t>
            </w:r>
          </w:p>
          <w:p w14:paraId="25234ECA">
            <w:pPr>
              <w:pStyle w:val="13"/>
              <w:widowControl/>
              <w:spacing w:beforeAutospacing="0" w:after="0" w:afterAutospacing="0" w:line="216" w:lineRule="atLeast"/>
              <w:ind w:left="0" w:right="0" w:firstLine="0"/>
              <w:jc w:val="both"/>
              <w:rPr>
                <w:rFonts w:hint="eastAsia" w:ascii="宋体" w:hAnsi="宋体" w:eastAsia="宋体" w:cs="宋体"/>
                <w:i w:val="0"/>
                <w:caps w:val="0"/>
                <w:color w:val="auto"/>
                <w:spacing w:val="0"/>
                <w:sz w:val="24"/>
                <w:szCs w:val="24"/>
                <w:highlight w:val="none"/>
                <w:u w:val="none"/>
              </w:rPr>
            </w:pPr>
            <w:r>
              <w:rPr>
                <w:rFonts w:hint="eastAsia" w:ascii="宋体" w:hAnsi="宋体" w:eastAsia="宋体" w:cs="宋体"/>
                <w:i w:val="0"/>
                <w:caps w:val="0"/>
                <w:color w:val="auto"/>
                <w:spacing w:val="0"/>
                <w:sz w:val="24"/>
                <w:szCs w:val="24"/>
                <w:highlight w:val="none"/>
                <w:u w:val="none"/>
              </w:rPr>
              <w:t>③获奖时间不符合要求的；</w:t>
            </w:r>
          </w:p>
          <w:p w14:paraId="3A29767C">
            <w:pPr>
              <w:pStyle w:val="13"/>
              <w:widowControl/>
              <w:spacing w:beforeAutospacing="0" w:after="0" w:afterAutospacing="0" w:line="216" w:lineRule="atLeast"/>
              <w:ind w:left="0" w:leftChars="0" w:right="0" w:rightChars="0" w:firstLine="0" w:firstLineChars="0"/>
              <w:jc w:val="both"/>
              <w:rPr>
                <w:rFonts w:hint="eastAsia" w:asciiTheme="minorEastAsia" w:hAnsiTheme="minorEastAsia" w:eastAsiaTheme="minorEastAsia" w:cstheme="minorEastAsia"/>
                <w:b/>
                <w:bCs/>
                <w:snapToGrid w:val="0"/>
                <w:color w:val="auto"/>
                <w:kern w:val="0"/>
                <w:sz w:val="21"/>
                <w:szCs w:val="21"/>
                <w:highlight w:val="none"/>
                <w:lang w:eastAsia="zh-CN"/>
              </w:rPr>
            </w:pPr>
            <w:r>
              <w:rPr>
                <w:rFonts w:hint="eastAsia" w:ascii="宋体" w:hAnsi="宋体" w:eastAsia="宋体" w:cs="宋体"/>
                <w:i w:val="0"/>
                <w:caps w:val="0"/>
                <w:color w:val="auto"/>
                <w:spacing w:val="0"/>
                <w:sz w:val="24"/>
                <w:szCs w:val="24"/>
                <w:highlight w:val="none"/>
                <w:u w:val="none"/>
              </w:rPr>
              <w:t>④未提供奖项证明材料原件的。</w:t>
            </w:r>
          </w:p>
        </w:tc>
      </w:tr>
      <w:tr w14:paraId="2069B978">
        <w:tblPrEx>
          <w:tblCellMar>
            <w:top w:w="0" w:type="dxa"/>
            <w:left w:w="108" w:type="dxa"/>
            <w:bottom w:w="0" w:type="dxa"/>
            <w:right w:w="108" w:type="dxa"/>
          </w:tblCellMar>
        </w:tblPrEx>
        <w:trPr>
          <w:trHeight w:val="3901"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7C883546">
            <w:pPr>
              <w:pStyle w:val="6"/>
              <w:keepNext w:val="0"/>
              <w:keepLines w:val="0"/>
              <w:pageBreakBefore w:val="0"/>
              <w:kinsoku/>
              <w:wordWrap w:val="0"/>
              <w:overflowPunct/>
              <w:topLinePunct w:val="0"/>
              <w:autoSpaceDE/>
              <w:autoSpaceDN/>
              <w:bidi w:val="0"/>
              <w:adjustRightInd w:val="0"/>
              <w:snapToGrid w:val="0"/>
              <w:spacing w:after="0"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项目经理</w:t>
            </w:r>
          </w:p>
          <w:p w14:paraId="2849C443">
            <w:pPr>
              <w:pStyle w:val="6"/>
              <w:keepNext w:val="0"/>
              <w:keepLines w:val="0"/>
              <w:pageBreakBefore w:val="0"/>
              <w:kinsoku/>
              <w:wordWrap w:val="0"/>
              <w:overflowPunct/>
              <w:topLinePunct w:val="0"/>
              <w:autoSpaceDE/>
              <w:autoSpaceDN/>
              <w:bidi w:val="0"/>
              <w:adjustRightInd w:val="0"/>
              <w:snapToGrid w:val="0"/>
              <w:spacing w:after="0"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综合素质</w:t>
            </w:r>
          </w:p>
          <w:p w14:paraId="3215C138">
            <w:pPr>
              <w:pStyle w:val="6"/>
              <w:keepNext w:val="0"/>
              <w:keepLines w:val="0"/>
              <w:pageBreakBefore w:val="0"/>
              <w:kinsoku/>
              <w:wordWrap w:val="0"/>
              <w:overflowPunct/>
              <w:topLinePunct w:val="0"/>
              <w:autoSpaceDE/>
              <w:autoSpaceDN/>
              <w:bidi w:val="0"/>
              <w:adjustRightInd w:val="0"/>
              <w:snapToGrid w:val="0"/>
              <w:spacing w:after="0"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分）</w:t>
            </w:r>
          </w:p>
          <w:p w14:paraId="41EF3207">
            <w:pPr>
              <w:pStyle w:val="6"/>
              <w:keepNext w:val="0"/>
              <w:keepLines w:val="0"/>
              <w:pageBreakBefore w:val="0"/>
              <w:kinsoku/>
              <w:wordWrap w:val="0"/>
              <w:overflowPunct/>
              <w:topLinePunct w:val="0"/>
              <w:autoSpaceDE/>
              <w:autoSpaceDN/>
              <w:bidi w:val="0"/>
              <w:adjustRightInd w:val="0"/>
              <w:snapToGrid w:val="0"/>
              <w:spacing w:after="0" w:line="360" w:lineRule="exact"/>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b/>
                <w:bCs/>
                <w:caps w:val="0"/>
                <w:smallCaps w:val="0"/>
                <w:snapToGrid w:val="0"/>
                <w:color w:val="auto"/>
                <w:spacing w:val="0"/>
                <w:kern w:val="0"/>
                <w:sz w:val="24"/>
                <w:szCs w:val="24"/>
                <w:highlight w:val="none"/>
                <w:lang w:val="en-US" w:eastAsia="zh-CN"/>
              </w:rPr>
              <w:t>（联合牵头人提供）</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52C0027F">
            <w:pPr>
              <w:pStyle w:val="6"/>
              <w:keepNext w:val="0"/>
              <w:keepLines w:val="0"/>
              <w:pageBreakBefore w:val="0"/>
              <w:kinsoku/>
              <w:wordWrap w:val="0"/>
              <w:overflowPunct/>
              <w:topLinePunct w:val="0"/>
              <w:autoSpaceDE/>
              <w:autoSpaceDN/>
              <w:bidi w:val="0"/>
              <w:adjustRightInd w:val="0"/>
              <w:snapToGrid w:val="0"/>
              <w:spacing w:after="0" w:line="36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项目经理工程类技术职称情况：</w:t>
            </w:r>
          </w:p>
          <w:p w14:paraId="56E5E022">
            <w:pPr>
              <w:pStyle w:val="6"/>
              <w:keepNext w:val="0"/>
              <w:keepLines w:val="0"/>
              <w:pageBreakBefore w:val="0"/>
              <w:kinsoku/>
              <w:wordWrap w:val="0"/>
              <w:overflowPunct/>
              <w:topLinePunct w:val="0"/>
              <w:autoSpaceDE/>
              <w:autoSpaceDN/>
              <w:bidi w:val="0"/>
              <w:adjustRightInd w:val="0"/>
              <w:snapToGrid w:val="0"/>
              <w:spacing w:after="0" w:line="36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具备工程师</w:t>
            </w:r>
            <w:r>
              <w:rPr>
                <w:rFonts w:hint="eastAsia" w:ascii="宋体" w:hAnsi="宋体" w:eastAsia="宋体" w:cs="宋体"/>
                <w:snapToGrid w:val="0"/>
                <w:color w:val="auto"/>
                <w:kern w:val="0"/>
                <w:sz w:val="24"/>
                <w:szCs w:val="24"/>
                <w:highlight w:val="none"/>
                <w:lang w:val="en-US" w:eastAsia="zh-CN"/>
              </w:rPr>
              <w:t>或以上职称的，</w:t>
            </w:r>
            <w:r>
              <w:rPr>
                <w:rFonts w:hint="eastAsia" w:ascii="宋体" w:hAnsi="宋体" w:eastAsia="宋体" w:cs="宋体"/>
                <w:snapToGrid w:val="0"/>
                <w:color w:val="auto"/>
                <w:kern w:val="0"/>
                <w:sz w:val="24"/>
                <w:szCs w:val="24"/>
                <w:highlight w:val="none"/>
              </w:rPr>
              <w:t>得</w:t>
            </w:r>
            <w:r>
              <w:rPr>
                <w:rFonts w:hint="eastAsia" w:ascii="宋体" w:hAnsi="宋体" w:eastAsia="宋体" w:cs="宋体"/>
                <w:snapToGrid w:val="0"/>
                <w:color w:val="auto"/>
                <w:kern w:val="0"/>
                <w:sz w:val="24"/>
                <w:szCs w:val="24"/>
                <w:highlight w:val="none"/>
                <w:u w:val="single"/>
                <w:lang w:val="en-US" w:eastAsia="zh-CN"/>
              </w:rPr>
              <w:t>10</w:t>
            </w:r>
            <w:r>
              <w:rPr>
                <w:rFonts w:hint="eastAsia" w:ascii="宋体" w:hAnsi="宋体" w:eastAsia="宋体" w:cs="宋体"/>
                <w:snapToGrid w:val="0"/>
                <w:color w:val="auto"/>
                <w:kern w:val="0"/>
                <w:sz w:val="24"/>
                <w:szCs w:val="24"/>
                <w:highlight w:val="none"/>
              </w:rPr>
              <w:t>分。</w:t>
            </w:r>
          </w:p>
          <w:p w14:paraId="66D3B644">
            <w:pPr>
              <w:pStyle w:val="6"/>
              <w:keepNext w:val="0"/>
              <w:keepLines w:val="0"/>
              <w:pageBreakBefore w:val="0"/>
              <w:kinsoku/>
              <w:wordWrap w:val="0"/>
              <w:overflowPunct/>
              <w:topLinePunct w:val="0"/>
              <w:autoSpaceDE/>
              <w:autoSpaceDN/>
              <w:bidi w:val="0"/>
              <w:adjustRightInd w:val="0"/>
              <w:snapToGrid w:val="0"/>
              <w:spacing w:after="0" w:line="360" w:lineRule="exac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2.具备助理工程师</w:t>
            </w:r>
            <w:r>
              <w:rPr>
                <w:rFonts w:hint="eastAsia" w:ascii="宋体" w:hAnsi="宋体" w:eastAsia="宋体" w:cs="宋体"/>
                <w:snapToGrid w:val="0"/>
                <w:color w:val="auto"/>
                <w:kern w:val="0"/>
                <w:sz w:val="24"/>
                <w:szCs w:val="24"/>
                <w:highlight w:val="none"/>
              </w:rPr>
              <w:t>职称的，</w:t>
            </w:r>
            <w:r>
              <w:rPr>
                <w:rFonts w:hint="eastAsia" w:ascii="宋体" w:hAnsi="宋体" w:eastAsia="宋体" w:cs="宋体"/>
                <w:snapToGrid w:val="0"/>
                <w:color w:val="auto"/>
                <w:kern w:val="0"/>
                <w:sz w:val="24"/>
                <w:szCs w:val="24"/>
                <w:highlight w:val="none"/>
                <w:lang w:val="en-US" w:eastAsia="zh-CN"/>
              </w:rPr>
              <w:t>得</w:t>
            </w:r>
            <w:r>
              <w:rPr>
                <w:rFonts w:hint="eastAsia" w:ascii="宋体" w:hAnsi="宋体" w:eastAsia="宋体" w:cs="宋体"/>
                <w:snapToGrid w:val="0"/>
                <w:color w:val="auto"/>
                <w:kern w:val="0"/>
                <w:sz w:val="24"/>
                <w:szCs w:val="24"/>
                <w:highlight w:val="none"/>
                <w:u w:val="single"/>
                <w:lang w:val="en-US" w:eastAsia="zh-CN"/>
              </w:rPr>
              <w:t xml:space="preserve"> 5 </w:t>
            </w:r>
            <w:r>
              <w:rPr>
                <w:rFonts w:hint="eastAsia" w:ascii="宋体" w:hAnsi="宋体" w:eastAsia="宋体" w:cs="宋体"/>
                <w:snapToGrid w:val="0"/>
                <w:color w:val="auto"/>
                <w:kern w:val="0"/>
                <w:sz w:val="24"/>
                <w:szCs w:val="24"/>
                <w:highlight w:val="none"/>
                <w:lang w:val="en-US" w:eastAsia="zh-CN"/>
              </w:rPr>
              <w:t>分。</w:t>
            </w:r>
          </w:p>
          <w:p w14:paraId="0D90C9A0">
            <w:pPr>
              <w:pStyle w:val="6"/>
              <w:keepNext w:val="0"/>
              <w:keepLines w:val="0"/>
              <w:pageBreakBefore w:val="0"/>
              <w:kinsoku/>
              <w:wordWrap w:val="0"/>
              <w:overflowPunct/>
              <w:topLinePunct w:val="0"/>
              <w:autoSpaceDE/>
              <w:autoSpaceDN/>
              <w:bidi w:val="0"/>
              <w:adjustRightInd w:val="0"/>
              <w:snapToGrid w:val="0"/>
              <w:spacing w:after="0" w:line="36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不具备以上职称的不予计分。</w:t>
            </w:r>
          </w:p>
          <w:p w14:paraId="6529DF2E">
            <w:pPr>
              <w:pStyle w:val="6"/>
              <w:keepNext w:val="0"/>
              <w:keepLines w:val="0"/>
              <w:pageBreakBefore w:val="0"/>
              <w:kinsoku/>
              <w:wordWrap w:val="0"/>
              <w:overflowPunct/>
              <w:topLinePunct w:val="0"/>
              <w:autoSpaceDE/>
              <w:autoSpaceDN/>
              <w:bidi w:val="0"/>
              <w:adjustRightInd w:val="0"/>
              <w:snapToGrid w:val="0"/>
              <w:spacing w:after="0" w:line="360" w:lineRule="exact"/>
              <w:rPr>
                <w:rFonts w:hint="eastAsia" w:asciiTheme="minorEastAsia" w:hAnsiTheme="minorEastAsia" w:eastAsiaTheme="minorEastAsia" w:cstheme="minorEastAsia"/>
                <w:snapToGrid/>
                <w:color w:val="auto"/>
                <w:kern w:val="2"/>
                <w:sz w:val="21"/>
                <w:szCs w:val="21"/>
                <w:highlight w:val="none"/>
                <w:lang w:eastAsia="zh-CN"/>
              </w:rPr>
            </w:pPr>
            <w:r>
              <w:rPr>
                <w:rFonts w:hint="eastAsia" w:ascii="宋体" w:hAnsi="宋体" w:eastAsia="宋体" w:cs="宋体"/>
                <w:snapToGrid w:val="0"/>
                <w:color w:val="auto"/>
                <w:kern w:val="0"/>
                <w:sz w:val="24"/>
                <w:szCs w:val="24"/>
                <w:highlight w:val="none"/>
                <w:lang w:eastAsia="zh-CN"/>
              </w:rPr>
              <w:t>本项</w:t>
            </w:r>
            <w:r>
              <w:rPr>
                <w:rFonts w:hint="eastAsia" w:ascii="宋体" w:hAnsi="宋体" w:eastAsia="宋体" w:cs="宋体"/>
                <w:snapToGrid w:val="0"/>
                <w:color w:val="auto"/>
                <w:kern w:val="0"/>
                <w:sz w:val="24"/>
                <w:szCs w:val="24"/>
                <w:highlight w:val="none"/>
              </w:rPr>
              <w:t>最高得</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28AA5FE0">
            <w:pPr>
              <w:pStyle w:val="6"/>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 w:val="24"/>
                <w:szCs w:val="24"/>
                <w:highlight w:val="none"/>
              </w:rPr>
              <w:t>需附职称证</w:t>
            </w:r>
            <w:r>
              <w:rPr>
                <w:rFonts w:hint="eastAsia" w:ascii="宋体" w:hAnsi="宋体" w:eastAsia="宋体" w:cs="宋体"/>
                <w:caps w:val="0"/>
                <w:smallCaps w:val="0"/>
                <w:snapToGrid w:val="0"/>
                <w:color w:val="auto"/>
                <w:spacing w:val="0"/>
                <w:kern w:val="0"/>
                <w:sz w:val="24"/>
                <w:szCs w:val="24"/>
                <w:highlight w:val="none"/>
                <w:lang w:val="en-US" w:eastAsia="zh-CN"/>
              </w:rPr>
              <w:t>彩色扫描件，</w:t>
            </w:r>
            <w:r>
              <w:rPr>
                <w:rFonts w:hint="eastAsia" w:ascii="宋体" w:hAnsi="宋体" w:eastAsia="宋体" w:cs="宋体"/>
                <w:b/>
                <w:bCs/>
                <w:snapToGrid w:val="0"/>
                <w:color w:val="auto"/>
                <w:kern w:val="0"/>
                <w:sz w:val="24"/>
                <w:szCs w:val="24"/>
                <w:highlight w:val="none"/>
              </w:rPr>
              <w:t>同时提供原件供核对（职称证为电子证书打印件的除外）</w:t>
            </w:r>
            <w:r>
              <w:rPr>
                <w:rFonts w:hint="eastAsia" w:ascii="宋体" w:hAnsi="宋体" w:eastAsia="宋体" w:cs="宋体"/>
                <w:snapToGrid w:val="0"/>
                <w:color w:val="auto"/>
                <w:kern w:val="0"/>
                <w:sz w:val="24"/>
                <w:szCs w:val="24"/>
                <w:highlight w:val="none"/>
              </w:rPr>
              <w:t>。</w:t>
            </w:r>
          </w:p>
        </w:tc>
      </w:tr>
      <w:tr w14:paraId="4D3FFDC1">
        <w:tblPrEx>
          <w:tblCellMar>
            <w:top w:w="0" w:type="dxa"/>
            <w:left w:w="108" w:type="dxa"/>
            <w:bottom w:w="0" w:type="dxa"/>
            <w:right w:w="108" w:type="dxa"/>
          </w:tblCellMar>
        </w:tblPrEx>
        <w:trPr>
          <w:trHeight w:val="5268"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19897654">
            <w:pPr>
              <w:pStyle w:val="6"/>
              <w:pageBreakBefore w:val="0"/>
              <w:kinsoku/>
              <w:wordWrap w:val="0"/>
              <w:overflowPunct/>
              <w:topLinePunct w:val="0"/>
              <w:bidi w:val="0"/>
              <w:adjustRightInd w:val="0"/>
              <w:snapToGrid w:val="0"/>
              <w:spacing w:after="0" w:afterLines="0"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企业业绩</w:t>
            </w:r>
          </w:p>
          <w:p w14:paraId="3867ABDB">
            <w:pPr>
              <w:pStyle w:val="6"/>
              <w:keepNext w:val="0"/>
              <w:keepLines w:val="0"/>
              <w:pageBreakBefore w:val="0"/>
              <w:kinsoku/>
              <w:wordWrap w:val="0"/>
              <w:overflowPunct/>
              <w:topLinePunct w:val="0"/>
              <w:autoSpaceDE/>
              <w:autoSpaceDN/>
              <w:bidi w:val="0"/>
              <w:adjustRightInd w:val="0"/>
              <w:snapToGrid w:val="0"/>
              <w:spacing w:after="0"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分）</w:t>
            </w:r>
          </w:p>
          <w:p w14:paraId="0F18D884">
            <w:pPr>
              <w:pStyle w:val="6"/>
              <w:keepNext w:val="0"/>
              <w:keepLines w:val="0"/>
              <w:pageBreakBefore w:val="0"/>
              <w:kinsoku/>
              <w:wordWrap w:val="0"/>
              <w:overflowPunct/>
              <w:topLinePunct w:val="0"/>
              <w:autoSpaceDE/>
              <w:autoSpaceDN/>
              <w:bidi w:val="0"/>
              <w:adjustRightInd w:val="0"/>
              <w:snapToGrid w:val="0"/>
              <w:spacing w:after="0" w:line="360" w:lineRule="exact"/>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b/>
                <w:bCs/>
                <w:caps w:val="0"/>
                <w:smallCaps w:val="0"/>
                <w:snapToGrid w:val="0"/>
                <w:color w:val="auto"/>
                <w:spacing w:val="0"/>
                <w:kern w:val="0"/>
                <w:sz w:val="24"/>
                <w:szCs w:val="24"/>
                <w:highlight w:val="none"/>
                <w:lang w:val="en-US" w:eastAsia="zh-CN"/>
              </w:rPr>
              <w:t>（联合体任意一方提供）</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3FD43B07">
            <w:pPr>
              <w:pageBreakBefore w:val="0"/>
              <w:kinsoku/>
              <w:overflowPunct/>
              <w:topLinePunct w:val="0"/>
              <w:bidi w:val="0"/>
              <w:snapToGrid w:val="0"/>
              <w:spacing w:line="360" w:lineRule="auto"/>
              <w:ind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aps w:val="0"/>
                <w:smallCaps w:val="0"/>
                <w:snapToGrid w:val="0"/>
                <w:color w:val="auto"/>
                <w:spacing w:val="0"/>
                <w:kern w:val="0"/>
                <w:sz w:val="24"/>
                <w:szCs w:val="24"/>
                <w:highlight w:val="none"/>
              </w:rPr>
              <w:t>企业近</w:t>
            </w:r>
            <w:r>
              <w:rPr>
                <w:rFonts w:hint="eastAsia" w:ascii="宋体" w:hAnsi="宋体" w:eastAsia="宋体" w:cs="宋体"/>
                <w:caps w:val="0"/>
                <w:smallCaps w:val="0"/>
                <w:snapToGrid w:val="0"/>
                <w:color w:val="auto"/>
                <w:spacing w:val="0"/>
                <w:kern w:val="0"/>
                <w:sz w:val="24"/>
                <w:szCs w:val="24"/>
                <w:highlight w:val="none"/>
                <w:lang w:val="en-US" w:eastAsia="zh-CN"/>
              </w:rPr>
              <w:t>5</w:t>
            </w:r>
            <w:r>
              <w:rPr>
                <w:rFonts w:hint="eastAsia" w:ascii="宋体" w:hAnsi="宋体" w:eastAsia="宋体" w:cs="宋体"/>
                <w:caps w:val="0"/>
                <w:smallCaps w:val="0"/>
                <w:snapToGrid w:val="0"/>
                <w:color w:val="auto"/>
                <w:spacing w:val="0"/>
                <w:kern w:val="0"/>
                <w:sz w:val="24"/>
                <w:szCs w:val="24"/>
                <w:highlight w:val="none"/>
              </w:rPr>
              <w:t>年来（202</w:t>
            </w:r>
            <w:r>
              <w:rPr>
                <w:rFonts w:hint="eastAsia" w:ascii="宋体" w:hAnsi="宋体" w:eastAsia="宋体" w:cs="宋体"/>
                <w:caps w:val="0"/>
                <w:smallCaps w:val="0"/>
                <w:snapToGrid w:val="0"/>
                <w:color w:val="auto"/>
                <w:spacing w:val="0"/>
                <w:kern w:val="0"/>
                <w:sz w:val="24"/>
                <w:szCs w:val="24"/>
                <w:highlight w:val="none"/>
                <w:lang w:val="en-US" w:eastAsia="zh-CN"/>
              </w:rPr>
              <w:t>1</w:t>
            </w:r>
            <w:r>
              <w:rPr>
                <w:rFonts w:hint="eastAsia" w:ascii="宋体" w:hAnsi="宋体" w:eastAsia="宋体" w:cs="宋体"/>
                <w:caps w:val="0"/>
                <w:smallCaps w:val="0"/>
                <w:snapToGrid w:val="0"/>
                <w:color w:val="auto"/>
                <w:spacing w:val="0"/>
                <w:kern w:val="0"/>
                <w:sz w:val="24"/>
                <w:szCs w:val="24"/>
                <w:highlight w:val="none"/>
              </w:rPr>
              <w:t>年1月1日至今）</w:t>
            </w:r>
            <w:r>
              <w:rPr>
                <w:rFonts w:hint="eastAsia" w:ascii="宋体" w:hAnsi="宋体" w:eastAsia="宋体" w:cs="宋体"/>
                <w:color w:val="auto"/>
                <w:sz w:val="24"/>
                <w:szCs w:val="24"/>
                <w:highlight w:val="none"/>
              </w:rPr>
              <w:t>业绩情况：</w:t>
            </w:r>
          </w:p>
          <w:p w14:paraId="35492AEC">
            <w:pPr>
              <w:pStyle w:val="6"/>
              <w:wordWrap w:val="0"/>
              <w:adjustRightInd w:val="0"/>
              <w:snapToGrid w:val="0"/>
              <w:spacing w:after="0"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u w:val="single"/>
              </w:rPr>
              <w:t xml:space="preserve"> 承接 </w:t>
            </w:r>
            <w:r>
              <w:rPr>
                <w:rFonts w:hint="eastAsia" w:ascii="宋体" w:hAnsi="宋体" w:eastAsia="宋体" w:cs="宋体"/>
                <w:snapToGrid w:val="0"/>
                <w:color w:val="auto"/>
                <w:kern w:val="0"/>
                <w:sz w:val="24"/>
                <w:szCs w:val="24"/>
                <w:highlight w:val="none"/>
              </w:rPr>
              <w:t>过类似工程的，每个得</w:t>
            </w:r>
            <w:r>
              <w:rPr>
                <w:rFonts w:hint="eastAsia" w:ascii="宋体" w:hAnsi="宋体" w:eastAsia="宋体" w:cs="宋体"/>
                <w:snapToGrid w:val="0"/>
                <w:color w:val="auto"/>
                <w:kern w:val="0"/>
                <w:sz w:val="24"/>
                <w:szCs w:val="24"/>
                <w:highlight w:val="none"/>
                <w:u w:val="single"/>
              </w:rPr>
              <w:t xml:space="preserve"> 5</w:t>
            </w:r>
            <w:r>
              <w:rPr>
                <w:rFonts w:hint="eastAsia" w:ascii="宋体" w:hAnsi="宋体" w:eastAsia="宋体" w:cs="宋体"/>
                <w:snapToGrid w:val="0"/>
                <w:color w:val="auto"/>
                <w:kern w:val="0"/>
                <w:sz w:val="24"/>
                <w:szCs w:val="24"/>
                <w:highlight w:val="none"/>
              </w:rPr>
              <w:t>分。</w:t>
            </w:r>
          </w:p>
          <w:p w14:paraId="011C8848">
            <w:pPr>
              <w:pStyle w:val="6"/>
              <w:wordWrap w:val="0"/>
              <w:adjustRightInd w:val="0"/>
              <w:snapToGrid w:val="0"/>
              <w:spacing w:after="0"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2．未</w:t>
            </w:r>
            <w:r>
              <w:rPr>
                <w:rFonts w:hint="eastAsia" w:ascii="宋体" w:hAnsi="宋体" w:eastAsia="宋体" w:cs="宋体"/>
                <w:snapToGrid w:val="0"/>
                <w:color w:val="auto"/>
                <w:kern w:val="0"/>
                <w:sz w:val="24"/>
                <w:szCs w:val="24"/>
                <w:highlight w:val="none"/>
                <w:u w:val="single"/>
              </w:rPr>
              <w:t xml:space="preserve"> 承接 </w:t>
            </w:r>
            <w:r>
              <w:rPr>
                <w:rFonts w:hint="eastAsia" w:ascii="宋体" w:hAnsi="宋体" w:eastAsia="宋体" w:cs="宋体"/>
                <w:snapToGrid w:val="0"/>
                <w:color w:val="auto"/>
                <w:kern w:val="0"/>
                <w:sz w:val="24"/>
                <w:szCs w:val="24"/>
                <w:highlight w:val="none"/>
              </w:rPr>
              <w:t>过类似工程的，不予计分。</w:t>
            </w:r>
          </w:p>
          <w:p w14:paraId="4C401B03">
            <w:pPr>
              <w:pStyle w:val="6"/>
              <w:keepNext w:val="0"/>
              <w:keepLines w:val="0"/>
              <w:pageBreakBefore w:val="0"/>
              <w:widowControl w:val="0"/>
              <w:kinsoku/>
              <w:wordWrap w:val="0"/>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 w:val="24"/>
                <w:szCs w:val="24"/>
                <w:highlight w:val="none"/>
              </w:rPr>
              <w:t>3．本项最高得</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0分。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315D75F3">
            <w:pPr>
              <w:spacing w:line="360"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1.类似工程指：</w:t>
            </w:r>
            <w:r>
              <w:rPr>
                <w:rFonts w:hint="eastAsia" w:ascii="宋体" w:hAnsi="宋体" w:eastAsia="宋体" w:cs="宋体"/>
                <w:snapToGrid w:val="0"/>
                <w:color w:val="auto"/>
                <w:kern w:val="0"/>
                <w:sz w:val="24"/>
                <w:szCs w:val="24"/>
                <w:highlight w:val="none"/>
                <w:u w:val="single"/>
                <w:lang w:val="en-US" w:eastAsia="zh-CN"/>
              </w:rPr>
              <w:t>房屋建筑</w:t>
            </w:r>
            <w:r>
              <w:rPr>
                <w:rFonts w:hint="eastAsia" w:ascii="宋体" w:hAnsi="宋体" w:eastAsia="宋体" w:cs="宋体"/>
                <w:color w:val="auto"/>
                <w:kern w:val="0"/>
                <w:sz w:val="24"/>
                <w:szCs w:val="24"/>
                <w:highlight w:val="none"/>
                <w:u w:val="single"/>
                <w:lang w:val="en-US" w:eastAsia="zh-CN"/>
              </w:rPr>
              <w:t>类</w:t>
            </w:r>
            <w:r>
              <w:rPr>
                <w:rFonts w:hint="eastAsia" w:ascii="宋体" w:hAnsi="宋体" w:eastAsia="宋体" w:cs="宋体"/>
                <w:snapToGrid w:val="0"/>
                <w:color w:val="auto"/>
                <w:kern w:val="0"/>
                <w:sz w:val="24"/>
                <w:szCs w:val="24"/>
                <w:highlight w:val="none"/>
                <w:u w:val="single"/>
                <w:lang w:val="en-US" w:eastAsia="zh-CN"/>
              </w:rPr>
              <w:t>工程项目。</w:t>
            </w:r>
          </w:p>
          <w:p w14:paraId="46FA9EB8">
            <w:pPr>
              <w:pStyle w:val="6"/>
              <w:wordWrap w:val="0"/>
              <w:adjustRightInd w:val="0"/>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需附</w:t>
            </w:r>
            <w:r>
              <w:rPr>
                <w:rFonts w:hint="eastAsia" w:ascii="宋体" w:hAnsi="宋体" w:eastAsia="宋体" w:cs="宋体"/>
                <w:color w:val="auto"/>
                <w:sz w:val="24"/>
                <w:szCs w:val="24"/>
                <w:highlight w:val="none"/>
                <w:lang w:val="en-US" w:eastAsia="zh-CN"/>
              </w:rPr>
              <w:t>有关业绩</w:t>
            </w:r>
            <w:r>
              <w:rPr>
                <w:rFonts w:hint="eastAsia" w:ascii="宋体" w:hAnsi="宋体" w:eastAsia="宋体" w:cs="宋体"/>
                <w:snapToGrid w:val="0"/>
                <w:color w:val="auto"/>
                <w:kern w:val="0"/>
                <w:sz w:val="24"/>
                <w:szCs w:val="24"/>
                <w:highlight w:val="none"/>
              </w:rPr>
              <w:t>（仅限于</w:t>
            </w:r>
            <w:r>
              <w:rPr>
                <w:rFonts w:hint="eastAsia" w:ascii="宋体" w:hAnsi="宋体" w:eastAsia="宋体" w:cs="宋体"/>
                <w:snapToGrid w:val="0"/>
                <w:color w:val="auto"/>
                <w:kern w:val="0"/>
                <w:sz w:val="24"/>
                <w:szCs w:val="24"/>
                <w:highlight w:val="none"/>
                <w:lang w:val="en-US" w:eastAsia="zh-CN"/>
              </w:rPr>
              <w:t>以</w:t>
            </w:r>
            <w:r>
              <w:rPr>
                <w:rFonts w:hint="eastAsia" w:ascii="宋体" w:hAnsi="宋体" w:eastAsia="宋体" w:cs="宋体"/>
                <w:snapToGrid w:val="0"/>
                <w:color w:val="auto"/>
                <w:kern w:val="0"/>
                <w:sz w:val="24"/>
                <w:szCs w:val="24"/>
                <w:highlight w:val="none"/>
              </w:rPr>
              <w:t>施工</w:t>
            </w:r>
            <w:r>
              <w:rPr>
                <w:rFonts w:hint="eastAsia" w:ascii="宋体" w:hAnsi="宋体" w:eastAsia="宋体" w:cs="宋体"/>
                <w:snapToGrid w:val="0"/>
                <w:color w:val="auto"/>
                <w:kern w:val="0"/>
                <w:sz w:val="24"/>
                <w:szCs w:val="24"/>
                <w:highlight w:val="none"/>
                <w:u w:val="single"/>
              </w:rPr>
              <w:t xml:space="preserve"> 总承包单位 </w:t>
            </w:r>
            <w:r>
              <w:rPr>
                <w:rFonts w:hint="eastAsia" w:ascii="宋体" w:hAnsi="宋体" w:eastAsia="宋体" w:cs="宋体"/>
                <w:snapToGrid w:val="0"/>
                <w:color w:val="auto"/>
                <w:kern w:val="0"/>
                <w:sz w:val="24"/>
                <w:szCs w:val="24"/>
                <w:highlight w:val="none"/>
              </w:rPr>
              <w:t>身份</w:t>
            </w:r>
            <w:r>
              <w:rPr>
                <w:rFonts w:hint="eastAsia" w:ascii="宋体" w:hAnsi="宋体" w:eastAsia="宋体" w:cs="宋体"/>
                <w:snapToGrid w:val="0"/>
                <w:color w:val="auto"/>
                <w:kern w:val="0"/>
                <w:sz w:val="24"/>
                <w:szCs w:val="24"/>
                <w:highlight w:val="none"/>
                <w:lang w:val="en-US" w:eastAsia="zh-CN"/>
              </w:rPr>
              <w:t>承</w:t>
            </w:r>
            <w:r>
              <w:rPr>
                <w:rFonts w:hint="eastAsia" w:ascii="宋体" w:hAnsi="宋体" w:eastAsia="宋体" w:cs="宋体"/>
                <w:snapToGrid w:val="0"/>
                <w:color w:val="auto"/>
                <w:kern w:val="0"/>
                <w:sz w:val="24"/>
                <w:szCs w:val="24"/>
                <w:highlight w:val="none"/>
              </w:rPr>
              <w:t>建的项目）</w:t>
            </w:r>
            <w:r>
              <w:rPr>
                <w:rFonts w:hint="eastAsia" w:ascii="宋体" w:hAnsi="宋体" w:eastAsia="宋体" w:cs="宋体"/>
                <w:color w:val="auto"/>
                <w:sz w:val="24"/>
                <w:szCs w:val="24"/>
                <w:highlight w:val="none"/>
                <w:lang w:val="en-US" w:eastAsia="zh-CN"/>
              </w:rPr>
              <w:t>中标通知书或</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协议书</w:t>
            </w:r>
            <w:r>
              <w:rPr>
                <w:rFonts w:hint="eastAsia" w:ascii="宋体" w:hAnsi="宋体" w:eastAsia="宋体" w:cs="宋体"/>
                <w:color w:val="auto"/>
                <w:sz w:val="24"/>
                <w:szCs w:val="24"/>
                <w:highlight w:val="none"/>
              </w:rPr>
              <w:t>关键页</w:t>
            </w:r>
            <w:r>
              <w:rPr>
                <w:rFonts w:hint="eastAsia" w:ascii="宋体" w:hAnsi="宋体" w:eastAsia="宋体" w:cs="宋体"/>
                <w:color w:val="auto"/>
                <w:sz w:val="24"/>
                <w:szCs w:val="24"/>
                <w:highlight w:val="none"/>
                <w:lang w:val="en-US" w:eastAsia="zh-CN"/>
              </w:rPr>
              <w:t>的彩色扫描件（或打印件）</w:t>
            </w:r>
            <w:r>
              <w:rPr>
                <w:rFonts w:hint="eastAsia" w:ascii="宋体" w:hAnsi="宋体" w:eastAsia="宋体" w:cs="宋体"/>
                <w:snapToGrid w:val="0"/>
                <w:color w:val="auto"/>
                <w:kern w:val="0"/>
                <w:sz w:val="24"/>
                <w:szCs w:val="24"/>
                <w:highlight w:val="none"/>
              </w:rPr>
              <w:t>，</w:t>
            </w:r>
            <w:r>
              <w:rPr>
                <w:rFonts w:hint="eastAsia" w:ascii="宋体" w:hAnsi="宋体" w:eastAsia="宋体" w:cs="宋体"/>
                <w:b/>
                <w:bCs/>
                <w:snapToGrid w:val="0"/>
                <w:color w:val="auto"/>
                <w:kern w:val="0"/>
                <w:sz w:val="24"/>
                <w:szCs w:val="24"/>
                <w:highlight w:val="none"/>
              </w:rPr>
              <w:t>同时提供原件供核对</w:t>
            </w:r>
            <w:r>
              <w:rPr>
                <w:rFonts w:hint="eastAsia" w:ascii="宋体" w:hAnsi="宋体" w:eastAsia="宋体" w:cs="宋体"/>
                <w:snapToGrid w:val="0"/>
                <w:color w:val="auto"/>
                <w:kern w:val="0"/>
                <w:sz w:val="24"/>
                <w:szCs w:val="24"/>
                <w:highlight w:val="none"/>
              </w:rPr>
              <w:t>。</w:t>
            </w:r>
          </w:p>
          <w:p w14:paraId="5C65F924">
            <w:pPr>
              <w:pageBreakBefore w:val="0"/>
              <w:numPr>
                <w:ilvl w:val="0"/>
                <w:numId w:val="0"/>
              </w:numPr>
              <w:kinsoku/>
              <w:overflowPunct/>
              <w:topLinePunct w:val="0"/>
              <w:bidi w:val="0"/>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3.业绩</w:t>
            </w:r>
            <w:r>
              <w:rPr>
                <w:rFonts w:hint="eastAsia" w:ascii="宋体" w:hAnsi="宋体" w:eastAsia="宋体" w:cs="宋体"/>
                <w:color w:val="auto"/>
                <w:sz w:val="24"/>
                <w:szCs w:val="24"/>
                <w:highlight w:val="none"/>
              </w:rPr>
              <w:t>时间以</w:t>
            </w:r>
            <w:r>
              <w:rPr>
                <w:rFonts w:hint="eastAsia" w:ascii="宋体" w:hAnsi="宋体" w:eastAsia="宋体" w:cs="宋体"/>
                <w:color w:val="auto"/>
                <w:sz w:val="24"/>
                <w:szCs w:val="24"/>
                <w:highlight w:val="none"/>
                <w:lang w:val="en-US" w:eastAsia="zh-CN"/>
              </w:rPr>
              <w:t>中标通知书颁发或合同签署日期</w:t>
            </w:r>
            <w:r>
              <w:rPr>
                <w:rFonts w:hint="eastAsia" w:ascii="宋体" w:hAnsi="宋体" w:eastAsia="宋体" w:cs="宋体"/>
                <w:color w:val="auto"/>
                <w:sz w:val="24"/>
                <w:szCs w:val="24"/>
                <w:highlight w:val="none"/>
              </w:rPr>
              <w:t>为准。</w:t>
            </w:r>
          </w:p>
          <w:p w14:paraId="40CFD8AB">
            <w:pPr>
              <w:pStyle w:val="6"/>
              <w:keepNext w:val="0"/>
              <w:keepLines w:val="0"/>
              <w:pageBreakBefore w:val="0"/>
              <w:widowControl w:val="0"/>
              <w:kinsoku/>
              <w:wordWrap w:val="0"/>
              <w:overflowPunct/>
              <w:topLinePunct w:val="0"/>
              <w:autoSpaceDE/>
              <w:autoSpaceDN/>
              <w:bidi w:val="0"/>
              <w:adjustRightInd w:val="0"/>
              <w:snapToGrid w:val="0"/>
              <w:spacing w:after="0" w:afterLines="0" w:line="36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val="en-US" w:eastAsia="zh-CN"/>
              </w:rPr>
              <w:t>4.任一业绩有以下情形之一的，该业绩视为无效，不予计分</w:t>
            </w:r>
            <w:r>
              <w:rPr>
                <w:rFonts w:hint="eastAsia" w:ascii="宋体" w:hAnsi="宋体" w:eastAsia="宋体" w:cs="宋体"/>
                <w:caps w:val="0"/>
                <w:smallCaps w:val="0"/>
                <w:snapToGrid w:val="0"/>
                <w:color w:val="auto"/>
                <w:spacing w:val="0"/>
                <w:kern w:val="0"/>
                <w:sz w:val="24"/>
                <w:szCs w:val="24"/>
                <w:highlight w:val="none"/>
                <w:lang w:eastAsia="zh-CN"/>
              </w:rPr>
              <w:t>：</w:t>
            </w:r>
          </w:p>
          <w:p w14:paraId="3A70D950">
            <w:pPr>
              <w:pStyle w:val="6"/>
              <w:keepNext w:val="0"/>
              <w:keepLines w:val="0"/>
              <w:pageBreakBefore w:val="0"/>
              <w:widowControl w:val="0"/>
              <w:kinsoku/>
              <w:wordWrap w:val="0"/>
              <w:overflowPunct/>
              <w:topLinePunct w:val="0"/>
              <w:autoSpaceDE/>
              <w:autoSpaceDN/>
              <w:bidi w:val="0"/>
              <w:adjustRightInd w:val="0"/>
              <w:snapToGrid w:val="0"/>
              <w:spacing w:after="0" w:afterLines="0" w:line="36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eastAsia="zh-CN"/>
              </w:rPr>
              <w:t>①业绩不属于类似工程的；</w:t>
            </w:r>
          </w:p>
          <w:p w14:paraId="34AF1803">
            <w:pPr>
              <w:pStyle w:val="6"/>
              <w:keepNext w:val="0"/>
              <w:keepLines w:val="0"/>
              <w:pageBreakBefore w:val="0"/>
              <w:widowControl w:val="0"/>
              <w:kinsoku/>
              <w:wordWrap w:val="0"/>
              <w:overflowPunct/>
              <w:topLinePunct w:val="0"/>
              <w:autoSpaceDE/>
              <w:autoSpaceDN/>
              <w:bidi w:val="0"/>
              <w:adjustRightInd w:val="0"/>
              <w:snapToGrid w:val="0"/>
              <w:spacing w:after="0" w:afterLines="0" w:line="36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eastAsia="zh-CN"/>
              </w:rPr>
              <w:t>②</w:t>
            </w:r>
            <w:r>
              <w:rPr>
                <w:rFonts w:hint="eastAsia" w:ascii="宋体" w:hAnsi="宋体" w:eastAsia="宋体" w:cs="宋体"/>
                <w:snapToGrid w:val="0"/>
                <w:color w:val="auto"/>
                <w:kern w:val="0"/>
                <w:sz w:val="24"/>
                <w:szCs w:val="24"/>
                <w:highlight w:val="none"/>
              </w:rPr>
              <w:t>不是以指定身份参建的</w:t>
            </w:r>
            <w:r>
              <w:rPr>
                <w:rFonts w:hint="eastAsia" w:ascii="宋体" w:hAnsi="宋体" w:eastAsia="宋体" w:cs="宋体"/>
                <w:caps w:val="0"/>
                <w:smallCaps w:val="0"/>
                <w:snapToGrid w:val="0"/>
                <w:color w:val="auto"/>
                <w:spacing w:val="0"/>
                <w:kern w:val="0"/>
                <w:sz w:val="24"/>
                <w:szCs w:val="24"/>
                <w:highlight w:val="none"/>
                <w:lang w:eastAsia="zh-CN"/>
              </w:rPr>
              <w:t>；</w:t>
            </w:r>
          </w:p>
          <w:p w14:paraId="57962765">
            <w:pPr>
              <w:pStyle w:val="6"/>
              <w:keepNext w:val="0"/>
              <w:keepLines w:val="0"/>
              <w:pageBreakBefore w:val="0"/>
              <w:widowControl w:val="0"/>
              <w:kinsoku/>
              <w:wordWrap w:val="0"/>
              <w:overflowPunct/>
              <w:topLinePunct w:val="0"/>
              <w:autoSpaceDE/>
              <w:autoSpaceDN/>
              <w:bidi w:val="0"/>
              <w:adjustRightInd w:val="0"/>
              <w:snapToGrid w:val="0"/>
              <w:spacing w:after="0" w:afterLines="0" w:line="36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rPr>
            </w:pPr>
            <w:r>
              <w:rPr>
                <w:rFonts w:hint="eastAsia" w:ascii="宋体" w:hAnsi="宋体" w:eastAsia="宋体" w:cs="宋体"/>
                <w:caps w:val="0"/>
                <w:smallCaps w:val="0"/>
                <w:snapToGrid w:val="0"/>
                <w:color w:val="auto"/>
                <w:spacing w:val="0"/>
                <w:kern w:val="0"/>
                <w:sz w:val="24"/>
                <w:szCs w:val="24"/>
                <w:highlight w:val="none"/>
                <w:lang w:eastAsia="zh-CN"/>
              </w:rPr>
              <w:t>③</w:t>
            </w:r>
            <w:r>
              <w:rPr>
                <w:rFonts w:hint="eastAsia" w:ascii="宋体" w:hAnsi="宋体" w:eastAsia="宋体" w:cs="宋体"/>
                <w:caps w:val="0"/>
                <w:smallCaps w:val="0"/>
                <w:snapToGrid w:val="0"/>
                <w:color w:val="auto"/>
                <w:spacing w:val="0"/>
                <w:kern w:val="0"/>
                <w:sz w:val="24"/>
                <w:szCs w:val="24"/>
                <w:highlight w:val="none"/>
                <w:lang w:val="en-US" w:eastAsia="zh-CN"/>
              </w:rPr>
              <w:t>业绩时间不符合要求的。</w:t>
            </w:r>
          </w:p>
          <w:p w14:paraId="6D694E49">
            <w:pPr>
              <w:pStyle w:val="6"/>
              <w:keepNext w:val="0"/>
              <w:keepLines w:val="0"/>
              <w:pageBreakBefore w:val="0"/>
              <w:widowControl w:val="0"/>
              <w:kinsoku/>
              <w:wordWrap w:val="0"/>
              <w:overflowPunct/>
              <w:topLinePunct w:val="0"/>
              <w:autoSpaceDE/>
              <w:autoSpaceDN/>
              <w:bidi w:val="0"/>
              <w:adjustRightInd w:val="0"/>
              <w:snapToGrid w:val="0"/>
              <w:spacing w:after="0" w:afterLines="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caps w:val="0"/>
                <w:smallCaps w:val="0"/>
                <w:snapToGrid w:val="0"/>
                <w:color w:val="auto"/>
                <w:spacing w:val="0"/>
                <w:kern w:val="0"/>
                <w:sz w:val="24"/>
                <w:szCs w:val="24"/>
                <w:highlight w:val="none"/>
                <w:lang w:val="en-US" w:eastAsia="zh-CN"/>
              </w:rPr>
              <w:t>④未提供业绩证明材料原件的。</w:t>
            </w:r>
          </w:p>
        </w:tc>
      </w:tr>
      <w:tr w14:paraId="0B330CD4">
        <w:tblPrEx>
          <w:tblCellMar>
            <w:top w:w="0" w:type="dxa"/>
            <w:left w:w="108" w:type="dxa"/>
            <w:bottom w:w="0" w:type="dxa"/>
            <w:right w:w="108" w:type="dxa"/>
          </w:tblCellMar>
        </w:tblPrEx>
        <w:trPr>
          <w:trHeight w:val="4832"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4A648FD8">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企业银行</w:t>
            </w:r>
          </w:p>
          <w:p w14:paraId="7665FFC0">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资信评级</w:t>
            </w:r>
          </w:p>
          <w:p w14:paraId="7C5948BC">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w:t>
            </w:r>
          </w:p>
          <w:p w14:paraId="48724BCC">
            <w:pPr>
              <w:pStyle w:val="4"/>
              <w:rPr>
                <w:rFonts w:hint="eastAsia"/>
                <w:color w:val="auto"/>
                <w:highlight w:val="none"/>
                <w:lang w:eastAsia="zh-CN"/>
              </w:rPr>
            </w:pPr>
            <w:r>
              <w:rPr>
                <w:rFonts w:hint="eastAsia" w:ascii="宋体" w:hAnsi="宋体" w:eastAsia="宋体" w:cs="宋体"/>
                <w:b/>
                <w:bCs/>
                <w:caps w:val="0"/>
                <w:smallCaps w:val="0"/>
                <w:snapToGrid w:val="0"/>
                <w:color w:val="auto"/>
                <w:spacing w:val="0"/>
                <w:kern w:val="0"/>
                <w:sz w:val="24"/>
                <w:szCs w:val="24"/>
                <w:highlight w:val="none"/>
                <w:lang w:val="en-US" w:eastAsia="zh-CN"/>
              </w:rPr>
              <w:t>（联合体任意一方提供）</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6FAEA37F">
            <w:pPr>
              <w:pStyle w:val="6"/>
              <w:wordWrap w:val="0"/>
              <w:spacing w:before="0" w:beforeAutospacing="0" w:after="0"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1．银行资信评级</w:t>
            </w:r>
            <w:r>
              <w:rPr>
                <w:rFonts w:hint="eastAsia" w:ascii="宋体" w:hAnsi="宋体" w:eastAsia="宋体" w:cs="宋体"/>
                <w:color w:val="auto"/>
                <w:kern w:val="0"/>
                <w:sz w:val="24"/>
                <w:szCs w:val="24"/>
                <w:highlight w:val="none"/>
                <w:u w:val="single"/>
              </w:rPr>
              <w:t>AAA</w:t>
            </w:r>
            <w:r>
              <w:rPr>
                <w:rFonts w:hint="eastAsia" w:ascii="宋体" w:hAnsi="宋体" w:eastAsia="宋体" w:cs="宋体"/>
                <w:color w:val="auto"/>
                <w:kern w:val="0"/>
                <w:sz w:val="24"/>
                <w:szCs w:val="24"/>
                <w:highlight w:val="none"/>
              </w:rPr>
              <w:t>的，得</w:t>
            </w:r>
            <w:r>
              <w:rPr>
                <w:rFonts w:hint="eastAsia" w:ascii="宋体" w:hAnsi="宋体" w:eastAsia="宋体" w:cs="宋体"/>
                <w:color w:val="auto"/>
                <w:kern w:val="0"/>
                <w:sz w:val="24"/>
                <w:szCs w:val="24"/>
                <w:highlight w:val="none"/>
                <w:u w:val="single"/>
              </w:rPr>
              <w:t xml:space="preserve"> 5 </w:t>
            </w:r>
            <w:r>
              <w:rPr>
                <w:rFonts w:hint="eastAsia" w:ascii="宋体" w:hAnsi="宋体" w:eastAsia="宋体" w:cs="宋体"/>
                <w:color w:val="auto"/>
                <w:kern w:val="0"/>
                <w:sz w:val="24"/>
                <w:szCs w:val="24"/>
                <w:highlight w:val="none"/>
              </w:rPr>
              <w:t>分；</w:t>
            </w:r>
          </w:p>
          <w:p w14:paraId="40C5668F">
            <w:pPr>
              <w:pStyle w:val="6"/>
              <w:wordWrap w:val="0"/>
              <w:spacing w:before="0" w:beforeAutospacing="0" w:after="0"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2．银行资信评级AA（含AA＋、AA－）的，得</w:t>
            </w:r>
            <w:r>
              <w:rPr>
                <w:rFonts w:hint="eastAsia" w:ascii="宋体" w:hAnsi="宋体" w:eastAsia="宋体" w:cs="宋体"/>
                <w:color w:val="auto"/>
                <w:kern w:val="0"/>
                <w:sz w:val="24"/>
                <w:szCs w:val="24"/>
                <w:highlight w:val="none"/>
                <w:u w:val="single"/>
              </w:rPr>
              <w:t>4</w:t>
            </w:r>
            <w:r>
              <w:rPr>
                <w:rFonts w:hint="eastAsia" w:ascii="宋体" w:hAnsi="宋体" w:eastAsia="宋体" w:cs="宋体"/>
                <w:color w:val="auto"/>
                <w:kern w:val="0"/>
                <w:sz w:val="24"/>
                <w:szCs w:val="24"/>
                <w:highlight w:val="none"/>
              </w:rPr>
              <w:t>分。</w:t>
            </w:r>
          </w:p>
          <w:p w14:paraId="4BCDB3AC">
            <w:pPr>
              <w:pStyle w:val="6"/>
              <w:wordWrap w:val="0"/>
              <w:spacing w:before="0" w:beforeAutospacing="0" w:after="0"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3．银行资信评级A（含A＋、A－）的，得</w:t>
            </w:r>
            <w:r>
              <w:rPr>
                <w:rFonts w:hint="eastAsia" w:ascii="宋体" w:hAnsi="宋体" w:eastAsia="宋体" w:cs="宋体"/>
                <w:color w:val="auto"/>
                <w:kern w:val="0"/>
                <w:sz w:val="24"/>
                <w:szCs w:val="24"/>
                <w:highlight w:val="none"/>
                <w:u w:val="single"/>
              </w:rPr>
              <w:t>3</w:t>
            </w:r>
            <w:r>
              <w:rPr>
                <w:rFonts w:hint="eastAsia" w:ascii="宋体" w:hAnsi="宋体" w:eastAsia="宋体" w:cs="宋体"/>
                <w:color w:val="auto"/>
                <w:kern w:val="0"/>
                <w:sz w:val="24"/>
                <w:szCs w:val="24"/>
                <w:highlight w:val="none"/>
              </w:rPr>
              <w:t>分。</w:t>
            </w:r>
          </w:p>
          <w:p w14:paraId="7C6FF03D">
            <w:pPr>
              <w:pStyle w:val="6"/>
              <w:wordWrap w:val="0"/>
              <w:spacing w:before="0" w:beforeAutospacing="0" w:after="0" w:line="400" w:lineRule="exact"/>
              <w:rPr>
                <w:rFonts w:hint="eastAsia" w:asciiTheme="minorEastAsia" w:hAnsiTheme="minorEastAsia" w:eastAsiaTheme="minorEastAsia" w:cstheme="minorEastAsia"/>
                <w:snapToGrid/>
                <w:color w:val="auto"/>
                <w:kern w:val="2"/>
                <w:sz w:val="21"/>
                <w:szCs w:val="21"/>
                <w:highlight w:val="none"/>
                <w:lang w:eastAsia="zh-CN"/>
              </w:rPr>
            </w:pPr>
            <w:r>
              <w:rPr>
                <w:rFonts w:hint="eastAsia" w:ascii="宋体" w:hAnsi="宋体" w:eastAsia="宋体" w:cs="宋体"/>
                <w:color w:val="auto"/>
                <w:kern w:val="0"/>
                <w:sz w:val="24"/>
                <w:szCs w:val="24"/>
                <w:highlight w:val="none"/>
              </w:rPr>
              <w:t>4．未获得过以上评级的，或评级证书无效的，不予计分。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103DAAFA">
            <w:pPr>
              <w:pStyle w:val="6"/>
              <w:wordWrap w:val="0"/>
              <w:spacing w:before="0" w:beforeAutospacing="0" w:after="0"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1．需附在有效期内的资信评级证书（证明）彩色扫描件，</w:t>
            </w:r>
            <w:r>
              <w:rPr>
                <w:rFonts w:hint="eastAsia" w:ascii="宋体" w:hAnsi="宋体" w:eastAsia="宋体" w:cs="宋体"/>
                <w:b/>
                <w:bCs/>
                <w:color w:val="auto"/>
                <w:kern w:val="0"/>
                <w:sz w:val="24"/>
                <w:szCs w:val="24"/>
                <w:highlight w:val="none"/>
              </w:rPr>
              <w:t>同时提供原件供核对</w:t>
            </w:r>
            <w:r>
              <w:rPr>
                <w:rFonts w:hint="eastAsia" w:ascii="宋体" w:hAnsi="宋体" w:eastAsia="宋体" w:cs="宋体"/>
                <w:color w:val="auto"/>
                <w:kern w:val="0"/>
                <w:sz w:val="24"/>
                <w:szCs w:val="24"/>
                <w:highlight w:val="none"/>
              </w:rPr>
              <w:t>。</w:t>
            </w:r>
          </w:p>
          <w:p w14:paraId="54BF84F4">
            <w:pPr>
              <w:pStyle w:val="6"/>
              <w:wordWrap w:val="0"/>
              <w:spacing w:before="0" w:beforeAutospacing="0" w:after="0"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2．评级证书（证明）须由企业基本账户开户银行/市级或以上金融机构/市级或以上国有银行/金融机构出具。</w:t>
            </w:r>
          </w:p>
          <w:p w14:paraId="2C09E6B6">
            <w:pPr>
              <w:pStyle w:val="6"/>
              <w:wordWrap w:val="0"/>
              <w:spacing w:before="0" w:beforeAutospacing="0" w:after="0"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3．评级证书（证明）有以下情形之一的，视为无效：</w:t>
            </w:r>
          </w:p>
          <w:p w14:paraId="33A70061">
            <w:pPr>
              <w:pStyle w:val="6"/>
              <w:wordWrap w:val="0"/>
              <w:spacing w:before="0" w:beforeAutospacing="0" w:after="0"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①未提供评级证书（证明）原件的；</w:t>
            </w:r>
          </w:p>
          <w:p w14:paraId="27485161">
            <w:pPr>
              <w:pStyle w:val="6"/>
              <w:wordWrap w:val="0"/>
              <w:spacing w:before="0" w:beforeAutospacing="0" w:after="0"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②评级证书（证明）不在有效期内的；</w:t>
            </w:r>
          </w:p>
          <w:p w14:paraId="0C599AEA">
            <w:pPr>
              <w:pStyle w:val="6"/>
              <w:wordWrap w:val="0"/>
              <w:spacing w:before="0" w:beforeAutospacing="0" w:after="0" w:line="400" w:lineRule="exac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color w:val="auto"/>
                <w:kern w:val="0"/>
                <w:sz w:val="24"/>
                <w:szCs w:val="24"/>
                <w:highlight w:val="none"/>
              </w:rPr>
              <w:t>③出具机构不符合要求的。</w:t>
            </w:r>
          </w:p>
        </w:tc>
      </w:tr>
      <w:tr w14:paraId="008689E8">
        <w:tblPrEx>
          <w:tblCellMar>
            <w:top w:w="0" w:type="dxa"/>
            <w:left w:w="108" w:type="dxa"/>
            <w:bottom w:w="0" w:type="dxa"/>
            <w:right w:w="108" w:type="dxa"/>
          </w:tblCellMar>
        </w:tblPrEx>
        <w:trPr>
          <w:trHeight w:val="3461"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5ACFAD5B">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企业管理</w:t>
            </w:r>
          </w:p>
          <w:p w14:paraId="101E07B3">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体系认证</w:t>
            </w:r>
          </w:p>
          <w:p w14:paraId="3BBBDE32">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p w14:paraId="2F791B9E">
            <w:pPr>
              <w:pStyle w:val="4"/>
              <w:rPr>
                <w:rFonts w:hint="eastAsia"/>
                <w:color w:val="auto"/>
                <w:highlight w:val="none"/>
                <w:lang w:eastAsia="zh-CN"/>
              </w:rPr>
            </w:pPr>
            <w:r>
              <w:rPr>
                <w:rFonts w:hint="eastAsia" w:ascii="宋体" w:hAnsi="宋体" w:eastAsia="宋体" w:cs="宋体"/>
                <w:b/>
                <w:bCs/>
                <w:caps w:val="0"/>
                <w:smallCaps w:val="0"/>
                <w:snapToGrid w:val="0"/>
                <w:color w:val="auto"/>
                <w:spacing w:val="0"/>
                <w:kern w:val="0"/>
                <w:sz w:val="24"/>
                <w:szCs w:val="24"/>
                <w:highlight w:val="none"/>
                <w:lang w:val="en-US" w:eastAsia="zh-CN"/>
              </w:rPr>
              <w:t>（联合体任意一方提供）</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19D83608">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质量管理体系认证、职业健康安全管理体系认证、环境管理体系认证</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每</w:t>
            </w:r>
            <w:r>
              <w:rPr>
                <w:rFonts w:hint="eastAsia" w:ascii="宋体" w:hAnsi="宋体" w:eastAsia="宋体" w:cs="宋体"/>
                <w:color w:val="auto"/>
                <w:sz w:val="24"/>
                <w:szCs w:val="24"/>
                <w:highlight w:val="none"/>
                <w:lang w:eastAsia="zh-CN"/>
              </w:rPr>
              <w:t>获得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项认证</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；最高得</w:t>
            </w:r>
            <w:r>
              <w:rPr>
                <w:rFonts w:hint="eastAsia" w:ascii="宋体" w:hAnsi="宋体" w:eastAsia="宋体" w:cs="宋体"/>
                <w:color w:val="auto"/>
                <w:sz w:val="24"/>
                <w:szCs w:val="24"/>
                <w:highlight w:val="none"/>
                <w:lang w:val="en-US" w:eastAsia="zh-CN"/>
              </w:rPr>
              <w:t>9分。</w:t>
            </w:r>
          </w:p>
          <w:p w14:paraId="3A8579B7">
            <w:pPr>
              <w:keepNext w:val="0"/>
              <w:keepLines w:val="0"/>
              <w:pageBreakBefore w:val="0"/>
              <w:widowControl w:val="0"/>
              <w:kinsoku/>
              <w:overflowPunct/>
              <w:topLinePunct w:val="0"/>
              <w:autoSpaceDE/>
              <w:autoSpaceDN/>
              <w:bidi w:val="0"/>
              <w:snapToGrid/>
              <w:spacing w:line="360" w:lineRule="exac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color w:val="auto"/>
                <w:sz w:val="24"/>
                <w:szCs w:val="24"/>
                <w:highlight w:val="none"/>
                <w:lang w:val="en-US" w:eastAsia="zh-CN"/>
              </w:rPr>
              <w:t>2.未获得以上认证的，不予计分。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16FCF0A9">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需附在有效期内的认证证书</w:t>
            </w:r>
            <w:r>
              <w:rPr>
                <w:rFonts w:hint="eastAsia" w:ascii="宋体" w:hAnsi="宋体" w:eastAsia="宋体" w:cs="宋体"/>
                <w:color w:val="auto"/>
                <w:sz w:val="24"/>
                <w:szCs w:val="24"/>
                <w:highlight w:val="none"/>
                <w:lang w:eastAsia="zh-CN"/>
              </w:rPr>
              <w:t>彩色扫描件</w:t>
            </w:r>
            <w:r>
              <w:rPr>
                <w:rFonts w:hint="eastAsia" w:ascii="宋体" w:hAnsi="宋体" w:eastAsia="宋体" w:cs="宋体"/>
                <w:color w:val="auto"/>
                <w:sz w:val="24"/>
                <w:szCs w:val="24"/>
                <w:highlight w:val="none"/>
              </w:rPr>
              <w:t>，同时提供原件供核对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证书为电子证书的除外）</w:t>
            </w:r>
            <w:r>
              <w:rPr>
                <w:rFonts w:hint="eastAsia" w:ascii="宋体" w:hAnsi="宋体" w:eastAsia="宋体" w:cs="宋体"/>
                <w:color w:val="auto"/>
                <w:sz w:val="24"/>
                <w:szCs w:val="24"/>
                <w:highlight w:val="none"/>
              </w:rPr>
              <w:t>。</w:t>
            </w:r>
          </w:p>
          <w:p w14:paraId="06DB6BD2">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任一认证证书有以下情形之一的，该认证证书视为无效，不予计分：</w:t>
            </w:r>
          </w:p>
          <w:p w14:paraId="1B159C10">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①未提供认证证书原件的；</w:t>
            </w:r>
          </w:p>
          <w:p w14:paraId="1D60CC40">
            <w:pPr>
              <w:keepNext w:val="0"/>
              <w:keepLines w:val="0"/>
              <w:pageBreakBefore w:val="0"/>
              <w:widowControl w:val="0"/>
              <w:kinsoku/>
              <w:overflowPunct/>
              <w:topLinePunct w:val="0"/>
              <w:autoSpaceDE/>
              <w:autoSpaceDN/>
              <w:bidi w:val="0"/>
              <w:snapToGrid/>
              <w:spacing w:line="360" w:lineRule="exac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color w:val="auto"/>
                <w:sz w:val="24"/>
                <w:szCs w:val="24"/>
                <w:highlight w:val="none"/>
              </w:rPr>
              <w:t>②认证证书不在有效期内的。</w:t>
            </w:r>
          </w:p>
        </w:tc>
      </w:tr>
      <w:tr w14:paraId="71EE4CF0">
        <w:tblPrEx>
          <w:tblCellMar>
            <w:top w:w="0" w:type="dxa"/>
            <w:left w:w="108" w:type="dxa"/>
            <w:bottom w:w="0" w:type="dxa"/>
            <w:right w:w="108" w:type="dxa"/>
          </w:tblCellMar>
        </w:tblPrEx>
        <w:trPr>
          <w:trHeight w:val="568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77AF47D1">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w:t>
            </w:r>
          </w:p>
          <w:p w14:paraId="496FF8C5">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财务状况</w:t>
            </w:r>
          </w:p>
          <w:p w14:paraId="5C8A95B6">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06AFFCCB">
            <w:pPr>
              <w:pStyle w:val="4"/>
              <w:rPr>
                <w:rFonts w:hint="eastAsia"/>
                <w:color w:val="auto"/>
                <w:highlight w:val="none"/>
                <w:lang w:eastAsia="zh-CN"/>
              </w:rPr>
            </w:pPr>
            <w:r>
              <w:rPr>
                <w:rFonts w:hint="eastAsia" w:ascii="宋体" w:hAnsi="宋体" w:eastAsia="宋体" w:cs="宋体"/>
                <w:b/>
                <w:bCs/>
                <w:caps w:val="0"/>
                <w:smallCaps w:val="0"/>
                <w:snapToGrid w:val="0"/>
                <w:color w:val="auto"/>
                <w:spacing w:val="0"/>
                <w:kern w:val="0"/>
                <w:sz w:val="24"/>
                <w:szCs w:val="24"/>
                <w:highlight w:val="none"/>
                <w:lang w:val="en-US" w:eastAsia="zh-CN"/>
              </w:rPr>
              <w:t>（联合体任意一方提供）</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13C39731">
            <w:pPr>
              <w:pStyle w:val="6"/>
              <w:keepNext w:val="0"/>
              <w:keepLines w:val="0"/>
              <w:pageBreakBefore w:val="0"/>
              <w:widowControl w:val="0"/>
              <w:kinsoku/>
              <w:wordWrap w:val="0"/>
              <w:overflowPunct/>
              <w:topLinePunct w:val="0"/>
              <w:autoSpaceDE/>
              <w:autoSpaceDN/>
              <w:bidi w:val="0"/>
              <w:adjustRightInd w:val="0"/>
              <w:snapToGrid w:val="0"/>
              <w:spacing w:after="0" w:afterLines="0" w:line="40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1.提供不少于</w:t>
            </w:r>
            <w:r>
              <w:rPr>
                <w:rFonts w:hint="eastAsia" w:ascii="宋体" w:hAnsi="宋体" w:eastAsia="宋体" w:cs="宋体"/>
                <w:snapToGrid w:val="0"/>
                <w:color w:val="auto"/>
                <w:kern w:val="0"/>
                <w:sz w:val="24"/>
                <w:szCs w:val="24"/>
                <w:highlight w:val="none"/>
                <w:u w:val="single"/>
                <w:lang w:val="en-US" w:eastAsia="zh-CN" w:bidi="ar-SA"/>
              </w:rPr>
              <w:t>50</w:t>
            </w:r>
            <w:r>
              <w:rPr>
                <w:rFonts w:hint="eastAsia" w:ascii="宋体" w:hAnsi="宋体" w:eastAsia="宋体" w:cs="宋体"/>
                <w:snapToGrid w:val="0"/>
                <w:color w:val="auto"/>
                <w:kern w:val="0"/>
                <w:sz w:val="24"/>
                <w:szCs w:val="24"/>
                <w:highlight w:val="none"/>
                <w:lang w:val="en-US" w:eastAsia="zh-CN" w:bidi="ar-SA"/>
              </w:rPr>
              <w:t>万元银行授信证明的，得</w:t>
            </w:r>
            <w:r>
              <w:rPr>
                <w:rFonts w:hint="eastAsia" w:ascii="宋体" w:hAnsi="宋体" w:eastAsia="宋体" w:cs="宋体"/>
                <w:snapToGrid w:val="0"/>
                <w:color w:val="auto"/>
                <w:kern w:val="0"/>
                <w:sz w:val="24"/>
                <w:szCs w:val="24"/>
                <w:highlight w:val="none"/>
                <w:u w:val="single"/>
                <w:lang w:val="en-US" w:eastAsia="zh-CN" w:bidi="ar-SA"/>
              </w:rPr>
              <w:t xml:space="preserve"> 3 </w:t>
            </w:r>
            <w:r>
              <w:rPr>
                <w:rFonts w:hint="eastAsia" w:ascii="宋体" w:hAnsi="宋体" w:eastAsia="宋体" w:cs="宋体"/>
                <w:snapToGrid w:val="0"/>
                <w:color w:val="auto"/>
                <w:kern w:val="0"/>
                <w:sz w:val="24"/>
                <w:szCs w:val="24"/>
                <w:highlight w:val="none"/>
                <w:lang w:val="en-US" w:eastAsia="zh-CN" w:bidi="ar-SA"/>
              </w:rPr>
              <w:t>分。</w:t>
            </w:r>
          </w:p>
          <w:p w14:paraId="0E63BF2D">
            <w:pPr>
              <w:pStyle w:val="6"/>
              <w:keepNext w:val="0"/>
              <w:keepLines w:val="0"/>
              <w:pageBreakBefore w:val="0"/>
              <w:widowControl w:val="0"/>
              <w:kinsoku/>
              <w:wordWrap w:val="0"/>
              <w:overflowPunct/>
              <w:topLinePunct w:val="0"/>
              <w:autoSpaceDE/>
              <w:autoSpaceDN/>
              <w:bidi w:val="0"/>
              <w:adjustRightInd w:val="0"/>
              <w:snapToGrid w:val="0"/>
              <w:spacing w:after="0" w:afterLines="0" w:line="40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2.提供投标人基本账户在本项目招标公告发布之日起至投标截止时间期间出现过至少连续3日不少于</w:t>
            </w:r>
            <w:r>
              <w:rPr>
                <w:rFonts w:hint="eastAsia" w:ascii="宋体" w:hAnsi="宋体" w:eastAsia="宋体" w:cs="宋体"/>
                <w:snapToGrid w:val="0"/>
                <w:color w:val="auto"/>
                <w:kern w:val="0"/>
                <w:sz w:val="24"/>
                <w:szCs w:val="24"/>
                <w:highlight w:val="none"/>
                <w:u w:val="single"/>
                <w:lang w:val="en-US" w:eastAsia="zh-CN" w:bidi="ar-SA"/>
              </w:rPr>
              <w:t>50</w:t>
            </w:r>
            <w:r>
              <w:rPr>
                <w:rFonts w:hint="eastAsia" w:ascii="宋体" w:hAnsi="宋体" w:eastAsia="宋体" w:cs="宋体"/>
                <w:snapToGrid w:val="0"/>
                <w:color w:val="auto"/>
                <w:kern w:val="0"/>
                <w:sz w:val="24"/>
                <w:szCs w:val="24"/>
                <w:highlight w:val="none"/>
                <w:lang w:val="en-US" w:eastAsia="zh-CN" w:bidi="ar-SA"/>
              </w:rPr>
              <w:t>万元存款余额资金流水证明的，得</w:t>
            </w:r>
            <w:r>
              <w:rPr>
                <w:rFonts w:hint="eastAsia" w:ascii="宋体" w:hAnsi="宋体" w:eastAsia="宋体" w:cs="宋体"/>
                <w:snapToGrid w:val="0"/>
                <w:color w:val="auto"/>
                <w:kern w:val="0"/>
                <w:sz w:val="24"/>
                <w:szCs w:val="24"/>
                <w:highlight w:val="none"/>
                <w:u w:val="single"/>
                <w:lang w:val="en-US" w:eastAsia="zh-CN" w:bidi="ar-SA"/>
              </w:rPr>
              <w:t>3</w:t>
            </w:r>
            <w:r>
              <w:rPr>
                <w:rFonts w:hint="eastAsia" w:ascii="宋体" w:hAnsi="宋体" w:eastAsia="宋体" w:cs="宋体"/>
                <w:snapToGrid w:val="0"/>
                <w:color w:val="auto"/>
                <w:kern w:val="0"/>
                <w:sz w:val="24"/>
                <w:szCs w:val="24"/>
                <w:highlight w:val="none"/>
                <w:lang w:val="en-US" w:eastAsia="zh-CN" w:bidi="ar-SA"/>
              </w:rPr>
              <w:t>分。</w:t>
            </w:r>
          </w:p>
          <w:p w14:paraId="1AC89C39">
            <w:pPr>
              <w:pStyle w:val="6"/>
              <w:keepNext w:val="0"/>
              <w:keepLines w:val="0"/>
              <w:pageBreakBefore w:val="0"/>
              <w:widowControl w:val="0"/>
              <w:kinsoku/>
              <w:wordWrap w:val="0"/>
              <w:overflowPunct/>
              <w:topLinePunct w:val="0"/>
              <w:autoSpaceDE/>
              <w:autoSpaceDN/>
              <w:bidi w:val="0"/>
              <w:adjustRightInd w:val="0"/>
              <w:snapToGrid w:val="0"/>
              <w:spacing w:after="0" w:afterLines="0" w:line="400" w:lineRule="exact"/>
              <w:textAlignment w:val="auto"/>
              <w:rPr>
                <w:rFonts w:hint="eastAsia" w:asciiTheme="minorEastAsia" w:hAnsiTheme="minorEastAsia" w:eastAsiaTheme="minorEastAsia" w:cstheme="minorEastAsia"/>
                <w:snapToGrid/>
                <w:color w:val="auto"/>
                <w:kern w:val="2"/>
                <w:sz w:val="21"/>
                <w:szCs w:val="21"/>
                <w:highlight w:val="none"/>
                <w:lang w:eastAsia="zh-CN"/>
              </w:rPr>
            </w:pPr>
          </w:p>
        </w:tc>
        <w:tc>
          <w:tcPr>
            <w:tcW w:w="5358" w:type="dxa"/>
            <w:tcBorders>
              <w:top w:val="single" w:color="auto" w:sz="4" w:space="0"/>
              <w:left w:val="single" w:color="auto" w:sz="4" w:space="0"/>
              <w:bottom w:val="single" w:color="auto" w:sz="4" w:space="0"/>
              <w:right w:val="single" w:color="auto" w:sz="4" w:space="0"/>
            </w:tcBorders>
            <w:noWrap w:val="0"/>
            <w:vAlign w:val="center"/>
          </w:tcPr>
          <w:p w14:paraId="5A0CDFCD">
            <w:pPr>
              <w:pStyle w:val="6"/>
              <w:wordWrap w:val="0"/>
              <w:spacing w:before="0" w:beforeAutospacing="0" w:after="0" w:line="400" w:lineRule="exact"/>
              <w:rPr>
                <w:rFonts w:hint="eastAsia" w:ascii="宋体" w:hAnsi="宋体" w:eastAsia="宋体" w:cs="宋体"/>
                <w:caps w:val="0"/>
                <w:smallCaps w:val="0"/>
                <w:snapToGrid w:val="0"/>
                <w:color w:val="auto"/>
                <w:spacing w:val="0"/>
                <w:kern w:val="0"/>
                <w:sz w:val="24"/>
                <w:szCs w:val="24"/>
                <w:highlight w:val="none"/>
                <w:lang w:val="en-US" w:eastAsia="zh-CN"/>
              </w:rPr>
            </w:pPr>
            <w:r>
              <w:rPr>
                <w:rFonts w:hint="eastAsia" w:ascii="宋体" w:hAnsi="宋体" w:eastAsia="宋体" w:cs="宋体"/>
                <w:caps w:val="0"/>
                <w:smallCaps w:val="0"/>
                <w:snapToGrid w:val="0"/>
                <w:color w:val="auto"/>
                <w:spacing w:val="0"/>
                <w:kern w:val="0"/>
                <w:sz w:val="24"/>
                <w:szCs w:val="24"/>
                <w:highlight w:val="none"/>
                <w:lang w:val="en-US" w:eastAsia="zh-CN"/>
              </w:rPr>
              <w:t>1．需附在有效期内的有关证明扫描件，</w:t>
            </w:r>
            <w:r>
              <w:rPr>
                <w:rFonts w:hint="eastAsia" w:ascii="宋体" w:hAnsi="宋体" w:eastAsia="宋体" w:cs="宋体"/>
                <w:b/>
                <w:bCs/>
                <w:color w:val="auto"/>
                <w:kern w:val="0"/>
                <w:sz w:val="24"/>
                <w:szCs w:val="24"/>
                <w:highlight w:val="none"/>
              </w:rPr>
              <w:t>同时提供原件供核对</w:t>
            </w:r>
            <w:r>
              <w:rPr>
                <w:rFonts w:hint="eastAsia" w:ascii="宋体" w:hAnsi="宋体" w:eastAsia="宋体" w:cs="宋体"/>
                <w:color w:val="auto"/>
                <w:kern w:val="0"/>
                <w:sz w:val="24"/>
                <w:szCs w:val="24"/>
                <w:highlight w:val="none"/>
              </w:rPr>
              <w:t>。</w:t>
            </w:r>
          </w:p>
          <w:p w14:paraId="71B3527F">
            <w:pPr>
              <w:pStyle w:val="6"/>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val="en-US" w:eastAsia="zh-CN"/>
              </w:rPr>
              <w:t>2．</w:t>
            </w:r>
            <w:r>
              <w:rPr>
                <w:rFonts w:hint="eastAsia" w:ascii="宋体" w:hAnsi="宋体" w:eastAsia="宋体" w:cs="宋体"/>
                <w:caps w:val="0"/>
                <w:smallCaps w:val="0"/>
                <w:snapToGrid w:val="0"/>
                <w:color w:val="auto"/>
                <w:spacing w:val="0"/>
                <w:kern w:val="0"/>
                <w:sz w:val="24"/>
                <w:szCs w:val="24"/>
                <w:highlight w:val="none"/>
                <w:lang w:val="en-US" w:eastAsia="zh-CN" w:bidi="ar-SA"/>
              </w:rPr>
              <w:t>银行授信证明</w:t>
            </w:r>
            <w:r>
              <w:rPr>
                <w:rFonts w:hint="eastAsia" w:ascii="宋体" w:hAnsi="宋体" w:eastAsia="宋体" w:cs="宋体"/>
                <w:caps w:val="0"/>
                <w:smallCaps w:val="0"/>
                <w:snapToGrid w:val="0"/>
                <w:color w:val="auto"/>
                <w:spacing w:val="0"/>
                <w:kern w:val="0"/>
                <w:sz w:val="24"/>
                <w:szCs w:val="24"/>
                <w:highlight w:val="none"/>
                <w:lang w:val="en-US" w:eastAsia="zh-CN"/>
              </w:rPr>
              <w:t>有以下情形之一的，视为无效，不予计分</w:t>
            </w:r>
            <w:r>
              <w:rPr>
                <w:rFonts w:hint="eastAsia" w:ascii="宋体" w:hAnsi="宋体" w:eastAsia="宋体" w:cs="宋体"/>
                <w:caps w:val="0"/>
                <w:smallCaps w:val="0"/>
                <w:snapToGrid w:val="0"/>
                <w:color w:val="auto"/>
                <w:spacing w:val="0"/>
                <w:kern w:val="0"/>
                <w:sz w:val="24"/>
                <w:szCs w:val="24"/>
                <w:highlight w:val="none"/>
                <w:lang w:eastAsia="zh-CN"/>
              </w:rPr>
              <w:t>：</w:t>
            </w:r>
          </w:p>
          <w:p w14:paraId="496775D4">
            <w:pPr>
              <w:pStyle w:val="6"/>
              <w:wordWrap w:val="0"/>
              <w:spacing w:before="0" w:beforeAutospacing="0" w:after="0"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①未提供授信证明原件的；</w:t>
            </w:r>
          </w:p>
          <w:p w14:paraId="08E0E760">
            <w:pPr>
              <w:pStyle w:val="6"/>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rPr>
            </w:pPr>
            <w:r>
              <w:rPr>
                <w:rFonts w:hint="eastAsia" w:ascii="宋体" w:hAnsi="宋体" w:eastAsia="宋体" w:cs="宋体"/>
                <w:caps w:val="0"/>
                <w:smallCaps w:val="0"/>
                <w:snapToGrid w:val="0"/>
                <w:color w:val="auto"/>
                <w:spacing w:val="0"/>
                <w:kern w:val="0"/>
                <w:sz w:val="24"/>
                <w:szCs w:val="24"/>
                <w:highlight w:val="none"/>
                <w:lang w:val="en-US" w:eastAsia="zh-CN"/>
              </w:rPr>
              <w:t>②授信证明不在有效期内的；</w:t>
            </w:r>
          </w:p>
          <w:p w14:paraId="599772F2">
            <w:pPr>
              <w:pStyle w:val="6"/>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rPr>
              <w:t>③</w:t>
            </w:r>
            <w:r>
              <w:rPr>
                <w:rFonts w:hint="eastAsia" w:ascii="宋体" w:hAnsi="宋体" w:eastAsia="宋体" w:cs="宋体"/>
                <w:caps w:val="0"/>
                <w:smallCaps w:val="0"/>
                <w:snapToGrid w:val="0"/>
                <w:color w:val="auto"/>
                <w:spacing w:val="0"/>
                <w:kern w:val="0"/>
                <w:sz w:val="24"/>
                <w:szCs w:val="24"/>
                <w:highlight w:val="none"/>
                <w:lang w:val="en-US" w:eastAsia="zh-CN" w:bidi="ar-SA"/>
              </w:rPr>
              <w:t>授信额度不符合要求的；</w:t>
            </w:r>
          </w:p>
          <w:p w14:paraId="002D2900">
            <w:pPr>
              <w:pStyle w:val="6"/>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rPr>
            </w:pPr>
            <w:r>
              <w:rPr>
                <w:rFonts w:hint="eastAsia" w:ascii="宋体" w:hAnsi="宋体" w:eastAsia="宋体" w:cs="宋体"/>
                <w:caps w:val="0"/>
                <w:smallCaps w:val="0"/>
                <w:snapToGrid w:val="0"/>
                <w:color w:val="auto"/>
                <w:spacing w:val="0"/>
                <w:kern w:val="0"/>
                <w:sz w:val="24"/>
                <w:szCs w:val="24"/>
                <w:highlight w:val="none"/>
                <w:lang w:val="en-US" w:eastAsia="zh-CN"/>
              </w:rPr>
              <w:t>3.存款余额资金流水证明有以下情形之一的，视为无效，不予计分。</w:t>
            </w:r>
          </w:p>
          <w:p w14:paraId="259A1A75">
            <w:pPr>
              <w:pStyle w:val="6"/>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rPr>
            </w:pPr>
            <w:r>
              <w:rPr>
                <w:rFonts w:hint="eastAsia" w:ascii="宋体" w:hAnsi="宋体" w:eastAsia="宋体" w:cs="宋体"/>
                <w:caps w:val="0"/>
                <w:smallCaps w:val="0"/>
                <w:snapToGrid w:val="0"/>
                <w:color w:val="auto"/>
                <w:spacing w:val="0"/>
                <w:kern w:val="0"/>
                <w:sz w:val="24"/>
                <w:szCs w:val="24"/>
                <w:highlight w:val="none"/>
                <w:lang w:val="en-US" w:eastAsia="zh-CN"/>
              </w:rPr>
              <w:t>①未提供存款证明原件的；</w:t>
            </w:r>
          </w:p>
          <w:p w14:paraId="75C2E467">
            <w:pPr>
              <w:pStyle w:val="6"/>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rPr>
            </w:pPr>
            <w:r>
              <w:rPr>
                <w:rFonts w:hint="eastAsia" w:ascii="宋体" w:hAnsi="宋体" w:eastAsia="宋体" w:cs="宋体"/>
                <w:caps w:val="0"/>
                <w:smallCaps w:val="0"/>
                <w:snapToGrid w:val="0"/>
                <w:color w:val="auto"/>
                <w:spacing w:val="0"/>
                <w:kern w:val="0"/>
                <w:sz w:val="24"/>
                <w:szCs w:val="24"/>
                <w:highlight w:val="none"/>
                <w:lang w:val="en-US" w:eastAsia="zh-CN"/>
              </w:rPr>
              <w:t>②存款账户不是基本账户的；</w:t>
            </w:r>
          </w:p>
          <w:p w14:paraId="7D5C6C51">
            <w:pPr>
              <w:pStyle w:val="6"/>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rPr>
              <w:t>③</w:t>
            </w:r>
            <w:r>
              <w:rPr>
                <w:rFonts w:hint="eastAsia" w:ascii="宋体" w:hAnsi="宋体" w:eastAsia="宋体" w:cs="宋体"/>
                <w:caps w:val="0"/>
                <w:smallCaps w:val="0"/>
                <w:snapToGrid w:val="0"/>
                <w:color w:val="auto"/>
                <w:spacing w:val="0"/>
                <w:kern w:val="0"/>
                <w:sz w:val="24"/>
                <w:szCs w:val="24"/>
                <w:highlight w:val="none"/>
                <w:lang w:val="en-US" w:eastAsia="zh-CN" w:bidi="ar-SA"/>
              </w:rPr>
              <w:t>存款时间不符合要求的；</w:t>
            </w:r>
          </w:p>
          <w:p w14:paraId="531CF22D">
            <w:pPr>
              <w:pStyle w:val="6"/>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outlineLvl w:val="9"/>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caps w:val="0"/>
                <w:smallCaps w:val="0"/>
                <w:snapToGrid w:val="0"/>
                <w:color w:val="auto"/>
                <w:spacing w:val="0"/>
                <w:kern w:val="0"/>
                <w:sz w:val="24"/>
                <w:szCs w:val="24"/>
                <w:highlight w:val="none"/>
                <w:lang w:val="en-US" w:eastAsia="zh-CN"/>
              </w:rPr>
              <w:t>④</w:t>
            </w:r>
            <w:r>
              <w:rPr>
                <w:rFonts w:hint="eastAsia" w:ascii="宋体" w:hAnsi="宋体" w:eastAsia="宋体" w:cs="宋体"/>
                <w:caps w:val="0"/>
                <w:smallCaps w:val="0"/>
                <w:snapToGrid w:val="0"/>
                <w:color w:val="auto"/>
                <w:spacing w:val="0"/>
                <w:kern w:val="0"/>
                <w:sz w:val="24"/>
                <w:szCs w:val="24"/>
                <w:highlight w:val="none"/>
                <w:lang w:val="en-US" w:eastAsia="zh-CN" w:bidi="ar-SA"/>
              </w:rPr>
              <w:t>存款额度不符合要求</w:t>
            </w:r>
            <w:r>
              <w:rPr>
                <w:rFonts w:hint="eastAsia" w:ascii="宋体" w:hAnsi="宋体" w:eastAsia="宋体" w:cs="宋体"/>
                <w:caps w:val="0"/>
                <w:smallCaps w:val="0"/>
                <w:snapToGrid w:val="0"/>
                <w:color w:val="auto"/>
                <w:spacing w:val="0"/>
                <w:kern w:val="0"/>
                <w:sz w:val="24"/>
                <w:szCs w:val="24"/>
                <w:highlight w:val="none"/>
                <w:lang w:val="en-US" w:eastAsia="zh-CN"/>
              </w:rPr>
              <w:t>的。</w:t>
            </w:r>
          </w:p>
        </w:tc>
      </w:tr>
      <w:tr w14:paraId="6CB6C465">
        <w:tblPrEx>
          <w:tblCellMar>
            <w:top w:w="0" w:type="dxa"/>
            <w:left w:w="108" w:type="dxa"/>
            <w:bottom w:w="0" w:type="dxa"/>
            <w:right w:w="108" w:type="dxa"/>
          </w:tblCellMar>
        </w:tblPrEx>
        <w:trPr>
          <w:trHeight w:val="628" w:hRule="atLeast"/>
          <w:jc w:val="center"/>
        </w:trPr>
        <w:tc>
          <w:tcPr>
            <w:tcW w:w="1216" w:type="dxa"/>
            <w:vMerge w:val="restart"/>
            <w:tcBorders>
              <w:top w:val="single" w:color="auto" w:sz="4" w:space="0"/>
              <w:left w:val="single" w:color="auto" w:sz="4" w:space="0"/>
              <w:bottom w:val="single" w:color="auto" w:sz="4" w:space="0"/>
              <w:right w:val="single" w:color="auto" w:sz="4" w:space="0"/>
            </w:tcBorders>
            <w:noWrap w:val="0"/>
            <w:vAlign w:val="center"/>
          </w:tcPr>
          <w:p w14:paraId="1FB68D44">
            <w:pPr>
              <w:pStyle w:val="6"/>
              <w:keepNext w:val="0"/>
              <w:keepLines w:val="0"/>
              <w:pageBreakBefore w:val="0"/>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招标人</w:t>
            </w:r>
          </w:p>
          <w:p w14:paraId="34731F0C">
            <w:pPr>
              <w:pStyle w:val="6"/>
              <w:keepNext w:val="0"/>
              <w:keepLines w:val="0"/>
              <w:pageBreakBefore w:val="0"/>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自</w:t>
            </w:r>
            <w:r>
              <w:rPr>
                <w:rFonts w:hint="eastAsia" w:ascii="宋体" w:hAnsi="宋体" w:eastAsia="宋体" w:cs="宋体"/>
                <w:snapToGrid w:val="0"/>
                <w:color w:val="auto"/>
                <w:kern w:val="0"/>
                <w:sz w:val="24"/>
                <w:szCs w:val="24"/>
                <w:highlight w:val="none"/>
                <w:lang w:eastAsia="zh-CN"/>
              </w:rPr>
              <w:t>选</w:t>
            </w:r>
            <w:r>
              <w:rPr>
                <w:rFonts w:hint="eastAsia" w:ascii="宋体" w:hAnsi="宋体" w:eastAsia="宋体" w:cs="宋体"/>
                <w:snapToGrid w:val="0"/>
                <w:color w:val="auto"/>
                <w:kern w:val="0"/>
                <w:sz w:val="24"/>
                <w:szCs w:val="24"/>
                <w:highlight w:val="none"/>
              </w:rPr>
              <w:t>项</w:t>
            </w:r>
          </w:p>
          <w:p w14:paraId="40E310CC">
            <w:pPr>
              <w:pStyle w:val="6"/>
              <w:keepNext w:val="0"/>
              <w:keepLines w:val="0"/>
              <w:pageBreakBefore w:val="0"/>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0分）</w:t>
            </w:r>
          </w:p>
          <w:p w14:paraId="5B5A1C11">
            <w:pPr>
              <w:pStyle w:val="6"/>
              <w:keepNext w:val="0"/>
              <w:keepLines w:val="0"/>
              <w:pageBreakBefore w:val="0"/>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highlight w:val="none"/>
                <w:lang w:eastAsia="zh-CN"/>
              </w:rPr>
            </w:pPr>
            <w:r>
              <w:rPr>
                <w:rFonts w:hint="eastAsia" w:ascii="宋体" w:hAnsi="宋体" w:eastAsia="宋体" w:cs="宋体"/>
                <w:b/>
                <w:bCs/>
                <w:caps w:val="0"/>
                <w:smallCaps w:val="0"/>
                <w:snapToGrid w:val="0"/>
                <w:color w:val="auto"/>
                <w:spacing w:val="0"/>
                <w:kern w:val="0"/>
                <w:sz w:val="24"/>
                <w:szCs w:val="24"/>
                <w:highlight w:val="none"/>
                <w:lang w:val="en-US" w:eastAsia="zh-CN"/>
              </w:rPr>
              <w:t>（联合体任意一方提供）</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09C06B76">
            <w:pPr>
              <w:pStyle w:val="46"/>
              <w:numPr>
                <w:ilvl w:val="0"/>
                <w:numId w:val="0"/>
              </w:numPr>
              <w:wordWrap w:val="0"/>
              <w:adjustRightInd w:val="0"/>
              <w:snapToGrid w:val="0"/>
              <w:spacing w:line="360" w:lineRule="auto"/>
              <w:ind w:firstLine="480" w:firstLineChars="200"/>
              <w:jc w:val="left"/>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1.</w:t>
            </w:r>
            <w:r>
              <w:rPr>
                <w:rFonts w:hint="eastAsia" w:ascii="宋体" w:hAnsi="宋体" w:eastAsia="宋体" w:cs="宋体"/>
                <w:snapToGrid w:val="0"/>
                <w:color w:val="auto"/>
                <w:kern w:val="0"/>
                <w:sz w:val="24"/>
                <w:szCs w:val="24"/>
                <w:highlight w:val="none"/>
                <w:lang w:val="en-US" w:eastAsia="zh-CN" w:bidi="ar"/>
              </w:rPr>
              <w:t>企业近5年来（2021年度~至今）连续2年以上（含2年）</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获得过“用户满意企业”的，得 5 分。</w:t>
            </w:r>
          </w:p>
          <w:p w14:paraId="19A841F5">
            <w:pPr>
              <w:pStyle w:val="46"/>
              <w:numPr>
                <w:ilvl w:val="0"/>
                <w:numId w:val="0"/>
              </w:numPr>
              <w:wordWrap w:val="0"/>
              <w:adjustRightInd w:val="0"/>
              <w:snapToGrid w:val="0"/>
              <w:spacing w:line="360" w:lineRule="auto"/>
              <w:ind w:left="0" w:leftChars="0" w:firstLine="480" w:firstLineChars="200"/>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b w:val="0"/>
                <w:bCs w:val="0"/>
                <w:i w:val="0"/>
                <w:iCs w:val="0"/>
                <w:snapToGrid w:val="0"/>
                <w:color w:val="auto"/>
                <w:kern w:val="0"/>
                <w:sz w:val="24"/>
                <w:szCs w:val="24"/>
                <w:highlight w:val="none"/>
                <w:lang w:val="en-US" w:eastAsia="zh-CN"/>
              </w:rPr>
              <w:t>2.</w:t>
            </w:r>
            <w:r>
              <w:rPr>
                <w:rFonts w:hint="eastAsia" w:ascii="宋体" w:hAnsi="宋体" w:eastAsia="宋体" w:cs="宋体"/>
                <w:b w:val="0"/>
                <w:bCs w:val="0"/>
                <w:i w:val="0"/>
                <w:iCs w:val="0"/>
                <w:snapToGrid w:val="0"/>
                <w:color w:val="auto"/>
                <w:kern w:val="0"/>
                <w:sz w:val="24"/>
                <w:szCs w:val="24"/>
                <w:highlight w:val="none"/>
              </w:rPr>
              <w:t>其他情形的，不予计分。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429B949A">
            <w:pPr>
              <w:pStyle w:val="6"/>
              <w:wordWrap w:val="0"/>
              <w:adjustRightInd w:val="0"/>
              <w:snapToGrid w:val="0"/>
              <w:spacing w:after="0" w:line="360" w:lineRule="auto"/>
              <w:jc w:val="left"/>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1．需附证书彩色扫描件及相关网页截图及网址供查询，同时提供原件供核对。</w:t>
            </w:r>
          </w:p>
          <w:p w14:paraId="7D6ABD6A">
            <w:pPr>
              <w:pStyle w:val="6"/>
              <w:wordWrap w:val="0"/>
              <w:adjustRightInd w:val="0"/>
              <w:snapToGrid w:val="0"/>
              <w:spacing w:after="0" w:line="360" w:lineRule="auto"/>
              <w:jc w:val="left"/>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2．证书须由省级/国级质量协会颁发。</w:t>
            </w:r>
          </w:p>
          <w:p w14:paraId="298F8219">
            <w:pPr>
              <w:pStyle w:val="6"/>
              <w:wordWrap w:val="0"/>
              <w:adjustRightInd w:val="0"/>
              <w:snapToGrid w:val="0"/>
              <w:spacing w:after="0" w:line="360" w:lineRule="auto"/>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b w:val="0"/>
                <w:bCs w:val="0"/>
                <w:snapToGrid w:val="0"/>
                <w:color w:val="auto"/>
                <w:kern w:val="0"/>
                <w:sz w:val="24"/>
                <w:szCs w:val="24"/>
                <w:highlight w:val="none"/>
                <w:lang w:val="en-US" w:eastAsia="zh-CN"/>
              </w:rPr>
              <w:t>3．未提供原件的；颁发机构、获奖时间不符合评分标准和备注规定的，不予得分。</w:t>
            </w:r>
          </w:p>
        </w:tc>
      </w:tr>
      <w:tr w14:paraId="27669AAE">
        <w:tblPrEx>
          <w:tblCellMar>
            <w:top w:w="0" w:type="dxa"/>
            <w:left w:w="108" w:type="dxa"/>
            <w:bottom w:w="0" w:type="dxa"/>
            <w:right w:w="108" w:type="dxa"/>
          </w:tblCellMar>
        </w:tblPrEx>
        <w:trPr>
          <w:trHeight w:val="2177" w:hRule="atLeast"/>
          <w:jc w:val="center"/>
        </w:trPr>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14:paraId="1289DFE8">
            <w:pPr>
              <w:pStyle w:val="6"/>
              <w:keepNext w:val="0"/>
              <w:keepLines w:val="0"/>
              <w:pageBreakBefore w:val="0"/>
              <w:kinsoku/>
              <w:wordWrap w:val="0"/>
              <w:overflowPunct/>
              <w:topLinePunct w:val="0"/>
              <w:autoSpaceDE/>
              <w:autoSpaceDN/>
              <w:bidi w:val="0"/>
              <w:adjustRightInd w:val="0"/>
              <w:snapToGrid w:val="0"/>
              <w:spacing w:after="0" w:afterLines="0" w:line="360" w:lineRule="exact"/>
              <w:jc w:val="center"/>
              <w:textAlignment w:val="auto"/>
              <w:rPr>
                <w:rFonts w:hint="eastAsia" w:asciiTheme="minorEastAsia" w:hAnsiTheme="minorEastAsia" w:eastAsiaTheme="minorEastAsia" w:cstheme="minorEastAsia"/>
                <w:b/>
                <w:bCs/>
                <w:snapToGrid/>
                <w:color w:val="auto"/>
                <w:kern w:val="0"/>
                <w:sz w:val="21"/>
                <w:szCs w:val="21"/>
                <w:highlight w:val="none"/>
                <w:lang w:eastAsia="zh-CN" w:bidi="ar"/>
              </w:rPr>
            </w:pPr>
          </w:p>
        </w:tc>
        <w:tc>
          <w:tcPr>
            <w:tcW w:w="3733" w:type="dxa"/>
            <w:tcBorders>
              <w:top w:val="single" w:color="auto" w:sz="4" w:space="0"/>
              <w:left w:val="single" w:color="auto" w:sz="4" w:space="0"/>
              <w:bottom w:val="single" w:color="auto" w:sz="4" w:space="0"/>
              <w:right w:val="single" w:color="auto" w:sz="4" w:space="0"/>
            </w:tcBorders>
            <w:noWrap w:val="0"/>
            <w:vAlign w:val="center"/>
          </w:tcPr>
          <w:p w14:paraId="19DF1BC7">
            <w:pPr>
              <w:pStyle w:val="46"/>
              <w:numPr>
                <w:ilvl w:val="0"/>
                <w:numId w:val="0"/>
              </w:numPr>
              <w:wordWrap w:val="0"/>
              <w:adjustRightInd w:val="0"/>
              <w:snapToGrid w:val="0"/>
              <w:spacing w:line="360" w:lineRule="auto"/>
              <w:ind w:firstLine="480" w:firstLineChars="200"/>
              <w:jc w:val="left"/>
              <w:rPr>
                <w:rFonts w:hint="default" w:ascii="宋体" w:hAnsi="宋体" w:eastAsia="宋体" w:cs="宋体"/>
                <w:b w:val="0"/>
                <w:bCs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lang w:val="en-US" w:eastAsia="zh-CN"/>
              </w:rPr>
              <w:t>1.</w:t>
            </w:r>
            <w:r>
              <w:rPr>
                <w:rFonts w:hint="eastAsia" w:ascii="宋体" w:hAnsi="宋体" w:eastAsia="宋体" w:cs="宋体"/>
                <w:snapToGrid w:val="0"/>
                <w:color w:val="auto"/>
                <w:kern w:val="0"/>
                <w:sz w:val="24"/>
                <w:szCs w:val="24"/>
                <w:highlight w:val="none"/>
                <w:lang w:val="en-US" w:eastAsia="zh-CN" w:bidi="ar"/>
              </w:rPr>
              <w:t>企业近5年来（2021年度~至今）获得过省级或以上建筑业协会颁发的企业信用等级AA级或以上证书的，得10分。</w:t>
            </w:r>
          </w:p>
          <w:p w14:paraId="08372BE0">
            <w:pPr>
              <w:pStyle w:val="6"/>
              <w:numPr>
                <w:ilvl w:val="0"/>
                <w:numId w:val="0"/>
              </w:numPr>
              <w:snapToGrid w:val="0"/>
              <w:spacing w:after="0" w:line="360" w:lineRule="auto"/>
              <w:ind w:left="0" w:leftChars="0" w:firstLine="480" w:firstLineChars="200"/>
              <w:jc w:val="left"/>
              <w:rPr>
                <w:rFonts w:hint="eastAsia" w:asciiTheme="minorEastAsia" w:hAnsiTheme="minorEastAsia" w:eastAsiaTheme="minorEastAsia" w:cstheme="minorEastAsia"/>
                <w:snapToGrid/>
                <w:color w:val="auto"/>
                <w:kern w:val="0"/>
                <w:sz w:val="21"/>
                <w:szCs w:val="21"/>
                <w:highlight w:val="none"/>
                <w:lang w:eastAsia="zh-CN"/>
              </w:rPr>
            </w:pPr>
            <w:r>
              <w:rPr>
                <w:rFonts w:hint="eastAsia" w:ascii="宋体" w:hAnsi="宋体" w:eastAsia="宋体" w:cs="宋体"/>
                <w:snapToGrid w:val="0"/>
                <w:color w:val="auto"/>
                <w:kern w:val="0"/>
                <w:sz w:val="24"/>
                <w:szCs w:val="24"/>
                <w:highlight w:val="none"/>
                <w:lang w:val="en-US" w:eastAsia="zh-CN" w:bidi="ar"/>
              </w:rPr>
              <w:t>2.其他情形的，不予计分。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444C5557">
            <w:pPr>
              <w:pStyle w:val="6"/>
              <w:wordWrap w:val="0"/>
              <w:adjustRightInd w:val="0"/>
              <w:snapToGrid w:val="0"/>
              <w:spacing w:after="0" w:line="360" w:lineRule="auto"/>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1.需附省级或以上建筑协会颁发的证书彩色扫描件，同时提供原件供核对。</w:t>
            </w:r>
          </w:p>
          <w:p w14:paraId="06436813">
            <w:pPr>
              <w:pStyle w:val="6"/>
              <w:wordWrap w:val="0"/>
              <w:adjustRightInd w:val="0"/>
              <w:snapToGrid w:val="0"/>
              <w:spacing w:after="0" w:line="36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snapToGrid w:val="0"/>
                <w:color w:val="auto"/>
                <w:kern w:val="0"/>
                <w:sz w:val="24"/>
                <w:szCs w:val="24"/>
                <w:highlight w:val="none"/>
                <w:lang w:val="en-US" w:eastAsia="zh-CN" w:bidi="ar"/>
              </w:rPr>
              <w:t>2.未提供原件的，颁发机构不符合要求的，按第2项标准处理。</w:t>
            </w:r>
          </w:p>
        </w:tc>
      </w:tr>
      <w:tr w14:paraId="153314B6">
        <w:tblPrEx>
          <w:tblCellMar>
            <w:top w:w="0" w:type="dxa"/>
            <w:left w:w="108" w:type="dxa"/>
            <w:bottom w:w="0" w:type="dxa"/>
            <w:right w:w="108" w:type="dxa"/>
          </w:tblCellMar>
        </w:tblPrEx>
        <w:trPr>
          <w:trHeight w:val="90" w:hRule="atLeast"/>
          <w:jc w:val="center"/>
        </w:trPr>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14:paraId="22DE6E5E">
            <w:pPr>
              <w:pStyle w:val="6"/>
              <w:keepNext w:val="0"/>
              <w:keepLines w:val="0"/>
              <w:pageBreakBefore w:val="0"/>
              <w:kinsoku/>
              <w:wordWrap w:val="0"/>
              <w:overflowPunct/>
              <w:topLinePunct w:val="0"/>
              <w:autoSpaceDE/>
              <w:autoSpaceDN/>
              <w:bidi w:val="0"/>
              <w:adjustRightInd w:val="0"/>
              <w:snapToGrid w:val="0"/>
              <w:spacing w:after="0" w:afterLines="0" w:line="360" w:lineRule="exact"/>
              <w:jc w:val="center"/>
              <w:textAlignment w:val="auto"/>
              <w:rPr>
                <w:rFonts w:hint="eastAsia" w:asciiTheme="minorEastAsia" w:hAnsiTheme="minorEastAsia" w:eastAsiaTheme="minorEastAsia" w:cstheme="minorEastAsia"/>
                <w:b/>
                <w:bCs/>
                <w:snapToGrid/>
                <w:color w:val="auto"/>
                <w:kern w:val="0"/>
                <w:sz w:val="21"/>
                <w:szCs w:val="21"/>
                <w:highlight w:val="none"/>
                <w:lang w:eastAsia="zh-CN" w:bidi="ar"/>
              </w:rPr>
            </w:pPr>
          </w:p>
        </w:tc>
        <w:tc>
          <w:tcPr>
            <w:tcW w:w="3733" w:type="dxa"/>
            <w:tcBorders>
              <w:top w:val="single" w:color="auto" w:sz="4" w:space="0"/>
              <w:left w:val="single" w:color="auto" w:sz="4" w:space="0"/>
              <w:bottom w:val="single" w:color="auto" w:sz="4" w:space="0"/>
              <w:right w:val="single" w:color="auto" w:sz="4" w:space="0"/>
            </w:tcBorders>
            <w:noWrap w:val="0"/>
            <w:vAlign w:val="center"/>
          </w:tcPr>
          <w:p w14:paraId="23BF4D4A">
            <w:pPr>
              <w:pStyle w:val="46"/>
              <w:wordWrap w:val="0"/>
              <w:adjustRightInd w:val="0"/>
              <w:snapToGrid w:val="0"/>
              <w:spacing w:line="400" w:lineRule="exact"/>
              <w:ind w:firstLine="480" w:firstLineChars="200"/>
              <w:jc w:val="left"/>
              <w:rPr>
                <w:rFonts w:hint="eastAsia" w:ascii="宋体" w:hAnsi="宋体" w:eastAsia="宋体" w:cs="宋体"/>
                <w:b w:val="0"/>
                <w:bCs w:val="0"/>
                <w:i w:val="0"/>
                <w:iCs w:val="0"/>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bidi="ar"/>
              </w:rPr>
              <w:t>1.企业近5年来（2021年度~至今）</w:t>
            </w:r>
            <w:r>
              <w:rPr>
                <w:rFonts w:hint="eastAsia" w:ascii="宋体" w:hAnsi="宋体" w:eastAsia="宋体" w:cs="宋体"/>
                <w:b w:val="0"/>
                <w:bCs w:val="0"/>
                <w:i w:val="0"/>
                <w:iCs w:val="0"/>
                <w:snapToGrid w:val="0"/>
                <w:color w:val="auto"/>
                <w:kern w:val="0"/>
                <w:sz w:val="24"/>
                <w:szCs w:val="24"/>
                <w:highlight w:val="none"/>
                <w:lang w:val="en-US" w:eastAsia="zh-CN"/>
              </w:rPr>
              <w:t>获得过国家级“AAA级信用企业”称号的得3分，每复审一次的加1分。本项最高得5分。</w:t>
            </w:r>
          </w:p>
          <w:p w14:paraId="332D63CB">
            <w:pPr>
              <w:pStyle w:val="46"/>
              <w:wordWrap w:val="0"/>
              <w:adjustRightInd w:val="0"/>
              <w:snapToGrid w:val="0"/>
              <w:spacing w:line="400" w:lineRule="exact"/>
              <w:ind w:firstLine="480" w:firstLineChars="200"/>
              <w:jc w:val="left"/>
              <w:rPr>
                <w:rFonts w:hint="eastAsia" w:asciiTheme="minorEastAsia" w:hAnsiTheme="minorEastAsia" w:eastAsiaTheme="minorEastAsia" w:cstheme="minorEastAsia"/>
                <w:snapToGrid/>
                <w:color w:val="auto"/>
                <w:kern w:val="2"/>
                <w:sz w:val="21"/>
                <w:szCs w:val="21"/>
                <w:highlight w:val="none"/>
                <w:lang w:eastAsia="zh-CN"/>
              </w:rPr>
            </w:pPr>
            <w:r>
              <w:rPr>
                <w:rFonts w:hint="eastAsia" w:ascii="宋体" w:hAnsi="宋体" w:eastAsia="宋体" w:cs="宋体"/>
                <w:snapToGrid w:val="0"/>
                <w:color w:val="auto"/>
                <w:kern w:val="0"/>
                <w:sz w:val="24"/>
                <w:szCs w:val="24"/>
                <w:highlight w:val="none"/>
                <w:lang w:val="en-US" w:eastAsia="zh-CN"/>
              </w:rPr>
              <w:t>2.其他情形的，不予计分。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1EBEAC95">
            <w:pPr>
              <w:pStyle w:val="6"/>
              <w:wordWrap w:val="0"/>
              <w:adjustRightInd w:val="0"/>
              <w:snapToGrid w:val="0"/>
              <w:spacing w:line="400" w:lineRule="exact"/>
              <w:jc w:val="left"/>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1．需附相关证书彩色扫描件，同时提供原件供核对。</w:t>
            </w:r>
          </w:p>
          <w:p w14:paraId="3EBC4708">
            <w:pPr>
              <w:pStyle w:val="6"/>
              <w:wordWrap w:val="0"/>
              <w:adjustRightInd w:val="0"/>
              <w:snapToGrid w:val="0"/>
              <w:spacing w:line="400" w:lineRule="exact"/>
              <w:jc w:val="left"/>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2．证书须由省级/国级企业联合会和企业家协会（需经民政局备案）同时颁发。</w:t>
            </w:r>
          </w:p>
          <w:p w14:paraId="212241CA">
            <w:pPr>
              <w:pStyle w:val="6"/>
              <w:wordWrap w:val="0"/>
              <w:adjustRightInd w:val="0"/>
              <w:snapToGrid w:val="0"/>
              <w:spacing w:line="400" w:lineRule="exact"/>
              <w:jc w:val="left"/>
              <w:rPr>
                <w:rFonts w:hint="eastAsia" w:asciiTheme="minorEastAsia" w:hAnsiTheme="minorEastAsia" w:eastAsiaTheme="minorEastAsia" w:cstheme="minorEastAsia"/>
                <w:b w:val="0"/>
                <w:bCs w:val="0"/>
                <w:snapToGrid/>
                <w:color w:val="auto"/>
                <w:kern w:val="0"/>
                <w:sz w:val="21"/>
                <w:szCs w:val="21"/>
                <w:highlight w:val="none"/>
                <w:lang w:eastAsia="zh-CN" w:bidi="ar"/>
              </w:rPr>
            </w:pPr>
            <w:r>
              <w:rPr>
                <w:rFonts w:hint="eastAsia" w:ascii="宋体" w:hAnsi="宋体" w:eastAsia="宋体" w:cs="宋体"/>
                <w:snapToGrid w:val="0"/>
                <w:color w:val="auto"/>
                <w:kern w:val="0"/>
                <w:sz w:val="24"/>
                <w:szCs w:val="24"/>
                <w:highlight w:val="none"/>
                <w:lang w:val="en-US" w:eastAsia="zh-CN" w:bidi="ar"/>
              </w:rPr>
              <w:t>3．未提供原件的；颁发机构、获奖时间不符合评分标准和备注规定的，不予得分。</w:t>
            </w:r>
          </w:p>
        </w:tc>
      </w:tr>
      <w:tr w14:paraId="047331B0">
        <w:tblPrEx>
          <w:tblCellMar>
            <w:top w:w="0" w:type="dxa"/>
            <w:left w:w="108" w:type="dxa"/>
            <w:bottom w:w="0" w:type="dxa"/>
            <w:right w:w="108" w:type="dxa"/>
          </w:tblCellMar>
        </w:tblPrEx>
        <w:trPr>
          <w:trHeight w:val="2055" w:hRule="atLeast"/>
          <w:jc w:val="center"/>
        </w:trPr>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14:paraId="6EFC2F21">
            <w:pPr>
              <w:pStyle w:val="6"/>
              <w:keepNext w:val="0"/>
              <w:keepLines w:val="0"/>
              <w:pageBreakBefore w:val="0"/>
              <w:kinsoku/>
              <w:wordWrap w:val="0"/>
              <w:overflowPunct/>
              <w:topLinePunct w:val="0"/>
              <w:autoSpaceDE/>
              <w:autoSpaceDN/>
              <w:bidi w:val="0"/>
              <w:adjustRightInd w:val="0"/>
              <w:snapToGrid w:val="0"/>
              <w:spacing w:after="0" w:afterLines="0" w:line="360" w:lineRule="exact"/>
              <w:jc w:val="center"/>
              <w:textAlignment w:val="auto"/>
              <w:rPr>
                <w:rFonts w:hint="eastAsia" w:asciiTheme="minorEastAsia" w:hAnsiTheme="minorEastAsia" w:eastAsiaTheme="minorEastAsia" w:cstheme="minorEastAsia"/>
                <w:b/>
                <w:bCs/>
                <w:snapToGrid/>
                <w:kern w:val="0"/>
                <w:sz w:val="21"/>
                <w:szCs w:val="21"/>
                <w:highlight w:val="none"/>
                <w:lang w:eastAsia="zh-CN" w:bidi="ar"/>
              </w:rPr>
            </w:pPr>
          </w:p>
        </w:tc>
        <w:tc>
          <w:tcPr>
            <w:tcW w:w="3733" w:type="dxa"/>
            <w:tcBorders>
              <w:top w:val="single" w:color="auto" w:sz="4" w:space="0"/>
              <w:left w:val="single" w:color="auto" w:sz="4" w:space="0"/>
              <w:bottom w:val="single" w:color="auto" w:sz="4" w:space="0"/>
              <w:right w:val="single" w:color="auto" w:sz="4" w:space="0"/>
            </w:tcBorders>
            <w:noWrap w:val="0"/>
            <w:vAlign w:val="center"/>
          </w:tcPr>
          <w:p w14:paraId="6F2F8855">
            <w:pPr>
              <w:pStyle w:val="6"/>
              <w:wordWrap w:val="0"/>
              <w:spacing w:after="0" w:line="360" w:lineRule="exact"/>
              <w:ind w:firstLine="480" w:firstLineChars="200"/>
              <w:jc w:val="left"/>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1.企业近5年来（2021年度~至今）连续2年以上（含2年）获得地级市及以上建筑协会颁发的“优秀典型施工企业”，得5分。</w:t>
            </w:r>
          </w:p>
          <w:p w14:paraId="03AD772C">
            <w:pPr>
              <w:pStyle w:val="12"/>
              <w:ind w:firstLine="480" w:firstLineChars="200"/>
              <w:jc w:val="left"/>
              <w:rPr>
                <w:rFonts w:hint="eastAsia" w:asciiTheme="minorEastAsia" w:hAnsiTheme="minorEastAsia" w:eastAsiaTheme="minorEastAsia" w:cstheme="minorEastAsia"/>
                <w:b/>
                <w:bCs/>
                <w:snapToGrid w:val="0"/>
                <w:color w:val="auto"/>
                <w:kern w:val="0"/>
                <w:sz w:val="21"/>
                <w:szCs w:val="21"/>
                <w:highlight w:val="none"/>
                <w:lang w:val="en-US" w:eastAsia="zh-CN"/>
              </w:rPr>
            </w:pPr>
            <w:r>
              <w:rPr>
                <w:rFonts w:hint="eastAsia" w:ascii="宋体" w:hAnsi="宋体" w:eastAsia="宋体" w:cs="宋体"/>
                <w:snapToGrid w:val="0"/>
                <w:color w:val="auto"/>
                <w:kern w:val="0"/>
                <w:sz w:val="24"/>
                <w:szCs w:val="24"/>
                <w:highlight w:val="none"/>
                <w:lang w:val="en-US" w:eastAsia="zh-CN" w:bidi="ar"/>
              </w:rPr>
              <w:t>2.其他情形的，不予计分。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36729975">
            <w:pPr>
              <w:pStyle w:val="6"/>
              <w:wordWrap w:val="0"/>
              <w:spacing w:after="0" w:line="360" w:lineRule="exact"/>
              <w:jc w:val="left"/>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1.需提供证书彩色扫描件，同时提供证书原件供核对（证书为电子证书的除外）,否则不得分。</w:t>
            </w:r>
          </w:p>
          <w:p w14:paraId="0186549D">
            <w:pPr>
              <w:pStyle w:val="6"/>
              <w:wordWrap w:val="0"/>
              <w:spacing w:after="0" w:line="360" w:lineRule="exact"/>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4"/>
                <w:szCs w:val="24"/>
                <w:highlight w:val="none"/>
                <w:lang w:val="en-US" w:eastAsia="zh-CN" w:bidi="ar"/>
              </w:rPr>
              <w:t>2.需提供地级市及以上建设行政主管部门或地级市及以上建筑协会网站截图打印页,否则不得分。（相关协会需经民政部门备案）</w:t>
            </w:r>
          </w:p>
        </w:tc>
      </w:tr>
      <w:tr w14:paraId="5C21B6FE">
        <w:tblPrEx>
          <w:tblCellMar>
            <w:top w:w="0" w:type="dxa"/>
            <w:left w:w="108" w:type="dxa"/>
            <w:bottom w:w="0" w:type="dxa"/>
            <w:right w:w="108" w:type="dxa"/>
          </w:tblCellMar>
        </w:tblPrEx>
        <w:trPr>
          <w:trHeight w:val="438" w:hRule="atLeast"/>
          <w:jc w:val="center"/>
        </w:trPr>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14:paraId="37B740FC">
            <w:pPr>
              <w:pStyle w:val="6"/>
              <w:keepNext w:val="0"/>
              <w:keepLines w:val="0"/>
              <w:pageBreakBefore w:val="0"/>
              <w:kinsoku/>
              <w:wordWrap w:val="0"/>
              <w:overflowPunct/>
              <w:topLinePunct w:val="0"/>
              <w:autoSpaceDE/>
              <w:autoSpaceDN/>
              <w:bidi w:val="0"/>
              <w:adjustRightInd w:val="0"/>
              <w:snapToGrid w:val="0"/>
              <w:spacing w:after="0" w:afterLines="0" w:line="360" w:lineRule="exact"/>
              <w:jc w:val="center"/>
              <w:textAlignment w:val="auto"/>
              <w:rPr>
                <w:rFonts w:hint="eastAsia" w:asciiTheme="minorEastAsia" w:hAnsiTheme="minorEastAsia" w:eastAsiaTheme="minorEastAsia" w:cstheme="minorEastAsia"/>
                <w:snapToGrid w:val="0"/>
                <w:kern w:val="0"/>
                <w:sz w:val="21"/>
                <w:szCs w:val="21"/>
                <w:highlight w:val="none"/>
                <w:lang w:eastAsia="zh-CN" w:bidi="ar"/>
              </w:rPr>
            </w:pPr>
          </w:p>
        </w:tc>
        <w:tc>
          <w:tcPr>
            <w:tcW w:w="3733" w:type="dxa"/>
            <w:tcBorders>
              <w:top w:val="single" w:color="auto" w:sz="4" w:space="0"/>
              <w:left w:val="single" w:color="auto" w:sz="4" w:space="0"/>
              <w:bottom w:val="single" w:color="auto" w:sz="4" w:space="0"/>
              <w:right w:val="single" w:color="auto" w:sz="4" w:space="0"/>
            </w:tcBorders>
            <w:noWrap w:val="0"/>
            <w:vAlign w:val="center"/>
          </w:tcPr>
          <w:p w14:paraId="760DC343">
            <w:pPr>
              <w:pStyle w:val="46"/>
              <w:numPr>
                <w:ilvl w:val="0"/>
                <w:numId w:val="0"/>
              </w:numPr>
              <w:wordWrap w:val="0"/>
              <w:adjustRightInd w:val="0"/>
              <w:snapToGrid w:val="0"/>
              <w:spacing w:line="360" w:lineRule="auto"/>
              <w:ind w:left="0" w:leftChars="0"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1.企业具备</w:t>
            </w:r>
            <w:r>
              <w:rPr>
                <w:rFonts w:hint="eastAsia" w:ascii="宋体" w:hAnsi="宋体" w:eastAsia="宋体" w:cs="宋体"/>
                <w:snapToGrid w:val="0"/>
                <w:color w:val="auto"/>
                <w:kern w:val="0"/>
                <w:sz w:val="24"/>
                <w:szCs w:val="24"/>
                <w:highlight w:val="none"/>
              </w:rPr>
              <w:t>工程总承包</w:t>
            </w:r>
            <w:r>
              <w:rPr>
                <w:rFonts w:hint="eastAsia" w:ascii="宋体" w:hAnsi="宋体" w:eastAsia="宋体" w:cs="宋体"/>
                <w:snapToGrid w:val="0"/>
                <w:color w:val="auto"/>
                <w:kern w:val="0"/>
                <w:sz w:val="24"/>
                <w:szCs w:val="24"/>
                <w:highlight w:val="none"/>
                <w:lang w:val="en-US" w:eastAsia="zh-CN"/>
              </w:rPr>
              <w:t>服务</w:t>
            </w:r>
            <w:r>
              <w:rPr>
                <w:rFonts w:hint="eastAsia" w:ascii="宋体" w:hAnsi="宋体" w:eastAsia="宋体" w:cs="宋体"/>
                <w:snapToGrid w:val="0"/>
                <w:color w:val="auto"/>
                <w:kern w:val="0"/>
                <w:sz w:val="24"/>
                <w:szCs w:val="24"/>
                <w:highlight w:val="none"/>
              </w:rPr>
              <w:t>管理体系认证</w:t>
            </w:r>
            <w:r>
              <w:rPr>
                <w:rFonts w:hint="eastAsia" w:ascii="宋体" w:hAnsi="宋体" w:eastAsia="宋体" w:cs="宋体"/>
                <w:snapToGrid w:val="0"/>
                <w:color w:val="auto"/>
                <w:kern w:val="0"/>
                <w:sz w:val="24"/>
                <w:szCs w:val="24"/>
                <w:highlight w:val="none"/>
                <w:lang w:val="en-US" w:eastAsia="zh-CN"/>
              </w:rPr>
              <w:t>的得2.5分</w:t>
            </w:r>
            <w:r>
              <w:rPr>
                <w:rFonts w:hint="eastAsia" w:ascii="宋体" w:hAnsi="宋体" w:eastAsia="宋体" w:cs="宋体"/>
                <w:snapToGrid w:val="0"/>
                <w:color w:val="auto"/>
                <w:kern w:val="0"/>
                <w:sz w:val="24"/>
                <w:szCs w:val="24"/>
                <w:highlight w:val="none"/>
              </w:rPr>
              <w:t>；</w:t>
            </w:r>
          </w:p>
          <w:p w14:paraId="6F6E3DFA">
            <w:pPr>
              <w:pStyle w:val="46"/>
              <w:numPr>
                <w:ilvl w:val="0"/>
                <w:numId w:val="0"/>
              </w:numPr>
              <w:wordWrap w:val="0"/>
              <w:adjustRightInd w:val="0"/>
              <w:snapToGrid w:val="0"/>
              <w:spacing w:line="360" w:lineRule="auto"/>
              <w:ind w:left="0" w:leftChars="0"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2.企业具备</w:t>
            </w:r>
            <w:r>
              <w:rPr>
                <w:rFonts w:hint="eastAsia" w:ascii="宋体" w:hAnsi="宋体" w:eastAsia="宋体" w:cs="宋体"/>
                <w:snapToGrid w:val="0"/>
                <w:color w:val="auto"/>
                <w:kern w:val="0"/>
                <w:sz w:val="24"/>
                <w:szCs w:val="24"/>
                <w:highlight w:val="none"/>
              </w:rPr>
              <w:t>反贿赂管理体系认证</w:t>
            </w:r>
            <w:r>
              <w:rPr>
                <w:rFonts w:hint="eastAsia" w:ascii="宋体" w:hAnsi="宋体" w:eastAsia="宋体" w:cs="宋体"/>
                <w:snapToGrid w:val="0"/>
                <w:color w:val="auto"/>
                <w:kern w:val="0"/>
                <w:sz w:val="24"/>
                <w:szCs w:val="24"/>
                <w:highlight w:val="none"/>
                <w:lang w:val="en-US" w:eastAsia="zh-CN"/>
              </w:rPr>
              <w:t>的得2.5分</w:t>
            </w:r>
            <w:r>
              <w:rPr>
                <w:rFonts w:hint="eastAsia" w:ascii="宋体" w:hAnsi="宋体" w:eastAsia="宋体" w:cs="宋体"/>
                <w:snapToGrid w:val="0"/>
                <w:color w:val="auto"/>
                <w:kern w:val="0"/>
                <w:sz w:val="24"/>
                <w:szCs w:val="24"/>
                <w:highlight w:val="none"/>
              </w:rPr>
              <w:t>；</w:t>
            </w:r>
          </w:p>
          <w:p w14:paraId="3DED16F7">
            <w:pPr>
              <w:pStyle w:val="46"/>
              <w:numPr>
                <w:ilvl w:val="0"/>
                <w:numId w:val="0"/>
              </w:numPr>
              <w:wordWrap w:val="0"/>
              <w:adjustRightInd w:val="0"/>
              <w:snapToGrid w:val="0"/>
              <w:spacing w:line="360" w:lineRule="auto"/>
              <w:ind w:left="0" w:leftChars="0" w:firstLine="480" w:firstLineChars="200"/>
              <w:jc w:val="left"/>
              <w:rPr>
                <w:rFonts w:hint="eastAsia" w:asciiTheme="minorEastAsia" w:hAnsiTheme="minorEastAsia" w:eastAsiaTheme="minorEastAsia" w:cstheme="minorEastAsia"/>
                <w:snapToGrid/>
                <w:color w:val="auto"/>
                <w:kern w:val="0"/>
                <w:sz w:val="21"/>
                <w:szCs w:val="21"/>
                <w:highlight w:val="none"/>
                <w:lang w:eastAsia="zh-CN"/>
              </w:rPr>
            </w:pPr>
            <w:r>
              <w:rPr>
                <w:rFonts w:hint="eastAsia" w:ascii="宋体" w:hAnsi="宋体" w:eastAsia="宋体" w:cs="宋体"/>
                <w:snapToGrid w:val="0"/>
                <w:color w:val="auto"/>
                <w:kern w:val="0"/>
                <w:sz w:val="24"/>
                <w:szCs w:val="24"/>
                <w:highlight w:val="none"/>
                <w:lang w:val="en-US" w:eastAsia="zh-CN"/>
              </w:rPr>
              <w:t>3.其他情形的，不予计分，</w:t>
            </w:r>
            <w:r>
              <w:rPr>
                <w:rFonts w:hint="eastAsia" w:ascii="宋体" w:hAnsi="宋体" w:eastAsia="宋体" w:cs="宋体"/>
                <w:snapToGrid w:val="0"/>
                <w:color w:val="auto"/>
                <w:kern w:val="0"/>
                <w:sz w:val="24"/>
                <w:szCs w:val="24"/>
                <w:highlight w:val="none"/>
                <w:lang w:eastAsia="zh-CN"/>
              </w:rPr>
              <w:t>本项</w:t>
            </w:r>
            <w:r>
              <w:rPr>
                <w:rFonts w:hint="eastAsia" w:ascii="宋体" w:hAnsi="宋体" w:eastAsia="宋体" w:cs="宋体"/>
                <w:snapToGrid w:val="0"/>
                <w:color w:val="auto"/>
                <w:kern w:val="0"/>
                <w:sz w:val="24"/>
                <w:szCs w:val="24"/>
                <w:highlight w:val="none"/>
              </w:rPr>
              <w:t>最高得</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分</w:t>
            </w:r>
            <w:r>
              <w:rPr>
                <w:rFonts w:hint="eastAsia" w:ascii="宋体" w:hAnsi="宋体" w:eastAsia="宋体" w:cs="宋体"/>
                <w:snapToGrid w:val="0"/>
                <w:color w:val="auto"/>
                <w:kern w:val="0"/>
                <w:sz w:val="24"/>
                <w:szCs w:val="24"/>
                <w:highlight w:val="none"/>
                <w:lang w:val="en-US" w:eastAsia="zh-CN"/>
              </w:rPr>
              <w:t>。</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38F94861">
            <w:pPr>
              <w:pStyle w:val="46"/>
              <w:numPr>
                <w:ilvl w:val="0"/>
                <w:numId w:val="0"/>
              </w:numPr>
              <w:wordWrap w:val="0"/>
              <w:adjustRightInd w:val="0"/>
              <w:snapToGrid w:val="0"/>
              <w:spacing w:line="360" w:lineRule="auto"/>
              <w:ind w:left="0" w:leftChars="0"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rPr>
              <w:t>需附在有效期内的认证证书</w:t>
            </w:r>
            <w:r>
              <w:rPr>
                <w:rFonts w:hint="eastAsia" w:ascii="宋体" w:hAnsi="宋体" w:eastAsia="宋体" w:cs="宋体"/>
                <w:snapToGrid w:val="0"/>
                <w:color w:val="auto"/>
                <w:kern w:val="0"/>
                <w:sz w:val="24"/>
                <w:szCs w:val="24"/>
                <w:highlight w:val="none"/>
                <w:lang w:eastAsia="zh-CN"/>
              </w:rPr>
              <w:t>彩色扫描件</w:t>
            </w:r>
            <w:r>
              <w:rPr>
                <w:rFonts w:hint="eastAsia" w:ascii="宋体" w:hAnsi="宋体" w:eastAsia="宋体" w:cs="宋体"/>
                <w:snapToGrid w:val="0"/>
                <w:color w:val="auto"/>
                <w:kern w:val="0"/>
                <w:sz w:val="24"/>
                <w:szCs w:val="24"/>
                <w:highlight w:val="none"/>
              </w:rPr>
              <w:t>，同时提供原件供核对</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证书为电子证书的除外）</w:t>
            </w:r>
            <w:r>
              <w:rPr>
                <w:rFonts w:hint="eastAsia" w:ascii="宋体" w:hAnsi="宋体" w:eastAsia="宋体" w:cs="宋体"/>
                <w:snapToGrid w:val="0"/>
                <w:color w:val="auto"/>
                <w:kern w:val="0"/>
                <w:sz w:val="24"/>
                <w:szCs w:val="24"/>
                <w:highlight w:val="none"/>
              </w:rPr>
              <w:t>。</w:t>
            </w:r>
          </w:p>
          <w:p w14:paraId="31B603A9">
            <w:pPr>
              <w:pStyle w:val="46"/>
              <w:numPr>
                <w:ilvl w:val="0"/>
                <w:numId w:val="0"/>
              </w:numPr>
              <w:wordWrap w:val="0"/>
              <w:adjustRightInd w:val="0"/>
              <w:snapToGrid w:val="0"/>
              <w:spacing w:line="360" w:lineRule="auto"/>
              <w:ind w:left="0" w:leftChars="0"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“工程总承包</w:t>
            </w:r>
            <w:r>
              <w:rPr>
                <w:rFonts w:hint="eastAsia" w:ascii="宋体" w:hAnsi="宋体" w:eastAsia="宋体" w:cs="宋体"/>
                <w:snapToGrid w:val="0"/>
                <w:color w:val="auto"/>
                <w:kern w:val="0"/>
                <w:sz w:val="24"/>
                <w:szCs w:val="24"/>
                <w:highlight w:val="none"/>
                <w:lang w:val="en-US" w:eastAsia="zh-CN"/>
              </w:rPr>
              <w:t>服务</w:t>
            </w:r>
            <w:r>
              <w:rPr>
                <w:rFonts w:hint="eastAsia" w:ascii="宋体" w:hAnsi="宋体" w:eastAsia="宋体" w:cs="宋体"/>
                <w:snapToGrid w:val="0"/>
                <w:color w:val="auto"/>
                <w:kern w:val="0"/>
                <w:sz w:val="24"/>
                <w:szCs w:val="24"/>
                <w:highlight w:val="none"/>
              </w:rPr>
              <w:t>管理体系认证”为达到GB/T 50358-2017的要求，并获得相对应的“工程总承包管理体系认证”，不符合要求不得分。</w:t>
            </w:r>
          </w:p>
          <w:p w14:paraId="60FD5390">
            <w:pPr>
              <w:pStyle w:val="46"/>
              <w:numPr>
                <w:ilvl w:val="0"/>
                <w:numId w:val="0"/>
              </w:numPr>
              <w:wordWrap w:val="0"/>
              <w:adjustRightInd w:val="0"/>
              <w:snapToGrid w:val="0"/>
              <w:spacing w:line="360" w:lineRule="auto"/>
              <w:ind w:left="0" w:leftChars="0" w:firstLine="480" w:firstLineChars="200"/>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eastAsia="zh-CN"/>
              </w:rPr>
              <w:t>“反贿赂管理体系认证”</w:t>
            </w:r>
            <w:r>
              <w:rPr>
                <w:rFonts w:hint="eastAsia" w:ascii="宋体" w:hAnsi="宋体" w:eastAsia="宋体" w:cs="宋体"/>
                <w:snapToGrid w:val="0"/>
                <w:color w:val="auto"/>
                <w:kern w:val="0"/>
                <w:sz w:val="24"/>
                <w:szCs w:val="24"/>
                <w:highlight w:val="none"/>
              </w:rPr>
              <w:t>为达到</w:t>
            </w:r>
            <w:r>
              <w:rPr>
                <w:rFonts w:hint="eastAsia" w:ascii="宋体" w:hAnsi="宋体" w:eastAsia="宋体" w:cs="宋体"/>
                <w:snapToGrid w:val="0"/>
                <w:color w:val="auto"/>
                <w:kern w:val="0"/>
                <w:sz w:val="24"/>
                <w:szCs w:val="24"/>
                <w:highlight w:val="none"/>
                <w:lang w:val="en-US" w:eastAsia="zh-CN"/>
              </w:rPr>
              <w:t>ISO 37001-2025</w:t>
            </w:r>
            <w:r>
              <w:rPr>
                <w:rFonts w:hint="eastAsia" w:ascii="宋体" w:hAnsi="宋体" w:eastAsia="宋体" w:cs="宋体"/>
                <w:snapToGrid w:val="0"/>
                <w:color w:val="auto"/>
                <w:kern w:val="0"/>
                <w:sz w:val="24"/>
                <w:szCs w:val="24"/>
                <w:highlight w:val="none"/>
              </w:rPr>
              <w:t>的要求，并获得相对应的“</w:t>
            </w:r>
            <w:r>
              <w:rPr>
                <w:rFonts w:hint="eastAsia" w:ascii="宋体" w:hAnsi="宋体" w:eastAsia="宋体" w:cs="宋体"/>
                <w:snapToGrid w:val="0"/>
                <w:color w:val="auto"/>
                <w:kern w:val="0"/>
                <w:sz w:val="24"/>
                <w:szCs w:val="24"/>
                <w:highlight w:val="none"/>
                <w:lang w:eastAsia="zh-CN"/>
              </w:rPr>
              <w:t>反贿赂管理体系认证</w:t>
            </w:r>
            <w:r>
              <w:rPr>
                <w:rFonts w:hint="eastAsia" w:ascii="宋体" w:hAnsi="宋体" w:eastAsia="宋体" w:cs="宋体"/>
                <w:snapToGrid w:val="0"/>
                <w:color w:val="auto"/>
                <w:kern w:val="0"/>
                <w:sz w:val="24"/>
                <w:szCs w:val="24"/>
                <w:highlight w:val="none"/>
              </w:rPr>
              <w:t>”，不符合要求不得分。</w:t>
            </w:r>
          </w:p>
          <w:p w14:paraId="417B3421">
            <w:pPr>
              <w:pStyle w:val="46"/>
              <w:numPr>
                <w:ilvl w:val="0"/>
                <w:numId w:val="0"/>
              </w:numPr>
              <w:wordWrap w:val="0"/>
              <w:adjustRightInd w:val="0"/>
              <w:snapToGrid w:val="0"/>
              <w:spacing w:line="360" w:lineRule="auto"/>
              <w:ind w:left="0" w:leftChars="0"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rPr>
              <w:t>任一认证证书有以下情形之一的，该认证证书视为无效，不予计分：</w:t>
            </w:r>
          </w:p>
          <w:p w14:paraId="0A5BFC96">
            <w:pPr>
              <w:pStyle w:val="46"/>
              <w:numPr>
                <w:ilvl w:val="0"/>
                <w:numId w:val="0"/>
              </w:numPr>
              <w:wordWrap w:val="0"/>
              <w:adjustRightInd w:val="0"/>
              <w:snapToGrid w:val="0"/>
              <w:spacing w:line="360" w:lineRule="auto"/>
              <w:ind w:left="0" w:leftChars="0"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①未提供认证证书原件的；</w:t>
            </w:r>
          </w:p>
          <w:p w14:paraId="2393EFDC">
            <w:pPr>
              <w:pStyle w:val="46"/>
              <w:numPr>
                <w:ilvl w:val="0"/>
                <w:numId w:val="0"/>
              </w:numPr>
              <w:wordWrap w:val="0"/>
              <w:adjustRightInd w:val="0"/>
              <w:snapToGrid w:val="0"/>
              <w:spacing w:line="360" w:lineRule="auto"/>
              <w:ind w:left="0" w:leftChars="0" w:firstLine="480" w:firstLineChars="200"/>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4"/>
                <w:szCs w:val="24"/>
                <w:highlight w:val="none"/>
              </w:rPr>
              <w:t>②认证证书不在有效期内的。</w:t>
            </w:r>
          </w:p>
        </w:tc>
      </w:tr>
      <w:tr w14:paraId="4CF3F82A">
        <w:tblPrEx>
          <w:tblCellMar>
            <w:top w:w="0" w:type="dxa"/>
            <w:left w:w="108" w:type="dxa"/>
            <w:bottom w:w="0" w:type="dxa"/>
            <w:right w:w="108" w:type="dxa"/>
          </w:tblCellMar>
        </w:tblPrEx>
        <w:trPr>
          <w:trHeight w:val="567" w:hRule="exact"/>
          <w:jc w:val="center"/>
        </w:trPr>
        <w:tc>
          <w:tcPr>
            <w:tcW w:w="10307"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08818D0D">
            <w:pPr>
              <w:widowControl w:val="0"/>
              <w:wordWrap w:val="0"/>
              <w:adjustRightInd w:val="0"/>
              <w:snapToGrid w:val="0"/>
              <w:spacing w:after="0" w:line="440" w:lineRule="exact"/>
              <w:jc w:val="left"/>
              <w:rPr>
                <w:rFonts w:hint="eastAsia" w:asciiTheme="minorEastAsia" w:hAnsiTheme="minorEastAsia" w:eastAsiaTheme="minorEastAsia" w:cstheme="minorEastAsia"/>
                <w:snapToGrid w:val="0"/>
                <w:kern w:val="0"/>
                <w:sz w:val="21"/>
                <w:szCs w:val="21"/>
                <w:highlight w:val="none"/>
                <w:lang w:val="en-US" w:eastAsia="zh-CN" w:bidi="ar-SA"/>
              </w:rPr>
            </w:pPr>
            <w:r>
              <w:rPr>
                <w:rFonts w:hint="eastAsia" w:asciiTheme="minorEastAsia" w:hAnsiTheme="minorEastAsia" w:eastAsiaTheme="minorEastAsia" w:cstheme="minorEastAsia"/>
                <w:b/>
                <w:bCs/>
                <w:kern w:val="0"/>
                <w:sz w:val="24"/>
                <w:szCs w:val="24"/>
                <w:highlight w:val="none"/>
                <w:lang w:val="en-US" w:eastAsia="zh-CN" w:bidi="ar-SA"/>
              </w:rPr>
              <w:t>技术部分（施工组织设计），满分：</w:t>
            </w:r>
            <w:r>
              <w:rPr>
                <w:rFonts w:hint="eastAsia" w:asciiTheme="minorEastAsia" w:hAnsiTheme="minorEastAsia" w:eastAsiaTheme="minorEastAsia" w:cstheme="minorEastAsia"/>
                <w:b/>
                <w:bCs/>
                <w:kern w:val="0"/>
                <w:sz w:val="24"/>
                <w:szCs w:val="24"/>
                <w:highlight w:val="none"/>
                <w:u w:val="single"/>
                <w:lang w:val="en-US" w:eastAsia="zh-CN" w:bidi="ar-SA"/>
              </w:rPr>
              <w:t xml:space="preserve">  20  </w:t>
            </w:r>
            <w:r>
              <w:rPr>
                <w:rFonts w:hint="eastAsia" w:asciiTheme="minorEastAsia" w:hAnsiTheme="minorEastAsia" w:eastAsiaTheme="minorEastAsia" w:cstheme="minorEastAsia"/>
                <w:b/>
                <w:bCs/>
                <w:kern w:val="0"/>
                <w:sz w:val="24"/>
                <w:szCs w:val="24"/>
                <w:highlight w:val="none"/>
                <w:lang w:val="en-US" w:eastAsia="zh-CN" w:bidi="ar-SA"/>
              </w:rPr>
              <w:t>分。</w:t>
            </w:r>
          </w:p>
        </w:tc>
      </w:tr>
      <w:tr w14:paraId="4B66BDA5">
        <w:tblPrEx>
          <w:tblCellMar>
            <w:top w:w="0" w:type="dxa"/>
            <w:left w:w="108" w:type="dxa"/>
            <w:bottom w:w="0" w:type="dxa"/>
            <w:right w:w="108" w:type="dxa"/>
          </w:tblCellMar>
        </w:tblPrEx>
        <w:trPr>
          <w:trHeight w:val="680"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6DB8F929">
            <w:pPr>
              <w:widowControl w:val="0"/>
              <w:wordWrap w:val="0"/>
              <w:adjustRightInd w:val="0"/>
              <w:snapToGrid w:val="0"/>
              <w:spacing w:after="0" w:line="440" w:lineRule="exact"/>
              <w:jc w:val="center"/>
              <w:rPr>
                <w:rFonts w:hint="eastAsia" w:asciiTheme="minorEastAsia" w:hAnsiTheme="minorEastAsia" w:eastAsiaTheme="minorEastAsia" w:cstheme="minorEastAsia"/>
                <w:snapToGrid w:val="0"/>
                <w:kern w:val="0"/>
                <w:sz w:val="21"/>
                <w:szCs w:val="21"/>
                <w:highlight w:val="none"/>
                <w:lang w:val="en-US" w:eastAsia="zh-CN" w:bidi="ar-SA"/>
              </w:rPr>
            </w:pPr>
            <w:r>
              <w:rPr>
                <w:rFonts w:hint="eastAsia" w:asciiTheme="minorEastAsia" w:hAnsiTheme="minorEastAsia" w:eastAsiaTheme="minorEastAsia" w:cstheme="minorEastAsia"/>
                <w:snapToGrid w:val="0"/>
                <w:kern w:val="0"/>
                <w:sz w:val="21"/>
                <w:szCs w:val="21"/>
                <w:highlight w:val="none"/>
                <w:lang w:val="en-US" w:eastAsia="zh-CN" w:bidi="ar-SA"/>
              </w:rPr>
              <w:t>评分因素</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03398D18">
            <w:pPr>
              <w:widowControl w:val="0"/>
              <w:wordWrap w:val="0"/>
              <w:adjustRightInd w:val="0"/>
              <w:snapToGrid w:val="0"/>
              <w:spacing w:after="0" w:line="440" w:lineRule="exact"/>
              <w:jc w:val="center"/>
              <w:rPr>
                <w:rFonts w:hint="eastAsia" w:asciiTheme="minorEastAsia" w:hAnsiTheme="minorEastAsia" w:eastAsiaTheme="minorEastAsia" w:cstheme="minorEastAsia"/>
                <w:snapToGrid w:val="0"/>
                <w:kern w:val="0"/>
                <w:sz w:val="21"/>
                <w:szCs w:val="21"/>
                <w:highlight w:val="none"/>
                <w:lang w:val="en-US" w:eastAsia="zh-CN" w:bidi="ar-SA"/>
              </w:rPr>
            </w:pPr>
            <w:r>
              <w:rPr>
                <w:rFonts w:hint="eastAsia" w:asciiTheme="minorEastAsia" w:hAnsiTheme="minorEastAsia" w:eastAsiaTheme="minorEastAsia" w:cstheme="minorEastAsia"/>
                <w:snapToGrid w:val="0"/>
                <w:kern w:val="0"/>
                <w:sz w:val="21"/>
                <w:szCs w:val="21"/>
                <w:highlight w:val="none"/>
                <w:lang w:val="en-US" w:eastAsia="zh-CN" w:bidi="ar-SA"/>
              </w:rPr>
              <w:t>评分标准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4B742C69">
            <w:pPr>
              <w:widowControl w:val="0"/>
              <w:wordWrap w:val="0"/>
              <w:adjustRightInd w:val="0"/>
              <w:snapToGrid w:val="0"/>
              <w:spacing w:after="0" w:line="440" w:lineRule="exact"/>
              <w:jc w:val="center"/>
              <w:rPr>
                <w:rFonts w:hint="eastAsia" w:asciiTheme="minorEastAsia" w:hAnsiTheme="minorEastAsia" w:eastAsiaTheme="minorEastAsia" w:cstheme="minorEastAsia"/>
                <w:snapToGrid w:val="0"/>
                <w:kern w:val="0"/>
                <w:sz w:val="21"/>
                <w:szCs w:val="21"/>
                <w:highlight w:val="none"/>
                <w:lang w:val="en-US" w:eastAsia="zh-CN" w:bidi="ar-SA"/>
              </w:rPr>
            </w:pPr>
            <w:r>
              <w:rPr>
                <w:rFonts w:hint="eastAsia" w:asciiTheme="minorEastAsia" w:hAnsiTheme="minorEastAsia" w:eastAsiaTheme="minorEastAsia" w:cstheme="minorEastAsia"/>
                <w:snapToGrid w:val="0"/>
                <w:kern w:val="0"/>
                <w:sz w:val="21"/>
                <w:szCs w:val="21"/>
                <w:highlight w:val="none"/>
                <w:lang w:val="en-US" w:eastAsia="zh-CN" w:bidi="ar-SA"/>
              </w:rPr>
              <w:t>备注</w:t>
            </w:r>
          </w:p>
        </w:tc>
      </w:tr>
      <w:tr w14:paraId="0A9DFC21">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6EEE0D34">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 xml:space="preserve"> 总体概述</w:t>
            </w:r>
          </w:p>
          <w:p w14:paraId="6105431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w:t>
            </w:r>
            <w:r>
              <w:rPr>
                <w:rFonts w:hint="eastAsia" w:asciiTheme="minorEastAsia" w:hAnsiTheme="minorEastAsia" w:eastAsiaTheme="minorEastAsia" w:cstheme="minorEastAsia"/>
                <w:b/>
                <w:bCs/>
                <w:snapToGrid w:val="0"/>
                <w:kern w:val="0"/>
                <w:sz w:val="21"/>
                <w:szCs w:val="21"/>
                <w:highlight w:val="none"/>
                <w:u w:val="single"/>
                <w:lang w:eastAsia="zh-CN"/>
              </w:rPr>
              <w:t xml:space="preserve"> 3 </w:t>
            </w:r>
            <w:r>
              <w:rPr>
                <w:rFonts w:hint="eastAsia" w:asciiTheme="minorEastAsia" w:hAnsiTheme="minorEastAsia" w:eastAsiaTheme="minorEastAsia" w:cstheme="minorEastAsia"/>
                <w:b/>
                <w:bCs/>
                <w:snapToGrid w:val="0"/>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3650D143">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【优】得该项评分因素分值的90%～100%（含90%）。</w:t>
            </w:r>
          </w:p>
          <w:p w14:paraId="36B2B92F">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【良】得该项评分因素分值的80%～90%（含80%）。</w:t>
            </w:r>
          </w:p>
          <w:p w14:paraId="722A250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【中】得该项评分因素分值的70%～80%（含70%）。</w:t>
            </w:r>
          </w:p>
          <w:p w14:paraId="7A5D4422">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1A2DDC8D">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【优】对项目总体有深刻认识，表述清晰、完整、严谨、合理，措施先进、具体、有效、成熟，采用了新技术、新工艺、新材料、新设备；施工段划分呼应总体表述，划分清晰、合理，符合规范要求。</w:t>
            </w:r>
          </w:p>
          <w:p w14:paraId="0F9DBA93">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【良】对项目总体有一定认识，表述清晰、完整，措施具体有效；施工段划分呼应总体表述，划分清晰，符合规范要求。</w:t>
            </w:r>
          </w:p>
          <w:p w14:paraId="2DF4D804">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【中】对项目总体有认识，有一定的措施但部分不具体；施工段划分较合理，符合规范要求。</w:t>
            </w:r>
          </w:p>
          <w:p w14:paraId="7AB15B10">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【差】对项目认识不足，表述不清晰，措施不具体；施工段划分不合理。</w:t>
            </w:r>
          </w:p>
        </w:tc>
      </w:tr>
      <w:tr w14:paraId="4566FD7B">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1E965F5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施工总进</w:t>
            </w:r>
          </w:p>
          <w:p w14:paraId="1F0C67DF">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度计划及</w:t>
            </w:r>
          </w:p>
          <w:p w14:paraId="754D65D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保证措施</w:t>
            </w:r>
          </w:p>
          <w:p w14:paraId="2C0A1F6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w:t>
            </w:r>
            <w:r>
              <w:rPr>
                <w:rFonts w:hint="eastAsia" w:asciiTheme="minorEastAsia" w:hAnsiTheme="minorEastAsia" w:eastAsiaTheme="minorEastAsia" w:cstheme="minorEastAsia"/>
                <w:b/>
                <w:bCs/>
                <w:snapToGrid w:val="0"/>
                <w:kern w:val="0"/>
                <w:sz w:val="21"/>
                <w:szCs w:val="21"/>
                <w:highlight w:val="none"/>
                <w:u w:val="single"/>
                <w:lang w:eastAsia="zh-CN"/>
              </w:rPr>
              <w:t xml:space="preserve">3 </w:t>
            </w:r>
            <w:r>
              <w:rPr>
                <w:rFonts w:hint="eastAsia" w:asciiTheme="minorEastAsia" w:hAnsiTheme="minorEastAsia" w:eastAsiaTheme="minorEastAsia" w:cstheme="minorEastAsia"/>
                <w:b/>
                <w:bCs/>
                <w:snapToGrid w:val="0"/>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65497DE0">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【优】得该项评分因素分值的90%～100%（含90%）。</w:t>
            </w:r>
          </w:p>
          <w:p w14:paraId="33A9466C">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【良】得该项评分因素分值的80%～90%（含80%）。</w:t>
            </w:r>
          </w:p>
          <w:p w14:paraId="3B0C7296">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【中】得该项评分因素分值的70%～80%（含70%）。</w:t>
            </w:r>
          </w:p>
          <w:p w14:paraId="07B838C6">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721E2E9C">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关键线路清晰、准确、完整，计划编制合理、可行。关键节点的控制措施有力、合理、可行。人、材、机需求和进场计划与进度计划相呼应，较好满足施工需要，调配投入计划合理、准确。进度违约责任承诺具体，</w:t>
            </w:r>
            <w:r>
              <w:rPr>
                <w:rFonts w:hint="eastAsia" w:asciiTheme="minorEastAsia" w:hAnsiTheme="minorEastAsia" w:eastAsiaTheme="minorEastAsia" w:cstheme="minorEastAsia"/>
                <w:b/>
                <w:bCs/>
                <w:snapToGrid w:val="0"/>
                <w:kern w:val="0"/>
                <w:sz w:val="21"/>
                <w:szCs w:val="21"/>
                <w:highlight w:val="none"/>
                <w:lang w:eastAsia="zh-CN"/>
              </w:rPr>
              <w:t>经济赔偿合理。</w:t>
            </w:r>
          </w:p>
          <w:p w14:paraId="19C1FB4B">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【良】关键线路清晰、准确、完整，计划编制可行。关键节点的控制措施合理、可行。人、材、机需求和进场计划与进度计划相呼应，基本满足施工需要，调配投入计划基本合理、准确。进度违约责任承诺具体，</w:t>
            </w:r>
            <w:r>
              <w:rPr>
                <w:rFonts w:hint="eastAsia" w:asciiTheme="minorEastAsia" w:hAnsiTheme="minorEastAsia" w:eastAsiaTheme="minorEastAsia" w:cstheme="minorEastAsia"/>
                <w:b/>
                <w:bCs/>
                <w:snapToGrid w:val="0"/>
                <w:kern w:val="0"/>
                <w:sz w:val="21"/>
                <w:szCs w:val="21"/>
                <w:highlight w:val="none"/>
                <w:lang w:eastAsia="zh-CN"/>
              </w:rPr>
              <w:t>经济赔偿较合理。</w:t>
            </w:r>
          </w:p>
          <w:p w14:paraId="0EE5FB53">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【中】关键线路基本准确，计划编制基本合理。关键节点的控制措施基本可行。人、材、机需求和进场计划与进度计划相呼应，基本满足施工需要，调配投入计划基本合理。进度违约责任承诺具体。</w:t>
            </w:r>
          </w:p>
          <w:p w14:paraId="63E8EF0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【差】关键线路不准确，计划编制不合理。关键节点的控制不可行。人、材、机需求和进场计划与进度计划不相呼应，不能满足施工需要。没有违约责任承诺。</w:t>
            </w:r>
          </w:p>
        </w:tc>
      </w:tr>
      <w:tr w14:paraId="5199214C">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6009F87D">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质量</w:t>
            </w:r>
          </w:p>
          <w:p w14:paraId="4F898848">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保证措施</w:t>
            </w:r>
          </w:p>
          <w:p w14:paraId="388AF864">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（4</w:t>
            </w:r>
            <w:r>
              <w:rPr>
                <w:rFonts w:hint="eastAsia" w:asciiTheme="minorEastAsia" w:hAnsiTheme="minorEastAsia" w:eastAsiaTheme="minorEastAsia" w:cstheme="minorEastAsia"/>
                <w:b/>
                <w:bCs/>
                <w:snapToGrid w:val="0"/>
                <w:kern w:val="0"/>
                <w:sz w:val="21"/>
                <w:szCs w:val="21"/>
                <w:highlight w:val="none"/>
                <w:u w:val="single"/>
                <w:lang w:eastAsia="zh-CN"/>
              </w:rPr>
              <w:t xml:space="preserve"> </w:t>
            </w:r>
            <w:r>
              <w:rPr>
                <w:rFonts w:hint="eastAsia" w:asciiTheme="minorEastAsia" w:hAnsiTheme="minorEastAsia" w:eastAsiaTheme="minorEastAsia" w:cstheme="minorEastAsia"/>
                <w:b/>
                <w:bCs/>
                <w:snapToGrid w:val="0"/>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32E15345">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【优】得该项评分因素分值的90%～100%（含90%）。</w:t>
            </w:r>
          </w:p>
          <w:p w14:paraId="583686F9">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【良】得该项评分因素分值的80%～90%（含80%）。</w:t>
            </w:r>
          </w:p>
          <w:p w14:paraId="00AE1936">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【中】得该项评分因素分值的70%～80%（含70%）。</w:t>
            </w:r>
          </w:p>
          <w:p w14:paraId="3C44AEB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1B9CFCFD">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【优】应用新技术、新工艺、新材料、新设备，针对项目实际提出先进、可行、具体的保证措施。超过招标文件的质量要求。</w:t>
            </w:r>
          </w:p>
          <w:p w14:paraId="08993DC5">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【良】针对项目实际提出先进、可行、具体的保证措施。满足招标文件的质量要求。</w:t>
            </w:r>
          </w:p>
          <w:p w14:paraId="351AD0B1">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【中】具体措施可行。满足招标文件的质量要求。</w:t>
            </w:r>
          </w:p>
          <w:p w14:paraId="37BC574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【差】措施不可行，没有质量违约责任承诺。</w:t>
            </w:r>
          </w:p>
        </w:tc>
      </w:tr>
      <w:tr w14:paraId="30A926CA">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15B9AA12">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施工</w:t>
            </w:r>
          </w:p>
          <w:p w14:paraId="550948C8">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技术措施</w:t>
            </w:r>
          </w:p>
          <w:p w14:paraId="611D30F1">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w:t>
            </w:r>
            <w:r>
              <w:rPr>
                <w:rFonts w:hint="eastAsia" w:asciiTheme="minorEastAsia" w:hAnsiTheme="minorEastAsia" w:eastAsiaTheme="minorEastAsia" w:cstheme="minorEastAsia"/>
                <w:b/>
                <w:bCs/>
                <w:snapToGrid w:val="0"/>
                <w:kern w:val="0"/>
                <w:sz w:val="21"/>
                <w:szCs w:val="21"/>
                <w:highlight w:val="none"/>
                <w:u w:val="single"/>
                <w:lang w:eastAsia="zh-CN"/>
              </w:rPr>
              <w:t xml:space="preserve"> 2 </w:t>
            </w:r>
            <w:r>
              <w:rPr>
                <w:rFonts w:hint="eastAsia" w:asciiTheme="minorEastAsia" w:hAnsiTheme="minorEastAsia" w:eastAsiaTheme="minorEastAsia" w:cstheme="minorEastAsia"/>
                <w:b/>
                <w:bCs/>
                <w:snapToGrid w:val="0"/>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5316F20C">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【优】得该项评分因素分值的90%～100%（含90%）。</w:t>
            </w:r>
          </w:p>
          <w:p w14:paraId="1549636C">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【良】得该项评分因素分值的80%～90%（含80%）。</w:t>
            </w:r>
          </w:p>
          <w:p w14:paraId="6438807D">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【中】得该项评分因素分值的70%～80%（含70%）。</w:t>
            </w:r>
          </w:p>
          <w:p w14:paraId="6488DCAC">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71C08F8C">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w:t>
            </w:r>
            <w:r>
              <w:rPr>
                <w:rFonts w:hint="eastAsia" w:asciiTheme="minorEastAsia" w:hAnsiTheme="minorEastAsia" w:eastAsiaTheme="minorEastAsia" w:cstheme="minorEastAsia"/>
                <w:b/>
                <w:bCs/>
                <w:snapToGrid w:val="0"/>
                <w:kern w:val="0"/>
                <w:sz w:val="21"/>
                <w:szCs w:val="21"/>
                <w:highlight w:val="none"/>
                <w:lang w:eastAsia="zh-CN"/>
              </w:rPr>
              <w:t>经济赔偿合理。</w:t>
            </w:r>
          </w:p>
          <w:p w14:paraId="3FE56E5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w:t>
            </w:r>
            <w:r>
              <w:rPr>
                <w:rFonts w:hint="eastAsia" w:asciiTheme="minorEastAsia" w:hAnsiTheme="minorEastAsia" w:eastAsiaTheme="minorEastAsia" w:cstheme="minorEastAsia"/>
                <w:b/>
                <w:bCs/>
                <w:snapToGrid w:val="0"/>
                <w:kern w:val="0"/>
                <w:sz w:val="21"/>
                <w:szCs w:val="21"/>
                <w:highlight w:val="none"/>
                <w:lang w:eastAsia="zh-CN"/>
              </w:rPr>
              <w:t>经济赔偿较合理。</w:t>
            </w:r>
          </w:p>
          <w:p w14:paraId="589B379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3A6F76C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【差】对项目关键技术有表述，对重点、难点有建议，解决方案不可行。采用的新技术针对性不强或验证材料不可靠，对节约投资、工期没有具体收益。无违约责任承诺。</w:t>
            </w:r>
          </w:p>
        </w:tc>
      </w:tr>
      <w:tr w14:paraId="472B5554">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23672BAD">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绿色施工、</w:t>
            </w:r>
          </w:p>
          <w:p w14:paraId="5D8F7C52">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安全防护、</w:t>
            </w:r>
          </w:p>
          <w:p w14:paraId="72B5CBB2">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文明施工</w:t>
            </w:r>
          </w:p>
          <w:p w14:paraId="203F93D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措施计划</w:t>
            </w:r>
          </w:p>
          <w:p w14:paraId="7754528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w:t>
            </w:r>
            <w:r>
              <w:rPr>
                <w:rFonts w:hint="eastAsia" w:asciiTheme="minorEastAsia" w:hAnsiTheme="minorEastAsia" w:eastAsiaTheme="minorEastAsia" w:cstheme="minorEastAsia"/>
                <w:b/>
                <w:bCs/>
                <w:snapToGrid w:val="0"/>
                <w:kern w:val="0"/>
                <w:sz w:val="21"/>
                <w:szCs w:val="21"/>
                <w:highlight w:val="none"/>
                <w:u w:val="single"/>
                <w:lang w:eastAsia="zh-CN"/>
              </w:rPr>
              <w:t xml:space="preserve"> 3 </w:t>
            </w:r>
            <w:r>
              <w:rPr>
                <w:rFonts w:hint="eastAsia" w:asciiTheme="minorEastAsia" w:hAnsiTheme="minorEastAsia" w:eastAsiaTheme="minorEastAsia" w:cstheme="minorEastAsia"/>
                <w:b/>
                <w:bCs/>
                <w:snapToGrid w:val="0"/>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59CDE7BE">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【优】得该项评分因素分值的90%～100%（含90%）。</w:t>
            </w:r>
          </w:p>
          <w:p w14:paraId="21918676">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【良】得该项评分因素分值的80%～90%（含80%）。</w:t>
            </w:r>
          </w:p>
          <w:p w14:paraId="2E5C72B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【中】得该项评分因素分值的70%～80%（含70%）。</w:t>
            </w:r>
          </w:p>
          <w:p w14:paraId="1792058F">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7B2C4E0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【优】针对项目实际情况，有先进、具体、完整、可行的措施，采用规范准确、清晰。</w:t>
            </w:r>
          </w:p>
          <w:p w14:paraId="16146B0F">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【良】针对项目实际情况，有合理的措施且具体、完整，采用规范准确。</w:t>
            </w:r>
          </w:p>
          <w:p w14:paraId="1D6C023E">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【中】有基本合理的措施，采用规范准确。</w:t>
            </w:r>
          </w:p>
          <w:p w14:paraId="62A08F09">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【差】措施不力，采用规范不正确。</w:t>
            </w:r>
          </w:p>
        </w:tc>
      </w:tr>
      <w:tr w14:paraId="14298529">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67194A07">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施工平面</w:t>
            </w:r>
          </w:p>
          <w:p w14:paraId="4DBB0C11">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布置和临时设施布置</w:t>
            </w:r>
          </w:p>
          <w:p w14:paraId="4384538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w:t>
            </w:r>
            <w:r>
              <w:rPr>
                <w:rFonts w:hint="eastAsia" w:asciiTheme="minorEastAsia" w:hAnsiTheme="minorEastAsia" w:eastAsiaTheme="minorEastAsia" w:cstheme="minorEastAsia"/>
                <w:b/>
                <w:bCs/>
                <w:snapToGrid w:val="0"/>
                <w:kern w:val="0"/>
                <w:sz w:val="21"/>
                <w:szCs w:val="21"/>
                <w:highlight w:val="none"/>
                <w:u w:val="single"/>
                <w:lang w:eastAsia="zh-CN"/>
              </w:rPr>
              <w:t xml:space="preserve"> 2 </w:t>
            </w:r>
            <w:r>
              <w:rPr>
                <w:rFonts w:hint="eastAsia" w:asciiTheme="minorEastAsia" w:hAnsiTheme="minorEastAsia" w:eastAsiaTheme="minorEastAsia" w:cstheme="minorEastAsia"/>
                <w:b/>
                <w:bCs/>
                <w:snapToGrid w:val="0"/>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22DA81A7">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【优】得该项评分因素分值的90%～100%（含90%）。</w:t>
            </w:r>
          </w:p>
          <w:p w14:paraId="7EE10BFB">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【良】得该项评分因素分值的80%～90%（含80%）。</w:t>
            </w:r>
          </w:p>
          <w:p w14:paraId="33C82DB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【中】得该项评分因素分值的70%～80%（含70%）。</w:t>
            </w:r>
          </w:p>
          <w:p w14:paraId="2FA5008B">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208E8385">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【优】总体布置有针对性、合理，较好满足施工需要，符合绿色施工、安全防护、文明施工要求。</w:t>
            </w:r>
          </w:p>
          <w:p w14:paraId="4C2E6187">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【良】总体布置合理，能满足施工需要，基本符合绿色施工、安全防护、文明施工要求。</w:t>
            </w:r>
          </w:p>
          <w:p w14:paraId="7E4A1B7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【中】总体布置基本合理，基本满足施工需要。</w:t>
            </w:r>
          </w:p>
          <w:p w14:paraId="61A92980">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【差】总体布置不合理，不符合绿色施工、安全防护、文明施工要求。</w:t>
            </w:r>
          </w:p>
        </w:tc>
      </w:tr>
      <w:tr w14:paraId="30544851">
        <w:tblPrEx>
          <w:tblCellMar>
            <w:top w:w="0" w:type="dxa"/>
            <w:left w:w="108" w:type="dxa"/>
            <w:bottom w:w="0" w:type="dxa"/>
            <w:right w:w="108" w:type="dxa"/>
          </w:tblCellMar>
        </w:tblPrEx>
        <w:trPr>
          <w:trHeight w:val="7090"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63309513">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项目</w:t>
            </w:r>
          </w:p>
          <w:p w14:paraId="794CB4A9">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管理机构</w:t>
            </w:r>
          </w:p>
          <w:p w14:paraId="05265A38">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w:t>
            </w:r>
            <w:r>
              <w:rPr>
                <w:rFonts w:hint="eastAsia" w:asciiTheme="minorEastAsia" w:hAnsiTheme="minorEastAsia" w:eastAsiaTheme="minorEastAsia" w:cstheme="minorEastAsia"/>
                <w:b/>
                <w:bCs/>
                <w:snapToGrid w:val="0"/>
                <w:kern w:val="0"/>
                <w:sz w:val="21"/>
                <w:szCs w:val="21"/>
                <w:highlight w:val="none"/>
                <w:u w:val="single"/>
                <w:lang w:eastAsia="zh-CN"/>
              </w:rPr>
              <w:t xml:space="preserve"> 3 </w:t>
            </w:r>
            <w:r>
              <w:rPr>
                <w:rFonts w:hint="eastAsia" w:asciiTheme="minorEastAsia" w:hAnsiTheme="minorEastAsia" w:eastAsiaTheme="minorEastAsia" w:cstheme="minorEastAsia"/>
                <w:b/>
                <w:bCs/>
                <w:snapToGrid w:val="0"/>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5FAE949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【优】得该项评分因素分值的90%～100%（含90%）。</w:t>
            </w:r>
          </w:p>
          <w:p w14:paraId="57897A8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【良】得该项评分因素分值的80%～90%（含80%）。</w:t>
            </w:r>
          </w:p>
          <w:p w14:paraId="1C8A769E">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【中】得该项评分因素分值的70%～80%（含70%）。</w:t>
            </w:r>
          </w:p>
          <w:p w14:paraId="16361E17">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7583BBE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【优】组织机构形式合理，有完善的指挥系统，生产及质量、绿色施工、安全、文明施工、创优达标监控系统、联络协调系统，项目管理人员内高级职称人员20%（含20%）以上、中级职称人员</w:t>
            </w:r>
            <w:r>
              <w:rPr>
                <w:rFonts w:hint="eastAsia" w:asciiTheme="minorEastAsia" w:hAnsiTheme="minorEastAsia" w:eastAsiaTheme="minorEastAsia" w:cstheme="minorEastAsia"/>
                <w:b/>
                <w:bCs/>
                <w:snapToGrid w:val="0"/>
                <w:kern w:val="0"/>
                <w:sz w:val="21"/>
                <w:szCs w:val="21"/>
                <w:highlight w:val="none"/>
                <w:lang w:eastAsia="zh-CN"/>
              </w:rPr>
              <w:t>及以上职称</w:t>
            </w:r>
            <w:r>
              <w:rPr>
                <w:rFonts w:hint="eastAsia" w:asciiTheme="minorEastAsia" w:hAnsiTheme="minorEastAsia" w:eastAsiaTheme="minorEastAsia" w:cstheme="minorEastAsia"/>
                <w:snapToGrid w:val="0"/>
                <w:kern w:val="0"/>
                <w:sz w:val="21"/>
                <w:szCs w:val="21"/>
                <w:highlight w:val="none"/>
                <w:lang w:eastAsia="zh-CN"/>
              </w:rPr>
              <w:t>60%（含60%）以上。</w:t>
            </w:r>
          </w:p>
          <w:p w14:paraId="32B87F3A">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【良】组织机构形式合理，指挥系统，生产及质量、绿色施工、安全、文明施工、创优达标监控系统、联络协调系统齐全，项目管理人员内高级职称人员15%～20%（含15%）、中级职称</w:t>
            </w:r>
            <w:r>
              <w:rPr>
                <w:rFonts w:hint="eastAsia" w:asciiTheme="minorEastAsia" w:hAnsiTheme="minorEastAsia" w:eastAsiaTheme="minorEastAsia" w:cstheme="minorEastAsia"/>
                <w:b/>
                <w:bCs/>
                <w:snapToGrid w:val="0"/>
                <w:kern w:val="0"/>
                <w:sz w:val="21"/>
                <w:szCs w:val="21"/>
                <w:highlight w:val="none"/>
                <w:lang w:eastAsia="zh-CN"/>
              </w:rPr>
              <w:t>及以上职称</w:t>
            </w:r>
            <w:r>
              <w:rPr>
                <w:rFonts w:hint="eastAsia" w:asciiTheme="minorEastAsia" w:hAnsiTheme="minorEastAsia" w:eastAsiaTheme="minorEastAsia" w:cstheme="minorEastAsia"/>
                <w:snapToGrid w:val="0"/>
                <w:kern w:val="0"/>
                <w:sz w:val="21"/>
                <w:szCs w:val="21"/>
                <w:highlight w:val="none"/>
                <w:lang w:eastAsia="zh-CN"/>
              </w:rPr>
              <w:t>人员50%～60%（含50%）。</w:t>
            </w:r>
          </w:p>
          <w:p w14:paraId="54429B21">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【中】组织机构形式基本合理，有指挥系统，生产及质量、绿色施工、安全、文明施工、创优达标监控系统、联络协调系统，项目管理人员内高级职称人员10%～15%（含10%）、中级职称人员</w:t>
            </w:r>
            <w:r>
              <w:rPr>
                <w:rFonts w:hint="eastAsia" w:asciiTheme="minorEastAsia" w:hAnsiTheme="minorEastAsia" w:eastAsiaTheme="minorEastAsia" w:cstheme="minorEastAsia"/>
                <w:b/>
                <w:bCs/>
                <w:snapToGrid w:val="0"/>
                <w:kern w:val="0"/>
                <w:sz w:val="21"/>
                <w:szCs w:val="21"/>
                <w:highlight w:val="none"/>
                <w:lang w:eastAsia="zh-CN"/>
              </w:rPr>
              <w:t>及以上职称</w:t>
            </w:r>
            <w:r>
              <w:rPr>
                <w:rFonts w:hint="eastAsia" w:asciiTheme="minorEastAsia" w:hAnsiTheme="minorEastAsia" w:eastAsiaTheme="minorEastAsia" w:cstheme="minorEastAsia"/>
                <w:snapToGrid w:val="0"/>
                <w:kern w:val="0"/>
                <w:sz w:val="21"/>
                <w:szCs w:val="21"/>
                <w:highlight w:val="none"/>
                <w:lang w:eastAsia="zh-CN"/>
              </w:rPr>
              <w:t>40%～50%（含40%）。</w:t>
            </w:r>
          </w:p>
          <w:p w14:paraId="6DAB4E56">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【差】组织机构形式合理，指挥系统，生产及质量、绿色施工、安全、文明施工、创优达标监控系统、联络协调系统不齐全，项目管理人员内高级职称人员10%以下、中级职称人员</w:t>
            </w:r>
            <w:r>
              <w:rPr>
                <w:rFonts w:hint="eastAsia" w:asciiTheme="minorEastAsia" w:hAnsiTheme="minorEastAsia" w:eastAsiaTheme="minorEastAsia" w:cstheme="minorEastAsia"/>
                <w:b/>
                <w:bCs/>
                <w:snapToGrid w:val="0"/>
                <w:kern w:val="0"/>
                <w:sz w:val="21"/>
                <w:szCs w:val="21"/>
                <w:highlight w:val="none"/>
                <w:lang w:eastAsia="zh-CN"/>
              </w:rPr>
              <w:t>及以上职称</w:t>
            </w:r>
            <w:r>
              <w:rPr>
                <w:rFonts w:hint="eastAsia" w:asciiTheme="minorEastAsia" w:hAnsiTheme="minorEastAsia" w:eastAsiaTheme="minorEastAsia" w:cstheme="minorEastAsia"/>
                <w:snapToGrid w:val="0"/>
                <w:kern w:val="0"/>
                <w:sz w:val="21"/>
                <w:szCs w:val="21"/>
                <w:highlight w:val="none"/>
                <w:lang w:eastAsia="zh-CN"/>
              </w:rPr>
              <w:t>40%以下。</w:t>
            </w:r>
          </w:p>
        </w:tc>
      </w:tr>
      <w:tr w14:paraId="61D74F99">
        <w:tblPrEx>
          <w:tblCellMar>
            <w:top w:w="0" w:type="dxa"/>
            <w:left w:w="108" w:type="dxa"/>
            <w:bottom w:w="0" w:type="dxa"/>
            <w:right w:w="108" w:type="dxa"/>
          </w:tblCellMar>
        </w:tblPrEx>
        <w:trPr>
          <w:trHeight w:val="554" w:hRule="exact"/>
          <w:jc w:val="center"/>
        </w:trPr>
        <w:tc>
          <w:tcPr>
            <w:tcW w:w="10307"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2B57F38F">
            <w:pPr>
              <w:widowControl w:val="0"/>
              <w:wordWrap w:val="0"/>
              <w:adjustRightInd w:val="0"/>
              <w:snapToGrid w:val="0"/>
              <w:spacing w:line="400" w:lineRule="exact"/>
              <w:jc w:val="both"/>
              <w:rPr>
                <w:rFonts w:hint="eastAsia" w:asciiTheme="minorEastAsia" w:hAnsiTheme="minorEastAsia" w:eastAsiaTheme="minorEastAsia" w:cstheme="minorEastAsia"/>
                <w:snapToGrid w:val="0"/>
                <w:kern w:val="0"/>
                <w:sz w:val="21"/>
                <w:szCs w:val="21"/>
                <w:highlight w:val="none"/>
                <w:lang w:val="en-US" w:eastAsia="zh-CN" w:bidi="ar-SA"/>
              </w:rPr>
            </w:pPr>
            <w:r>
              <w:rPr>
                <w:rFonts w:hint="eastAsia" w:asciiTheme="minorEastAsia" w:hAnsiTheme="minorEastAsia" w:eastAsiaTheme="minorEastAsia" w:cstheme="minorEastAsia"/>
                <w:b/>
                <w:bCs/>
                <w:snapToGrid w:val="0"/>
                <w:kern w:val="0"/>
                <w:sz w:val="24"/>
                <w:szCs w:val="24"/>
                <w:highlight w:val="none"/>
                <w:lang w:val="en-US" w:eastAsia="zh-CN" w:bidi="ar-SA"/>
              </w:rPr>
              <w:t>投标报价部分，满分：100分。</w:t>
            </w:r>
          </w:p>
        </w:tc>
      </w:tr>
      <w:tr w14:paraId="158278BC">
        <w:tblPrEx>
          <w:tblCellMar>
            <w:top w:w="0" w:type="dxa"/>
            <w:left w:w="108" w:type="dxa"/>
            <w:bottom w:w="0" w:type="dxa"/>
            <w:right w:w="108" w:type="dxa"/>
          </w:tblCellMar>
        </w:tblPrEx>
        <w:trPr>
          <w:trHeight w:val="451"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29EEAEA5">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评分事项</w:t>
            </w:r>
          </w:p>
        </w:tc>
        <w:tc>
          <w:tcPr>
            <w:tcW w:w="9091" w:type="dxa"/>
            <w:gridSpan w:val="2"/>
            <w:tcBorders>
              <w:top w:val="single" w:color="auto" w:sz="4" w:space="0"/>
              <w:left w:val="single" w:color="auto" w:sz="4" w:space="0"/>
              <w:bottom w:val="single" w:color="auto" w:sz="4" w:space="0"/>
              <w:right w:val="single" w:color="auto" w:sz="4" w:space="0"/>
            </w:tcBorders>
            <w:noWrap w:val="0"/>
            <w:vAlign w:val="center"/>
          </w:tcPr>
          <w:p w14:paraId="40B053FD">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评分方法</w:t>
            </w:r>
          </w:p>
        </w:tc>
      </w:tr>
      <w:tr w14:paraId="7C84A66C">
        <w:tblPrEx>
          <w:tblCellMar>
            <w:top w:w="0" w:type="dxa"/>
            <w:left w:w="108" w:type="dxa"/>
            <w:bottom w:w="0" w:type="dxa"/>
            <w:right w:w="108" w:type="dxa"/>
          </w:tblCellMar>
        </w:tblPrEx>
        <w:trPr>
          <w:trHeight w:val="632"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3517D891">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评标基准价D</w:t>
            </w:r>
          </w:p>
        </w:tc>
        <w:tc>
          <w:tcPr>
            <w:tcW w:w="9091" w:type="dxa"/>
            <w:gridSpan w:val="2"/>
            <w:tcBorders>
              <w:top w:val="single" w:color="auto" w:sz="4" w:space="0"/>
              <w:left w:val="single" w:color="auto" w:sz="4" w:space="0"/>
              <w:bottom w:val="single" w:color="auto" w:sz="4" w:space="0"/>
              <w:right w:val="single" w:color="auto" w:sz="4" w:space="0"/>
            </w:tcBorders>
            <w:noWrap w:val="0"/>
            <w:vAlign w:val="center"/>
          </w:tcPr>
          <w:p w14:paraId="18C1D6FE">
            <w:pPr>
              <w:widowControl w:val="0"/>
              <w:kinsoku/>
              <w:autoSpaceDE/>
              <w:autoSpaceDN/>
              <w:adjustRightInd w:val="0"/>
              <w:snapToGrid/>
              <w:spacing w:line="360" w:lineRule="atLeast"/>
              <w:jc w:val="left"/>
              <w:textAlignment w:val="baseline"/>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（1）确定</w:t>
            </w:r>
            <w:r>
              <w:rPr>
                <w:rFonts w:hint="eastAsia" w:asciiTheme="minorEastAsia" w:hAnsiTheme="minorEastAsia" w:eastAsiaTheme="minorEastAsia" w:cstheme="minorEastAsia"/>
                <w:snapToGrid/>
                <w:kern w:val="0"/>
                <w:sz w:val="21"/>
                <w:szCs w:val="21"/>
                <w:highlight w:val="none"/>
                <w:lang w:val="en-US" w:eastAsia="zh-CN"/>
              </w:rPr>
              <w:t>最高投标限价</w:t>
            </w:r>
            <w:r>
              <w:rPr>
                <w:rFonts w:hint="eastAsia" w:asciiTheme="minorEastAsia" w:hAnsiTheme="minorEastAsia" w:eastAsiaTheme="minorEastAsia" w:cstheme="minorEastAsia"/>
                <w:snapToGrid/>
                <w:kern w:val="0"/>
                <w:sz w:val="21"/>
                <w:szCs w:val="21"/>
                <w:highlight w:val="none"/>
                <w:lang w:eastAsia="zh-CN"/>
              </w:rPr>
              <w:t>下浮系数n：用1～21号球分别代表一个下浮系数，由评委代表从这21个号码中随机抽取 3 次，每次抽取1个号码，抽出的号球不参与下次抽取。所抽取的3个号码对应下浮系数的算术平均值作为</w:t>
            </w:r>
            <w:r>
              <w:rPr>
                <w:rFonts w:hint="eastAsia" w:asciiTheme="minorEastAsia" w:hAnsiTheme="minorEastAsia" w:eastAsiaTheme="minorEastAsia" w:cstheme="minorEastAsia"/>
                <w:snapToGrid/>
                <w:kern w:val="0"/>
                <w:sz w:val="21"/>
                <w:szCs w:val="21"/>
                <w:highlight w:val="none"/>
                <w:lang w:val="en-US" w:eastAsia="zh-CN"/>
              </w:rPr>
              <w:t>最高投标限价</w:t>
            </w:r>
            <w:r>
              <w:rPr>
                <w:rFonts w:hint="eastAsia" w:asciiTheme="minorEastAsia" w:hAnsiTheme="minorEastAsia" w:eastAsiaTheme="minorEastAsia" w:cstheme="minorEastAsia"/>
                <w:snapToGrid/>
                <w:kern w:val="0"/>
                <w:sz w:val="21"/>
                <w:szCs w:val="21"/>
                <w:highlight w:val="none"/>
                <w:lang w:eastAsia="zh-CN"/>
              </w:rPr>
              <w:t>下浮系数n。具体号码对应的下浮系数见下表。</w:t>
            </w:r>
          </w:p>
          <w:tbl>
            <w:tblPr>
              <w:tblStyle w:val="15"/>
              <w:tblW w:w="0" w:type="auto"/>
              <w:tblInd w:w="113" w:type="dxa"/>
              <w:tblLayout w:type="fixed"/>
              <w:tblCellMar>
                <w:top w:w="0" w:type="dxa"/>
                <w:left w:w="108" w:type="dxa"/>
                <w:bottom w:w="0" w:type="dxa"/>
                <w:right w:w="108" w:type="dxa"/>
              </w:tblCellMar>
            </w:tblPr>
            <w:tblGrid>
              <w:gridCol w:w="1731"/>
              <w:gridCol w:w="938"/>
              <w:gridCol w:w="1100"/>
              <w:gridCol w:w="1050"/>
              <w:gridCol w:w="987"/>
              <w:gridCol w:w="1038"/>
              <w:gridCol w:w="925"/>
              <w:gridCol w:w="850"/>
            </w:tblGrid>
            <w:tr w14:paraId="191B2DE9">
              <w:tblPrEx>
                <w:tblCellMar>
                  <w:top w:w="0" w:type="dxa"/>
                  <w:left w:w="108" w:type="dxa"/>
                  <w:bottom w:w="0" w:type="dxa"/>
                  <w:right w:w="108" w:type="dxa"/>
                </w:tblCellMar>
              </w:tblPrEx>
              <w:trPr>
                <w:trHeight w:val="446"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33B3354F">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号球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7A2D159">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C040223">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A41C674">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3</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3EA2E5A0">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4</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4275DAA5">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5</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8E7C29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6</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C76CFFF">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7</w:t>
                  </w:r>
                </w:p>
              </w:tc>
            </w:tr>
            <w:tr w14:paraId="06C62F3C">
              <w:tblPrEx>
                <w:tblCellMar>
                  <w:top w:w="0" w:type="dxa"/>
                  <w:left w:w="108" w:type="dxa"/>
                  <w:bottom w:w="0" w:type="dxa"/>
                  <w:right w:w="108" w:type="dxa"/>
                </w:tblCellMar>
              </w:tblPrEx>
              <w:trPr>
                <w:trHeight w:val="637"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16208630">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下浮系数（%）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ED74803">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1.0</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8F2A23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79FE412">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1.2</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07060249">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1.3</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02DB1FF">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1.4</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53B4A6D">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F28A581">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1.6</w:t>
                  </w:r>
                </w:p>
              </w:tc>
            </w:tr>
            <w:tr w14:paraId="4BED358B">
              <w:tblPrEx>
                <w:tblCellMar>
                  <w:top w:w="0" w:type="dxa"/>
                  <w:left w:w="108" w:type="dxa"/>
                  <w:bottom w:w="0" w:type="dxa"/>
                  <w:right w:w="108" w:type="dxa"/>
                </w:tblCellMar>
              </w:tblPrEx>
              <w:trPr>
                <w:trHeight w:val="571"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4F5B9A23">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号球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8DFE12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8</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927AB87">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A93D8A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10</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2F2EAD36">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11</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37D1069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12</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1DB84C9">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13</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A021317">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14</w:t>
                  </w:r>
                </w:p>
              </w:tc>
            </w:tr>
            <w:tr w14:paraId="4245F957">
              <w:tblPrEx>
                <w:tblCellMar>
                  <w:top w:w="0" w:type="dxa"/>
                  <w:left w:w="108" w:type="dxa"/>
                  <w:bottom w:w="0" w:type="dxa"/>
                  <w:right w:w="108" w:type="dxa"/>
                </w:tblCellMar>
              </w:tblPrEx>
              <w:trPr>
                <w:trHeight w:val="571"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52D38D3E">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下浮系数（%）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76C407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1.7</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519A4D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B74A72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1.9</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7CD7437">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2.0</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9742E11">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2.1</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EF5DFE5">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2.2</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E38BC32">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2.3</w:t>
                  </w:r>
                </w:p>
              </w:tc>
            </w:tr>
            <w:tr w14:paraId="063A84B1">
              <w:tblPrEx>
                <w:tblCellMar>
                  <w:top w:w="0" w:type="dxa"/>
                  <w:left w:w="108" w:type="dxa"/>
                  <w:bottom w:w="0" w:type="dxa"/>
                  <w:right w:w="108" w:type="dxa"/>
                </w:tblCellMar>
              </w:tblPrEx>
              <w:trPr>
                <w:trHeight w:val="522"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2771BA6E">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号球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5CF1976">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15</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A658089">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DCDD72F">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17</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A3B7B4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18</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0BC0424">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19</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02A819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58FDC2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21</w:t>
                  </w:r>
                </w:p>
              </w:tc>
            </w:tr>
            <w:tr w14:paraId="583A524D">
              <w:tblPrEx>
                <w:tblCellMar>
                  <w:top w:w="0" w:type="dxa"/>
                  <w:left w:w="108" w:type="dxa"/>
                  <w:bottom w:w="0" w:type="dxa"/>
                  <w:right w:w="108" w:type="dxa"/>
                </w:tblCellMar>
              </w:tblPrEx>
              <w:trPr>
                <w:trHeight w:val="675"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790E2A4E">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下浮系数（%）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0C74519">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2.4</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922E613">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90D992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2.6</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A6CFC52">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2.7</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3CB0FD5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2.8</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AD22F27">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2.9</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71F0BF1">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3.0</w:t>
                  </w:r>
                </w:p>
              </w:tc>
            </w:tr>
          </w:tbl>
          <w:p w14:paraId="604F1991">
            <w:pPr>
              <w:widowControl w:val="0"/>
              <w:kinsoku/>
              <w:autoSpaceDE/>
              <w:autoSpaceDN/>
              <w:adjustRightInd w:val="0"/>
              <w:snapToGrid/>
              <w:spacing w:line="360" w:lineRule="atLeast"/>
              <w:jc w:val="left"/>
              <w:textAlignment w:val="baseline"/>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（2）评标基准价D＝</w:t>
            </w:r>
            <w:r>
              <w:rPr>
                <w:rFonts w:hint="eastAsia" w:asciiTheme="minorEastAsia" w:hAnsiTheme="minorEastAsia" w:eastAsiaTheme="minorEastAsia" w:cstheme="minorEastAsia"/>
                <w:snapToGrid/>
                <w:kern w:val="0"/>
                <w:sz w:val="21"/>
                <w:szCs w:val="21"/>
                <w:highlight w:val="none"/>
                <w:lang w:val="en-US" w:eastAsia="zh-CN"/>
              </w:rPr>
              <w:t>最高投标限价</w:t>
            </w:r>
            <w:r>
              <w:rPr>
                <w:rFonts w:hint="eastAsia" w:asciiTheme="minorEastAsia" w:hAnsiTheme="minorEastAsia" w:eastAsiaTheme="minorEastAsia" w:cstheme="minorEastAsia"/>
                <w:snapToGrid/>
                <w:kern w:val="0"/>
                <w:sz w:val="21"/>
                <w:szCs w:val="21"/>
                <w:highlight w:val="none"/>
                <w:lang w:eastAsia="zh-CN"/>
              </w:rPr>
              <w:t>×（1－n）</w:t>
            </w:r>
          </w:p>
        </w:tc>
      </w:tr>
      <w:tr w14:paraId="601E7FAF">
        <w:tblPrEx>
          <w:tblCellMar>
            <w:top w:w="0" w:type="dxa"/>
            <w:left w:w="108" w:type="dxa"/>
            <w:bottom w:w="0" w:type="dxa"/>
            <w:right w:w="108" w:type="dxa"/>
          </w:tblCellMar>
        </w:tblPrEx>
        <w:trPr>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20E2DAA5">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投标报价</w:t>
            </w:r>
          </w:p>
          <w:p w14:paraId="67DA4203">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得分N</w:t>
            </w:r>
          </w:p>
        </w:tc>
        <w:tc>
          <w:tcPr>
            <w:tcW w:w="9091" w:type="dxa"/>
            <w:gridSpan w:val="2"/>
            <w:tcBorders>
              <w:top w:val="single" w:color="auto" w:sz="4" w:space="0"/>
              <w:left w:val="single" w:color="auto" w:sz="4" w:space="0"/>
              <w:bottom w:val="single" w:color="auto" w:sz="4" w:space="0"/>
              <w:right w:val="single" w:color="auto" w:sz="4" w:space="0"/>
            </w:tcBorders>
            <w:noWrap w:val="0"/>
            <w:vAlign w:val="center"/>
          </w:tcPr>
          <w:p w14:paraId="5CC7694C">
            <w:pPr>
              <w:widowControl w:val="0"/>
              <w:kinsoku/>
              <w:autoSpaceDE/>
              <w:autoSpaceDN/>
              <w:adjustRightInd w:val="0"/>
              <w:snapToGrid/>
              <w:spacing w:line="360" w:lineRule="atLeast"/>
              <w:jc w:val="left"/>
              <w:textAlignment w:val="baseline"/>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采用内插法计算某投标人的投标报价得分N，即当投标人的投标总价等于评标基准价时得100分，每高于评标基准价一个百分点扣</w:t>
            </w:r>
            <w:r>
              <w:rPr>
                <w:rFonts w:hint="eastAsia" w:asciiTheme="minorEastAsia" w:hAnsiTheme="minorEastAsia" w:eastAsiaTheme="minorEastAsia" w:cstheme="minorEastAsia"/>
                <w:b/>
                <w:bCs/>
                <w:snapToGrid/>
                <w:kern w:val="0"/>
                <w:sz w:val="21"/>
                <w:szCs w:val="21"/>
                <w:highlight w:val="none"/>
                <w:lang w:eastAsia="zh-CN"/>
              </w:rPr>
              <w:t>1分</w:t>
            </w:r>
            <w:r>
              <w:rPr>
                <w:rFonts w:hint="eastAsia" w:asciiTheme="minorEastAsia" w:hAnsiTheme="minorEastAsia" w:eastAsiaTheme="minorEastAsia" w:cstheme="minorEastAsia"/>
                <w:snapToGrid/>
                <w:kern w:val="0"/>
                <w:sz w:val="21"/>
                <w:szCs w:val="21"/>
                <w:highlight w:val="none"/>
                <w:lang w:eastAsia="zh-CN"/>
              </w:rPr>
              <w:t>, 每低于评标基准价一个百分点扣</w:t>
            </w:r>
            <w:r>
              <w:rPr>
                <w:rFonts w:hint="eastAsia" w:asciiTheme="minorEastAsia" w:hAnsiTheme="minorEastAsia" w:eastAsiaTheme="minorEastAsia" w:cstheme="minorEastAsia"/>
                <w:b/>
                <w:bCs/>
                <w:snapToGrid/>
                <w:kern w:val="0"/>
                <w:sz w:val="21"/>
                <w:szCs w:val="21"/>
                <w:highlight w:val="none"/>
                <w:lang w:eastAsia="zh-CN"/>
              </w:rPr>
              <w:t>0.5分</w:t>
            </w:r>
            <w:r>
              <w:rPr>
                <w:rFonts w:hint="eastAsia" w:asciiTheme="minorEastAsia" w:hAnsiTheme="minorEastAsia" w:eastAsiaTheme="minorEastAsia" w:cstheme="minorEastAsia"/>
                <w:snapToGrid/>
                <w:kern w:val="0"/>
                <w:sz w:val="21"/>
                <w:szCs w:val="21"/>
                <w:highlight w:val="none"/>
                <w:lang w:eastAsia="zh-CN"/>
              </w:rPr>
              <w:t>，扣完为止。公式如下：</w:t>
            </w:r>
          </w:p>
          <w:p w14:paraId="56931477">
            <w:pPr>
              <w:widowControl w:val="0"/>
              <w:kinsoku/>
              <w:autoSpaceDE/>
              <w:autoSpaceDN/>
              <w:adjustRightInd w:val="0"/>
              <w:snapToGrid/>
              <w:spacing w:line="360" w:lineRule="atLeast"/>
              <w:jc w:val="left"/>
              <w:textAlignment w:val="baseline"/>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N＝100－（| Di－D | ÷D）×100×E</w:t>
            </w:r>
          </w:p>
          <w:p w14:paraId="398AFD9E">
            <w:pPr>
              <w:widowControl w:val="0"/>
              <w:kinsoku/>
              <w:autoSpaceDE/>
              <w:autoSpaceDN/>
              <w:adjustRightInd w:val="0"/>
              <w:snapToGrid/>
              <w:spacing w:line="360" w:lineRule="atLeast"/>
              <w:jc w:val="left"/>
              <w:textAlignment w:val="baseline"/>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式中：D为评标基准价；Di为某投标人的投标总价；E为扣分因子，当Di＞D时，E＝</w:t>
            </w:r>
            <w:r>
              <w:rPr>
                <w:rFonts w:hint="eastAsia" w:asciiTheme="minorEastAsia" w:hAnsiTheme="minorEastAsia" w:eastAsiaTheme="minorEastAsia" w:cstheme="minorEastAsia"/>
                <w:b/>
                <w:bCs/>
                <w:snapToGrid/>
                <w:kern w:val="0"/>
                <w:sz w:val="21"/>
                <w:szCs w:val="21"/>
                <w:highlight w:val="none"/>
                <w:lang w:eastAsia="zh-CN"/>
              </w:rPr>
              <w:t>1</w:t>
            </w:r>
            <w:r>
              <w:rPr>
                <w:rFonts w:hint="eastAsia" w:asciiTheme="minorEastAsia" w:hAnsiTheme="minorEastAsia" w:eastAsiaTheme="minorEastAsia" w:cstheme="minorEastAsia"/>
                <w:snapToGrid/>
                <w:kern w:val="0"/>
                <w:sz w:val="21"/>
                <w:szCs w:val="21"/>
                <w:highlight w:val="none"/>
                <w:lang w:eastAsia="zh-CN"/>
              </w:rPr>
              <w:t xml:space="preserve"> ；当Di＜D时，E＝</w:t>
            </w:r>
            <w:r>
              <w:rPr>
                <w:rFonts w:hint="eastAsia" w:asciiTheme="minorEastAsia" w:hAnsiTheme="minorEastAsia" w:eastAsiaTheme="minorEastAsia" w:cstheme="minorEastAsia"/>
                <w:b/>
                <w:bCs/>
                <w:snapToGrid/>
                <w:kern w:val="0"/>
                <w:sz w:val="21"/>
                <w:szCs w:val="21"/>
                <w:highlight w:val="none"/>
                <w:lang w:eastAsia="zh-CN"/>
              </w:rPr>
              <w:t>0.5</w:t>
            </w:r>
            <w:r>
              <w:rPr>
                <w:rFonts w:hint="eastAsia" w:asciiTheme="minorEastAsia" w:hAnsiTheme="minorEastAsia" w:eastAsiaTheme="minorEastAsia" w:cstheme="minorEastAsia"/>
                <w:snapToGrid/>
                <w:kern w:val="0"/>
                <w:sz w:val="21"/>
                <w:szCs w:val="21"/>
                <w:highlight w:val="none"/>
                <w:lang w:eastAsia="zh-CN"/>
              </w:rPr>
              <w:t>。</w:t>
            </w:r>
          </w:p>
        </w:tc>
      </w:tr>
    </w:tbl>
    <w:p w14:paraId="10F9B04B">
      <w:pPr>
        <w:pStyle w:val="25"/>
        <w:jc w:val="both"/>
        <w:rPr>
          <w:rFonts w:hint="eastAsia"/>
          <w:highlight w:val="none"/>
        </w:rPr>
      </w:pPr>
    </w:p>
    <w:p w14:paraId="1121F9B5">
      <w:pPr>
        <w:keepNext w:val="0"/>
        <w:keepLines w:val="0"/>
        <w:pageBreakBefore w:val="0"/>
        <w:wordWrap w:val="0"/>
        <w:overflowPunct/>
        <w:topLinePunct w:val="0"/>
        <w:bidi w:val="0"/>
        <w:spacing w:before="98" w:line="221" w:lineRule="auto"/>
        <w:ind w:left="4248"/>
        <w:outlineLvl w:val="9"/>
        <w:rPr>
          <w:rFonts w:hint="eastAsia" w:ascii="宋体" w:hAnsi="宋体" w:eastAsia="宋体" w:cs="宋体"/>
          <w:color w:val="auto"/>
          <w:spacing w:val="0"/>
          <w:sz w:val="30"/>
          <w:szCs w:val="30"/>
          <w:highlight w:val="none"/>
        </w:rPr>
      </w:pPr>
    </w:p>
    <w:p w14:paraId="1C0C5678">
      <w:pPr>
        <w:keepNext w:val="0"/>
        <w:keepLines w:val="0"/>
        <w:pageBreakBefore w:val="0"/>
        <w:wordWrap w:val="0"/>
        <w:overflowPunct/>
        <w:topLinePunct w:val="0"/>
        <w:bidi w:val="0"/>
        <w:spacing w:before="5"/>
        <w:rPr>
          <w:rFonts w:hint="eastAsia" w:ascii="宋体" w:hAnsi="宋体" w:eastAsia="宋体" w:cs="宋体"/>
          <w:color w:val="auto"/>
          <w:spacing w:val="0"/>
          <w:highlight w:val="none"/>
        </w:rPr>
      </w:pPr>
    </w:p>
    <w:p w14:paraId="008A750B">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bookmarkStart w:id="131" w:name="_Toc31744"/>
      <w:bookmarkStart w:id="132" w:name="_Toc5769"/>
      <w:bookmarkStart w:id="133" w:name="_Toc17436"/>
      <w:bookmarkStart w:id="134" w:name="_Toc9725"/>
      <w:r>
        <w:rPr>
          <w:rFonts w:hint="eastAsia" w:ascii="宋体" w:hAnsi="宋体" w:eastAsia="宋体" w:cs="宋体"/>
          <w:b/>
          <w:bCs/>
          <w:color w:val="auto"/>
          <w:spacing w:val="0"/>
          <w:sz w:val="24"/>
          <w:szCs w:val="24"/>
          <w:highlight w:val="none"/>
        </w:rPr>
        <w:br w:type="page"/>
      </w:r>
    </w:p>
    <w:bookmarkEnd w:id="131"/>
    <w:bookmarkEnd w:id="132"/>
    <w:bookmarkEnd w:id="133"/>
    <w:bookmarkEnd w:id="134"/>
    <w:p w14:paraId="4C2E53D2">
      <w:pPr>
        <w:keepNext w:val="0"/>
        <w:keepLines w:val="0"/>
        <w:pageBreakBefore w:val="0"/>
        <w:wordWrap w:val="0"/>
        <w:overflowPunct/>
        <w:topLinePunct w:val="0"/>
        <w:bidi w:val="0"/>
        <w:spacing w:before="155" w:line="211" w:lineRule="auto"/>
        <w:ind w:firstLine="482" w:firstLineChars="200"/>
        <w:outlineLvl w:val="9"/>
        <w:rPr>
          <w:rFonts w:hint="eastAsia" w:ascii="宋体" w:hAnsi="宋体" w:eastAsia="宋体" w:cs="宋体"/>
          <w:color w:val="auto"/>
          <w:spacing w:val="0"/>
          <w:sz w:val="25"/>
          <w:szCs w:val="25"/>
          <w:highlight w:val="none"/>
        </w:rPr>
      </w:pPr>
      <w:bookmarkStart w:id="135" w:name="bookmark137"/>
      <w:bookmarkEnd w:id="135"/>
      <w:bookmarkStart w:id="136" w:name="bookmark138"/>
      <w:bookmarkEnd w:id="136"/>
      <w:r>
        <w:rPr>
          <w:rFonts w:hint="eastAsia" w:ascii="宋体" w:hAnsi="宋体" w:eastAsia="宋体" w:cs="宋体"/>
          <w:b/>
          <w:bCs/>
          <w:color w:val="auto"/>
          <w:spacing w:val="0"/>
          <w:sz w:val="24"/>
          <w:szCs w:val="24"/>
          <w:highlight w:val="none"/>
        </w:rPr>
        <w:t xml:space="preserve">15.5.2  </w:t>
      </w:r>
      <w:r>
        <w:rPr>
          <w:rFonts w:hint="eastAsia" w:ascii="宋体" w:hAnsi="宋体" w:eastAsia="宋体" w:cs="宋体"/>
          <w:color w:val="auto"/>
          <w:spacing w:val="0"/>
          <w:sz w:val="24"/>
          <w:szCs w:val="24"/>
          <w:highlight w:val="none"/>
        </w:rPr>
        <w:t>否决投标说明</w:t>
      </w:r>
    </w:p>
    <w:p w14:paraId="1C3B22D9">
      <w:pPr>
        <w:keepNext w:val="0"/>
        <w:keepLines w:val="0"/>
        <w:pageBreakBefore w:val="0"/>
        <w:wordWrap w:val="0"/>
        <w:overflowPunct/>
        <w:topLinePunct w:val="0"/>
        <w:bidi w:val="0"/>
        <w:spacing w:before="150" w:line="332" w:lineRule="auto"/>
        <w:ind w:left="10" w:right="195" w:firstLine="56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详细评审阶段否决投标的全部条件，在本章第四节“否决投标条件 ”第 4 条中集中列示。投标人有其中所列任何一种情形的，由评标委员会否决其投标。评标委员会经评审，认为所有投标都不符合招标文件要求的，可否决所有投标，项目的所有投标被否决的，招标人应依法重新组织招标。</w:t>
      </w:r>
    </w:p>
    <w:p w14:paraId="4B1E3531">
      <w:pPr>
        <w:keepNext w:val="0"/>
        <w:keepLines w:val="0"/>
        <w:pageBreakBefore w:val="0"/>
        <w:wordWrap w:val="0"/>
        <w:overflowPunct/>
        <w:topLinePunct w:val="0"/>
        <w:bidi w:val="0"/>
        <w:spacing w:before="59" w:line="330" w:lineRule="auto"/>
        <w:ind w:left="10" w:right="195" w:firstLine="480"/>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lang w:val="en-US" w:eastAsia="zh-CN"/>
        </w:rPr>
        <w:t>温馨提示</w:t>
      </w:r>
      <w:r>
        <w:rPr>
          <w:rFonts w:hint="eastAsia" w:ascii="宋体" w:hAnsi="宋体" w:eastAsia="宋体" w:cs="宋体"/>
          <w:b/>
          <w:bCs/>
          <w:color w:val="auto"/>
          <w:spacing w:val="0"/>
          <w:sz w:val="24"/>
          <w:szCs w:val="24"/>
          <w:highlight w:val="none"/>
        </w:rPr>
        <w:t>：投标人在详细评审阶段根据评分方法提供的佐证材料，其合法性、有效性和准确性不符合要求的，有关量化因素（或评分因素）的折算、调整（或评分）按相应量化标准（或评分标准）处理，但不否决投标。</w:t>
      </w:r>
    </w:p>
    <w:p w14:paraId="69E9356F">
      <w:pPr>
        <w:keepNext w:val="0"/>
        <w:keepLines w:val="0"/>
        <w:pageBreakBefore w:val="0"/>
        <w:wordWrap w:val="0"/>
        <w:overflowPunct/>
        <w:topLinePunct w:val="0"/>
        <w:bidi w:val="0"/>
        <w:spacing w:before="78" w:line="220" w:lineRule="auto"/>
        <w:ind w:left="496"/>
        <w:outlineLvl w:val="2"/>
        <w:rPr>
          <w:rFonts w:hint="eastAsia" w:ascii="宋体" w:hAnsi="宋体" w:eastAsia="宋体" w:cs="宋体"/>
          <w:color w:val="auto"/>
          <w:spacing w:val="0"/>
          <w:sz w:val="24"/>
          <w:szCs w:val="24"/>
          <w:highlight w:val="none"/>
          <w:lang w:eastAsia="zh-CN"/>
        </w:rPr>
      </w:pPr>
      <w:bookmarkStart w:id="137" w:name="_Toc1221"/>
      <w:bookmarkStart w:id="138" w:name="_Toc6322"/>
      <w:bookmarkStart w:id="139" w:name="_Toc16384"/>
      <w:r>
        <w:rPr>
          <w:rFonts w:hint="eastAsia" w:ascii="宋体" w:hAnsi="宋体" w:eastAsia="宋体" w:cs="宋体"/>
          <w:b/>
          <w:bCs/>
          <w:color w:val="auto"/>
          <w:spacing w:val="0"/>
          <w:sz w:val="24"/>
          <w:szCs w:val="24"/>
          <w:highlight w:val="none"/>
        </w:rPr>
        <w:t>16 ．</w:t>
      </w:r>
      <w:r>
        <w:rPr>
          <w:rFonts w:hint="eastAsia" w:ascii="宋体" w:hAnsi="宋体" w:eastAsia="宋体" w:cs="宋体"/>
          <w:b/>
          <w:bCs/>
          <w:color w:val="auto"/>
          <w:spacing w:val="0"/>
          <w:sz w:val="24"/>
          <w:szCs w:val="24"/>
          <w:highlight w:val="none"/>
          <w:lang w:val="en-US" w:eastAsia="zh-CN"/>
        </w:rPr>
        <w:t>定</w:t>
      </w:r>
      <w:r>
        <w:rPr>
          <w:rFonts w:hint="eastAsia" w:ascii="宋体" w:hAnsi="宋体" w:eastAsia="宋体" w:cs="宋体"/>
          <w:b/>
          <w:bCs/>
          <w:color w:val="auto"/>
          <w:spacing w:val="0"/>
          <w:sz w:val="24"/>
          <w:szCs w:val="24"/>
          <w:highlight w:val="none"/>
        </w:rPr>
        <w:t>标</w:t>
      </w:r>
      <w:bookmarkEnd w:id="137"/>
      <w:bookmarkEnd w:id="138"/>
      <w:bookmarkEnd w:id="139"/>
    </w:p>
    <w:p w14:paraId="6E4542A3">
      <w:pPr>
        <w:keepNext w:val="0"/>
        <w:keepLines w:val="0"/>
        <w:pageBreakBefore w:val="0"/>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rPr>
        <w:t>16.</w:t>
      </w:r>
      <w:r>
        <w:rPr>
          <w:rFonts w:hint="eastAsia" w:ascii="宋体" w:hAnsi="宋体" w:eastAsia="宋体" w:cs="宋体"/>
          <w:b/>
          <w:bCs/>
          <w:color w:val="auto"/>
          <w:spacing w:val="0"/>
          <w:sz w:val="24"/>
          <w:szCs w:val="24"/>
          <w:highlight w:val="none"/>
          <w:lang w:val="en-US" w:eastAsia="zh-CN"/>
        </w:rPr>
        <w:t>1</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定标办法</w:t>
      </w:r>
    </w:p>
    <w:p w14:paraId="63682938">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strike w:val="0"/>
          <w:dstrike w:val="0"/>
          <w:color w:val="auto"/>
          <w:kern w:val="2"/>
          <w:sz w:val="24"/>
          <w:szCs w:val="24"/>
          <w:highlight w:val="none"/>
          <w:u w:val="none"/>
          <w:lang w:val="en-US" w:eastAsia="zh-CN" w:bidi="ar-SA"/>
        </w:rPr>
      </w:pPr>
      <w:r>
        <w:rPr>
          <w:rFonts w:hint="eastAsia" w:ascii="宋体" w:hAnsi="宋体" w:eastAsia="宋体" w:cs="宋体"/>
          <w:strike w:val="0"/>
          <w:dstrike w:val="0"/>
          <w:color w:val="auto"/>
          <w:kern w:val="2"/>
          <w:sz w:val="24"/>
          <w:szCs w:val="24"/>
          <w:highlight w:val="none"/>
          <w:u w:val="none"/>
          <w:lang w:val="en-US" w:eastAsia="zh-CN" w:bidi="ar-SA"/>
        </w:rPr>
        <w:t>本项目定标办法由招标人按本投标人须知前附表的规定确定。</w:t>
      </w:r>
    </w:p>
    <w:p w14:paraId="53903B96">
      <w:pPr>
        <w:pStyle w:val="13"/>
        <w:keepNext w:val="0"/>
        <w:keepLines w:val="0"/>
        <w:pageBreakBefore w:val="0"/>
        <w:widowControl w:val="0"/>
        <w:kinsoku/>
        <w:wordWrap/>
        <w:overflowPunct/>
        <w:topLinePunct w:val="0"/>
        <w:autoSpaceDE/>
        <w:autoSpaceDN w:val="0"/>
        <w:bidi w:val="0"/>
        <w:adjustRightInd/>
        <w:snapToGrid/>
        <w:spacing w:before="0" w:beforeLines="0" w:beforeAutospacing="0" w:after="0" w:afterLines="0" w:afterAutospacing="0" w:line="360" w:lineRule="auto"/>
        <w:ind w:left="0" w:leftChars="0" w:right="0" w:rightChars="0" w:firstLine="48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bCs/>
          <w:color w:val="auto"/>
          <w:spacing w:val="0"/>
          <w:sz w:val="24"/>
          <w:szCs w:val="24"/>
          <w:highlight w:val="none"/>
        </w:rPr>
        <w:t>1</w:t>
      </w:r>
      <w:r>
        <w:rPr>
          <w:rFonts w:hint="eastAsia" w:ascii="宋体" w:hAnsi="宋体" w:eastAsia="宋体" w:cs="宋体"/>
          <w:b/>
          <w:bCs/>
          <w:color w:val="auto"/>
          <w:spacing w:val="0"/>
          <w:sz w:val="24"/>
          <w:szCs w:val="24"/>
          <w:highlight w:val="none"/>
          <w:lang w:val="en-US" w:eastAsia="zh-CN"/>
        </w:rPr>
        <w:t>6</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val="en-US" w:eastAsia="zh-CN"/>
        </w:rPr>
        <w:t>2</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定标依据：</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（1）现行的法律、法规、规章、规范性文件及国家、省、市各级政府部门工作文件规定；</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（2）招标文件及其他补充通知和补充资料；</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（3）评标报告以及定标候选人推荐名单；</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（4）定标候选人的投标文件；</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（5）开、评标全过程资料；</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（6）对定标候选人的考察评价资料（如有）；</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（7）关于本工程的其他相关资料。</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b/>
          <w:bCs/>
          <w:color w:val="auto"/>
          <w:spacing w:val="0"/>
          <w:sz w:val="24"/>
          <w:szCs w:val="24"/>
          <w:highlight w:val="none"/>
        </w:rPr>
        <w:t>1</w:t>
      </w:r>
      <w:r>
        <w:rPr>
          <w:rFonts w:hint="eastAsia" w:ascii="宋体" w:hAnsi="宋体" w:eastAsia="宋体" w:cs="宋体"/>
          <w:b/>
          <w:bCs/>
          <w:color w:val="auto"/>
          <w:spacing w:val="0"/>
          <w:sz w:val="24"/>
          <w:szCs w:val="24"/>
          <w:highlight w:val="none"/>
          <w:lang w:val="en-US" w:eastAsia="zh-CN"/>
        </w:rPr>
        <w:t>6</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val="en-US" w:eastAsia="zh-CN"/>
        </w:rPr>
        <w:t>2</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定标监督小组：</w:t>
      </w:r>
      <w:r>
        <w:rPr>
          <w:rFonts w:hint="eastAsia" w:ascii="宋体" w:hAnsi="宋体" w:eastAsia="宋体" w:cs="宋体"/>
          <w:b/>
          <w:bCs/>
          <w:color w:val="auto"/>
          <w:spacing w:val="0"/>
          <w:sz w:val="24"/>
          <w:szCs w:val="24"/>
          <w:highlight w:val="none"/>
          <w:lang w:val="en-US" w:eastAsia="zh-CN"/>
        </w:rPr>
        <w:br w:type="textWrapping"/>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strike w:val="0"/>
          <w:dstrike w:val="0"/>
          <w:color w:val="auto"/>
          <w:kern w:val="2"/>
          <w:sz w:val="24"/>
          <w:szCs w:val="24"/>
          <w:highlight w:val="none"/>
          <w:u w:val="none"/>
          <w:lang w:val="en-US" w:eastAsia="zh-CN"/>
        </w:rPr>
        <w:t>招标人应组建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14:paraId="531CF4E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b/>
          <w:bCs/>
          <w:color w:val="auto"/>
          <w:spacing w:val="0"/>
          <w:sz w:val="24"/>
          <w:szCs w:val="24"/>
          <w:highlight w:val="none"/>
        </w:rPr>
        <w:t>1</w:t>
      </w:r>
      <w:r>
        <w:rPr>
          <w:rFonts w:hint="eastAsia" w:ascii="宋体" w:hAnsi="宋体" w:eastAsia="宋体" w:cs="宋体"/>
          <w:b/>
          <w:bCs/>
          <w:color w:val="auto"/>
          <w:spacing w:val="0"/>
          <w:sz w:val="24"/>
          <w:szCs w:val="24"/>
          <w:highlight w:val="none"/>
          <w:lang w:val="en-US" w:eastAsia="zh-CN"/>
        </w:rPr>
        <w:t>6</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val="en-US" w:eastAsia="zh-CN"/>
        </w:rPr>
        <w:t>3</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定标委员会：</w:t>
      </w:r>
      <w:r>
        <w:rPr>
          <w:rFonts w:hint="eastAsia" w:ascii="宋体" w:hAnsi="宋体" w:eastAsia="宋体" w:cs="宋体"/>
          <w:b/>
          <w:bCs/>
          <w:color w:val="auto"/>
          <w:spacing w:val="0"/>
          <w:sz w:val="24"/>
          <w:szCs w:val="24"/>
          <w:highlight w:val="none"/>
          <w:lang w:val="en-US" w:eastAsia="zh-CN"/>
        </w:rPr>
        <w:br w:type="textWrapping"/>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val="0"/>
          <w:bCs w:val="0"/>
          <w:color w:val="auto"/>
          <w:sz w:val="24"/>
          <w:szCs w:val="24"/>
          <w:highlight w:val="none"/>
          <w:u w:val="none"/>
          <w:lang w:val="en-US" w:eastAsia="zh-CN"/>
        </w:rPr>
        <w:t>招标人负责组建定标委员会，由项目业主的法定代表人或者主要负责人担任定标委员会组长。定标委员会的组成方式和人员由招标人按相关规定自行确定。招标项目对技术、商务等有特别要求的可从广东省综合评标评审专家库（韶关区域）抽取专家(外部人员）补足，成员数量为7人及以上单数，成员数量应在招标文件中明确。专家人数原则上不超过2人。定标委员会成员数量在本投标人须知前附表中约定。</w:t>
      </w:r>
    </w:p>
    <w:p w14:paraId="51E7D2BB">
      <w:pPr>
        <w:keepNext w:val="0"/>
        <w:keepLines w:val="0"/>
        <w:pageBreakBefore w:val="0"/>
        <w:widowControl/>
        <w:kinsoku w:val="0"/>
        <w:wordWrap w:val="0"/>
        <w:overflowPunct/>
        <w:topLinePunct w:val="0"/>
        <w:autoSpaceDE w:val="0"/>
        <w:autoSpaceDN w:val="0"/>
        <w:bidi w:val="0"/>
        <w:adjustRightInd w:val="0"/>
        <w:snapToGrid w:val="0"/>
        <w:spacing w:before="0" w:beforeLines="100" w:line="360" w:lineRule="auto"/>
        <w:ind w:left="239" w:leftChars="114" w:right="0" w:firstLine="241" w:firstLineChars="100"/>
        <w:jc w:val="left"/>
        <w:textAlignment w:val="baseline"/>
        <w:rPr>
          <w:rFonts w:hint="default" w:ascii="宋体" w:hAnsi="宋体" w:eastAsia="宋体" w:cs="宋体"/>
          <w:color w:val="auto"/>
          <w:spacing w:val="0"/>
          <w:sz w:val="24"/>
          <w:szCs w:val="24"/>
          <w:highlight w:val="none"/>
          <w:lang w:val="en-US"/>
        </w:rPr>
      </w:pPr>
      <w:r>
        <w:rPr>
          <w:rFonts w:hint="eastAsia" w:ascii="宋体" w:hAnsi="宋体" w:eastAsia="宋体" w:cs="宋体"/>
          <w:b/>
          <w:bCs/>
          <w:color w:val="auto"/>
          <w:spacing w:val="0"/>
          <w:sz w:val="24"/>
          <w:szCs w:val="24"/>
          <w:highlight w:val="none"/>
          <w:lang w:val="en-US" w:eastAsia="zh-CN"/>
        </w:rPr>
        <w:t>16.4</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w:t>
      </w:r>
      <w:r>
        <w:rPr>
          <w:rFonts w:hint="eastAsia" w:ascii="宋体" w:hAnsi="宋体" w:eastAsia="宋体" w:cs="宋体"/>
          <w:b/>
          <w:bCs/>
          <w:color w:val="auto"/>
          <w:spacing w:val="0"/>
          <w:sz w:val="24"/>
          <w:szCs w:val="24"/>
          <w:highlight w:val="none"/>
        </w:rPr>
        <w:t>标</w:t>
      </w:r>
      <w:r>
        <w:rPr>
          <w:rFonts w:hint="eastAsia" w:ascii="宋体" w:hAnsi="宋体" w:eastAsia="宋体" w:cs="宋体"/>
          <w:b/>
          <w:bCs/>
          <w:color w:val="auto"/>
          <w:spacing w:val="0"/>
          <w:sz w:val="24"/>
          <w:szCs w:val="24"/>
          <w:highlight w:val="none"/>
          <w:lang w:val="en-US" w:eastAsia="zh-CN"/>
        </w:rPr>
        <w:t>细则</w:t>
      </w:r>
    </w:p>
    <w:p w14:paraId="36FC19F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本项目采用票决数量法定标。</w:t>
      </w:r>
    </w:p>
    <w:p w14:paraId="3CAC4D2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eastAsia="zh-CN"/>
        </w:rPr>
      </w:pPr>
      <w:r>
        <w:rPr>
          <w:rFonts w:hint="eastAsia" w:ascii="宋体" w:hAnsi="宋体" w:eastAsia="宋体" w:cs="宋体"/>
          <w:b/>
          <w:bCs/>
          <w:color w:val="auto"/>
          <w:spacing w:val="0"/>
          <w:position w:val="0"/>
          <w:sz w:val="24"/>
          <w:szCs w:val="24"/>
          <w:highlight w:val="none"/>
          <w:u w:val="none" w:color="auto"/>
          <w:lang w:val="en-US" w:eastAsia="zh-CN"/>
        </w:rPr>
        <w:t>16.4.1票决数量法程序</w:t>
      </w:r>
    </w:p>
    <w:p w14:paraId="63AA323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i w:val="0"/>
          <w:snapToGrid/>
          <w:color w:val="auto"/>
          <w:sz w:val="24"/>
          <w:szCs w:val="24"/>
          <w:highlight w:val="none"/>
          <w:u w:val="none"/>
          <w:shd w:val="clear" w:color="auto" w:fill="FFFFFF"/>
          <w:lang w:eastAsia="zh-CN"/>
        </w:rPr>
        <w:t>定标委员会根据定标因素对定标候选人进行评审比较后，每名定标委员会成员</w:t>
      </w:r>
      <w:r>
        <w:rPr>
          <w:rFonts w:hint="eastAsia" w:ascii="宋体" w:hAnsi="宋体" w:eastAsia="宋体" w:cs="宋体"/>
          <w:color w:val="auto"/>
          <w:sz w:val="24"/>
          <w:szCs w:val="24"/>
          <w:highlight w:val="none"/>
          <w:u w:val="none"/>
          <w:lang w:val="en-US" w:eastAsia="zh-CN"/>
        </w:rPr>
        <w:t>有且仅有投出1票的权利，1票只能投1名定标候选人，</w:t>
      </w:r>
      <w:r>
        <w:rPr>
          <w:rFonts w:hint="eastAsia" w:ascii="宋体" w:hAnsi="宋体" w:eastAsia="宋体" w:cs="宋体"/>
          <w:b w:val="0"/>
          <w:i w:val="0"/>
          <w:snapToGrid/>
          <w:color w:val="auto"/>
          <w:sz w:val="24"/>
          <w:szCs w:val="24"/>
          <w:highlight w:val="none"/>
          <w:u w:val="none"/>
          <w:shd w:val="clear" w:color="auto" w:fill="FFFFFF"/>
          <w:lang w:eastAsia="zh-CN"/>
        </w:rPr>
        <w:t>进行票决排名确定排序的中标候选人。即各定标委员会成员对定标候选人进行投票，按得票高低推荐排序的前三名中标候选人。</w:t>
      </w:r>
      <w:r>
        <w:rPr>
          <w:rFonts w:hint="eastAsia" w:ascii="宋体" w:hAnsi="宋体" w:eastAsia="宋体" w:cs="宋体"/>
          <w:color w:val="auto"/>
          <w:sz w:val="24"/>
          <w:szCs w:val="24"/>
          <w:highlight w:val="none"/>
          <w:u w:val="none"/>
          <w:lang w:val="en-US" w:eastAsia="zh-CN"/>
        </w:rPr>
        <w:t>若第一轮投票中前三名中标候选人有</w:t>
      </w:r>
      <w:r>
        <w:rPr>
          <w:rFonts w:hint="eastAsia" w:ascii="宋体" w:hAnsi="宋体" w:eastAsia="宋体" w:cs="宋体"/>
          <w:color w:val="auto"/>
          <w:sz w:val="24"/>
          <w:szCs w:val="24"/>
          <w:highlight w:val="none"/>
          <w:u w:val="none"/>
          <w:shd w:val="clear" w:color="auto" w:fill="FFFFFF"/>
          <w:lang w:val="en-US" w:eastAsia="zh-CN"/>
        </w:rPr>
        <w:t>得票相同且影响中标候选人排序确定的，由定标委员会对总票数相同的单位进行再次票决确定排序,</w:t>
      </w:r>
      <w:r>
        <w:rPr>
          <w:rFonts w:hint="eastAsia" w:ascii="宋体" w:hAnsi="宋体" w:eastAsia="宋体" w:cs="宋体"/>
          <w:color w:val="auto"/>
          <w:sz w:val="24"/>
          <w:szCs w:val="24"/>
          <w:highlight w:val="none"/>
          <w:u w:val="none"/>
          <w:lang w:val="en-US" w:eastAsia="zh-CN"/>
        </w:rPr>
        <w:t>直至决出排序的前三名中标候选人。若定标候选人中没有符合评审要求的三名中标候选人，则宣告本次招标失败。</w:t>
      </w:r>
      <w:r>
        <w:rPr>
          <w:rFonts w:hint="eastAsia" w:ascii="宋体" w:hAnsi="宋体" w:eastAsia="宋体" w:cs="宋体"/>
          <w:b w:val="0"/>
          <w:i w:val="0"/>
          <w:snapToGrid/>
          <w:color w:val="auto"/>
          <w:sz w:val="24"/>
          <w:szCs w:val="24"/>
          <w:highlight w:val="none"/>
          <w:u w:val="none"/>
          <w:shd w:val="clear" w:color="auto" w:fill="FFFFFF"/>
          <w:lang w:eastAsia="zh-CN"/>
        </w:rPr>
        <w:t>票决采用记名方式并注明投票理由。</w:t>
      </w:r>
    </w:p>
    <w:p w14:paraId="17640A5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16.4.2</w:t>
      </w:r>
      <w:r>
        <w:rPr>
          <w:rFonts w:hint="eastAsia" w:ascii="宋体" w:hAnsi="宋体" w:eastAsia="宋体" w:cs="宋体"/>
          <w:b/>
          <w:bCs/>
          <w:color w:val="auto"/>
          <w:sz w:val="24"/>
          <w:szCs w:val="24"/>
          <w:highlight w:val="none"/>
          <w:u w:val="none"/>
          <w:shd w:val="clear" w:color="auto" w:fill="FFFFFF"/>
        </w:rPr>
        <w:t>项目情况介绍</w:t>
      </w:r>
    </w:p>
    <w:p w14:paraId="360C77C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招标人代表介绍项目的概况及招标要求，以及定标方法与定标工作规则，不得发表具有倾向性的言论。</w:t>
      </w:r>
    </w:p>
    <w:p w14:paraId="165E1CA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16.4.3</w:t>
      </w:r>
      <w:r>
        <w:rPr>
          <w:rFonts w:hint="eastAsia" w:ascii="宋体" w:hAnsi="宋体" w:eastAsia="宋体" w:cs="宋体"/>
          <w:b/>
          <w:bCs/>
          <w:color w:val="auto"/>
          <w:sz w:val="24"/>
          <w:szCs w:val="24"/>
          <w:highlight w:val="none"/>
          <w:u w:val="none"/>
          <w:shd w:val="clear" w:color="auto" w:fill="FFFFFF"/>
        </w:rPr>
        <w:t>审阅定标资料</w:t>
      </w:r>
    </w:p>
    <w:p w14:paraId="62F8DEB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定标委员会成员对各定标候选人的投标文件进行审阅，审阅内容主要是定标工作规则所规定的定标因素，</w:t>
      </w:r>
      <w:r>
        <w:rPr>
          <w:rFonts w:hint="eastAsia" w:ascii="宋体" w:hAnsi="宋体" w:eastAsia="宋体" w:cs="宋体"/>
          <w:b w:val="0"/>
          <w:bCs w:val="0"/>
          <w:color w:val="auto"/>
          <w:spacing w:val="0"/>
          <w:position w:val="0"/>
          <w:sz w:val="24"/>
          <w:szCs w:val="24"/>
          <w:highlight w:val="none"/>
          <w:u w:val="none" w:color="auto"/>
          <w:lang w:val="en-US" w:eastAsia="zh-CN"/>
        </w:rPr>
        <w:t>聚焦于项目需求与候选人能力的匹配度</w:t>
      </w:r>
      <w:r>
        <w:rPr>
          <w:rFonts w:hint="eastAsia" w:ascii="宋体" w:hAnsi="宋体" w:eastAsia="宋体" w:cs="宋体"/>
          <w:color w:val="auto"/>
          <w:sz w:val="24"/>
          <w:szCs w:val="24"/>
          <w:highlight w:val="none"/>
          <w:u w:val="none"/>
          <w:shd w:val="clear" w:color="auto" w:fill="FFFFFF"/>
          <w:lang w:eastAsia="zh-CN"/>
        </w:rPr>
        <w:t>。</w:t>
      </w:r>
    </w:p>
    <w:p w14:paraId="31A79E1D">
      <w:pPr>
        <w:pStyle w:val="13"/>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Chars="228"/>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16.4.4</w:t>
      </w:r>
      <w:r>
        <w:rPr>
          <w:rFonts w:hint="eastAsia" w:ascii="宋体" w:hAnsi="宋体" w:eastAsia="宋体" w:cs="宋体"/>
          <w:b/>
          <w:bCs/>
          <w:color w:val="auto"/>
          <w:sz w:val="24"/>
          <w:szCs w:val="24"/>
          <w:highlight w:val="none"/>
          <w:u w:val="none"/>
          <w:shd w:val="clear" w:color="auto" w:fill="FFFFFF"/>
        </w:rPr>
        <w:t>疑问澄清</w:t>
      </w:r>
    </w:p>
    <w:p w14:paraId="6B4CFD5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color w:val="auto"/>
          <w:sz w:val="24"/>
          <w:szCs w:val="24"/>
          <w:highlight w:val="none"/>
          <w:u w:val="none"/>
          <w:shd w:val="clear" w:color="auto" w:fill="FFFFFF"/>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2B6C0BD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16.4.5投票，收票，点票和汇总</w:t>
      </w:r>
    </w:p>
    <w:p w14:paraId="5858F55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4497B4D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bCs/>
          <w:color w:val="auto"/>
          <w:kern w:val="0"/>
          <w:sz w:val="24"/>
          <w:szCs w:val="24"/>
          <w:highlight w:val="none"/>
          <w:u w:val="none"/>
          <w:shd w:val="clear" w:color="auto" w:fill="FFFFFF"/>
          <w:lang w:val="en-US" w:eastAsia="zh-CN" w:bidi="ar-SA"/>
        </w:rPr>
        <w:t>16.4.6公布结果和出具定标报告</w:t>
      </w:r>
    </w:p>
    <w:p w14:paraId="50825FA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color w:val="auto"/>
          <w:sz w:val="24"/>
          <w:szCs w:val="24"/>
          <w:highlight w:val="none"/>
          <w:lang w:eastAsia="zh-CN"/>
        </w:rPr>
        <w:t>点票工作完成后，定标委员会组长汇总定标结果，编制定标报告，确定中标候选人，全体成员签名。</w:t>
      </w:r>
    </w:p>
    <w:p w14:paraId="04452160">
      <w:pPr>
        <w:pStyle w:val="13"/>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16.4.7</w:t>
      </w:r>
      <w:r>
        <w:rPr>
          <w:rFonts w:hint="eastAsia" w:ascii="宋体" w:hAnsi="宋体" w:eastAsia="宋体" w:cs="宋体"/>
          <w:b/>
          <w:bCs/>
          <w:color w:val="auto"/>
          <w:sz w:val="24"/>
          <w:szCs w:val="24"/>
          <w:highlight w:val="none"/>
          <w:u w:val="none"/>
          <w:shd w:val="clear" w:color="auto" w:fill="FFFFFF"/>
        </w:rPr>
        <w:t>全程监督</w:t>
      </w:r>
    </w:p>
    <w:p w14:paraId="1437427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招标监督小组对集体议定的全过程进行监督，确保程序合规、讨论充分、记录完整，结论形成过程公正、透明。</w:t>
      </w:r>
    </w:p>
    <w:p w14:paraId="5FC8400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16.5定标因素</w:t>
      </w:r>
    </w:p>
    <w:p w14:paraId="6856A3D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i/>
          <w:iCs/>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在同等条件下，择优的定标因素和相对标准有以下几个方面：</w:t>
      </w:r>
    </w:p>
    <w:p w14:paraId="06B0003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16.5.1</w:t>
      </w:r>
      <w:r>
        <w:rPr>
          <w:rFonts w:hint="eastAsia" w:ascii="宋体" w:hAnsi="宋体" w:eastAsia="宋体" w:cs="宋体"/>
          <w:b w:val="0"/>
          <w:bCs w:val="0"/>
          <w:color w:val="auto"/>
          <w:spacing w:val="0"/>
          <w:position w:val="0"/>
          <w:sz w:val="24"/>
          <w:szCs w:val="24"/>
          <w:highlight w:val="none"/>
          <w:u w:val="none" w:color="auto"/>
          <w:lang w:val="en-US" w:eastAsia="zh-CN"/>
        </w:rPr>
        <w:t>拟派团队管理能力与水平（履约能力）</w:t>
      </w:r>
    </w:p>
    <w:p w14:paraId="0B1A86A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相对标准：拟派团队管理能力与水平（履约能力）强的定标候选人优于拟派团队管理能力与水平（履约能力）一般的定标候选人。</w:t>
      </w:r>
    </w:p>
    <w:p w14:paraId="25717E0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16.5.2</w:t>
      </w:r>
      <w:r>
        <w:rPr>
          <w:rFonts w:hint="eastAsia" w:ascii="宋体" w:hAnsi="宋体" w:eastAsia="宋体" w:cs="宋体"/>
          <w:b w:val="0"/>
          <w:bCs w:val="0"/>
          <w:color w:val="auto"/>
          <w:spacing w:val="0"/>
          <w:position w:val="0"/>
          <w:sz w:val="24"/>
          <w:szCs w:val="24"/>
          <w:highlight w:val="none"/>
          <w:u w:val="none" w:color="auto"/>
          <w:lang w:val="en-US" w:eastAsia="zh-CN"/>
        </w:rPr>
        <w:t>企业信誉</w:t>
      </w:r>
    </w:p>
    <w:p w14:paraId="6C40639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相对标准：企业信誉评价好的定标候选人优于企业信誉评价一般的定标候选人。</w:t>
      </w:r>
    </w:p>
    <w:p w14:paraId="63B51B7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16.5.3</w:t>
      </w:r>
      <w:r>
        <w:rPr>
          <w:rFonts w:hint="eastAsia" w:ascii="宋体" w:hAnsi="宋体" w:eastAsia="宋体" w:cs="宋体"/>
          <w:b w:val="0"/>
          <w:bCs w:val="0"/>
          <w:color w:val="auto"/>
          <w:spacing w:val="0"/>
          <w:position w:val="0"/>
          <w:sz w:val="24"/>
          <w:szCs w:val="24"/>
          <w:highlight w:val="none"/>
          <w:u w:val="none" w:color="auto"/>
          <w:lang w:val="en-US" w:eastAsia="zh-CN"/>
        </w:rPr>
        <w:t>农民工工资保障情况</w:t>
      </w:r>
    </w:p>
    <w:p w14:paraId="715526B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default"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相对标准：农民工工资保障情况好的定标候选人优于农民工工资保障情况差的定标候选人（结合定标候选人提交的证明材料和招标人查询的材料进行评审）。</w:t>
      </w:r>
    </w:p>
    <w:p w14:paraId="796C44E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default"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16.5.4</w:t>
      </w:r>
      <w:r>
        <w:rPr>
          <w:rFonts w:hint="eastAsia" w:ascii="宋体" w:hAnsi="宋体" w:eastAsia="宋体" w:cs="宋体"/>
          <w:b w:val="0"/>
          <w:bCs w:val="0"/>
          <w:color w:val="auto"/>
          <w:spacing w:val="0"/>
          <w:position w:val="0"/>
          <w:sz w:val="24"/>
          <w:szCs w:val="24"/>
          <w:highlight w:val="none"/>
          <w:u w:val="none" w:color="auto"/>
          <w:lang w:val="en-US" w:eastAsia="zh-CN"/>
        </w:rPr>
        <w:t>企业实力</w:t>
      </w:r>
    </w:p>
    <w:p w14:paraId="11BEFE2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企业实力包括企业规模较大、行业主管部门的行业排名比较靠前（如有）、资质等级较高、专业技术人员规模较大、过往业绩（含业绩影响力、难易程度）等方面较多、按时按质完成项目的能力较强、施工期间现场服务及时性较强的定标候选人优于企业实力包括企业规模较小、行业主管部门的行业排名比较靠后（如有）、资质等级较低、专业技术人员规模较小、过往业绩（含业绩影响力、难易程度）等方面较少、按时按质完成项目的能力较弱、施工期间现场服务及时性较弱的定标候选人。</w:t>
      </w:r>
      <w:r>
        <w:rPr>
          <w:rFonts w:hint="eastAsia" w:ascii="宋体" w:hAnsi="宋体" w:eastAsia="宋体" w:cs="宋体"/>
          <w:b w:val="0"/>
          <w:bCs w:val="0"/>
          <w:color w:val="auto"/>
          <w:spacing w:val="0"/>
          <w:position w:val="0"/>
          <w:sz w:val="24"/>
          <w:szCs w:val="24"/>
          <w:highlight w:val="none"/>
          <w:u w:val="none" w:color="auto"/>
          <w:lang w:val="en-US" w:eastAsia="zh-CN"/>
        </w:rPr>
        <w:br w:type="textWrapping"/>
      </w:r>
      <w:r>
        <w:rPr>
          <w:rFonts w:hint="eastAsia" w:ascii="宋体" w:hAnsi="宋体" w:eastAsia="宋体" w:cs="宋体"/>
          <w:b w:val="0"/>
          <w:bCs w:val="0"/>
          <w:color w:val="auto"/>
          <w:spacing w:val="0"/>
          <w:position w:val="0"/>
          <w:sz w:val="24"/>
          <w:szCs w:val="24"/>
          <w:highlight w:val="none"/>
          <w:u w:val="none" w:color="auto"/>
          <w:lang w:val="en-US" w:eastAsia="zh-CN"/>
        </w:rPr>
        <w:t xml:space="preserve">    </w:t>
      </w:r>
      <w:r>
        <w:rPr>
          <w:rFonts w:hint="eastAsia" w:ascii="宋体" w:hAnsi="宋体" w:eastAsia="宋体" w:cs="宋体"/>
          <w:b/>
          <w:bCs/>
          <w:color w:val="auto"/>
          <w:spacing w:val="0"/>
          <w:position w:val="0"/>
          <w:sz w:val="24"/>
          <w:szCs w:val="24"/>
          <w:highlight w:val="none"/>
          <w:u w:val="none" w:color="auto"/>
          <w:lang w:val="en-US" w:eastAsia="zh-CN"/>
        </w:rPr>
        <w:t>16.5.5</w:t>
      </w:r>
      <w:r>
        <w:rPr>
          <w:rFonts w:hint="eastAsia" w:ascii="宋体" w:hAnsi="宋体" w:eastAsia="宋体" w:cs="宋体"/>
          <w:b w:val="0"/>
          <w:bCs w:val="0"/>
          <w:color w:val="auto"/>
          <w:spacing w:val="0"/>
          <w:position w:val="0"/>
          <w:sz w:val="24"/>
          <w:szCs w:val="24"/>
          <w:highlight w:val="none"/>
          <w:u w:val="none" w:color="auto"/>
          <w:lang w:val="en-US" w:eastAsia="zh-CN"/>
        </w:rPr>
        <w:t>技术方案</w:t>
      </w:r>
    </w:p>
    <w:p w14:paraId="413861E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技术方案的定标候选人优于技术方案一般的定标候选人。（技术方案对保证措施、施工计划和技术、工艺及工程项目实施的重点、难点分析和解决方案、安全文明施工措施、新技术应用、质量保证和违约责任承诺等的充分考虑，技术方案合理性、科学性、表述清晰、完整、具体、有效并实施可行。）</w:t>
      </w:r>
    </w:p>
    <w:p w14:paraId="3971C336">
      <w:pPr>
        <w:keepNext w:val="0"/>
        <w:keepLines w:val="0"/>
        <w:pageBreakBefore w:val="0"/>
        <w:widowControl w:val="0"/>
        <w:kinsoku/>
        <w:wordWrap/>
        <w:overflowPunct/>
        <w:topLinePunct w:val="0"/>
        <w:autoSpaceDE/>
        <w:autoSpaceDN/>
        <w:bidi w:val="0"/>
        <w:adjustRightInd/>
        <w:snapToGrid/>
        <w:spacing w:line="400" w:lineRule="exact"/>
        <w:ind w:right="0" w:rightChars="0" w:firstLine="482" w:firstLineChars="200"/>
        <w:jc w:val="both"/>
        <w:textAlignment w:val="auto"/>
        <w:outlineLvl w:val="9"/>
        <w:rPr>
          <w:rFonts w:hint="default"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16.5.6</w:t>
      </w:r>
      <w:r>
        <w:rPr>
          <w:rFonts w:hint="eastAsia" w:ascii="宋体" w:hAnsi="宋体" w:eastAsia="宋体" w:cs="宋体"/>
          <w:b w:val="0"/>
          <w:bCs w:val="0"/>
          <w:color w:val="auto"/>
          <w:spacing w:val="0"/>
          <w:position w:val="0"/>
          <w:sz w:val="24"/>
          <w:szCs w:val="24"/>
          <w:highlight w:val="none"/>
          <w:u w:val="none" w:color="auto"/>
          <w:lang w:val="en-US" w:eastAsia="zh-CN"/>
        </w:rPr>
        <w:t>企业对项目所在地的社会贡献</w:t>
      </w:r>
    </w:p>
    <w:p w14:paraId="78D724BC">
      <w:pPr>
        <w:keepNext w:val="0"/>
        <w:keepLines w:val="0"/>
        <w:pageBreakBefore w:val="0"/>
        <w:widowControl w:val="0"/>
        <w:kinsoku/>
        <w:wordWrap/>
        <w:overflowPunct/>
        <w:topLinePunct w:val="0"/>
        <w:autoSpaceDE/>
        <w:autoSpaceDN/>
        <w:bidi w:val="0"/>
        <w:adjustRightInd/>
        <w:snapToGrid/>
        <w:spacing w:line="400" w:lineRule="exact"/>
        <w:ind w:left="479" w:leftChars="228" w:right="0" w:rightChars="0" w:firstLine="0" w:firstLineChars="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w:t>
      </w:r>
      <w:r>
        <w:rPr>
          <w:rFonts w:hint="eastAsia" w:ascii="宋体" w:hAnsi="宋体" w:eastAsia="宋体" w:cs="宋体"/>
          <w:b w:val="0"/>
          <w:bCs w:val="0"/>
          <w:color w:val="auto"/>
          <w:spacing w:val="0"/>
          <w:position w:val="0"/>
          <w:sz w:val="24"/>
          <w:szCs w:val="24"/>
          <w:highlight w:val="none"/>
          <w:u w:val="none" w:color="auto"/>
          <w:lang w:val="en-US" w:eastAsia="zh-CN"/>
        </w:rPr>
        <w:br w:type="textWrapping"/>
      </w:r>
      <w:r>
        <w:rPr>
          <w:rFonts w:hint="eastAsia" w:ascii="宋体" w:hAnsi="宋体" w:eastAsia="宋体" w:cs="宋体"/>
          <w:b w:val="0"/>
          <w:bCs w:val="0"/>
          <w:color w:val="auto"/>
          <w:spacing w:val="0"/>
          <w:position w:val="0"/>
          <w:sz w:val="24"/>
          <w:szCs w:val="24"/>
          <w:highlight w:val="none"/>
          <w:u w:val="none" w:color="auto"/>
          <w:lang w:val="en-US" w:eastAsia="zh-CN"/>
        </w:rPr>
        <w:t>（1）企业阐述并</w:t>
      </w:r>
      <w:r>
        <w:rPr>
          <w:rFonts w:ascii="Arial" w:hAnsi="Arial" w:eastAsia="Arial" w:cs="Arial"/>
          <w:i w:val="0"/>
          <w:iCs w:val="0"/>
          <w:caps w:val="0"/>
          <w:color w:val="333333"/>
          <w:spacing w:val="0"/>
          <w:sz w:val="24"/>
          <w:szCs w:val="24"/>
          <w:highlight w:val="none"/>
          <w:shd w:val="clear" w:fill="FFFFFF"/>
        </w:rPr>
        <w:t xml:space="preserve">承诺优先采购当地注册企业的建材、设备或服务，促进本地上下游产业发展，避免资金外流 </w:t>
      </w:r>
      <w:r>
        <w:rPr>
          <w:rFonts w:hint="eastAsia" w:ascii="Arial" w:hAnsi="Arial" w:eastAsia="宋体" w:cs="Arial"/>
          <w:i w:val="0"/>
          <w:iCs w:val="0"/>
          <w:caps w:val="0"/>
          <w:color w:val="333333"/>
          <w:spacing w:val="0"/>
          <w:sz w:val="24"/>
          <w:szCs w:val="24"/>
          <w:highlight w:val="none"/>
          <w:shd w:val="clear" w:fill="FFFFFF"/>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（2）阐述并</w:t>
      </w:r>
      <w:r>
        <w:rPr>
          <w:rFonts w:ascii="Arial" w:hAnsi="Arial" w:eastAsia="Arial" w:cs="Arial"/>
          <w:i w:val="0"/>
          <w:iCs w:val="0"/>
          <w:caps w:val="0"/>
          <w:color w:val="333333"/>
          <w:spacing w:val="0"/>
          <w:sz w:val="24"/>
          <w:szCs w:val="24"/>
          <w:highlight w:val="none"/>
          <w:shd w:val="clear" w:fill="FFFFFF"/>
        </w:rPr>
        <w:t>承诺历史数据表明企业在当地依法纳税、纳入统计（诚信纳统），直接增加地方财政收入和经济总量</w:t>
      </w:r>
      <w:r>
        <w:rPr>
          <w:rFonts w:hint="eastAsia" w:ascii="Arial" w:hAnsi="Arial" w:eastAsia="宋体" w:cs="Arial"/>
          <w:i w:val="0"/>
          <w:iCs w:val="0"/>
          <w:caps w:val="0"/>
          <w:color w:val="333333"/>
          <w:spacing w:val="0"/>
          <w:sz w:val="24"/>
          <w:szCs w:val="24"/>
          <w:highlight w:val="none"/>
          <w:shd w:val="clear" w:fill="FFFFFF"/>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（3）阐述并</w:t>
      </w:r>
      <w:r>
        <w:rPr>
          <w:rFonts w:ascii="Arial" w:hAnsi="Arial" w:eastAsia="Arial" w:cs="Arial"/>
          <w:i w:val="0"/>
          <w:iCs w:val="0"/>
          <w:caps w:val="0"/>
          <w:color w:val="333333"/>
          <w:spacing w:val="0"/>
          <w:sz w:val="24"/>
          <w:szCs w:val="24"/>
          <w:highlight w:val="none"/>
          <w:shd w:val="clear" w:fill="FFFFFF"/>
        </w:rPr>
        <w:t>承诺优先吸纳本地劳动力（如农牧民工、建筑工人），提供岗位培训，解决当地就业问题，稳定社会民生</w:t>
      </w:r>
      <w:r>
        <w:rPr>
          <w:rFonts w:hint="eastAsia" w:ascii="Arial" w:hAnsi="Arial" w:eastAsia="宋体" w:cs="Arial"/>
          <w:i w:val="0"/>
          <w:iCs w:val="0"/>
          <w:caps w:val="0"/>
          <w:color w:val="333333"/>
          <w:spacing w:val="0"/>
          <w:sz w:val="24"/>
          <w:szCs w:val="24"/>
          <w:highlight w:val="none"/>
          <w:shd w:val="clear" w:fill="FFFFFF"/>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（定标候选人的阐述与承诺由于一般定标候选人）。</w:t>
      </w:r>
    </w:p>
    <w:p w14:paraId="78EC39E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16.5.7</w:t>
      </w:r>
      <w:r>
        <w:rPr>
          <w:rFonts w:hint="eastAsia" w:ascii="宋体" w:hAnsi="宋体" w:eastAsia="宋体" w:cs="宋体"/>
          <w:b w:val="0"/>
          <w:bCs w:val="0"/>
          <w:color w:val="auto"/>
          <w:spacing w:val="0"/>
          <w:position w:val="0"/>
          <w:sz w:val="24"/>
          <w:szCs w:val="24"/>
          <w:highlight w:val="none"/>
          <w:u w:val="none" w:color="auto"/>
          <w:lang w:val="en-US" w:eastAsia="zh-CN"/>
        </w:rPr>
        <w:t>评标报告</w:t>
      </w:r>
    </w:p>
    <w:p w14:paraId="00EA2B2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highlight w:val="none"/>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相对标准：评标委员会评审意见为具有优势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低</w:t>
      </w:r>
      <w:r>
        <w:rPr>
          <w:rFonts w:hint="eastAsia" w:ascii="宋体" w:hAnsi="宋体" w:eastAsia="宋体" w:cs="宋体"/>
          <w:b w:val="0"/>
          <w:bCs w:val="0"/>
          <w:color w:val="auto"/>
          <w:spacing w:val="0"/>
          <w:position w:val="0"/>
          <w:sz w:val="24"/>
          <w:szCs w:val="24"/>
          <w:highlight w:val="none"/>
          <w:u w:val="none" w:color="auto"/>
          <w:lang w:val="en-US" w:eastAsia="zh-CN"/>
        </w:rPr>
        <w:t>的定标候选人优于评标委员会评审意见为没有优势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高</w:t>
      </w:r>
      <w:r>
        <w:rPr>
          <w:rFonts w:hint="eastAsia" w:ascii="宋体" w:hAnsi="宋体" w:eastAsia="宋体" w:cs="宋体"/>
          <w:b w:val="0"/>
          <w:bCs w:val="0"/>
          <w:color w:val="auto"/>
          <w:spacing w:val="0"/>
          <w:position w:val="0"/>
          <w:sz w:val="24"/>
          <w:szCs w:val="24"/>
          <w:highlight w:val="none"/>
          <w:u w:val="none" w:color="auto"/>
          <w:lang w:val="en-US" w:eastAsia="zh-CN"/>
        </w:rPr>
        <w:t>的</w:t>
      </w:r>
      <w:r>
        <w:rPr>
          <w:rFonts w:hint="eastAsia" w:ascii="宋体" w:hAnsi="宋体" w:eastAsia="宋体" w:cs="宋体"/>
          <w:color w:val="auto"/>
          <w:sz w:val="24"/>
          <w:szCs w:val="24"/>
          <w:highlight w:val="none"/>
        </w:rPr>
        <w:t>定标候选人</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综合考虑评标委员会的评审意见，对各定标候选人</w:t>
      </w:r>
      <w:r>
        <w:rPr>
          <w:rFonts w:hint="eastAsia" w:ascii="宋体" w:hAnsi="宋体" w:eastAsia="宋体" w:cs="宋体"/>
          <w:color w:val="auto"/>
          <w:sz w:val="24"/>
          <w:szCs w:val="24"/>
          <w:highlight w:val="none"/>
        </w:rPr>
        <w:t>的优势、风险等评审情况</w:t>
      </w:r>
      <w:r>
        <w:rPr>
          <w:rFonts w:hint="eastAsia" w:ascii="宋体" w:hAnsi="宋体" w:eastAsia="宋体" w:cs="宋体"/>
          <w:b w:val="0"/>
          <w:bCs w:val="0"/>
          <w:color w:val="auto"/>
          <w:spacing w:val="0"/>
          <w:position w:val="0"/>
          <w:sz w:val="24"/>
          <w:szCs w:val="24"/>
          <w:highlight w:val="none"/>
          <w:u w:val="none" w:color="auto"/>
          <w:lang w:val="en-US" w:eastAsia="zh-CN"/>
        </w:rPr>
        <w:t>进行评审比较</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w:t>
      </w:r>
    </w:p>
    <w:p w14:paraId="722502B1">
      <w:pPr>
        <w:keepNext w:val="0"/>
        <w:keepLines w:val="0"/>
        <w:pageBreakBefore w:val="0"/>
        <w:wordWrap w:val="0"/>
        <w:overflowPunct/>
        <w:topLinePunct w:val="0"/>
        <w:bidi w:val="0"/>
        <w:spacing w:before="78" w:line="220" w:lineRule="auto"/>
        <w:ind w:left="496"/>
        <w:outlineLvl w:val="2"/>
        <w:rPr>
          <w:rFonts w:hint="eastAsia" w:ascii="宋体" w:hAnsi="宋体" w:eastAsia="宋体" w:cs="宋体"/>
          <w:b/>
          <w:bCs/>
          <w:color w:val="auto"/>
          <w:spacing w:val="0"/>
          <w:sz w:val="24"/>
          <w:szCs w:val="24"/>
          <w:highlight w:val="none"/>
        </w:rPr>
      </w:pPr>
      <w:bookmarkStart w:id="140" w:name="_Toc6260"/>
      <w:r>
        <w:rPr>
          <w:rFonts w:hint="eastAsia" w:ascii="宋体" w:hAnsi="宋体" w:eastAsia="宋体" w:cs="宋体"/>
          <w:b/>
          <w:bCs/>
          <w:color w:val="auto"/>
          <w:spacing w:val="0"/>
          <w:sz w:val="24"/>
          <w:szCs w:val="24"/>
          <w:highlight w:val="none"/>
          <w:lang w:val="en-US" w:eastAsia="zh-CN"/>
        </w:rPr>
        <w:t>17</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w:t>
      </w:r>
      <w:r>
        <w:rPr>
          <w:rFonts w:hint="eastAsia" w:ascii="宋体" w:hAnsi="宋体" w:eastAsia="宋体" w:cs="宋体"/>
          <w:b/>
          <w:bCs/>
          <w:color w:val="auto"/>
          <w:spacing w:val="0"/>
          <w:sz w:val="24"/>
          <w:szCs w:val="24"/>
          <w:highlight w:val="none"/>
        </w:rPr>
        <w:t>标</w:t>
      </w:r>
      <w:r>
        <w:rPr>
          <w:rFonts w:hint="eastAsia" w:ascii="宋体" w:hAnsi="宋体" w:eastAsia="宋体" w:cs="宋体"/>
          <w:b/>
          <w:bCs/>
          <w:color w:val="auto"/>
          <w:spacing w:val="0"/>
          <w:sz w:val="24"/>
          <w:szCs w:val="24"/>
          <w:highlight w:val="none"/>
          <w:lang w:val="en-US" w:eastAsia="zh-CN"/>
        </w:rPr>
        <w:t>结果</w:t>
      </w:r>
      <w:r>
        <w:rPr>
          <w:rFonts w:hint="eastAsia" w:ascii="宋体" w:hAnsi="宋体" w:eastAsia="宋体" w:cs="宋体"/>
          <w:b/>
          <w:bCs/>
          <w:color w:val="auto"/>
          <w:spacing w:val="0"/>
          <w:sz w:val="24"/>
          <w:szCs w:val="24"/>
          <w:highlight w:val="none"/>
        </w:rPr>
        <w:t>公示</w:t>
      </w:r>
      <w:bookmarkEnd w:id="140"/>
    </w:p>
    <w:p w14:paraId="7351A8F5">
      <w:pPr>
        <w:keepNext w:val="0"/>
        <w:keepLines w:val="0"/>
        <w:pageBreakBefore w:val="0"/>
        <w:widowControl/>
        <w:kinsoku w:val="0"/>
        <w:wordWrap w:val="0"/>
        <w:overflowPunct/>
        <w:topLinePunct w:val="0"/>
        <w:autoSpaceDE w:val="0"/>
        <w:autoSpaceDN w:val="0"/>
        <w:bidi w:val="0"/>
        <w:adjustRightInd w:val="0"/>
        <w:snapToGrid w:val="0"/>
        <w:spacing w:before="60" w:line="360" w:lineRule="auto"/>
        <w:ind w:left="567" w:right="108" w:firstLine="49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strike w:val="0"/>
          <w:dstrike w:val="0"/>
          <w:color w:val="auto"/>
          <w:kern w:val="2"/>
          <w:sz w:val="24"/>
          <w:szCs w:val="24"/>
          <w:highlight w:val="none"/>
          <w:u w:val="none"/>
          <w:lang w:val="en-US" w:eastAsia="zh-CN" w:bidi="ar-SA"/>
        </w:rPr>
        <w:t>定标委员会完成定标后，招标人应于定标会结束后3日内将中标候选人和定标情况在</w:t>
      </w:r>
      <w:r>
        <w:rPr>
          <w:rFonts w:hint="eastAsia" w:ascii="宋体" w:hAnsi="宋体" w:eastAsia="宋体" w:cs="宋体"/>
          <w:color w:val="auto"/>
          <w:spacing w:val="0"/>
          <w:sz w:val="24"/>
          <w:szCs w:val="24"/>
          <w:highlight w:val="none"/>
        </w:rPr>
        <w:t>广东省招标投标监管网（http://zbtb.gd.gov.cn）、全国公共资源交易平台（广东省 ·韶关市）（https://ygp.gdzwfw.gov.cn/ggzy-portal/#/440200/index）进行公示。</w:t>
      </w:r>
    </w:p>
    <w:p w14:paraId="6806CAA5">
      <w:pP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4BE61F7A">
      <w:pPr>
        <w:keepNext w:val="0"/>
        <w:keepLines w:val="0"/>
        <w:pageBreakBefore w:val="0"/>
        <w:wordWrap w:val="0"/>
        <w:overflowPunct/>
        <w:topLinePunct w:val="0"/>
        <w:bidi w:val="0"/>
        <w:spacing w:before="78" w:line="220" w:lineRule="auto"/>
        <w:ind w:left="9"/>
        <w:jc w:val="center"/>
        <w:outlineLvl w:val="1"/>
        <w:rPr>
          <w:rFonts w:hint="eastAsia" w:ascii="宋体" w:hAnsi="宋体" w:eastAsia="宋体" w:cs="宋体"/>
          <w:color w:val="auto"/>
          <w:spacing w:val="0"/>
          <w:sz w:val="24"/>
          <w:szCs w:val="24"/>
          <w:highlight w:val="none"/>
        </w:rPr>
      </w:pPr>
      <w:bookmarkStart w:id="141" w:name="_Toc1505"/>
      <w:r>
        <w:rPr>
          <w:rFonts w:hint="eastAsia" w:ascii="宋体" w:hAnsi="宋体" w:eastAsia="宋体" w:cs="宋体"/>
          <w:b/>
          <w:bCs/>
          <w:color w:val="auto"/>
          <w:spacing w:val="0"/>
          <w:sz w:val="24"/>
          <w:szCs w:val="24"/>
          <w:highlight w:val="none"/>
        </w:rPr>
        <w:t>第四节</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否决投标条件</w:t>
      </w:r>
      <w:bookmarkEnd w:id="141"/>
    </w:p>
    <w:p w14:paraId="3301580C">
      <w:pPr>
        <w:pStyle w:val="6"/>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5AA9DA86">
      <w:pPr>
        <w:keepNext w:val="0"/>
        <w:keepLines w:val="0"/>
        <w:pageBreakBefore w:val="0"/>
        <w:wordWrap w:val="0"/>
        <w:overflowPunct/>
        <w:topLinePunct w:val="0"/>
        <w:bidi w:val="0"/>
        <w:spacing w:before="78" w:line="330" w:lineRule="auto"/>
        <w:ind w:left="10" w:right="65"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本节所集中列示的否决投标条件，是本章第三节“投标人须知正文 ”的组成部分，是对本章第三节所规定的否决投标条件的总结和补充。</w:t>
      </w:r>
      <w:r>
        <w:rPr>
          <w:rFonts w:hint="eastAsia" w:ascii="宋体" w:hAnsi="宋体" w:eastAsia="宋体" w:cs="宋体"/>
          <w:b/>
          <w:bCs/>
          <w:color w:val="auto"/>
          <w:spacing w:val="0"/>
          <w:sz w:val="24"/>
          <w:szCs w:val="24"/>
          <w:highlight w:val="none"/>
        </w:rPr>
        <w:t>投标人未有列入本节情形的，评标时一律不得否决其投标。</w:t>
      </w:r>
      <w:r>
        <w:rPr>
          <w:rFonts w:hint="eastAsia" w:ascii="宋体" w:hAnsi="宋体" w:eastAsia="宋体" w:cs="宋体"/>
          <w:color w:val="auto"/>
          <w:spacing w:val="0"/>
          <w:sz w:val="24"/>
          <w:szCs w:val="24"/>
          <w:highlight w:val="none"/>
        </w:rPr>
        <w:t>本节所称“规定 ”均指招标文件的规定。</w:t>
      </w:r>
    </w:p>
    <w:p w14:paraId="1BAA8A6A">
      <w:pPr>
        <w:keepNext w:val="0"/>
        <w:keepLines w:val="0"/>
        <w:pageBreakBefore w:val="0"/>
        <w:wordWrap w:val="0"/>
        <w:overflowPunct/>
        <w:topLinePunct w:val="0"/>
        <w:bidi w:val="0"/>
        <w:spacing w:before="34" w:line="220" w:lineRule="auto"/>
        <w:ind w:left="495"/>
        <w:outlineLvl w:val="2"/>
        <w:rPr>
          <w:rFonts w:hint="eastAsia" w:ascii="宋体" w:hAnsi="宋体" w:eastAsia="宋体" w:cs="宋体"/>
          <w:color w:val="auto"/>
          <w:spacing w:val="0"/>
          <w:sz w:val="24"/>
          <w:szCs w:val="24"/>
          <w:highlight w:val="none"/>
        </w:rPr>
      </w:pPr>
      <w:bookmarkStart w:id="142" w:name="_Toc7264"/>
      <w:r>
        <w:rPr>
          <w:rFonts w:hint="eastAsia" w:ascii="宋体" w:hAnsi="宋体" w:eastAsia="宋体" w:cs="宋体"/>
          <w:b/>
          <w:bCs/>
          <w:color w:val="auto"/>
          <w:spacing w:val="0"/>
          <w:sz w:val="24"/>
          <w:szCs w:val="24"/>
          <w:highlight w:val="none"/>
        </w:rPr>
        <w:t>1 ．资格评审环节</w:t>
      </w:r>
      <w:bookmarkEnd w:id="142"/>
    </w:p>
    <w:p w14:paraId="5FDBADCB">
      <w:pPr>
        <w:keepNext w:val="0"/>
        <w:keepLines w:val="0"/>
        <w:pageBreakBefore w:val="0"/>
        <w:wordWrap w:val="0"/>
        <w:overflowPunct/>
        <w:topLinePunct w:val="0"/>
        <w:bidi w:val="0"/>
        <w:spacing w:before="152" w:line="327" w:lineRule="auto"/>
        <w:ind w:left="13" w:right="65" w:firstLine="47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投标人有下列情形之一的，评标委员会应否决其投标。被否决的投标人，不进入形式评审环节。</w:t>
      </w:r>
    </w:p>
    <w:p w14:paraId="6224D28D">
      <w:pPr>
        <w:keepNext w:val="0"/>
        <w:keepLines w:val="0"/>
        <w:pageBreakBefore w:val="0"/>
        <w:wordWrap w:val="0"/>
        <w:overflowPunct/>
        <w:topLinePunct w:val="0"/>
        <w:bidi w:val="0"/>
        <w:spacing w:before="32" w:line="219" w:lineRule="auto"/>
        <w:ind w:left="5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（1）有本章第三节第 </w:t>
      </w:r>
      <w:r>
        <w:rPr>
          <w:rFonts w:hint="eastAsia" w:ascii="宋体" w:hAnsi="宋体" w:eastAsia="宋体" w:cs="宋体"/>
          <w:b/>
          <w:bCs/>
          <w:color w:val="auto"/>
          <w:spacing w:val="0"/>
          <w:sz w:val="24"/>
          <w:szCs w:val="24"/>
          <w:highlight w:val="none"/>
        </w:rPr>
        <w:t xml:space="preserve">2.4 </w:t>
      </w:r>
      <w:r>
        <w:rPr>
          <w:rFonts w:hint="eastAsia" w:ascii="宋体" w:hAnsi="宋体" w:eastAsia="宋体" w:cs="宋体"/>
          <w:color w:val="auto"/>
          <w:spacing w:val="0"/>
          <w:sz w:val="24"/>
          <w:szCs w:val="24"/>
          <w:highlight w:val="none"/>
        </w:rPr>
        <w:t>条“禁止投标条款 ”规定的任何一种情形；</w:t>
      </w:r>
    </w:p>
    <w:p w14:paraId="5A8A84D3">
      <w:pPr>
        <w:keepNext w:val="0"/>
        <w:keepLines w:val="0"/>
        <w:pageBreakBefore w:val="0"/>
        <w:wordWrap w:val="0"/>
        <w:overflowPunct/>
        <w:topLinePunct w:val="0"/>
        <w:bidi w:val="0"/>
        <w:spacing w:before="154" w:line="220" w:lineRule="auto"/>
        <w:ind w:left="5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（2）投标人资质不符合规定的；</w:t>
      </w:r>
    </w:p>
    <w:p w14:paraId="2EEF5389">
      <w:pPr>
        <w:keepNext w:val="0"/>
        <w:keepLines w:val="0"/>
        <w:pageBreakBefore w:val="0"/>
        <w:wordWrap w:val="0"/>
        <w:overflowPunct/>
        <w:topLinePunct w:val="0"/>
        <w:bidi w:val="0"/>
        <w:spacing w:before="153" w:line="315" w:lineRule="auto"/>
        <w:ind w:right="57" w:firstLine="5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人名称与营业执照、资质证书、安全生产许可证上的企业名称相互不一致的；其资质证书、安全生产许可证不是由住房城乡建设主管部门颁发的；营业执照、资质证书、安全生产许可证（含实时网页查询页，可参考网址 https://zlaq.mohurd.gov.cn/fwmh/bjxcjgl/fwmh/pages/construction_safety/qyaqscxkz/qyaqscxkz）被吊销、暂扣或不在有效期内的；</w:t>
      </w:r>
    </w:p>
    <w:p w14:paraId="5957D489">
      <w:pPr>
        <w:keepNext w:val="0"/>
        <w:keepLines w:val="0"/>
        <w:pageBreakBefore w:val="0"/>
        <w:wordWrap w:val="0"/>
        <w:overflowPunct/>
        <w:topLinePunct w:val="0"/>
        <w:bidi w:val="0"/>
        <w:spacing w:before="153" w:line="330" w:lineRule="auto"/>
        <w:ind w:left="9" w:right="66" w:firstLine="480"/>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47D8899C">
      <w:pPr>
        <w:keepNext w:val="0"/>
        <w:keepLines w:val="0"/>
        <w:pageBreakBefore w:val="0"/>
        <w:wordWrap w:val="0"/>
        <w:overflowPunct/>
        <w:topLinePunct w:val="0"/>
        <w:bidi w:val="0"/>
        <w:spacing w:before="32" w:line="325" w:lineRule="auto"/>
        <w:ind w:left="10" w:right="65" w:firstLine="490"/>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（4）拟派项目经理、项目技术负责人、专职安全员的条件不符合规定的；拟派专职安全员数量不符合规定的；项目技术负责人未在投标文件《项目技术负责人简历表》中签</w:t>
      </w:r>
      <w:r>
        <w:rPr>
          <w:rFonts w:hint="eastAsia" w:ascii="宋体" w:hAnsi="宋体" w:eastAsia="宋体" w:cs="宋体"/>
          <w:color w:val="auto"/>
          <w:spacing w:val="0"/>
          <w:sz w:val="24"/>
          <w:szCs w:val="24"/>
          <w:highlight w:val="none"/>
          <w:lang w:eastAsia="zh-CN"/>
        </w:rPr>
        <w:t>字确认。</w:t>
      </w:r>
    </w:p>
    <w:p w14:paraId="45D2AAF1">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温馨提示：建造师打印电子证书后，应在个人签名处手写本人签名，未手写签名或与签名图像笔迹不一致的，该电子证书无效。</w:t>
      </w:r>
    </w:p>
    <w:p w14:paraId="47B1AA25">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项目经理简历表》中拟派项目经理与《开标一览表》不一致的；拟派的项目经理未在投标文件《项目经理简历表》中签字确认；一级建造师的注册证书不是国家住建部颁发的；建造师的注册单位与投标人不一致的；项目管理班子组成人员的各类证书、证件、证明不在有效期内的（</w:t>
      </w:r>
      <w:r>
        <w:rPr>
          <w:rFonts w:hint="eastAsia" w:ascii="宋体" w:hAnsi="宋体" w:eastAsia="宋体" w:cs="宋体"/>
          <w:b/>
          <w:bCs/>
          <w:color w:val="auto"/>
          <w:spacing w:val="0"/>
          <w:sz w:val="24"/>
          <w:szCs w:val="24"/>
          <w:highlight w:val="none"/>
        </w:rPr>
        <w:t>建造师注册证书不在使用有效期内的</w:t>
      </w:r>
      <w:r>
        <w:rPr>
          <w:rFonts w:hint="eastAsia" w:ascii="宋体" w:hAnsi="宋体" w:eastAsia="宋体" w:cs="宋体"/>
          <w:color w:val="auto"/>
          <w:spacing w:val="0"/>
          <w:sz w:val="24"/>
          <w:szCs w:val="24"/>
          <w:highlight w:val="none"/>
        </w:rPr>
        <w:t>）；擅自修改、遗漏《项目经理任职声明》实质性内容的；</w:t>
      </w:r>
    </w:p>
    <w:p w14:paraId="0512EB6D">
      <w:pPr>
        <w:keepNext w:val="0"/>
        <w:keepLines w:val="0"/>
        <w:pageBreakBefore w:val="0"/>
        <w:wordWrap w:val="0"/>
        <w:overflowPunct/>
        <w:topLinePunct w:val="0"/>
        <w:bidi w:val="0"/>
        <w:spacing w:before="1" w:line="293" w:lineRule="auto"/>
        <w:ind w:left="28" w:right="66" w:firstLine="462"/>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注：投标人已经工商变更，但其员工执业资格注册证书的注册单位名称未完成变更的，不得否决其投标。</w:t>
      </w:r>
    </w:p>
    <w:p w14:paraId="574B858F">
      <w:pPr>
        <w:keepNext w:val="0"/>
        <w:keepLines w:val="0"/>
        <w:pageBreakBefore w:val="0"/>
        <w:wordWrap w:val="0"/>
        <w:overflowPunct/>
        <w:topLinePunct w:val="0"/>
        <w:bidi w:val="0"/>
        <w:spacing w:before="153" w:line="330" w:lineRule="auto"/>
        <w:ind w:left="9" w:right="66" w:firstLine="480"/>
        <w:jc w:val="both"/>
        <w:rPr>
          <w:rFonts w:hint="eastAsia" w:ascii="宋体" w:hAnsi="宋体" w:eastAsia="宋体" w:cs="宋体"/>
          <w:b/>
          <w:bCs/>
          <w:color w:val="auto"/>
          <w:spacing w:val="0"/>
          <w:sz w:val="24"/>
          <w:szCs w:val="24"/>
          <w:highlight w:val="none"/>
        </w:rPr>
      </w:pPr>
      <w:bookmarkStart w:id="143" w:name="OLE_LINK27"/>
      <w:r>
        <w:rPr>
          <w:rFonts w:hint="eastAsia" w:ascii="宋体" w:hAnsi="宋体" w:eastAsia="宋体" w:cs="宋体"/>
          <w:b/>
          <w:bCs/>
          <w:color w:val="auto"/>
          <w:spacing w:val="0"/>
          <w:sz w:val="24"/>
          <w:szCs w:val="24"/>
          <w:highlight w:val="none"/>
        </w:rPr>
        <w:t>鉴于目前继续教育开展的实际情况，建筑和市政工程施工现场专业人员（例如：施</w:t>
      </w:r>
      <w:bookmarkStart w:id="144" w:name="bookmark139"/>
      <w:bookmarkEnd w:id="144"/>
      <w:r>
        <w:rPr>
          <w:rFonts w:hint="eastAsia" w:ascii="宋体" w:hAnsi="宋体" w:eastAsia="宋体" w:cs="宋体"/>
          <w:b/>
          <w:bCs/>
          <w:color w:val="auto"/>
          <w:spacing w:val="0"/>
          <w:sz w:val="24"/>
          <w:szCs w:val="24"/>
          <w:highlight w:val="none"/>
        </w:rPr>
        <w:t>工员、质量员、材料员、资料员）的岗位证书或培训证书不审查其证书的有效期。</w:t>
      </w:r>
      <w:bookmarkEnd w:id="143"/>
    </w:p>
    <w:p w14:paraId="6DA43A0A">
      <w:pPr>
        <w:keepNext w:val="0"/>
        <w:keepLines w:val="0"/>
        <w:pageBreakBefore w:val="0"/>
        <w:wordWrap w:val="0"/>
        <w:overflowPunct/>
        <w:topLinePunct w:val="0"/>
        <w:bidi w:val="0"/>
        <w:spacing w:before="146" w:line="220" w:lineRule="auto"/>
        <w:ind w:left="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（6）招标文件规定不接受联合体投标，但以联合体投标的；</w:t>
      </w:r>
    </w:p>
    <w:p w14:paraId="5EA3DA37">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（7）联合体投标，未提交《联合体协议书》的；擅自修改、遗漏《联合体协议书》实质性内容的；联合体成员的数量、资质不符合规定的；联合体成员同时以自己名义单独投标或者参加其他联合体投标的；</w:t>
      </w:r>
    </w:p>
    <w:p w14:paraId="546A374E">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8</w:t>
      </w:r>
      <w:r>
        <w:rPr>
          <w:rFonts w:hint="eastAsia" w:ascii="宋体" w:hAnsi="宋体" w:eastAsia="宋体" w:cs="宋体"/>
          <w:color w:val="auto"/>
          <w:spacing w:val="0"/>
          <w:sz w:val="24"/>
          <w:szCs w:val="24"/>
          <w:highlight w:val="none"/>
        </w:rPr>
        <w:t>）投标人为外省建筑企业，但未提供“进粤企业和人员诚信信息登记平台 ”企业和拟派人员信息情况打印页或网页截图的。</w:t>
      </w:r>
    </w:p>
    <w:p w14:paraId="47B412EA">
      <w:pPr>
        <w:keepNext w:val="0"/>
        <w:keepLines w:val="0"/>
        <w:pageBreakBefore w:val="0"/>
        <w:wordWrap w:val="0"/>
        <w:overflowPunct/>
        <w:topLinePunct w:val="0"/>
        <w:bidi w:val="0"/>
        <w:spacing w:before="154" w:line="221" w:lineRule="auto"/>
        <w:ind w:left="477"/>
        <w:outlineLvl w:val="2"/>
        <w:rPr>
          <w:rFonts w:hint="eastAsia" w:ascii="宋体" w:hAnsi="宋体" w:eastAsia="宋体" w:cs="宋体"/>
          <w:color w:val="auto"/>
          <w:spacing w:val="0"/>
          <w:sz w:val="24"/>
          <w:szCs w:val="24"/>
          <w:highlight w:val="none"/>
        </w:rPr>
      </w:pPr>
      <w:bookmarkStart w:id="145" w:name="_Toc29694"/>
      <w:r>
        <w:rPr>
          <w:rFonts w:hint="eastAsia" w:ascii="宋体" w:hAnsi="宋体" w:eastAsia="宋体" w:cs="宋体"/>
          <w:b/>
          <w:bCs/>
          <w:color w:val="auto"/>
          <w:spacing w:val="0"/>
          <w:sz w:val="24"/>
          <w:szCs w:val="24"/>
          <w:highlight w:val="none"/>
        </w:rPr>
        <w:t>2 ．形式评审环节</w:t>
      </w:r>
      <w:bookmarkEnd w:id="145"/>
    </w:p>
    <w:p w14:paraId="4C071E88">
      <w:pPr>
        <w:keepNext w:val="0"/>
        <w:keepLines w:val="0"/>
        <w:pageBreakBefore w:val="0"/>
        <w:wordWrap w:val="0"/>
        <w:overflowPunct/>
        <w:topLinePunct w:val="0"/>
        <w:bidi w:val="0"/>
        <w:spacing w:before="151" w:line="327" w:lineRule="auto"/>
        <w:ind w:right="200" w:firstLine="48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投标人有下列情形之一的，评标委员会应否决其投标。被否决的投标人，不进入响应性评审环节。</w:t>
      </w:r>
    </w:p>
    <w:p w14:paraId="2CCA6807">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（1）各分册没按招标文件规定加盖电子印章；</w:t>
      </w:r>
    </w:p>
    <w:p w14:paraId="3016EC44">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（2）本章第三节第 </w:t>
      </w:r>
      <w:r>
        <w:rPr>
          <w:rFonts w:hint="eastAsia" w:ascii="宋体" w:hAnsi="宋体" w:eastAsia="宋体" w:cs="宋体"/>
          <w:b/>
          <w:bCs/>
          <w:color w:val="auto"/>
          <w:spacing w:val="0"/>
          <w:sz w:val="24"/>
          <w:szCs w:val="24"/>
          <w:highlight w:val="none"/>
        </w:rPr>
        <w:t>10.2.2</w:t>
      </w:r>
      <w:r>
        <w:rPr>
          <w:rFonts w:hint="eastAsia" w:ascii="宋体" w:hAnsi="宋体" w:eastAsia="宋体" w:cs="宋体"/>
          <w:color w:val="auto"/>
          <w:spacing w:val="0"/>
          <w:sz w:val="24"/>
          <w:szCs w:val="24"/>
          <w:highlight w:val="none"/>
        </w:rPr>
        <w:t xml:space="preserve"> 目、第 </w:t>
      </w:r>
      <w:r>
        <w:rPr>
          <w:rFonts w:hint="eastAsia" w:ascii="宋体" w:hAnsi="宋体" w:eastAsia="宋体" w:cs="宋体"/>
          <w:b/>
          <w:bCs/>
          <w:color w:val="auto"/>
          <w:spacing w:val="0"/>
          <w:sz w:val="24"/>
          <w:szCs w:val="24"/>
          <w:highlight w:val="none"/>
        </w:rPr>
        <w:t>10.3.2</w:t>
      </w:r>
      <w:r>
        <w:rPr>
          <w:rFonts w:hint="eastAsia" w:ascii="宋体" w:hAnsi="宋体" w:eastAsia="宋体" w:cs="宋体"/>
          <w:color w:val="auto"/>
          <w:spacing w:val="0"/>
          <w:sz w:val="24"/>
          <w:szCs w:val="24"/>
          <w:highlight w:val="none"/>
        </w:rPr>
        <w:t xml:space="preserve"> 目、第 </w:t>
      </w:r>
      <w:r>
        <w:rPr>
          <w:rFonts w:hint="eastAsia" w:ascii="宋体" w:hAnsi="宋体" w:eastAsia="宋体" w:cs="宋体"/>
          <w:b/>
          <w:bCs/>
          <w:color w:val="auto"/>
          <w:spacing w:val="0"/>
          <w:sz w:val="24"/>
          <w:szCs w:val="24"/>
          <w:highlight w:val="none"/>
        </w:rPr>
        <w:t>10.4.3</w:t>
      </w:r>
      <w:r>
        <w:rPr>
          <w:rFonts w:hint="eastAsia" w:ascii="宋体" w:hAnsi="宋体" w:eastAsia="宋体" w:cs="宋体"/>
          <w:color w:val="auto"/>
          <w:spacing w:val="0"/>
          <w:sz w:val="24"/>
          <w:szCs w:val="24"/>
          <w:highlight w:val="none"/>
        </w:rPr>
        <w:t xml:space="preserve"> 目中规定的“所有投标人均应提供 ”的组成内容（包括该组成内容的所附资料）中，任何一项有缺漏的；</w:t>
      </w:r>
    </w:p>
    <w:p w14:paraId="32F511BC">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关键字迹模糊、无法辨认，且该种过错将导致评标委员会无法判断投标文件是否响应招标文件实质性要求的；有涂改、行间插字或删除，但未加盖单位章或由投标人的法定代表人或其委托代理人签字确认的；</w:t>
      </w:r>
    </w:p>
    <w:p w14:paraId="2562D028">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（4）投标文件未按规定签字、盖章的。</w:t>
      </w:r>
    </w:p>
    <w:p w14:paraId="018E6E23">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（5）招标文件规定施工组织设计采用“暗标 ”方式进行评审，但施工组织设计的规格颜色、文字排版、正文篇幅（若有）不符合规定的；其任何部位出现手写以及涂改、 行间插字或删除痕迹的；其任何部位出现投标人的名称和其它可识别投标人身份的字符、徽标、人员名称以及其他特殊标记的。</w:t>
      </w:r>
    </w:p>
    <w:p w14:paraId="2863A91E">
      <w:pPr>
        <w:wordWrap w:val="0"/>
        <w:adjustRightInd w:val="0"/>
        <w:snapToGrid w:val="0"/>
        <w:spacing w:line="440" w:lineRule="exact"/>
        <w:ind w:firstLine="480"/>
        <w:rPr>
          <w:rFonts w:hint="eastAsia" w:ascii="Times New Roman"/>
          <w:b/>
          <w:bCs/>
          <w:snapToGrid w:val="0"/>
          <w:color w:val="auto"/>
          <w:kern w:val="0"/>
          <w:highlight w:val="none"/>
        </w:rPr>
      </w:pP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不同投标人通过同一IP地址上传投标文件。</w:t>
      </w:r>
    </w:p>
    <w:p w14:paraId="5756AE48">
      <w:pPr>
        <w:keepNext w:val="0"/>
        <w:keepLines w:val="0"/>
        <w:pageBreakBefore w:val="0"/>
        <w:wordWrap w:val="0"/>
        <w:overflowPunct/>
        <w:topLinePunct w:val="0"/>
        <w:bidi w:val="0"/>
        <w:spacing w:before="227" w:line="221" w:lineRule="auto"/>
        <w:ind w:left="475"/>
        <w:outlineLvl w:val="2"/>
        <w:rPr>
          <w:rFonts w:hint="eastAsia" w:ascii="宋体" w:hAnsi="宋体" w:eastAsia="宋体" w:cs="宋体"/>
          <w:color w:val="auto"/>
          <w:spacing w:val="0"/>
          <w:sz w:val="24"/>
          <w:szCs w:val="24"/>
          <w:highlight w:val="none"/>
        </w:rPr>
      </w:pPr>
      <w:bookmarkStart w:id="146" w:name="_Toc13699"/>
      <w:r>
        <w:rPr>
          <w:rFonts w:hint="eastAsia" w:ascii="宋体" w:hAnsi="宋体" w:eastAsia="宋体" w:cs="宋体"/>
          <w:b/>
          <w:bCs/>
          <w:color w:val="auto"/>
          <w:spacing w:val="0"/>
          <w:sz w:val="24"/>
          <w:szCs w:val="24"/>
          <w:highlight w:val="none"/>
        </w:rPr>
        <w:t>3 ．响应性评审环节</w:t>
      </w:r>
      <w:bookmarkEnd w:id="146"/>
    </w:p>
    <w:p w14:paraId="24A371D1">
      <w:pPr>
        <w:keepNext w:val="0"/>
        <w:keepLines w:val="0"/>
        <w:pageBreakBefore w:val="0"/>
        <w:wordWrap w:val="0"/>
        <w:overflowPunct/>
        <w:topLinePunct w:val="0"/>
        <w:bidi w:val="0"/>
        <w:spacing w:before="151" w:line="327" w:lineRule="auto"/>
        <w:ind w:left="1" w:right="200" w:firstLine="48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投标人有下列情形之一的，评标委员会应否决其投标。被否决的投标人，不进入详细评审阶段。</w:t>
      </w:r>
    </w:p>
    <w:p w14:paraId="328C80CC">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（1）承诺的投标有效期短于规定的；质量标准低于规定的；工期超出规定的；擅自修改、遗漏《投标函》《各项承诺一览表》实质性内容的；</w:t>
      </w:r>
    </w:p>
    <w:p w14:paraId="51AA35F9">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（2）编制《投标总价》的造价工程师，其注册证书不是</w:t>
      </w:r>
      <w:r>
        <w:rPr>
          <w:rFonts w:hint="eastAsia" w:ascii="宋体" w:hAnsi="宋体" w:eastAsia="宋体" w:cs="宋体"/>
          <w:b/>
          <w:bCs/>
          <w:color w:val="auto"/>
          <w:spacing w:val="0"/>
          <w:sz w:val="24"/>
          <w:szCs w:val="24"/>
          <w:highlight w:val="none"/>
        </w:rPr>
        <w:t>住建部门</w:t>
      </w:r>
      <w:r>
        <w:rPr>
          <w:rFonts w:hint="eastAsia" w:ascii="宋体" w:hAnsi="宋体" w:eastAsia="宋体" w:cs="宋体"/>
          <w:color w:val="auto"/>
          <w:spacing w:val="0"/>
          <w:sz w:val="24"/>
          <w:szCs w:val="24"/>
          <w:highlight w:val="none"/>
        </w:rPr>
        <w:t>颁发的；其注册单位与投标人（或造价咨询人）不一致的；其注册证书不在有效期内的。</w:t>
      </w:r>
    </w:p>
    <w:p w14:paraId="57DA17C2">
      <w:pPr>
        <w:keepNext w:val="0"/>
        <w:keepLines w:val="0"/>
        <w:pageBreakBefore w:val="0"/>
        <w:wordWrap w:val="0"/>
        <w:overflowPunct/>
        <w:topLinePunct w:val="0"/>
        <w:bidi w:val="0"/>
        <w:spacing w:before="156" w:line="329" w:lineRule="auto"/>
        <w:ind w:right="200" w:firstLine="480"/>
        <w:jc w:val="both"/>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注：投标人（或造价咨询人）已经工商变更，但其员工的执业资格注册证书的注册单位名称未完成变更的，不得否决其投标。</w:t>
      </w:r>
    </w:p>
    <w:p w14:paraId="1C0F15DB">
      <w:pPr>
        <w:keepNext w:val="0"/>
        <w:keepLines w:val="0"/>
        <w:pageBreakBefore w:val="0"/>
        <w:wordWrap w:val="0"/>
        <w:overflowPunct/>
        <w:topLinePunct w:val="0"/>
        <w:bidi w:val="0"/>
        <w:spacing w:before="78" w:line="299" w:lineRule="auto"/>
        <w:ind w:left="2" w:right="81" w:firstLine="48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（3）投标人委托造价咨询单位编制《投标总价》，但未在《投标总价扉页》（即扉—3）“投标人 ”栏目加盖造价咨询人公章的；未提供造价咨询人的营业执照副本彩色扫描件；</w:t>
      </w:r>
    </w:p>
    <w:p w14:paraId="28A4F595">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（4）出现两个或两个以上投标总价的（同一个投标总价大、小写不一致的除外）； 投标总价超出</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的；</w:t>
      </w:r>
      <w:r>
        <w:rPr>
          <w:rFonts w:hint="eastAsia" w:ascii="宋体" w:hAnsi="宋体" w:eastAsia="宋体" w:cs="宋体"/>
          <w:color w:val="auto"/>
          <w:spacing w:val="0"/>
          <w:sz w:val="24"/>
          <w:szCs w:val="24"/>
          <w:highlight w:val="none"/>
          <w:lang w:eastAsia="zh-CN"/>
        </w:rPr>
        <w:t>安全生产措施费</w:t>
      </w:r>
      <w:r>
        <w:rPr>
          <w:rFonts w:hint="eastAsia" w:ascii="宋体" w:hAnsi="宋体" w:eastAsia="宋体" w:cs="宋体"/>
          <w:color w:val="auto"/>
          <w:spacing w:val="0"/>
          <w:sz w:val="24"/>
          <w:szCs w:val="24"/>
          <w:highlight w:val="none"/>
        </w:rPr>
        <w:t>少于规定的；暂列金额、暂估价未按照招标工程量清单统一报价的；投标总价下浮率超过 15%，又未提供相应书面说明和佐证材料或提供的书面说明和佐证材料不能令人信服，被评标委员会认定以低于成本报价竞标的；擅自修改、增减招标工程量清单项目（包括措施项目）的；</w:t>
      </w:r>
    </w:p>
    <w:p w14:paraId="0C1C1D63">
      <w:pPr>
        <w:keepNext w:val="0"/>
        <w:keepLines w:val="0"/>
        <w:pageBreakBefore w:val="0"/>
        <w:wordWrap w:val="0"/>
        <w:overflowPunct/>
        <w:topLinePunct w:val="0"/>
        <w:bidi w:val="0"/>
        <w:spacing w:before="156" w:line="299" w:lineRule="auto"/>
        <w:ind w:right="8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（5）在施工组织设计评审中，评标委员会认定质量、进度保障措施与国家和省市现行有关规范、规定、标准有重大偏差，</w:t>
      </w:r>
      <w:r>
        <w:rPr>
          <w:rFonts w:hint="eastAsia" w:ascii="宋体" w:hAnsi="宋体" w:eastAsia="宋体" w:cs="宋体"/>
          <w:b/>
          <w:bCs/>
          <w:color w:val="auto"/>
          <w:spacing w:val="0"/>
          <w:sz w:val="24"/>
          <w:szCs w:val="24"/>
          <w:highlight w:val="none"/>
        </w:rPr>
        <w:t>且该种过错将导致工程质量、进度管理目标无法实现的</w:t>
      </w:r>
      <w:r>
        <w:rPr>
          <w:rFonts w:hint="eastAsia" w:ascii="宋体" w:hAnsi="宋体" w:eastAsia="宋体" w:cs="宋体"/>
          <w:color w:val="auto"/>
          <w:spacing w:val="0"/>
          <w:sz w:val="24"/>
          <w:szCs w:val="24"/>
          <w:highlight w:val="none"/>
        </w:rPr>
        <w:t>。</w:t>
      </w:r>
    </w:p>
    <w:p w14:paraId="7278F5C7">
      <w:pPr>
        <w:keepNext w:val="0"/>
        <w:keepLines w:val="0"/>
        <w:pageBreakBefore w:val="0"/>
        <w:wordWrap w:val="0"/>
        <w:overflowPunct/>
        <w:topLinePunct w:val="0"/>
        <w:bidi w:val="0"/>
        <w:spacing w:before="151" w:line="221" w:lineRule="auto"/>
        <w:ind w:left="476"/>
        <w:outlineLvl w:val="2"/>
        <w:rPr>
          <w:rFonts w:hint="eastAsia" w:ascii="宋体" w:hAnsi="宋体" w:eastAsia="宋体" w:cs="宋体"/>
          <w:color w:val="auto"/>
          <w:spacing w:val="0"/>
          <w:sz w:val="24"/>
          <w:szCs w:val="24"/>
          <w:highlight w:val="none"/>
        </w:rPr>
      </w:pPr>
      <w:bookmarkStart w:id="147" w:name="_Toc2756"/>
      <w:r>
        <w:rPr>
          <w:rFonts w:hint="eastAsia" w:ascii="宋体" w:hAnsi="宋体" w:eastAsia="宋体" w:cs="宋体"/>
          <w:b/>
          <w:bCs/>
          <w:color w:val="auto"/>
          <w:spacing w:val="0"/>
          <w:sz w:val="24"/>
          <w:szCs w:val="24"/>
          <w:highlight w:val="none"/>
        </w:rPr>
        <w:t>4 ．其他</w:t>
      </w:r>
      <w:bookmarkEnd w:id="147"/>
    </w:p>
    <w:p w14:paraId="478ECE44">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在任何评标环节（或阶段），投标人有下列情形之一的，评标委员会应否决其投标。 被否决的投标人，不进入下一环节（或阶段）。</w:t>
      </w:r>
    </w:p>
    <w:p w14:paraId="32C969EB">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（1）不按评标委员会要求澄清、说明或补正的；</w:t>
      </w:r>
    </w:p>
    <w:p w14:paraId="2BC3CEAA">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（2）有下列情形之一，被评标委员会认定属于串通投标的：</w:t>
      </w:r>
    </w:p>
    <w:p w14:paraId="5E130F1E">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①不同投标人的投标文件两处以上（含两处）错、漏一致；</w:t>
      </w:r>
    </w:p>
    <w:p w14:paraId="7FECEC65">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②不同投标人的投标总价相近且各分项报价、综合单价分析表内容混乱不能相互对应、乱调乱压或乱抬的，而在询标时没有合理的解释或者不能提供计算依据和报价依据；</w:t>
      </w:r>
    </w:p>
    <w:p w14:paraId="2559209F">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③不同投标人的投标各项报价存在异常一致或者呈规律性变化；</w:t>
      </w:r>
    </w:p>
    <w:p w14:paraId="21D10FEB">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④不同投标人的投标文件由同一单位或者同一个人编制；</w:t>
      </w:r>
    </w:p>
    <w:p w14:paraId="5CE4BEF8">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⑤不同投标人的投标文件中投标资料（包括电子资料）相互混装或项目班子成员出现同一人；</w:t>
      </w:r>
    </w:p>
    <w:p w14:paraId="6AC7075C">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⑥不同投标人的投标文件由同一电脑编制或同一台附属设备打印，或投标报价用同一个预算编制软件密码锁制作或出自同一电子文档；</w:t>
      </w:r>
    </w:p>
    <w:p w14:paraId="5863A9E8">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⑦不同投标人的投标保证由同一企业或同一账户资金缴纳；</w:t>
      </w:r>
    </w:p>
    <w:p w14:paraId="61AFEE12">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⑧不同投标人委托同一个人或注册在同一家企业的注册人员或同一家企业为其投标提供投标咨询、商务报价、技术咨询（招标项目本身要求采用专有技术的除外）等服务。</w:t>
      </w:r>
    </w:p>
    <w:p w14:paraId="62C31967">
      <w:pPr>
        <w:pStyle w:val="25"/>
        <w:keepNext w:val="0"/>
        <w:keepLines w:val="0"/>
        <w:pageBreakBefore w:val="0"/>
        <w:wordWrap w:val="0"/>
        <w:overflowPunct/>
        <w:topLinePunct w:val="0"/>
        <w:bidi w:val="0"/>
        <w:rPr>
          <w:rFonts w:hint="eastAsia"/>
          <w:spacing w:val="0"/>
          <w:highlight w:val="none"/>
        </w:rPr>
      </w:pPr>
    </w:p>
    <w:p w14:paraId="3A4CDC3A">
      <w:pPr>
        <w:keepNext w:val="0"/>
        <w:keepLines w:val="0"/>
        <w:pageBreakBefore w:val="0"/>
        <w:wordWrap w:val="0"/>
        <w:overflowPunct/>
        <w:topLinePunct w:val="0"/>
        <w:bidi w:val="0"/>
        <w:spacing w:line="299" w:lineRule="auto"/>
        <w:rPr>
          <w:rFonts w:hint="eastAsia" w:ascii="宋体" w:hAnsi="宋体" w:eastAsia="宋体" w:cs="宋体"/>
          <w:color w:val="auto"/>
          <w:spacing w:val="0"/>
          <w:sz w:val="24"/>
          <w:szCs w:val="24"/>
          <w:highlight w:val="none"/>
        </w:rPr>
        <w:sectPr>
          <w:headerReference r:id="rId8" w:type="default"/>
          <w:footerReference r:id="rId9"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2D73093E">
      <w:pPr>
        <w:keepNext w:val="0"/>
        <w:keepLines w:val="0"/>
        <w:pageBreakBefore w:val="0"/>
        <w:wordWrap w:val="0"/>
        <w:overflowPunct/>
        <w:topLinePunct w:val="0"/>
        <w:bidi w:val="0"/>
        <w:spacing w:before="78" w:line="219" w:lineRule="auto"/>
        <w:ind w:left="3525"/>
        <w:outlineLvl w:val="0"/>
        <w:rPr>
          <w:rFonts w:hint="eastAsia" w:ascii="宋体" w:hAnsi="宋体" w:eastAsia="宋体" w:cs="宋体"/>
          <w:color w:val="auto"/>
          <w:spacing w:val="0"/>
          <w:sz w:val="24"/>
          <w:szCs w:val="24"/>
          <w:highlight w:val="none"/>
        </w:rPr>
      </w:pPr>
      <w:bookmarkStart w:id="148" w:name="bookmark57"/>
      <w:bookmarkEnd w:id="148"/>
      <w:bookmarkStart w:id="149" w:name="_Toc9411"/>
      <w:r>
        <w:rPr>
          <w:rFonts w:hint="eastAsia" w:ascii="宋体" w:hAnsi="宋体" w:eastAsia="宋体" w:cs="宋体"/>
          <w:b/>
          <w:bCs/>
          <w:color w:val="auto"/>
          <w:spacing w:val="0"/>
          <w:sz w:val="24"/>
          <w:szCs w:val="24"/>
          <w:highlight w:val="none"/>
        </w:rPr>
        <w:t>第二章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中标人须知</w:t>
      </w:r>
      <w:bookmarkEnd w:id="149"/>
    </w:p>
    <w:p w14:paraId="7366BAAD">
      <w:pPr>
        <w:keepNext w:val="0"/>
        <w:keepLines w:val="0"/>
        <w:pageBreakBefore w:val="0"/>
        <w:wordWrap w:val="0"/>
        <w:overflowPunct/>
        <w:topLinePunct w:val="0"/>
        <w:bidi w:val="0"/>
        <w:spacing w:before="78" w:line="219" w:lineRule="auto"/>
        <w:ind w:left="582"/>
        <w:outlineLvl w:val="2"/>
        <w:rPr>
          <w:rFonts w:hint="eastAsia" w:ascii="宋体" w:hAnsi="宋体" w:eastAsia="宋体" w:cs="宋体"/>
          <w:color w:val="auto"/>
          <w:spacing w:val="0"/>
          <w:sz w:val="24"/>
          <w:szCs w:val="24"/>
          <w:highlight w:val="none"/>
        </w:rPr>
      </w:pPr>
      <w:bookmarkStart w:id="150" w:name="_Toc5110"/>
      <w:r>
        <w:rPr>
          <w:rFonts w:hint="eastAsia" w:ascii="宋体" w:hAnsi="宋体" w:eastAsia="宋体" w:cs="宋体"/>
          <w:b/>
          <w:bCs/>
          <w:color w:val="auto"/>
          <w:spacing w:val="0"/>
          <w:sz w:val="24"/>
          <w:szCs w:val="24"/>
          <w:highlight w:val="none"/>
        </w:rPr>
        <w:t>1 ．中标通知书</w:t>
      </w:r>
      <w:bookmarkEnd w:id="150"/>
    </w:p>
    <w:p w14:paraId="360F6602">
      <w:pPr>
        <w:keepNext w:val="0"/>
        <w:keepLines w:val="0"/>
        <w:pageBreakBefore w:val="0"/>
        <w:wordWrap w:val="0"/>
        <w:overflowPunct/>
        <w:topLinePunct w:val="0"/>
        <w:bidi w:val="0"/>
        <w:spacing w:before="152" w:line="332" w:lineRule="auto"/>
        <w:ind w:left="17" w:firstLine="559"/>
        <w:jc w:val="both"/>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招标人确定</w:t>
      </w:r>
      <w:r>
        <w:rPr>
          <w:rFonts w:hint="eastAsia" w:ascii="宋体" w:hAnsi="宋体" w:eastAsia="宋体" w:cs="宋体"/>
          <w:color w:val="auto"/>
          <w:spacing w:val="0"/>
          <w:sz w:val="24"/>
          <w:szCs w:val="24"/>
          <w:highlight w:val="none"/>
          <w:lang w:val="en-US" w:eastAsia="zh-CN"/>
        </w:rPr>
        <w:t>定</w:t>
      </w:r>
      <w:r>
        <w:rPr>
          <w:rFonts w:hint="eastAsia" w:ascii="宋体" w:hAnsi="宋体" w:eastAsia="宋体" w:cs="宋体"/>
          <w:color w:val="auto"/>
          <w:spacing w:val="0"/>
          <w:sz w:val="24"/>
          <w:szCs w:val="24"/>
          <w:highlight w:val="none"/>
        </w:rPr>
        <w:t>标人为中标人</w:t>
      </w:r>
      <w:r>
        <w:rPr>
          <w:rFonts w:hint="eastAsia" w:ascii="宋体" w:hAnsi="宋体" w:eastAsia="宋体" w:cs="宋体"/>
          <w:color w:val="auto"/>
          <w:spacing w:val="0"/>
          <w:sz w:val="24"/>
          <w:szCs w:val="24"/>
          <w:highlight w:val="none"/>
          <w:lang w:val="en-US" w:eastAsia="zh-CN"/>
        </w:rPr>
        <w:t>后</w:t>
      </w:r>
      <w:r>
        <w:rPr>
          <w:rFonts w:hint="eastAsia" w:ascii="宋体" w:hAnsi="宋体" w:eastAsia="宋体" w:cs="宋体"/>
          <w:color w:val="auto"/>
          <w:spacing w:val="0"/>
          <w:sz w:val="24"/>
          <w:szCs w:val="24"/>
          <w:highlight w:val="none"/>
        </w:rPr>
        <w:t xml:space="preserve"> 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7D88EBA6">
      <w:pPr>
        <w:keepNext w:val="0"/>
        <w:keepLines w:val="0"/>
        <w:pageBreakBefore w:val="0"/>
        <w:wordWrap w:val="0"/>
        <w:overflowPunct/>
        <w:topLinePunct w:val="0"/>
        <w:bidi w:val="0"/>
        <w:spacing w:before="78" w:line="221" w:lineRule="auto"/>
        <w:ind w:left="572"/>
        <w:outlineLvl w:val="2"/>
        <w:rPr>
          <w:rFonts w:hint="eastAsia" w:ascii="宋体" w:hAnsi="宋体" w:eastAsia="宋体" w:cs="宋体"/>
          <w:color w:val="auto"/>
          <w:spacing w:val="0"/>
          <w:sz w:val="24"/>
          <w:szCs w:val="24"/>
          <w:highlight w:val="none"/>
        </w:rPr>
      </w:pPr>
      <w:bookmarkStart w:id="151" w:name="_Toc12154"/>
      <w:r>
        <w:rPr>
          <w:rFonts w:hint="eastAsia" w:ascii="宋体" w:hAnsi="宋体" w:eastAsia="宋体" w:cs="宋体"/>
          <w:b/>
          <w:bCs/>
          <w:color w:val="auto"/>
          <w:spacing w:val="0"/>
          <w:sz w:val="24"/>
          <w:szCs w:val="24"/>
          <w:highlight w:val="none"/>
        </w:rPr>
        <w:t>2 ．中结果公示</w:t>
      </w:r>
      <w:bookmarkEnd w:id="151"/>
    </w:p>
    <w:p w14:paraId="1D49581A">
      <w:pPr>
        <w:keepNext w:val="0"/>
        <w:keepLines w:val="0"/>
        <w:pageBreakBefore w:val="0"/>
        <w:wordWrap w:val="0"/>
        <w:overflowPunct/>
        <w:topLinePunct w:val="0"/>
        <w:bidi w:val="0"/>
        <w:spacing w:before="115" w:line="316" w:lineRule="auto"/>
        <w:ind w:left="2" w:right="203" w:firstLine="595"/>
        <w:jc w:val="both"/>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中标通知书发出后 15</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日内，招标人应将中标结果在广东省招标投标监管网（http://zbtb.gd.gov.cn）、全国公共资源交易平台（广东省 ·韶关市）（https://ygp.gdzwfw.gov.cn/ggzy-portal/#/440200/index）进行公示。</w:t>
      </w:r>
    </w:p>
    <w:p w14:paraId="49003951">
      <w:pPr>
        <w:keepNext w:val="0"/>
        <w:keepLines w:val="0"/>
        <w:pageBreakBefore w:val="0"/>
        <w:wordWrap w:val="0"/>
        <w:overflowPunct/>
        <w:topLinePunct w:val="0"/>
        <w:bidi w:val="0"/>
        <w:spacing w:before="79" w:line="221" w:lineRule="auto"/>
        <w:ind w:left="570"/>
        <w:outlineLvl w:val="2"/>
        <w:rPr>
          <w:rFonts w:hint="eastAsia" w:ascii="宋体" w:hAnsi="宋体" w:eastAsia="宋体" w:cs="宋体"/>
          <w:color w:val="auto"/>
          <w:spacing w:val="0"/>
          <w:sz w:val="24"/>
          <w:szCs w:val="24"/>
          <w:highlight w:val="none"/>
        </w:rPr>
      </w:pPr>
      <w:bookmarkStart w:id="152" w:name="_Toc32644"/>
      <w:r>
        <w:rPr>
          <w:rFonts w:hint="eastAsia" w:ascii="宋体" w:hAnsi="宋体" w:eastAsia="宋体" w:cs="宋体"/>
          <w:b/>
          <w:bCs/>
          <w:color w:val="auto"/>
          <w:spacing w:val="0"/>
          <w:sz w:val="24"/>
          <w:szCs w:val="24"/>
          <w:highlight w:val="none"/>
        </w:rPr>
        <w:t>3 ．履约保证</w:t>
      </w:r>
      <w:bookmarkEnd w:id="152"/>
    </w:p>
    <w:p w14:paraId="7A78E0ED">
      <w:pPr>
        <w:keepNext w:val="0"/>
        <w:keepLines w:val="0"/>
        <w:pageBreakBefore w:val="0"/>
        <w:widowControl/>
        <w:kinsoku w:val="0"/>
        <w:wordWrap w:val="0"/>
        <w:overflowPunct/>
        <w:topLinePunct w:val="0"/>
        <w:autoSpaceDE w:val="0"/>
        <w:autoSpaceDN w:val="0"/>
        <w:bidi w:val="0"/>
        <w:adjustRightInd w:val="0"/>
        <w:snapToGrid w:val="0"/>
        <w:spacing w:before="153" w:line="312" w:lineRule="auto"/>
        <w:ind w:firstLine="482"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3.1  </w:t>
      </w:r>
      <w:r>
        <w:rPr>
          <w:rFonts w:hint="eastAsia" w:ascii="宋体" w:hAnsi="宋体" w:eastAsia="宋体" w:cs="宋体"/>
          <w:color w:val="auto"/>
          <w:spacing w:val="0"/>
          <w:sz w:val="24"/>
          <w:szCs w:val="24"/>
          <w:highlight w:val="none"/>
        </w:rPr>
        <w:t>中标人须在领取中标通知书之日起</w:t>
      </w:r>
      <w:r>
        <w:rPr>
          <w:rFonts w:hint="eastAsia" w:ascii="宋体" w:hAnsi="宋体" w:eastAsia="宋体" w:cs="宋体"/>
          <w:color w:val="auto"/>
          <w:spacing w:val="0"/>
          <w:sz w:val="24"/>
          <w:szCs w:val="24"/>
          <w:highlight w:val="none"/>
          <w:u w:val="single"/>
          <w:lang w:val="en-US" w:eastAsia="zh-CN"/>
        </w:rPr>
        <w:t xml:space="preserve"> 10 </w:t>
      </w:r>
      <w:r>
        <w:rPr>
          <w:rFonts w:hint="eastAsia" w:ascii="宋体" w:hAnsi="宋体" w:eastAsia="宋体" w:cs="宋体"/>
          <w:color w:val="auto"/>
          <w:spacing w:val="0"/>
          <w:sz w:val="24"/>
          <w:szCs w:val="24"/>
          <w:highlight w:val="none"/>
        </w:rPr>
        <w:t>个工作日内、签订合同前向招标人提交金额</w:t>
      </w:r>
      <w:r>
        <w:rPr>
          <w:rFonts w:hint="eastAsia" w:ascii="宋体" w:hAnsi="宋体" w:eastAsia="宋体" w:cs="宋体"/>
          <w:color w:val="auto"/>
          <w:spacing w:val="0"/>
          <w:position w:val="2"/>
          <w:sz w:val="24"/>
          <w:szCs w:val="24"/>
          <w:highlight w:val="none"/>
        </w:rPr>
        <w:t>为中标价</w:t>
      </w:r>
      <w:r>
        <w:rPr>
          <w:rFonts w:hint="eastAsia" w:ascii="宋体" w:hAnsi="宋体" w:eastAsia="宋体" w:cs="宋体"/>
          <w:color w:val="auto"/>
          <w:spacing w:val="0"/>
          <w:position w:val="2"/>
          <w:sz w:val="24"/>
          <w:szCs w:val="24"/>
          <w:highlight w:val="none"/>
          <w:u w:val="single"/>
          <w:lang w:val="en-US" w:eastAsia="zh-CN"/>
        </w:rPr>
        <w:t xml:space="preserve"> 5</w:t>
      </w:r>
      <w:r>
        <w:rPr>
          <w:rFonts w:hint="eastAsia" w:ascii="宋体" w:hAnsi="宋体" w:eastAsia="宋体" w:cs="宋体"/>
          <w:color w:val="auto"/>
          <w:spacing w:val="0"/>
          <w:position w:val="2"/>
          <w:sz w:val="24"/>
          <w:szCs w:val="24"/>
          <w:highlight w:val="none"/>
          <w:u w:val="single"/>
        </w:rPr>
        <w:t xml:space="preserve">%  </w:t>
      </w:r>
      <w:r>
        <w:rPr>
          <w:rFonts w:hint="eastAsia" w:ascii="宋体" w:hAnsi="宋体" w:eastAsia="宋体" w:cs="宋体"/>
          <w:color w:val="auto"/>
          <w:spacing w:val="0"/>
          <w:position w:val="2"/>
          <w:sz w:val="24"/>
          <w:szCs w:val="24"/>
          <w:highlight w:val="none"/>
        </w:rPr>
        <w:t>的履约保证。联合体中标的，由联合体牵头人提交。</w:t>
      </w:r>
    </w:p>
    <w:p w14:paraId="0BF7859C">
      <w:pPr>
        <w:keepNext w:val="0"/>
        <w:keepLines w:val="0"/>
        <w:pageBreakBefore w:val="0"/>
        <w:wordWrap w:val="0"/>
        <w:overflowPunct/>
        <w:topLinePunct w:val="0"/>
        <w:bidi w:val="0"/>
        <w:spacing w:before="89" w:line="286" w:lineRule="auto"/>
        <w:ind w:left="12" w:right="108" w:firstLine="47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3.2</w:t>
      </w:r>
      <w:r>
        <w:rPr>
          <w:rFonts w:hint="eastAsia" w:ascii="宋体" w:hAnsi="宋体" w:eastAsia="宋体" w:cs="宋体"/>
          <w:b/>
          <w:bCs/>
          <w:color w:val="auto"/>
          <w:spacing w:val="0"/>
          <w:w w:val="101"/>
          <w:sz w:val="24"/>
          <w:szCs w:val="24"/>
          <w:highlight w:val="none"/>
        </w:rPr>
        <w:t xml:space="preserve"> </w:t>
      </w:r>
      <w:r>
        <w:rPr>
          <w:rFonts w:hint="eastAsia" w:ascii="宋体" w:hAnsi="宋体" w:eastAsia="宋体" w:cs="宋体"/>
          <w:color w:val="auto"/>
          <w:spacing w:val="0"/>
          <w:position w:val="2"/>
          <w:sz w:val="24"/>
          <w:szCs w:val="24"/>
          <w:highlight w:val="none"/>
        </w:rPr>
        <w:t>中标人根据《关于统一在市公共资源交易一体化服务平台缴退工程建设项目履约保证金的通知》办理相关手续，履约保证的形式包括履约保证金、履约保证担保、履约保证保险三种，由中标人自主选择</w:t>
      </w:r>
      <w:r>
        <w:rPr>
          <w:rFonts w:hint="eastAsia" w:ascii="宋体" w:hAnsi="宋体" w:eastAsia="宋体" w:cs="宋体"/>
          <w:color w:val="auto"/>
          <w:spacing w:val="0"/>
          <w:sz w:val="24"/>
          <w:szCs w:val="24"/>
          <w:highlight w:val="none"/>
        </w:rPr>
        <w:t>。商业保函、银行保函或保险合同（或保险单）的有效期应当自合同生效之日起至项目通过竣工验收之日后 28 天止。</w:t>
      </w:r>
    </w:p>
    <w:p w14:paraId="30ED910B">
      <w:pPr>
        <w:keepNext w:val="0"/>
        <w:keepLines w:val="0"/>
        <w:pageBreakBefore w:val="0"/>
        <w:wordWrap w:val="0"/>
        <w:overflowPunct/>
        <w:topLinePunct w:val="0"/>
        <w:bidi w:val="0"/>
        <w:spacing w:line="440" w:lineRule="exact"/>
        <w:ind w:firstLine="562"/>
        <w:rPr>
          <w:rFonts w:hint="eastAsia" w:ascii="宋体" w:hAnsi="宋体" w:eastAsia="宋体" w:cs="宋体"/>
          <w:color w:val="auto"/>
          <w:spacing w:val="0"/>
          <w:highlight w:val="none"/>
          <w:lang w:eastAsia="zh-CN"/>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position w:val="2"/>
          <w:sz w:val="24"/>
          <w:szCs w:val="24"/>
          <w:highlight w:val="none"/>
          <w:lang w:eastAsia="zh-CN"/>
        </w:rPr>
        <w:t>注：中标通知书发出时，招标人发起收缴履约保证金并填写保证金金额、缴交时限和项目工期；由中标人在建设工程交易系统中自主选择一种进行缴交。项目竣工后，由招标人发起退保。）</w:t>
      </w:r>
    </w:p>
    <w:p w14:paraId="4BE9E304">
      <w:pPr>
        <w:keepNext w:val="0"/>
        <w:keepLines w:val="0"/>
        <w:pageBreakBefore w:val="0"/>
        <w:wordWrap w:val="0"/>
        <w:overflowPunct/>
        <w:topLinePunct w:val="0"/>
        <w:bidi w:val="0"/>
        <w:spacing w:before="145" w:line="319" w:lineRule="auto"/>
        <w:ind w:left="12" w:right="108" w:firstLine="47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3.3  </w:t>
      </w:r>
      <w:r>
        <w:rPr>
          <w:rFonts w:hint="eastAsia" w:ascii="宋体" w:hAnsi="宋体" w:eastAsia="宋体" w:cs="宋体"/>
          <w:color w:val="auto"/>
          <w:spacing w:val="0"/>
          <w:sz w:val="24"/>
          <w:szCs w:val="24"/>
          <w:highlight w:val="none"/>
        </w:rPr>
        <w:t>中标人在领取中标通知书之日起 10 个工作日内仍未提交履约保证的，招标人发出第一次提醒函；在领取中标通知书之日起 15 个工作日内仍未提交的，招标人发出第二次提醒函；在领取中标通知书之日起 20个工作日内仍未提交的，视其放弃中标。并由招标人通报建设行政管理部门。如采用商业保函、银行保函或保险合同方式缴纳履约保证金，在保函或保险合同到期前一个月，中标人须主动办理续期手续或提交新的商业保函、银行保函或保险合同。</w:t>
      </w:r>
    </w:p>
    <w:p w14:paraId="39B39D75">
      <w:pPr>
        <w:keepNext w:val="0"/>
        <w:keepLines w:val="0"/>
        <w:pageBreakBefore w:val="0"/>
        <w:wordWrap w:val="0"/>
        <w:overflowPunct/>
        <w:topLinePunct w:val="0"/>
        <w:bidi w:val="0"/>
        <w:spacing w:before="152" w:line="299" w:lineRule="auto"/>
        <w:ind w:left="12" w:right="108"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3.4  </w:t>
      </w:r>
      <w:r>
        <w:rPr>
          <w:rFonts w:hint="eastAsia" w:ascii="宋体" w:hAnsi="宋体" w:eastAsia="宋体" w:cs="宋体"/>
          <w:color w:val="auto"/>
          <w:spacing w:val="0"/>
          <w:sz w:val="24"/>
          <w:szCs w:val="24"/>
          <w:highlight w:val="none"/>
        </w:rPr>
        <w:t>在工程实施过程中，如果承包人（即招标阶段的中标人，下同）由于自身的资金、技术、质量、非不可抗力等原因给发包人（即招标阶段的招标人，下同）造成经济损失，发包人有权扣划相应金额的履约保证。</w:t>
      </w:r>
    </w:p>
    <w:p w14:paraId="4B781F83">
      <w:pPr>
        <w:keepNext w:val="0"/>
        <w:keepLines w:val="0"/>
        <w:pageBreakBefore w:val="0"/>
        <w:wordWrap w:val="0"/>
        <w:overflowPunct/>
        <w:topLinePunct w:val="0"/>
        <w:bidi w:val="0"/>
        <w:spacing w:before="154" w:line="220" w:lineRule="auto"/>
        <w:ind w:left="486"/>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3.5  </w:t>
      </w:r>
      <w:r>
        <w:rPr>
          <w:rFonts w:hint="eastAsia" w:ascii="宋体" w:hAnsi="宋体" w:eastAsia="宋体" w:cs="宋体"/>
          <w:color w:val="auto"/>
          <w:spacing w:val="0"/>
          <w:sz w:val="24"/>
          <w:szCs w:val="24"/>
          <w:highlight w:val="none"/>
        </w:rPr>
        <w:t>项目通过竣工验收之日后 28 天内，发包人将履约保证退还给承包人。</w:t>
      </w:r>
    </w:p>
    <w:p w14:paraId="1C3E0C01">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0701BAE5">
      <w:pPr>
        <w:keepNext w:val="0"/>
        <w:keepLines w:val="0"/>
        <w:pageBreakBefore w:val="0"/>
        <w:wordWrap w:val="0"/>
        <w:overflowPunct/>
        <w:topLinePunct w:val="0"/>
        <w:bidi w:val="0"/>
        <w:spacing w:before="78" w:line="222" w:lineRule="auto"/>
        <w:ind w:left="488"/>
        <w:outlineLvl w:val="2"/>
        <w:rPr>
          <w:rFonts w:hint="eastAsia" w:ascii="宋体" w:hAnsi="宋体" w:eastAsia="宋体" w:cs="宋体"/>
          <w:color w:val="auto"/>
          <w:spacing w:val="0"/>
          <w:sz w:val="24"/>
          <w:szCs w:val="24"/>
          <w:highlight w:val="none"/>
        </w:rPr>
      </w:pPr>
      <w:bookmarkStart w:id="153" w:name="_Toc19929"/>
      <w:r>
        <w:rPr>
          <w:rFonts w:hint="eastAsia" w:ascii="宋体" w:hAnsi="宋体" w:eastAsia="宋体" w:cs="宋体"/>
          <w:b/>
          <w:bCs/>
          <w:color w:val="auto"/>
          <w:spacing w:val="0"/>
          <w:sz w:val="24"/>
          <w:szCs w:val="24"/>
          <w:highlight w:val="none"/>
        </w:rPr>
        <w:t>4 ．合同订立</w:t>
      </w:r>
      <w:bookmarkEnd w:id="153"/>
    </w:p>
    <w:p w14:paraId="066A10F5">
      <w:pPr>
        <w:keepNext w:val="0"/>
        <w:keepLines w:val="0"/>
        <w:pageBreakBefore w:val="0"/>
        <w:widowControl/>
        <w:kinsoku w:val="0"/>
        <w:wordWrap w:val="0"/>
        <w:overflowPunct/>
        <w:topLinePunct w:val="0"/>
        <w:autoSpaceDE w:val="0"/>
        <w:autoSpaceDN w:val="0"/>
        <w:bidi w:val="0"/>
        <w:adjustRightInd w:val="0"/>
        <w:snapToGrid w:val="0"/>
        <w:spacing w:before="150" w:line="300" w:lineRule="auto"/>
        <w:ind w:left="11" w:right="108" w:firstLine="476"/>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4.1  </w:t>
      </w:r>
      <w:r>
        <w:rPr>
          <w:rFonts w:hint="eastAsia" w:ascii="宋体" w:hAnsi="宋体" w:eastAsia="宋体" w:cs="宋体"/>
          <w:color w:val="auto"/>
          <w:spacing w:val="0"/>
          <w:sz w:val="24"/>
          <w:szCs w:val="24"/>
          <w:highlight w:val="none"/>
        </w:rPr>
        <w:t>招标人应当自中标通知书发出之日起</w:t>
      </w:r>
      <w:r>
        <w:rPr>
          <w:rFonts w:hint="eastAsia" w:ascii="宋体" w:hAnsi="宋体" w:eastAsia="宋体" w:cs="宋体"/>
          <w:color w:val="auto"/>
          <w:spacing w:val="0"/>
          <w:sz w:val="24"/>
          <w:szCs w:val="24"/>
          <w:highlight w:val="none"/>
          <w:u w:val="single"/>
          <w:lang w:val="en-US" w:eastAsia="zh-CN"/>
        </w:rPr>
        <w:t xml:space="preserve"> 三十 </w:t>
      </w:r>
      <w:r>
        <w:rPr>
          <w:rFonts w:hint="eastAsia" w:ascii="宋体" w:hAnsi="宋体" w:eastAsia="宋体" w:cs="宋体"/>
          <w:color w:val="auto"/>
          <w:spacing w:val="0"/>
          <w:sz w:val="24"/>
          <w:szCs w:val="24"/>
          <w:highlight w:val="none"/>
        </w:rPr>
        <w:t>日内，按照招标文件、中标人的投标文件与中标人订立书面合同。</w:t>
      </w:r>
    </w:p>
    <w:p w14:paraId="4E36450D">
      <w:pPr>
        <w:keepNext w:val="0"/>
        <w:keepLines w:val="0"/>
        <w:pageBreakBefore w:val="0"/>
        <w:wordWrap w:val="0"/>
        <w:overflowPunct/>
        <w:topLinePunct w:val="0"/>
        <w:bidi w:val="0"/>
        <w:spacing w:before="156" w:line="219" w:lineRule="auto"/>
        <w:ind w:left="48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4.2  </w:t>
      </w:r>
      <w:r>
        <w:rPr>
          <w:rFonts w:hint="eastAsia" w:ascii="宋体" w:hAnsi="宋体" w:eastAsia="宋体" w:cs="宋体"/>
          <w:color w:val="auto"/>
          <w:spacing w:val="0"/>
          <w:sz w:val="24"/>
          <w:szCs w:val="24"/>
          <w:highlight w:val="none"/>
        </w:rPr>
        <w:t>不正常报价的梳理和确认</w:t>
      </w:r>
    </w:p>
    <w:p w14:paraId="3CC76246">
      <w:pPr>
        <w:keepNext w:val="0"/>
        <w:keepLines w:val="0"/>
        <w:pageBreakBefore w:val="0"/>
        <w:wordWrap w:val="0"/>
        <w:overflowPunct/>
        <w:topLinePunct w:val="0"/>
        <w:bidi w:val="0"/>
        <w:spacing w:before="154" w:line="299" w:lineRule="auto"/>
        <w:ind w:left="14" w:right="64" w:firstLine="47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4.2.1 合同订立期间，在不改变中标人的投标总价的前提下，招标人应对中标人的投标报价进行全面分析和整理，从而发现并提取其中可能存在的算术性错误、错漏项、不平衡报价等不正常报价，并修正其中的算术性错误。</w:t>
      </w:r>
      <w:r>
        <w:rPr>
          <w:rFonts w:hint="eastAsia" w:ascii="宋体" w:hAnsi="宋体" w:eastAsia="宋体" w:cs="宋体"/>
          <w:color w:val="auto"/>
          <w:spacing w:val="0"/>
          <w:sz w:val="24"/>
          <w:szCs w:val="24"/>
          <w:highlight w:val="none"/>
        </w:rPr>
        <w:t>招标人不具备以上能力的，可授权编制本项目</w:t>
      </w:r>
      <w:r>
        <w:rPr>
          <w:rFonts w:hint="eastAsia" w:ascii="宋体" w:hAnsi="宋体" w:eastAsia="宋体" w:cs="宋体"/>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的造价咨询单位实施。</w:t>
      </w:r>
    </w:p>
    <w:p w14:paraId="2AA70AFF">
      <w:pPr>
        <w:keepNext w:val="0"/>
        <w:keepLines w:val="0"/>
        <w:pageBreakBefore w:val="0"/>
        <w:wordWrap w:val="0"/>
        <w:overflowPunct/>
        <w:topLinePunct w:val="0"/>
        <w:bidi w:val="0"/>
        <w:spacing w:before="121" w:line="309" w:lineRule="auto"/>
        <w:ind w:left="14" w:right="65" w:firstLine="47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4.2.2  </w:t>
      </w:r>
      <w:r>
        <w:rPr>
          <w:rFonts w:hint="eastAsia" w:ascii="宋体" w:hAnsi="宋体" w:eastAsia="宋体" w:cs="宋体"/>
          <w:color w:val="auto"/>
          <w:spacing w:val="0"/>
          <w:sz w:val="24"/>
          <w:szCs w:val="24"/>
          <w:highlight w:val="none"/>
        </w:rPr>
        <w:t>算术性错误的分析和修正。投标报价汇总表中，投标总价与各分项费用之和不一致的，以投标总价为准修正分项费用；投标报价汇总表的各分项费用与对应分项表中的费用不一致的，以投标报价汇总表中的分项费用为准修正对应分项表中的费用；各分项表中总价金额与依据单价计算出的结果不一致的，以总价为准修正单价。</w:t>
      </w:r>
    </w:p>
    <w:p w14:paraId="68A939CE">
      <w:pPr>
        <w:keepNext w:val="0"/>
        <w:keepLines w:val="0"/>
        <w:pageBreakBefore w:val="0"/>
        <w:wordWrap w:val="0"/>
        <w:overflowPunct/>
        <w:topLinePunct w:val="0"/>
        <w:bidi w:val="0"/>
        <w:spacing w:before="157" w:line="279" w:lineRule="auto"/>
        <w:ind w:left="12" w:right="66"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4.2.3  </w:t>
      </w:r>
      <w:r>
        <w:rPr>
          <w:rFonts w:hint="eastAsia" w:ascii="宋体" w:hAnsi="宋体" w:eastAsia="宋体" w:cs="宋体"/>
          <w:color w:val="auto"/>
          <w:spacing w:val="0"/>
          <w:sz w:val="24"/>
          <w:szCs w:val="24"/>
          <w:highlight w:val="none"/>
        </w:rPr>
        <w:t>错漏项的认定。中标人已标价工程量清单中，任一清单项目未填报价格或价格为零的，视为错漏项。</w:t>
      </w:r>
    </w:p>
    <w:p w14:paraId="77C9B6F1">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u w:val="single"/>
        </w:rPr>
      </w:pPr>
      <w:r>
        <w:rPr>
          <w:rFonts w:hint="eastAsia" w:ascii="宋体" w:hAnsi="宋体" w:eastAsia="宋体" w:cs="宋体"/>
          <w:b/>
          <w:bCs/>
          <w:snapToGrid w:val="0"/>
          <w:color w:val="000000"/>
          <w:kern w:val="0"/>
          <w:sz w:val="24"/>
          <w:szCs w:val="24"/>
          <w:highlight w:val="none"/>
        </w:rPr>
        <w:t>4.2.4</w:t>
      </w:r>
      <w:r>
        <w:rPr>
          <w:rFonts w:hint="eastAsia" w:ascii="宋体" w:hAnsi="宋体" w:eastAsia="宋体" w:cs="宋体"/>
          <w:snapToGrid w:val="0"/>
          <w:color w:val="000000"/>
          <w:kern w:val="0"/>
          <w:sz w:val="24"/>
          <w:szCs w:val="24"/>
          <w:highlight w:val="none"/>
        </w:rPr>
        <w:t xml:space="preserve"> 不平衡报价的认定。经修正算术性错误后的中标人已标价工程量清单中，</w:t>
      </w:r>
      <w:r>
        <w:rPr>
          <w:rFonts w:hint="eastAsia" w:ascii="宋体" w:hAnsi="宋体" w:eastAsia="宋体" w:cs="宋体"/>
          <w:snapToGrid w:val="0"/>
          <w:color w:val="000000"/>
          <w:kern w:val="0"/>
          <w:sz w:val="24"/>
          <w:szCs w:val="24"/>
          <w:highlight w:val="none"/>
          <w:u w:val="single"/>
        </w:rPr>
        <w:t>中标人投标价清单项目填报的综合单价（P0）与招标人招标控制价相应清单项目的综合单价（P1）偏差超过一定幅度时，即当 P0＜P1×（1-L）×(1-15%)或 P0＞P1×（1+15%）时（L 为中标下浮率，按照第三章“拟签订合同的主要条款”第 2.3 条规定计算；以上 P0、P1、L 的定义适用于招标文件）</w:t>
      </w:r>
      <w:r>
        <w:rPr>
          <w:rFonts w:hint="eastAsia" w:ascii="宋体" w:hAnsi="宋体" w:eastAsia="宋体" w:cs="宋体"/>
          <w:snapToGrid w:val="0"/>
          <w:color w:val="000000"/>
          <w:kern w:val="0"/>
          <w:sz w:val="24"/>
          <w:szCs w:val="24"/>
          <w:highlight w:val="none"/>
        </w:rPr>
        <w:t>的清单项目，视为不平衡报价项目。</w:t>
      </w:r>
    </w:p>
    <w:p w14:paraId="6EC5D772">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4.2.5</w:t>
      </w:r>
      <w:r>
        <w:rPr>
          <w:rFonts w:hint="eastAsia" w:ascii="宋体" w:hAnsi="宋体" w:eastAsia="宋体" w:cs="宋体"/>
          <w:snapToGrid w:val="0"/>
          <w:color w:val="000000"/>
          <w:kern w:val="0"/>
          <w:sz w:val="24"/>
          <w:szCs w:val="24"/>
          <w:highlight w:val="none"/>
        </w:rPr>
        <w:t xml:space="preserve"> 招标人或其授权的造价咨询单位应就发现的以上所有不正常报价分类整理、汇总，形成《不正常报价清单》，并交中标人复核和确认。经招标人和中标人共同签字、盖章确认的《不正常报价清单》，构成施工合同的组成部分。</w:t>
      </w:r>
    </w:p>
    <w:p w14:paraId="141FAC8A">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4.2.6</w:t>
      </w:r>
      <w:r>
        <w:rPr>
          <w:rFonts w:hint="eastAsia" w:ascii="宋体" w:hAnsi="宋体" w:eastAsia="宋体" w:cs="宋体"/>
          <w:snapToGrid w:val="0"/>
          <w:color w:val="000000"/>
          <w:kern w:val="0"/>
          <w:sz w:val="24"/>
          <w:szCs w:val="24"/>
          <w:highlight w:val="none"/>
        </w:rPr>
        <w:t xml:space="preserve"> </w:t>
      </w:r>
      <w:r>
        <w:rPr>
          <w:rFonts w:hint="eastAsia" w:ascii="宋体" w:hAnsi="宋体" w:eastAsia="宋体" w:cs="宋体"/>
          <w:b/>
          <w:bCs/>
          <w:snapToGrid w:val="0"/>
          <w:color w:val="000000"/>
          <w:kern w:val="0"/>
          <w:sz w:val="24"/>
          <w:szCs w:val="24"/>
          <w:highlight w:val="none"/>
        </w:rPr>
        <w:t>合同履行过程中，被认定为错漏项的清单项目，结算时按照第三章“拟签订合同的主要条款”第2.6条规定处理。</w:t>
      </w:r>
    </w:p>
    <w:p w14:paraId="732D1DE2">
      <w:pPr>
        <w:wordWrap w:val="0"/>
        <w:adjustRightInd w:val="0"/>
        <w:snapToGrid w:val="0"/>
        <w:spacing w:line="360" w:lineRule="auto"/>
        <w:ind w:firstLine="482" w:firstLineChars="200"/>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4.2.7 合同履行过程中，合同约定的调整因素（如工程量偏差、工程变更、项目特征不符、招标工程量清单缺项等）出现时，被认定为不平衡报价的清单项目以及采用被认定为不平衡报价的清单项目的价格作为取价（或参照取价）依据的变更、新增项目，按照第三章“拟签订合同的主要条款”第2.3条的有关规定调整合同价款。</w:t>
      </w:r>
    </w:p>
    <w:p w14:paraId="06159DC0">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 xml:space="preserve">4.3 </w:t>
      </w:r>
      <w:r>
        <w:rPr>
          <w:rFonts w:hint="eastAsia" w:ascii="宋体" w:hAnsi="宋体" w:eastAsia="宋体" w:cs="宋体"/>
          <w:snapToGrid w:val="0"/>
          <w:color w:val="000000"/>
          <w:kern w:val="0"/>
          <w:sz w:val="24"/>
          <w:szCs w:val="24"/>
          <w:highlight w:val="none"/>
        </w:rPr>
        <w:t>本招标项目合同计价方式为：</w:t>
      </w:r>
      <w:r>
        <w:rPr>
          <w:rFonts w:hint="eastAsia" w:ascii="宋体" w:hAnsi="宋体" w:eastAsia="宋体" w:cs="宋体"/>
          <w:snapToGrid w:val="0"/>
          <w:color w:val="000000"/>
          <w:kern w:val="0"/>
          <w:sz w:val="24"/>
          <w:szCs w:val="24"/>
          <w:highlight w:val="none"/>
          <w:u w:val="single"/>
        </w:rPr>
        <w:t xml:space="preserve"> 单价 </w:t>
      </w:r>
      <w:r>
        <w:rPr>
          <w:rFonts w:hint="eastAsia" w:ascii="宋体" w:hAnsi="宋体" w:eastAsia="宋体" w:cs="宋体"/>
          <w:snapToGrid w:val="0"/>
          <w:color w:val="000000"/>
          <w:kern w:val="0"/>
          <w:sz w:val="24"/>
          <w:szCs w:val="24"/>
          <w:highlight w:val="none"/>
        </w:rPr>
        <w:t>合同。</w:t>
      </w:r>
    </w:p>
    <w:p w14:paraId="23DFC241">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4.4</w:t>
      </w:r>
      <w:r>
        <w:rPr>
          <w:rFonts w:hint="eastAsia" w:ascii="宋体" w:hAnsi="宋体" w:eastAsia="宋体" w:cs="宋体"/>
          <w:snapToGrid w:val="0"/>
          <w:color w:val="000000"/>
          <w:kern w:val="0"/>
          <w:sz w:val="24"/>
          <w:szCs w:val="24"/>
          <w:highlight w:val="none"/>
        </w:rPr>
        <w:t xml:space="preserve"> 合同的标的、质量、履行期限条款和合同的价款、单价、比例条款等主要条款，应当与招标文件、中标人的投标文件的内容一致。中标人在签订合同时不得向招标人提出附加条件。</w:t>
      </w:r>
    </w:p>
    <w:p w14:paraId="57DFA08E">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4.5</w:t>
      </w:r>
      <w:r>
        <w:rPr>
          <w:rFonts w:hint="eastAsia" w:ascii="宋体" w:hAnsi="宋体" w:eastAsia="宋体" w:cs="宋体"/>
          <w:snapToGrid w:val="0"/>
          <w:color w:val="000000"/>
          <w:kern w:val="0"/>
          <w:sz w:val="24"/>
          <w:szCs w:val="24"/>
          <w:highlight w:val="none"/>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2C058498">
      <w:pPr>
        <w:wordWrap w:val="0"/>
        <w:adjustRightInd w:val="0"/>
        <w:snapToGrid w:val="0"/>
        <w:spacing w:line="360" w:lineRule="auto"/>
        <w:ind w:firstLine="482" w:firstLineChars="200"/>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4.6</w:t>
      </w:r>
      <w:r>
        <w:rPr>
          <w:rFonts w:hint="eastAsia" w:ascii="宋体" w:hAnsi="宋体" w:eastAsia="宋体" w:cs="宋体"/>
          <w:snapToGrid w:val="0"/>
          <w:color w:val="000000"/>
          <w:kern w:val="0"/>
          <w:sz w:val="24"/>
          <w:szCs w:val="24"/>
          <w:highlight w:val="none"/>
        </w:rPr>
        <w:t xml:space="preserve"> 在书面合同订立之日起2个工作日内，由中标人将合同上传至建设工程交易系统，并发起退还投标保证的申请。韶关市公共资源交易中心在收到申请之日起3个工作日内，将投标保证金（或银行保函）退还给中标人和其他中标候选人。</w:t>
      </w:r>
    </w:p>
    <w:p w14:paraId="18397800">
      <w:pPr>
        <w:wordWrap w:val="0"/>
        <w:adjustRightInd w:val="0"/>
        <w:snapToGrid w:val="0"/>
        <w:spacing w:line="360" w:lineRule="auto"/>
        <w:ind w:firstLine="482" w:firstLineChars="200"/>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5．放弃中标的处理</w:t>
      </w:r>
    </w:p>
    <w:p w14:paraId="5B2D0438">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5.1</w:t>
      </w:r>
      <w:r>
        <w:rPr>
          <w:rFonts w:hint="eastAsia" w:ascii="宋体" w:hAnsi="宋体" w:eastAsia="宋体" w:cs="宋体"/>
          <w:snapToGrid w:val="0"/>
          <w:color w:val="000000"/>
          <w:kern w:val="0"/>
          <w:sz w:val="24"/>
          <w:szCs w:val="24"/>
          <w:highlight w:val="none"/>
        </w:rPr>
        <w:t xml:space="preserve"> 中标人</w:t>
      </w:r>
      <w:r>
        <w:rPr>
          <w:rFonts w:hint="eastAsia" w:ascii="宋体" w:hAnsi="宋体" w:eastAsia="宋体" w:cs="宋体"/>
          <w:snapToGrid w:val="0"/>
          <w:color w:val="000000"/>
          <w:sz w:val="24"/>
          <w:szCs w:val="24"/>
          <w:highlight w:val="none"/>
        </w:rPr>
        <w:t>无正当理由放弃中标的，</w:t>
      </w:r>
      <w:r>
        <w:rPr>
          <w:rFonts w:hint="eastAsia" w:ascii="宋体" w:hAnsi="宋体" w:eastAsia="宋体" w:cs="宋体"/>
          <w:snapToGrid w:val="0"/>
          <w:color w:val="000000"/>
          <w:kern w:val="0"/>
          <w:sz w:val="24"/>
          <w:szCs w:val="24"/>
          <w:highlight w:val="none"/>
        </w:rPr>
        <w:t>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w:t>
      </w:r>
      <w:r>
        <w:rPr>
          <w:rFonts w:hint="eastAsia" w:ascii="宋体" w:hAnsi="宋体" w:eastAsia="宋体" w:cs="宋体"/>
          <w:bCs/>
          <w:snapToGrid w:val="0"/>
          <w:color w:val="000000"/>
          <w:kern w:val="0"/>
          <w:sz w:val="24"/>
          <w:szCs w:val="24"/>
          <w:highlight w:val="none"/>
        </w:rPr>
        <w:t>因此种情况造成招标人重新招标的</w:t>
      </w:r>
      <w:r>
        <w:rPr>
          <w:rFonts w:hint="eastAsia" w:ascii="宋体" w:hAnsi="宋体" w:eastAsia="宋体" w:cs="宋体"/>
          <w:snapToGrid w:val="0"/>
          <w:color w:val="000000"/>
          <w:kern w:val="0"/>
          <w:sz w:val="24"/>
          <w:szCs w:val="24"/>
          <w:highlight w:val="none"/>
        </w:rPr>
        <w:t>，招标人可不接受该弃标人再次投标。同时，招标人应将该弃标人的失信行为向行政监督部门报告。</w:t>
      </w:r>
    </w:p>
    <w:p w14:paraId="6D92FD65">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5.2</w:t>
      </w:r>
      <w:r>
        <w:rPr>
          <w:rFonts w:hint="eastAsia" w:ascii="宋体" w:hAnsi="宋体" w:eastAsia="宋体" w:cs="宋体"/>
          <w:snapToGrid w:val="0"/>
          <w:color w:val="000000"/>
          <w:kern w:val="0"/>
          <w:sz w:val="24"/>
          <w:szCs w:val="24"/>
          <w:highlight w:val="none"/>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65B11479">
      <w:pPr>
        <w:wordWrap w:val="0"/>
        <w:adjustRightInd w:val="0"/>
        <w:snapToGrid w:val="0"/>
        <w:spacing w:line="360" w:lineRule="auto"/>
        <w:ind w:firstLine="482" w:firstLineChars="200"/>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6．专业工程分包</w:t>
      </w:r>
    </w:p>
    <w:p w14:paraId="235C66C1">
      <w:pPr>
        <w:wordWrap w:val="0"/>
        <w:adjustRightInd w:val="0"/>
        <w:snapToGrid w:val="0"/>
        <w:spacing w:line="360" w:lineRule="auto"/>
        <w:ind w:firstLine="480"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w:t>
      </w:r>
    </w:p>
    <w:p w14:paraId="5099C753">
      <w:pPr>
        <w:wordWrap w:val="0"/>
        <w:adjustRightInd w:val="0"/>
        <w:snapToGrid w:val="0"/>
        <w:spacing w:line="360" w:lineRule="auto"/>
        <w:ind w:firstLine="482" w:firstLineChars="200"/>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7．工人工资支付专用账户</w:t>
      </w:r>
    </w:p>
    <w:p w14:paraId="46FA2D74">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7.1</w:t>
      </w:r>
      <w:r>
        <w:rPr>
          <w:rFonts w:hint="eastAsia" w:ascii="宋体" w:hAnsi="宋体" w:eastAsia="宋体" w:cs="宋体"/>
          <w:snapToGrid w:val="0"/>
          <w:color w:val="000000"/>
          <w:kern w:val="0"/>
          <w:sz w:val="24"/>
          <w:szCs w:val="24"/>
          <w:highlight w:val="none"/>
        </w:rPr>
        <w:t xml:space="preserve"> 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w:t>
      </w:r>
    </w:p>
    <w:p w14:paraId="569E53AE">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7.2</w:t>
      </w:r>
      <w:r>
        <w:rPr>
          <w:rFonts w:hint="eastAsia" w:ascii="宋体" w:hAnsi="宋体" w:eastAsia="宋体" w:cs="宋体"/>
          <w:snapToGrid w:val="0"/>
          <w:color w:val="000000"/>
          <w:kern w:val="0"/>
          <w:sz w:val="24"/>
          <w:szCs w:val="24"/>
          <w:highlight w:val="none"/>
        </w:rPr>
        <w:t xml:space="preserve"> 承包人必须在项目开工前，在项目所在地银行设立工资专户，并在作业工人进场前按照相关规定完成实名管理登记及作业工人工资卡开办。承包人应在工资专户开立后2个工作日内，将开户银行及其账号、开户协议等资料提交给发包人。</w:t>
      </w:r>
    </w:p>
    <w:p w14:paraId="428CC129">
      <w:pPr>
        <w:wordWrap w:val="0"/>
        <w:adjustRightInd w:val="0"/>
        <w:snapToGrid w:val="0"/>
        <w:spacing w:line="360" w:lineRule="auto"/>
        <w:ind w:firstLine="482" w:firstLineChars="200"/>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7.3</w:t>
      </w:r>
      <w:r>
        <w:rPr>
          <w:rFonts w:hint="eastAsia" w:ascii="宋体" w:hAnsi="宋体" w:eastAsia="宋体" w:cs="宋体"/>
          <w:snapToGrid w:val="0"/>
          <w:color w:val="000000"/>
          <w:kern w:val="0"/>
          <w:sz w:val="24"/>
          <w:szCs w:val="24"/>
          <w:highlight w:val="none"/>
        </w:rPr>
        <w:t xml:space="preserve"> 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w:t>
      </w:r>
    </w:p>
    <w:p w14:paraId="318B9417">
      <w:pPr>
        <w:wordWrap w:val="0"/>
        <w:adjustRightInd w:val="0"/>
        <w:snapToGrid w:val="0"/>
        <w:spacing w:line="360" w:lineRule="auto"/>
        <w:ind w:firstLine="482" w:firstLineChars="200"/>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lang w:val="en-US" w:eastAsia="zh-CN"/>
        </w:rPr>
        <w:t>8</w:t>
      </w:r>
      <w:r>
        <w:rPr>
          <w:rFonts w:hint="eastAsia" w:ascii="宋体" w:hAnsi="宋体" w:eastAsia="宋体" w:cs="宋体"/>
          <w:b/>
          <w:bCs/>
          <w:snapToGrid w:val="0"/>
          <w:color w:val="000000"/>
          <w:kern w:val="0"/>
          <w:sz w:val="24"/>
          <w:szCs w:val="24"/>
          <w:highlight w:val="none"/>
        </w:rPr>
        <w:t>．工期进度</w:t>
      </w:r>
    </w:p>
    <w:p w14:paraId="6C39C6F4">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lang w:val="en-US" w:eastAsia="zh-CN"/>
        </w:rPr>
        <w:t>8</w:t>
      </w: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snapToGrid w:val="0"/>
          <w:color w:val="000000"/>
          <w:kern w:val="0"/>
          <w:sz w:val="24"/>
          <w:szCs w:val="24"/>
          <w:highlight w:val="none"/>
        </w:rPr>
        <w:t>本工程施工招标工期为</w:t>
      </w:r>
      <w:r>
        <w:rPr>
          <w:rFonts w:hint="eastAsia" w:ascii="宋体" w:hAnsi="宋体" w:eastAsia="宋体" w:cs="宋体"/>
          <w:snapToGrid w:val="0"/>
          <w:color w:val="000000"/>
          <w:kern w:val="0"/>
          <w:sz w:val="24"/>
          <w:szCs w:val="24"/>
          <w:highlight w:val="none"/>
          <w:lang w:val="en-US" w:eastAsia="zh-CN"/>
        </w:rPr>
        <w:t>60个日历天</w:t>
      </w:r>
      <w:r>
        <w:rPr>
          <w:rFonts w:hint="eastAsia" w:ascii="宋体" w:hAnsi="宋体" w:eastAsia="宋体" w:cs="宋体"/>
          <w:snapToGrid w:val="0"/>
          <w:color w:val="000000"/>
          <w:kern w:val="0"/>
          <w:sz w:val="24"/>
          <w:szCs w:val="24"/>
          <w:highlight w:val="none"/>
        </w:rPr>
        <w:t>。承包人必须在招标工期内完成</w:t>
      </w:r>
      <w:r>
        <w:rPr>
          <w:rFonts w:hint="eastAsia" w:ascii="宋体" w:hAnsi="宋体" w:eastAsia="宋体" w:cs="宋体"/>
          <w:color w:val="000000"/>
          <w:sz w:val="24"/>
          <w:szCs w:val="24"/>
          <w:highlight w:val="none"/>
        </w:rPr>
        <w:t>招标范围内</w:t>
      </w:r>
      <w:r>
        <w:rPr>
          <w:rFonts w:hint="eastAsia" w:ascii="宋体" w:hAnsi="宋体" w:eastAsia="宋体" w:cs="宋体"/>
          <w:snapToGrid w:val="0"/>
          <w:color w:val="000000"/>
          <w:kern w:val="0"/>
          <w:sz w:val="24"/>
          <w:szCs w:val="24"/>
          <w:highlight w:val="none"/>
        </w:rPr>
        <w:t>的全部内容。</w:t>
      </w:r>
    </w:p>
    <w:p w14:paraId="30F3C772">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lang w:val="en-US" w:eastAsia="zh-CN"/>
        </w:rPr>
        <w:t>8</w:t>
      </w:r>
      <w:r>
        <w:rPr>
          <w:rFonts w:hint="eastAsia" w:ascii="宋体" w:hAnsi="宋体" w:eastAsia="宋体" w:cs="宋体"/>
          <w:b/>
          <w:bCs/>
          <w:snapToGrid w:val="0"/>
          <w:color w:val="000000"/>
          <w:kern w:val="0"/>
          <w:sz w:val="24"/>
          <w:szCs w:val="24"/>
          <w:highlight w:val="none"/>
        </w:rPr>
        <w:t>.2</w:t>
      </w:r>
      <w:r>
        <w:rPr>
          <w:rFonts w:hint="eastAsia" w:ascii="宋体" w:hAnsi="宋体" w:eastAsia="宋体" w:cs="宋体"/>
          <w:snapToGrid w:val="0"/>
          <w:color w:val="000000"/>
          <w:kern w:val="0"/>
          <w:sz w:val="24"/>
          <w:szCs w:val="24"/>
          <w:highlight w:val="none"/>
        </w:rPr>
        <w:t xml:space="preserve"> 施工工期从承包人收到监理单位签发的开工令之日起计，至竣工验收合格之日止。</w:t>
      </w:r>
    </w:p>
    <w:p w14:paraId="3389C4F3">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lang w:val="en-US" w:eastAsia="zh-CN"/>
        </w:rPr>
        <w:t>8</w:t>
      </w:r>
      <w:r>
        <w:rPr>
          <w:rFonts w:hint="eastAsia" w:ascii="宋体" w:hAnsi="宋体" w:eastAsia="宋体" w:cs="宋体"/>
          <w:b/>
          <w:bCs/>
          <w:snapToGrid w:val="0"/>
          <w:color w:val="000000"/>
          <w:kern w:val="0"/>
          <w:sz w:val="24"/>
          <w:szCs w:val="24"/>
          <w:highlight w:val="none"/>
        </w:rPr>
        <w:t>.3</w:t>
      </w:r>
      <w:r>
        <w:rPr>
          <w:rFonts w:hint="eastAsia" w:ascii="宋体" w:hAnsi="宋体" w:eastAsia="宋体" w:cs="宋体"/>
          <w:snapToGrid w:val="0"/>
          <w:color w:val="000000"/>
          <w:kern w:val="0"/>
          <w:sz w:val="24"/>
          <w:szCs w:val="24"/>
          <w:highlight w:val="none"/>
        </w:rPr>
        <w:t>由于承包人原因造成工期延误的，承包人须在逾期第壹天起每天按合同价的</w:t>
      </w:r>
      <w:r>
        <w:rPr>
          <w:rFonts w:hint="eastAsia" w:ascii="宋体" w:hAnsi="宋体" w:eastAsia="宋体" w:cs="宋体"/>
          <w:snapToGrid w:val="0"/>
          <w:color w:val="000000"/>
          <w:kern w:val="0"/>
          <w:sz w:val="24"/>
          <w:szCs w:val="24"/>
          <w:highlight w:val="none"/>
          <w:u w:val="single"/>
        </w:rPr>
        <w:t xml:space="preserve">1 ‰ </w:t>
      </w:r>
      <w:r>
        <w:rPr>
          <w:rFonts w:hint="eastAsia" w:ascii="宋体" w:hAnsi="宋体" w:eastAsia="宋体" w:cs="宋体"/>
          <w:snapToGrid w:val="0"/>
          <w:color w:val="000000"/>
          <w:kern w:val="0"/>
          <w:sz w:val="24"/>
          <w:szCs w:val="24"/>
          <w:highlight w:val="none"/>
        </w:rPr>
        <w:t>向招标人返纳逾期竣工违约金。逾期竣工违约金的最高限额为人民币（大写）：</w:t>
      </w:r>
      <w:r>
        <w:rPr>
          <w:rFonts w:hint="eastAsia" w:ascii="宋体" w:hAnsi="宋体" w:eastAsia="宋体" w:cs="宋体"/>
          <w:snapToGrid w:val="0"/>
          <w:color w:val="000000"/>
          <w:kern w:val="0"/>
          <w:sz w:val="24"/>
          <w:szCs w:val="24"/>
          <w:highlight w:val="none"/>
          <w:u w:val="single"/>
        </w:rPr>
        <w:t xml:space="preserve"> 合同总价5% </w:t>
      </w:r>
      <w:r>
        <w:rPr>
          <w:rFonts w:hint="eastAsia" w:ascii="宋体" w:hAnsi="宋体" w:eastAsia="宋体" w:cs="宋体"/>
          <w:snapToGrid w:val="0"/>
          <w:color w:val="000000"/>
          <w:kern w:val="0"/>
          <w:sz w:val="24"/>
          <w:szCs w:val="24"/>
          <w:highlight w:val="none"/>
        </w:rPr>
        <w:t>。</w:t>
      </w:r>
    </w:p>
    <w:p w14:paraId="65DCA364">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lang w:val="en-US" w:eastAsia="zh-CN"/>
        </w:rPr>
        <w:t>9</w:t>
      </w:r>
      <w:r>
        <w:rPr>
          <w:rFonts w:hint="eastAsia" w:ascii="宋体" w:hAnsi="宋体" w:eastAsia="宋体" w:cs="宋体"/>
          <w:b/>
          <w:bCs/>
          <w:snapToGrid w:val="0"/>
          <w:color w:val="000000"/>
          <w:kern w:val="0"/>
          <w:sz w:val="24"/>
          <w:szCs w:val="24"/>
          <w:highlight w:val="none"/>
        </w:rPr>
        <w:t>．项目管理机构</w:t>
      </w:r>
    </w:p>
    <w:p w14:paraId="38265DC2">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lang w:val="en-US" w:eastAsia="zh-CN"/>
        </w:rPr>
        <w:t>9</w:t>
      </w: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snapToGrid w:val="0"/>
          <w:color w:val="000000"/>
          <w:kern w:val="0"/>
          <w:sz w:val="24"/>
          <w:szCs w:val="24"/>
          <w:highlight w:val="none"/>
        </w:rPr>
        <w:t xml:space="preserve"> 承包人派驻的项目管理班子成员必须为其投标文件确定的人员，否则发包人有权终止合同。</w:t>
      </w:r>
    </w:p>
    <w:p w14:paraId="4845A665">
      <w:pPr>
        <w:wordWrap w:val="0"/>
        <w:adjustRightInd w:val="0"/>
        <w:snapToGrid w:val="0"/>
        <w:spacing w:line="360" w:lineRule="auto"/>
        <w:ind w:firstLine="48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lang w:val="en-US" w:eastAsia="zh-CN"/>
        </w:rPr>
        <w:t>9</w:t>
      </w:r>
      <w:r>
        <w:rPr>
          <w:rFonts w:hint="eastAsia" w:ascii="宋体" w:hAnsi="宋体" w:eastAsia="宋体" w:cs="宋体"/>
          <w:b/>
          <w:bCs/>
          <w:snapToGrid w:val="0"/>
          <w:color w:val="000000"/>
          <w:kern w:val="0"/>
          <w:sz w:val="24"/>
          <w:szCs w:val="24"/>
          <w:highlight w:val="none"/>
        </w:rPr>
        <w:t>.2</w:t>
      </w:r>
      <w:r>
        <w:rPr>
          <w:rFonts w:hint="eastAsia" w:ascii="宋体" w:hAnsi="宋体" w:eastAsia="宋体" w:cs="宋体"/>
          <w:snapToGrid w:val="0"/>
          <w:color w:val="000000"/>
          <w:kern w:val="0"/>
          <w:sz w:val="24"/>
          <w:szCs w:val="24"/>
          <w:highlight w:val="none"/>
        </w:rPr>
        <w:t xml:space="preserve"> 项目管理班子成员不得擅自变更。其中，项目经理若有《广东省住房和城乡建设厅关于建设工程项目招标中标后监督检查的办法》（粤建市〔2009〕8号，以下简称“《办法》”）第九条所述除外情形之一确需变更的，承包人应填写《建设工程项目管理班子变更情况报告表》（《办法》附件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w:t>
      </w:r>
    </w:p>
    <w:p w14:paraId="7898D782">
      <w:pPr>
        <w:wordWrap w:val="0"/>
        <w:adjustRightInd w:val="0"/>
        <w:snapToGrid w:val="0"/>
        <w:spacing w:line="360" w:lineRule="auto"/>
        <w:ind w:firstLine="482" w:firstLineChars="200"/>
        <w:rPr>
          <w:rFonts w:hint="eastAsia" w:ascii="宋体" w:hAnsi="宋体" w:eastAsia="宋体" w:cs="宋体"/>
          <w:strike/>
          <w:snapToGrid w:val="0"/>
          <w:color w:val="000000"/>
          <w:kern w:val="0"/>
          <w:sz w:val="24"/>
          <w:szCs w:val="24"/>
          <w:highlight w:val="none"/>
        </w:rPr>
      </w:pPr>
      <w:r>
        <w:rPr>
          <w:rFonts w:hint="eastAsia" w:ascii="宋体" w:hAnsi="宋体" w:eastAsia="宋体" w:cs="宋体"/>
          <w:b/>
          <w:snapToGrid w:val="0"/>
          <w:color w:val="000000"/>
          <w:kern w:val="0"/>
          <w:sz w:val="24"/>
          <w:szCs w:val="24"/>
          <w:highlight w:val="none"/>
        </w:rPr>
        <w:t>1</w:t>
      </w:r>
      <w:r>
        <w:rPr>
          <w:rFonts w:hint="eastAsia" w:ascii="宋体" w:hAnsi="宋体" w:eastAsia="宋体" w:cs="宋体"/>
          <w:b/>
          <w:snapToGrid w:val="0"/>
          <w:color w:val="000000"/>
          <w:kern w:val="0"/>
          <w:sz w:val="24"/>
          <w:szCs w:val="24"/>
          <w:highlight w:val="none"/>
          <w:lang w:val="en-US" w:eastAsia="zh-CN"/>
        </w:rPr>
        <w:t>0</w:t>
      </w:r>
      <w:r>
        <w:rPr>
          <w:rFonts w:hint="eastAsia" w:ascii="宋体" w:hAnsi="宋体" w:eastAsia="宋体" w:cs="宋体"/>
          <w:b/>
          <w:snapToGrid w:val="0"/>
          <w:color w:val="000000"/>
          <w:kern w:val="0"/>
          <w:sz w:val="24"/>
          <w:szCs w:val="24"/>
          <w:highlight w:val="none"/>
        </w:rPr>
        <w:t>．现场管理</w:t>
      </w:r>
    </w:p>
    <w:p w14:paraId="60238A13">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0</w:t>
      </w: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snapToGrid w:val="0"/>
          <w:color w:val="000000"/>
          <w:kern w:val="0"/>
          <w:sz w:val="24"/>
          <w:szCs w:val="24"/>
          <w:highlight w:val="none"/>
        </w:rPr>
        <w:t xml:space="preserve"> 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w:t>
      </w:r>
    </w:p>
    <w:p w14:paraId="567B79E1">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0</w:t>
      </w:r>
      <w:r>
        <w:rPr>
          <w:rFonts w:hint="eastAsia" w:ascii="宋体" w:hAnsi="宋体" w:eastAsia="宋体" w:cs="宋体"/>
          <w:b/>
          <w:bCs/>
          <w:snapToGrid w:val="0"/>
          <w:color w:val="000000"/>
          <w:kern w:val="0"/>
          <w:sz w:val="24"/>
          <w:szCs w:val="24"/>
          <w:highlight w:val="none"/>
        </w:rPr>
        <w:t>.2</w:t>
      </w:r>
      <w:r>
        <w:rPr>
          <w:rFonts w:hint="eastAsia" w:ascii="宋体" w:hAnsi="宋体" w:eastAsia="宋体" w:cs="宋体"/>
          <w:snapToGrid w:val="0"/>
          <w:color w:val="000000"/>
          <w:kern w:val="0"/>
          <w:sz w:val="24"/>
          <w:szCs w:val="24"/>
          <w:highlight w:val="none"/>
        </w:rPr>
        <w:t xml:space="preserve"> 承包人应按安全施工有关规定，采取严格、科学的安全防护措施，确保施工和人员（包括第三者）的安全，承担由于自身安全防护措施不力所造成的安全事故责任和发生的费用。</w:t>
      </w:r>
    </w:p>
    <w:p w14:paraId="536F0C08">
      <w:pPr>
        <w:wordWrap w:val="0"/>
        <w:adjustRightInd w:val="0"/>
        <w:snapToGrid w:val="0"/>
        <w:spacing w:line="360" w:lineRule="auto"/>
        <w:ind w:firstLine="482" w:firstLineChars="200"/>
        <w:rPr>
          <w:rFonts w:hint="eastAsia" w:ascii="宋体" w:hAnsi="宋体" w:eastAsia="宋体" w:cs="宋体"/>
          <w:b/>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0</w:t>
      </w:r>
      <w:r>
        <w:rPr>
          <w:rFonts w:hint="eastAsia" w:ascii="宋体" w:hAnsi="宋体" w:eastAsia="宋体" w:cs="宋体"/>
          <w:b/>
          <w:bCs/>
          <w:snapToGrid w:val="0"/>
          <w:color w:val="000000"/>
          <w:kern w:val="0"/>
          <w:sz w:val="24"/>
          <w:szCs w:val="24"/>
          <w:highlight w:val="none"/>
        </w:rPr>
        <w:t>.3</w:t>
      </w:r>
      <w:r>
        <w:rPr>
          <w:rFonts w:hint="eastAsia" w:ascii="宋体" w:hAnsi="宋体" w:eastAsia="宋体" w:cs="宋体"/>
          <w:snapToGrid w:val="0"/>
          <w:color w:val="000000"/>
          <w:kern w:val="0"/>
          <w:sz w:val="24"/>
          <w:szCs w:val="24"/>
          <w:highlight w:val="none"/>
        </w:rPr>
        <w:t xml:space="preserve"> 为保证施工现场的环境卫生，承包人在本招标项目施工过程中，所有的车辆必须按发包人规定的行车路线行驶。</w:t>
      </w:r>
    </w:p>
    <w:p w14:paraId="5534DAB4">
      <w:pPr>
        <w:wordWrap w:val="0"/>
        <w:adjustRightInd w:val="0"/>
        <w:snapToGrid w:val="0"/>
        <w:spacing w:line="360" w:lineRule="auto"/>
        <w:ind w:firstLine="482" w:firstLineChars="200"/>
        <w:rPr>
          <w:rFonts w:hint="eastAsia" w:ascii="宋体" w:hAnsi="宋体" w:eastAsia="宋体" w:cs="宋体"/>
          <w:strike/>
          <w:snapToGrid w:val="0"/>
          <w:color w:val="000000"/>
          <w:kern w:val="0"/>
          <w:sz w:val="24"/>
          <w:szCs w:val="24"/>
          <w:highlight w:val="none"/>
        </w:rPr>
      </w:pPr>
      <w:r>
        <w:rPr>
          <w:rFonts w:hint="eastAsia" w:ascii="宋体" w:hAnsi="宋体" w:eastAsia="宋体" w:cs="宋体"/>
          <w:b/>
          <w:snapToGrid w:val="0"/>
          <w:color w:val="000000"/>
          <w:kern w:val="0"/>
          <w:sz w:val="24"/>
          <w:szCs w:val="24"/>
          <w:highlight w:val="none"/>
        </w:rPr>
        <w:t>1</w:t>
      </w:r>
      <w:r>
        <w:rPr>
          <w:rFonts w:hint="eastAsia" w:ascii="宋体" w:hAnsi="宋体" w:eastAsia="宋体" w:cs="宋体"/>
          <w:b/>
          <w:snapToGrid w:val="0"/>
          <w:color w:val="000000"/>
          <w:kern w:val="0"/>
          <w:sz w:val="24"/>
          <w:szCs w:val="24"/>
          <w:highlight w:val="none"/>
          <w:lang w:val="en-US" w:eastAsia="zh-CN"/>
        </w:rPr>
        <w:t>1</w:t>
      </w:r>
      <w:r>
        <w:rPr>
          <w:rFonts w:hint="eastAsia" w:ascii="宋体" w:hAnsi="宋体" w:eastAsia="宋体" w:cs="宋体"/>
          <w:b/>
          <w:snapToGrid w:val="0"/>
          <w:color w:val="000000"/>
          <w:kern w:val="0"/>
          <w:sz w:val="24"/>
          <w:szCs w:val="24"/>
          <w:highlight w:val="none"/>
        </w:rPr>
        <w:t>．监督实施</w:t>
      </w:r>
    </w:p>
    <w:p w14:paraId="57C0FE9B">
      <w:pPr>
        <w:wordWrap w:val="0"/>
        <w:adjustRightInd w:val="0"/>
        <w:snapToGrid w:val="0"/>
        <w:spacing w:line="360" w:lineRule="auto"/>
        <w:ind w:firstLine="560"/>
        <w:rPr>
          <w:rFonts w:hint="eastAsia" w:ascii="宋体" w:hAnsi="宋体" w:eastAsia="宋体" w:cs="宋体"/>
          <w:b/>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承包人须服从发包人对工程质量、进度、成本的全方位监督，施工中的年度计划、季度计划、月度计划、施工方案等应报送监理单位审批和发包人备案。施工中的质量保证措施等资料均应及时报送监理单位和发包人备案。</w:t>
      </w:r>
    </w:p>
    <w:p w14:paraId="2DB15DF5">
      <w:pPr>
        <w:wordWrap w:val="0"/>
        <w:adjustRightInd w:val="0"/>
        <w:snapToGrid w:val="0"/>
        <w:spacing w:line="360" w:lineRule="auto"/>
        <w:ind w:firstLine="560"/>
        <w:rPr>
          <w:rFonts w:hint="eastAsia" w:ascii="宋体" w:hAnsi="宋体" w:eastAsia="宋体" w:cs="宋体"/>
          <w:b/>
          <w:snapToGrid w:val="0"/>
          <w:color w:val="000000"/>
          <w:kern w:val="0"/>
          <w:sz w:val="24"/>
          <w:szCs w:val="24"/>
          <w:highlight w:val="none"/>
        </w:rPr>
      </w:pPr>
      <w:r>
        <w:rPr>
          <w:rFonts w:hint="eastAsia" w:ascii="宋体" w:hAnsi="宋体" w:eastAsia="宋体" w:cs="宋体"/>
          <w:b/>
          <w:snapToGrid w:val="0"/>
          <w:color w:val="000000"/>
          <w:kern w:val="0"/>
          <w:sz w:val="24"/>
          <w:szCs w:val="24"/>
          <w:highlight w:val="none"/>
        </w:rPr>
        <w:t>1</w:t>
      </w:r>
      <w:r>
        <w:rPr>
          <w:rFonts w:hint="eastAsia" w:ascii="宋体" w:hAnsi="宋体" w:eastAsia="宋体" w:cs="宋体"/>
          <w:b/>
          <w:snapToGrid w:val="0"/>
          <w:color w:val="000000"/>
          <w:kern w:val="0"/>
          <w:sz w:val="24"/>
          <w:szCs w:val="24"/>
          <w:highlight w:val="none"/>
          <w:lang w:val="en-US" w:eastAsia="zh-CN"/>
        </w:rPr>
        <w:t>2</w:t>
      </w:r>
      <w:r>
        <w:rPr>
          <w:rFonts w:hint="eastAsia" w:ascii="宋体" w:hAnsi="宋体" w:eastAsia="宋体" w:cs="宋体"/>
          <w:b/>
          <w:snapToGrid w:val="0"/>
          <w:color w:val="000000"/>
          <w:kern w:val="0"/>
          <w:sz w:val="24"/>
          <w:szCs w:val="24"/>
          <w:highlight w:val="none"/>
        </w:rPr>
        <w:t>．主材的采购和使用</w:t>
      </w:r>
    </w:p>
    <w:p w14:paraId="01DC98FE">
      <w:pPr>
        <w:wordWrap w:val="0"/>
        <w:adjustRightInd w:val="0"/>
        <w:snapToGrid w:val="0"/>
        <w:spacing w:line="360" w:lineRule="auto"/>
        <w:ind w:firstLine="560"/>
        <w:rPr>
          <w:rFonts w:hint="eastAsia" w:ascii="宋体" w:hAnsi="宋体" w:eastAsia="宋体" w:cs="宋体"/>
          <w:bCs/>
          <w:snapToGrid w:val="0"/>
          <w:color w:val="000000"/>
          <w:kern w:val="0"/>
          <w:sz w:val="24"/>
          <w:szCs w:val="24"/>
          <w:highlight w:val="none"/>
        </w:rPr>
      </w:pPr>
      <w:r>
        <w:rPr>
          <w:rFonts w:hint="eastAsia" w:ascii="宋体" w:hAnsi="宋体" w:eastAsia="宋体" w:cs="宋体"/>
          <w:bCs/>
          <w:snapToGrid w:val="0"/>
          <w:color w:val="000000"/>
          <w:kern w:val="0"/>
          <w:sz w:val="24"/>
          <w:szCs w:val="24"/>
          <w:highlight w:val="none"/>
        </w:rPr>
        <w:t>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w:t>
      </w:r>
    </w:p>
    <w:p w14:paraId="58FB00E9">
      <w:pPr>
        <w:wordWrap w:val="0"/>
        <w:adjustRightInd w:val="0"/>
        <w:snapToGrid w:val="0"/>
        <w:spacing w:line="360" w:lineRule="auto"/>
        <w:ind w:firstLine="560"/>
        <w:rPr>
          <w:rFonts w:hint="eastAsia" w:ascii="宋体" w:hAnsi="宋体" w:eastAsia="宋体" w:cs="宋体"/>
          <w:bCs/>
          <w:snapToGrid w:val="0"/>
          <w:color w:val="000000"/>
          <w:kern w:val="0"/>
          <w:sz w:val="24"/>
          <w:szCs w:val="24"/>
          <w:highlight w:val="none"/>
        </w:rPr>
      </w:pPr>
      <w:r>
        <w:rPr>
          <w:rFonts w:hint="eastAsia" w:ascii="宋体" w:hAnsi="宋体" w:eastAsia="宋体" w:cs="宋体"/>
          <w:b/>
          <w:snapToGrid w:val="0"/>
          <w:color w:val="000000"/>
          <w:kern w:val="0"/>
          <w:sz w:val="24"/>
          <w:szCs w:val="24"/>
          <w:highlight w:val="none"/>
        </w:rPr>
        <w:t>1</w:t>
      </w:r>
      <w:r>
        <w:rPr>
          <w:rFonts w:hint="eastAsia" w:ascii="宋体" w:hAnsi="宋体" w:eastAsia="宋体" w:cs="宋体"/>
          <w:b/>
          <w:snapToGrid w:val="0"/>
          <w:color w:val="000000"/>
          <w:kern w:val="0"/>
          <w:sz w:val="24"/>
          <w:szCs w:val="24"/>
          <w:highlight w:val="none"/>
          <w:lang w:val="en-US" w:eastAsia="zh-CN"/>
        </w:rPr>
        <w:t>3</w:t>
      </w:r>
      <w:r>
        <w:rPr>
          <w:rFonts w:hint="eastAsia" w:ascii="宋体" w:hAnsi="宋体" w:eastAsia="宋体" w:cs="宋体"/>
          <w:b/>
          <w:snapToGrid w:val="0"/>
          <w:color w:val="000000"/>
          <w:kern w:val="0"/>
          <w:sz w:val="24"/>
          <w:szCs w:val="24"/>
          <w:highlight w:val="none"/>
        </w:rPr>
        <w:t>．竣工资料移交</w:t>
      </w:r>
    </w:p>
    <w:p w14:paraId="4CE2AEEC">
      <w:pPr>
        <w:wordWrap w:val="0"/>
        <w:adjustRightInd w:val="0"/>
        <w:snapToGrid w:val="0"/>
        <w:spacing w:line="360" w:lineRule="auto"/>
        <w:ind w:firstLine="560"/>
        <w:rPr>
          <w:rFonts w:hint="eastAsia" w:ascii="宋体" w:hAnsi="宋体" w:eastAsia="宋体" w:cs="宋体"/>
          <w:b/>
          <w:snapToGrid w:val="0"/>
          <w:color w:val="000000"/>
          <w:kern w:val="0"/>
          <w:sz w:val="24"/>
          <w:szCs w:val="24"/>
          <w:highlight w:val="none"/>
        </w:rPr>
      </w:pPr>
      <w:r>
        <w:rPr>
          <w:rFonts w:hint="eastAsia" w:ascii="宋体" w:hAnsi="宋体" w:eastAsia="宋体" w:cs="宋体"/>
          <w:bCs/>
          <w:snapToGrid w:val="0"/>
          <w:color w:val="000000"/>
          <w:kern w:val="0"/>
          <w:sz w:val="24"/>
          <w:szCs w:val="24"/>
          <w:highlight w:val="none"/>
        </w:rPr>
        <w:t>工程竣工验收时，</w:t>
      </w:r>
      <w:r>
        <w:rPr>
          <w:rFonts w:hint="eastAsia" w:ascii="宋体" w:hAnsi="宋体" w:eastAsia="宋体" w:cs="宋体"/>
          <w:snapToGrid w:val="0"/>
          <w:color w:val="000000"/>
          <w:kern w:val="0"/>
          <w:sz w:val="24"/>
          <w:szCs w:val="24"/>
          <w:highlight w:val="none"/>
        </w:rPr>
        <w:t>承包</w:t>
      </w:r>
      <w:r>
        <w:rPr>
          <w:rFonts w:hint="eastAsia" w:ascii="宋体" w:hAnsi="宋体" w:eastAsia="宋体" w:cs="宋体"/>
          <w:bCs/>
          <w:snapToGrid w:val="0"/>
          <w:color w:val="000000"/>
          <w:kern w:val="0"/>
          <w:sz w:val="24"/>
          <w:szCs w:val="24"/>
          <w:highlight w:val="none"/>
        </w:rPr>
        <w:t>人应向监理单位和</w:t>
      </w:r>
      <w:r>
        <w:rPr>
          <w:rFonts w:hint="eastAsia" w:ascii="宋体" w:hAnsi="宋体" w:eastAsia="宋体" w:cs="宋体"/>
          <w:snapToGrid w:val="0"/>
          <w:color w:val="000000"/>
          <w:kern w:val="0"/>
          <w:sz w:val="24"/>
          <w:szCs w:val="24"/>
          <w:highlight w:val="none"/>
        </w:rPr>
        <w:t>发包</w:t>
      </w:r>
      <w:r>
        <w:rPr>
          <w:rFonts w:hint="eastAsia" w:ascii="宋体" w:hAnsi="宋体" w:eastAsia="宋体" w:cs="宋体"/>
          <w:bCs/>
          <w:snapToGrid w:val="0"/>
          <w:color w:val="000000"/>
          <w:kern w:val="0"/>
          <w:sz w:val="24"/>
          <w:szCs w:val="24"/>
          <w:highlight w:val="none"/>
        </w:rPr>
        <w:t>人提供符合国家档案部门备案要求的，编制成册的竣工图及有关的技术档案资料（含声像档案）一式</w:t>
      </w:r>
      <w:r>
        <w:rPr>
          <w:rFonts w:hint="eastAsia" w:ascii="宋体" w:hAnsi="宋体" w:eastAsia="宋体" w:cs="宋体"/>
          <w:bCs/>
          <w:snapToGrid w:val="0"/>
          <w:color w:val="000000"/>
          <w:kern w:val="0"/>
          <w:sz w:val="24"/>
          <w:szCs w:val="24"/>
          <w:highlight w:val="none"/>
          <w:u w:val="single"/>
        </w:rPr>
        <w:t>捌</w:t>
      </w:r>
      <w:r>
        <w:rPr>
          <w:rFonts w:hint="eastAsia" w:ascii="宋体" w:hAnsi="宋体" w:eastAsia="宋体" w:cs="宋体"/>
          <w:bCs/>
          <w:snapToGrid w:val="0"/>
          <w:color w:val="000000"/>
          <w:kern w:val="0"/>
          <w:sz w:val="24"/>
          <w:szCs w:val="24"/>
          <w:highlight w:val="none"/>
        </w:rPr>
        <w:t>份，所有档案资料的制作费用由承包人承担。</w:t>
      </w:r>
    </w:p>
    <w:p w14:paraId="450539E6">
      <w:pPr>
        <w:wordWrap w:val="0"/>
        <w:adjustRightInd w:val="0"/>
        <w:snapToGrid w:val="0"/>
        <w:spacing w:line="360" w:lineRule="auto"/>
        <w:ind w:firstLine="560"/>
        <w:rPr>
          <w:rFonts w:hint="eastAsia" w:ascii="宋体" w:hAnsi="宋体" w:eastAsia="宋体" w:cs="宋体"/>
          <w:bCs/>
          <w:snapToGrid w:val="0"/>
          <w:color w:val="000000"/>
          <w:kern w:val="0"/>
          <w:sz w:val="24"/>
          <w:szCs w:val="24"/>
          <w:highlight w:val="none"/>
        </w:rPr>
      </w:pPr>
      <w:r>
        <w:rPr>
          <w:rFonts w:hint="eastAsia" w:ascii="宋体" w:hAnsi="宋体" w:eastAsia="宋体" w:cs="宋体"/>
          <w:b/>
          <w:snapToGrid w:val="0"/>
          <w:color w:val="000000"/>
          <w:kern w:val="0"/>
          <w:sz w:val="24"/>
          <w:szCs w:val="24"/>
          <w:highlight w:val="none"/>
        </w:rPr>
        <w:t>1</w:t>
      </w:r>
      <w:r>
        <w:rPr>
          <w:rFonts w:hint="eastAsia" w:ascii="宋体" w:hAnsi="宋体" w:eastAsia="宋体" w:cs="宋体"/>
          <w:b/>
          <w:snapToGrid w:val="0"/>
          <w:color w:val="000000"/>
          <w:kern w:val="0"/>
          <w:sz w:val="24"/>
          <w:szCs w:val="24"/>
          <w:highlight w:val="none"/>
          <w:lang w:val="en-US" w:eastAsia="zh-CN"/>
        </w:rPr>
        <w:t>4</w:t>
      </w:r>
      <w:r>
        <w:rPr>
          <w:rFonts w:hint="eastAsia" w:ascii="宋体" w:hAnsi="宋体" w:eastAsia="宋体" w:cs="宋体"/>
          <w:b/>
          <w:snapToGrid w:val="0"/>
          <w:color w:val="000000"/>
          <w:kern w:val="0"/>
          <w:sz w:val="24"/>
          <w:szCs w:val="24"/>
          <w:highlight w:val="none"/>
        </w:rPr>
        <w:t>．质量保证</w:t>
      </w:r>
    </w:p>
    <w:p w14:paraId="778A4A09">
      <w:pPr>
        <w:wordWrap w:val="0"/>
        <w:adjustRightInd w:val="0"/>
        <w:snapToGrid w:val="0"/>
        <w:spacing w:line="360" w:lineRule="auto"/>
        <w:ind w:firstLine="560"/>
        <w:rPr>
          <w:rFonts w:hint="eastAsia" w:ascii="宋体" w:hAnsi="宋体" w:eastAsia="宋体" w:cs="宋体"/>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4</w:t>
      </w: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Cs/>
          <w:snapToGrid w:val="0"/>
          <w:color w:val="000000"/>
          <w:kern w:val="0"/>
          <w:sz w:val="24"/>
          <w:szCs w:val="24"/>
          <w:highlight w:val="none"/>
        </w:rPr>
        <w:t xml:space="preserve"> </w:t>
      </w:r>
      <w:r>
        <w:rPr>
          <w:rFonts w:hint="eastAsia" w:ascii="宋体" w:hAnsi="宋体" w:eastAsia="宋体" w:cs="宋体"/>
          <w:snapToGrid w:val="0"/>
          <w:color w:val="000000"/>
          <w:kern w:val="0"/>
          <w:sz w:val="24"/>
          <w:szCs w:val="24"/>
          <w:highlight w:val="none"/>
        </w:rPr>
        <w:t>本招标项目</w:t>
      </w:r>
      <w:r>
        <w:rPr>
          <w:rFonts w:hint="eastAsia" w:ascii="宋体" w:hAnsi="宋体" w:eastAsia="宋体" w:cs="宋体"/>
          <w:bCs/>
          <w:snapToGrid w:val="0"/>
          <w:color w:val="000000"/>
          <w:kern w:val="0"/>
          <w:sz w:val="24"/>
          <w:szCs w:val="24"/>
          <w:highlight w:val="none"/>
        </w:rPr>
        <w:t>缺陷责任期为</w:t>
      </w:r>
      <w:r>
        <w:rPr>
          <w:rFonts w:hint="eastAsia" w:ascii="宋体" w:hAnsi="宋体" w:eastAsia="宋体" w:cs="宋体"/>
          <w:bCs/>
          <w:snapToGrid w:val="0"/>
          <w:color w:val="000000"/>
          <w:kern w:val="0"/>
          <w:sz w:val="24"/>
          <w:szCs w:val="24"/>
          <w:highlight w:val="none"/>
          <w:u w:val="single"/>
        </w:rPr>
        <w:t>2</w:t>
      </w:r>
      <w:r>
        <w:rPr>
          <w:rFonts w:hint="eastAsia" w:ascii="宋体" w:hAnsi="宋体" w:eastAsia="宋体" w:cs="宋体"/>
          <w:bCs/>
          <w:snapToGrid w:val="0"/>
          <w:color w:val="000000"/>
          <w:kern w:val="0"/>
          <w:sz w:val="24"/>
          <w:szCs w:val="24"/>
          <w:highlight w:val="none"/>
        </w:rPr>
        <w:t>年（自通过竣工验收之日起计），在此期间预留金额为结算价</w:t>
      </w:r>
      <w:r>
        <w:rPr>
          <w:rFonts w:hint="eastAsia" w:ascii="宋体" w:hAnsi="宋体" w:eastAsia="宋体" w:cs="宋体"/>
          <w:bCs/>
          <w:snapToGrid w:val="0"/>
          <w:color w:val="000000"/>
          <w:kern w:val="0"/>
          <w:sz w:val="24"/>
          <w:szCs w:val="24"/>
          <w:highlight w:val="none"/>
          <w:u w:val="single"/>
        </w:rPr>
        <w:t xml:space="preserve">3% </w:t>
      </w:r>
      <w:r>
        <w:rPr>
          <w:rFonts w:hint="eastAsia" w:ascii="宋体" w:hAnsi="宋体" w:eastAsia="宋体" w:cs="宋体"/>
          <w:bCs/>
          <w:snapToGrid w:val="0"/>
          <w:color w:val="000000"/>
          <w:kern w:val="0"/>
          <w:sz w:val="24"/>
          <w:szCs w:val="24"/>
          <w:highlight w:val="none"/>
        </w:rPr>
        <w:t>的质量保证。</w:t>
      </w:r>
    </w:p>
    <w:p w14:paraId="1E600A1A">
      <w:pPr>
        <w:wordWrap w:val="0"/>
        <w:adjustRightInd w:val="0"/>
        <w:snapToGrid w:val="0"/>
        <w:spacing w:line="360" w:lineRule="auto"/>
        <w:ind w:firstLine="560"/>
        <w:rPr>
          <w:rFonts w:hint="eastAsia" w:ascii="宋体" w:hAnsi="宋体" w:eastAsia="宋体" w:cs="宋体"/>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4</w:t>
      </w:r>
      <w:r>
        <w:rPr>
          <w:rFonts w:hint="eastAsia" w:ascii="宋体" w:hAnsi="宋体" w:eastAsia="宋体" w:cs="宋体"/>
          <w:b/>
          <w:bCs/>
          <w:snapToGrid w:val="0"/>
          <w:color w:val="000000"/>
          <w:kern w:val="0"/>
          <w:sz w:val="24"/>
          <w:szCs w:val="24"/>
          <w:highlight w:val="none"/>
        </w:rPr>
        <w:t>.2</w:t>
      </w:r>
      <w:r>
        <w:rPr>
          <w:rFonts w:hint="eastAsia" w:ascii="宋体" w:hAnsi="宋体" w:eastAsia="宋体" w:cs="宋体"/>
          <w:bCs/>
          <w:snapToGrid w:val="0"/>
          <w:color w:val="000000"/>
          <w:kern w:val="0"/>
          <w:sz w:val="24"/>
          <w:szCs w:val="24"/>
          <w:highlight w:val="none"/>
        </w:rPr>
        <w:t xml:space="preserve"> 质量保证的形式包括质量保证金、质量保证担保、质量保证保险三种，由承包人自主选择。</w:t>
      </w:r>
    </w:p>
    <w:p w14:paraId="087AE080">
      <w:pPr>
        <w:wordWrap w:val="0"/>
        <w:adjustRightInd w:val="0"/>
        <w:snapToGrid w:val="0"/>
        <w:spacing w:line="360" w:lineRule="auto"/>
        <w:ind w:firstLine="560"/>
        <w:rPr>
          <w:rFonts w:hint="eastAsia" w:ascii="宋体" w:hAnsi="宋体" w:eastAsia="宋体" w:cs="宋体"/>
          <w:bCs/>
          <w:snapToGrid w:val="0"/>
          <w:color w:val="000000"/>
          <w:kern w:val="0"/>
          <w:sz w:val="24"/>
          <w:szCs w:val="24"/>
          <w:highlight w:val="none"/>
        </w:rPr>
      </w:pPr>
      <w:r>
        <w:rPr>
          <w:rFonts w:hint="eastAsia" w:ascii="宋体" w:hAnsi="宋体" w:eastAsia="宋体" w:cs="宋体"/>
          <w:bCs/>
          <w:snapToGrid w:val="0"/>
          <w:color w:val="000000"/>
          <w:kern w:val="0"/>
          <w:sz w:val="24"/>
          <w:szCs w:val="24"/>
          <w:highlight w:val="none"/>
        </w:rPr>
        <w:t>（1）采用质量保证金形式的，在结清审定总造价时一次性扣留相应金额作为质量保证金。</w:t>
      </w:r>
    </w:p>
    <w:p w14:paraId="1B039D6A">
      <w:pPr>
        <w:wordWrap w:val="0"/>
        <w:adjustRightInd w:val="0"/>
        <w:snapToGrid w:val="0"/>
        <w:spacing w:line="360" w:lineRule="auto"/>
        <w:ind w:firstLine="560"/>
        <w:rPr>
          <w:rFonts w:hint="eastAsia" w:ascii="宋体" w:hAnsi="宋体" w:eastAsia="宋体" w:cs="宋体"/>
          <w:bCs/>
          <w:snapToGrid w:val="0"/>
          <w:color w:val="000000"/>
          <w:kern w:val="0"/>
          <w:sz w:val="24"/>
          <w:szCs w:val="24"/>
          <w:highlight w:val="none"/>
        </w:rPr>
      </w:pPr>
      <w:r>
        <w:rPr>
          <w:rFonts w:hint="eastAsia" w:ascii="宋体" w:hAnsi="宋体" w:eastAsia="宋体" w:cs="宋体"/>
          <w:bCs/>
          <w:snapToGrid w:val="0"/>
          <w:color w:val="000000"/>
          <w:kern w:val="0"/>
          <w:sz w:val="24"/>
          <w:szCs w:val="24"/>
          <w:highlight w:val="none"/>
        </w:rPr>
        <w:t>（2）采用质量保证担保或质量保证保险的，承包人应在竣工验收时向发包人提交有效的银行保函或保险合同（或保险单）原件，银行保函或保险合同（或保险单）的有效期不得短于缺陷责任期。</w:t>
      </w:r>
    </w:p>
    <w:p w14:paraId="446DA286">
      <w:pPr>
        <w:wordWrap w:val="0"/>
        <w:adjustRightInd w:val="0"/>
        <w:snapToGrid w:val="0"/>
        <w:spacing w:line="360" w:lineRule="auto"/>
        <w:ind w:firstLine="560"/>
        <w:rPr>
          <w:rFonts w:hint="eastAsia" w:ascii="宋体" w:hAnsi="宋体" w:eastAsia="宋体" w:cs="宋体"/>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4</w:t>
      </w:r>
      <w:r>
        <w:rPr>
          <w:rFonts w:hint="eastAsia" w:ascii="宋体" w:hAnsi="宋体" w:eastAsia="宋体" w:cs="宋体"/>
          <w:b/>
          <w:bCs/>
          <w:snapToGrid w:val="0"/>
          <w:color w:val="000000"/>
          <w:kern w:val="0"/>
          <w:sz w:val="24"/>
          <w:szCs w:val="24"/>
          <w:highlight w:val="none"/>
        </w:rPr>
        <w:t>.3</w:t>
      </w:r>
      <w:r>
        <w:rPr>
          <w:rFonts w:hint="eastAsia" w:ascii="宋体" w:hAnsi="宋体" w:eastAsia="宋体" w:cs="宋体"/>
          <w:bCs/>
          <w:snapToGrid w:val="0"/>
          <w:color w:val="000000"/>
          <w:kern w:val="0"/>
          <w:sz w:val="24"/>
          <w:szCs w:val="24"/>
          <w:highlight w:val="none"/>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w:t>
      </w:r>
    </w:p>
    <w:p w14:paraId="217BFB9E">
      <w:pPr>
        <w:wordWrap w:val="0"/>
        <w:adjustRightInd w:val="0"/>
        <w:snapToGrid w:val="0"/>
        <w:spacing w:line="360" w:lineRule="auto"/>
        <w:ind w:firstLine="560"/>
        <w:rPr>
          <w:rFonts w:hint="eastAsia" w:ascii="宋体" w:hAnsi="宋体" w:eastAsia="宋体" w:cs="宋体"/>
          <w:bCs/>
          <w:snapToGrid w:val="0"/>
          <w:color w:val="000000"/>
          <w:kern w:val="0"/>
          <w:sz w:val="24"/>
          <w:szCs w:val="24"/>
          <w:highlight w:val="none"/>
        </w:rPr>
      </w:pPr>
      <w:r>
        <w:rPr>
          <w:rFonts w:hint="eastAsia" w:ascii="宋体" w:hAnsi="宋体" w:eastAsia="宋体" w:cs="宋体"/>
          <w:bCs/>
          <w:snapToGrid w:val="0"/>
          <w:color w:val="000000"/>
          <w:kern w:val="0"/>
          <w:sz w:val="24"/>
          <w:szCs w:val="24"/>
          <w:highlight w:val="none"/>
        </w:rPr>
        <w:t>由他人原因造成的缺陷，发包人负责组织维修，承包人不承担费用，且发包人不得从质量保证中扣除费用。</w:t>
      </w:r>
    </w:p>
    <w:p w14:paraId="58CB0BD9">
      <w:pPr>
        <w:wordWrap w:val="0"/>
        <w:adjustRightInd w:val="0"/>
        <w:snapToGrid w:val="0"/>
        <w:spacing w:line="360" w:lineRule="auto"/>
        <w:ind w:firstLine="560"/>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4</w:t>
      </w:r>
      <w:r>
        <w:rPr>
          <w:rFonts w:hint="eastAsia" w:ascii="宋体" w:hAnsi="宋体" w:eastAsia="宋体" w:cs="宋体"/>
          <w:b/>
          <w:bCs/>
          <w:snapToGrid w:val="0"/>
          <w:color w:val="000000"/>
          <w:kern w:val="0"/>
          <w:sz w:val="24"/>
          <w:szCs w:val="24"/>
          <w:highlight w:val="none"/>
        </w:rPr>
        <w:t>.4</w:t>
      </w:r>
      <w:r>
        <w:rPr>
          <w:rFonts w:hint="eastAsia" w:ascii="宋体" w:hAnsi="宋体" w:eastAsia="宋体" w:cs="宋体"/>
          <w:bCs/>
          <w:snapToGrid w:val="0"/>
          <w:color w:val="000000"/>
          <w:kern w:val="0"/>
          <w:sz w:val="24"/>
          <w:szCs w:val="24"/>
          <w:highlight w:val="none"/>
        </w:rPr>
        <w:t xml:space="preserve"> 缺陷责任期内，承包人应认真履行合同约定的责任。缺陷责任期到期后，承包人向发包人申请退还质量保证，发包人应按照《建设工程质量保证金管理办法》有关规定将质量保证退还给承包人。</w:t>
      </w:r>
    </w:p>
    <w:p w14:paraId="054C6ECA">
      <w:pPr>
        <w:wordWrap w:val="0"/>
        <w:adjustRightInd w:val="0"/>
        <w:snapToGrid w:val="0"/>
        <w:spacing w:line="360" w:lineRule="auto"/>
        <w:ind w:firstLine="560"/>
        <w:rPr>
          <w:rFonts w:hint="eastAsia" w:ascii="宋体" w:hAnsi="宋体" w:eastAsia="宋体" w:cs="宋体"/>
          <w:strike/>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5</w:t>
      </w:r>
      <w:r>
        <w:rPr>
          <w:rFonts w:hint="eastAsia" w:ascii="宋体" w:hAnsi="宋体" w:eastAsia="宋体" w:cs="宋体"/>
          <w:b/>
          <w:snapToGrid w:val="0"/>
          <w:color w:val="000000"/>
          <w:kern w:val="0"/>
          <w:sz w:val="24"/>
          <w:szCs w:val="24"/>
          <w:highlight w:val="none"/>
        </w:rPr>
        <w:t>．不良行为处理</w:t>
      </w:r>
    </w:p>
    <w:p w14:paraId="4400BCC9">
      <w:pPr>
        <w:pStyle w:val="57"/>
        <w:wordWrap w:val="0"/>
        <w:adjustRightInd w:val="0"/>
        <w:snapToGrid w:val="0"/>
        <w:spacing w:line="360" w:lineRule="auto"/>
        <w:ind w:firstLine="480" w:firstLineChars="200"/>
        <w:jc w:val="left"/>
        <w:rPr>
          <w:rFonts w:hint="eastAsia" w:ascii="宋体" w:hAnsi="宋体" w:eastAsia="宋体" w:cs="宋体"/>
          <w:snapToGrid w:val="0"/>
          <w:color w:val="000000"/>
          <w:kern w:val="0"/>
          <w:sz w:val="24"/>
          <w:szCs w:val="24"/>
          <w:highlight w:val="none"/>
        </w:rPr>
      </w:pPr>
      <w:r>
        <w:rPr>
          <w:rStyle w:val="28"/>
          <w:rFonts w:hint="eastAsia" w:ascii="宋体" w:hAnsi="宋体" w:eastAsia="宋体" w:cs="宋体"/>
          <w:color w:val="000000"/>
          <w:kern w:val="0"/>
          <w:sz w:val="24"/>
          <w:szCs w:val="24"/>
          <w:highlight w:val="none"/>
        </w:rPr>
        <w:t>承包人及其有关人员有下列行为之一的，发包人应及时向建设行政主管部门报告</w:t>
      </w:r>
      <w:r>
        <w:rPr>
          <w:rFonts w:hint="eastAsia" w:ascii="宋体" w:hAnsi="宋体" w:eastAsia="宋体" w:cs="宋体"/>
          <w:snapToGrid w:val="0"/>
          <w:color w:val="000000"/>
          <w:kern w:val="0"/>
          <w:sz w:val="24"/>
          <w:szCs w:val="24"/>
          <w:highlight w:val="none"/>
        </w:rPr>
        <w:t>。</w:t>
      </w:r>
    </w:p>
    <w:p w14:paraId="7B1A5EE8">
      <w:pPr>
        <w:pStyle w:val="57"/>
        <w:wordWrap w:val="0"/>
        <w:adjustRightInd w:val="0"/>
        <w:snapToGrid w:val="0"/>
        <w:spacing w:line="360" w:lineRule="auto"/>
        <w:ind w:firstLine="480" w:firstLineChars="200"/>
        <w:jc w:val="left"/>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（1）转包、违法分包或违反投标承诺分包工程的；</w:t>
      </w:r>
    </w:p>
    <w:p w14:paraId="13B5F553">
      <w:pPr>
        <w:pStyle w:val="57"/>
        <w:wordWrap w:val="0"/>
        <w:adjustRightInd w:val="0"/>
        <w:snapToGrid w:val="0"/>
        <w:spacing w:line="360" w:lineRule="auto"/>
        <w:ind w:firstLine="480" w:firstLineChars="200"/>
        <w:jc w:val="left"/>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（2）非原参加投标中标的项目经理负责组织施工或在实施过程中擅自更换项目经理的、项目的其他主要管理人员与中标文件确定的人员不相符的；</w:t>
      </w:r>
    </w:p>
    <w:p w14:paraId="1D4E86E1">
      <w:pPr>
        <w:pStyle w:val="57"/>
        <w:wordWrap w:val="0"/>
        <w:adjustRightInd w:val="0"/>
        <w:snapToGrid w:val="0"/>
        <w:spacing w:line="360" w:lineRule="auto"/>
        <w:ind w:firstLine="480" w:firstLineChars="200"/>
        <w:jc w:val="left"/>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（3）投标文件确定的大型机械设备没有进入施工现场的；</w:t>
      </w:r>
    </w:p>
    <w:p w14:paraId="7B6238D4">
      <w:pPr>
        <w:pStyle w:val="57"/>
        <w:wordWrap w:val="0"/>
        <w:adjustRightInd w:val="0"/>
        <w:snapToGrid w:val="0"/>
        <w:spacing w:line="360" w:lineRule="auto"/>
        <w:ind w:firstLine="480" w:firstLineChars="200"/>
        <w:jc w:val="left"/>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（4）与建设单位、监理单位串通，签认虚假工程量或工程造价的；</w:t>
      </w:r>
    </w:p>
    <w:p w14:paraId="30DC5708">
      <w:pPr>
        <w:pStyle w:val="57"/>
        <w:wordWrap w:val="0"/>
        <w:adjustRightInd w:val="0"/>
        <w:snapToGrid w:val="0"/>
        <w:spacing w:line="360" w:lineRule="auto"/>
        <w:ind w:firstLine="480" w:firstLineChars="200"/>
        <w:jc w:val="left"/>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（5）项目经理施工现场管理不到位的；</w:t>
      </w:r>
    </w:p>
    <w:p w14:paraId="6FB09A9C">
      <w:pPr>
        <w:pStyle w:val="57"/>
        <w:wordWrap w:val="0"/>
        <w:adjustRightInd w:val="0"/>
        <w:snapToGrid w:val="0"/>
        <w:spacing w:line="360" w:lineRule="auto"/>
        <w:ind w:firstLine="480" w:firstLineChars="200"/>
        <w:jc w:val="left"/>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（6）项目经理在非本人资格证书注册单位从事工程项目施工管理的；</w:t>
      </w:r>
    </w:p>
    <w:p w14:paraId="7404983C">
      <w:pPr>
        <w:pStyle w:val="57"/>
        <w:wordWrap w:val="0"/>
        <w:adjustRightInd w:val="0"/>
        <w:snapToGrid w:val="0"/>
        <w:spacing w:line="360" w:lineRule="auto"/>
        <w:ind w:firstLine="480" w:firstLineChars="200"/>
        <w:jc w:val="left"/>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（7）项目经理同时承担超过一项工程项目的；</w:t>
      </w:r>
    </w:p>
    <w:p w14:paraId="32116B94">
      <w:pPr>
        <w:pStyle w:val="57"/>
        <w:wordWrap w:val="0"/>
        <w:adjustRightInd w:val="0"/>
        <w:snapToGrid w:val="0"/>
        <w:spacing w:line="360" w:lineRule="auto"/>
        <w:ind w:firstLine="480" w:firstLineChars="200"/>
        <w:jc w:val="left"/>
        <w:rPr>
          <w:rFonts w:hint="eastAsia" w:ascii="宋体" w:hAnsi="宋体" w:eastAsia="宋体" w:cs="宋体"/>
          <w:b/>
          <w:bCs/>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（8）违反有关法律、法规、规章规定的其它行为。</w:t>
      </w:r>
    </w:p>
    <w:p w14:paraId="21BFDD7A">
      <w:pPr>
        <w:pStyle w:val="57"/>
        <w:wordWrap w:val="0"/>
        <w:adjustRightInd w:val="0"/>
        <w:snapToGrid w:val="0"/>
        <w:spacing w:line="360" w:lineRule="auto"/>
        <w:ind w:firstLine="482" w:firstLineChars="200"/>
        <w:jc w:val="left"/>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6</w:t>
      </w:r>
      <w:r>
        <w:rPr>
          <w:rFonts w:hint="eastAsia" w:ascii="宋体" w:hAnsi="宋体" w:eastAsia="宋体" w:cs="宋体"/>
          <w:b/>
          <w:snapToGrid w:val="0"/>
          <w:color w:val="000000"/>
          <w:kern w:val="0"/>
          <w:sz w:val="24"/>
          <w:szCs w:val="24"/>
          <w:highlight w:val="none"/>
        </w:rPr>
        <w:t>．</w:t>
      </w:r>
      <w:r>
        <w:rPr>
          <w:rFonts w:hint="eastAsia" w:ascii="宋体" w:hAnsi="宋体" w:eastAsia="宋体" w:cs="宋体"/>
          <w:b/>
          <w:bCs/>
          <w:snapToGrid w:val="0"/>
          <w:color w:val="000000"/>
          <w:kern w:val="0"/>
          <w:sz w:val="24"/>
          <w:szCs w:val="24"/>
          <w:highlight w:val="none"/>
        </w:rPr>
        <w:t>信用评价条款内容</w:t>
      </w:r>
    </w:p>
    <w:p w14:paraId="518509F3">
      <w:pPr>
        <w:pStyle w:val="42"/>
        <w:wordWrap w:val="0"/>
        <w:adjustRightInd w:val="0"/>
        <w:snapToGrid w:val="0"/>
        <w:spacing w:line="360" w:lineRule="auto"/>
        <w:ind w:firstLine="56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由招标人决定是否对施工单位的履约情况进行信用评价。若进行信用评价，评价条款由招标人自拟，条款内容可参考人员到位情况、服务配合程度、服务成果质量、项目后期服务及信用评价结果的运用等。</w:t>
      </w:r>
    </w:p>
    <w:p w14:paraId="087663A7">
      <w:pPr>
        <w:keepNext w:val="0"/>
        <w:keepLines w:val="0"/>
        <w:widowControl/>
        <w:suppressLineNumbers w:val="0"/>
        <w:spacing w:line="360" w:lineRule="auto"/>
        <w:ind w:firstLine="482" w:firstLineChars="200"/>
        <w:jc w:val="left"/>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7</w:t>
      </w:r>
      <w:r>
        <w:rPr>
          <w:rFonts w:hint="eastAsia" w:ascii="宋体" w:hAnsi="宋体" w:eastAsia="宋体" w:cs="宋体"/>
          <w:b/>
          <w:bCs/>
          <w:snapToGrid w:val="0"/>
          <w:color w:val="000000"/>
          <w:kern w:val="0"/>
          <w:sz w:val="24"/>
          <w:szCs w:val="24"/>
          <w:highlight w:val="none"/>
        </w:rPr>
        <w:t>.</w:t>
      </w:r>
      <w:r>
        <w:rPr>
          <w:rFonts w:hint="eastAsia" w:ascii="宋体" w:hAnsi="宋体" w:eastAsia="宋体" w:cs="宋体"/>
          <w:b/>
          <w:bCs/>
          <w:snapToGrid w:val="0"/>
          <w:color w:val="000000"/>
          <w:kern w:val="0"/>
          <w:sz w:val="24"/>
          <w:szCs w:val="24"/>
          <w:highlight w:val="none"/>
          <w:lang w:val="en-US" w:eastAsia="zh-CN"/>
        </w:rPr>
        <w:t>其他事项</w:t>
      </w:r>
    </w:p>
    <w:p w14:paraId="5191903E">
      <w:pPr>
        <w:keepNext w:val="0"/>
        <w:keepLines w:val="0"/>
        <w:widowControl/>
        <w:suppressLineNumbers w:val="0"/>
        <w:spacing w:line="360" w:lineRule="auto"/>
        <w:ind w:firstLine="482" w:firstLineChars="200"/>
        <w:jc w:val="left"/>
        <w:rPr>
          <w:rFonts w:hint="eastAsia" w:ascii="宋体" w:hAnsi="宋体" w:eastAsia="宋体" w:cs="宋体"/>
          <w:b/>
          <w:bCs/>
          <w:snapToGrid w:val="0"/>
          <w:color w:val="000000"/>
          <w:kern w:val="0"/>
          <w:sz w:val="24"/>
          <w:szCs w:val="24"/>
          <w:highlight w:val="none"/>
        </w:rPr>
      </w:pPr>
    </w:p>
    <w:p w14:paraId="75C49660">
      <w:pPr>
        <w:keepNext w:val="0"/>
        <w:keepLines w:val="0"/>
        <w:widowControl/>
        <w:suppressLineNumbers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17.1 </w:t>
      </w:r>
      <w:r>
        <w:rPr>
          <w:rFonts w:hint="eastAsia" w:ascii="宋体" w:hAnsi="宋体" w:eastAsia="宋体" w:cs="宋体"/>
          <w:color w:val="000000"/>
          <w:kern w:val="0"/>
          <w:sz w:val="24"/>
          <w:szCs w:val="24"/>
          <w:highlight w:val="none"/>
          <w:lang w:val="en-US" w:eastAsia="zh-CN" w:bidi="ar"/>
        </w:rPr>
        <w:t xml:space="preserve">危险性较大的分部分项工程安全管理约定。中标人应对建设单位组织的勘察、设计等单位在施工招标文件中列出的危大工程清单进行投标文件回应。对危险性较大的工程必须按《危险性较大的分部分项工程安全管理规定》（中华人民共和国住房和城乡建设部令第 37 号）的规定编制专项施工方案。同时，中标人必须按照《危险性较大的分部分项工程安全管理规定》的规定和经审批的专项施工方案履行安全职责，严格执行国家、地方政府有关施工安全管理方面的法律、法规及规章制度，同时严 </w:t>
      </w:r>
    </w:p>
    <w:p w14:paraId="6572F4B8">
      <w:pPr>
        <w:keepNext w:val="0"/>
        <w:keepLines w:val="0"/>
        <w:widowControl/>
        <w:suppressLineNumbers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格执行招标人制订的本项目安全生产管理方面的规章制度、安全检查程序及施工安全管理要求，以及监理人有关安全工作的指令。中标人应根据《危险性较大的分部分项工程安全管理规定》（住房城乡建设部令第 37 号）、《住房城乡建设部办公厅关于实施&lt;危险性较大的分部分项工程安全管理规定&gt;有关问题的通知》（建办质〔2018〕31 号）、《广东省住房和城乡建设厅关于房屋市政工程危险性较大的分部分项工程安全管理的实施细则的通知》(粤建规范〔2019〕2 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w:t>
      </w:r>
    </w:p>
    <w:p w14:paraId="6C1B9CAF">
      <w:pPr>
        <w:keepNext w:val="0"/>
        <w:keepLines w:val="0"/>
        <w:widowControl/>
        <w:suppressLineNumbers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17.2 </w:t>
      </w:r>
      <w:r>
        <w:rPr>
          <w:rFonts w:hint="eastAsia" w:ascii="宋体" w:hAnsi="宋体" w:eastAsia="宋体" w:cs="宋体"/>
          <w:color w:val="000000"/>
          <w:kern w:val="0"/>
          <w:sz w:val="24"/>
          <w:szCs w:val="24"/>
          <w:highlight w:val="none"/>
          <w:lang w:val="en-US" w:eastAsia="zh-CN" w:bidi="ar"/>
        </w:rPr>
        <w:t xml:space="preserve">中标人在工程实施过程中，按照国家、省、市的相关规定制定相关的专项安全施工方案（如高支模、基坑支护、沉井等），编制专项施工方案报监理人、招标人审批后方可开展专项工程的施工。 </w:t>
      </w:r>
    </w:p>
    <w:p w14:paraId="5784326E">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 xml:space="preserve">17.3 </w:t>
      </w:r>
      <w:r>
        <w:rPr>
          <w:rFonts w:hint="eastAsia" w:ascii="宋体" w:hAnsi="宋体" w:eastAsia="宋体" w:cs="宋体"/>
          <w:color w:val="000000"/>
          <w:kern w:val="0"/>
          <w:sz w:val="24"/>
          <w:szCs w:val="24"/>
          <w:highlight w:val="none"/>
          <w:lang w:val="en-US" w:eastAsia="zh-CN" w:bidi="ar"/>
        </w:rPr>
        <w:t>中标人须按照《韶关市建筑垃圾管理条例》（2021 年 5 月 1 日起施行），将弃土运至经韶关市政府有关规定核准使用的建筑垃圾消纳场，否则招标人有权要求中标人无条件将弃土从违约弃土点运至经韶关市政府有关规定核准使用的建筑垃圾消纳场并扣除违约金 3 万元人民币/次。中标人对建筑垃圾须按《韶关市建筑垃圾管理条例》（2021 年 5 月 1 日起 施行）的相关规定进行排放和运输，投标人在投标报价时综合考虑在报价内。中标人应在施工现场建立洗车槽和临时排水系统等确保外运车辆（土方运输车辆应符合韶关市相关规定）不带泥上路，投标人在投标报价时综合考虑在报价内，招标人不另行支付该部分费用）。建设单位、施工单位应当在施工工地出入口显著位置公示建筑垃圾处理方案主要信息，包括建设工程垃圾种类、产生量、外运处置去向等信息及各相关单位名称、联系人及联系电话等。</w:t>
      </w:r>
    </w:p>
    <w:p w14:paraId="34D4C4A6">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17.4 工程竣工验收后 15 日内，中标人应按市城建档案馆的要求（质量、数量），将编制成册的施工档案资料（含声像档案和电子档案）提供给招标人、市城建档案馆、市住建管理局、管养单位及监理单位，并承担档案涉及的所有费用（制作标准和相关要求按市城建档案馆的有关规定执行）。中标人提交符合城建档案馆要求的竣工资料经招标人确认签收后，即可办理工程结算手续。</w:t>
      </w:r>
    </w:p>
    <w:p w14:paraId="2D1FCA2B">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17.5 根据《韶关市工程建设领域农民工工资保证金管理实施细则》（韶人社规〔2023〕 </w:t>
      </w:r>
    </w:p>
    <w:p w14:paraId="55145E28">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 号）文件规定，中标人应当自工程取得施工许可证（开工报告批复、开工备案）之日起 20 个工作日内按承包合同工程造价 3%的比例（不超过 500 万元）一次性将工人工资保证金存入银行专用存款账户。逾期未交纳的，招标人将扣留与本项目工人工资保证金等额的工程款（工人工资除外），直至中标人按《韶关市工程建设领域农民工工资保证金管理实施细则》相关文件要求缴纳工人工资保证金。在中标人未按要求缴纳工人工资保证金期间，招标人扣留的工程款将作为工人工资保证金的预备资金，招标人有权将该部分资金用于处理该项目工人工资拖欠等情况的问题。如发生中标人拖欠民工工资并且向政府或招标人索要中标人拖欠工资的，招标人有权使用工人工资保证金或在剩余进度款范围内代中标人向民工支付工资，中标人对招标人垫付工资的人员范围和工资数额均不得提异议。招标人代支的工资除了从当期工程款内直接扣除外,并按招标文件相关约定缴纳违约金。</w:t>
      </w:r>
    </w:p>
    <w:p w14:paraId="1992D592">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（一）用人单位应当在工程施工合同签订之日起 30 日内，在建设项目所在地的银行业金融机构设立工人工资支付专用账户,发包人支付工程款时，将按工程款（不含工人工资）和工人工资两部分分开支付，工人工资支付至专用账户。 </w:t>
      </w:r>
    </w:p>
    <w:p w14:paraId="1C7B8A1B">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（二）用人单位应当在用工之日起 15 日内在专用账户绑定农民工本人具有金融功能的社会保障卡或银行卡实行一人一卡、本人持卡。 </w:t>
      </w:r>
    </w:p>
    <w:p w14:paraId="5CD00E8B">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（三）用人单位应当指定专人负责建设项目施工现场台账管理，真实、准确记录工人名册、劳务合同、劳动合同、工程进度、工时台账、劳务承包款和工人工资支付等信息，并保存两年以上备查。 </w:t>
      </w:r>
    </w:p>
    <w:p w14:paraId="4D01F59F">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四）用人单位应当按照“及时支付，按实结算”的原则，在规定日期前通过银行工人工资支付专用账户将工人工资直接支付到工人的个人银行账户，并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花名册及身份证复印件；（4）劳动合同；（5）委托书（写明委托代发工资情况）；（6）缴纳保证金的凭证；（7）总包企业或承包企业设立工资专用账户的凭证；（8）维权信息告示牌情况。</w:t>
      </w:r>
    </w:p>
    <w:p w14:paraId="1404F3AD">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用人单位未建立、保存用工管理台账，或者伪造相关台账的，按照《广东省劳动保障监察条例》的规定，由人力资源社会保障部门责令改正，并可处以 2000 元以上 20000 元以下的人民币罚款。 </w:t>
      </w:r>
    </w:p>
    <w:p w14:paraId="5F0DBCE6">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（五）每次申请工程进度款需提供上期工人工资发放明细表、上期工人工资发放公示等材料。</w:t>
      </w:r>
    </w:p>
    <w:p w14:paraId="644E736B">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（六）中标人应按韶关市住房和城乡建设管理局、韶关市人力资源和社会保障局等职能部门对用工实名制的相关规定,落实工人及相关软硬件设施要求。</w:t>
      </w:r>
    </w:p>
    <w:p w14:paraId="31AD1A4F">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17.6 中标人在收到中标通知书后须积极配合招标人完成施工许可证的办理。</w:t>
      </w:r>
    </w:p>
    <w:p w14:paraId="2987D877">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17.7 中标人中标后须响应招标人组织的廉政履约会议，项目经理、法人代表或其授权委托人须参加会议。</w:t>
      </w:r>
    </w:p>
    <w:p w14:paraId="785E4EBC">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17.8 中标人在施工期间应严格遵守国家、省、市有关防火和施工安全以及文明施工、夜间施工、环卫城管等规定，建立规章制度和防护措施。否则，由此造成的经济损失和法律责任，均由中标人负责。中标人应按安全施工的要求，采取严格科学的安全措施，确保施工安全和第三者的安全，承担由于自身安全措施不力所造成的事故责任和发生的费用。</w:t>
      </w:r>
    </w:p>
    <w:p w14:paraId="6BEAC3EC">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17.9 中标人必须做好施工场地地下、地上管线、构筑物和邻近建筑物、构筑物（包括文物保护建筑）、名树名木（如有）的保护工作。 </w:t>
      </w:r>
    </w:p>
    <w:p w14:paraId="0FF73645">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17.10 中标人需按相关规定要求，设置本工程符合相关要求的永久性标牌及规划公示牌，投标人在投标报价时综合考虑在报价内，招标人不另行支付该部分费用。</w:t>
      </w:r>
    </w:p>
    <w:p w14:paraId="56E0BDD3">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17.11 中标人须为招标人、全过程造价咨询单位提供现场办公管理的便利。按工程需要 配置办公室、会议室及办公家具、生活设施，配备满足工作需要的办公设备（电脑、打印机、复印机、传真机、办公用品等）。相关费用由中标人负责，招标人不另行支付。</w:t>
      </w:r>
    </w:p>
    <w:p w14:paraId="28AD7251">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17.12 中标人负责受施工影响道路的环境卫生、交通组织维护及受损修复，相关费用由中标人负责，招标人不另行支付。</w:t>
      </w:r>
    </w:p>
    <w:p w14:paraId="4ECC43F6">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17.13 本工程施工时中标人的施工视频监控系统必须符合韶关市相关规定，并在投标报价中综合考虑，招标人不另行支付该部分费用。 </w:t>
      </w:r>
    </w:p>
    <w:p w14:paraId="4CEFC0F6">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17.14 中标人应已详细了解本项目的前期工作（包括征地拆迁），同时也应已勘察施工现场、周围环境、地形、地貌、水文、交通等情况。中标人投标报价应已充分考虑在施工中由于招标人原因造成停工或工期延误等因素所产生的相关费用，招标人不予另计费；中标人不得以不完全了解项目的前期工作（包括征地拆迁）及现场情况为理由，提出因外界因素造成停工或工期延误的额外付款要求；对此类要求，招标人不作任何考虑及答复。非中标人原因，工程不能按期开工，或开工后全部停滞，工期按相关规定予以顺延。停工发生后，若可复工时，中标人应在收到招标人发出的复工通知书后 3 日内开始复工。</w:t>
      </w:r>
    </w:p>
    <w:p w14:paraId="1258748E">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17.15 承包人应充分考虑施工对接情况，为本项目的其他参建单位提供工作便利、配合及服务（如水源、电源接口等），并有针对性地组织施工；承包人与为本项目的其他参建单位就协调、配合、服务等不能达成一致的，由监理工程师协调，并遵照监理工程师指令执行；承包人应负责统筹安排本项目范围内的各项工程的协调与配合，确保工程建设有序进行。承包人由此增加的费用应认为已包括在承包人的投标报价之中，发包人不另行支付。</w:t>
      </w:r>
    </w:p>
    <w:p w14:paraId="180EEF8B">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17.16 中标人应做好周边设施（含军用光缆、燃气、供电、供水、排水、排污、人行道、路灯、治安监控、交通电警等）的成品保护并及时与周边设施的权属单位协调解决，如因中标人原因导致上述设施发生损坏，中标人无条件按招标人规定的期限内修复，涉及成品保护费、索赔等一切费用全部由中标人自行解决。 </w:t>
      </w:r>
    </w:p>
    <w:p w14:paraId="62A93847">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17.17 招标人有权根据本项目建设的实际情况调整建设规模或减少建设内容，如出现因特殊原因取消某子项目的建设，则该子项目未完成的工作内容及费用相应扣减，中标人应在投标报价中综合考虑该因素，中标后不得因此向招标人提出额外的费用补偿或索赔，并且必须按调整后的规模及内容完成工程建设。 </w:t>
      </w:r>
    </w:p>
    <w:p w14:paraId="25E2A513">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17.18 根据市政府办相关批复要求，本项目的供水管道施工完成后，清洗、消毒、检测必须按城市供水部门的要求完成，并由中标人缴纳接驳等相关费用，招标人不另行支付该部分费用。 </w:t>
      </w:r>
    </w:p>
    <w:p w14:paraId="23E4A06E">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17.19 中标人工程变更的程序和管理按《关于加强市本级政府投资项目财政投资评审监督管理的实施意见》(韶府办发函〔2021〕32 号)意见精神执行，凡不符合本实施意见要求的变更均为无效变更。如项目实施过程中发生了工程变更及工程签证，中标人需根据招标人的《工程变更管理办法》和《工程签证管理办法》完善工程变更签证相关程序。工程变更及工程签证须在发包人确认、会议确定或出具变更图纸后 28 日内，将相关预算报及相关报批表报发包人审批，若超时未申报，视为默认由发包人或委托第三方造价咨询单位出具的预算执行。</w:t>
      </w:r>
    </w:p>
    <w:p w14:paraId="64680DA6">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17.20 垂直运输设备基础及围护等配套设施、现场围挡、临时出入口及临时道路等不形成工程实体的临时设施费用，中标人应在投标报价中综合考虑，中标后不得因此向招标人提出额外的费用补偿或索赔。</w:t>
      </w:r>
    </w:p>
    <w:p w14:paraId="48BBD451">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17.21 中标人应按照《建设工程质量管理条例》《建设工程质量检测管理办法》和有关技术标准等规定和要求，进行自检和送检工作。在办理施工许可证前提交项目竣工验收备案所需的工程质量检测报告文件事项清单及送检计划。中标人自检所发生的检测费用由中标人自行负责。中标人委托的自检检测机构不得与建设单位委托的检测机构为同一家、存在隶属关系和其他利害关系。 </w:t>
      </w:r>
    </w:p>
    <w:p w14:paraId="09A89ABD">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17.22 工程质量保修期按《中华人民共和国建筑法》《建设工程质量管理条例》等相关规定实施。 </w:t>
      </w:r>
    </w:p>
    <w:p w14:paraId="710B230C">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17.23 如采用银行保函方式缴纳履约保证金，在保函到期前一个月，中标人须主动办理续期手续或提交新的银行保函；如中标人未及时主动办理续期手续或提交新的银行保函，招标人有权按履约保证金金额扣留进度款（工人工资除外）作为履约保证金，直至中标人提交新的银行保函或达到履约保证金退还条件。 </w:t>
      </w:r>
    </w:p>
    <w:p w14:paraId="3DFCAF79">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17.24 中标人需在签订合同后 5 个工作日内向招标人免费提交与电子投标文件一致的纸质版投标文件伍份。 </w:t>
      </w:r>
    </w:p>
    <w:p w14:paraId="54A663ED">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17.25 该项目需要消防验收，中标人需自行委托有资质的第三方消防检测单位进行消防自检并在消防验收时提供该单位检测报告，所需费用由中标人在投标时综合考虑，招标人不再另行增加费用。 </w:t>
      </w:r>
    </w:p>
    <w:p w14:paraId="5E735B74">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17.26 工程完工后，为了本项目整体竣工验收的需要，中标人必须在招标人的统筹安排下，与为本项目其他工程服务的单位进行协同配合，做好竣工验收的各项工作，交付的工程必须符合各专业工程的相关要求。 </w:t>
      </w:r>
    </w:p>
    <w:p w14:paraId="4EA8A35C">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17.27 对中标人违反《关于加强市本级政府投资项目财政投资评审监督管理的实施意见》(韶府办发函〔2021〕32 号)，造成项目投资失控或浪费的，建设行政主管部门将在市场诚信管理、市场准入、资质管理等方面，依法对其进行相应处理，并责成项目招标人按合同约定予以相应处罚。  </w:t>
      </w:r>
    </w:p>
    <w:p w14:paraId="529953DB">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17.28 中标人如响应招标文件自愿助力百千万工程公益性项目承诺，中标后自愿公益捐建（捐赠或配建）专项用于招标人指定或双方协商一致的、与广东省“百千万工程”相关的公益项目，招标人不支付任何费用。</w:t>
      </w:r>
    </w:p>
    <w:p w14:paraId="33915F43">
      <w:pPr>
        <w:pStyle w:val="14"/>
        <w:keepNext w:val="0"/>
        <w:keepLines w:val="0"/>
        <w:pageBreakBefore w:val="0"/>
        <w:wordWrap w:val="0"/>
        <w:overflowPunct/>
        <w:topLinePunct w:val="0"/>
        <w:bidi w:val="0"/>
        <w:rPr>
          <w:rFonts w:hint="eastAsia" w:ascii="宋体" w:hAnsi="宋体" w:eastAsia="宋体" w:cs="宋体"/>
          <w:color w:val="auto"/>
          <w:spacing w:val="0"/>
          <w:highlight w:val="none"/>
        </w:rPr>
      </w:pPr>
    </w:p>
    <w:p w14:paraId="519218EC">
      <w:pPr>
        <w:pStyle w:val="14"/>
        <w:keepNext w:val="0"/>
        <w:keepLines w:val="0"/>
        <w:pageBreakBefore w:val="0"/>
        <w:wordWrap w:val="0"/>
        <w:overflowPunct/>
        <w:topLinePunct w:val="0"/>
        <w:bidi w:val="0"/>
        <w:rPr>
          <w:rFonts w:hint="eastAsia" w:ascii="宋体" w:hAnsi="宋体" w:eastAsia="宋体" w:cs="宋体"/>
          <w:color w:val="auto"/>
          <w:spacing w:val="0"/>
          <w:highlight w:val="none"/>
        </w:rPr>
        <w:sectPr>
          <w:footerReference r:id="rId10"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4044D15A">
      <w:pPr>
        <w:keepNext w:val="0"/>
        <w:keepLines w:val="0"/>
        <w:pageBreakBefore w:val="0"/>
        <w:wordWrap w:val="0"/>
        <w:overflowPunct/>
        <w:topLinePunct w:val="0"/>
        <w:bidi w:val="0"/>
        <w:spacing w:before="78" w:line="219" w:lineRule="auto"/>
        <w:ind w:left="2923"/>
        <w:outlineLvl w:val="0"/>
        <w:rPr>
          <w:rFonts w:hint="eastAsia" w:ascii="宋体" w:hAnsi="宋体" w:eastAsia="宋体" w:cs="宋体"/>
          <w:color w:val="auto"/>
          <w:spacing w:val="0"/>
          <w:sz w:val="24"/>
          <w:szCs w:val="24"/>
          <w:highlight w:val="none"/>
        </w:rPr>
      </w:pPr>
      <w:bookmarkStart w:id="154" w:name="bookmark86"/>
      <w:bookmarkEnd w:id="154"/>
      <w:bookmarkStart w:id="155" w:name="_Toc29932"/>
      <w:r>
        <w:rPr>
          <w:rFonts w:hint="eastAsia" w:ascii="宋体" w:hAnsi="宋体" w:eastAsia="宋体" w:cs="宋体"/>
          <w:b/>
          <w:bCs/>
          <w:color w:val="auto"/>
          <w:spacing w:val="0"/>
          <w:sz w:val="24"/>
          <w:szCs w:val="24"/>
          <w:highlight w:val="none"/>
        </w:rPr>
        <w:t>第三章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拟签订合同的主要条款</w:t>
      </w:r>
      <w:bookmarkEnd w:id="155"/>
    </w:p>
    <w:p w14:paraId="59E2DAE6">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0D630A56">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7F55B533">
      <w:pPr>
        <w:pStyle w:val="3"/>
        <w:wordWrap w:val="0"/>
        <w:autoSpaceDE/>
        <w:autoSpaceDN/>
        <w:snapToGrid w:val="0"/>
        <w:spacing w:line="360" w:lineRule="auto"/>
        <w:jc w:val="both"/>
        <w:rPr>
          <w:rFonts w:hint="eastAsia" w:ascii="宋体" w:hAnsi="宋体" w:eastAsia="宋体" w:cs="宋体"/>
          <w:b/>
          <w:snapToGrid w:val="0"/>
          <w:color w:val="000000"/>
          <w:sz w:val="24"/>
          <w:szCs w:val="24"/>
          <w:highlight w:val="none"/>
        </w:rPr>
      </w:pPr>
      <w:bookmarkStart w:id="156" w:name="_Toc20638"/>
      <w:bookmarkStart w:id="157" w:name="_Toc8493"/>
      <w:bookmarkStart w:id="158" w:name="_Toc16306"/>
      <w:bookmarkStart w:id="159" w:name="_Toc30819"/>
      <w:bookmarkStart w:id="160" w:name="_Toc31948"/>
      <w:r>
        <w:rPr>
          <w:rFonts w:hint="eastAsia" w:ascii="宋体" w:hAnsi="宋体" w:eastAsia="宋体" w:cs="宋体"/>
          <w:b/>
          <w:snapToGrid w:val="0"/>
          <w:color w:val="000000"/>
          <w:sz w:val="24"/>
          <w:szCs w:val="24"/>
          <w:highlight w:val="none"/>
        </w:rPr>
        <w:t>1．工程承包方式</w:t>
      </w:r>
      <w:bookmarkEnd w:id="156"/>
      <w:bookmarkEnd w:id="157"/>
      <w:bookmarkEnd w:id="158"/>
      <w:bookmarkEnd w:id="159"/>
      <w:bookmarkEnd w:id="160"/>
    </w:p>
    <w:p w14:paraId="60EFB696">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1.1</w:t>
      </w:r>
      <w:r>
        <w:rPr>
          <w:rFonts w:hint="eastAsia" w:ascii="宋体" w:hAnsi="宋体" w:eastAsia="宋体" w:cs="宋体"/>
          <w:snapToGrid w:val="0"/>
          <w:color w:val="000000"/>
          <w:kern w:val="0"/>
          <w:sz w:val="24"/>
          <w:szCs w:val="24"/>
          <w:highlight w:val="none"/>
        </w:rPr>
        <w:t xml:space="preserve"> 承包人以中标价按包工包料、包质量、包安全包文明施工、包工期方式总承包施工，不允许转包和违法分包，如果确需分包须与发包人协商，在得到发包人和监理单位同意后报建设行政主管部门备案。</w:t>
      </w:r>
    </w:p>
    <w:p w14:paraId="2293E259">
      <w:pPr>
        <w:wordWrap w:val="0"/>
        <w:adjustRightInd w:val="0"/>
        <w:snapToGrid w:val="0"/>
        <w:spacing w:line="360" w:lineRule="auto"/>
        <w:ind w:firstLine="56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1.1.1</w:t>
      </w:r>
      <w:r>
        <w:rPr>
          <w:rFonts w:hint="eastAsia" w:ascii="宋体" w:hAnsi="宋体" w:eastAsia="宋体" w:cs="宋体"/>
          <w:snapToGrid w:val="0"/>
          <w:color w:val="000000"/>
          <w:kern w:val="0"/>
          <w:sz w:val="24"/>
          <w:szCs w:val="24"/>
          <w:highlight w:val="none"/>
        </w:rPr>
        <w:t xml:space="preserve"> 包工包料：材料符合招标文件要求并报验使用；办理用工保险。</w:t>
      </w:r>
    </w:p>
    <w:p w14:paraId="6E93891E">
      <w:pPr>
        <w:wordWrap w:val="0"/>
        <w:adjustRightInd w:val="0"/>
        <w:snapToGrid w:val="0"/>
        <w:spacing w:line="360" w:lineRule="auto"/>
        <w:ind w:firstLine="56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1.1.2</w:t>
      </w:r>
      <w:r>
        <w:rPr>
          <w:rFonts w:hint="eastAsia" w:ascii="宋体" w:hAnsi="宋体" w:eastAsia="宋体" w:cs="宋体"/>
          <w:snapToGrid w:val="0"/>
          <w:color w:val="000000"/>
          <w:kern w:val="0"/>
          <w:sz w:val="24"/>
          <w:szCs w:val="24"/>
          <w:highlight w:val="none"/>
        </w:rPr>
        <w:t xml:space="preserve"> 包质量：符合招标文件要求。</w:t>
      </w:r>
    </w:p>
    <w:p w14:paraId="77CBC951">
      <w:pPr>
        <w:wordWrap w:val="0"/>
        <w:adjustRightInd w:val="0"/>
        <w:snapToGrid w:val="0"/>
        <w:spacing w:line="360" w:lineRule="auto"/>
        <w:ind w:firstLine="56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1.1.3</w:t>
      </w:r>
      <w:r>
        <w:rPr>
          <w:rFonts w:hint="eastAsia" w:ascii="宋体" w:hAnsi="宋体" w:eastAsia="宋体" w:cs="宋体"/>
          <w:snapToGrid w:val="0"/>
          <w:color w:val="000000"/>
          <w:kern w:val="0"/>
          <w:sz w:val="24"/>
          <w:szCs w:val="24"/>
          <w:highlight w:val="none"/>
        </w:rPr>
        <w:t xml:space="preserve"> 包安全包文明施工：符合招标文件要求。</w:t>
      </w:r>
    </w:p>
    <w:p w14:paraId="236752E9">
      <w:pPr>
        <w:wordWrap w:val="0"/>
        <w:adjustRightInd w:val="0"/>
        <w:snapToGrid w:val="0"/>
        <w:spacing w:line="360" w:lineRule="auto"/>
        <w:ind w:firstLine="56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 xml:space="preserve">1.1.4 </w:t>
      </w:r>
      <w:r>
        <w:rPr>
          <w:rFonts w:hint="eastAsia" w:ascii="宋体" w:hAnsi="宋体" w:eastAsia="宋体" w:cs="宋体"/>
          <w:snapToGrid w:val="0"/>
          <w:color w:val="000000"/>
          <w:kern w:val="0"/>
          <w:sz w:val="24"/>
          <w:szCs w:val="24"/>
          <w:highlight w:val="none"/>
        </w:rPr>
        <w:t>包工期：本招标项目施工必须在招标工期内完成。</w:t>
      </w:r>
    </w:p>
    <w:p w14:paraId="79602AFB">
      <w:pPr>
        <w:pStyle w:val="3"/>
        <w:wordWrap w:val="0"/>
        <w:autoSpaceDE/>
        <w:autoSpaceDN/>
        <w:snapToGrid w:val="0"/>
        <w:spacing w:line="360" w:lineRule="auto"/>
        <w:jc w:val="both"/>
        <w:rPr>
          <w:rFonts w:hint="eastAsia" w:ascii="宋体" w:hAnsi="宋体" w:eastAsia="宋体" w:cs="宋体"/>
          <w:b/>
          <w:snapToGrid w:val="0"/>
          <w:color w:val="000000"/>
          <w:sz w:val="24"/>
          <w:szCs w:val="24"/>
          <w:highlight w:val="none"/>
        </w:rPr>
      </w:pPr>
      <w:bookmarkStart w:id="161" w:name="_Toc10246"/>
      <w:bookmarkStart w:id="162" w:name="_Toc28909"/>
      <w:bookmarkStart w:id="163" w:name="_Toc5555"/>
      <w:bookmarkStart w:id="164" w:name="_Toc14656"/>
      <w:bookmarkStart w:id="165" w:name="_Toc16130"/>
      <w:bookmarkStart w:id="166" w:name="_Toc4363"/>
      <w:bookmarkStart w:id="167" w:name="_Toc14079373"/>
      <w:r>
        <w:rPr>
          <w:rFonts w:hint="eastAsia" w:ascii="宋体" w:hAnsi="宋体" w:eastAsia="宋体" w:cs="宋体"/>
          <w:b/>
          <w:snapToGrid w:val="0"/>
          <w:color w:val="000000"/>
          <w:sz w:val="24"/>
          <w:szCs w:val="24"/>
          <w:highlight w:val="none"/>
        </w:rPr>
        <w:t>2．工程结算原则</w:t>
      </w:r>
      <w:bookmarkEnd w:id="161"/>
      <w:bookmarkEnd w:id="162"/>
      <w:bookmarkEnd w:id="163"/>
      <w:bookmarkEnd w:id="164"/>
      <w:bookmarkEnd w:id="165"/>
    </w:p>
    <w:p w14:paraId="2DDB44DA">
      <w:pPr>
        <w:wordWrap w:val="0"/>
        <w:adjustRightInd w:val="0"/>
        <w:snapToGrid w:val="0"/>
        <w:spacing w:line="360" w:lineRule="auto"/>
        <w:ind w:firstLine="48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2.1</w:t>
      </w:r>
      <w:r>
        <w:rPr>
          <w:rFonts w:hint="eastAsia" w:ascii="宋体" w:hAnsi="宋体" w:eastAsia="宋体" w:cs="宋体"/>
          <w:snapToGrid w:val="0"/>
          <w:color w:val="000000"/>
          <w:kern w:val="0"/>
          <w:sz w:val="24"/>
          <w:szCs w:val="24"/>
          <w:highlight w:val="none"/>
        </w:rPr>
        <w:t xml:space="preserve"> 承包人的投标总价为中标价，即为签约合同价。</w:t>
      </w:r>
    </w:p>
    <w:p w14:paraId="650B9589">
      <w:pPr>
        <w:wordWrap w:val="0"/>
        <w:adjustRightInd w:val="0"/>
        <w:snapToGrid w:val="0"/>
        <w:spacing w:line="360" w:lineRule="auto"/>
        <w:ind w:firstLine="48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2.2</w:t>
      </w:r>
      <w:r>
        <w:rPr>
          <w:rFonts w:hint="eastAsia" w:ascii="宋体" w:hAnsi="宋体" w:eastAsia="宋体" w:cs="宋体"/>
          <w:snapToGrid w:val="0"/>
          <w:color w:val="000000"/>
          <w:kern w:val="0"/>
          <w:sz w:val="24"/>
          <w:szCs w:val="24"/>
          <w:highlight w:val="none"/>
        </w:rPr>
        <w:t xml:space="preserve"> 招标工程量清单标明的工程量是投标人投标报价的共同基础，竣工结算的工程量按</w:t>
      </w:r>
      <w:r>
        <w:rPr>
          <w:rFonts w:hint="eastAsia" w:ascii="宋体" w:hAnsi="宋体" w:eastAsia="宋体" w:cs="宋体"/>
          <w:snapToGrid w:val="0"/>
          <w:color w:val="000000"/>
          <w:kern w:val="0"/>
          <w:sz w:val="24"/>
          <w:szCs w:val="24"/>
          <w:highlight w:val="none"/>
          <w:lang w:eastAsia="zh-CN"/>
        </w:rPr>
        <w:t>《建设工程工程量清单计价标准》（GB/T50500—2024）</w:t>
      </w:r>
      <w:r>
        <w:rPr>
          <w:rFonts w:hint="eastAsia" w:ascii="宋体" w:hAnsi="宋体" w:eastAsia="宋体" w:cs="宋体"/>
          <w:snapToGrid w:val="0"/>
          <w:color w:val="000000"/>
          <w:kern w:val="0"/>
          <w:sz w:val="24"/>
          <w:szCs w:val="24"/>
          <w:highlight w:val="none"/>
        </w:rPr>
        <w:t>对工程计量的规定进行计量，必须以承包人完成合同工程应予计量的工程量确定。施工中进行工程计量，当发现招标工程量清单中出现缺项、工程量偏差、或因工程变更引起工程量增减时，应按承包人在履行合同义务中完成的工程量计算。因承包人原因造成的超出合同工程范围施工或返工的工程量，发包人不予计量。</w:t>
      </w:r>
    </w:p>
    <w:p w14:paraId="60FD0811">
      <w:pPr>
        <w:wordWrap w:val="0"/>
        <w:adjustRightInd w:val="0"/>
        <w:snapToGrid w:val="0"/>
        <w:spacing w:line="360" w:lineRule="auto"/>
        <w:ind w:firstLine="48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2.3</w:t>
      </w:r>
      <w:r>
        <w:rPr>
          <w:rFonts w:hint="eastAsia" w:ascii="宋体" w:hAnsi="宋体" w:eastAsia="宋体" w:cs="宋体"/>
          <w:snapToGrid w:val="0"/>
          <w:color w:val="000000"/>
          <w:kern w:val="0"/>
          <w:sz w:val="24"/>
          <w:szCs w:val="24"/>
          <w:highlight w:val="none"/>
        </w:rPr>
        <w:t xml:space="preserve"> 施工合同履行期间，若出现下列情形的，发、承包双方应当按照以下规定调整合同价款：</w:t>
      </w:r>
    </w:p>
    <w:p w14:paraId="46149C60">
      <w:pPr>
        <w:wordWrap w:val="0"/>
        <w:adjustRightInd w:val="0"/>
        <w:snapToGrid w:val="0"/>
        <w:spacing w:line="360" w:lineRule="auto"/>
        <w:ind w:firstLine="48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2.3.1</w:t>
      </w:r>
      <w:r>
        <w:rPr>
          <w:rFonts w:hint="eastAsia" w:ascii="宋体" w:hAnsi="宋体" w:eastAsia="宋体" w:cs="宋体"/>
          <w:snapToGrid w:val="0"/>
          <w:color w:val="000000"/>
          <w:kern w:val="0"/>
          <w:sz w:val="24"/>
          <w:szCs w:val="24"/>
          <w:highlight w:val="none"/>
        </w:rPr>
        <w:t xml:space="preserve"> 法律法规变化</w:t>
      </w:r>
    </w:p>
    <w:p w14:paraId="263545EA">
      <w:pPr>
        <w:wordWrap w:val="0"/>
        <w:adjustRightInd w:val="0"/>
        <w:snapToGrid w:val="0"/>
        <w:spacing w:line="360" w:lineRule="auto"/>
        <w:ind w:firstLine="48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2.3.1.1</w:t>
      </w:r>
      <w:r>
        <w:rPr>
          <w:rFonts w:hint="eastAsia" w:ascii="宋体" w:hAnsi="宋体" w:eastAsia="宋体" w:cs="宋体"/>
          <w:snapToGrid w:val="0"/>
          <w:color w:val="000000"/>
          <w:kern w:val="0"/>
          <w:sz w:val="24"/>
          <w:szCs w:val="24"/>
          <w:highlight w:val="none"/>
        </w:rPr>
        <w:t xml:space="preserve"> 基准日之后，因国家法律、法规、规章和政策发生变化引起工程造价增减变化时，发、承包双方应按照省级建设主管部门（或省级行业主管部门）或其授权的工程造价管理机构据此发布的最新规定调整合同价款。</w:t>
      </w:r>
    </w:p>
    <w:p w14:paraId="3E23614E">
      <w:pPr>
        <w:wordWrap w:val="0"/>
        <w:adjustRightInd w:val="0"/>
        <w:snapToGrid w:val="0"/>
        <w:spacing w:line="360" w:lineRule="auto"/>
        <w:ind w:firstLine="480"/>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注：本招标文件所称“基准日”，均指投标文件递交截止时间（见第一章第二节“重要事项时间地点一览表”）前28天。</w:t>
      </w:r>
      <w:r>
        <w:rPr>
          <w:rFonts w:hint="eastAsia" w:ascii="宋体" w:hAnsi="宋体" w:eastAsia="宋体" w:cs="宋体"/>
          <w:b/>
          <w:bCs/>
          <w:snapToGrid w:val="0"/>
          <w:color w:val="000000"/>
          <w:kern w:val="0"/>
          <w:sz w:val="24"/>
          <w:szCs w:val="24"/>
          <w:highlight w:val="none"/>
          <w:lang w:val="en-US" w:eastAsia="zh-CN"/>
        </w:rPr>
        <w:t>本项目最高投标限价材料价格计取基期按照2026年2月执行。</w:t>
      </w:r>
    </w:p>
    <w:p w14:paraId="01BD4913">
      <w:pPr>
        <w:wordWrap w:val="0"/>
        <w:adjustRightInd w:val="0"/>
        <w:snapToGrid w:val="0"/>
        <w:spacing w:line="360" w:lineRule="auto"/>
        <w:ind w:firstLine="48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2.3.1.2</w:t>
      </w:r>
      <w:r>
        <w:rPr>
          <w:rFonts w:hint="eastAsia" w:ascii="宋体" w:hAnsi="宋体" w:eastAsia="宋体" w:cs="宋体"/>
          <w:snapToGrid w:val="0"/>
          <w:color w:val="000000"/>
          <w:kern w:val="0"/>
          <w:sz w:val="24"/>
          <w:szCs w:val="24"/>
          <w:highlight w:val="none"/>
        </w:rPr>
        <w:t xml:space="preserve"> 因承包人原因导致工程延误，本章第</w:t>
      </w:r>
      <w:r>
        <w:rPr>
          <w:rFonts w:hint="eastAsia" w:ascii="宋体" w:hAnsi="宋体" w:eastAsia="宋体" w:cs="宋体"/>
          <w:b/>
          <w:bCs/>
          <w:snapToGrid w:val="0"/>
          <w:color w:val="000000"/>
          <w:kern w:val="0"/>
          <w:sz w:val="24"/>
          <w:szCs w:val="24"/>
          <w:highlight w:val="none"/>
        </w:rPr>
        <w:t>2.3.1.1</w:t>
      </w:r>
      <w:r>
        <w:rPr>
          <w:rFonts w:hint="eastAsia" w:ascii="宋体" w:hAnsi="宋体" w:eastAsia="宋体" w:cs="宋体"/>
          <w:snapToGrid w:val="0"/>
          <w:color w:val="000000"/>
          <w:kern w:val="0"/>
          <w:sz w:val="24"/>
          <w:szCs w:val="24"/>
          <w:highlight w:val="none"/>
        </w:rPr>
        <w:t>子目中的法定机构根据国家法律法规变化发布新规的时间在合同工程原定竣工时间之后的，合同价款调增的不予调整，合同价款调减的予以调整。</w:t>
      </w:r>
    </w:p>
    <w:p w14:paraId="3279C732">
      <w:pPr>
        <w:wordWrap w:val="0"/>
        <w:adjustRightInd w:val="0"/>
        <w:snapToGrid w:val="0"/>
        <w:spacing w:line="360" w:lineRule="auto"/>
        <w:ind w:firstLine="48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2.3.2</w:t>
      </w:r>
      <w:r>
        <w:rPr>
          <w:rFonts w:hint="eastAsia" w:ascii="宋体" w:hAnsi="宋体" w:eastAsia="宋体" w:cs="宋体"/>
          <w:snapToGrid w:val="0"/>
          <w:color w:val="000000"/>
          <w:kern w:val="0"/>
          <w:sz w:val="24"/>
          <w:szCs w:val="24"/>
          <w:highlight w:val="none"/>
        </w:rPr>
        <w:t xml:space="preserve"> 工程量偏差或变化</w:t>
      </w:r>
    </w:p>
    <w:p w14:paraId="153E1A42">
      <w:pPr>
        <w:wordWrap w:val="0"/>
        <w:adjustRightInd w:val="0"/>
        <w:snapToGrid w:val="0"/>
        <w:spacing w:line="360" w:lineRule="auto"/>
        <w:ind w:firstLine="480"/>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b/>
          <w:bCs/>
          <w:snapToGrid w:val="0"/>
          <w:color w:val="000000"/>
          <w:kern w:val="0"/>
          <w:sz w:val="24"/>
          <w:szCs w:val="24"/>
          <w:highlight w:val="none"/>
        </w:rPr>
        <w:t>2.3.2.1</w:t>
      </w:r>
      <w:r>
        <w:rPr>
          <w:rFonts w:hint="eastAsia" w:ascii="宋体" w:hAnsi="宋体" w:eastAsia="宋体" w:cs="宋体"/>
          <w:snapToGrid w:val="0"/>
          <w:color w:val="000000"/>
          <w:kern w:val="0"/>
          <w:sz w:val="24"/>
          <w:szCs w:val="24"/>
          <w:highlight w:val="none"/>
        </w:rPr>
        <w:t xml:space="preserve"> </w:t>
      </w:r>
      <w:r>
        <w:rPr>
          <w:rFonts w:hint="eastAsia" w:ascii="宋体" w:hAnsi="宋体" w:eastAsia="宋体" w:cs="宋体"/>
          <w:snapToGrid w:val="0"/>
          <w:color w:val="000000"/>
          <w:kern w:val="0"/>
          <w:sz w:val="24"/>
          <w:szCs w:val="24"/>
          <w:highlight w:val="none"/>
          <w:lang w:val="en-US" w:eastAsia="zh-CN"/>
        </w:rPr>
        <w:t>合同履行期间，当应予计算的实际工程量与招标工程量清单出现偏差或因其他工程变更引起已标价工程量清单项目的工程数量发生变化时，综合单价应予调整，</w:t>
      </w:r>
      <w:r>
        <w:rPr>
          <w:rFonts w:hint="eastAsia" w:ascii="宋体" w:hAnsi="宋体" w:eastAsia="宋体" w:cs="宋体"/>
          <w:b/>
          <w:bCs/>
          <w:snapToGrid w:val="0"/>
          <w:color w:val="000000"/>
          <w:kern w:val="0"/>
          <w:sz w:val="24"/>
          <w:szCs w:val="24"/>
          <w:highlight w:val="none"/>
          <w:lang w:val="en-US" w:eastAsia="zh-CN"/>
        </w:rPr>
        <w:t>调整后的综合单价为计算结算价的依据，综合单价和工程量计算方式按照以下规定调整：</w:t>
      </w:r>
    </w:p>
    <w:p w14:paraId="64FEC0AB">
      <w:pPr>
        <w:keepNext w:val="0"/>
        <w:keepLines w:val="0"/>
        <w:widowControl/>
        <w:suppressLineNumbers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（一）属于合理报价的清单项目：①工程量偏差或变化在 15%以内（含 15%）的，按承包人的综合单价不予调整。②工程量偏差或变化超过 15%的，工程量增加超出 15%的部分，其综合单价以该分部分项工程量清单项目承包人投标的综合单价为基价调低 3 %；工程量减少15%以上时，减少后剩余部分的工程量的综合单价以该分部分项工程量清单项目承包人投标的综合单价为基价调高 3 %。</w:t>
      </w:r>
    </w:p>
    <w:p w14:paraId="47B66956">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（二）属于不平衡报价的清单项目：①工程量偏差或变化造成增加的工程量，当 P0＜P1×（1-L）×（1-15%）时，综合单价按照 P1×（1-L）×（1-15%）调整；当 P0＞P1×（1+15%）时，综合单价按照 P1×（1+15%）调整。②工程量偏差或变化造成工程量减少时，减少后剩余部分的工程量的综合单价按承包人的综合单价不予调整。（以上 P0、P1、L 的定义按第二章 中标人须知 4.2.4 不平衡报价的认定条款）</w:t>
      </w:r>
    </w:p>
    <w:p w14:paraId="1D1E730A">
      <w:pPr>
        <w:wordWrap w:val="0"/>
        <w:adjustRightInd w:val="0"/>
        <w:snapToGrid w:val="0"/>
        <w:spacing w:line="360" w:lineRule="auto"/>
        <w:ind w:firstLine="48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2.3.2.2</w:t>
      </w:r>
      <w:r>
        <w:rPr>
          <w:rFonts w:hint="eastAsia" w:ascii="宋体" w:hAnsi="宋体" w:eastAsia="宋体" w:cs="宋体"/>
          <w:snapToGrid w:val="0"/>
          <w:color w:val="000000"/>
          <w:kern w:val="0"/>
          <w:sz w:val="24"/>
          <w:szCs w:val="24"/>
          <w:highlight w:val="none"/>
        </w:rPr>
        <w:t xml:space="preserve"> 如果工程量出现本章第</w:t>
      </w:r>
      <w:r>
        <w:rPr>
          <w:rFonts w:hint="eastAsia" w:ascii="宋体" w:hAnsi="宋体" w:eastAsia="宋体" w:cs="宋体"/>
          <w:b/>
          <w:bCs/>
          <w:snapToGrid w:val="0"/>
          <w:color w:val="000000"/>
          <w:kern w:val="0"/>
          <w:sz w:val="24"/>
          <w:szCs w:val="24"/>
          <w:highlight w:val="none"/>
        </w:rPr>
        <w:t>2.3.2.1</w:t>
      </w:r>
      <w:r>
        <w:rPr>
          <w:rFonts w:hint="eastAsia" w:ascii="宋体" w:hAnsi="宋体" w:eastAsia="宋体" w:cs="宋体"/>
          <w:snapToGrid w:val="0"/>
          <w:color w:val="000000"/>
          <w:kern w:val="0"/>
          <w:sz w:val="24"/>
          <w:szCs w:val="24"/>
          <w:highlight w:val="none"/>
        </w:rPr>
        <w:t>子目的变化，且该变化引起相关措施项目相应发生变化时，按系数或单一总价方式计价的，工程量增加的措施项目费调增，工程量减少的措施项目费调减。</w:t>
      </w:r>
    </w:p>
    <w:p w14:paraId="3B3D9012">
      <w:pPr>
        <w:wordWrap w:val="0"/>
        <w:adjustRightInd w:val="0"/>
        <w:snapToGrid w:val="0"/>
        <w:spacing w:line="360" w:lineRule="auto"/>
        <w:ind w:firstLine="48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2.3.3</w:t>
      </w:r>
      <w:r>
        <w:rPr>
          <w:rFonts w:hint="eastAsia" w:ascii="宋体" w:hAnsi="宋体" w:eastAsia="宋体" w:cs="宋体"/>
          <w:snapToGrid w:val="0"/>
          <w:color w:val="000000"/>
          <w:kern w:val="0"/>
          <w:sz w:val="24"/>
          <w:szCs w:val="24"/>
          <w:highlight w:val="none"/>
        </w:rPr>
        <w:t xml:space="preserve"> 工程变更</w:t>
      </w:r>
    </w:p>
    <w:p w14:paraId="5AFB43E0">
      <w:pPr>
        <w:keepNext w:val="0"/>
        <w:keepLines w:val="0"/>
        <w:widowControl/>
        <w:suppressLineNumbers w:val="0"/>
        <w:spacing w:line="360" w:lineRule="auto"/>
        <w:ind w:firstLine="482" w:firstLineChars="200"/>
        <w:jc w:val="left"/>
        <w:rPr>
          <w:rFonts w:hint="eastAsia" w:ascii="宋体" w:hAnsi="宋体" w:eastAsia="宋体" w:cs="宋体"/>
          <w:color w:val="000000"/>
          <w:sz w:val="24"/>
          <w:szCs w:val="24"/>
          <w:highlight w:val="none"/>
        </w:rPr>
      </w:pPr>
      <w:r>
        <w:rPr>
          <w:rFonts w:hint="eastAsia" w:ascii="宋体" w:hAnsi="宋体" w:eastAsia="宋体" w:cs="宋体"/>
          <w:b/>
          <w:bCs/>
          <w:snapToGrid w:val="0"/>
          <w:color w:val="000000"/>
          <w:kern w:val="0"/>
          <w:sz w:val="24"/>
          <w:szCs w:val="24"/>
          <w:highlight w:val="none"/>
          <w:lang w:val="en-US" w:eastAsia="zh-CN" w:bidi="ar"/>
        </w:rPr>
        <w:t xml:space="preserve">2.3.3.1 </w:t>
      </w:r>
      <w:r>
        <w:rPr>
          <w:rFonts w:hint="eastAsia" w:ascii="宋体" w:hAnsi="宋体" w:eastAsia="宋体" w:cs="宋体"/>
          <w:color w:val="000000"/>
          <w:kern w:val="0"/>
          <w:sz w:val="24"/>
          <w:szCs w:val="24"/>
          <w:highlight w:val="none"/>
          <w:lang w:val="en-US" w:eastAsia="zh-CN" w:bidi="ar"/>
        </w:rPr>
        <w:t xml:space="preserve">合同履行期间，因工程变更引起已标价工程量清单项目发生变化时，在总价不变的情况下，按照以下规定调整： </w:t>
      </w:r>
    </w:p>
    <w:p w14:paraId="4B98C14A">
      <w:pPr>
        <w:keepNext w:val="0"/>
        <w:keepLines w:val="0"/>
        <w:widowControl/>
        <w:suppressLineNumbers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 xml:space="preserve">（1）已标价工程量清单中有适用于变更工程项目的：①属于合理报价的清单项目，采用承包人的综合单价。②属于不平衡报价的清单项目：当 P0＜P1×（1-L）×（1-15%）时，该类项目的综合单价按照 P1×（1-L）×（1-15%）调整；当 P0＞P1×（1+15%）时，该类项目的综合单价按照 P1×（1+15%）调整。（以上 P0、P1、L 的定义按第二章 中标人须知 4.2.4 不平衡报价的认定条款） </w:t>
      </w:r>
    </w:p>
    <w:p w14:paraId="750C9A74">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（2）已标价工程量清单中没有适用但有类似于变更工程项目的，可在合理范围内参照类似项目的单价。但如果被参考的类似项目属于不平衡报价的清单项目：当 P0＜P1×（1-L）×（1-15%）时，该类项目的综合单价按照 P1×（1-L）×（1-15%）调整；当 P0＞P1×（1+ 15%）时，该类项目的综合单价按照 P1×（1+15%）调整。（以上 P0、P1、L 的定义按第二章中标人须知 4.2.4 不平衡报价的认定条款） </w:t>
      </w:r>
    </w:p>
    <w:p w14:paraId="31EFD196">
      <w:pPr>
        <w:keepNext w:val="0"/>
        <w:keepLines w:val="0"/>
        <w:widowControl/>
        <w:suppressLineNumbers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 xml:space="preserve">（3）已标价工程量清单中没有适用也没有类似于变更工程项目的，由承包人根据变更工程资料、计量规则、计价办法、施工当月项目所在地工程造价管理机构发布的价格信息和中标下浮率提出变更工程项目的单价，报发包人确认后调整。中标下浮率的计算公式如下： </w:t>
      </w:r>
    </w:p>
    <w:p w14:paraId="6C009DF8">
      <w:pPr>
        <w:keepNext w:val="0"/>
        <w:keepLines w:val="0"/>
        <w:widowControl/>
        <w:suppressLineNumbers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中标下浮率=【1-(中标价-报价含税安全生产措施费-固定报价)÷(最高投标限价-最高投标限价含税安全生产措施费-固定报价)】×100% </w:t>
      </w:r>
    </w:p>
    <w:p w14:paraId="670C9CF4">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4）已标价工程量清单中没有适用也没有类似于变更工程项目，且施工当月项目所在地工程造价管理机构发布的价格信息缺项的，由承包人根据变更工程资料、计量规则、计价办法和通过依次参考清远、肇庆、佛山、广州、东莞等广东省内地区信息价、厂商询价、市场调查等取得有合法依据的市场价格提出变更工程项目的单价，报发包人确认后调整（采用同等四类地区信息价的不下浮，若同等四类城市均没有信息价需采用其他城市信息价、厂商询价或市场调查的则按 80%执行）。 </w:t>
      </w:r>
    </w:p>
    <w:p w14:paraId="2FD9E992">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2.3.3.2</w:t>
      </w:r>
      <w:r>
        <w:rPr>
          <w:rFonts w:hint="eastAsia" w:ascii="宋体" w:hAnsi="宋体" w:eastAsia="宋体" w:cs="宋体"/>
          <w:color w:val="000000"/>
          <w:kern w:val="0"/>
          <w:sz w:val="24"/>
          <w:szCs w:val="24"/>
          <w:highlight w:val="none"/>
          <w:lang w:val="en-US" w:eastAsia="zh-CN" w:bidi="ar"/>
        </w:rPr>
        <w:t xml:space="preserve"> 工程变更引起施工方案改变并使措施项目发生变化时，承包人提出调整措施项目费的，应事先将拟实施的方案提交发包人确认，并应详细说明与原方案措施项目相比的变化情况。拟实施的方案经发、承包双方确认后执行，并按照本章下列规定调整措施项目费： </w:t>
      </w:r>
    </w:p>
    <w:p w14:paraId="3446B4C9">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由于工程变更引起的措施项目变化，应按发包人批准的承包人专为工程变更拟定的实施方案或实际发生内容，计算其因工程变更而需要增加投入的施工管理人员、增加搭设的临时设施及其他增加的施工措施工程（工作)量。 </w:t>
      </w:r>
    </w:p>
    <w:p w14:paraId="3319C71D">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2）措施项目费用采用总价包干方式，投标人投标的措施方案被视为是合理可行的，其报价被视为已包含履行合同责任和义务、全面完成招标工程所需发生的全部措施项目费用。中标后措施项目费不因总价合同的暂定数量清单项目价款调整、单价合同的工程量清单缺陷修正而调整，实施过程中不因投标人原因导致的措施方案不合理不可行、措施项目错漏与偏差、工作内容增减、物价波动而调整，结算时仅在非承包人原因导致措施项目实质性变化引起费用增减而相应调整，调整方式按《建设工程工程量清单计价标准》（GB/T50500-2024）执行。 </w:t>
      </w:r>
    </w:p>
    <w:p w14:paraId="08380A16">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（3）采用单价计算的措施项目费，应按照实际发生变化的措施项目，按本章第2.3.3.1 </w:t>
      </w:r>
    </w:p>
    <w:p w14:paraId="6A4373B4">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子目的规定确定单价。 </w:t>
      </w:r>
    </w:p>
    <w:p w14:paraId="5A508412">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（4）按总价或系数计算的措施项目费，应按照实际发生变化的措施项目费调整并考虑中标下浮率因素，即调整金额＝按照实际变化调整后的金额×（1-中标下浮率）。 </w:t>
      </w:r>
    </w:p>
    <w:p w14:paraId="43FCE1BE">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如果承包人未事先将拟实施的方案提交发包人确认，视为工程变更不引起措施项目费的调整或承包人放弃调整措施项目费的权利。 </w:t>
      </w:r>
    </w:p>
    <w:p w14:paraId="78147BA5">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 xml:space="preserve">2.3.3.3 </w:t>
      </w:r>
      <w:r>
        <w:rPr>
          <w:rFonts w:hint="eastAsia" w:ascii="宋体" w:hAnsi="宋体" w:eastAsia="宋体" w:cs="宋体"/>
          <w:color w:val="000000"/>
          <w:kern w:val="0"/>
          <w:sz w:val="24"/>
          <w:szCs w:val="24"/>
          <w:highlight w:val="none"/>
          <w:lang w:val="en-US" w:eastAsia="zh-CN" w:bidi="ar"/>
        </w:rPr>
        <w:t>招标人有权根据本项目建设的实际情况调整建设规模或变更、减少建设内容，如出现因特殊原因取消某子项目的建设，则该子项目未完成的工作内容及费用相应扣减，中标人应在投标报价中综合考虑该因素，中标后不得因此向招标人提出额外的费用补偿或索赔。</w:t>
      </w:r>
    </w:p>
    <w:p w14:paraId="76BEBC2E">
      <w:pPr>
        <w:wordWrap w:val="0"/>
        <w:adjustRightInd w:val="0"/>
        <w:snapToGrid w:val="0"/>
        <w:spacing w:line="360" w:lineRule="auto"/>
        <w:ind w:firstLine="48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2.3.4</w:t>
      </w:r>
      <w:r>
        <w:rPr>
          <w:rFonts w:hint="eastAsia" w:ascii="宋体" w:hAnsi="宋体" w:eastAsia="宋体" w:cs="宋体"/>
          <w:snapToGrid w:val="0"/>
          <w:color w:val="000000"/>
          <w:kern w:val="0"/>
          <w:sz w:val="24"/>
          <w:szCs w:val="24"/>
          <w:highlight w:val="none"/>
        </w:rPr>
        <w:t xml:space="preserve"> 项目特征不符</w:t>
      </w:r>
    </w:p>
    <w:p w14:paraId="11D2876A">
      <w:pPr>
        <w:wordWrap w:val="0"/>
        <w:adjustRightInd w:val="0"/>
        <w:snapToGrid w:val="0"/>
        <w:spacing w:line="360" w:lineRule="auto"/>
        <w:ind w:firstLine="48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承包人应按照发包人提供的设计图纸实施合同工程，若在合同履行期间出现设计图纸（含设计变更）与招标工程量清单任一项目的特征描述不符，且该变化引起该项目工程造价增减变化的，应按照实际施工的项目特征，并按本章第</w:t>
      </w:r>
      <w:r>
        <w:rPr>
          <w:rFonts w:hint="eastAsia" w:ascii="宋体" w:hAnsi="宋体" w:eastAsia="宋体" w:cs="宋体"/>
          <w:b/>
          <w:bCs/>
          <w:snapToGrid w:val="0"/>
          <w:color w:val="000000"/>
          <w:kern w:val="0"/>
          <w:sz w:val="24"/>
          <w:szCs w:val="24"/>
          <w:highlight w:val="none"/>
        </w:rPr>
        <w:t>2.3.3</w:t>
      </w:r>
      <w:r>
        <w:rPr>
          <w:rFonts w:hint="eastAsia" w:ascii="宋体" w:hAnsi="宋体" w:eastAsia="宋体" w:cs="宋体"/>
          <w:snapToGrid w:val="0"/>
          <w:color w:val="000000"/>
          <w:kern w:val="0"/>
          <w:sz w:val="24"/>
          <w:szCs w:val="24"/>
          <w:highlight w:val="none"/>
        </w:rPr>
        <w:t>目相关条款的规定重新确定相应工程量清单项目的综合单价，并调整合同价款。</w:t>
      </w:r>
    </w:p>
    <w:p w14:paraId="29A6E48E">
      <w:pPr>
        <w:wordWrap w:val="0"/>
        <w:adjustRightInd w:val="0"/>
        <w:snapToGrid w:val="0"/>
        <w:spacing w:line="360" w:lineRule="auto"/>
        <w:ind w:firstLine="480"/>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2.3.5 招标工程量清单缺项</w:t>
      </w:r>
    </w:p>
    <w:p w14:paraId="3B31E467">
      <w:pPr>
        <w:keepNext w:val="0"/>
        <w:keepLines w:val="0"/>
        <w:widowControl/>
        <w:suppressLineNumbers w:val="0"/>
        <w:wordWrap w:val="0"/>
        <w:adjustRightInd w:val="0"/>
        <w:snapToGrid w:val="0"/>
        <w:spacing w:line="360" w:lineRule="auto"/>
        <w:ind w:firstLine="480"/>
        <w:jc w:val="left"/>
        <w:rPr>
          <w:rFonts w:hint="eastAsia" w:ascii="宋体" w:hAnsi="宋体" w:eastAsia="宋体" w:cs="宋体"/>
          <w:b w:val="0"/>
          <w:bCs w:val="0"/>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lang w:val="en-US" w:eastAsia="zh-CN" w:bidi="ar"/>
        </w:rPr>
        <w:t xml:space="preserve">2.3.5.1 </w:t>
      </w:r>
      <w:r>
        <w:rPr>
          <w:rFonts w:hint="eastAsia" w:ascii="宋体" w:hAnsi="宋体" w:eastAsia="宋体" w:cs="宋体"/>
          <w:b w:val="0"/>
          <w:bCs w:val="0"/>
          <w:snapToGrid w:val="0"/>
          <w:color w:val="000000"/>
          <w:kern w:val="0"/>
          <w:sz w:val="24"/>
          <w:szCs w:val="24"/>
          <w:highlight w:val="none"/>
          <w:lang w:val="en-US" w:eastAsia="zh-CN" w:bidi="ar"/>
        </w:rPr>
        <w:t xml:space="preserve">合同履行期间，由于招标工程量清单中缺项，新增分部分项工程清单项目，应按照本章第 </w:t>
      </w:r>
      <w:r>
        <w:rPr>
          <w:rFonts w:hint="eastAsia" w:ascii="宋体" w:hAnsi="宋体" w:eastAsia="宋体" w:cs="宋体"/>
          <w:b/>
          <w:bCs/>
          <w:snapToGrid w:val="0"/>
          <w:color w:val="000000"/>
          <w:kern w:val="0"/>
          <w:sz w:val="24"/>
          <w:szCs w:val="24"/>
          <w:highlight w:val="none"/>
          <w:lang w:val="en-US" w:eastAsia="zh-CN" w:bidi="ar"/>
        </w:rPr>
        <w:t>2.3.3.1</w:t>
      </w:r>
      <w:r>
        <w:rPr>
          <w:rFonts w:hint="eastAsia" w:ascii="宋体" w:hAnsi="宋体" w:eastAsia="宋体" w:cs="宋体"/>
          <w:b w:val="0"/>
          <w:bCs w:val="0"/>
          <w:snapToGrid w:val="0"/>
          <w:color w:val="000000"/>
          <w:kern w:val="0"/>
          <w:sz w:val="24"/>
          <w:szCs w:val="24"/>
          <w:highlight w:val="none"/>
          <w:lang w:val="en-US" w:eastAsia="zh-CN" w:bidi="ar"/>
        </w:rPr>
        <w:t xml:space="preserve"> 子目的规定确定单价，并调整合同价款。 </w:t>
      </w:r>
    </w:p>
    <w:p w14:paraId="065DFDF3">
      <w:pPr>
        <w:keepNext w:val="0"/>
        <w:keepLines w:val="0"/>
        <w:widowControl/>
        <w:suppressLineNumbers w:val="0"/>
        <w:wordWrap w:val="0"/>
        <w:adjustRightInd w:val="0"/>
        <w:snapToGrid w:val="0"/>
        <w:spacing w:line="360" w:lineRule="auto"/>
        <w:ind w:firstLine="480"/>
        <w:jc w:val="left"/>
        <w:rPr>
          <w:rFonts w:hint="eastAsia" w:ascii="宋体" w:hAnsi="宋体" w:eastAsia="宋体" w:cs="宋体"/>
          <w:b w:val="0"/>
          <w:bCs w:val="0"/>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lang w:val="en-US" w:eastAsia="zh-CN" w:bidi="ar"/>
        </w:rPr>
        <w:t xml:space="preserve">2.3.5.2 </w:t>
      </w:r>
      <w:r>
        <w:rPr>
          <w:rFonts w:hint="eastAsia" w:ascii="宋体" w:hAnsi="宋体" w:eastAsia="宋体" w:cs="宋体"/>
          <w:b w:val="0"/>
          <w:bCs w:val="0"/>
          <w:snapToGrid w:val="0"/>
          <w:color w:val="000000"/>
          <w:kern w:val="0"/>
          <w:sz w:val="24"/>
          <w:szCs w:val="24"/>
          <w:highlight w:val="none"/>
          <w:lang w:val="en-US" w:eastAsia="zh-CN" w:bidi="ar"/>
        </w:rPr>
        <w:t xml:space="preserve">新增分部分项工程清单项目后，引起措施项目发生变化的，应按照本章第 </w:t>
      </w:r>
      <w:r>
        <w:rPr>
          <w:rFonts w:hint="eastAsia" w:ascii="宋体" w:hAnsi="宋体" w:eastAsia="宋体" w:cs="宋体"/>
          <w:b/>
          <w:bCs/>
          <w:snapToGrid w:val="0"/>
          <w:color w:val="000000"/>
          <w:kern w:val="0"/>
          <w:sz w:val="24"/>
          <w:szCs w:val="24"/>
          <w:highlight w:val="none"/>
          <w:lang w:val="en-US" w:eastAsia="zh-CN" w:bidi="ar"/>
        </w:rPr>
        <w:t>2.3.3.2</w:t>
      </w:r>
      <w:r>
        <w:rPr>
          <w:rFonts w:hint="eastAsia" w:ascii="宋体" w:hAnsi="宋体" w:eastAsia="宋体" w:cs="宋体"/>
          <w:b w:val="0"/>
          <w:bCs w:val="0"/>
          <w:snapToGrid w:val="0"/>
          <w:color w:val="000000"/>
          <w:kern w:val="0"/>
          <w:sz w:val="24"/>
          <w:szCs w:val="24"/>
          <w:highlight w:val="none"/>
          <w:lang w:val="en-US" w:eastAsia="zh-CN" w:bidi="ar"/>
        </w:rPr>
        <w:t xml:space="preserve"> 子目的规定，在承包人提交的实施方案被发包人批准后调整合同价款。 </w:t>
      </w:r>
    </w:p>
    <w:p w14:paraId="07FB310B">
      <w:pPr>
        <w:keepNext w:val="0"/>
        <w:keepLines w:val="0"/>
        <w:widowControl/>
        <w:suppressLineNumbers w:val="0"/>
        <w:wordWrap w:val="0"/>
        <w:adjustRightInd w:val="0"/>
        <w:snapToGrid w:val="0"/>
        <w:spacing w:line="360" w:lineRule="auto"/>
        <w:ind w:firstLine="480"/>
        <w:jc w:val="left"/>
        <w:rPr>
          <w:rFonts w:hint="eastAsia" w:ascii="宋体" w:hAnsi="宋体" w:eastAsia="宋体" w:cs="宋体"/>
          <w:b w:val="0"/>
          <w:bCs w:val="0"/>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lang w:val="en-US" w:eastAsia="zh-CN" w:bidi="ar"/>
        </w:rPr>
        <w:t xml:space="preserve">2.3.5.3 </w:t>
      </w:r>
      <w:r>
        <w:rPr>
          <w:rFonts w:hint="eastAsia" w:ascii="宋体" w:hAnsi="宋体" w:eastAsia="宋体" w:cs="宋体"/>
          <w:b w:val="0"/>
          <w:bCs w:val="0"/>
          <w:snapToGrid w:val="0"/>
          <w:color w:val="000000"/>
          <w:kern w:val="0"/>
          <w:sz w:val="24"/>
          <w:szCs w:val="24"/>
          <w:highlight w:val="none"/>
          <w:lang w:val="en-US" w:eastAsia="zh-CN" w:bidi="ar"/>
        </w:rPr>
        <w:t>由于清单缺项引起措施项目变化或措施项目缺项的措施项目调整：除安全生产措施项目及以综合单价形式计价、在分部分项工程项目清单中所列属于措施项目的模板等工程及合同约定应予计量的其他措施项目,合同清单的措施项目清单及合同工期均不应予调整。</w:t>
      </w:r>
    </w:p>
    <w:p w14:paraId="1AE19214">
      <w:pPr>
        <w:wordWrap w:val="0"/>
        <w:adjustRightInd w:val="0"/>
        <w:snapToGrid w:val="0"/>
        <w:spacing w:line="360" w:lineRule="auto"/>
        <w:ind w:firstLine="482" w:firstLineChars="200"/>
        <w:rPr>
          <w:rFonts w:hint="eastAsia" w:ascii="宋体" w:hAnsi="宋体" w:eastAsia="宋体" w:cs="宋体"/>
          <w:bCs/>
          <w:snapToGrid w:val="0"/>
          <w:color w:val="000000"/>
          <w:kern w:val="0"/>
          <w:sz w:val="24"/>
          <w:szCs w:val="24"/>
          <w:highlight w:val="none"/>
        </w:rPr>
      </w:pPr>
      <w:r>
        <w:rPr>
          <w:rFonts w:hint="eastAsia" w:ascii="宋体" w:hAnsi="宋体" w:eastAsia="宋体" w:cs="宋体"/>
          <w:b/>
          <w:snapToGrid w:val="0"/>
          <w:color w:val="000000"/>
          <w:kern w:val="0"/>
          <w:sz w:val="24"/>
          <w:szCs w:val="24"/>
          <w:highlight w:val="none"/>
        </w:rPr>
        <w:t>2.3.6</w:t>
      </w:r>
      <w:r>
        <w:rPr>
          <w:rFonts w:hint="eastAsia" w:ascii="宋体" w:hAnsi="宋体" w:eastAsia="宋体" w:cs="宋体"/>
          <w:bCs/>
          <w:snapToGrid w:val="0"/>
          <w:color w:val="000000"/>
          <w:kern w:val="0"/>
          <w:sz w:val="24"/>
          <w:szCs w:val="24"/>
          <w:highlight w:val="none"/>
        </w:rPr>
        <w:t xml:space="preserve"> 物价变化</w:t>
      </w:r>
    </w:p>
    <w:p w14:paraId="4C55A8AC">
      <w:pPr>
        <w:wordWrap w:val="0"/>
        <w:adjustRightInd w:val="0"/>
        <w:snapToGrid w:val="0"/>
        <w:spacing w:line="360" w:lineRule="auto"/>
        <w:ind w:firstLine="482" w:firstLineChars="200"/>
        <w:rPr>
          <w:rFonts w:hint="eastAsia" w:ascii="宋体" w:hAnsi="宋体" w:eastAsia="宋体" w:cs="宋体"/>
          <w:bCs/>
          <w:snapToGrid w:val="0"/>
          <w:color w:val="000000"/>
          <w:kern w:val="0"/>
          <w:sz w:val="24"/>
          <w:szCs w:val="24"/>
          <w:highlight w:val="none"/>
        </w:rPr>
      </w:pPr>
      <w:r>
        <w:rPr>
          <w:rFonts w:hint="eastAsia" w:ascii="宋体" w:hAnsi="宋体" w:eastAsia="宋体" w:cs="宋体"/>
          <w:b/>
          <w:snapToGrid w:val="0"/>
          <w:color w:val="000000"/>
          <w:kern w:val="0"/>
          <w:sz w:val="24"/>
          <w:szCs w:val="24"/>
          <w:highlight w:val="none"/>
        </w:rPr>
        <w:t>2.3.6.1</w:t>
      </w:r>
      <w:r>
        <w:rPr>
          <w:rFonts w:hint="eastAsia" w:ascii="宋体" w:hAnsi="宋体" w:eastAsia="宋体" w:cs="宋体"/>
          <w:bCs/>
          <w:snapToGrid w:val="0"/>
          <w:color w:val="000000"/>
          <w:kern w:val="0"/>
          <w:sz w:val="24"/>
          <w:szCs w:val="24"/>
          <w:highlight w:val="none"/>
        </w:rPr>
        <w:t xml:space="preserve"> 合同履行期间，项目所在地工程造价管理机构发布的动态人工调整系数发生变化时，如果承包人投标报价中人工费（</w:t>
      </w:r>
      <w:r>
        <w:rPr>
          <w:rFonts w:hint="eastAsia" w:ascii="宋体" w:hAnsi="宋体" w:eastAsia="宋体" w:cs="宋体"/>
          <w:snapToGrid w:val="0"/>
          <w:color w:val="000000"/>
          <w:kern w:val="0"/>
          <w:sz w:val="24"/>
          <w:szCs w:val="24"/>
          <w:highlight w:val="none"/>
        </w:rPr>
        <w:t>以下简称“中标人工费”</w:t>
      </w:r>
      <w:r>
        <w:rPr>
          <w:rFonts w:hint="eastAsia" w:ascii="宋体" w:hAnsi="宋体" w:eastAsia="宋体" w:cs="宋体"/>
          <w:bCs/>
          <w:snapToGrid w:val="0"/>
          <w:color w:val="000000"/>
          <w:kern w:val="0"/>
          <w:sz w:val="24"/>
          <w:szCs w:val="24"/>
          <w:highlight w:val="none"/>
        </w:rPr>
        <w:t>）等于或超过施工当月经动态调整后的定额人工费，该清单项目中标人工费不予调整；如果中标人工费低于施工当月经动态调整后的定额人工费，该清单项目中标人工费可以调整，相关费用按有关规定进行相应调整。结算人工费调整公式为：</w:t>
      </w:r>
    </w:p>
    <w:p w14:paraId="55A2F422">
      <w:pPr>
        <w:wordWrap w:val="0"/>
        <w:adjustRightInd w:val="0"/>
        <w:snapToGrid w:val="0"/>
        <w:spacing w:line="360" w:lineRule="auto"/>
        <w:ind w:firstLine="480" w:firstLineChars="200"/>
        <w:rPr>
          <w:rFonts w:hint="eastAsia" w:ascii="宋体" w:hAnsi="宋体" w:eastAsia="宋体" w:cs="宋体"/>
          <w:bCs/>
          <w:snapToGrid w:val="0"/>
          <w:color w:val="000000"/>
          <w:kern w:val="0"/>
          <w:sz w:val="24"/>
          <w:szCs w:val="24"/>
          <w:highlight w:val="none"/>
        </w:rPr>
      </w:pPr>
      <w:r>
        <w:rPr>
          <w:rFonts w:hint="eastAsia" w:ascii="宋体" w:hAnsi="宋体" w:eastAsia="宋体" w:cs="宋体"/>
          <w:bCs/>
          <w:snapToGrid w:val="0"/>
          <w:color w:val="000000"/>
          <w:kern w:val="0"/>
          <w:sz w:val="24"/>
          <w:szCs w:val="24"/>
          <w:highlight w:val="none"/>
        </w:rPr>
        <w:t>结算人工费＝中标人工费×F</w:t>
      </w:r>
      <w:r>
        <w:rPr>
          <w:rFonts w:hint="eastAsia" w:ascii="宋体" w:hAnsi="宋体" w:eastAsia="宋体" w:cs="宋体"/>
          <w:bCs/>
          <w:snapToGrid w:val="0"/>
          <w:color w:val="000000"/>
          <w:kern w:val="0"/>
          <w:sz w:val="24"/>
          <w:szCs w:val="24"/>
          <w:highlight w:val="none"/>
          <w:vertAlign w:val="subscript"/>
        </w:rPr>
        <w:t>1</w:t>
      </w:r>
    </w:p>
    <w:p w14:paraId="7C7416C0">
      <w:pPr>
        <w:wordWrap w:val="0"/>
        <w:adjustRightInd w:val="0"/>
        <w:snapToGrid w:val="0"/>
        <w:spacing w:line="360" w:lineRule="auto"/>
        <w:ind w:firstLine="480"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Cs/>
          <w:snapToGrid w:val="0"/>
          <w:color w:val="000000"/>
          <w:kern w:val="0"/>
          <w:sz w:val="24"/>
          <w:szCs w:val="24"/>
          <w:highlight w:val="none"/>
        </w:rPr>
        <w:t>式中，F</w:t>
      </w:r>
      <w:r>
        <w:rPr>
          <w:rFonts w:hint="eastAsia" w:ascii="宋体" w:hAnsi="宋体" w:eastAsia="宋体" w:cs="宋体"/>
          <w:bCs/>
          <w:snapToGrid w:val="0"/>
          <w:color w:val="000000"/>
          <w:kern w:val="0"/>
          <w:sz w:val="24"/>
          <w:szCs w:val="24"/>
          <w:highlight w:val="none"/>
          <w:vertAlign w:val="subscript"/>
        </w:rPr>
        <w:t>1</w:t>
      </w:r>
      <w:r>
        <w:rPr>
          <w:rFonts w:hint="eastAsia" w:ascii="宋体" w:hAnsi="宋体" w:eastAsia="宋体" w:cs="宋体"/>
          <w:bCs/>
          <w:snapToGrid w:val="0"/>
          <w:color w:val="000000"/>
          <w:kern w:val="0"/>
          <w:sz w:val="24"/>
          <w:szCs w:val="24"/>
          <w:highlight w:val="none"/>
        </w:rPr>
        <w:t>为施工当月项目所在地工程造价管理机构发布的动态人工调整系数。</w:t>
      </w:r>
    </w:p>
    <w:p w14:paraId="63E48287">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2.3.6.2</w:t>
      </w:r>
      <w:r>
        <w:rPr>
          <w:rFonts w:hint="eastAsia" w:ascii="宋体" w:hAnsi="宋体" w:eastAsia="宋体" w:cs="宋体"/>
          <w:snapToGrid w:val="0"/>
          <w:color w:val="000000"/>
          <w:kern w:val="0"/>
          <w:sz w:val="24"/>
          <w:szCs w:val="24"/>
          <w:highlight w:val="none"/>
        </w:rPr>
        <w:t xml:space="preserve"> 本招标项目约定，材料、工程设备单价涨跌风险幅度值A为</w:t>
      </w:r>
      <w:r>
        <w:rPr>
          <w:rFonts w:hint="eastAsia" w:ascii="宋体" w:hAnsi="宋体" w:eastAsia="宋体" w:cs="宋体"/>
          <w:snapToGrid w:val="0"/>
          <w:color w:val="000000"/>
          <w:kern w:val="0"/>
          <w:sz w:val="24"/>
          <w:szCs w:val="24"/>
          <w:highlight w:val="none"/>
          <w:u w:val="single"/>
        </w:rPr>
        <w:t xml:space="preserve"> 5% </w:t>
      </w:r>
      <w:r>
        <w:rPr>
          <w:rFonts w:hint="eastAsia" w:ascii="宋体" w:hAnsi="宋体" w:eastAsia="宋体" w:cs="宋体"/>
          <w:snapToGrid w:val="0"/>
          <w:color w:val="000000"/>
          <w:kern w:val="0"/>
          <w:sz w:val="24"/>
          <w:szCs w:val="24"/>
          <w:highlight w:val="none"/>
        </w:rPr>
        <w:t>。合同履行期间，当《</w:t>
      </w:r>
      <w:r>
        <w:rPr>
          <w:rFonts w:hint="eastAsia" w:ascii="宋体" w:hAnsi="宋体" w:eastAsia="宋体" w:cs="宋体"/>
          <w:snapToGrid w:val="0"/>
          <w:color w:val="000000"/>
          <w:kern w:val="0"/>
          <w:sz w:val="24"/>
          <w:szCs w:val="24"/>
          <w:highlight w:val="none"/>
          <w:lang w:val="en-US" w:eastAsia="zh-CN"/>
        </w:rPr>
        <w:t>承包人提供可调价主要材料表一</w:t>
      </w:r>
      <w:r>
        <w:rPr>
          <w:rFonts w:hint="eastAsia" w:ascii="宋体" w:hAnsi="宋体" w:eastAsia="宋体" w:cs="宋体"/>
          <w:snapToGrid w:val="0"/>
          <w:color w:val="000000"/>
          <w:kern w:val="0"/>
          <w:sz w:val="24"/>
          <w:szCs w:val="24"/>
          <w:highlight w:val="none"/>
        </w:rPr>
        <w:t>》（详见招标工程量清单）中的材料、工程设备单价涨跌幅度等于或低于A值时，该材料、工程设备单价不予调整；超过A值时，其超过部分可以调整。相关费用按有关规定进行相应调整。</w:t>
      </w:r>
    </w:p>
    <w:p w14:paraId="7ABBBE5D">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a</w:t>
      </w:r>
      <w:r>
        <w:rPr>
          <w:rFonts w:hint="eastAsia" w:ascii="宋体" w:hAnsi="宋体" w:eastAsia="宋体" w:cs="宋体"/>
          <w:snapToGrid w:val="0"/>
          <w:color w:val="000000"/>
          <w:kern w:val="0"/>
          <w:sz w:val="24"/>
          <w:szCs w:val="24"/>
          <w:highlight w:val="none"/>
        </w:rPr>
        <w:t>．如果承包人投标报价中材料、工程设备单价（以下简称“中标单价”）低于基准日当月项目所在地工程造价管理机构发布的对应材料、工程设备单价（以下简称“基准单价”），该材料、工程设备的结算单价调整公式为：</w:t>
      </w:r>
    </w:p>
    <w:p w14:paraId="39F7D8CF">
      <w:pPr>
        <w:wordWrap w:val="0"/>
        <w:adjustRightInd w:val="0"/>
        <w:snapToGrid w:val="0"/>
        <w:spacing w:before="360" w:beforeLines="150" w:after="240" w:afterLines="100" w:line="360" w:lineRule="auto"/>
        <w:ind w:firstLine="480"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涨价时，</w:t>
      </w:r>
      <w:r>
        <w:rPr>
          <w:rFonts w:hint="eastAsia" w:ascii="宋体" w:hAnsi="宋体" w:eastAsia="宋体" w:cs="宋体"/>
          <w:snapToGrid w:val="0"/>
          <w:color w:val="000000"/>
          <w:kern w:val="0"/>
          <w:position w:val="-30"/>
          <w:sz w:val="24"/>
          <w:szCs w:val="24"/>
          <w:highlight w:val="none"/>
        </w:rPr>
        <w:object>
          <v:shape id="_x0000_i1025" o:spt="75" type="#_x0000_t75" style="height:33.95pt;width:200.95pt;" o:ole="t" filled="f" stroked="f" coordsize="21600,21600">
            <v:path/>
            <v:fill on="f" focussize="0,0"/>
            <v:stroke on="f"/>
            <v:imagedata r:id="rId30" o:title=""/>
            <o:lock v:ext="edit" grouping="f" rotation="f" text="f" aspectratio="t"/>
            <w10:wrap type="none"/>
            <w10:anchorlock/>
          </v:shape>
          <o:OLEObject Type="Embed" ProgID="Equation.KSEE3" ShapeID="_x0000_i1025" DrawAspect="Content" ObjectID="_1468075725" r:id="rId29">
            <o:LockedField>false</o:LockedField>
          </o:OLEObject>
        </w:object>
      </w:r>
    </w:p>
    <w:p w14:paraId="5907E1E5">
      <w:pPr>
        <w:wordWrap w:val="0"/>
        <w:adjustRightInd w:val="0"/>
        <w:spacing w:before="360" w:beforeLines="150" w:after="240" w:afterLines="100" w:line="360" w:lineRule="auto"/>
        <w:ind w:firstLine="480"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跌价时，</w:t>
      </w:r>
      <w:r>
        <w:rPr>
          <w:rFonts w:hint="eastAsia" w:ascii="宋体" w:hAnsi="宋体" w:eastAsia="宋体" w:cs="宋体"/>
          <w:snapToGrid w:val="0"/>
          <w:color w:val="000000"/>
          <w:kern w:val="0"/>
          <w:position w:val="-30"/>
          <w:sz w:val="24"/>
          <w:szCs w:val="24"/>
          <w:highlight w:val="none"/>
        </w:rPr>
        <w:object>
          <v:shape id="_x0000_i1026" o:spt="75" type="#_x0000_t75" style="height:33.95pt;width:198.95pt;" o:ole="t" filled="f" stroked="f" coordsize="21600,21600">
            <v:path/>
            <v:fill on="f" focussize="0,0"/>
            <v:stroke on="f"/>
            <v:imagedata r:id="rId32" o:title=""/>
            <o:lock v:ext="edit" grouping="f" rotation="f" text="f" aspectratio="t"/>
            <w10:wrap type="none"/>
            <w10:anchorlock/>
          </v:shape>
          <o:OLEObject Type="Embed" ProgID="Equation.KSEE3" ShapeID="_x0000_i1026" DrawAspect="Content" ObjectID="_1468075726" r:id="rId31">
            <o:LockedField>false</o:LockedField>
          </o:OLEObject>
        </w:object>
      </w:r>
    </w:p>
    <w:p w14:paraId="5A245CA6">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b</w:t>
      </w:r>
      <w:r>
        <w:rPr>
          <w:rFonts w:hint="eastAsia" w:ascii="宋体" w:hAnsi="宋体" w:eastAsia="宋体" w:cs="宋体"/>
          <w:snapToGrid w:val="0"/>
          <w:color w:val="000000"/>
          <w:kern w:val="0"/>
          <w:sz w:val="24"/>
          <w:szCs w:val="24"/>
          <w:highlight w:val="none"/>
        </w:rPr>
        <w:t>．如果中标单价高于基准单价，该材料、工程设备的结算单价调整公式为：</w:t>
      </w:r>
    </w:p>
    <w:p w14:paraId="1404541A">
      <w:pPr>
        <w:wordWrap w:val="0"/>
        <w:adjustRightInd w:val="0"/>
        <w:snapToGrid w:val="0"/>
        <w:spacing w:before="360" w:beforeLines="150" w:after="240" w:afterLines="100" w:line="360" w:lineRule="auto"/>
        <w:ind w:firstLine="480"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涨价时，</w:t>
      </w:r>
      <w:r>
        <w:rPr>
          <w:rFonts w:hint="eastAsia" w:ascii="宋体" w:hAnsi="宋体" w:eastAsia="宋体" w:cs="宋体"/>
          <w:snapToGrid w:val="0"/>
          <w:color w:val="000000"/>
          <w:kern w:val="0"/>
          <w:position w:val="-30"/>
          <w:sz w:val="24"/>
          <w:szCs w:val="24"/>
          <w:highlight w:val="none"/>
        </w:rPr>
        <w:object>
          <v:shape id="_x0000_i1027" o:spt="75" type="#_x0000_t75" style="height:33.95pt;width:198.95pt;" o:ole="t" filled="f" stroked="f" coordsize="21600,21600">
            <v:path/>
            <v:fill on="f" focussize="0,0"/>
            <v:stroke on="f"/>
            <v:imagedata r:id="rId34" o:title=""/>
            <o:lock v:ext="edit" grouping="f" rotation="f" text="f" aspectratio="t"/>
            <w10:wrap type="none"/>
            <w10:anchorlock/>
          </v:shape>
          <o:OLEObject Type="Embed" ProgID="Equation.KSEE3" ShapeID="_x0000_i1027" DrawAspect="Content" ObjectID="_1468075727" r:id="rId33">
            <o:LockedField>false</o:LockedField>
          </o:OLEObject>
        </w:object>
      </w:r>
    </w:p>
    <w:p w14:paraId="2F0D12EE">
      <w:pPr>
        <w:wordWrap w:val="0"/>
        <w:adjustRightInd w:val="0"/>
        <w:spacing w:before="360" w:beforeLines="150" w:after="240" w:afterLines="100" w:line="360" w:lineRule="auto"/>
        <w:ind w:firstLine="480"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跌价时，</w:t>
      </w:r>
      <w:r>
        <w:rPr>
          <w:rFonts w:hint="eastAsia" w:ascii="宋体" w:hAnsi="宋体" w:eastAsia="宋体" w:cs="宋体"/>
          <w:snapToGrid w:val="0"/>
          <w:color w:val="000000"/>
          <w:kern w:val="0"/>
          <w:position w:val="-30"/>
          <w:sz w:val="24"/>
          <w:szCs w:val="24"/>
          <w:highlight w:val="none"/>
        </w:rPr>
        <w:object>
          <v:shape id="_x0000_i1028" o:spt="75" type="#_x0000_t75" style="height:33.95pt;width:200.95pt;" o:ole="t" filled="f" stroked="f" coordsize="21600,21600">
            <v:path/>
            <v:fill on="f" focussize="0,0"/>
            <v:stroke on="f"/>
            <v:imagedata r:id="rId36" o:title=""/>
            <o:lock v:ext="edit" grouping="f" rotation="f" text="f" aspectratio="t"/>
            <w10:wrap type="none"/>
            <w10:anchorlock/>
          </v:shape>
          <o:OLEObject Type="Embed" ProgID="Equation.KSEE3" ShapeID="_x0000_i1028" DrawAspect="Content" ObjectID="_1468075728" r:id="rId35">
            <o:LockedField>false</o:LockedField>
          </o:OLEObject>
        </w:object>
      </w:r>
    </w:p>
    <w:p w14:paraId="2B6BE3EB">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c</w:t>
      </w:r>
      <w:r>
        <w:rPr>
          <w:rFonts w:hint="eastAsia" w:ascii="宋体" w:hAnsi="宋体" w:eastAsia="宋体" w:cs="宋体"/>
          <w:snapToGrid w:val="0"/>
          <w:color w:val="000000"/>
          <w:kern w:val="0"/>
          <w:sz w:val="24"/>
          <w:szCs w:val="24"/>
          <w:highlight w:val="none"/>
        </w:rPr>
        <w:t>．如果中标单价等于基准单价，该材料、工程设备的结算单价调整公式为：</w:t>
      </w:r>
    </w:p>
    <w:p w14:paraId="0E833F58">
      <w:pPr>
        <w:wordWrap w:val="0"/>
        <w:adjustRightInd w:val="0"/>
        <w:snapToGrid w:val="0"/>
        <w:spacing w:before="360" w:beforeLines="150" w:after="240" w:afterLines="100" w:line="360" w:lineRule="auto"/>
        <w:ind w:firstLine="480"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涨价时，</w:t>
      </w:r>
      <w:r>
        <w:rPr>
          <w:rFonts w:hint="eastAsia" w:ascii="宋体" w:hAnsi="宋体" w:eastAsia="宋体" w:cs="宋体"/>
          <w:snapToGrid w:val="0"/>
          <w:color w:val="000000"/>
          <w:kern w:val="0"/>
          <w:position w:val="-30"/>
          <w:sz w:val="24"/>
          <w:szCs w:val="24"/>
          <w:highlight w:val="none"/>
        </w:rPr>
        <w:object>
          <v:shape id="_x0000_i1029" o:spt="75" type="#_x0000_t75" style="height:33.95pt;width:200.95pt;" o:ole="t" filled="f" stroked="f" coordsize="21600,21600">
            <v:path/>
            <v:fill on="f" focussize="0,0"/>
            <v:stroke on="f"/>
            <v:imagedata r:id="rId38" o:title=""/>
            <o:lock v:ext="edit" grouping="f" rotation="f" text="f" aspectratio="t"/>
            <w10:wrap type="none"/>
            <w10:anchorlock/>
          </v:shape>
          <o:OLEObject Type="Embed" ProgID="Equation.KSEE3" ShapeID="_x0000_i1029" DrawAspect="Content" ObjectID="_1468075729" r:id="rId37">
            <o:LockedField>false</o:LockedField>
          </o:OLEObject>
        </w:object>
      </w:r>
    </w:p>
    <w:p w14:paraId="438E2306">
      <w:pPr>
        <w:wordWrap w:val="0"/>
        <w:adjustRightInd w:val="0"/>
        <w:spacing w:before="360" w:beforeLines="150" w:after="240" w:afterLines="100" w:line="360" w:lineRule="auto"/>
        <w:ind w:firstLine="480"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跌价时，</w:t>
      </w:r>
      <w:r>
        <w:rPr>
          <w:rFonts w:hint="eastAsia" w:ascii="宋体" w:hAnsi="宋体" w:eastAsia="宋体" w:cs="宋体"/>
          <w:snapToGrid w:val="0"/>
          <w:color w:val="000000"/>
          <w:kern w:val="0"/>
          <w:position w:val="-30"/>
          <w:sz w:val="24"/>
          <w:szCs w:val="24"/>
          <w:highlight w:val="none"/>
        </w:rPr>
        <w:object>
          <v:shape id="_x0000_i1030" o:spt="75" type="#_x0000_t75" style="height:33.95pt;width:200.95pt;" o:ole="t" filled="f" o:preferrelative="t" stroked="f" coordsize="21600,21600">
            <v:path/>
            <v:fill on="f" focussize="0,0"/>
            <v:stroke on="f"/>
            <v:imagedata r:id="rId40" o:title=""/>
            <o:lock v:ext="edit" grouping="f" rotation="f" text="f" aspectratio="t"/>
            <w10:wrap type="none"/>
            <w10:anchorlock/>
          </v:shape>
          <o:OLEObject Type="Embed" ProgID="Equation.KSEE3" ShapeID="_x0000_i1030" DrawAspect="Content" ObjectID="_1468075730" r:id="rId39">
            <o:LockedField>false</o:LockedField>
          </o:OLEObject>
        </w:object>
      </w:r>
    </w:p>
    <w:p w14:paraId="5896CADE">
      <w:pPr>
        <w:wordWrap w:val="0"/>
        <w:adjustRightInd w:val="0"/>
        <w:snapToGrid w:val="0"/>
        <w:spacing w:line="360" w:lineRule="auto"/>
        <w:ind w:firstLine="480"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以上公式中，F1为中标单价；F0为基准单价、指项目所在地工程造价管理机构</w:t>
      </w:r>
      <w:r>
        <w:rPr>
          <w:rFonts w:hint="eastAsia" w:ascii="宋体" w:hAnsi="宋体" w:eastAsia="宋体" w:cs="宋体"/>
          <w:snapToGrid w:val="0"/>
          <w:color w:val="000000"/>
          <w:kern w:val="0"/>
          <w:sz w:val="24"/>
          <w:szCs w:val="24"/>
          <w:highlight w:val="none"/>
          <w:lang w:eastAsia="zh-CN"/>
        </w:rPr>
        <w:t>最高投标限价</w:t>
      </w:r>
      <w:r>
        <w:rPr>
          <w:rFonts w:hint="eastAsia" w:ascii="宋体" w:hAnsi="宋体" w:eastAsia="宋体" w:cs="宋体"/>
          <w:snapToGrid w:val="0"/>
          <w:color w:val="000000"/>
          <w:kern w:val="0"/>
          <w:sz w:val="24"/>
          <w:szCs w:val="24"/>
          <w:highlight w:val="none"/>
        </w:rPr>
        <w:t>审定当月发布的材料、工程设备单价； F2为施工当月项目所在地工程造价管理机构发布的材料、工程设备单价；A为合同约定的材料、工程设备单价涨跌风险幅度值。</w:t>
      </w:r>
    </w:p>
    <w:p w14:paraId="70B126B8">
      <w:pPr>
        <w:wordWrap w:val="0"/>
        <w:adjustRightInd w:val="0"/>
        <w:snapToGrid w:val="0"/>
        <w:spacing w:line="360" w:lineRule="auto"/>
        <w:ind w:firstLine="482" w:firstLineChars="200"/>
        <w:rPr>
          <w:rFonts w:hint="eastAsia" w:ascii="宋体" w:hAnsi="宋体" w:eastAsia="宋体" w:cs="宋体"/>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2.3.6.3</w:t>
      </w:r>
      <w:r>
        <w:rPr>
          <w:rFonts w:hint="eastAsia" w:ascii="宋体" w:hAnsi="宋体" w:eastAsia="宋体" w:cs="宋体"/>
          <w:snapToGrid w:val="0"/>
          <w:color w:val="000000"/>
          <w:kern w:val="0"/>
          <w:sz w:val="24"/>
          <w:szCs w:val="24"/>
          <w:highlight w:val="none"/>
        </w:rPr>
        <w:t xml:space="preserve"> 合同履行期间，当《</w:t>
      </w:r>
      <w:r>
        <w:rPr>
          <w:rFonts w:hint="default" w:ascii="宋体" w:hAnsi="宋体" w:eastAsia="宋体" w:cs="宋体"/>
          <w:snapToGrid w:val="0"/>
          <w:color w:val="000000"/>
          <w:kern w:val="0"/>
          <w:sz w:val="24"/>
          <w:szCs w:val="24"/>
          <w:highlight w:val="none"/>
        </w:rPr>
        <w:t>承包人提供可调价主要材料表一</w:t>
      </w:r>
      <w:r>
        <w:rPr>
          <w:rFonts w:hint="eastAsia" w:ascii="宋体" w:hAnsi="宋体" w:eastAsia="宋体" w:cs="宋体"/>
          <w:snapToGrid w:val="0"/>
          <w:color w:val="000000"/>
          <w:kern w:val="0"/>
          <w:sz w:val="24"/>
          <w:szCs w:val="24"/>
          <w:highlight w:val="none"/>
        </w:rPr>
        <w:t>》中的材料、工程设备单价发生变化时，由发包人按照实际变化调整，并列入合同价款。（</w:t>
      </w:r>
      <w:r>
        <w:rPr>
          <w:rFonts w:hint="eastAsia" w:ascii="宋体" w:hAnsi="宋体" w:eastAsia="宋体" w:cs="宋体"/>
          <w:snapToGrid w:val="0"/>
          <w:color w:val="000000"/>
          <w:kern w:val="0"/>
          <w:sz w:val="24"/>
          <w:szCs w:val="24"/>
          <w:highlight w:val="none"/>
          <w:lang w:eastAsia="zh-CN"/>
        </w:rPr>
        <w:t>本项目招标人不提供发包材料</w:t>
      </w:r>
      <w:r>
        <w:rPr>
          <w:rFonts w:hint="eastAsia" w:ascii="宋体" w:hAnsi="宋体" w:eastAsia="宋体" w:cs="宋体"/>
          <w:snapToGrid w:val="0"/>
          <w:color w:val="000000"/>
          <w:kern w:val="0"/>
          <w:sz w:val="24"/>
          <w:szCs w:val="24"/>
          <w:highlight w:val="none"/>
        </w:rPr>
        <w:t>）</w:t>
      </w:r>
    </w:p>
    <w:p w14:paraId="3CAD8627">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2.3.6.4</w:t>
      </w:r>
      <w:r>
        <w:rPr>
          <w:rFonts w:hint="eastAsia" w:ascii="宋体" w:hAnsi="宋体" w:eastAsia="宋体" w:cs="宋体"/>
          <w:snapToGrid w:val="0"/>
          <w:color w:val="000000"/>
          <w:kern w:val="0"/>
          <w:sz w:val="24"/>
          <w:szCs w:val="24"/>
          <w:highlight w:val="none"/>
        </w:rPr>
        <w:t xml:space="preserve"> 本招标项目约定，施工机具台班单价涨跌风险幅度值B为</w:t>
      </w:r>
      <w:r>
        <w:rPr>
          <w:rFonts w:hint="eastAsia" w:ascii="宋体" w:hAnsi="宋体" w:eastAsia="宋体" w:cs="宋体"/>
          <w:snapToGrid w:val="0"/>
          <w:color w:val="000000"/>
          <w:kern w:val="0"/>
          <w:sz w:val="24"/>
          <w:szCs w:val="24"/>
          <w:highlight w:val="none"/>
          <w:u w:val="single"/>
        </w:rPr>
        <w:t xml:space="preserve"> 10% </w:t>
      </w:r>
      <w:r>
        <w:rPr>
          <w:rFonts w:hint="eastAsia" w:ascii="宋体" w:hAnsi="宋体" w:eastAsia="宋体" w:cs="宋体"/>
          <w:snapToGrid w:val="0"/>
          <w:color w:val="000000"/>
          <w:kern w:val="0"/>
          <w:sz w:val="24"/>
          <w:szCs w:val="24"/>
          <w:highlight w:val="none"/>
        </w:rPr>
        <w:t>。合同履行期间，当施工机具台班单价涨跌幅度等于或低于B值时，该施工机具台班单价不予调整；超过B值时，其超过部分可以调整。相关费用按有关规定进行相应调整。</w:t>
      </w:r>
    </w:p>
    <w:p w14:paraId="1403BC43">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a</w:t>
      </w:r>
      <w:r>
        <w:rPr>
          <w:rFonts w:hint="eastAsia" w:ascii="宋体" w:hAnsi="宋体" w:eastAsia="宋体" w:cs="宋体"/>
          <w:snapToGrid w:val="0"/>
          <w:color w:val="000000"/>
          <w:kern w:val="0"/>
          <w:sz w:val="24"/>
          <w:szCs w:val="24"/>
          <w:highlight w:val="none"/>
        </w:rPr>
        <w:t>．如果承包人投标报价中施工机具台班单价（以下简称“中标单价”）低于基准日当月项目所在地工程造价管理机构发布的对应施工机具台班单价（以下简称“基准单价”），该施工机具台班的结算单价调整公式为：</w:t>
      </w:r>
    </w:p>
    <w:p w14:paraId="04F0B2E0">
      <w:pPr>
        <w:wordWrap w:val="0"/>
        <w:adjustRightInd w:val="0"/>
        <w:snapToGrid w:val="0"/>
        <w:spacing w:before="360" w:beforeLines="150" w:after="240" w:afterLines="100" w:line="360" w:lineRule="auto"/>
        <w:ind w:firstLine="480"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涨价时，</w:t>
      </w:r>
      <w:r>
        <w:rPr>
          <w:rFonts w:hint="eastAsia" w:ascii="宋体" w:hAnsi="宋体" w:eastAsia="宋体" w:cs="宋体"/>
          <w:snapToGrid w:val="0"/>
          <w:color w:val="000000"/>
          <w:kern w:val="0"/>
          <w:position w:val="-30"/>
          <w:sz w:val="24"/>
          <w:szCs w:val="24"/>
          <w:highlight w:val="none"/>
        </w:rPr>
        <w:object>
          <v:shape id="_x0000_i1031" o:spt="75" type="#_x0000_t75" style="height:33.95pt;width:200.95pt;" o:ole="t" filled="f" o:preferrelative="t" stroked="f" coordsize="21600,21600">
            <v:path/>
            <v:fill on="f" focussize="0,0"/>
            <v:stroke on="f"/>
            <v:imagedata r:id="rId42" o:title=""/>
            <o:lock v:ext="edit" grouping="f" rotation="f" text="f" aspectratio="t"/>
            <w10:wrap type="none"/>
            <w10:anchorlock/>
          </v:shape>
          <o:OLEObject Type="Embed" ProgID="Equation.KSEE3" ShapeID="_x0000_i1031" DrawAspect="Content" ObjectID="_1468075731" r:id="rId41">
            <o:LockedField>false</o:LockedField>
          </o:OLEObject>
        </w:object>
      </w:r>
    </w:p>
    <w:p w14:paraId="537FE89C">
      <w:pPr>
        <w:wordWrap w:val="0"/>
        <w:adjustRightInd w:val="0"/>
        <w:spacing w:before="360" w:beforeLines="150" w:after="240" w:afterLines="100" w:line="360" w:lineRule="auto"/>
        <w:ind w:firstLine="480"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跌价时，</w:t>
      </w:r>
      <w:r>
        <w:rPr>
          <w:rFonts w:hint="eastAsia" w:ascii="宋体" w:hAnsi="宋体" w:eastAsia="宋体" w:cs="宋体"/>
          <w:snapToGrid w:val="0"/>
          <w:color w:val="000000"/>
          <w:kern w:val="0"/>
          <w:position w:val="-30"/>
          <w:sz w:val="24"/>
          <w:szCs w:val="24"/>
          <w:highlight w:val="none"/>
        </w:rPr>
        <w:object>
          <v:shape id="_x0000_i1032" o:spt="75" type="#_x0000_t75" style="height:33.95pt;width:198pt;" o:ole="t" filled="f" o:preferrelative="t" stroked="f" coordsize="21600,21600">
            <v:path/>
            <v:fill on="f" focussize="0,0"/>
            <v:stroke on="f"/>
            <v:imagedata r:id="rId44" o:title=""/>
            <o:lock v:ext="edit" grouping="f" rotation="f" text="f" aspectratio="t"/>
            <w10:wrap type="none"/>
            <w10:anchorlock/>
          </v:shape>
          <o:OLEObject Type="Embed" ProgID="Equation.KSEE3" ShapeID="_x0000_i1032" DrawAspect="Content" ObjectID="_1468075732" r:id="rId43">
            <o:LockedField>false</o:LockedField>
          </o:OLEObject>
        </w:object>
      </w:r>
    </w:p>
    <w:p w14:paraId="6C28F08B">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b</w:t>
      </w:r>
      <w:r>
        <w:rPr>
          <w:rFonts w:hint="eastAsia" w:ascii="宋体" w:hAnsi="宋体" w:eastAsia="宋体" w:cs="宋体"/>
          <w:snapToGrid w:val="0"/>
          <w:color w:val="000000"/>
          <w:kern w:val="0"/>
          <w:sz w:val="24"/>
          <w:szCs w:val="24"/>
          <w:highlight w:val="none"/>
        </w:rPr>
        <w:t>．如果中标单价高于基准单价，该施工机具台班的结算单价调整公式为：</w:t>
      </w:r>
    </w:p>
    <w:p w14:paraId="70B8B9F7">
      <w:pPr>
        <w:wordWrap w:val="0"/>
        <w:adjustRightInd w:val="0"/>
        <w:snapToGrid w:val="0"/>
        <w:spacing w:before="360" w:beforeLines="150" w:after="240" w:afterLines="100" w:line="360" w:lineRule="auto"/>
        <w:ind w:firstLine="480"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涨价时，</w:t>
      </w:r>
      <w:r>
        <w:rPr>
          <w:rFonts w:hint="eastAsia" w:ascii="宋体" w:hAnsi="宋体" w:eastAsia="宋体" w:cs="宋体"/>
          <w:snapToGrid w:val="0"/>
          <w:color w:val="000000"/>
          <w:kern w:val="0"/>
          <w:position w:val="-30"/>
          <w:sz w:val="24"/>
          <w:szCs w:val="24"/>
          <w:highlight w:val="none"/>
        </w:rPr>
        <w:object>
          <v:shape id="_x0000_i1033" o:spt="75" type="#_x0000_t75" style="height:33.95pt;width:198pt;" o:ole="t" filled="f" o:preferrelative="t" stroked="f" coordsize="21600,21600">
            <v:path/>
            <v:fill on="f" focussize="0,0"/>
            <v:stroke on="f"/>
            <v:imagedata r:id="rId46" o:title=""/>
            <o:lock v:ext="edit" grouping="f" rotation="f" text="f" aspectratio="t"/>
            <w10:wrap type="none"/>
            <w10:anchorlock/>
          </v:shape>
          <o:OLEObject Type="Embed" ProgID="Equation.KSEE3" ShapeID="_x0000_i1033" DrawAspect="Content" ObjectID="_1468075733" r:id="rId45">
            <o:LockedField>false</o:LockedField>
          </o:OLEObject>
        </w:object>
      </w:r>
    </w:p>
    <w:p w14:paraId="4C446C88">
      <w:pPr>
        <w:wordWrap w:val="0"/>
        <w:adjustRightInd w:val="0"/>
        <w:spacing w:before="360" w:beforeLines="150" w:after="240" w:afterLines="100" w:line="360" w:lineRule="auto"/>
        <w:ind w:firstLine="480"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跌价时，</w:t>
      </w:r>
      <w:r>
        <w:rPr>
          <w:rFonts w:hint="eastAsia" w:ascii="宋体" w:hAnsi="宋体" w:eastAsia="宋体" w:cs="宋体"/>
          <w:snapToGrid w:val="0"/>
          <w:color w:val="000000"/>
          <w:kern w:val="0"/>
          <w:position w:val="-30"/>
          <w:sz w:val="24"/>
          <w:szCs w:val="24"/>
          <w:highlight w:val="none"/>
        </w:rPr>
        <w:object>
          <v:shape id="_x0000_i1034" o:spt="75" type="#_x0000_t75" style="height:33.95pt;width:200.95pt;" o:ole="t" filled="f" o:preferrelative="t" stroked="f" coordsize="21600,21600">
            <v:path/>
            <v:fill on="f" focussize="0,0"/>
            <v:stroke on="f"/>
            <v:imagedata r:id="rId48" o:title=""/>
            <o:lock v:ext="edit" grouping="f" rotation="f" text="f" aspectratio="t"/>
            <w10:wrap type="none"/>
            <w10:anchorlock/>
          </v:shape>
          <o:OLEObject Type="Embed" ProgID="Equation.KSEE3" ShapeID="_x0000_i1034" DrawAspect="Content" ObjectID="_1468075734" r:id="rId47">
            <o:LockedField>false</o:LockedField>
          </o:OLEObject>
        </w:object>
      </w:r>
    </w:p>
    <w:p w14:paraId="1937AAC5">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c</w:t>
      </w:r>
      <w:r>
        <w:rPr>
          <w:rFonts w:hint="eastAsia" w:ascii="宋体" w:hAnsi="宋体" w:eastAsia="宋体" w:cs="宋体"/>
          <w:snapToGrid w:val="0"/>
          <w:color w:val="000000"/>
          <w:kern w:val="0"/>
          <w:sz w:val="24"/>
          <w:szCs w:val="24"/>
          <w:highlight w:val="none"/>
        </w:rPr>
        <w:t>．如果中标单价等于基准单价，该施工机具台班的结算单价调整公式为：</w:t>
      </w:r>
    </w:p>
    <w:p w14:paraId="16BEAD86">
      <w:pPr>
        <w:wordWrap w:val="0"/>
        <w:adjustRightInd w:val="0"/>
        <w:snapToGrid w:val="0"/>
        <w:spacing w:before="360" w:beforeLines="150" w:after="240" w:afterLines="100" w:line="360" w:lineRule="auto"/>
        <w:ind w:firstLine="480"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涨价时，</w:t>
      </w:r>
      <w:r>
        <w:rPr>
          <w:rFonts w:hint="eastAsia" w:ascii="宋体" w:hAnsi="宋体" w:eastAsia="宋体" w:cs="宋体"/>
          <w:snapToGrid w:val="0"/>
          <w:color w:val="000000"/>
          <w:kern w:val="0"/>
          <w:position w:val="-30"/>
          <w:sz w:val="24"/>
          <w:szCs w:val="24"/>
          <w:highlight w:val="none"/>
        </w:rPr>
        <w:object>
          <v:shape id="_x0000_i1035" o:spt="75" type="#_x0000_t75" style="height:33.95pt;width:200.95pt;" o:ole="t" filled="f" o:preferrelative="t" stroked="f" coordsize="21600,21600">
            <v:path/>
            <v:fill on="f" focussize="0,0"/>
            <v:stroke on="f"/>
            <v:imagedata r:id="rId50" o:title=""/>
            <o:lock v:ext="edit" grouping="f" rotation="f" text="f" aspectratio="t"/>
            <w10:wrap type="none"/>
            <w10:anchorlock/>
          </v:shape>
          <o:OLEObject Type="Embed" ProgID="Equation.KSEE3" ShapeID="_x0000_i1035" DrawAspect="Content" ObjectID="_1468075735" r:id="rId49">
            <o:LockedField>false</o:LockedField>
          </o:OLEObject>
        </w:object>
      </w:r>
    </w:p>
    <w:p w14:paraId="6CDCCD3E">
      <w:pPr>
        <w:wordWrap w:val="0"/>
        <w:adjustRightInd w:val="0"/>
        <w:spacing w:before="360" w:beforeLines="150" w:after="240" w:afterLines="100" w:line="360" w:lineRule="auto"/>
        <w:ind w:firstLine="480"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跌价时，</w:t>
      </w:r>
      <w:r>
        <w:rPr>
          <w:rFonts w:hint="eastAsia" w:ascii="宋体" w:hAnsi="宋体" w:eastAsia="宋体" w:cs="宋体"/>
          <w:snapToGrid w:val="0"/>
          <w:color w:val="000000"/>
          <w:kern w:val="0"/>
          <w:position w:val="-30"/>
          <w:sz w:val="24"/>
          <w:szCs w:val="24"/>
          <w:highlight w:val="none"/>
        </w:rPr>
        <w:object>
          <v:shape id="_x0000_i1036" o:spt="75" type="#_x0000_t75" style="height:33.95pt;width:200.95pt;" o:ole="t" filled="f" o:preferrelative="t" stroked="f" coordsize="21600,21600">
            <v:path/>
            <v:fill on="f" focussize="0,0"/>
            <v:stroke on="f"/>
            <v:imagedata r:id="rId52" o:title=""/>
            <o:lock v:ext="edit" grouping="f" rotation="f" text="f" aspectratio="t"/>
            <w10:wrap type="none"/>
            <w10:anchorlock/>
          </v:shape>
          <o:OLEObject Type="Embed" ProgID="Equation.KSEE3" ShapeID="_x0000_i1036" DrawAspect="Content" ObjectID="_1468075736" r:id="rId51">
            <o:LockedField>false</o:LockedField>
          </o:OLEObject>
        </w:object>
      </w:r>
    </w:p>
    <w:p w14:paraId="2E3B4F6C">
      <w:pPr>
        <w:wordWrap w:val="0"/>
        <w:adjustRightInd w:val="0"/>
        <w:snapToGrid w:val="0"/>
        <w:spacing w:line="360" w:lineRule="auto"/>
        <w:ind w:firstLine="480" w:firstLineChars="200"/>
        <w:rPr>
          <w:rFonts w:hint="default" w:ascii="宋体" w:hAnsi="宋体" w:eastAsia="宋体" w:cs="宋体"/>
          <w:snapToGrid w:val="0"/>
          <w:color w:val="000000"/>
          <w:kern w:val="0"/>
          <w:sz w:val="24"/>
          <w:szCs w:val="24"/>
          <w:highlight w:val="none"/>
          <w:lang w:val="en-US" w:eastAsia="zh-CN"/>
        </w:rPr>
      </w:pPr>
      <w:r>
        <w:rPr>
          <w:rFonts w:hint="default" w:ascii="宋体" w:hAnsi="宋体" w:eastAsia="宋体" w:cs="宋体"/>
          <w:snapToGrid w:val="0"/>
          <w:color w:val="000000"/>
          <w:kern w:val="0"/>
          <w:sz w:val="24"/>
          <w:szCs w:val="24"/>
          <w:highlight w:val="none"/>
          <w:lang w:val="en-US" w:eastAsia="zh-CN"/>
        </w:rPr>
        <w:t>以上公式中，F1为中标单价；F0为基准单价；F2为施工当月项目所在地工程造价管理机构发布的施工机具台班单价；B为合同约定的施工机具台班单价涨跌风险幅度值。</w:t>
      </w:r>
    </w:p>
    <w:p w14:paraId="7E1D3623">
      <w:pPr>
        <w:wordWrap w:val="0"/>
        <w:adjustRightInd w:val="0"/>
        <w:snapToGrid w:val="0"/>
        <w:spacing w:line="360" w:lineRule="auto"/>
        <w:ind w:firstLine="482" w:firstLineChars="200"/>
        <w:rPr>
          <w:rFonts w:hint="eastAsia" w:ascii="宋体" w:hAnsi="宋体" w:eastAsia="宋体" w:cs="宋体"/>
          <w:bCs/>
          <w:snapToGrid w:val="0"/>
          <w:color w:val="000000"/>
          <w:kern w:val="0"/>
          <w:sz w:val="24"/>
          <w:szCs w:val="24"/>
          <w:highlight w:val="none"/>
        </w:rPr>
      </w:pPr>
      <w:r>
        <w:rPr>
          <w:rFonts w:hint="eastAsia" w:ascii="宋体" w:hAnsi="宋体" w:eastAsia="宋体" w:cs="宋体"/>
          <w:b/>
          <w:snapToGrid w:val="0"/>
          <w:color w:val="000000"/>
          <w:kern w:val="0"/>
          <w:sz w:val="24"/>
          <w:szCs w:val="24"/>
          <w:highlight w:val="none"/>
        </w:rPr>
        <w:t>2.3.7</w:t>
      </w:r>
      <w:r>
        <w:rPr>
          <w:rFonts w:hint="eastAsia" w:ascii="宋体" w:hAnsi="宋体" w:eastAsia="宋体" w:cs="宋体"/>
          <w:bCs/>
          <w:snapToGrid w:val="0"/>
          <w:color w:val="000000"/>
          <w:kern w:val="0"/>
          <w:sz w:val="24"/>
          <w:szCs w:val="24"/>
          <w:highlight w:val="none"/>
        </w:rPr>
        <w:t xml:space="preserve"> 暂估价和暂列金额</w:t>
      </w:r>
    </w:p>
    <w:p w14:paraId="6DA2829A">
      <w:pPr>
        <w:keepNext w:val="0"/>
        <w:keepLines w:val="0"/>
        <w:widowControl/>
        <w:suppressLineNumbers w:val="0"/>
        <w:spacing w:line="360" w:lineRule="auto"/>
        <w:ind w:firstLine="482" w:firstLineChars="200"/>
        <w:jc w:val="left"/>
        <w:rPr>
          <w:rFonts w:hint="eastAsia" w:ascii="宋体" w:hAnsi="宋体" w:eastAsia="宋体" w:cs="宋体"/>
          <w:color w:val="000000"/>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2.3.7.1 </w:t>
      </w:r>
      <w:r>
        <w:rPr>
          <w:rFonts w:hint="eastAsia" w:ascii="宋体" w:hAnsi="宋体" w:eastAsia="宋体" w:cs="宋体"/>
          <w:color w:val="000000"/>
          <w:kern w:val="0"/>
          <w:sz w:val="24"/>
          <w:szCs w:val="24"/>
          <w:highlight w:val="none"/>
          <w:lang w:val="en-US" w:eastAsia="zh-CN" w:bidi="ar"/>
        </w:rPr>
        <w:t xml:space="preserve">暂估价项目按第一章第三节“投标人须知正文”第 </w:t>
      </w:r>
      <w:r>
        <w:rPr>
          <w:rFonts w:hint="eastAsia" w:ascii="宋体" w:hAnsi="宋体" w:eastAsia="宋体" w:cs="宋体"/>
          <w:b/>
          <w:bCs/>
          <w:color w:val="000000"/>
          <w:kern w:val="0"/>
          <w:sz w:val="24"/>
          <w:szCs w:val="24"/>
          <w:highlight w:val="none"/>
          <w:lang w:val="en-US" w:eastAsia="zh-CN" w:bidi="ar"/>
        </w:rPr>
        <w:t xml:space="preserve">8.5 </w:t>
      </w:r>
      <w:r>
        <w:rPr>
          <w:rFonts w:hint="eastAsia" w:ascii="宋体" w:hAnsi="宋体" w:eastAsia="宋体" w:cs="宋体"/>
          <w:color w:val="000000"/>
          <w:kern w:val="0"/>
          <w:sz w:val="24"/>
          <w:szCs w:val="24"/>
          <w:highlight w:val="none"/>
          <w:lang w:val="en-US" w:eastAsia="zh-CN" w:bidi="ar"/>
        </w:rPr>
        <w:t xml:space="preserve">条的规定确定专业工程承包人（或材料供应商、工程设备供应商）后，将专业工程合同价款（或材料单价、工程设备单价）取代相应暂估价，并调整合同价款。 </w:t>
      </w:r>
    </w:p>
    <w:p w14:paraId="346ECDC9">
      <w:pPr>
        <w:keepNext w:val="0"/>
        <w:keepLines w:val="0"/>
        <w:widowControl/>
        <w:suppressLineNumbers w:val="0"/>
        <w:spacing w:line="360" w:lineRule="auto"/>
        <w:jc w:val="left"/>
        <w:rPr>
          <w:rFonts w:hint="default" w:ascii="宋体" w:hAnsi="宋体" w:eastAsia="宋体" w:cs="宋体"/>
          <w:b/>
          <w:bCs/>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结算时暂估价（若有）中所列的材料（设备）数量按实际发生数量计算；承包人须提供材料（设备）的发票及购销合同，并提供详细的图纸、工程量计算式、施工图片、现场记录、转账记录等佐证作为结算依据，以实际采购单价为结算价，但不得高于本次招标工程量清单中的材料（设备）单价。 </w:t>
      </w:r>
    </w:p>
    <w:p w14:paraId="3E94AFF6">
      <w:pPr>
        <w:keepNext w:val="0"/>
        <w:keepLines w:val="0"/>
        <w:widowControl/>
        <w:suppressLineNumbers w:val="0"/>
        <w:spacing w:line="360" w:lineRule="auto"/>
        <w:ind w:firstLine="723" w:firstLineChars="300"/>
        <w:jc w:val="left"/>
        <w:rPr>
          <w:rFonts w:hint="eastAsia" w:ascii="宋体" w:hAnsi="宋体" w:eastAsia="宋体" w:cs="宋体"/>
          <w:color w:val="000000"/>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2.3.7.2 </w:t>
      </w:r>
      <w:r>
        <w:rPr>
          <w:rFonts w:hint="eastAsia" w:ascii="宋体" w:hAnsi="宋体" w:eastAsia="宋体" w:cs="宋体"/>
          <w:color w:val="000000"/>
          <w:kern w:val="0"/>
          <w:sz w:val="24"/>
          <w:szCs w:val="24"/>
          <w:highlight w:val="none"/>
          <w:lang w:val="en-US" w:eastAsia="zh-CN" w:bidi="ar"/>
        </w:rPr>
        <w:t xml:space="preserve">暂列金额由发包人掌握和使用。暂列金额项目若有发生，按第一章第三节“投标人须知正文”第 </w:t>
      </w:r>
      <w:r>
        <w:rPr>
          <w:rFonts w:hint="eastAsia" w:ascii="宋体" w:hAnsi="宋体" w:eastAsia="宋体" w:cs="宋体"/>
          <w:b/>
          <w:bCs/>
          <w:color w:val="000000"/>
          <w:kern w:val="0"/>
          <w:sz w:val="24"/>
          <w:szCs w:val="24"/>
          <w:highlight w:val="none"/>
          <w:lang w:val="en-US" w:eastAsia="zh-CN" w:bidi="ar"/>
        </w:rPr>
        <w:t xml:space="preserve">8.6 </w:t>
      </w:r>
      <w:r>
        <w:rPr>
          <w:rFonts w:hint="eastAsia" w:ascii="宋体" w:hAnsi="宋体" w:eastAsia="宋体" w:cs="宋体"/>
          <w:color w:val="000000"/>
          <w:kern w:val="0"/>
          <w:sz w:val="24"/>
          <w:szCs w:val="24"/>
          <w:highlight w:val="none"/>
          <w:lang w:val="en-US" w:eastAsia="zh-CN" w:bidi="ar"/>
        </w:rPr>
        <w:t xml:space="preserve">条的规定确定材料供应商（或工程设备供应商、服务供应商）后，材料（或工程设备、服务）的合同价款从暂列金额中支付。暂列金额扣除已发生的暂列金额项目合同价款、已发生的合同约定调整因素出现时的调整价款、已发生的索赔以及现场签证确认等的费用后，余额（若有）归发包人所有。暂列金额用于以下情形：（1）施工合同签订时尚未确定或者不可预见的所需材料、设备、服务的采购，施工中可能发生的工程变更、合同约定调整因素出现时的工程价款调整以及发生的索赔、现场签证确认等的费用。（2）国家政策性人工价差调整。（3）当合同履行期间， </w:t>
      </w:r>
    </w:p>
    <w:p w14:paraId="400FF2CA">
      <w:pPr>
        <w:keepNext w:val="0"/>
        <w:keepLines w:val="0"/>
        <w:widowControl/>
        <w:suppressLineNumbers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因人工、材料、工程设备、机械台班价格波动影响合同价款时，引起工程所在地工程造价管理机构发布的价格信息中材料、工程设备价格（仅限于钢筋、商品砼、水泥、砂、石、商品砂浆、电缆）变化超过 5%或施工机械使用费变化超过 10%时，发包人或承包人材料价格可调整 5%以外的部分、施工机械使用费可调整 10%以外的部分。（4）征拆后地表以下构筑物清运费用，预算未包含相关费用，结算时根据实际工程量在暂列金额中计算。（5）前期土方工程中的垃圾消纳处理费（若有）结算时提供签证、发票等作为依据。（6）施工合同签订时尚未确定或者不可预见的所需材料、设备、服务的采购。结算时按实际发生根据本章“3．工程付款办法”有关条款进行结算。</w:t>
      </w:r>
    </w:p>
    <w:p w14:paraId="10341222">
      <w:pPr>
        <w:keepNext w:val="0"/>
        <w:keepLines w:val="0"/>
        <w:widowControl/>
        <w:suppressLineNumbers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2.3.8 </w:t>
      </w:r>
      <w:r>
        <w:rPr>
          <w:rFonts w:hint="eastAsia" w:ascii="宋体" w:hAnsi="宋体" w:eastAsia="宋体" w:cs="宋体"/>
          <w:color w:val="000000"/>
          <w:kern w:val="0"/>
          <w:sz w:val="24"/>
          <w:szCs w:val="24"/>
          <w:highlight w:val="none"/>
          <w:lang w:val="en-US" w:eastAsia="zh-CN" w:bidi="ar"/>
        </w:rPr>
        <w:t xml:space="preserve">预算包干费按相关规定计算，本招标项目的预算包干费内容包括： </w:t>
      </w:r>
    </w:p>
    <w:p w14:paraId="6F8F255E">
      <w:pPr>
        <w:keepNext w:val="0"/>
        <w:keepLines w:val="0"/>
        <w:widowControl/>
        <w:suppressLineNumbers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（1）土建与装饰装修工程预算包干费按分部分项的人工费与施工机具费之和的 7%计算，施工雨水、污水的排除；因地形影响造成的场内料具二次运输；20 米高以下的工程用水加压措施；施工材料堆放场地的整理；机电安装后的补洞(槽)工料费；工程成品保护费；施工中的临时停水停电；基础埋深 2 米以内挖土方的塌方；日间照明施工增加费(不包括地下室和特殊工程)；完工清场后的垃圾外运等。</w:t>
      </w:r>
    </w:p>
    <w:p w14:paraId="77143DFE">
      <w:pPr>
        <w:keepNext w:val="0"/>
        <w:keepLines w:val="0"/>
        <w:widowControl/>
        <w:suppressLineNumbers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 xml:space="preserve">（2）市政工程预算包干费按分部分项的人工费与施工机具费之和的 6%计算，预算包干包括：施工雨(污)水的排除、因地形影响造成的场内料具二次运输、施工材料堆放场地的整理、施工中的临时停水停电、基础埋深 2m 以内挖土方的塌方、日间照明施工增加费(不包括地下室和特殊工程)、完工清场后的垃圾外运、地上(地下)设施，建筑物的临时保护设施费和二次加工基地设施费、雨季施工增加费、己完工程及设备保护等，包干的内容不再依据方案或签证计算费用。 </w:t>
      </w:r>
    </w:p>
    <w:p w14:paraId="6E31B10E">
      <w:pPr>
        <w:keepNext w:val="0"/>
        <w:keepLines w:val="0"/>
        <w:widowControl/>
        <w:suppressLineNumbers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 xml:space="preserve">（3）园林绿化工程预算包干费按分部分项的人工费与施工机具费之和的 6%计算，预算包干内容包括：施工雨(污)水的排除；场内料具二次运输；树穴内的泥浆清除；工程用水加压措施；施工材料堆放场地的整理；工程成品的保护；施工中的临时停水停电；日间施工照明增加费；完工后的场地清理。 </w:t>
      </w:r>
    </w:p>
    <w:p w14:paraId="74F3236D">
      <w:pPr>
        <w:keepNext w:val="0"/>
        <w:keepLines w:val="0"/>
        <w:widowControl/>
        <w:suppressLineNumbers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（4）安装工程预算包干费按分部分项的人工费与施工机具费之和的 10%计算，预算包干内容包括：施工雨(污)水的排除、因地形影响造成的场内料具二次运输、20m 高以下的工程用水加压措施、施工材料堆放场地的整理、机电安装后的补洞(槽)工料费、工程成品保护费、施工中的临时停水停电、基础埋深 2m 以内挖土方的塌方、日间照明施工增加费(不包括地下室和特殊工程)、完工清场后的垃圾外运等。对于以上预算包干内容，承包人不得提出额外付款或延长工期等要求。对此类要求，发包人不作任何考虑及答复。</w:t>
      </w:r>
    </w:p>
    <w:p w14:paraId="47F1892B">
      <w:pPr>
        <w:wordWrap w:val="0"/>
        <w:adjustRightInd w:val="0"/>
        <w:snapToGrid w:val="0"/>
        <w:spacing w:line="360" w:lineRule="auto"/>
        <w:ind w:firstLine="602" w:firstLineChars="250"/>
        <w:rPr>
          <w:rFonts w:hint="eastAsia" w:ascii="宋体" w:hAnsi="宋体" w:eastAsia="宋体" w:cs="宋体"/>
          <w:bCs/>
          <w:snapToGrid w:val="0"/>
          <w:color w:val="000000"/>
          <w:kern w:val="0"/>
          <w:sz w:val="24"/>
          <w:szCs w:val="24"/>
          <w:highlight w:val="none"/>
        </w:rPr>
      </w:pPr>
      <w:r>
        <w:rPr>
          <w:rFonts w:hint="eastAsia" w:ascii="宋体" w:hAnsi="宋体" w:eastAsia="宋体" w:cs="宋体"/>
          <w:b/>
          <w:snapToGrid w:val="0"/>
          <w:color w:val="000000"/>
          <w:kern w:val="0"/>
          <w:sz w:val="24"/>
          <w:szCs w:val="24"/>
          <w:highlight w:val="none"/>
        </w:rPr>
        <w:t>2.3.9</w:t>
      </w:r>
      <w:r>
        <w:rPr>
          <w:rFonts w:hint="eastAsia" w:ascii="宋体" w:hAnsi="宋体" w:eastAsia="宋体" w:cs="宋体"/>
          <w:bCs/>
          <w:snapToGrid w:val="0"/>
          <w:color w:val="000000"/>
          <w:kern w:val="0"/>
          <w:sz w:val="24"/>
          <w:szCs w:val="24"/>
          <w:highlight w:val="none"/>
        </w:rPr>
        <w:t xml:space="preserve"> 其余事项（如不可抗力、索赔、现场签证等）的调整原则按照</w:t>
      </w:r>
      <w:r>
        <w:rPr>
          <w:rFonts w:hint="eastAsia" w:ascii="宋体" w:hAnsi="宋体" w:eastAsia="宋体" w:cs="宋体"/>
          <w:bCs/>
          <w:snapToGrid w:val="0"/>
          <w:color w:val="000000"/>
          <w:kern w:val="0"/>
          <w:sz w:val="24"/>
          <w:szCs w:val="24"/>
          <w:highlight w:val="none"/>
          <w:lang w:eastAsia="zh-CN"/>
        </w:rPr>
        <w:t>《建设工程工程量清单计价标准》（GB/T50500—2024）</w:t>
      </w:r>
      <w:r>
        <w:rPr>
          <w:rFonts w:hint="eastAsia" w:ascii="宋体" w:hAnsi="宋体" w:eastAsia="宋体" w:cs="宋体"/>
          <w:bCs/>
          <w:snapToGrid w:val="0"/>
          <w:color w:val="000000"/>
          <w:kern w:val="0"/>
          <w:sz w:val="24"/>
          <w:szCs w:val="24"/>
          <w:highlight w:val="none"/>
        </w:rPr>
        <w:t>有关规定执行。</w:t>
      </w:r>
    </w:p>
    <w:p w14:paraId="6CC3D554">
      <w:pPr>
        <w:wordWrap w:val="0"/>
        <w:adjustRightInd w:val="0"/>
        <w:snapToGrid w:val="0"/>
        <w:spacing w:line="360" w:lineRule="auto"/>
        <w:ind w:firstLine="602" w:firstLineChars="250"/>
        <w:rPr>
          <w:rFonts w:hint="eastAsia" w:ascii="宋体" w:hAnsi="宋体" w:eastAsia="宋体" w:cs="宋体"/>
          <w:b/>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2.4</w:t>
      </w:r>
      <w:r>
        <w:rPr>
          <w:rFonts w:hint="eastAsia" w:ascii="宋体" w:hAnsi="宋体" w:eastAsia="宋体" w:cs="宋体"/>
          <w:snapToGrid w:val="0"/>
          <w:color w:val="000000"/>
          <w:kern w:val="0"/>
          <w:sz w:val="24"/>
          <w:szCs w:val="24"/>
          <w:highlight w:val="none"/>
        </w:rPr>
        <w:t xml:space="preserve"> 凡将引起合同价款调增的事项，承包人必须于拟实施14天前，将详细的报价书（含拟实施项目名称、变更部位、理由、预计造价等）报监理单位审核和发包人批准后方可实施。</w:t>
      </w:r>
    </w:p>
    <w:p w14:paraId="44CF7DFC">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2.5</w:t>
      </w:r>
      <w:r>
        <w:rPr>
          <w:rFonts w:hint="eastAsia" w:ascii="宋体" w:hAnsi="宋体" w:eastAsia="宋体" w:cs="宋体"/>
          <w:snapToGrid w:val="0"/>
          <w:color w:val="000000"/>
          <w:kern w:val="0"/>
          <w:sz w:val="24"/>
          <w:szCs w:val="24"/>
          <w:highlight w:val="none"/>
        </w:rPr>
        <w:t xml:space="preserve"> 承包人不得以不完全了解现场情况为理由，提出额外付款或延长工期等要求。对此类要求，发包人不作任何考虑及答复。</w:t>
      </w:r>
    </w:p>
    <w:p w14:paraId="468851E8">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2.6</w:t>
      </w:r>
      <w:r>
        <w:rPr>
          <w:rFonts w:hint="eastAsia" w:ascii="宋体" w:hAnsi="宋体" w:eastAsia="宋体" w:cs="宋体"/>
          <w:snapToGrid w:val="0"/>
          <w:color w:val="000000"/>
          <w:kern w:val="0"/>
          <w:sz w:val="24"/>
          <w:szCs w:val="24"/>
          <w:highlight w:val="none"/>
        </w:rPr>
        <w:t xml:space="preserve"> 承包人已标价工程量清单中漏报、错报或少报的清单项目，其价格均视为已经包含在其它清单项目中，竣工结算时不得重新组价和调整。</w:t>
      </w:r>
    </w:p>
    <w:p w14:paraId="0E5E161D">
      <w:pPr>
        <w:wordWrap w:val="0"/>
        <w:adjustRightInd w:val="0"/>
        <w:snapToGrid w:val="0"/>
        <w:spacing w:line="360" w:lineRule="auto"/>
        <w:ind w:firstLine="48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2.7</w:t>
      </w:r>
      <w:r>
        <w:rPr>
          <w:rFonts w:hint="eastAsia" w:ascii="宋体" w:hAnsi="宋体" w:eastAsia="宋体" w:cs="宋体"/>
          <w:snapToGrid w:val="0"/>
          <w:color w:val="000000"/>
          <w:kern w:val="0"/>
          <w:sz w:val="24"/>
          <w:szCs w:val="24"/>
          <w:highlight w:val="none"/>
        </w:rPr>
        <w:t xml:space="preserve"> 项目完工后，发、承包双方和受其委托具备相应资质的工程造价咨询单位必须按照</w:t>
      </w:r>
      <w:r>
        <w:rPr>
          <w:rFonts w:hint="eastAsia" w:ascii="宋体" w:hAnsi="宋体" w:eastAsia="宋体" w:cs="宋体"/>
          <w:snapToGrid w:val="0"/>
          <w:color w:val="000000"/>
          <w:kern w:val="0"/>
          <w:sz w:val="24"/>
          <w:szCs w:val="24"/>
          <w:highlight w:val="none"/>
          <w:lang w:eastAsia="zh-CN"/>
        </w:rPr>
        <w:t>《建设工程工程量清单计价标准》（GB/T50500—2024）</w:t>
      </w:r>
      <w:r>
        <w:rPr>
          <w:rFonts w:hint="eastAsia" w:ascii="宋体" w:hAnsi="宋体" w:eastAsia="宋体" w:cs="宋体"/>
          <w:snapToGrid w:val="0"/>
          <w:color w:val="000000"/>
          <w:kern w:val="0"/>
          <w:sz w:val="24"/>
          <w:szCs w:val="24"/>
          <w:highlight w:val="none"/>
        </w:rPr>
        <w:t>和国家、省、市的有关规定办理竣工结算。</w:t>
      </w:r>
    </w:p>
    <w:p w14:paraId="7475C8D8">
      <w:pPr>
        <w:wordWrap w:val="0"/>
        <w:adjustRightInd w:val="0"/>
        <w:snapToGrid w:val="0"/>
        <w:spacing w:line="360" w:lineRule="auto"/>
        <w:ind w:firstLine="56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2.8</w:t>
      </w:r>
      <w:r>
        <w:rPr>
          <w:rFonts w:hint="eastAsia" w:ascii="宋体" w:hAnsi="宋体" w:eastAsia="宋体" w:cs="宋体"/>
          <w:snapToGrid w:val="0"/>
          <w:color w:val="000000"/>
          <w:kern w:val="0"/>
          <w:sz w:val="24"/>
          <w:szCs w:val="24"/>
          <w:highlight w:val="none"/>
        </w:rPr>
        <w:t xml:space="preserve"> 承包人已标价工程量清单中没有的材料（或工程设备），承包人在使用前必须将材料（或工程设备）样板、材料合格证明（或产品合格证书）、材料（或工程设备）检验报告提交给监理单位和发包人审核。发包人审定并确定价格后，承包人方可采购和使用。如果在交货验收和使用过程中发现货不对板，监理单位和发包人有权拒用，并要求承包人立即进行更换。更换后的材料（或工程设备）应再次进行检查和检验。由此增加的费用和（或）工期延误由承包人承担。</w:t>
      </w:r>
    </w:p>
    <w:p w14:paraId="5F863F0C">
      <w:pPr>
        <w:pStyle w:val="6"/>
        <w:spacing w:before="155" w:line="360" w:lineRule="auto"/>
        <w:ind w:left="1" w:right="80" w:firstLine="473"/>
        <w:rPr>
          <w:rFonts w:hint="eastAsia" w:ascii="宋体" w:hAnsi="宋体" w:eastAsia="宋体" w:cs="宋体"/>
          <w:spacing w:val="-1"/>
          <w:sz w:val="24"/>
          <w:szCs w:val="24"/>
          <w:highlight w:val="none"/>
          <w:u w:val="single"/>
        </w:rPr>
      </w:pPr>
      <w:r>
        <w:rPr>
          <w:rFonts w:hint="eastAsia" w:ascii="宋体" w:hAnsi="宋体" w:eastAsia="宋体" w:cs="宋体"/>
          <w:b/>
          <w:bCs/>
          <w:snapToGrid w:val="0"/>
          <w:color w:val="000000"/>
          <w:kern w:val="0"/>
          <w:sz w:val="24"/>
          <w:szCs w:val="24"/>
          <w:highlight w:val="none"/>
        </w:rPr>
        <w:t xml:space="preserve">2.9 </w:t>
      </w:r>
      <w:r>
        <w:rPr>
          <w:rFonts w:hint="eastAsia" w:ascii="宋体" w:hAnsi="宋体" w:eastAsia="宋体" w:cs="宋体"/>
          <w:snapToGrid w:val="0"/>
          <w:color w:val="000000"/>
          <w:kern w:val="0"/>
          <w:sz w:val="24"/>
          <w:szCs w:val="24"/>
          <w:highlight w:val="none"/>
        </w:rPr>
        <w:t>暂估价的结算原则：</w:t>
      </w:r>
      <w:r>
        <w:rPr>
          <w:rFonts w:hint="eastAsia" w:ascii="宋体" w:hAnsi="宋体" w:eastAsia="宋体" w:cs="宋体"/>
          <w:spacing w:val="-1"/>
          <w:sz w:val="24"/>
          <w:szCs w:val="24"/>
          <w:highlight w:val="none"/>
          <w:u w:val="single"/>
        </w:rPr>
        <w:t>暂列金额</w:t>
      </w:r>
      <w:r>
        <w:rPr>
          <w:rFonts w:hint="eastAsia" w:ascii="宋体" w:hAnsi="宋体" w:eastAsia="宋体" w:cs="宋体"/>
          <w:spacing w:val="-1"/>
          <w:sz w:val="24"/>
          <w:szCs w:val="24"/>
          <w:highlight w:val="none"/>
          <w:u w:val="single"/>
          <w:lang w:val="en-US" w:eastAsia="zh-CN"/>
        </w:rPr>
        <w:t>的计算方式</w:t>
      </w:r>
      <w:r>
        <w:rPr>
          <w:rFonts w:hint="eastAsia" w:ascii="宋体" w:hAnsi="宋体" w:eastAsia="宋体" w:cs="宋体"/>
          <w:spacing w:val="-1"/>
          <w:sz w:val="24"/>
          <w:szCs w:val="24"/>
          <w:highlight w:val="none"/>
          <w:u w:val="single"/>
        </w:rPr>
        <w:t>按实际发生在结算审核完成后支付</w:t>
      </w:r>
      <w:r>
        <w:rPr>
          <w:rFonts w:hint="eastAsia" w:ascii="宋体" w:hAnsi="宋体" w:eastAsia="宋体" w:cs="宋体"/>
          <w:spacing w:val="-1"/>
          <w:sz w:val="24"/>
          <w:szCs w:val="24"/>
          <w:highlight w:val="none"/>
          <w:u w:val="single"/>
          <w:lang w:eastAsia="zh-CN"/>
        </w:rPr>
        <w:t>，</w:t>
      </w:r>
      <w:r>
        <w:rPr>
          <w:rFonts w:hint="eastAsia" w:ascii="宋体" w:hAnsi="宋体" w:eastAsia="宋体" w:cs="宋体"/>
          <w:spacing w:val="-1"/>
          <w:sz w:val="24"/>
          <w:szCs w:val="24"/>
          <w:highlight w:val="none"/>
          <w:u w:val="single"/>
          <w:lang w:val="en-US" w:eastAsia="zh-CN"/>
        </w:rPr>
        <w:t>原则上不得超过分部分项合计*10%</w:t>
      </w:r>
      <w:r>
        <w:rPr>
          <w:rFonts w:hint="eastAsia" w:ascii="宋体" w:hAnsi="宋体" w:eastAsia="宋体" w:cs="宋体"/>
          <w:spacing w:val="-1"/>
          <w:sz w:val="24"/>
          <w:szCs w:val="24"/>
          <w:highlight w:val="none"/>
          <w:u w:val="single"/>
        </w:rPr>
        <w:t>。</w:t>
      </w:r>
    </w:p>
    <w:p w14:paraId="75A58006">
      <w:pPr>
        <w:wordWrap w:val="0"/>
        <w:adjustRightInd w:val="0"/>
        <w:snapToGrid w:val="0"/>
        <w:spacing w:line="360" w:lineRule="auto"/>
        <w:ind w:firstLine="560"/>
        <w:rPr>
          <w:rFonts w:hint="eastAsia" w:ascii="宋体" w:hAnsi="宋体" w:eastAsia="宋体" w:cs="宋体"/>
          <w:b/>
          <w:bCs/>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本工程暂估价为招标人在工程量清单中提供的用于支付必然发生但暂时不能确定价格的材料、工程设备的单价以及专业工程的金额。材料暂估价结算时提供购买发票、转账凭证、合同等佐证依据，其结算原则按本章“2.工程结算原则”有关条款进行结算。各部分暂估价的结算价不得超过暂估价。</w:t>
      </w:r>
    </w:p>
    <w:p w14:paraId="4F6DAB01">
      <w:pPr>
        <w:wordWrap w:val="0"/>
        <w:adjustRightInd w:val="0"/>
        <w:snapToGrid w:val="0"/>
        <w:spacing w:line="360" w:lineRule="auto"/>
        <w:ind w:firstLine="560"/>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 xml:space="preserve">2.10 </w:t>
      </w:r>
      <w:r>
        <w:rPr>
          <w:rFonts w:hint="eastAsia" w:ascii="宋体" w:hAnsi="宋体" w:eastAsia="宋体" w:cs="宋体"/>
          <w:snapToGrid w:val="0"/>
          <w:color w:val="000000"/>
          <w:kern w:val="0"/>
          <w:sz w:val="24"/>
          <w:szCs w:val="24"/>
          <w:highlight w:val="none"/>
        </w:rPr>
        <w:t>暂列金额的结算原则：暂列金额由发包人掌握使用，工程合同履行期间，由于发包人的要求（注：必须要有发包人的书面通知）导致发生设计变更或合同约定调整因素出现时的工程价款调整以及发生的索赔、现场签证等，其工程量按实调整，其造价调整按本章“2工程结算原则”有关条款进行调整。暂列金额如有余额归发包人。</w:t>
      </w:r>
    </w:p>
    <w:p w14:paraId="6E947341">
      <w:pPr>
        <w:wordWrap w:val="0"/>
        <w:adjustRightInd w:val="0"/>
        <w:snapToGrid w:val="0"/>
        <w:spacing w:line="360" w:lineRule="auto"/>
        <w:ind w:firstLine="560"/>
        <w:rPr>
          <w:rFonts w:hint="eastAsia" w:ascii="宋体" w:hAnsi="宋体" w:eastAsia="宋体" w:cs="宋体"/>
          <w:snapToGrid w:val="0"/>
          <w:color w:val="000000"/>
          <w:kern w:val="0"/>
          <w:sz w:val="24"/>
          <w:szCs w:val="24"/>
          <w:highlight w:val="none"/>
        </w:rPr>
      </w:pPr>
      <w:bookmarkStart w:id="168" w:name="_Toc8343"/>
      <w:r>
        <w:rPr>
          <w:rFonts w:hint="eastAsia" w:ascii="宋体" w:hAnsi="宋体" w:eastAsia="宋体" w:cs="宋体"/>
          <w:b/>
          <w:bCs/>
          <w:snapToGrid w:val="0"/>
          <w:color w:val="000000"/>
          <w:kern w:val="0"/>
          <w:sz w:val="24"/>
          <w:szCs w:val="24"/>
          <w:highlight w:val="none"/>
        </w:rPr>
        <w:t>2.11</w:t>
      </w:r>
      <w:r>
        <w:rPr>
          <w:rFonts w:hint="eastAsia" w:ascii="宋体" w:hAnsi="宋体" w:eastAsia="宋体" w:cs="宋体"/>
          <w:snapToGrid w:val="0"/>
          <w:color w:val="000000"/>
          <w:kern w:val="0"/>
          <w:sz w:val="24"/>
          <w:szCs w:val="24"/>
          <w:highlight w:val="none"/>
        </w:rPr>
        <w:t>结算总价在</w:t>
      </w:r>
      <w:r>
        <w:rPr>
          <w:rFonts w:hint="eastAsia" w:ascii="宋体" w:hAnsi="宋体" w:eastAsia="宋体" w:cs="宋体"/>
          <w:snapToGrid w:val="0"/>
          <w:color w:val="000000"/>
          <w:kern w:val="0"/>
          <w:sz w:val="24"/>
          <w:szCs w:val="24"/>
          <w:highlight w:val="none"/>
          <w:lang w:eastAsia="zh-CN"/>
        </w:rPr>
        <w:t>最高投标限价</w:t>
      </w:r>
      <w:r>
        <w:rPr>
          <w:rFonts w:hint="eastAsia" w:ascii="宋体" w:hAnsi="宋体" w:eastAsia="宋体" w:cs="宋体"/>
          <w:snapToGrid w:val="0"/>
          <w:color w:val="000000"/>
          <w:kern w:val="0"/>
          <w:sz w:val="24"/>
          <w:szCs w:val="24"/>
          <w:highlight w:val="none"/>
        </w:rPr>
        <w:t>范围内按实结算，结算总价不得超过本次招标的</w:t>
      </w:r>
      <w:r>
        <w:rPr>
          <w:rFonts w:hint="eastAsia" w:ascii="宋体" w:hAnsi="宋体" w:eastAsia="宋体" w:cs="宋体"/>
          <w:snapToGrid w:val="0"/>
          <w:color w:val="000000"/>
          <w:kern w:val="0"/>
          <w:sz w:val="24"/>
          <w:szCs w:val="24"/>
          <w:highlight w:val="none"/>
          <w:lang w:eastAsia="zh-CN"/>
        </w:rPr>
        <w:t>最高投标限价</w:t>
      </w:r>
      <w:r>
        <w:rPr>
          <w:rFonts w:hint="eastAsia" w:ascii="宋体" w:hAnsi="宋体" w:eastAsia="宋体" w:cs="宋体"/>
          <w:snapToGrid w:val="0"/>
          <w:color w:val="000000"/>
          <w:kern w:val="0"/>
          <w:sz w:val="24"/>
          <w:szCs w:val="24"/>
          <w:highlight w:val="none"/>
        </w:rPr>
        <w:t>。项目实施过程中涉及工程造价控制、计量、价差调整等事项，最终以</w:t>
      </w:r>
      <w:r>
        <w:rPr>
          <w:rFonts w:hint="eastAsia" w:ascii="宋体" w:hAnsi="宋体" w:eastAsia="宋体" w:cs="宋体"/>
          <w:snapToGrid w:val="0"/>
          <w:color w:val="000000"/>
          <w:kern w:val="0"/>
          <w:sz w:val="24"/>
          <w:szCs w:val="24"/>
          <w:highlight w:val="none"/>
          <w:lang w:val="en-US" w:eastAsia="zh-CN"/>
        </w:rPr>
        <w:t>新丰县</w:t>
      </w:r>
      <w:r>
        <w:rPr>
          <w:rFonts w:hint="eastAsia" w:ascii="宋体" w:hAnsi="宋体" w:eastAsia="宋体" w:cs="宋体"/>
          <w:snapToGrid w:val="0"/>
          <w:color w:val="000000"/>
          <w:kern w:val="0"/>
          <w:sz w:val="24"/>
          <w:szCs w:val="24"/>
          <w:highlight w:val="none"/>
        </w:rPr>
        <w:t>财政投资评审中心的审核意见为准。</w:t>
      </w:r>
      <w:bookmarkEnd w:id="168"/>
    </w:p>
    <w:p w14:paraId="78B551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2.12 计日工结算原则</w:t>
      </w:r>
    </w:p>
    <w:p w14:paraId="6A91AB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本项目</w:t>
      </w:r>
      <w:r>
        <w:rPr>
          <w:rFonts w:hint="eastAsia" w:ascii="宋体" w:hAnsi="宋体" w:eastAsia="宋体" w:cs="宋体"/>
          <w:b w:val="0"/>
          <w:bCs/>
          <w:snapToGrid w:val="0"/>
          <w:color w:val="auto"/>
          <w:kern w:val="0"/>
          <w:sz w:val="24"/>
          <w:szCs w:val="24"/>
          <w:highlight w:val="none"/>
          <w:lang w:val="en-US" w:eastAsia="zh-CN"/>
        </w:rPr>
        <w:t>无计日工。</w:t>
      </w:r>
    </w:p>
    <w:p w14:paraId="04E6E3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2.12.</w:t>
      </w:r>
      <w:r>
        <w:rPr>
          <w:rFonts w:hint="default" w:ascii="宋体" w:hAnsi="宋体" w:eastAsia="宋体" w:cs="宋体"/>
          <w:b w:val="0"/>
          <w:bCs/>
          <w:snapToGrid w:val="0"/>
          <w:color w:val="auto"/>
          <w:kern w:val="0"/>
          <w:sz w:val="24"/>
          <w:szCs w:val="24"/>
          <w:highlight w:val="none"/>
          <w:lang w:val="en-US" w:eastAsia="zh-CN"/>
        </w:rPr>
        <w:t>1</w:t>
      </w:r>
      <w:r>
        <w:rPr>
          <w:rFonts w:hint="eastAsia" w:ascii="宋体" w:hAnsi="宋体" w:eastAsia="宋体" w:cs="宋体"/>
          <w:b w:val="0"/>
          <w:bCs/>
          <w:snapToGrid w:val="0"/>
          <w:color w:val="auto"/>
          <w:kern w:val="0"/>
          <w:sz w:val="24"/>
          <w:szCs w:val="24"/>
          <w:highlight w:val="none"/>
          <w:lang w:val="en-US" w:eastAsia="zh-CN"/>
        </w:rPr>
        <w:t xml:space="preserve"> </w:t>
      </w:r>
      <w:r>
        <w:rPr>
          <w:rFonts w:hint="default" w:ascii="宋体" w:hAnsi="宋体" w:eastAsia="宋体" w:cs="宋体"/>
          <w:b w:val="0"/>
          <w:bCs/>
          <w:snapToGrid w:val="0"/>
          <w:color w:val="auto"/>
          <w:kern w:val="0"/>
          <w:sz w:val="24"/>
          <w:szCs w:val="24"/>
          <w:highlight w:val="none"/>
          <w:lang w:val="en-US" w:eastAsia="zh-CN"/>
        </w:rPr>
        <w:t>计日工适用条件</w:t>
      </w:r>
    </w:p>
    <w:p w14:paraId="2EFE6D1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除合同另有约定外，仅在发生合同范围外的零星工作、应急处理、发包人或监理人书面指令的临时用工、用料、用机，且无法按工程量清单子目计价时，方可采用计日工计价。</w:t>
      </w:r>
    </w:p>
    <w:p w14:paraId="455C05A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未经发包人或监理人书面指令实施的工作，一律不按计日工结算。</w:t>
      </w:r>
    </w:p>
    <w:p w14:paraId="4E0180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2.12.</w:t>
      </w:r>
      <w:r>
        <w:rPr>
          <w:rFonts w:hint="default" w:ascii="宋体" w:hAnsi="宋体" w:eastAsia="宋体" w:cs="宋体"/>
          <w:b w:val="0"/>
          <w:bCs/>
          <w:snapToGrid w:val="0"/>
          <w:color w:val="auto"/>
          <w:kern w:val="0"/>
          <w:sz w:val="24"/>
          <w:szCs w:val="24"/>
          <w:highlight w:val="none"/>
          <w:lang w:val="en-US" w:eastAsia="zh-CN"/>
        </w:rPr>
        <w:t>2.计日工单价确定</w:t>
      </w:r>
    </w:p>
    <w:p w14:paraId="509086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（1）计日工单价以投标文件已标价工程量清单中的计日工单价为准，单价为综合单价，包含人工费、材料费、施工机具使用费、管理费、利润、风险费用等全部费用，除增值税外不再另行计取其他费用。</w:t>
      </w:r>
    </w:p>
    <w:p w14:paraId="3D4D0A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（2）清单中无对应计日工单价的，由承包人根据市场价格水平提出报价，经发包人审核确认后执行；协商不一致的，按合同变更估价原则处理。</w:t>
      </w:r>
    </w:p>
    <w:p w14:paraId="344DEE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（3）除合同约定的价格调整情形外，计日工单价不作调整。</w:t>
      </w:r>
    </w:p>
    <w:p w14:paraId="590AC7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2.12.3 </w:t>
      </w:r>
      <w:r>
        <w:rPr>
          <w:rFonts w:hint="default" w:ascii="宋体" w:hAnsi="宋体" w:eastAsia="宋体" w:cs="宋体"/>
          <w:b w:val="0"/>
          <w:bCs/>
          <w:snapToGrid w:val="0"/>
          <w:color w:val="auto"/>
          <w:kern w:val="0"/>
          <w:sz w:val="24"/>
          <w:szCs w:val="24"/>
          <w:highlight w:val="none"/>
          <w:lang w:val="en-US" w:eastAsia="zh-CN"/>
        </w:rPr>
        <w:t>现场计量与签证</w:t>
      </w:r>
    </w:p>
    <w:p w14:paraId="4580DA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（1）承包人应逐日记录计日工的人工工种及工日数、材料名称及消耗量、机械型号及台班数量，同步留存现场影像、领料、派工等资料。</w:t>
      </w:r>
    </w:p>
    <w:p w14:paraId="272F4A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（2）承包人应在每项计日工工作完成后24 小时内提交现场签证资料，经监理人核实、发包人确认后作为结算依据。</w:t>
      </w:r>
    </w:p>
    <w:p w14:paraId="6CB588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（3）发包人、监理人逾期未审核且未提出异议的，视为认可承包人报送的计量数量；资料不全、逾期未报的，发包人有权不予计量。</w:t>
      </w:r>
    </w:p>
    <w:p w14:paraId="1F03C5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2.12.</w:t>
      </w:r>
      <w:r>
        <w:rPr>
          <w:rFonts w:hint="default" w:ascii="宋体" w:hAnsi="宋体" w:eastAsia="宋体" w:cs="宋体"/>
          <w:b w:val="0"/>
          <w:bCs/>
          <w:snapToGrid w:val="0"/>
          <w:color w:val="auto"/>
          <w:kern w:val="0"/>
          <w:sz w:val="24"/>
          <w:szCs w:val="24"/>
          <w:highlight w:val="none"/>
          <w:lang w:val="en-US" w:eastAsia="zh-CN"/>
        </w:rPr>
        <w:t>4 结算与支付</w:t>
      </w:r>
    </w:p>
    <w:p w14:paraId="4C4564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（1）计日工结算价款 = ∑（确认人工工日数量 × 人工单价）+ ∑（确认材料数量 × 材料单价）+ ∑（确认机械台班数量 × 机械台班单价）</w:t>
      </w:r>
    </w:p>
    <w:p w14:paraId="77A107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（2）增值税按国家现行税率另行计算，并入相应工程价款支付。</w:t>
      </w:r>
    </w:p>
    <w:p w14:paraId="07C5BD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（3）经确认的当期计日工费用，随工程进度款同期支付；竣工结算时，按全部有效签证文件汇总计入竣工结算总价。</w:t>
      </w:r>
    </w:p>
    <w:p w14:paraId="6888C8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2.12.5</w:t>
      </w:r>
      <w:r>
        <w:rPr>
          <w:rFonts w:hint="default" w:ascii="宋体" w:hAnsi="宋体" w:eastAsia="宋体" w:cs="宋体"/>
          <w:b w:val="0"/>
          <w:bCs/>
          <w:snapToGrid w:val="0"/>
          <w:color w:val="auto"/>
          <w:kern w:val="0"/>
          <w:sz w:val="24"/>
          <w:szCs w:val="24"/>
          <w:highlight w:val="none"/>
          <w:lang w:val="en-US" w:eastAsia="zh-CN"/>
        </w:rPr>
        <w:t xml:space="preserve"> 其他约定</w:t>
      </w:r>
    </w:p>
    <w:p w14:paraId="62F1C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（1）超出指令范围、擅自施工、重复计量及无有效签证的计日工工作量，发包人不予计量和支付。</w:t>
      </w:r>
    </w:p>
    <w:p w14:paraId="4617BF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 w:val="0"/>
          <w:bCs/>
          <w:snapToGrid w:val="0"/>
          <w:color w:val="auto"/>
          <w:kern w:val="0"/>
          <w:sz w:val="24"/>
          <w:szCs w:val="24"/>
          <w:highlight w:val="none"/>
        </w:rPr>
      </w:pPr>
      <w:r>
        <w:rPr>
          <w:rFonts w:hint="default" w:ascii="宋体" w:hAnsi="宋体" w:eastAsia="宋体" w:cs="宋体"/>
          <w:b w:val="0"/>
          <w:bCs/>
          <w:snapToGrid w:val="0"/>
          <w:color w:val="auto"/>
          <w:kern w:val="0"/>
          <w:sz w:val="24"/>
          <w:szCs w:val="24"/>
          <w:highlight w:val="none"/>
          <w:lang w:val="en-US" w:eastAsia="zh-CN"/>
        </w:rPr>
        <w:t>（2）计日工相关计量、计价争议，按本合同争议解决条款执行。</w:t>
      </w:r>
    </w:p>
    <w:p w14:paraId="6FABE39C">
      <w:pPr>
        <w:pStyle w:val="3"/>
        <w:wordWrap w:val="0"/>
        <w:autoSpaceDE/>
        <w:autoSpaceDN/>
        <w:snapToGrid w:val="0"/>
        <w:spacing w:before="120" w:beforeLines="50" w:line="360" w:lineRule="auto"/>
        <w:jc w:val="both"/>
        <w:rPr>
          <w:rFonts w:hint="eastAsia" w:ascii="宋体" w:hAnsi="宋体" w:eastAsia="宋体" w:cs="宋体"/>
          <w:b/>
          <w:snapToGrid w:val="0"/>
          <w:color w:val="000000"/>
          <w:sz w:val="24"/>
          <w:szCs w:val="24"/>
          <w:highlight w:val="none"/>
        </w:rPr>
      </w:pPr>
      <w:bookmarkStart w:id="169" w:name="_Toc11883"/>
      <w:bookmarkStart w:id="170" w:name="_Toc10161"/>
      <w:bookmarkStart w:id="171" w:name="_Toc6483"/>
      <w:bookmarkStart w:id="172" w:name="_Toc231"/>
      <w:r>
        <w:rPr>
          <w:rFonts w:hint="eastAsia" w:ascii="宋体" w:hAnsi="宋体" w:eastAsia="宋体" w:cs="宋体"/>
          <w:b/>
          <w:snapToGrid w:val="0"/>
          <w:color w:val="000000"/>
          <w:sz w:val="24"/>
          <w:szCs w:val="24"/>
          <w:highlight w:val="none"/>
        </w:rPr>
        <w:t>3．工程付款办法</w:t>
      </w:r>
      <w:bookmarkEnd w:id="169"/>
      <w:bookmarkEnd w:id="170"/>
      <w:bookmarkEnd w:id="171"/>
      <w:bookmarkEnd w:id="172"/>
    </w:p>
    <w:p w14:paraId="75FED63A">
      <w:pPr>
        <w:wordWrap w:val="0"/>
        <w:adjustRightInd w:val="0"/>
        <w:snapToGrid w:val="0"/>
        <w:spacing w:line="360" w:lineRule="auto"/>
        <w:ind w:firstLine="560"/>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lang w:bidi="ar"/>
        </w:rPr>
        <w:t>3.1</w:t>
      </w:r>
      <w:r>
        <w:rPr>
          <w:rFonts w:hint="eastAsia" w:ascii="宋体" w:hAnsi="宋体" w:eastAsia="宋体" w:cs="宋体"/>
          <w:color w:val="000000"/>
          <w:kern w:val="0"/>
          <w:sz w:val="24"/>
          <w:szCs w:val="24"/>
          <w:highlight w:val="none"/>
          <w:lang w:bidi="ar"/>
        </w:rPr>
        <w:t xml:space="preserve"> 本招标项目</w:t>
      </w:r>
      <w:r>
        <w:rPr>
          <w:rFonts w:hint="eastAsia" w:ascii="宋体" w:hAnsi="宋体" w:eastAsia="宋体" w:cs="宋体"/>
          <w:color w:val="000000"/>
          <w:kern w:val="0"/>
          <w:sz w:val="24"/>
          <w:szCs w:val="24"/>
          <w:highlight w:val="none"/>
          <w:u w:val="single"/>
          <w:lang w:bidi="ar"/>
        </w:rPr>
        <w:t xml:space="preserve"> 支付 </w:t>
      </w:r>
      <w:r>
        <w:rPr>
          <w:rFonts w:hint="eastAsia" w:ascii="宋体" w:hAnsi="宋体" w:eastAsia="宋体" w:cs="宋体"/>
          <w:color w:val="000000"/>
          <w:kern w:val="0"/>
          <w:sz w:val="24"/>
          <w:szCs w:val="24"/>
          <w:highlight w:val="none"/>
          <w:lang w:bidi="ar"/>
        </w:rPr>
        <w:t>施工预付款。</w:t>
      </w:r>
    </w:p>
    <w:p w14:paraId="1BF6A783">
      <w:pPr>
        <w:wordWrap w:val="0"/>
        <w:adjustRightInd w:val="0"/>
        <w:snapToGrid w:val="0"/>
        <w:spacing w:line="360" w:lineRule="auto"/>
        <w:ind w:firstLine="482" w:firstLineChars="200"/>
        <w:rPr>
          <w:rFonts w:hint="eastAsia" w:ascii="宋体" w:hAnsi="宋体" w:eastAsia="宋体" w:cs="宋体"/>
          <w:color w:val="000000"/>
          <w:kern w:val="0"/>
          <w:sz w:val="24"/>
          <w:szCs w:val="24"/>
          <w:highlight w:val="none"/>
        </w:rPr>
      </w:pPr>
      <w:r>
        <w:rPr>
          <w:rFonts w:hint="eastAsia" w:ascii="宋体" w:hAnsi="宋体" w:eastAsia="宋体" w:cs="宋体"/>
          <w:b/>
          <w:bCs/>
          <w:color w:val="000000"/>
          <w:kern w:val="0"/>
          <w:sz w:val="24"/>
          <w:szCs w:val="24"/>
          <w:highlight w:val="none"/>
          <w:lang w:bidi="ar"/>
        </w:rPr>
        <w:t>3.2</w:t>
      </w:r>
      <w:r>
        <w:rPr>
          <w:rFonts w:hint="eastAsia" w:ascii="宋体" w:hAnsi="宋体" w:eastAsia="宋体" w:cs="宋体"/>
          <w:color w:val="000000"/>
          <w:kern w:val="0"/>
          <w:sz w:val="24"/>
          <w:szCs w:val="24"/>
          <w:highlight w:val="none"/>
          <w:lang w:bidi="ar"/>
        </w:rPr>
        <w:t xml:space="preserve"> 施工预付款必须专用于合同工程，并按以下原则支付和抵扣：</w:t>
      </w:r>
    </w:p>
    <w:p w14:paraId="0AF97C9D">
      <w:pPr>
        <w:wordWrap w:val="0"/>
        <w:adjustRightInd w:val="0"/>
        <w:snapToGrid w:val="0"/>
        <w:spacing w:line="360" w:lineRule="auto"/>
        <w:ind w:firstLine="482" w:firstLineChars="200"/>
        <w:rPr>
          <w:rFonts w:ascii="Times New Roman"/>
          <w:snapToGrid w:val="0"/>
          <w:color w:val="auto"/>
          <w:kern w:val="0"/>
          <w:highlight w:val="none"/>
        </w:rPr>
      </w:pPr>
      <w:r>
        <w:rPr>
          <w:rFonts w:hint="eastAsia" w:ascii="宋体" w:hAnsi="宋体" w:eastAsia="宋体" w:cs="宋体"/>
          <w:b/>
          <w:bCs/>
          <w:color w:val="000000"/>
          <w:kern w:val="0"/>
          <w:sz w:val="24"/>
          <w:szCs w:val="24"/>
          <w:highlight w:val="none"/>
          <w:lang w:bidi="ar"/>
        </w:rPr>
        <w:t>3.2.1</w:t>
      </w:r>
      <w:r>
        <w:rPr>
          <w:rFonts w:hint="eastAsia" w:ascii="宋体" w:hAnsi="宋体" w:eastAsia="宋体" w:cs="宋体"/>
          <w:color w:val="000000"/>
          <w:kern w:val="0"/>
          <w:sz w:val="24"/>
          <w:szCs w:val="24"/>
          <w:highlight w:val="none"/>
          <w:lang w:bidi="ar"/>
        </w:rPr>
        <w:t xml:space="preserve"> 施工预付款支付比例为：按施工合同价</w:t>
      </w:r>
      <w:r>
        <w:rPr>
          <w:rFonts w:hint="eastAsia" w:ascii="宋体" w:hAnsi="宋体" w:eastAsia="宋体" w:cs="宋体"/>
          <w:color w:val="000000"/>
          <w:kern w:val="0"/>
          <w:sz w:val="24"/>
          <w:szCs w:val="24"/>
          <w:highlight w:val="none"/>
          <w:lang w:eastAsia="zh-CN" w:bidi="ar"/>
        </w:rPr>
        <w:t>（暂列金</w:t>
      </w:r>
      <w:r>
        <w:rPr>
          <w:rFonts w:hint="eastAsia" w:ascii="宋体" w:hAnsi="宋体" w:eastAsia="宋体" w:cs="宋体"/>
          <w:color w:val="000000"/>
          <w:kern w:val="0"/>
          <w:sz w:val="24"/>
          <w:szCs w:val="24"/>
          <w:highlight w:val="none"/>
          <w:lang w:val="en-US" w:eastAsia="zh-CN" w:bidi="ar"/>
        </w:rPr>
        <w:t>额、专业工程暂估价、安全生产措施费除外）</w:t>
      </w:r>
      <w:r>
        <w:rPr>
          <w:rFonts w:hint="eastAsia" w:ascii="宋体" w:hAnsi="宋体" w:eastAsia="宋体" w:cs="宋体"/>
          <w:color w:val="000000"/>
          <w:kern w:val="0"/>
          <w:sz w:val="24"/>
          <w:szCs w:val="24"/>
          <w:highlight w:val="none"/>
          <w:lang w:bidi="ar"/>
        </w:rPr>
        <w:t>的</w:t>
      </w:r>
      <w:r>
        <w:rPr>
          <w:rFonts w:hint="eastAsia" w:ascii="宋体" w:hAnsi="宋体" w:eastAsia="宋体" w:cs="宋体"/>
          <w:color w:val="000000"/>
          <w:kern w:val="0"/>
          <w:sz w:val="24"/>
          <w:szCs w:val="24"/>
          <w:highlight w:val="none"/>
          <w:u w:val="single"/>
          <w:lang w:bidi="ar"/>
        </w:rPr>
        <w:t xml:space="preserve"> </w:t>
      </w:r>
      <w:r>
        <w:rPr>
          <w:rFonts w:hint="eastAsia" w:ascii="宋体" w:hAnsi="宋体" w:eastAsia="宋体" w:cs="宋体"/>
          <w:color w:val="000000"/>
          <w:kern w:val="0"/>
          <w:sz w:val="24"/>
          <w:szCs w:val="24"/>
          <w:highlight w:val="none"/>
          <w:u w:val="single"/>
          <w:lang w:val="en-US" w:eastAsia="zh-CN" w:bidi="ar"/>
        </w:rPr>
        <w:t>3</w:t>
      </w:r>
      <w:r>
        <w:rPr>
          <w:rFonts w:hint="eastAsia" w:ascii="宋体" w:hAnsi="宋体" w:eastAsia="宋体" w:cs="宋体"/>
          <w:color w:val="000000"/>
          <w:kern w:val="0"/>
          <w:sz w:val="24"/>
          <w:szCs w:val="24"/>
          <w:highlight w:val="none"/>
          <w:u w:val="single"/>
          <w:lang w:bidi="ar"/>
        </w:rPr>
        <w:t xml:space="preserve">0% </w:t>
      </w:r>
      <w:r>
        <w:rPr>
          <w:rFonts w:hint="eastAsia" w:ascii="宋体" w:hAnsi="宋体" w:eastAsia="宋体" w:cs="宋体"/>
          <w:color w:val="000000"/>
          <w:kern w:val="0"/>
          <w:sz w:val="24"/>
          <w:szCs w:val="24"/>
          <w:highlight w:val="none"/>
          <w:lang w:bidi="ar"/>
        </w:rPr>
        <w:t>支付</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val="en-US" w:eastAsia="zh-CN" w:bidi="ar"/>
        </w:rPr>
        <w:t>施工预付款中包含工人工资预付款，其中工人工资预付款比例为施工预付款的30%。</w:t>
      </w:r>
    </w:p>
    <w:p w14:paraId="24AC648C">
      <w:pPr>
        <w:wordWrap w:val="0"/>
        <w:adjustRightInd w:val="0"/>
        <w:snapToGrid w:val="0"/>
        <w:spacing w:line="360" w:lineRule="auto"/>
        <w:ind w:firstLine="480" w:firstLineChars="200"/>
        <w:rPr>
          <w:rFonts w:hint="default" w:ascii="宋体" w:hAnsi="宋体" w:eastAsia="宋体" w:cs="宋体"/>
          <w:color w:val="000000"/>
          <w:kern w:val="0"/>
          <w:sz w:val="24"/>
          <w:szCs w:val="24"/>
          <w:highlight w:val="none"/>
          <w:lang w:val="en-US" w:eastAsia="zh-CN" w:bidi="ar"/>
        </w:rPr>
      </w:pPr>
    </w:p>
    <w:p w14:paraId="411269A9">
      <w:pPr>
        <w:pStyle w:val="4"/>
        <w:rPr>
          <w:rFonts w:hint="eastAsia"/>
          <w:highlight w:val="none"/>
          <w:lang w:eastAsia="zh-CN"/>
        </w:rPr>
      </w:pPr>
    </w:p>
    <w:p w14:paraId="0B2CBAE2">
      <w:pPr>
        <w:wordWrap w:val="0"/>
        <w:adjustRightInd w:val="0"/>
        <w:snapToGrid w:val="0"/>
        <w:spacing w:line="360" w:lineRule="auto"/>
        <w:ind w:firstLine="482" w:firstLineChars="200"/>
        <w:rPr>
          <w:rFonts w:hint="eastAsia" w:ascii="宋体" w:hAnsi="宋体" w:eastAsia="宋体" w:cs="宋体"/>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3.2.2</w:t>
      </w:r>
      <w:r>
        <w:rPr>
          <w:rFonts w:hint="eastAsia" w:ascii="宋体" w:hAnsi="宋体" w:eastAsia="宋体" w:cs="宋体"/>
          <w:color w:val="000000"/>
          <w:kern w:val="0"/>
          <w:sz w:val="24"/>
          <w:szCs w:val="24"/>
          <w:highlight w:val="none"/>
          <w:lang w:bidi="ar"/>
        </w:rPr>
        <w:t xml:space="preserve"> 本招标项目</w:t>
      </w:r>
      <w:r>
        <w:rPr>
          <w:rFonts w:hint="eastAsia" w:ascii="宋体" w:hAnsi="宋体" w:eastAsia="宋体" w:cs="宋体"/>
          <w:color w:val="000000"/>
          <w:kern w:val="0"/>
          <w:sz w:val="24"/>
          <w:szCs w:val="24"/>
          <w:highlight w:val="none"/>
          <w:u w:val="single"/>
          <w:lang w:bidi="ar"/>
        </w:rPr>
        <w:t xml:space="preserve"> 要求 </w:t>
      </w:r>
      <w:r>
        <w:rPr>
          <w:rFonts w:hint="eastAsia" w:ascii="宋体" w:hAnsi="宋体" w:eastAsia="宋体" w:cs="宋体"/>
          <w:color w:val="000000"/>
          <w:kern w:val="0"/>
          <w:sz w:val="24"/>
          <w:szCs w:val="24"/>
          <w:highlight w:val="none"/>
          <w:lang w:bidi="ar"/>
        </w:rPr>
        <w:t>承包人提供与预付款等额的预付款保函。</w:t>
      </w:r>
    </w:p>
    <w:p w14:paraId="18BB7DCF">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color w:val="000000"/>
          <w:kern w:val="0"/>
          <w:sz w:val="24"/>
          <w:szCs w:val="24"/>
          <w:highlight w:val="none"/>
          <w:lang w:bidi="ar"/>
        </w:rPr>
        <w:t>3.2.3</w:t>
      </w:r>
      <w:r>
        <w:rPr>
          <w:rFonts w:hint="eastAsia" w:ascii="宋体" w:hAnsi="宋体" w:eastAsia="宋体" w:cs="宋体"/>
          <w:color w:val="000000"/>
          <w:kern w:val="0"/>
          <w:sz w:val="24"/>
          <w:szCs w:val="24"/>
          <w:highlight w:val="none"/>
          <w:lang w:bidi="ar"/>
        </w:rPr>
        <w:t xml:space="preserve"> </w:t>
      </w:r>
      <w:r>
        <w:rPr>
          <w:rFonts w:hint="eastAsia" w:ascii="宋体" w:hAnsi="宋体" w:eastAsia="宋体" w:cs="宋体"/>
          <w:snapToGrid w:val="0"/>
          <w:color w:val="000000"/>
          <w:kern w:val="0"/>
          <w:sz w:val="24"/>
          <w:szCs w:val="24"/>
          <w:highlight w:val="none"/>
        </w:rPr>
        <w:t>承包人应在签订合同后，</w:t>
      </w:r>
      <w:r>
        <w:rPr>
          <w:rFonts w:hint="eastAsia" w:ascii="宋体" w:hAnsi="宋体" w:eastAsia="宋体" w:cs="宋体"/>
          <w:b/>
          <w:snapToGrid w:val="0"/>
          <w:color w:val="000000"/>
          <w:sz w:val="24"/>
          <w:szCs w:val="24"/>
          <w:highlight w:val="none"/>
        </w:rPr>
        <w:t>在提供符合要求的预付款保函或预付款保险及</w:t>
      </w:r>
      <w:r>
        <w:rPr>
          <w:rFonts w:hint="eastAsia" w:ascii="宋体" w:hAnsi="宋体" w:eastAsia="宋体" w:cs="宋体"/>
          <w:snapToGrid w:val="0"/>
          <w:color w:val="000000"/>
          <w:kern w:val="0"/>
          <w:sz w:val="24"/>
          <w:szCs w:val="24"/>
          <w:highlight w:val="none"/>
        </w:rPr>
        <w:t>在具备施工条件的前提下，向发包人提交预付款支付申请。发包人应对在收到支付申请的7天内进行核实后向承包人发出预付款支付证书，并在签发支付证书后的7天内向承包人支付预付款。凡未签订</w:t>
      </w:r>
      <w:r>
        <w:rPr>
          <w:rFonts w:hint="eastAsia" w:ascii="宋体" w:hAnsi="宋体" w:eastAsia="宋体" w:cs="宋体"/>
          <w:snapToGrid w:val="0"/>
          <w:color w:val="auto"/>
          <w:kern w:val="0"/>
          <w:sz w:val="24"/>
          <w:szCs w:val="24"/>
          <w:highlight w:val="none"/>
        </w:rPr>
        <w:t>合同或不具备施工条件的工程，发包人不得预付工程款。</w:t>
      </w:r>
    </w:p>
    <w:p w14:paraId="0C954735">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color w:val="auto"/>
          <w:kern w:val="0"/>
          <w:sz w:val="24"/>
          <w:szCs w:val="24"/>
          <w:highlight w:val="none"/>
          <w:lang w:bidi="ar"/>
        </w:rPr>
        <w:t>3.2.4</w:t>
      </w:r>
      <w:r>
        <w:rPr>
          <w:rFonts w:hint="eastAsia" w:ascii="宋体" w:hAnsi="宋体" w:eastAsia="宋体" w:cs="宋体"/>
          <w:color w:val="auto"/>
          <w:kern w:val="0"/>
          <w:sz w:val="24"/>
          <w:szCs w:val="24"/>
          <w:highlight w:val="none"/>
          <w:lang w:bidi="ar"/>
        </w:rPr>
        <w:t xml:space="preserve"> </w:t>
      </w:r>
      <w:r>
        <w:rPr>
          <w:rFonts w:hint="eastAsia" w:ascii="宋体" w:hAnsi="宋体" w:eastAsia="宋体" w:cs="宋体"/>
          <w:snapToGrid w:val="0"/>
          <w:color w:val="auto"/>
          <w:kern w:val="0"/>
          <w:sz w:val="24"/>
          <w:szCs w:val="24"/>
          <w:highlight w:val="none"/>
        </w:rPr>
        <w:t xml:space="preserve"> 发包人没有按时支付预付款的，承包人可催告发包人支付；发包人</w:t>
      </w:r>
      <w:r>
        <w:rPr>
          <w:rFonts w:hint="eastAsia" w:ascii="宋体" w:hAnsi="宋体" w:eastAsia="宋体" w:cs="宋体"/>
          <w:snapToGrid w:val="0"/>
          <w:color w:val="auto"/>
          <w:kern w:val="0"/>
          <w:sz w:val="24"/>
          <w:szCs w:val="24"/>
          <w:highlight w:val="none"/>
          <w:lang w:eastAsia="zh-CN"/>
        </w:rPr>
        <w:t>应配合做好支付工作，但承包人不得以此为理由暂停施工</w:t>
      </w:r>
      <w:r>
        <w:rPr>
          <w:rFonts w:hint="eastAsia" w:ascii="宋体" w:hAnsi="宋体" w:eastAsia="宋体" w:cs="宋体"/>
          <w:snapToGrid w:val="0"/>
          <w:color w:val="auto"/>
          <w:kern w:val="0"/>
          <w:sz w:val="24"/>
          <w:szCs w:val="24"/>
          <w:highlight w:val="none"/>
        </w:rPr>
        <w:t>。</w:t>
      </w:r>
    </w:p>
    <w:p w14:paraId="42E4EB26">
      <w:pPr>
        <w:wordWrap w:val="0"/>
        <w:adjustRightInd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bidi="ar"/>
        </w:rPr>
        <w:t>3.2.5</w:t>
      </w:r>
      <w:r>
        <w:rPr>
          <w:rFonts w:hint="eastAsia" w:ascii="宋体" w:hAnsi="宋体" w:eastAsia="宋体" w:cs="宋体"/>
          <w:color w:val="auto"/>
          <w:kern w:val="0"/>
          <w:sz w:val="24"/>
          <w:szCs w:val="24"/>
          <w:highlight w:val="none"/>
          <w:lang w:bidi="ar"/>
        </w:rPr>
        <w:t xml:space="preserve"> 预付款</w:t>
      </w:r>
      <w:r>
        <w:rPr>
          <w:rFonts w:hint="eastAsia" w:ascii="宋体" w:hAnsi="宋体" w:eastAsia="宋体" w:cs="宋体"/>
          <w:color w:val="auto"/>
          <w:kern w:val="0"/>
          <w:sz w:val="24"/>
          <w:szCs w:val="24"/>
          <w:highlight w:val="none"/>
          <w:u w:val="single"/>
          <w:lang w:eastAsia="zh-CN" w:bidi="ar"/>
        </w:rPr>
        <w:t>应按当期工程进度的</w:t>
      </w:r>
      <w:r>
        <w:rPr>
          <w:rFonts w:hint="eastAsia" w:ascii="宋体" w:hAnsi="宋体" w:eastAsia="宋体" w:cs="宋体"/>
          <w:color w:val="auto"/>
          <w:kern w:val="0"/>
          <w:sz w:val="24"/>
          <w:szCs w:val="24"/>
          <w:highlight w:val="none"/>
          <w:u w:val="single"/>
          <w:lang w:val="en-US" w:eastAsia="zh-CN" w:bidi="ar"/>
        </w:rPr>
        <w:t>50%进行同等比例</w:t>
      </w:r>
      <w:r>
        <w:rPr>
          <w:rFonts w:hint="eastAsia" w:ascii="宋体" w:hAnsi="宋体" w:eastAsia="宋体" w:cs="宋体"/>
          <w:color w:val="auto"/>
          <w:kern w:val="0"/>
          <w:sz w:val="24"/>
          <w:szCs w:val="24"/>
          <w:highlight w:val="none"/>
          <w:u w:val="single"/>
          <w:lang w:eastAsia="zh-CN" w:bidi="ar"/>
        </w:rPr>
        <w:t>扣回</w:t>
      </w:r>
      <w:r>
        <w:rPr>
          <w:rFonts w:hint="eastAsia" w:ascii="宋体" w:hAnsi="宋体" w:eastAsia="宋体" w:cs="宋体"/>
          <w:color w:val="auto"/>
          <w:kern w:val="0"/>
          <w:sz w:val="24"/>
          <w:szCs w:val="24"/>
          <w:highlight w:val="none"/>
          <w:lang w:val="en-US" w:eastAsia="zh-CN" w:bidi="ar"/>
        </w:rPr>
        <w:t>，直到扣回的金额达到合同约定的预付款金额为止</w:t>
      </w:r>
      <w:r>
        <w:rPr>
          <w:rFonts w:hint="eastAsia" w:ascii="宋体" w:hAnsi="宋体" w:eastAsia="宋体" w:cs="宋体"/>
          <w:snapToGrid w:val="0"/>
          <w:color w:val="auto"/>
          <w:kern w:val="0"/>
          <w:sz w:val="24"/>
          <w:szCs w:val="24"/>
          <w:highlight w:val="none"/>
        </w:rPr>
        <w:t>。</w:t>
      </w:r>
    </w:p>
    <w:p w14:paraId="5F3362F9">
      <w:pPr>
        <w:wordWrap w:val="0"/>
        <w:adjustRightInd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bidi="ar"/>
        </w:rPr>
        <w:t>3.3</w:t>
      </w:r>
      <w:r>
        <w:rPr>
          <w:rFonts w:hint="eastAsia" w:ascii="宋体" w:hAnsi="宋体" w:eastAsia="宋体" w:cs="宋体"/>
          <w:color w:val="auto"/>
          <w:kern w:val="0"/>
          <w:sz w:val="24"/>
          <w:szCs w:val="24"/>
          <w:highlight w:val="none"/>
          <w:lang w:bidi="ar"/>
        </w:rPr>
        <w:t xml:space="preserve"> 施工过程中按</w:t>
      </w:r>
      <w:r>
        <w:rPr>
          <w:rFonts w:hint="eastAsia" w:ascii="宋体" w:hAnsi="宋体" w:eastAsia="宋体" w:cs="宋体"/>
          <w:color w:val="auto"/>
          <w:kern w:val="0"/>
          <w:sz w:val="24"/>
          <w:szCs w:val="24"/>
          <w:highlight w:val="none"/>
          <w:lang w:eastAsia="zh-CN" w:bidi="ar"/>
        </w:rPr>
        <w:t>60%、100%工程总进度</w:t>
      </w:r>
      <w:r>
        <w:rPr>
          <w:rFonts w:hint="eastAsia" w:ascii="宋体" w:hAnsi="宋体" w:eastAsia="宋体" w:cs="宋体"/>
          <w:color w:val="auto"/>
          <w:kern w:val="0"/>
          <w:sz w:val="24"/>
          <w:szCs w:val="24"/>
          <w:highlight w:val="none"/>
          <w:lang w:bidi="ar"/>
        </w:rPr>
        <w:t>支付工程进度款：承包人按</w:t>
      </w:r>
      <w:r>
        <w:rPr>
          <w:rFonts w:hint="eastAsia" w:ascii="宋体" w:hAnsi="宋体" w:eastAsia="宋体" w:cs="宋体"/>
          <w:color w:val="auto"/>
          <w:kern w:val="0"/>
          <w:sz w:val="24"/>
          <w:szCs w:val="24"/>
          <w:highlight w:val="none"/>
          <w:lang w:val="en-US" w:eastAsia="zh-CN" w:bidi="ar"/>
        </w:rPr>
        <w:t>60%和100%的</w:t>
      </w:r>
      <w:r>
        <w:rPr>
          <w:rFonts w:hint="eastAsia" w:ascii="宋体" w:hAnsi="宋体" w:eastAsia="宋体" w:cs="宋体"/>
          <w:color w:val="auto"/>
          <w:kern w:val="0"/>
          <w:sz w:val="24"/>
          <w:szCs w:val="24"/>
          <w:highlight w:val="none"/>
          <w:lang w:bidi="ar"/>
        </w:rPr>
        <w:t>工程实际完成工程量（含变更及增加工程）申报，承包人必须将《已完成工程量报表》和《工程付款申请书》报监理单位。经监理单位审核、发包人审定后的工程进度款（指已经按照合同约定，扣除该支付期内因承包人违约而应扣除的管理费），</w:t>
      </w:r>
      <w:r>
        <w:rPr>
          <w:rFonts w:hint="eastAsia" w:ascii="宋体" w:hAnsi="宋体" w:eastAsia="宋体" w:cs="宋体"/>
          <w:color w:val="auto"/>
          <w:kern w:val="0"/>
          <w:sz w:val="24"/>
          <w:szCs w:val="24"/>
          <w:highlight w:val="none"/>
          <w:lang w:eastAsia="zh-CN" w:bidi="ar"/>
        </w:rPr>
        <w:t>提交给发包人申请支付，累计支付金额不超过合同总价的</w:t>
      </w:r>
      <w:r>
        <w:rPr>
          <w:rFonts w:hint="eastAsia" w:ascii="宋体" w:hAnsi="宋体" w:eastAsia="宋体" w:cs="宋体"/>
          <w:color w:val="auto"/>
          <w:kern w:val="0"/>
          <w:sz w:val="24"/>
          <w:szCs w:val="24"/>
          <w:highlight w:val="none"/>
          <w:lang w:val="en-US" w:eastAsia="zh-CN" w:bidi="ar"/>
        </w:rPr>
        <w:t>80%</w:t>
      </w:r>
      <w:r>
        <w:rPr>
          <w:rFonts w:hint="eastAsia" w:ascii="宋体" w:hAnsi="宋体" w:eastAsia="宋体" w:cs="宋体"/>
          <w:color w:val="auto"/>
          <w:kern w:val="0"/>
          <w:sz w:val="24"/>
          <w:szCs w:val="24"/>
          <w:highlight w:val="none"/>
          <w:lang w:bidi="ar"/>
        </w:rPr>
        <w:t>。</w:t>
      </w:r>
    </w:p>
    <w:p w14:paraId="3A56A00B">
      <w:pPr>
        <w:wordWrap w:val="0"/>
        <w:adjustRightInd w:val="0"/>
        <w:snapToGrid w:val="0"/>
        <w:spacing w:line="360" w:lineRule="auto"/>
        <w:ind w:firstLine="482" w:firstLineChars="200"/>
        <w:rPr>
          <w:rFonts w:hint="eastAsia" w:ascii="宋体" w:hAnsi="宋体" w:eastAsia="宋体" w:cs="宋体"/>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3.4</w:t>
      </w:r>
      <w:r>
        <w:rPr>
          <w:rFonts w:hint="eastAsia" w:ascii="宋体" w:hAnsi="宋体" w:eastAsia="宋体" w:cs="宋体"/>
          <w:color w:val="auto"/>
          <w:kern w:val="0"/>
          <w:sz w:val="24"/>
          <w:szCs w:val="24"/>
          <w:highlight w:val="none"/>
          <w:lang w:bidi="ar"/>
        </w:rPr>
        <w:t xml:space="preserve"> 工程进度款按工程实际完成工程量</w:t>
      </w:r>
      <w:r>
        <w:rPr>
          <w:rFonts w:hint="eastAsia" w:ascii="宋体" w:hAnsi="宋体" w:eastAsia="宋体" w:cs="宋体"/>
          <w:color w:val="auto"/>
          <w:kern w:val="0"/>
          <w:sz w:val="24"/>
          <w:szCs w:val="24"/>
          <w:highlight w:val="none"/>
          <w:lang w:eastAsia="zh-CN" w:bidi="ar"/>
        </w:rPr>
        <w:t>并经第三方造价咨询单位审核后进行</w:t>
      </w:r>
      <w:r>
        <w:rPr>
          <w:rFonts w:hint="eastAsia" w:ascii="宋体" w:hAnsi="宋体" w:eastAsia="宋体" w:cs="宋体"/>
          <w:color w:val="auto"/>
          <w:kern w:val="0"/>
          <w:sz w:val="24"/>
          <w:szCs w:val="24"/>
          <w:highlight w:val="none"/>
          <w:lang w:bidi="ar"/>
        </w:rPr>
        <w:t>支付</w:t>
      </w:r>
      <w:r>
        <w:rPr>
          <w:rFonts w:hint="eastAsia" w:ascii="宋体" w:hAnsi="宋体" w:eastAsia="宋体" w:cs="宋体"/>
          <w:snapToGrid w:val="0"/>
          <w:color w:val="auto"/>
          <w:kern w:val="0"/>
          <w:sz w:val="24"/>
          <w:szCs w:val="24"/>
          <w:highlight w:val="none"/>
        </w:rPr>
        <w:t>，</w:t>
      </w:r>
      <w:r>
        <w:rPr>
          <w:rFonts w:hint="default" w:ascii="宋体" w:hAnsi="宋体" w:eastAsia="宋体" w:cs="宋体"/>
          <w:color w:val="auto"/>
          <w:kern w:val="0"/>
          <w:sz w:val="24"/>
          <w:szCs w:val="24"/>
          <w:highlight w:val="none"/>
          <w:lang w:val="en-US" w:eastAsia="zh-CN" w:bidi="ar"/>
        </w:rPr>
        <w:t>每</w:t>
      </w:r>
      <w:r>
        <w:rPr>
          <w:rFonts w:hint="eastAsia" w:ascii="宋体" w:hAnsi="宋体" w:eastAsia="宋体" w:cs="宋体"/>
          <w:color w:val="auto"/>
          <w:kern w:val="0"/>
          <w:sz w:val="24"/>
          <w:szCs w:val="24"/>
          <w:highlight w:val="none"/>
          <w:lang w:val="en-US" w:eastAsia="zh-CN" w:bidi="ar"/>
        </w:rPr>
        <w:t>次进度</w:t>
      </w:r>
      <w:r>
        <w:rPr>
          <w:rFonts w:hint="default" w:ascii="宋体" w:hAnsi="宋体" w:eastAsia="宋体" w:cs="宋体"/>
          <w:color w:val="auto"/>
          <w:kern w:val="0"/>
          <w:sz w:val="24"/>
          <w:szCs w:val="24"/>
          <w:highlight w:val="none"/>
          <w:lang w:val="en-US" w:eastAsia="zh-CN" w:bidi="ar"/>
        </w:rPr>
        <w:t>的工程进度款按应付金额的 80%支付,工程进度款中的作业工人工资款项暂为该月工程进度款的 30%，具体工人工资拨付金额以该月实际审核确认的为准，由发包人将该月审核确认后的作业工人工资款项单独足额拨付到承包人的工资专户</w:t>
      </w:r>
      <w:r>
        <w:rPr>
          <w:rFonts w:hint="eastAsia" w:ascii="宋体" w:hAnsi="宋体" w:eastAsia="宋体" w:cs="宋体"/>
          <w:color w:val="auto"/>
          <w:kern w:val="0"/>
          <w:sz w:val="24"/>
          <w:szCs w:val="24"/>
          <w:highlight w:val="none"/>
          <w:lang w:bidi="ar"/>
        </w:rPr>
        <w:t>。</w:t>
      </w:r>
    </w:p>
    <w:p w14:paraId="005381B5">
      <w:pPr>
        <w:wordWrap w:val="0"/>
        <w:adjustRightInd w:val="0"/>
        <w:snapToGrid w:val="0"/>
        <w:spacing w:line="360" w:lineRule="auto"/>
        <w:ind w:firstLine="482" w:firstLineChars="200"/>
        <w:rPr>
          <w:rFonts w:hint="eastAsia" w:ascii="宋体" w:hAnsi="宋体" w:eastAsia="宋体" w:cs="宋体"/>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3.5</w:t>
      </w:r>
      <w:r>
        <w:rPr>
          <w:rFonts w:hint="eastAsia" w:ascii="宋体" w:hAnsi="宋体" w:eastAsia="宋体" w:cs="宋体"/>
          <w:color w:val="000000"/>
          <w:kern w:val="0"/>
          <w:sz w:val="24"/>
          <w:szCs w:val="24"/>
          <w:highlight w:val="none"/>
          <w:lang w:bidi="ar"/>
        </w:rPr>
        <w:t xml:space="preserve"> </w:t>
      </w:r>
      <w:r>
        <w:rPr>
          <w:rFonts w:hint="eastAsia" w:ascii="宋体" w:hAnsi="宋体" w:eastAsia="宋体" w:cs="宋体"/>
          <w:color w:val="000000"/>
          <w:kern w:val="0"/>
          <w:sz w:val="24"/>
          <w:szCs w:val="24"/>
          <w:highlight w:val="none"/>
          <w:lang w:val="en-US" w:eastAsia="zh-CN" w:bidi="ar"/>
        </w:rPr>
        <w:t>施工预付款中包含安全生产措施费预付款。措施项目费中的“安全生产措施费”拨付按照《建设工程工程量清单计价标准》（GB/T50500—2024）执行，参照《关于印发&lt;广东省建设厅建筑工程安全防护、文明施工措施费用管理办法&gt;的通知》支付。承包人应在签订合同后，在项目开工、开通建设工程安措费专用账户、购买安全生产责任保险的前提下向发包人提交安全生产措施费申请，项目预付安全生产措施费总额的 50%，其余部分应按照提前安排的原则进行分解，并与工程进度款同期支付。发承包双方在计算应付工程进度款时，不应扣回预付款安全生产措施费，在工程结算时一次性扣回。安全生产措施费必须专款专用，并由发包人单独拨付到承包人的建设工程安全生产措施费专用账户。</w:t>
      </w:r>
    </w:p>
    <w:p w14:paraId="727E4812">
      <w:pPr>
        <w:wordWrap w:val="0"/>
        <w:adjustRightInd w:val="0"/>
        <w:snapToGrid w:val="0"/>
        <w:spacing w:line="360" w:lineRule="auto"/>
        <w:ind w:firstLine="482" w:firstLineChars="200"/>
        <w:rPr>
          <w:rFonts w:hint="eastAsia" w:ascii="宋体" w:hAnsi="宋体" w:eastAsia="宋体" w:cs="宋体"/>
          <w:color w:val="000000"/>
          <w:kern w:val="0"/>
          <w:sz w:val="24"/>
          <w:szCs w:val="24"/>
          <w:highlight w:val="none"/>
        </w:rPr>
      </w:pPr>
      <w:r>
        <w:rPr>
          <w:rFonts w:hint="eastAsia" w:ascii="宋体" w:hAnsi="宋体" w:eastAsia="宋体" w:cs="宋体"/>
          <w:b/>
          <w:bCs/>
          <w:color w:val="000000"/>
          <w:kern w:val="0"/>
          <w:sz w:val="24"/>
          <w:szCs w:val="24"/>
          <w:highlight w:val="none"/>
          <w:lang w:bidi="ar"/>
        </w:rPr>
        <w:t>3.6</w:t>
      </w:r>
      <w:r>
        <w:rPr>
          <w:rFonts w:hint="eastAsia" w:ascii="宋体" w:hAnsi="宋体" w:eastAsia="宋体" w:cs="宋体"/>
          <w:color w:val="000000"/>
          <w:kern w:val="0"/>
          <w:sz w:val="24"/>
          <w:szCs w:val="24"/>
          <w:highlight w:val="none"/>
          <w:lang w:bidi="ar"/>
        </w:rPr>
        <w:t xml:space="preserve"> 变更工程造价必须经监理单位核实，并经发包人核定后方可支付。</w:t>
      </w:r>
    </w:p>
    <w:p w14:paraId="2F90C2A3">
      <w:pPr>
        <w:wordWrap w:val="0"/>
        <w:adjustRightInd w:val="0"/>
        <w:snapToGrid w:val="0"/>
        <w:spacing w:line="360" w:lineRule="auto"/>
        <w:ind w:firstLine="482" w:firstLineChars="200"/>
        <w:rPr>
          <w:rFonts w:hint="eastAsia" w:ascii="宋体" w:hAnsi="宋体" w:eastAsia="宋体" w:cs="宋体"/>
          <w:bCs/>
          <w:snapToGrid w:val="0"/>
          <w:color w:val="000000"/>
          <w:kern w:val="0"/>
          <w:sz w:val="24"/>
          <w:szCs w:val="24"/>
          <w:highlight w:val="none"/>
        </w:rPr>
      </w:pPr>
      <w:r>
        <w:rPr>
          <w:rFonts w:hint="eastAsia" w:ascii="宋体" w:hAnsi="宋体" w:eastAsia="宋体" w:cs="宋体"/>
          <w:b/>
          <w:bCs/>
          <w:color w:val="000000"/>
          <w:kern w:val="0"/>
          <w:sz w:val="24"/>
          <w:szCs w:val="24"/>
          <w:highlight w:val="none"/>
          <w:lang w:bidi="ar"/>
        </w:rPr>
        <w:t>3.7</w:t>
      </w:r>
      <w:r>
        <w:rPr>
          <w:rFonts w:hint="eastAsia" w:ascii="宋体" w:hAnsi="宋体" w:eastAsia="宋体" w:cs="宋体"/>
          <w:color w:val="000000"/>
          <w:kern w:val="0"/>
          <w:sz w:val="24"/>
          <w:szCs w:val="24"/>
          <w:highlight w:val="none"/>
          <w:lang w:bidi="ar"/>
        </w:rPr>
        <w:t xml:space="preserve"> </w:t>
      </w:r>
      <w:r>
        <w:rPr>
          <w:rFonts w:hint="eastAsia" w:ascii="宋体" w:hAnsi="宋体" w:eastAsia="宋体" w:cs="宋体"/>
          <w:b w:val="0"/>
          <w:bCs w:val="0"/>
          <w:caps w:val="0"/>
          <w:smallCaps w:val="0"/>
          <w:snapToGrid w:val="0"/>
          <w:color w:val="000000"/>
          <w:spacing w:val="0"/>
          <w:kern w:val="0"/>
          <w:sz w:val="24"/>
          <w:szCs w:val="24"/>
          <w:highlight w:val="none"/>
          <w:lang w:eastAsia="zh-CN"/>
        </w:rPr>
        <w:t>竣工验收合格后</w:t>
      </w:r>
      <w:r>
        <w:rPr>
          <w:rFonts w:hint="eastAsia" w:ascii="宋体" w:hAnsi="宋体" w:eastAsia="宋体" w:cs="宋体"/>
          <w:b w:val="0"/>
          <w:bCs w:val="0"/>
          <w:caps w:val="0"/>
          <w:smallCaps w:val="0"/>
          <w:snapToGrid w:val="0"/>
          <w:color w:val="000000"/>
          <w:spacing w:val="0"/>
          <w:kern w:val="0"/>
          <w:sz w:val="24"/>
          <w:szCs w:val="24"/>
          <w:highlight w:val="none"/>
          <w:lang w:val="en-US" w:eastAsia="zh-CN"/>
        </w:rPr>
        <w:t>，</w:t>
      </w:r>
      <w:r>
        <w:rPr>
          <w:rFonts w:hint="eastAsia" w:ascii="宋体" w:hAnsi="宋体" w:eastAsia="宋体" w:cs="宋体"/>
          <w:b w:val="0"/>
          <w:bCs w:val="0"/>
          <w:caps w:val="0"/>
          <w:smallCaps w:val="0"/>
          <w:snapToGrid w:val="0"/>
          <w:color w:val="000000"/>
          <w:spacing w:val="0"/>
          <w:kern w:val="0"/>
          <w:sz w:val="24"/>
          <w:szCs w:val="24"/>
          <w:highlight w:val="none"/>
        </w:rPr>
        <w:t>支付</w:t>
      </w:r>
      <w:r>
        <w:rPr>
          <w:rFonts w:hint="eastAsia" w:ascii="宋体" w:hAnsi="宋体" w:eastAsia="宋体" w:cs="宋体"/>
          <w:b w:val="0"/>
          <w:bCs w:val="0"/>
          <w:caps w:val="0"/>
          <w:smallCaps w:val="0"/>
          <w:snapToGrid w:val="0"/>
          <w:color w:val="000000"/>
          <w:spacing w:val="0"/>
          <w:kern w:val="0"/>
          <w:sz w:val="24"/>
          <w:szCs w:val="24"/>
          <w:highlight w:val="none"/>
          <w:lang w:eastAsia="zh-CN"/>
        </w:rPr>
        <w:t>至合同价款的</w:t>
      </w:r>
      <w:r>
        <w:rPr>
          <w:rFonts w:hint="eastAsia" w:ascii="宋体" w:hAnsi="宋体" w:eastAsia="宋体" w:cs="宋体"/>
          <w:b w:val="0"/>
          <w:bCs w:val="0"/>
          <w:caps w:val="0"/>
          <w:smallCaps w:val="0"/>
          <w:snapToGrid w:val="0"/>
          <w:color w:val="000000"/>
          <w:spacing w:val="0"/>
          <w:kern w:val="0"/>
          <w:sz w:val="24"/>
          <w:szCs w:val="24"/>
          <w:highlight w:val="none"/>
          <w:lang w:val="en-US" w:eastAsia="zh-CN"/>
        </w:rPr>
        <w:t>90</w:t>
      </w:r>
      <w:r>
        <w:rPr>
          <w:rFonts w:hint="eastAsia" w:ascii="宋体" w:hAnsi="宋体" w:eastAsia="宋体" w:cs="宋体"/>
          <w:b w:val="0"/>
          <w:bCs w:val="0"/>
          <w:caps w:val="0"/>
          <w:smallCaps w:val="0"/>
          <w:snapToGrid w:val="0"/>
          <w:color w:val="000000"/>
          <w:spacing w:val="0"/>
          <w:kern w:val="0"/>
          <w:sz w:val="24"/>
          <w:szCs w:val="24"/>
          <w:highlight w:val="none"/>
        </w:rPr>
        <w:t>%</w:t>
      </w:r>
      <w:r>
        <w:rPr>
          <w:rFonts w:hint="eastAsia" w:ascii="宋体" w:hAnsi="宋体" w:eastAsia="宋体" w:cs="宋体"/>
          <w:b w:val="0"/>
          <w:bCs w:val="0"/>
          <w:caps w:val="0"/>
          <w:smallCaps w:val="0"/>
          <w:snapToGrid w:val="0"/>
          <w:color w:val="000000"/>
          <w:spacing w:val="0"/>
          <w:kern w:val="0"/>
          <w:sz w:val="24"/>
          <w:szCs w:val="24"/>
          <w:highlight w:val="none"/>
          <w:lang w:eastAsia="zh-CN"/>
        </w:rPr>
        <w:t>（不计息）；</w:t>
      </w:r>
      <w:r>
        <w:rPr>
          <w:rFonts w:hint="eastAsia" w:ascii="宋体" w:hAnsi="宋体" w:eastAsia="宋体" w:cs="宋体"/>
          <w:b w:val="0"/>
          <w:bCs w:val="0"/>
          <w:caps w:val="0"/>
          <w:smallCaps w:val="0"/>
          <w:snapToGrid w:val="0"/>
          <w:color w:val="000000"/>
          <w:spacing w:val="0"/>
          <w:kern w:val="0"/>
          <w:sz w:val="24"/>
          <w:szCs w:val="24"/>
          <w:highlight w:val="none"/>
        </w:rPr>
        <w:t>结算审核完成后，于次月支付</w:t>
      </w:r>
      <w:r>
        <w:rPr>
          <w:rFonts w:hint="eastAsia" w:ascii="宋体" w:hAnsi="宋体" w:eastAsia="宋体" w:cs="宋体"/>
          <w:b w:val="0"/>
          <w:bCs w:val="0"/>
          <w:caps w:val="0"/>
          <w:smallCaps w:val="0"/>
          <w:snapToGrid w:val="0"/>
          <w:color w:val="000000"/>
          <w:spacing w:val="0"/>
          <w:kern w:val="0"/>
          <w:sz w:val="24"/>
          <w:szCs w:val="24"/>
          <w:highlight w:val="none"/>
          <w:lang w:eastAsia="zh-CN"/>
        </w:rPr>
        <w:t>至合同价格</w:t>
      </w:r>
      <w:r>
        <w:rPr>
          <w:rFonts w:hint="eastAsia" w:ascii="宋体" w:hAnsi="宋体" w:eastAsia="宋体" w:cs="宋体"/>
          <w:b w:val="0"/>
          <w:bCs w:val="0"/>
          <w:caps w:val="0"/>
          <w:smallCaps w:val="0"/>
          <w:snapToGrid w:val="0"/>
          <w:color w:val="000000"/>
          <w:spacing w:val="0"/>
          <w:kern w:val="0"/>
          <w:sz w:val="24"/>
          <w:szCs w:val="24"/>
          <w:highlight w:val="none"/>
        </w:rPr>
        <w:t>的97%</w:t>
      </w:r>
      <w:r>
        <w:rPr>
          <w:rFonts w:hint="eastAsia" w:ascii="宋体" w:hAnsi="宋体" w:eastAsia="宋体" w:cs="宋体"/>
          <w:b w:val="0"/>
          <w:bCs w:val="0"/>
          <w:caps w:val="0"/>
          <w:smallCaps w:val="0"/>
          <w:snapToGrid w:val="0"/>
          <w:color w:val="000000"/>
          <w:spacing w:val="0"/>
          <w:kern w:val="0"/>
          <w:sz w:val="24"/>
          <w:szCs w:val="24"/>
          <w:highlight w:val="none"/>
          <w:lang w:eastAsia="zh-CN"/>
        </w:rPr>
        <w:t>（支付时间以当地财政实际支出时间为准），</w:t>
      </w:r>
      <w:r>
        <w:rPr>
          <w:rFonts w:hint="eastAsia" w:ascii="宋体" w:hAnsi="宋体" w:eastAsia="宋体" w:cs="宋体"/>
          <w:b w:val="0"/>
          <w:bCs w:val="0"/>
          <w:caps w:val="0"/>
          <w:smallCaps w:val="0"/>
          <w:snapToGrid w:val="0"/>
          <w:color w:val="000000"/>
          <w:spacing w:val="0"/>
          <w:kern w:val="0"/>
          <w:sz w:val="24"/>
          <w:szCs w:val="24"/>
          <w:highlight w:val="none"/>
        </w:rPr>
        <w:t>剩余3%</w:t>
      </w:r>
      <w:r>
        <w:rPr>
          <w:rFonts w:hint="eastAsia" w:ascii="宋体" w:hAnsi="宋体" w:eastAsia="宋体" w:cs="宋体"/>
          <w:b w:val="0"/>
          <w:bCs w:val="0"/>
          <w:caps w:val="0"/>
          <w:smallCaps w:val="0"/>
          <w:snapToGrid w:val="0"/>
          <w:color w:val="000000"/>
          <w:spacing w:val="0"/>
          <w:kern w:val="0"/>
          <w:sz w:val="24"/>
          <w:szCs w:val="24"/>
          <w:highlight w:val="none"/>
          <w:lang w:eastAsia="zh-CN"/>
        </w:rPr>
        <w:t>转</w:t>
      </w:r>
      <w:r>
        <w:rPr>
          <w:rFonts w:hint="eastAsia" w:ascii="宋体" w:hAnsi="宋体" w:eastAsia="宋体" w:cs="宋体"/>
          <w:b w:val="0"/>
          <w:bCs w:val="0"/>
          <w:caps w:val="0"/>
          <w:smallCaps w:val="0"/>
          <w:snapToGrid w:val="0"/>
          <w:color w:val="000000"/>
          <w:spacing w:val="0"/>
          <w:kern w:val="0"/>
          <w:sz w:val="24"/>
          <w:szCs w:val="24"/>
          <w:highlight w:val="none"/>
        </w:rPr>
        <w:t>为质量保证金</w:t>
      </w:r>
      <w:r>
        <w:rPr>
          <w:rFonts w:hint="eastAsia" w:ascii="宋体" w:hAnsi="宋体" w:eastAsia="宋体" w:cs="宋体"/>
          <w:b w:val="0"/>
          <w:bCs w:val="0"/>
          <w:caps w:val="0"/>
          <w:smallCaps w:val="0"/>
          <w:snapToGrid w:val="0"/>
          <w:color w:val="000000"/>
          <w:spacing w:val="0"/>
          <w:kern w:val="0"/>
          <w:sz w:val="24"/>
          <w:szCs w:val="24"/>
          <w:highlight w:val="none"/>
          <w:lang w:eastAsia="zh-CN"/>
        </w:rPr>
        <w:t>；承包人提交了等额</w:t>
      </w:r>
      <w:r>
        <w:rPr>
          <w:rFonts w:hint="eastAsia" w:ascii="宋体" w:hAnsi="宋体" w:eastAsia="宋体" w:cs="宋体"/>
          <w:b w:val="0"/>
          <w:bCs w:val="0"/>
          <w:caps w:val="0"/>
          <w:smallCaps w:val="0"/>
          <w:snapToGrid w:val="0"/>
          <w:color w:val="000000"/>
          <w:spacing w:val="0"/>
          <w:kern w:val="0"/>
          <w:sz w:val="24"/>
          <w:szCs w:val="24"/>
          <w:highlight w:val="none"/>
          <w:lang w:val="en-US" w:eastAsia="zh-CN"/>
        </w:rPr>
        <w:t>质量保证担保或质量保证保险的，于次月一次性结清合同价格</w:t>
      </w:r>
      <w:r>
        <w:rPr>
          <w:rFonts w:hint="eastAsia" w:ascii="宋体" w:hAnsi="宋体" w:eastAsia="宋体" w:cs="宋体"/>
          <w:bCs/>
          <w:snapToGrid w:val="0"/>
          <w:color w:val="000000"/>
          <w:kern w:val="0"/>
          <w:sz w:val="24"/>
          <w:szCs w:val="24"/>
          <w:highlight w:val="none"/>
        </w:rPr>
        <w:t>。</w:t>
      </w:r>
    </w:p>
    <w:p w14:paraId="70DB5292">
      <w:pPr>
        <w:wordWrap w:val="0"/>
        <w:adjustRightInd w:val="0"/>
        <w:snapToGrid w:val="0"/>
        <w:spacing w:line="360" w:lineRule="auto"/>
        <w:ind w:firstLine="482" w:firstLineChars="200"/>
        <w:rPr>
          <w:rFonts w:hint="eastAsia" w:ascii="宋体" w:hAnsi="宋体" w:eastAsia="宋体" w:cs="宋体"/>
          <w:color w:val="000000"/>
          <w:kern w:val="0"/>
          <w:sz w:val="24"/>
          <w:szCs w:val="24"/>
          <w:highlight w:val="none"/>
        </w:rPr>
      </w:pPr>
      <w:r>
        <w:rPr>
          <w:rFonts w:hint="eastAsia" w:ascii="宋体" w:hAnsi="宋体" w:eastAsia="宋体" w:cs="宋体"/>
          <w:b/>
          <w:color w:val="000000"/>
          <w:kern w:val="0"/>
          <w:sz w:val="24"/>
          <w:szCs w:val="24"/>
          <w:highlight w:val="none"/>
          <w:lang w:bidi="ar"/>
        </w:rPr>
        <w:t>3.8</w:t>
      </w:r>
      <w:r>
        <w:rPr>
          <w:rFonts w:hint="eastAsia" w:ascii="宋体" w:hAnsi="宋体" w:eastAsia="宋体" w:cs="宋体"/>
          <w:bCs/>
          <w:color w:val="000000"/>
          <w:kern w:val="0"/>
          <w:sz w:val="24"/>
          <w:szCs w:val="24"/>
          <w:highlight w:val="none"/>
          <w:lang w:bidi="ar"/>
        </w:rPr>
        <w:t xml:space="preserve"> 本招标项目缺陷责任期为</w:t>
      </w:r>
      <w:r>
        <w:rPr>
          <w:rFonts w:hint="eastAsia" w:ascii="宋体" w:hAnsi="宋体" w:eastAsia="宋体" w:cs="宋体"/>
          <w:bCs/>
          <w:color w:val="000000"/>
          <w:kern w:val="0"/>
          <w:sz w:val="24"/>
          <w:szCs w:val="24"/>
          <w:highlight w:val="none"/>
          <w:u w:val="single"/>
          <w:lang w:val="en-US" w:eastAsia="zh-CN" w:bidi="ar"/>
        </w:rPr>
        <w:t>2</w:t>
      </w:r>
      <w:r>
        <w:rPr>
          <w:rFonts w:hint="eastAsia" w:ascii="宋体" w:hAnsi="宋体" w:eastAsia="宋体" w:cs="宋体"/>
          <w:bCs/>
          <w:color w:val="000000"/>
          <w:kern w:val="0"/>
          <w:sz w:val="24"/>
          <w:szCs w:val="24"/>
          <w:highlight w:val="none"/>
          <w:lang w:bidi="ar"/>
        </w:rPr>
        <w:t>年（自通过竣工验收之日起计）。</w:t>
      </w:r>
      <w:r>
        <w:rPr>
          <w:rFonts w:hint="eastAsia" w:ascii="宋体" w:hAnsi="宋体" w:eastAsia="宋体" w:cs="宋体"/>
          <w:color w:val="000000"/>
          <w:kern w:val="0"/>
          <w:sz w:val="24"/>
          <w:szCs w:val="24"/>
          <w:highlight w:val="none"/>
          <w:lang w:bidi="ar"/>
        </w:rPr>
        <w:t>缺陷责任期到期后，承包人向发包人申请退还质量保证。发包人收到退还申请后，于14天内会同承包人进行核实。经双方核实且均无异议后，发包人在核实之日起</w:t>
      </w:r>
      <w:r>
        <w:rPr>
          <w:rFonts w:hint="eastAsia" w:ascii="宋体" w:hAnsi="宋体" w:eastAsia="宋体" w:cs="宋体"/>
          <w:color w:val="000000"/>
          <w:kern w:val="0"/>
          <w:sz w:val="24"/>
          <w:szCs w:val="24"/>
          <w:highlight w:val="none"/>
          <w:u w:val="single"/>
          <w:lang w:bidi="ar"/>
        </w:rPr>
        <w:t xml:space="preserve"> 14 </w:t>
      </w:r>
      <w:r>
        <w:rPr>
          <w:rFonts w:hint="eastAsia" w:ascii="宋体" w:hAnsi="宋体" w:eastAsia="宋体" w:cs="宋体"/>
          <w:color w:val="000000"/>
          <w:kern w:val="0"/>
          <w:sz w:val="24"/>
          <w:szCs w:val="24"/>
          <w:highlight w:val="none"/>
          <w:lang w:bidi="ar"/>
        </w:rPr>
        <w:t>天内将应返保证金（或银行保函）退还承包人。</w:t>
      </w:r>
    </w:p>
    <w:p w14:paraId="24310525">
      <w:pPr>
        <w:pStyle w:val="6"/>
        <w:spacing w:before="155" w:line="360" w:lineRule="auto"/>
        <w:ind w:left="1" w:right="80" w:firstLine="473"/>
        <w:rPr>
          <w:rFonts w:hint="eastAsia" w:ascii="宋体" w:hAnsi="宋体" w:eastAsia="宋体" w:cs="宋体"/>
          <w:spacing w:val="-1"/>
          <w:sz w:val="24"/>
          <w:szCs w:val="24"/>
          <w:highlight w:val="none"/>
          <w:u w:val="single"/>
        </w:rPr>
      </w:pPr>
      <w:r>
        <w:rPr>
          <w:rFonts w:hint="eastAsia" w:ascii="宋体" w:hAnsi="宋体" w:eastAsia="宋体" w:cs="宋体"/>
          <w:b/>
          <w:bCs/>
          <w:color w:val="000000"/>
          <w:sz w:val="24"/>
          <w:szCs w:val="24"/>
          <w:highlight w:val="none"/>
          <w:lang w:bidi="ar"/>
        </w:rPr>
        <w:t>3.9</w:t>
      </w:r>
      <w:r>
        <w:rPr>
          <w:rFonts w:hint="eastAsia" w:ascii="宋体" w:hAnsi="宋体" w:eastAsia="宋体" w:cs="宋体"/>
          <w:color w:val="000000"/>
          <w:sz w:val="24"/>
          <w:szCs w:val="24"/>
          <w:highlight w:val="none"/>
          <w:lang w:bidi="ar"/>
        </w:rPr>
        <w:t xml:space="preserve"> </w:t>
      </w:r>
      <w:r>
        <w:rPr>
          <w:rFonts w:hint="eastAsia" w:ascii="宋体" w:hAnsi="宋体" w:eastAsia="宋体" w:cs="宋体"/>
          <w:spacing w:val="-1"/>
          <w:sz w:val="24"/>
          <w:szCs w:val="24"/>
          <w:highlight w:val="none"/>
        </w:rPr>
        <w:t>暂列金额</w:t>
      </w:r>
      <w:r>
        <w:rPr>
          <w:rFonts w:hint="eastAsia" w:ascii="宋体" w:hAnsi="宋体" w:eastAsia="宋体" w:cs="宋体"/>
          <w:spacing w:val="-1"/>
          <w:sz w:val="24"/>
          <w:szCs w:val="24"/>
          <w:highlight w:val="none"/>
          <w:lang w:val="en-US" w:eastAsia="zh-CN"/>
        </w:rPr>
        <w:t>计算方式与</w:t>
      </w:r>
      <w:r>
        <w:rPr>
          <w:rFonts w:hint="eastAsia" w:ascii="宋体" w:hAnsi="宋体" w:eastAsia="宋体" w:cs="宋体"/>
          <w:spacing w:val="-1"/>
          <w:sz w:val="24"/>
          <w:szCs w:val="24"/>
          <w:highlight w:val="none"/>
        </w:rPr>
        <w:t>结算方式：</w:t>
      </w:r>
      <w:r>
        <w:rPr>
          <w:rFonts w:hint="eastAsia" w:ascii="宋体" w:hAnsi="宋体" w:eastAsia="宋体" w:cs="宋体"/>
          <w:spacing w:val="-1"/>
          <w:sz w:val="24"/>
          <w:szCs w:val="24"/>
          <w:highlight w:val="none"/>
          <w:lang w:val="en-US" w:eastAsia="zh-CN"/>
        </w:rPr>
        <w:t>暂列金的计算方式</w:t>
      </w:r>
      <w:r>
        <w:rPr>
          <w:rFonts w:hint="eastAsia" w:ascii="宋体" w:hAnsi="宋体" w:eastAsia="宋体" w:cs="宋体"/>
          <w:spacing w:val="-1"/>
          <w:sz w:val="24"/>
          <w:szCs w:val="24"/>
          <w:highlight w:val="none"/>
          <w:u w:val="single"/>
          <w:lang w:val="en-US" w:eastAsia="zh-CN"/>
        </w:rPr>
        <w:t>按分部分项合计*10%计算，</w:t>
      </w:r>
      <w:r>
        <w:rPr>
          <w:rFonts w:hint="eastAsia" w:ascii="宋体" w:hAnsi="宋体" w:eastAsia="宋体" w:cs="宋体"/>
          <w:spacing w:val="-1"/>
          <w:sz w:val="24"/>
          <w:szCs w:val="24"/>
          <w:highlight w:val="none"/>
          <w:u w:val="single"/>
        </w:rPr>
        <w:t>暂列金额</w:t>
      </w:r>
      <w:r>
        <w:rPr>
          <w:rFonts w:hint="eastAsia" w:ascii="宋体" w:hAnsi="宋体" w:eastAsia="宋体" w:cs="宋体"/>
          <w:spacing w:val="-1"/>
          <w:sz w:val="24"/>
          <w:szCs w:val="24"/>
          <w:highlight w:val="none"/>
          <w:u w:val="single"/>
          <w:lang w:val="en-US" w:eastAsia="zh-CN"/>
        </w:rPr>
        <w:t>的计算方式</w:t>
      </w:r>
      <w:r>
        <w:rPr>
          <w:rFonts w:hint="eastAsia" w:ascii="宋体" w:hAnsi="宋体" w:eastAsia="宋体" w:cs="宋体"/>
          <w:spacing w:val="-1"/>
          <w:sz w:val="24"/>
          <w:szCs w:val="24"/>
          <w:highlight w:val="none"/>
          <w:u w:val="single"/>
        </w:rPr>
        <w:t>按实际发生在结算审核完成后支付。</w:t>
      </w:r>
    </w:p>
    <w:p w14:paraId="5DC1A870">
      <w:pPr>
        <w:wordWrap w:val="0"/>
        <w:autoSpaceDE w:val="0"/>
        <w:adjustRightInd w:val="0"/>
        <w:snapToGrid w:val="0"/>
        <w:spacing w:line="360" w:lineRule="auto"/>
        <w:ind w:firstLine="482" w:firstLineChars="200"/>
        <w:rPr>
          <w:rFonts w:hint="eastAsia" w:ascii="宋体" w:hAnsi="宋体" w:eastAsia="宋体" w:cs="宋体"/>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3.10</w:t>
      </w:r>
      <w:r>
        <w:rPr>
          <w:rFonts w:hint="eastAsia" w:ascii="宋体" w:hAnsi="宋体" w:eastAsia="宋体" w:cs="宋体"/>
          <w:color w:val="000000"/>
          <w:kern w:val="0"/>
          <w:sz w:val="24"/>
          <w:szCs w:val="24"/>
          <w:highlight w:val="none"/>
          <w:lang w:bidi="ar"/>
        </w:rPr>
        <w:t xml:space="preserve"> 暂列金额支付方式：</w:t>
      </w:r>
      <w:r>
        <w:rPr>
          <w:rFonts w:hint="eastAsia" w:ascii="宋体" w:hAnsi="宋体" w:eastAsia="宋体" w:cs="宋体"/>
          <w:color w:val="000000"/>
          <w:kern w:val="0"/>
          <w:sz w:val="24"/>
          <w:szCs w:val="24"/>
          <w:highlight w:val="none"/>
          <w:u w:val="single"/>
          <w:lang w:bidi="ar"/>
        </w:rPr>
        <w:t>承包人需根据发包人发布的《工程变更管理办法》和《工程签证管理办法》完善工程变更签证相关程序后，与每个月的工程进度款一并报送；若承包人原因未按上述办法在规定时间内完善工程变更签证相关程序的，当月工程进度款暂停拨付。在暂列金额的范围内，最终经发包人确认后支付至该部分实际完成工程量的90％，其余部分待结算完成审核后支付至97%，剩余3%为工程质量保修金</w:t>
      </w:r>
      <w:r>
        <w:rPr>
          <w:rFonts w:hint="eastAsia" w:ascii="宋体" w:hAnsi="宋体" w:eastAsia="宋体" w:cs="宋体"/>
          <w:color w:val="000000"/>
          <w:kern w:val="0"/>
          <w:sz w:val="24"/>
          <w:szCs w:val="24"/>
          <w:highlight w:val="none"/>
          <w:lang w:bidi="ar"/>
        </w:rPr>
        <w:t>。</w:t>
      </w:r>
    </w:p>
    <w:p w14:paraId="545A9451">
      <w:pPr>
        <w:spacing w:line="360" w:lineRule="auto"/>
        <w:ind w:firstLine="482" w:firstLineChars="200"/>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lang w:val="en-US" w:eastAsia="zh-CN"/>
        </w:rPr>
        <w:t>3.11</w:t>
      </w:r>
      <w:r>
        <w:rPr>
          <w:rFonts w:hint="eastAsia" w:ascii="宋体" w:hAnsi="宋体" w:eastAsia="宋体" w:cs="宋体"/>
          <w:color w:val="000000"/>
          <w:sz w:val="24"/>
          <w:szCs w:val="24"/>
          <w:highlight w:val="none"/>
          <w:lang w:val="en-US" w:eastAsia="zh-CN"/>
        </w:rPr>
        <w:t xml:space="preserve"> 材料暂估价、专业工程暂估价支付方式：材料暂估价、专业工程暂估价与每个月的工程进度款一并报送，但需要列明详细项目内容，该部分材料暂估价、专业工程暂估价按该部分实际完成工程价款的 85%支付，剩余部分待最终结算完成审核后支付至 97%，剩余 3% 为工程质量保修金。 </w:t>
      </w:r>
    </w:p>
    <w:p w14:paraId="55698EE9">
      <w:pPr>
        <w:spacing w:line="360" w:lineRule="auto"/>
        <w:ind w:firstLine="482" w:firstLineChars="200"/>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lang w:val="en-US" w:eastAsia="zh-CN"/>
        </w:rPr>
        <w:t>3.12</w:t>
      </w:r>
      <w:r>
        <w:rPr>
          <w:rFonts w:hint="eastAsia" w:ascii="宋体" w:hAnsi="宋体" w:eastAsia="宋体" w:cs="宋体"/>
          <w:color w:val="000000"/>
          <w:sz w:val="24"/>
          <w:szCs w:val="24"/>
          <w:highlight w:val="none"/>
          <w:lang w:val="en-US" w:eastAsia="zh-CN"/>
        </w:rPr>
        <w:t xml:space="preserve"> 承包人和分包人根据《韶关市财政局韶关市发展和改革局关于开展我市政府投资项目资金穿透式监管试点工作的通知》签订《政府投资项目资金穿透式监管协议》（附件 3、附件 4）并进行工程相关款项支付。</w:t>
      </w:r>
    </w:p>
    <w:p w14:paraId="4B51A61F">
      <w:pPr>
        <w:wordWrap w:val="0"/>
        <w:adjustRightInd w:val="0"/>
        <w:snapToGrid w:val="0"/>
        <w:spacing w:line="360" w:lineRule="auto"/>
        <w:ind w:firstLine="482" w:firstLineChars="200"/>
        <w:rPr>
          <w:rFonts w:hint="eastAsia" w:ascii="宋体" w:hAnsi="宋体" w:eastAsia="宋体" w:cs="宋体"/>
          <w:b/>
          <w:snapToGrid w:val="0"/>
          <w:color w:val="000000"/>
          <w:sz w:val="24"/>
          <w:szCs w:val="24"/>
          <w:highlight w:val="none"/>
        </w:rPr>
      </w:pPr>
      <w:r>
        <w:rPr>
          <w:rFonts w:hint="eastAsia" w:ascii="宋体" w:hAnsi="宋体" w:eastAsia="宋体" w:cs="宋体"/>
          <w:b/>
          <w:snapToGrid w:val="0"/>
          <w:color w:val="000000"/>
          <w:sz w:val="24"/>
          <w:szCs w:val="24"/>
          <w:highlight w:val="none"/>
        </w:rPr>
        <w:t>4．专用合同条款</w:t>
      </w:r>
      <w:bookmarkEnd w:id="166"/>
      <w:bookmarkEnd w:id="167"/>
      <w:r>
        <w:rPr>
          <w:rFonts w:hint="eastAsia" w:ascii="宋体" w:hAnsi="宋体" w:eastAsia="宋体" w:cs="宋体"/>
          <w:snapToGrid w:val="0"/>
          <w:color w:val="000000"/>
          <w:kern w:val="0"/>
          <w:sz w:val="24"/>
          <w:szCs w:val="24"/>
          <w:highlight w:val="none"/>
        </w:rPr>
        <w:t>（由招标人自行补充）</w:t>
      </w:r>
    </w:p>
    <w:p w14:paraId="362A8826">
      <w:pPr>
        <w:spacing w:before="240" w:beforeLines="100" w:line="360" w:lineRule="auto"/>
        <w:ind w:firstLine="480" w:firstLineChars="200"/>
        <w:rPr>
          <w:rFonts w:hint="eastAsia" w:ascii="宋体" w:hAnsi="宋体" w:eastAsia="宋体" w:cs="宋体"/>
          <w:bCs/>
          <w:snapToGrid w:val="0"/>
          <w:color w:val="000000"/>
          <w:sz w:val="24"/>
          <w:szCs w:val="24"/>
          <w:highlight w:val="none"/>
        </w:rPr>
      </w:pPr>
      <w:r>
        <w:rPr>
          <w:rFonts w:hint="eastAsia" w:ascii="宋体" w:hAnsi="宋体" w:eastAsia="宋体" w:cs="宋体"/>
          <w:bCs/>
          <w:snapToGrid w:val="0"/>
          <w:color w:val="000000"/>
          <w:sz w:val="24"/>
          <w:szCs w:val="24"/>
          <w:highlight w:val="none"/>
        </w:rPr>
        <w:t xml:space="preserve"> 4.1承包人必须依照各相关规定做好工人工资支付保证金、工人工资支付专用账户、用工实名制管理工作。</w:t>
      </w:r>
    </w:p>
    <w:p w14:paraId="5C213742">
      <w:pPr>
        <w:spacing w:before="240" w:beforeLines="100" w:line="360" w:lineRule="auto"/>
        <w:ind w:firstLine="480" w:firstLineChars="200"/>
        <w:rPr>
          <w:rFonts w:hint="eastAsia" w:ascii="宋体" w:hAnsi="宋体" w:eastAsia="宋体" w:cs="宋体"/>
          <w:bCs/>
          <w:snapToGrid w:val="0"/>
          <w:color w:val="000000"/>
          <w:sz w:val="24"/>
          <w:szCs w:val="24"/>
          <w:highlight w:val="none"/>
        </w:rPr>
      </w:pPr>
      <w:r>
        <w:rPr>
          <w:rFonts w:hint="eastAsia" w:ascii="宋体" w:hAnsi="宋体" w:eastAsia="宋体" w:cs="宋体"/>
          <w:bCs/>
          <w:snapToGrid w:val="0"/>
          <w:color w:val="000000"/>
          <w:sz w:val="24"/>
          <w:szCs w:val="24"/>
          <w:highlight w:val="none"/>
        </w:rPr>
        <w:t>（1）施工预付款中已包括施工合同价的5%专用于承包人办理工人工资支付保证金，承包人必须于合同签订后5个工作日内办理完成保证金缴交或免缴手续。</w:t>
      </w:r>
    </w:p>
    <w:p w14:paraId="2CBC4A8B">
      <w:pPr>
        <w:spacing w:before="240" w:beforeLines="100" w:line="360" w:lineRule="auto"/>
        <w:ind w:firstLine="480" w:firstLineChars="200"/>
        <w:rPr>
          <w:rFonts w:hint="eastAsia" w:ascii="宋体" w:hAnsi="宋体" w:eastAsia="宋体" w:cs="宋体"/>
          <w:bCs/>
          <w:snapToGrid w:val="0"/>
          <w:color w:val="000000"/>
          <w:sz w:val="24"/>
          <w:szCs w:val="24"/>
          <w:highlight w:val="none"/>
        </w:rPr>
      </w:pPr>
      <w:r>
        <w:rPr>
          <w:rFonts w:hint="eastAsia" w:ascii="宋体" w:hAnsi="宋体" w:eastAsia="宋体" w:cs="宋体"/>
          <w:bCs/>
          <w:snapToGrid w:val="0"/>
          <w:color w:val="000000"/>
          <w:sz w:val="24"/>
          <w:szCs w:val="24"/>
          <w:highlight w:val="none"/>
        </w:rPr>
        <w:t>（2）承包人已依照相关规定开立工人工资支付专用账户，发包人支付工程进度款时，其中</w:t>
      </w:r>
      <w:r>
        <w:rPr>
          <w:rFonts w:hint="eastAsia" w:ascii="宋体" w:hAnsi="宋体" w:eastAsia="宋体" w:cs="宋体"/>
          <w:bCs/>
          <w:snapToGrid w:val="0"/>
          <w:color w:val="000000"/>
          <w:sz w:val="24"/>
          <w:szCs w:val="24"/>
          <w:highlight w:val="none"/>
          <w:lang w:val="en-US" w:eastAsia="zh-CN"/>
        </w:rPr>
        <w:t>70</w:t>
      </w:r>
      <w:r>
        <w:rPr>
          <w:rFonts w:hint="eastAsia" w:ascii="宋体" w:hAnsi="宋体" w:eastAsia="宋体" w:cs="宋体"/>
          <w:bCs/>
          <w:snapToGrid w:val="0"/>
          <w:color w:val="000000"/>
          <w:sz w:val="24"/>
          <w:szCs w:val="24"/>
          <w:highlight w:val="none"/>
        </w:rPr>
        <w:t>%支付进入本合同协议书载明的承包人账户、其中</w:t>
      </w:r>
      <w:r>
        <w:rPr>
          <w:rFonts w:hint="eastAsia" w:ascii="宋体" w:hAnsi="宋体" w:eastAsia="宋体" w:cs="宋体"/>
          <w:bCs/>
          <w:snapToGrid w:val="0"/>
          <w:color w:val="000000"/>
          <w:sz w:val="24"/>
          <w:szCs w:val="24"/>
          <w:highlight w:val="none"/>
          <w:lang w:val="en-US" w:eastAsia="zh-CN"/>
        </w:rPr>
        <w:t>30</w:t>
      </w:r>
      <w:r>
        <w:rPr>
          <w:rFonts w:hint="eastAsia" w:ascii="宋体" w:hAnsi="宋体" w:eastAsia="宋体" w:cs="宋体"/>
          <w:bCs/>
          <w:snapToGrid w:val="0"/>
          <w:color w:val="000000"/>
          <w:sz w:val="24"/>
          <w:szCs w:val="24"/>
          <w:highlight w:val="none"/>
        </w:rPr>
        <w:t>%支付进入本款载明的工人工资支付专用账户。承包人必须与所有聘用人员签订劳动合同，并按劳动合同约定每月足额通过专用账户发放工资，并按月将工资发放资料提交一份给发包人。</w:t>
      </w:r>
    </w:p>
    <w:p w14:paraId="36B29CC9">
      <w:pPr>
        <w:spacing w:before="240" w:beforeLines="100" w:line="360" w:lineRule="auto"/>
        <w:ind w:firstLine="480" w:firstLineChars="200"/>
        <w:rPr>
          <w:rFonts w:hint="eastAsia" w:ascii="宋体" w:hAnsi="宋体" w:eastAsia="宋体" w:cs="宋体"/>
          <w:bCs/>
          <w:snapToGrid w:val="0"/>
          <w:color w:val="000000"/>
          <w:sz w:val="24"/>
          <w:szCs w:val="24"/>
          <w:highlight w:val="none"/>
        </w:rPr>
      </w:pPr>
      <w:r>
        <w:rPr>
          <w:rFonts w:hint="eastAsia" w:ascii="宋体" w:hAnsi="宋体" w:eastAsia="宋体" w:cs="宋体"/>
          <w:bCs/>
          <w:snapToGrid w:val="0"/>
          <w:color w:val="000000"/>
          <w:sz w:val="24"/>
          <w:szCs w:val="24"/>
          <w:highlight w:val="none"/>
        </w:rPr>
        <w:t>（3）承包人应在开工前编制用工实名管理专项方案以及费用使用计划，经监理单位审批后，作为施工合同的组成部分，并依照相关规定做好用工实名信息化化管理。</w:t>
      </w:r>
    </w:p>
    <w:p w14:paraId="40BE1F7D">
      <w:pPr>
        <w:spacing w:before="240" w:beforeLines="100" w:line="360" w:lineRule="auto"/>
        <w:ind w:firstLine="480" w:firstLineChars="200"/>
        <w:rPr>
          <w:rFonts w:hint="eastAsia" w:ascii="宋体" w:hAnsi="宋体" w:eastAsia="宋体" w:cs="宋体"/>
          <w:bCs/>
          <w:snapToGrid w:val="0"/>
          <w:color w:val="000000"/>
          <w:sz w:val="24"/>
          <w:szCs w:val="24"/>
          <w:highlight w:val="none"/>
        </w:rPr>
      </w:pPr>
      <w:r>
        <w:rPr>
          <w:rFonts w:hint="eastAsia" w:ascii="宋体" w:hAnsi="宋体" w:eastAsia="宋体" w:cs="宋体"/>
          <w:bCs/>
          <w:snapToGrid w:val="0"/>
          <w:color w:val="000000"/>
          <w:sz w:val="24"/>
          <w:szCs w:val="24"/>
          <w:highlight w:val="none"/>
        </w:rPr>
        <w:t>4.2承包人除办理用工保险外还须根据</w:t>
      </w:r>
      <w:r>
        <w:rPr>
          <w:rFonts w:hint="eastAsia" w:ascii="宋体" w:hAnsi="宋体" w:eastAsia="宋体" w:cs="宋体"/>
          <w:bCs/>
          <w:snapToGrid w:val="0"/>
          <w:color w:val="000000"/>
          <w:sz w:val="24"/>
          <w:szCs w:val="24"/>
          <w:highlight w:val="none"/>
          <w:lang w:val="en-US" w:eastAsia="zh-CN"/>
        </w:rPr>
        <w:t>韶关市浈江区住房和城乡建设局</w:t>
      </w:r>
      <w:r>
        <w:rPr>
          <w:rFonts w:hint="eastAsia" w:ascii="宋体" w:hAnsi="宋体" w:eastAsia="宋体" w:cs="宋体"/>
          <w:bCs/>
          <w:snapToGrid w:val="0"/>
          <w:color w:val="000000"/>
          <w:sz w:val="24"/>
          <w:szCs w:val="24"/>
          <w:highlight w:val="none"/>
        </w:rPr>
        <w:t>《关于贯彻落实房屋建筑和市政基础设施施工领域安全生产责任保险工作的通知》（2022年1月17日）相关要求落实安全生产责任保险。</w:t>
      </w:r>
    </w:p>
    <w:p w14:paraId="201FCB94">
      <w:pPr>
        <w:pStyle w:val="25"/>
        <w:numPr>
          <w:ilvl w:val="0"/>
          <w:numId w:val="1"/>
        </w:numPr>
        <w:spacing w:line="360" w:lineRule="auto"/>
        <w:ind w:firstLine="482"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最终以合同签订为准，其他合同条款由招标人与中标人自行协商约定。</w:t>
      </w:r>
    </w:p>
    <w:p w14:paraId="7E8AA3BC">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76D7DAFE">
      <w:pPr>
        <w:keepNext w:val="0"/>
        <w:keepLines w:val="0"/>
        <w:pageBreakBefore w:val="0"/>
        <w:wordWrap w:val="0"/>
        <w:overflowPunct/>
        <w:topLinePunct w:val="0"/>
        <w:bidi w:val="0"/>
        <w:spacing w:before="78" w:line="219" w:lineRule="auto"/>
        <w:ind w:left="3273"/>
        <w:outlineLvl w:val="0"/>
        <w:rPr>
          <w:rFonts w:hint="eastAsia" w:ascii="宋体" w:hAnsi="宋体" w:eastAsia="宋体" w:cs="宋体"/>
          <w:color w:val="auto"/>
          <w:spacing w:val="0"/>
          <w:highlight w:val="none"/>
        </w:rPr>
      </w:pPr>
      <w:bookmarkStart w:id="173" w:name="_Toc22943"/>
      <w:r>
        <w:rPr>
          <w:rFonts w:hint="eastAsia" w:ascii="宋体" w:hAnsi="宋体" w:eastAsia="宋体" w:cs="宋体"/>
          <w:b/>
          <w:bCs/>
          <w:color w:val="auto"/>
          <w:spacing w:val="0"/>
          <w:sz w:val="24"/>
          <w:szCs w:val="24"/>
          <w:highlight w:val="none"/>
        </w:rPr>
        <w:t>第四章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技术要求</w:t>
      </w:r>
      <w:bookmarkEnd w:id="173"/>
    </w:p>
    <w:p w14:paraId="3201299A">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39B809F3">
      <w:pPr>
        <w:keepNext w:val="0"/>
        <w:keepLines w:val="0"/>
        <w:pageBreakBefore w:val="0"/>
        <w:wordWrap w:val="0"/>
        <w:overflowPunct/>
        <w:topLinePunct w:val="0"/>
        <w:bidi w:val="0"/>
        <w:spacing w:before="78" w:line="221" w:lineRule="auto"/>
        <w:ind w:left="125"/>
        <w:outlineLvl w:val="2"/>
        <w:rPr>
          <w:rFonts w:hint="eastAsia" w:ascii="宋体" w:hAnsi="宋体" w:eastAsia="宋体" w:cs="宋体"/>
          <w:color w:val="auto"/>
          <w:spacing w:val="0"/>
          <w:sz w:val="24"/>
          <w:szCs w:val="24"/>
          <w:highlight w:val="none"/>
        </w:rPr>
      </w:pPr>
      <w:bookmarkStart w:id="174" w:name="_Toc10988"/>
      <w:bookmarkStart w:id="175" w:name="_Toc10155"/>
      <w:r>
        <w:rPr>
          <w:rFonts w:hint="eastAsia" w:ascii="宋体" w:hAnsi="宋体" w:eastAsia="宋体" w:cs="宋体"/>
          <w:b/>
          <w:bCs/>
          <w:color w:val="auto"/>
          <w:spacing w:val="0"/>
          <w:sz w:val="24"/>
          <w:szCs w:val="24"/>
          <w:highlight w:val="none"/>
        </w:rPr>
        <w:t>1 ．房屋建筑工程建设项目</w:t>
      </w:r>
      <w:bookmarkEnd w:id="174"/>
      <w:bookmarkEnd w:id="175"/>
    </w:p>
    <w:p w14:paraId="050B4243">
      <w:pPr>
        <w:keepNext w:val="0"/>
        <w:keepLines w:val="0"/>
        <w:pageBreakBefore w:val="0"/>
        <w:wordWrap w:val="0"/>
        <w:overflowPunct/>
        <w:topLinePunct w:val="0"/>
        <w:bidi w:val="0"/>
        <w:spacing w:before="152" w:line="220" w:lineRule="auto"/>
        <w:ind w:left="1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房屋建筑工程建设项目必须执行的现行技术规范，包括且不限于：</w:t>
      </w:r>
    </w:p>
    <w:p w14:paraId="3EC0C14D">
      <w:pPr>
        <w:keepNext w:val="0"/>
        <w:keepLines w:val="0"/>
        <w:pageBreakBefore w:val="0"/>
        <w:wordWrap w:val="0"/>
        <w:overflowPunct/>
        <w:topLinePunct w:val="0"/>
        <w:bidi w:val="0"/>
        <w:spacing w:before="155"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（1）《建筑工程施工质量验收统一标准》；</w:t>
      </w:r>
    </w:p>
    <w:p w14:paraId="22B24C08">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（2）《建筑地基基础工程施工质量验收规范》；</w:t>
      </w:r>
    </w:p>
    <w:p w14:paraId="5ED60998">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（3）《砌体工程施工质量验收规范》；</w:t>
      </w:r>
    </w:p>
    <w:p w14:paraId="25C5BA7D">
      <w:pPr>
        <w:keepNext w:val="0"/>
        <w:keepLines w:val="0"/>
        <w:pageBreakBefore w:val="0"/>
        <w:wordWrap w:val="0"/>
        <w:overflowPunct/>
        <w:topLinePunct w:val="0"/>
        <w:bidi w:val="0"/>
        <w:spacing w:before="155"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（4）《混凝土结构工程施工质量验收规范》；</w:t>
      </w:r>
    </w:p>
    <w:p w14:paraId="25488D25">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（5）《屋面工程质量验收规范》；</w:t>
      </w:r>
    </w:p>
    <w:p w14:paraId="6337919B">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（6）《地下防水工程质量验收规范》；</w:t>
      </w:r>
    </w:p>
    <w:p w14:paraId="2609EC74">
      <w:pPr>
        <w:keepNext w:val="0"/>
        <w:keepLines w:val="0"/>
        <w:pageBreakBefore w:val="0"/>
        <w:wordWrap w:val="0"/>
        <w:overflowPunct/>
        <w:topLinePunct w:val="0"/>
        <w:bidi w:val="0"/>
        <w:spacing w:before="156"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（7）《建筑地面工程施工质量验收规范》；</w:t>
      </w:r>
    </w:p>
    <w:p w14:paraId="4F1399EE">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（8）《建筑装饰装修工程施工质量验收规范》；</w:t>
      </w:r>
    </w:p>
    <w:p w14:paraId="64083FEC">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（9）《建筑给排水及采暖工程施工质量验收规范》；</w:t>
      </w:r>
    </w:p>
    <w:p w14:paraId="069B6833">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（10）《建筑电气工程施工质量验收规范》；</w:t>
      </w:r>
    </w:p>
    <w:p w14:paraId="67EBC88C">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（11）《住建部绿色建筑评价标准》；</w:t>
      </w:r>
    </w:p>
    <w:p w14:paraId="37F4B509">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（12）《建筑节能与可再生能源利用通用规范》（GB55015-2021）；</w:t>
      </w:r>
    </w:p>
    <w:p w14:paraId="2389BAA8">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（13）《建筑环境通用规范》；</w:t>
      </w:r>
    </w:p>
    <w:p w14:paraId="16160537">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bookmarkStart w:id="176" w:name="_Toc12084"/>
      <w:bookmarkStart w:id="177" w:name="_Toc16294"/>
      <w:r>
        <w:rPr>
          <w:rFonts w:hint="eastAsia" w:ascii="宋体" w:hAnsi="宋体" w:eastAsia="宋体" w:cs="宋体"/>
          <w:color w:val="auto"/>
          <w:spacing w:val="0"/>
          <w:sz w:val="24"/>
          <w:szCs w:val="24"/>
          <w:highlight w:val="none"/>
        </w:rPr>
        <w:t>（14）《建筑与市政工程无障碍通用规范》 GB 55019-2021；</w:t>
      </w:r>
      <w:bookmarkEnd w:id="176"/>
      <w:bookmarkEnd w:id="177"/>
    </w:p>
    <w:p w14:paraId="7D62B009">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bookmarkStart w:id="178" w:name="_Toc1177"/>
      <w:bookmarkStart w:id="179" w:name="_Toc15158"/>
      <w:r>
        <w:rPr>
          <w:rFonts w:hint="eastAsia" w:ascii="宋体" w:hAnsi="宋体" w:eastAsia="宋体" w:cs="宋体"/>
          <w:color w:val="auto"/>
          <w:spacing w:val="0"/>
          <w:sz w:val="24"/>
          <w:szCs w:val="24"/>
          <w:highlight w:val="none"/>
        </w:rPr>
        <w:t>（15）《建筑防火通用规范》GB 55037-2022;</w:t>
      </w:r>
      <w:bookmarkEnd w:id="178"/>
      <w:bookmarkEnd w:id="179"/>
    </w:p>
    <w:p w14:paraId="6015FD54">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bookmarkStart w:id="180" w:name="_Toc2461"/>
      <w:bookmarkStart w:id="181" w:name="_Toc24233"/>
      <w:r>
        <w:rPr>
          <w:rFonts w:hint="eastAsia" w:ascii="宋体" w:hAnsi="宋体" w:eastAsia="宋体" w:cs="宋体"/>
          <w:color w:val="auto"/>
          <w:spacing w:val="0"/>
          <w:sz w:val="24"/>
          <w:szCs w:val="24"/>
          <w:highlight w:val="none"/>
        </w:rPr>
        <w:t>（16）《建筑与市政工程抗震通用规范》GB55002-2001;</w:t>
      </w:r>
      <w:bookmarkEnd w:id="180"/>
      <w:bookmarkEnd w:id="181"/>
    </w:p>
    <w:p w14:paraId="1F601298">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bookmarkStart w:id="182" w:name="_Toc5777"/>
      <w:bookmarkStart w:id="183" w:name="_Toc8109"/>
      <w:r>
        <w:rPr>
          <w:rFonts w:hint="eastAsia" w:ascii="宋体" w:hAnsi="宋体" w:eastAsia="宋体" w:cs="宋体"/>
          <w:color w:val="auto"/>
          <w:spacing w:val="0"/>
          <w:sz w:val="24"/>
          <w:szCs w:val="24"/>
          <w:highlight w:val="none"/>
        </w:rPr>
        <w:t>（17）《建筑与市政地基基础通用规范》GB55003-2001;</w:t>
      </w:r>
      <w:bookmarkEnd w:id="182"/>
      <w:bookmarkEnd w:id="183"/>
    </w:p>
    <w:p w14:paraId="7769CBE8">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（18）《广东省住房和城乡建设厅绿色施工导则》；</w:t>
      </w:r>
    </w:p>
    <w:p w14:paraId="2E0BAF3F">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（19）《广东省建筑工程绿色施工评价标准》；</w:t>
      </w:r>
    </w:p>
    <w:p w14:paraId="4AD58CAF">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（20）《广东省建筑节能与绿色建筑工程施工质量验收规范》</w:t>
      </w:r>
    </w:p>
    <w:p w14:paraId="2252F8FB">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（21）其他现行国家、广东省关于房建工程的施工及验收规范、定额、规程、标准。</w:t>
      </w:r>
    </w:p>
    <w:p w14:paraId="2829F9CD">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6BD7F3EB">
      <w:pPr>
        <w:keepNext w:val="0"/>
        <w:keepLines w:val="0"/>
        <w:pageBreakBefore w:val="0"/>
        <w:wordWrap w:val="0"/>
        <w:overflowPunct/>
        <w:topLinePunct w:val="0"/>
        <w:bidi w:val="0"/>
        <w:spacing w:before="78" w:line="220" w:lineRule="auto"/>
        <w:ind w:left="115"/>
        <w:outlineLvl w:val="2"/>
        <w:rPr>
          <w:rFonts w:hint="eastAsia" w:ascii="宋体" w:hAnsi="宋体" w:eastAsia="宋体" w:cs="宋体"/>
          <w:color w:val="auto"/>
          <w:spacing w:val="0"/>
          <w:sz w:val="24"/>
          <w:szCs w:val="24"/>
          <w:highlight w:val="none"/>
        </w:rPr>
      </w:pPr>
      <w:bookmarkStart w:id="184" w:name="_Toc15652"/>
      <w:bookmarkStart w:id="185" w:name="_Toc1126"/>
      <w:r>
        <w:rPr>
          <w:rFonts w:hint="eastAsia" w:ascii="宋体" w:hAnsi="宋体" w:eastAsia="宋体" w:cs="宋体"/>
          <w:b/>
          <w:bCs/>
          <w:color w:val="auto"/>
          <w:spacing w:val="0"/>
          <w:sz w:val="24"/>
          <w:szCs w:val="24"/>
          <w:highlight w:val="none"/>
        </w:rPr>
        <w:t>2 ．市政基础设施工程建设项目</w:t>
      </w:r>
      <w:bookmarkEnd w:id="184"/>
      <w:bookmarkEnd w:id="185"/>
    </w:p>
    <w:p w14:paraId="3B044182">
      <w:pPr>
        <w:keepNext w:val="0"/>
        <w:keepLines w:val="0"/>
        <w:pageBreakBefore w:val="0"/>
        <w:wordWrap w:val="0"/>
        <w:overflowPunct/>
        <w:topLinePunct w:val="0"/>
        <w:bidi w:val="0"/>
        <w:spacing w:before="154" w:line="220" w:lineRule="auto"/>
        <w:ind w:left="12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市政基础设施工程建设项目必须执行的现行技术规范，包括且不限于：</w:t>
      </w:r>
    </w:p>
    <w:p w14:paraId="28C3DC9E">
      <w:pPr>
        <w:keepNext w:val="0"/>
        <w:keepLines w:val="0"/>
        <w:pageBreakBefore w:val="0"/>
        <w:wordWrap w:val="0"/>
        <w:overflowPunct/>
        <w:topLinePunct w:val="0"/>
        <w:bidi w:val="0"/>
        <w:spacing w:before="155"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（1）《公路路基施工技术规范》；</w:t>
      </w:r>
    </w:p>
    <w:p w14:paraId="4D013B7E">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（2）《市政道路工程质量检验评定标准》；</w:t>
      </w:r>
    </w:p>
    <w:p w14:paraId="1D0CEE6F">
      <w:pPr>
        <w:keepNext w:val="0"/>
        <w:keepLines w:val="0"/>
        <w:pageBreakBefore w:val="0"/>
        <w:wordWrap w:val="0"/>
        <w:overflowPunct/>
        <w:topLinePunct w:val="0"/>
        <w:bidi w:val="0"/>
        <w:spacing w:before="154"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（3）《市政排水管渠工程质量检验评定标准》；</w:t>
      </w:r>
    </w:p>
    <w:p w14:paraId="5762B28C">
      <w:pPr>
        <w:keepNext w:val="0"/>
        <w:keepLines w:val="0"/>
        <w:pageBreakBefore w:val="0"/>
        <w:widowControl w:val="0"/>
        <w:kinsoku w:val="0"/>
        <w:wordWrap w:val="0"/>
        <w:overflowPunct/>
        <w:topLinePunct w:val="0"/>
        <w:autoSpaceDE w:val="0"/>
        <w:autoSpaceDN w:val="0"/>
        <w:bidi w:val="0"/>
        <w:adjustRightInd w:val="0"/>
        <w:snapToGrid w:val="0"/>
        <w:spacing w:before="155" w:line="220" w:lineRule="auto"/>
        <w:ind w:left="13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（4）《给水排水管道工程施工及验收规范》；</w:t>
      </w:r>
    </w:p>
    <w:p w14:paraId="2C15D184">
      <w:pPr>
        <w:keepNext w:val="0"/>
        <w:keepLines w:val="0"/>
        <w:pageBreakBefore w:val="0"/>
        <w:widowControl w:val="0"/>
        <w:kinsoku w:val="0"/>
        <w:wordWrap w:val="0"/>
        <w:overflowPunct/>
        <w:topLinePunct w:val="0"/>
        <w:autoSpaceDE w:val="0"/>
        <w:autoSpaceDN w:val="0"/>
        <w:bidi w:val="0"/>
        <w:adjustRightInd w:val="0"/>
        <w:snapToGrid w:val="0"/>
        <w:spacing w:before="78"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（5）《城市道路路基工程施工及验收规范》；</w:t>
      </w:r>
    </w:p>
    <w:p w14:paraId="289264E6">
      <w:pPr>
        <w:keepNext w:val="0"/>
        <w:keepLines w:val="0"/>
        <w:pageBreakBefore w:val="0"/>
        <w:widowControl w:val="0"/>
        <w:kinsoku w:val="0"/>
        <w:wordWrap w:val="0"/>
        <w:overflowPunct/>
        <w:topLinePunct w:val="0"/>
        <w:autoSpaceDE w:val="0"/>
        <w:autoSpaceDN w:val="0"/>
        <w:bidi w:val="0"/>
        <w:adjustRightInd w:val="0"/>
        <w:snapToGrid w:val="0"/>
        <w:spacing w:before="155"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（6）《水泥砼路面施工及验收规范》；</w:t>
      </w:r>
    </w:p>
    <w:p w14:paraId="2933B3ED">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（7）《公路水泥砼路面施工技术规范》；</w:t>
      </w:r>
    </w:p>
    <w:p w14:paraId="6AFB4FD9">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（8）《埋地硬聚氯乙烯排水管道工程技术规程》；</w:t>
      </w:r>
    </w:p>
    <w:p w14:paraId="77DD156A">
      <w:pPr>
        <w:keepNext w:val="0"/>
        <w:keepLines w:val="0"/>
        <w:pageBreakBefore w:val="0"/>
        <w:widowControl w:val="0"/>
        <w:kinsoku w:val="0"/>
        <w:wordWrap w:val="0"/>
        <w:overflowPunct/>
        <w:topLinePunct w:val="0"/>
        <w:autoSpaceDE w:val="0"/>
        <w:autoSpaceDN w:val="0"/>
        <w:bidi w:val="0"/>
        <w:adjustRightInd w:val="0"/>
        <w:snapToGrid w:val="0"/>
        <w:spacing w:before="122" w:line="219"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（9）《沥青路面施工及验收规范》；</w:t>
      </w:r>
    </w:p>
    <w:p w14:paraId="6315DB4B">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（10）《广东省市政工程施工质量技术资料统一用表》。</w:t>
      </w:r>
    </w:p>
    <w:p w14:paraId="0ADE511F">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86" w:name="_Toc30781"/>
      <w:bookmarkStart w:id="187" w:name="_Toc8494"/>
      <w:r>
        <w:rPr>
          <w:rFonts w:hint="eastAsia" w:ascii="宋体" w:hAnsi="宋体" w:eastAsia="宋体" w:cs="宋体"/>
          <w:color w:val="auto"/>
          <w:spacing w:val="0"/>
          <w:sz w:val="24"/>
          <w:szCs w:val="24"/>
          <w:highlight w:val="none"/>
        </w:rPr>
        <w:t>（11）《建筑与市政工程无障碍通用规范》 GB 55019-2021；</w:t>
      </w:r>
      <w:bookmarkEnd w:id="186"/>
      <w:bookmarkEnd w:id="187"/>
    </w:p>
    <w:p w14:paraId="3B2A76D8">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88" w:name="_Toc31143"/>
      <w:bookmarkStart w:id="189" w:name="_Toc17383"/>
      <w:r>
        <w:rPr>
          <w:rFonts w:hint="eastAsia" w:ascii="宋体" w:hAnsi="宋体" w:eastAsia="宋体" w:cs="宋体"/>
          <w:color w:val="auto"/>
          <w:spacing w:val="0"/>
          <w:sz w:val="24"/>
          <w:szCs w:val="24"/>
          <w:highlight w:val="none"/>
        </w:rPr>
        <w:t>（12）《建筑防火通用规范》GB 55037-2022;</w:t>
      </w:r>
      <w:bookmarkEnd w:id="188"/>
      <w:bookmarkEnd w:id="189"/>
    </w:p>
    <w:p w14:paraId="5317219A">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90" w:name="_Toc954"/>
      <w:bookmarkStart w:id="191" w:name="_Toc32476"/>
      <w:r>
        <w:rPr>
          <w:rFonts w:hint="eastAsia" w:ascii="宋体" w:hAnsi="宋体" w:eastAsia="宋体" w:cs="宋体"/>
          <w:color w:val="auto"/>
          <w:spacing w:val="0"/>
          <w:sz w:val="24"/>
          <w:szCs w:val="24"/>
          <w:highlight w:val="none"/>
        </w:rPr>
        <w:t>（13）《建筑与市政工程抗震通用规范》GB55002-2001;</w:t>
      </w:r>
      <w:bookmarkEnd w:id="190"/>
      <w:bookmarkEnd w:id="191"/>
    </w:p>
    <w:p w14:paraId="04AA5FD5">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92" w:name="_Toc27898"/>
      <w:bookmarkStart w:id="193" w:name="_Toc7185"/>
      <w:r>
        <w:rPr>
          <w:rFonts w:hint="eastAsia" w:ascii="宋体" w:hAnsi="宋体" w:eastAsia="宋体" w:cs="宋体"/>
          <w:color w:val="auto"/>
          <w:spacing w:val="0"/>
          <w:sz w:val="24"/>
          <w:szCs w:val="24"/>
          <w:highlight w:val="none"/>
        </w:rPr>
        <w:t>（14）《建筑与市政地基基础通用规范》GB55003-2001;</w:t>
      </w:r>
      <w:bookmarkEnd w:id="192"/>
      <w:bookmarkEnd w:id="193"/>
    </w:p>
    <w:p w14:paraId="62803EA2">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94" w:name="_Toc17281"/>
      <w:bookmarkStart w:id="195" w:name="_Toc29669"/>
      <w:r>
        <w:rPr>
          <w:rFonts w:hint="eastAsia" w:ascii="宋体" w:hAnsi="宋体" w:eastAsia="宋体" w:cs="宋体"/>
          <w:color w:val="auto"/>
          <w:spacing w:val="0"/>
          <w:sz w:val="24"/>
          <w:szCs w:val="24"/>
          <w:highlight w:val="none"/>
        </w:rPr>
        <w:t>（15）《城市道路照明设计标准》（CJJ45-2015）；</w:t>
      </w:r>
      <w:bookmarkEnd w:id="194"/>
      <w:bookmarkEnd w:id="195"/>
    </w:p>
    <w:p w14:paraId="35B71F3B">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96" w:name="_Toc9161"/>
      <w:bookmarkStart w:id="197" w:name="_Toc31812"/>
      <w:r>
        <w:rPr>
          <w:rFonts w:hint="eastAsia" w:ascii="宋体" w:hAnsi="宋体" w:eastAsia="宋体" w:cs="宋体"/>
          <w:color w:val="auto"/>
          <w:spacing w:val="0"/>
          <w:sz w:val="24"/>
          <w:szCs w:val="24"/>
          <w:highlight w:val="none"/>
        </w:rPr>
        <w:t>（16）《低压配电设计规范》（GB50054-2011）；</w:t>
      </w:r>
      <w:bookmarkEnd w:id="196"/>
      <w:bookmarkEnd w:id="197"/>
    </w:p>
    <w:p w14:paraId="6E393E7D">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98" w:name="_Toc6405"/>
      <w:bookmarkStart w:id="199" w:name="_Toc18255"/>
      <w:r>
        <w:rPr>
          <w:rFonts w:hint="eastAsia" w:ascii="宋体" w:hAnsi="宋体" w:eastAsia="宋体" w:cs="宋体"/>
          <w:color w:val="auto"/>
          <w:spacing w:val="0"/>
          <w:sz w:val="24"/>
          <w:szCs w:val="24"/>
          <w:highlight w:val="none"/>
        </w:rPr>
        <w:t>（17）《城市道路照明工程施工及验收规程》（CJJ89-2012）；</w:t>
      </w:r>
      <w:bookmarkEnd w:id="198"/>
      <w:bookmarkEnd w:id="199"/>
    </w:p>
    <w:p w14:paraId="274C6759">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（18）《LED 道路照明工程技术规范》（DB44/T 1898-2016）；</w:t>
      </w:r>
    </w:p>
    <w:p w14:paraId="123F6939">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（19）《灯具第 1 部分：一般要求与试验》（GB7000.1-2015）；</w:t>
      </w:r>
    </w:p>
    <w:p w14:paraId="429D4794">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（20）《电缆工程电缆设计标准》（GB50217-2018）；</w:t>
      </w:r>
    </w:p>
    <w:p w14:paraId="404BFE10">
      <w:pPr>
        <w:keepNext w:val="0"/>
        <w:keepLines w:val="0"/>
        <w:pageBreakBefore w:val="0"/>
        <w:widowControl w:val="0"/>
        <w:kinsoku w:val="0"/>
        <w:wordWrap w:val="0"/>
        <w:overflowPunct/>
        <w:topLinePunct w:val="0"/>
        <w:autoSpaceDE w:val="0"/>
        <w:autoSpaceDN w:val="0"/>
        <w:bidi w:val="0"/>
        <w:adjustRightInd w:val="0"/>
        <w:snapToGrid w:val="0"/>
        <w:spacing w:before="146" w:line="220" w:lineRule="auto"/>
        <w:ind w:left="216" w:leftChars="103" w:firstLine="0" w:firstLineChars="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（21）其他现行国家、广东省关于市政工程的技术及验收规范、定额、规程、标准。</w:t>
      </w:r>
    </w:p>
    <w:p w14:paraId="43D072C0">
      <w:pPr>
        <w:pStyle w:val="6"/>
        <w:keepNext w:val="0"/>
        <w:keepLines w:val="0"/>
        <w:pageBreakBefore w:val="0"/>
        <w:widowControl w:val="0"/>
        <w:kinsoku w:val="0"/>
        <w:wordWrap w:val="0"/>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spacing w:val="0"/>
          <w:highlight w:val="none"/>
        </w:rPr>
      </w:pPr>
    </w:p>
    <w:p w14:paraId="3D026D9D">
      <w:pPr>
        <w:pStyle w:val="6"/>
        <w:keepNext w:val="0"/>
        <w:keepLines w:val="0"/>
        <w:pageBreakBefore w:val="0"/>
        <w:widowControl w:val="0"/>
        <w:kinsoku w:val="0"/>
        <w:wordWrap w:val="0"/>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spacing w:val="0"/>
          <w:highlight w:val="none"/>
        </w:rPr>
      </w:pPr>
    </w:p>
    <w:p w14:paraId="0D07F4F1">
      <w:pPr>
        <w:keepNext w:val="0"/>
        <w:keepLines w:val="0"/>
        <w:pageBreakBefore w:val="0"/>
        <w:widowControl w:val="0"/>
        <w:kinsoku w:val="0"/>
        <w:wordWrap w:val="0"/>
        <w:overflowPunct/>
        <w:topLinePunct w:val="0"/>
        <w:autoSpaceDE w:val="0"/>
        <w:autoSpaceDN w:val="0"/>
        <w:bidi w:val="0"/>
        <w:adjustRightInd w:val="0"/>
        <w:snapToGrid w:val="0"/>
        <w:spacing w:before="78" w:line="222" w:lineRule="auto"/>
        <w:ind w:left="556"/>
        <w:textAlignment w:val="baseline"/>
        <w:outlineLvl w:val="2"/>
        <w:rPr>
          <w:rFonts w:hint="eastAsia" w:ascii="宋体" w:hAnsi="宋体" w:eastAsia="宋体" w:cs="宋体"/>
          <w:color w:val="auto"/>
          <w:spacing w:val="0"/>
          <w:sz w:val="24"/>
          <w:szCs w:val="24"/>
          <w:highlight w:val="none"/>
        </w:rPr>
      </w:pPr>
      <w:bookmarkStart w:id="200" w:name="_Toc17417"/>
      <w:bookmarkStart w:id="201" w:name="_Toc9200"/>
      <w:r>
        <w:rPr>
          <w:rFonts w:hint="eastAsia" w:ascii="宋体" w:hAnsi="宋体" w:eastAsia="宋体" w:cs="宋体"/>
          <w:b/>
          <w:bCs/>
          <w:color w:val="auto"/>
          <w:spacing w:val="0"/>
          <w:sz w:val="24"/>
          <w:szCs w:val="24"/>
          <w:highlight w:val="none"/>
        </w:rPr>
        <w:t>3 ．备查要求</w:t>
      </w:r>
      <w:bookmarkEnd w:id="200"/>
      <w:bookmarkEnd w:id="201"/>
    </w:p>
    <w:p w14:paraId="0A659DD4">
      <w:pPr>
        <w:keepNext w:val="0"/>
        <w:keepLines w:val="0"/>
        <w:pageBreakBefore w:val="0"/>
        <w:widowControl w:val="0"/>
        <w:kinsoku w:val="0"/>
        <w:wordWrap w:val="0"/>
        <w:overflowPunct/>
        <w:topLinePunct w:val="0"/>
        <w:autoSpaceDE w:val="0"/>
        <w:autoSpaceDN w:val="0"/>
        <w:bidi w:val="0"/>
        <w:adjustRightInd w:val="0"/>
        <w:snapToGrid w:val="0"/>
        <w:spacing w:before="155" w:line="324" w:lineRule="auto"/>
        <w:ind w:right="81" w:firstLine="561"/>
        <w:jc w:val="both"/>
        <w:textAlignment w:val="baseline"/>
        <w:rPr>
          <w:rFonts w:hint="eastAsia"/>
          <w:color w:val="auto"/>
          <w:spacing w:val="0"/>
          <w:highlight w:val="none"/>
        </w:rPr>
        <w:sectPr>
          <w:footerReference r:id="rId11"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0"/>
          <w:sz w:val="24"/>
          <w:szCs w:val="24"/>
          <w:highlight w:val="none"/>
        </w:rPr>
        <w:t>承包人必须在施工现场准备至少一套上述规范，发包人和监理单位可随时检查承 包人的上述规范，并监督承包人按规范要求执行。</w:t>
      </w:r>
    </w:p>
    <w:p w14:paraId="70A319DE">
      <w:pPr>
        <w:keepNext w:val="0"/>
        <w:keepLines w:val="0"/>
        <w:pageBreakBefore w:val="0"/>
        <w:wordWrap w:val="0"/>
        <w:overflowPunct/>
        <w:topLinePunct w:val="0"/>
        <w:bidi w:val="0"/>
        <w:spacing w:before="78" w:line="219" w:lineRule="auto"/>
        <w:jc w:val="center"/>
        <w:outlineLvl w:val="0"/>
        <w:rPr>
          <w:rFonts w:hint="eastAsia" w:ascii="宋体" w:hAnsi="宋体" w:eastAsia="宋体" w:cs="宋体"/>
          <w:color w:val="auto"/>
          <w:spacing w:val="0"/>
          <w:sz w:val="24"/>
          <w:szCs w:val="24"/>
          <w:highlight w:val="none"/>
        </w:rPr>
      </w:pPr>
      <w:bookmarkStart w:id="202" w:name="bookmark146"/>
      <w:bookmarkEnd w:id="202"/>
      <w:bookmarkStart w:id="203" w:name="bookmark100"/>
      <w:bookmarkEnd w:id="203"/>
      <w:bookmarkStart w:id="204" w:name="_Toc17497"/>
      <w:r>
        <w:rPr>
          <w:rFonts w:hint="eastAsia" w:ascii="宋体" w:hAnsi="宋体" w:eastAsia="宋体" w:cs="宋体"/>
          <w:b/>
          <w:bCs/>
          <w:color w:val="auto"/>
          <w:spacing w:val="0"/>
          <w:sz w:val="24"/>
          <w:szCs w:val="24"/>
          <w:highlight w:val="none"/>
        </w:rPr>
        <w:t>第五章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图纸和招标工程量清单</w:t>
      </w:r>
      <w:bookmarkEnd w:id="204"/>
    </w:p>
    <w:p w14:paraId="6AC473F9">
      <w:pPr>
        <w:pStyle w:val="6"/>
        <w:keepNext w:val="0"/>
        <w:keepLines w:val="0"/>
        <w:pageBreakBefore w:val="0"/>
        <w:wordWrap w:val="0"/>
        <w:overflowPunct/>
        <w:topLinePunct w:val="0"/>
        <w:bidi w:val="0"/>
        <w:spacing w:line="283" w:lineRule="auto"/>
        <w:rPr>
          <w:rFonts w:hint="eastAsia" w:ascii="宋体" w:hAnsi="宋体" w:eastAsia="宋体" w:cs="宋体"/>
          <w:color w:val="auto"/>
          <w:spacing w:val="0"/>
          <w:highlight w:val="none"/>
        </w:rPr>
      </w:pPr>
    </w:p>
    <w:p w14:paraId="5D6D037F">
      <w:pPr>
        <w:pStyle w:val="6"/>
        <w:keepNext w:val="0"/>
        <w:keepLines w:val="0"/>
        <w:pageBreakBefore w:val="0"/>
        <w:wordWrap w:val="0"/>
        <w:overflowPunct/>
        <w:topLinePunct w:val="0"/>
        <w:bidi w:val="0"/>
        <w:spacing w:line="284" w:lineRule="auto"/>
        <w:rPr>
          <w:rFonts w:hint="eastAsia" w:ascii="宋体" w:hAnsi="宋体" w:eastAsia="宋体" w:cs="宋体"/>
          <w:color w:val="auto"/>
          <w:spacing w:val="0"/>
          <w:highlight w:val="none"/>
        </w:rPr>
      </w:pPr>
    </w:p>
    <w:p w14:paraId="0445B316">
      <w:pPr>
        <w:keepNext w:val="0"/>
        <w:keepLines w:val="0"/>
        <w:pageBreakBefore w:val="0"/>
        <w:wordWrap w:val="0"/>
        <w:overflowPunct/>
        <w:topLinePunct w:val="0"/>
        <w:bidi w:val="0"/>
        <w:spacing w:before="78" w:line="219" w:lineRule="auto"/>
        <w:ind w:left="106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□有，另附复印件         </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有，自行网上下载(浏览)           □无</w:t>
      </w:r>
    </w:p>
    <w:p w14:paraId="06973F82">
      <w:pPr>
        <w:pStyle w:val="6"/>
        <w:keepNext w:val="0"/>
        <w:keepLines w:val="0"/>
        <w:pageBreakBefore w:val="0"/>
        <w:wordWrap w:val="0"/>
        <w:overflowPunct/>
        <w:topLinePunct w:val="0"/>
        <w:bidi w:val="0"/>
        <w:spacing w:line="265" w:lineRule="auto"/>
        <w:rPr>
          <w:rFonts w:hint="eastAsia" w:ascii="宋体" w:hAnsi="宋体" w:eastAsia="宋体" w:cs="宋体"/>
          <w:color w:val="auto"/>
          <w:spacing w:val="0"/>
          <w:highlight w:val="none"/>
        </w:rPr>
      </w:pPr>
    </w:p>
    <w:p w14:paraId="48CAC688">
      <w:pPr>
        <w:keepNext w:val="0"/>
        <w:keepLines w:val="0"/>
        <w:pageBreakBefore w:val="0"/>
        <w:wordWrap w:val="0"/>
        <w:overflowPunct/>
        <w:topLinePunct w:val="0"/>
        <w:bidi w:val="0"/>
        <w:spacing w:before="151" w:line="222" w:lineRule="auto"/>
        <w:ind w:left="715"/>
        <w:outlineLvl w:val="2"/>
        <w:rPr>
          <w:rFonts w:hint="eastAsia" w:ascii="宋体" w:hAnsi="宋体" w:eastAsia="宋体" w:cs="宋体"/>
          <w:color w:val="auto"/>
          <w:spacing w:val="0"/>
          <w:sz w:val="24"/>
          <w:szCs w:val="24"/>
          <w:highlight w:val="none"/>
        </w:rPr>
      </w:pPr>
      <w:bookmarkStart w:id="205" w:name="_Toc24446"/>
      <w:bookmarkStart w:id="206" w:name="_Toc23405"/>
      <w:r>
        <w:rPr>
          <w:rFonts w:hint="eastAsia" w:ascii="宋体" w:hAnsi="宋体" w:eastAsia="宋体" w:cs="宋体"/>
          <w:b/>
          <w:bCs/>
          <w:color w:val="auto"/>
          <w:spacing w:val="0"/>
          <w:sz w:val="24"/>
          <w:szCs w:val="24"/>
          <w:highlight w:val="none"/>
        </w:rPr>
        <w:t>1 ．图纸</w:t>
      </w:r>
      <w:bookmarkEnd w:id="205"/>
      <w:bookmarkEnd w:id="206"/>
    </w:p>
    <w:p w14:paraId="3CE037BD">
      <w:pPr>
        <w:keepNext w:val="0"/>
        <w:keepLines w:val="0"/>
        <w:pageBreakBefore w:val="0"/>
        <w:wordWrap w:val="0"/>
        <w:overflowPunct/>
        <w:topLinePunct w:val="0"/>
        <w:bidi w:val="0"/>
        <w:spacing w:before="150" w:line="330" w:lineRule="auto"/>
        <w:ind w:left="230" w:firstLine="48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本招标文件随文另附施工图（电子文件）一套。</w:t>
      </w:r>
    </w:p>
    <w:p w14:paraId="15A44684">
      <w:pPr>
        <w:pStyle w:val="6"/>
        <w:keepNext w:val="0"/>
        <w:keepLines w:val="0"/>
        <w:pageBreakBefore w:val="0"/>
        <w:wordWrap w:val="0"/>
        <w:overflowPunct/>
        <w:topLinePunct w:val="0"/>
        <w:bidi w:val="0"/>
        <w:spacing w:line="253" w:lineRule="auto"/>
        <w:rPr>
          <w:rFonts w:hint="eastAsia" w:ascii="宋体" w:hAnsi="宋体" w:eastAsia="宋体" w:cs="宋体"/>
          <w:color w:val="auto"/>
          <w:spacing w:val="0"/>
          <w:highlight w:val="none"/>
        </w:rPr>
      </w:pPr>
    </w:p>
    <w:p w14:paraId="58FD0004">
      <w:pPr>
        <w:keepNext w:val="0"/>
        <w:keepLines w:val="0"/>
        <w:pageBreakBefore w:val="0"/>
        <w:wordWrap w:val="0"/>
        <w:overflowPunct/>
        <w:topLinePunct w:val="0"/>
        <w:bidi w:val="0"/>
        <w:spacing w:before="79" w:line="221" w:lineRule="auto"/>
        <w:ind w:left="705"/>
        <w:outlineLvl w:val="2"/>
        <w:rPr>
          <w:rFonts w:hint="eastAsia" w:ascii="宋体" w:hAnsi="宋体" w:eastAsia="宋体" w:cs="宋体"/>
          <w:color w:val="auto"/>
          <w:spacing w:val="0"/>
          <w:sz w:val="24"/>
          <w:szCs w:val="24"/>
          <w:highlight w:val="none"/>
        </w:rPr>
      </w:pPr>
      <w:bookmarkStart w:id="207" w:name="_Toc9064"/>
      <w:bookmarkStart w:id="208" w:name="_Toc3353"/>
      <w:r>
        <w:rPr>
          <w:rFonts w:hint="eastAsia" w:ascii="宋体" w:hAnsi="宋体" w:eastAsia="宋体" w:cs="宋体"/>
          <w:b/>
          <w:bCs/>
          <w:color w:val="auto"/>
          <w:spacing w:val="0"/>
          <w:sz w:val="24"/>
          <w:szCs w:val="24"/>
          <w:highlight w:val="none"/>
        </w:rPr>
        <w:t>2 ．招标工程量清单</w:t>
      </w:r>
      <w:bookmarkEnd w:id="207"/>
      <w:bookmarkEnd w:id="208"/>
    </w:p>
    <w:p w14:paraId="65F4E704">
      <w:pPr>
        <w:keepNext w:val="0"/>
        <w:keepLines w:val="0"/>
        <w:pageBreakBefore w:val="0"/>
        <w:wordWrap w:val="0"/>
        <w:overflowPunct/>
        <w:topLinePunct w:val="0"/>
        <w:bidi w:val="0"/>
        <w:spacing w:before="117" w:line="312" w:lineRule="auto"/>
        <w:ind w:left="231"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2.1  </w:t>
      </w:r>
      <w:r>
        <w:rPr>
          <w:rFonts w:hint="eastAsia" w:ascii="宋体" w:hAnsi="宋体" w:eastAsia="宋体" w:cs="宋体"/>
          <w:color w:val="auto"/>
          <w:spacing w:val="0"/>
          <w:sz w:val="24"/>
          <w:szCs w:val="24"/>
          <w:highlight w:val="none"/>
        </w:rPr>
        <w:t>本招标文件随文另附</w:t>
      </w:r>
      <w:bookmarkStart w:id="209" w:name="OLE_LINK33"/>
      <w:r>
        <w:rPr>
          <w:rFonts w:hint="eastAsia" w:ascii="宋体" w:hAnsi="宋体" w:eastAsia="宋体" w:cs="宋体"/>
          <w:color w:val="auto"/>
          <w:spacing w:val="0"/>
          <w:sz w:val="24"/>
          <w:szCs w:val="24"/>
          <w:highlight w:val="none"/>
          <w:u w:val="single"/>
        </w:rPr>
        <w:t>招标工程量清单  EXCEL 版</w:t>
      </w:r>
      <w:bookmarkEnd w:id="209"/>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电子文件一套。</w:t>
      </w:r>
    </w:p>
    <w:p w14:paraId="33AD0AD8">
      <w:pPr>
        <w:keepNext w:val="0"/>
        <w:keepLines w:val="0"/>
        <w:pageBreakBefore w:val="0"/>
        <w:wordWrap w:val="0"/>
        <w:overflowPunct/>
        <w:topLinePunct w:val="0"/>
        <w:bidi w:val="0"/>
        <w:spacing w:before="78" w:line="219" w:lineRule="auto"/>
        <w:ind w:left="478" w:firstLine="241" w:firstLineChars="100"/>
        <w:rPr>
          <w:rFonts w:hint="eastAsia" w:ascii="宋体" w:hAnsi="宋体" w:eastAsia="宋体" w:cs="宋体"/>
          <w:color w:val="auto"/>
          <w:spacing w:val="0"/>
          <w:sz w:val="24"/>
          <w:szCs w:val="24"/>
          <w:highlight w:val="none"/>
        </w:rPr>
      </w:pPr>
      <w:bookmarkStart w:id="210" w:name="bookmark147"/>
      <w:bookmarkEnd w:id="210"/>
      <w:r>
        <w:rPr>
          <w:rFonts w:hint="eastAsia" w:ascii="宋体" w:hAnsi="宋体" w:eastAsia="宋体" w:cs="宋体"/>
          <w:b/>
          <w:bCs/>
          <w:color w:val="auto"/>
          <w:spacing w:val="0"/>
          <w:sz w:val="24"/>
          <w:szCs w:val="24"/>
          <w:highlight w:val="none"/>
        </w:rPr>
        <w:t xml:space="preserve">2.2  </w:t>
      </w:r>
      <w:r>
        <w:rPr>
          <w:rFonts w:hint="eastAsia" w:ascii="宋体" w:hAnsi="宋体" w:eastAsia="宋体" w:cs="宋体"/>
          <w:color w:val="auto"/>
          <w:spacing w:val="0"/>
          <w:sz w:val="24"/>
          <w:szCs w:val="24"/>
          <w:highlight w:val="none"/>
        </w:rPr>
        <w:t>本工程按照以下依据编制</w:t>
      </w:r>
      <w:r>
        <w:rPr>
          <w:rFonts w:hint="eastAsia" w:ascii="宋体" w:hAnsi="宋体" w:eastAsia="宋体" w:cs="宋体"/>
          <w:color w:val="auto"/>
          <w:spacing w:val="0"/>
          <w:sz w:val="24"/>
          <w:szCs w:val="24"/>
          <w:highlight w:val="none"/>
          <w:u w:val="single"/>
        </w:rPr>
        <w:t>招标工程量清单</w:t>
      </w:r>
      <w:r>
        <w:rPr>
          <w:rFonts w:hint="eastAsia" w:ascii="宋体" w:hAnsi="宋体" w:eastAsia="宋体" w:cs="宋体"/>
          <w:color w:val="auto"/>
          <w:spacing w:val="0"/>
          <w:sz w:val="24"/>
          <w:szCs w:val="24"/>
          <w:highlight w:val="none"/>
        </w:rPr>
        <w:t>：</w:t>
      </w:r>
    </w:p>
    <w:p w14:paraId="4ADE5BD6">
      <w:pPr>
        <w:keepNext w:val="0"/>
        <w:keepLines w:val="0"/>
        <w:pageBreakBefore w:val="0"/>
        <w:wordWrap w:val="0"/>
        <w:overflowPunct/>
        <w:topLinePunct w:val="0"/>
        <w:bidi w:val="0"/>
        <w:spacing w:before="123" w:line="219"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w:t>
      </w:r>
    </w:p>
    <w:p w14:paraId="11C4EC15">
      <w:pPr>
        <w:keepNext w:val="0"/>
        <w:keepLines w:val="0"/>
        <w:pageBreakBefore w:val="0"/>
        <w:wordWrap w:val="0"/>
        <w:overflowPunct/>
        <w:topLinePunct w:val="0"/>
        <w:bidi w:val="0"/>
        <w:spacing w:before="115" w:line="299" w:lineRule="auto"/>
        <w:ind w:firstLine="493"/>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投标人应对招标人提供的工程量清单进行认真细致的复核。这种复核包括对招标人提供的工程量清单中的子目编码、子目名称、子目特征描述、计量单位、工程量的准确性以及可能存在的任何书写、打印错误进行检查和复核，特别是对“分部分项工程量清单与计价表”中每个工作子目的工程量进行重新计算和校核。如果投标人经过检查和复核以后认为招标人提供的工程量清单存在差异，则投标人应将此类差异的详细情况连同按“投标须知 ”规定提交的要求招标人澄清的其他问题一起提交给招标人，招标人将根据实际情况决定是否颁发</w:t>
      </w:r>
      <w:r>
        <w:rPr>
          <w:rFonts w:hint="eastAsia" w:ascii="宋体" w:hAnsi="宋体" w:eastAsia="宋体" w:cs="宋体"/>
          <w:color w:val="auto"/>
          <w:spacing w:val="0"/>
          <w:sz w:val="24"/>
          <w:szCs w:val="24"/>
          <w:highlight w:val="none"/>
          <w:u w:val="single"/>
        </w:rPr>
        <w:t>工程量清单</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的补充和(或)修改文件。</w:t>
      </w:r>
    </w:p>
    <w:p w14:paraId="396435DC">
      <w:pPr>
        <w:keepNext w:val="0"/>
        <w:keepLines w:val="0"/>
        <w:pageBreakBefore w:val="0"/>
        <w:wordWrap w:val="0"/>
        <w:overflowPunct/>
        <w:topLinePunct w:val="0"/>
        <w:bidi w:val="0"/>
        <w:spacing w:before="79" w:line="263" w:lineRule="auto"/>
        <w:ind w:left="2" w:right="2" w:firstLine="48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（3）本招标工程量清单措施项目中的</w:t>
      </w:r>
      <w:r>
        <w:rPr>
          <w:rFonts w:hint="eastAsia" w:ascii="宋体" w:hAnsi="宋体" w:eastAsia="宋体" w:cs="宋体"/>
          <w:b/>
          <w:bCs/>
          <w:color w:val="auto"/>
          <w:spacing w:val="0"/>
          <w:sz w:val="24"/>
          <w:szCs w:val="24"/>
          <w:highlight w:val="none"/>
        </w:rPr>
        <w:t>暂列金额、暂估价</w:t>
      </w:r>
      <w:r>
        <w:rPr>
          <w:rFonts w:hint="eastAsia" w:ascii="宋体" w:hAnsi="宋体" w:eastAsia="宋体" w:cs="宋体"/>
          <w:color w:val="auto"/>
          <w:spacing w:val="0"/>
          <w:sz w:val="24"/>
          <w:szCs w:val="24"/>
          <w:highlight w:val="none"/>
        </w:rPr>
        <w:t>不得作为竞争性费用，投标报价必须按本招标工程量清单规定的金额填报。</w:t>
      </w:r>
    </w:p>
    <w:p w14:paraId="7E3C2A06">
      <w:pPr>
        <w:keepNext w:val="0"/>
        <w:keepLines w:val="0"/>
        <w:pageBreakBefore w:val="0"/>
        <w:wordWrap w:val="0"/>
        <w:overflowPunct/>
        <w:topLinePunct w:val="0"/>
        <w:bidi w:val="0"/>
        <w:spacing w:before="118" w:line="265" w:lineRule="auto"/>
        <w:ind w:left="7" w:right="4" w:firstLine="48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（4）投标报价使用的表格格式须按照《</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w:t>
      </w:r>
    </w:p>
    <w:p w14:paraId="14F500B5">
      <w:pPr>
        <w:keepNext w:val="0"/>
        <w:keepLines w:val="0"/>
        <w:pageBreakBefore w:val="0"/>
        <w:wordWrap w:val="0"/>
        <w:overflowPunct/>
        <w:topLinePunct w:val="0"/>
        <w:bidi w:val="0"/>
        <w:spacing w:before="107" w:line="286" w:lineRule="auto"/>
        <w:ind w:right="4" w:firstLine="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30D23E0F">
      <w:pPr>
        <w:keepNext w:val="0"/>
        <w:keepLines w:val="0"/>
        <w:pageBreakBefore w:val="0"/>
        <w:wordWrap w:val="0"/>
        <w:overflowPunct/>
        <w:topLinePunct w:val="0"/>
        <w:bidi w:val="0"/>
        <w:spacing w:before="146" w:line="221"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（6）施工图及相关资料；</w:t>
      </w:r>
    </w:p>
    <w:p w14:paraId="40D30AFB">
      <w:pPr>
        <w:keepNext w:val="0"/>
        <w:keepLines w:val="0"/>
        <w:pageBreakBefore w:val="0"/>
        <w:wordWrap w:val="0"/>
        <w:overflowPunct/>
        <w:topLinePunct w:val="0"/>
        <w:bidi w:val="0"/>
        <w:spacing w:before="153" w:line="220"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（7）招标文件；</w:t>
      </w:r>
    </w:p>
    <w:p w14:paraId="1BB0CBB1">
      <w:pPr>
        <w:keepNext w:val="0"/>
        <w:keepLines w:val="0"/>
        <w:pageBreakBefore w:val="0"/>
        <w:wordWrap w:val="0"/>
        <w:overflowPunct/>
        <w:topLinePunct w:val="0"/>
        <w:bidi w:val="0"/>
        <w:spacing w:before="155" w:line="220"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（8）施工现场情况、地勘水文资料、工程特点及常规施工方案；</w:t>
      </w:r>
    </w:p>
    <w:p w14:paraId="6410E1A2">
      <w:pPr>
        <w:keepNext w:val="0"/>
        <w:keepLines w:val="0"/>
        <w:pageBreakBefore w:val="0"/>
        <w:wordWrap w:val="0"/>
        <w:overflowPunct/>
        <w:topLinePunct w:val="0"/>
        <w:bidi w:val="0"/>
        <w:spacing w:before="153" w:line="219"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（9）与建设工程有关的标准、规范、技术资料、材料设备信息价或市场价格等。</w:t>
      </w:r>
    </w:p>
    <w:p w14:paraId="1D4C5EAD">
      <w:pPr>
        <w:pStyle w:val="25"/>
        <w:rPr>
          <w:rFonts w:hint="eastAsia"/>
          <w:highlight w:val="none"/>
        </w:rPr>
      </w:pPr>
    </w:p>
    <w:p w14:paraId="4AC2D2DC">
      <w:pPr>
        <w:keepNext w:val="0"/>
        <w:keepLines w:val="0"/>
        <w:pageBreakBefore w:val="0"/>
        <w:wordWrap w:val="0"/>
        <w:overflowPunct/>
        <w:topLinePunct w:val="0"/>
        <w:bidi w:val="0"/>
        <w:spacing w:line="219" w:lineRule="auto"/>
        <w:rPr>
          <w:rFonts w:hint="eastAsia" w:ascii="宋体" w:hAnsi="宋体" w:eastAsia="宋体" w:cs="宋体"/>
          <w:color w:val="auto"/>
          <w:spacing w:val="0"/>
          <w:sz w:val="24"/>
          <w:szCs w:val="24"/>
          <w:highlight w:val="none"/>
        </w:rPr>
        <w:sectPr>
          <w:footerReference r:id="rId12"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6DDC0F87">
      <w:pPr>
        <w:pStyle w:val="6"/>
        <w:keepNext w:val="0"/>
        <w:keepLines w:val="0"/>
        <w:pageBreakBefore w:val="0"/>
        <w:wordWrap w:val="0"/>
        <w:overflowPunct/>
        <w:topLinePunct w:val="0"/>
        <w:bidi w:val="0"/>
        <w:spacing w:line="304" w:lineRule="auto"/>
        <w:rPr>
          <w:rFonts w:hint="eastAsia" w:ascii="宋体" w:hAnsi="宋体" w:eastAsia="宋体" w:cs="宋体"/>
          <w:color w:val="auto"/>
          <w:spacing w:val="0"/>
          <w:highlight w:val="none"/>
        </w:rPr>
      </w:pPr>
    </w:p>
    <w:p w14:paraId="53A71D7E">
      <w:pPr>
        <w:keepNext w:val="0"/>
        <w:keepLines w:val="0"/>
        <w:pageBreakBefore w:val="0"/>
        <w:wordWrap w:val="0"/>
        <w:overflowPunct/>
        <w:topLinePunct w:val="0"/>
        <w:bidi w:val="0"/>
        <w:spacing w:before="78" w:line="219" w:lineRule="auto"/>
        <w:ind w:left="3357"/>
        <w:outlineLvl w:val="0"/>
        <w:rPr>
          <w:rFonts w:hint="eastAsia" w:ascii="宋体" w:hAnsi="宋体" w:eastAsia="宋体" w:cs="宋体"/>
          <w:color w:val="auto"/>
          <w:spacing w:val="0"/>
          <w:sz w:val="24"/>
          <w:szCs w:val="24"/>
          <w:highlight w:val="none"/>
        </w:rPr>
      </w:pPr>
      <w:bookmarkStart w:id="211" w:name="_Toc5775"/>
      <w:r>
        <w:rPr>
          <w:rFonts w:hint="eastAsia" w:ascii="宋体" w:hAnsi="宋体" w:eastAsia="宋体" w:cs="宋体"/>
          <w:b/>
          <w:bCs/>
          <w:color w:val="auto"/>
          <w:spacing w:val="0"/>
          <w:sz w:val="24"/>
          <w:szCs w:val="24"/>
          <w:highlight w:val="none"/>
        </w:rPr>
        <w:t>第六章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投标文件格式</w:t>
      </w:r>
      <w:bookmarkEnd w:id="211"/>
    </w:p>
    <w:p w14:paraId="2EC1601C">
      <w:pPr>
        <w:pStyle w:val="6"/>
        <w:keepNext w:val="0"/>
        <w:keepLines w:val="0"/>
        <w:pageBreakBefore w:val="0"/>
        <w:wordWrap w:val="0"/>
        <w:overflowPunct/>
        <w:topLinePunct w:val="0"/>
        <w:bidi w:val="0"/>
        <w:spacing w:line="302" w:lineRule="auto"/>
        <w:jc w:val="right"/>
        <w:rPr>
          <w:rFonts w:hint="eastAsia" w:ascii="宋体" w:hAnsi="宋体" w:eastAsia="宋体" w:cs="宋体"/>
          <w:color w:val="auto"/>
          <w:spacing w:val="0"/>
          <w:highlight w:val="none"/>
        </w:rPr>
      </w:pPr>
    </w:p>
    <w:p w14:paraId="35317F27">
      <w:pPr>
        <w:keepNext w:val="0"/>
        <w:keepLines w:val="0"/>
        <w:pageBreakBefore w:val="0"/>
        <w:wordWrap w:val="0"/>
        <w:overflowPunct/>
        <w:topLinePunct w:val="0"/>
        <w:bidi w:val="0"/>
        <w:spacing w:before="78" w:line="220" w:lineRule="auto"/>
        <w:outlineLvl w:val="2"/>
        <w:rPr>
          <w:rFonts w:hint="eastAsia" w:ascii="宋体" w:hAnsi="宋体" w:eastAsia="宋体" w:cs="宋体"/>
          <w:color w:val="auto"/>
          <w:spacing w:val="0"/>
          <w:sz w:val="24"/>
          <w:szCs w:val="24"/>
          <w:highlight w:val="none"/>
        </w:rPr>
      </w:pPr>
      <w:bookmarkStart w:id="212" w:name="_Toc21804"/>
      <w:r>
        <w:rPr>
          <w:rFonts w:hint="eastAsia" w:ascii="宋体" w:hAnsi="宋体" w:eastAsia="宋体" w:cs="宋体"/>
          <w:b/>
          <w:bCs/>
          <w:color w:val="auto"/>
          <w:spacing w:val="0"/>
          <w:sz w:val="24"/>
          <w:szCs w:val="24"/>
          <w:highlight w:val="none"/>
        </w:rPr>
        <w:t>格式一</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封面</w:t>
      </w:r>
      <w:bookmarkEnd w:id="212"/>
    </w:p>
    <w:p w14:paraId="22939F0A">
      <w:pPr>
        <w:pStyle w:val="6"/>
        <w:keepNext w:val="0"/>
        <w:keepLines w:val="0"/>
        <w:pageBreakBefore w:val="0"/>
        <w:wordWrap w:val="0"/>
        <w:overflowPunct/>
        <w:topLinePunct w:val="0"/>
        <w:bidi w:val="0"/>
        <w:spacing w:line="258" w:lineRule="auto"/>
        <w:rPr>
          <w:rFonts w:hint="eastAsia" w:ascii="宋体" w:hAnsi="宋体" w:eastAsia="宋体" w:cs="宋体"/>
          <w:color w:val="auto"/>
          <w:spacing w:val="0"/>
          <w:highlight w:val="none"/>
        </w:rPr>
      </w:pPr>
    </w:p>
    <w:p w14:paraId="66915BCF">
      <w:pPr>
        <w:pStyle w:val="6"/>
        <w:keepNext w:val="0"/>
        <w:keepLines w:val="0"/>
        <w:pageBreakBefore w:val="0"/>
        <w:wordWrap w:val="0"/>
        <w:overflowPunct/>
        <w:topLinePunct w:val="0"/>
        <w:bidi w:val="0"/>
        <w:spacing w:line="259" w:lineRule="auto"/>
        <w:rPr>
          <w:rFonts w:hint="eastAsia" w:ascii="宋体" w:hAnsi="宋体" w:eastAsia="宋体" w:cs="宋体"/>
          <w:color w:val="auto"/>
          <w:spacing w:val="0"/>
          <w:highlight w:val="none"/>
        </w:rPr>
      </w:pPr>
    </w:p>
    <w:p w14:paraId="6B9238C0">
      <w:pPr>
        <w:pStyle w:val="6"/>
        <w:keepNext w:val="0"/>
        <w:keepLines w:val="0"/>
        <w:pageBreakBefore w:val="0"/>
        <w:wordWrap w:val="0"/>
        <w:overflowPunct/>
        <w:topLinePunct w:val="0"/>
        <w:bidi w:val="0"/>
        <w:spacing w:line="259" w:lineRule="auto"/>
        <w:rPr>
          <w:rFonts w:hint="eastAsia" w:ascii="宋体" w:hAnsi="宋体" w:eastAsia="宋体" w:cs="宋体"/>
          <w:color w:val="auto"/>
          <w:spacing w:val="0"/>
          <w:highlight w:val="none"/>
        </w:rPr>
      </w:pPr>
    </w:p>
    <w:p w14:paraId="51AEF4BE">
      <w:pPr>
        <w:keepNext w:val="0"/>
        <w:keepLines w:val="0"/>
        <w:pageBreakBefore w:val="0"/>
        <w:wordWrap w:val="0"/>
        <w:overflowPunct/>
        <w:topLinePunct w:val="0"/>
        <w:bidi w:val="0"/>
        <w:spacing w:before="153" w:line="225" w:lineRule="auto"/>
        <w:ind w:left="-1" w:leftChars="0" w:firstLine="0" w:firstLineChars="0"/>
        <w:jc w:val="center"/>
        <w:rPr>
          <w:rFonts w:hint="eastAsia" w:ascii="宋体" w:hAnsi="宋体" w:eastAsia="宋体" w:cs="宋体"/>
          <w:color w:val="auto"/>
          <w:spacing w:val="0"/>
          <w:sz w:val="47"/>
          <w:szCs w:val="47"/>
          <w:highlight w:val="none"/>
        </w:rPr>
      </w:pPr>
      <w:r>
        <w:rPr>
          <w:rFonts w:hint="eastAsia" w:ascii="宋体" w:hAnsi="宋体" w:eastAsia="宋体" w:cs="宋体"/>
          <w:b/>
          <w:bCs/>
          <w:color w:val="auto"/>
          <w:spacing w:val="0"/>
          <w:sz w:val="47"/>
          <w:szCs w:val="47"/>
          <w:highlight w:val="none"/>
          <w:u w:val="single"/>
          <w:lang w:val="en-US" w:eastAsia="zh-CN"/>
        </w:rPr>
        <w:t xml:space="preserve">    </w:t>
      </w:r>
      <w:r>
        <w:rPr>
          <w:rFonts w:hint="eastAsia" w:ascii="宋体" w:hAnsi="宋体" w:eastAsia="宋体" w:cs="宋体"/>
          <w:b/>
          <w:bCs/>
          <w:color w:val="auto"/>
          <w:spacing w:val="0"/>
          <w:sz w:val="47"/>
          <w:szCs w:val="47"/>
          <w:highlight w:val="none"/>
          <w:u w:val="single"/>
        </w:rPr>
        <w:t>（项目名称）</w:t>
      </w:r>
      <w:r>
        <w:rPr>
          <w:rFonts w:hint="eastAsia" w:ascii="宋体" w:hAnsi="宋体" w:eastAsia="宋体" w:cs="宋体"/>
          <w:b/>
          <w:bCs/>
          <w:color w:val="auto"/>
          <w:spacing w:val="0"/>
          <w:sz w:val="47"/>
          <w:szCs w:val="47"/>
          <w:highlight w:val="none"/>
          <w:u w:val="none"/>
          <w:lang w:val="en-US" w:eastAsia="zh-CN"/>
        </w:rPr>
        <w:t>施工</w:t>
      </w:r>
      <w:r>
        <w:rPr>
          <w:rFonts w:hint="eastAsia" w:ascii="宋体" w:hAnsi="宋体" w:eastAsia="宋体" w:cs="宋体"/>
          <w:b/>
          <w:bCs/>
          <w:color w:val="auto"/>
          <w:spacing w:val="0"/>
          <w:sz w:val="47"/>
          <w:szCs w:val="47"/>
          <w:highlight w:val="none"/>
        </w:rPr>
        <w:t>招标</w:t>
      </w:r>
    </w:p>
    <w:p w14:paraId="72F4C1FC">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590D7A8C">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340A7482">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2B960F29">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2B958D73">
      <w:pPr>
        <w:pStyle w:val="6"/>
        <w:keepNext w:val="0"/>
        <w:keepLines w:val="0"/>
        <w:pageBreakBefore w:val="0"/>
        <w:wordWrap w:val="0"/>
        <w:overflowPunct/>
        <w:topLinePunct w:val="0"/>
        <w:bidi w:val="0"/>
        <w:spacing w:line="248" w:lineRule="auto"/>
        <w:rPr>
          <w:rFonts w:hint="eastAsia" w:ascii="宋体" w:hAnsi="宋体" w:eastAsia="宋体" w:cs="宋体"/>
          <w:color w:val="auto"/>
          <w:spacing w:val="0"/>
          <w:highlight w:val="none"/>
        </w:rPr>
      </w:pPr>
    </w:p>
    <w:p w14:paraId="47A72E10">
      <w:pPr>
        <w:keepNext w:val="0"/>
        <w:keepLines w:val="0"/>
        <w:pageBreakBefore w:val="0"/>
        <w:wordWrap w:val="0"/>
        <w:overflowPunct/>
        <w:topLinePunct w:val="0"/>
        <w:bidi w:val="0"/>
        <w:spacing w:before="231" w:line="223" w:lineRule="auto"/>
        <w:jc w:val="center"/>
        <w:rPr>
          <w:rFonts w:hint="eastAsia" w:ascii="宋体" w:hAnsi="宋体" w:eastAsia="宋体" w:cs="宋体"/>
          <w:color w:val="auto"/>
          <w:spacing w:val="0"/>
          <w:sz w:val="71"/>
          <w:szCs w:val="71"/>
          <w:highlight w:val="none"/>
        </w:rPr>
      </w:pPr>
      <w:r>
        <w:rPr>
          <w:rFonts w:hint="eastAsia" w:ascii="宋体" w:hAnsi="宋体" w:eastAsia="宋体" w:cs="宋体"/>
          <w:b/>
          <w:bCs/>
          <w:color w:val="auto"/>
          <w:spacing w:val="0"/>
          <w:sz w:val="71"/>
          <w:szCs w:val="71"/>
          <w:highlight w:val="none"/>
        </w:rPr>
        <w:t>投</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标</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文</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件</w:t>
      </w:r>
    </w:p>
    <w:p w14:paraId="18D44A5D">
      <w:pPr>
        <w:pStyle w:val="6"/>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2A01F55B">
      <w:pPr>
        <w:pStyle w:val="6"/>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60F88F6F">
      <w:pPr>
        <w:keepNext w:val="0"/>
        <w:keepLines w:val="0"/>
        <w:pageBreakBefore w:val="0"/>
        <w:wordWrap w:val="0"/>
        <w:overflowPunct/>
        <w:topLinePunct w:val="0"/>
        <w:bidi w:val="0"/>
        <w:spacing w:before="152" w:line="223" w:lineRule="auto"/>
        <w:jc w:val="center"/>
        <w:rPr>
          <w:rFonts w:hint="eastAsia" w:ascii="宋体" w:hAnsi="宋体" w:eastAsia="宋体" w:cs="宋体"/>
          <w:b/>
          <w:bCs/>
          <w:color w:val="auto"/>
          <w:spacing w:val="0"/>
          <w:sz w:val="47"/>
          <w:szCs w:val="47"/>
          <w:highlight w:val="none"/>
        </w:rPr>
      </w:pPr>
      <w:bookmarkStart w:id="213" w:name="bookmark105"/>
      <w:bookmarkEnd w:id="213"/>
      <w:r>
        <w:rPr>
          <w:rFonts w:hint="eastAsia" w:ascii="宋体" w:hAnsi="宋体" w:eastAsia="宋体" w:cs="宋体"/>
          <w:b/>
          <w:bCs/>
          <w:color w:val="auto"/>
          <w:spacing w:val="0"/>
          <w:sz w:val="47"/>
          <w:szCs w:val="47"/>
          <w:highlight w:val="none"/>
        </w:rPr>
        <w:t>（商务标书／经济标书／施工组织设计）</w:t>
      </w:r>
    </w:p>
    <w:p w14:paraId="1827A625">
      <w:pPr>
        <w:keepNext w:val="0"/>
        <w:keepLines w:val="0"/>
        <w:pageBreakBefore w:val="0"/>
        <w:wordWrap w:val="0"/>
        <w:overflowPunct/>
        <w:topLinePunct w:val="0"/>
        <w:bidi w:val="0"/>
        <w:rPr>
          <w:rFonts w:hint="eastAsia"/>
          <w:color w:val="auto"/>
          <w:spacing w:val="0"/>
          <w:highlight w:val="none"/>
        </w:rPr>
      </w:pPr>
    </w:p>
    <w:p w14:paraId="67DBC774">
      <w:pPr>
        <w:keepNext w:val="0"/>
        <w:keepLines w:val="0"/>
        <w:pageBreakBefore w:val="0"/>
        <w:wordWrap w:val="0"/>
        <w:overflowPunct/>
        <w:topLinePunct w:val="0"/>
        <w:bidi w:val="0"/>
        <w:rPr>
          <w:rFonts w:hint="eastAsia"/>
          <w:color w:val="auto"/>
          <w:spacing w:val="0"/>
          <w:highlight w:val="none"/>
        </w:rPr>
      </w:pPr>
    </w:p>
    <w:p w14:paraId="7A75E59A">
      <w:pPr>
        <w:keepNext w:val="0"/>
        <w:keepLines w:val="0"/>
        <w:pageBreakBefore w:val="0"/>
        <w:wordWrap w:val="0"/>
        <w:overflowPunct/>
        <w:topLinePunct w:val="0"/>
        <w:bidi w:val="0"/>
        <w:rPr>
          <w:rFonts w:hint="eastAsia"/>
          <w:color w:val="auto"/>
          <w:spacing w:val="0"/>
          <w:highlight w:val="none"/>
        </w:rPr>
      </w:pPr>
    </w:p>
    <w:p w14:paraId="15752D3C">
      <w:pPr>
        <w:keepNext w:val="0"/>
        <w:keepLines w:val="0"/>
        <w:pageBreakBefore w:val="0"/>
        <w:wordWrap w:val="0"/>
        <w:overflowPunct/>
        <w:topLinePunct w:val="0"/>
        <w:bidi w:val="0"/>
        <w:rPr>
          <w:rFonts w:hint="eastAsia"/>
          <w:color w:val="auto"/>
          <w:spacing w:val="0"/>
          <w:highlight w:val="none"/>
        </w:rPr>
      </w:pPr>
    </w:p>
    <w:p w14:paraId="5692DC52">
      <w:pPr>
        <w:keepNext w:val="0"/>
        <w:keepLines w:val="0"/>
        <w:pageBreakBefore w:val="0"/>
        <w:wordWrap w:val="0"/>
        <w:overflowPunct/>
        <w:topLinePunct w:val="0"/>
        <w:bidi w:val="0"/>
        <w:rPr>
          <w:rFonts w:hint="eastAsia"/>
          <w:color w:val="auto"/>
          <w:spacing w:val="0"/>
          <w:highlight w:val="none"/>
        </w:rPr>
      </w:pPr>
    </w:p>
    <w:p w14:paraId="16E4878E">
      <w:pPr>
        <w:keepNext w:val="0"/>
        <w:keepLines w:val="0"/>
        <w:pageBreakBefore w:val="0"/>
        <w:wordWrap w:val="0"/>
        <w:overflowPunct/>
        <w:topLinePunct w:val="0"/>
        <w:bidi w:val="0"/>
        <w:rPr>
          <w:rFonts w:hint="eastAsia"/>
          <w:color w:val="auto"/>
          <w:spacing w:val="0"/>
          <w:highlight w:val="none"/>
        </w:rPr>
      </w:pPr>
    </w:p>
    <w:p w14:paraId="02A3E851">
      <w:pPr>
        <w:keepNext w:val="0"/>
        <w:keepLines w:val="0"/>
        <w:pageBreakBefore w:val="0"/>
        <w:wordWrap w:val="0"/>
        <w:overflowPunct/>
        <w:topLinePunct w:val="0"/>
        <w:bidi w:val="0"/>
        <w:rPr>
          <w:rFonts w:hint="eastAsia"/>
          <w:color w:val="auto"/>
          <w:spacing w:val="0"/>
          <w:highlight w:val="none"/>
        </w:rPr>
      </w:pPr>
    </w:p>
    <w:p w14:paraId="239B10F6">
      <w:pPr>
        <w:keepNext w:val="0"/>
        <w:keepLines w:val="0"/>
        <w:pageBreakBefore w:val="0"/>
        <w:wordWrap w:val="0"/>
        <w:overflowPunct/>
        <w:topLinePunct w:val="0"/>
        <w:bidi w:val="0"/>
        <w:rPr>
          <w:rFonts w:hint="eastAsia"/>
          <w:color w:val="auto"/>
          <w:spacing w:val="0"/>
          <w:highlight w:val="none"/>
        </w:rPr>
      </w:pPr>
    </w:p>
    <w:p w14:paraId="7DEE428F">
      <w:pPr>
        <w:pStyle w:val="47"/>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r>
        <w:rPr>
          <w:rFonts w:hint="eastAsia" w:ascii="宋体" w:hAnsi="宋体" w:eastAsia="宋体" w:cs="宋体"/>
          <w:bCs/>
          <w:snapToGrid w:val="0"/>
          <w:color w:val="auto"/>
          <w:spacing w:val="0"/>
          <w:sz w:val="32"/>
          <w:highlight w:val="none"/>
        </w:rPr>
        <w:t>投标人：</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（盖单位章）</w:t>
      </w:r>
    </w:p>
    <w:p w14:paraId="1F2990EF">
      <w:pPr>
        <w:pStyle w:val="47"/>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392542ED">
      <w:pPr>
        <w:pStyle w:val="47"/>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6E8E05FF">
      <w:pPr>
        <w:pStyle w:val="47"/>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r>
        <w:rPr>
          <w:rFonts w:hint="eastAsia" w:ascii="宋体" w:hAnsi="宋体" w:eastAsia="宋体" w:cs="宋体"/>
          <w:bCs/>
          <w:snapToGrid w:val="0"/>
          <w:color w:val="auto"/>
          <w:spacing w:val="0"/>
          <w:sz w:val="32"/>
          <w:highlight w:val="none"/>
        </w:rPr>
        <w:t>法定代表人或其委托代理人：</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（签字或盖章）</w:t>
      </w:r>
    </w:p>
    <w:p w14:paraId="0A7DCB04">
      <w:pPr>
        <w:pStyle w:val="47"/>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078077D8">
      <w:pPr>
        <w:pStyle w:val="47"/>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u w:val="single"/>
        </w:rPr>
      </w:pPr>
    </w:p>
    <w:p w14:paraId="0B9F06FE">
      <w:pPr>
        <w:pStyle w:val="47"/>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
          <w:snapToGrid w:val="0"/>
          <w:color w:val="auto"/>
          <w:spacing w:val="0"/>
          <w:highlight w:val="none"/>
        </w:rPr>
      </w:pP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年</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月</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日</w:t>
      </w:r>
    </w:p>
    <w:p w14:paraId="2093C1E3">
      <w:pPr>
        <w:keepNext w:val="0"/>
        <w:keepLines w:val="0"/>
        <w:pageBreakBefore w:val="0"/>
        <w:wordWrap w:val="0"/>
        <w:overflowPunct/>
        <w:topLinePunct w:val="0"/>
        <w:bidi w:val="0"/>
        <w:rPr>
          <w:rFonts w:hint="eastAsia"/>
          <w:color w:val="auto"/>
          <w:spacing w:val="0"/>
          <w:highlight w:val="none"/>
        </w:rPr>
      </w:pPr>
    </w:p>
    <w:p w14:paraId="16E40CD3">
      <w:pPr>
        <w:keepNext w:val="0"/>
        <w:keepLines w:val="0"/>
        <w:pageBreakBefore w:val="0"/>
        <w:wordWrap w:val="0"/>
        <w:overflowPunct/>
        <w:topLinePunct w:val="0"/>
        <w:bidi w:val="0"/>
        <w:outlineLvl w:val="9"/>
        <w:rPr>
          <w:rFonts w:hint="eastAsia"/>
          <w:color w:val="auto"/>
          <w:spacing w:val="0"/>
          <w:highlight w:val="none"/>
        </w:rPr>
      </w:pPr>
    </w:p>
    <w:p w14:paraId="50644371">
      <w:pPr>
        <w:keepNext w:val="0"/>
        <w:keepLines w:val="0"/>
        <w:pageBreakBefore w:val="0"/>
        <w:wordWrap w:val="0"/>
        <w:overflowPunct/>
        <w:topLinePunct w:val="0"/>
        <w:bidi w:val="0"/>
        <w:spacing w:line="223" w:lineRule="auto"/>
        <w:rPr>
          <w:rFonts w:hint="eastAsia" w:ascii="宋体" w:hAnsi="宋体" w:eastAsia="宋体" w:cs="宋体"/>
          <w:color w:val="auto"/>
          <w:spacing w:val="0"/>
          <w:sz w:val="47"/>
          <w:szCs w:val="47"/>
          <w:highlight w:val="none"/>
        </w:rPr>
        <w:sectPr>
          <w:footerReference r:id="rId13"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24006671">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14" w:name="_Toc9478"/>
      <w:r>
        <w:rPr>
          <w:rFonts w:hint="eastAsia" w:ascii="宋体" w:hAnsi="宋体" w:eastAsia="宋体" w:cs="宋体"/>
          <w:b/>
          <w:bCs/>
          <w:color w:val="auto"/>
          <w:spacing w:val="0"/>
          <w:sz w:val="24"/>
          <w:szCs w:val="24"/>
          <w:highlight w:val="none"/>
        </w:rPr>
        <w:t>格式二 投标函</w:t>
      </w:r>
      <w:bookmarkEnd w:id="214"/>
    </w:p>
    <w:p w14:paraId="1D98FD50">
      <w:pPr>
        <w:pStyle w:val="6"/>
        <w:keepNext w:val="0"/>
        <w:keepLines w:val="0"/>
        <w:pageBreakBefore w:val="0"/>
        <w:wordWrap w:val="0"/>
        <w:overflowPunct/>
        <w:topLinePunct w:val="0"/>
        <w:bidi w:val="0"/>
        <w:spacing w:line="261" w:lineRule="auto"/>
        <w:rPr>
          <w:rFonts w:hint="eastAsia" w:ascii="宋体" w:hAnsi="宋体" w:eastAsia="宋体" w:cs="宋体"/>
          <w:color w:val="auto"/>
          <w:spacing w:val="0"/>
          <w:highlight w:val="none"/>
        </w:rPr>
      </w:pPr>
    </w:p>
    <w:p w14:paraId="4CF4C0CD">
      <w:pPr>
        <w:keepNext w:val="0"/>
        <w:keepLines w:val="0"/>
        <w:pageBreakBefore w:val="0"/>
        <w:wordWrap w:val="0"/>
        <w:overflowPunct/>
        <w:topLinePunct w:val="0"/>
        <w:bidi w:val="0"/>
        <w:spacing w:before="97" w:line="221" w:lineRule="auto"/>
        <w:ind w:left="3799"/>
        <w:outlineLvl w:val="9"/>
        <w:rPr>
          <w:rFonts w:hint="eastAsia" w:ascii="宋体" w:hAnsi="宋体" w:eastAsia="宋体" w:cs="宋体"/>
          <w:color w:val="auto"/>
          <w:spacing w:val="0"/>
          <w:sz w:val="30"/>
          <w:szCs w:val="30"/>
          <w:highlight w:val="none"/>
        </w:rPr>
      </w:pPr>
      <w:bookmarkStart w:id="215" w:name="bookmark148"/>
      <w:bookmarkEnd w:id="215"/>
      <w:bookmarkStart w:id="216" w:name="_Toc317"/>
      <w:bookmarkStart w:id="217" w:name="_Toc297"/>
      <w:bookmarkStart w:id="218" w:name="_Toc27397"/>
      <w:r>
        <w:rPr>
          <w:rFonts w:hint="eastAsia" w:ascii="宋体" w:hAnsi="宋体" w:eastAsia="宋体" w:cs="宋体"/>
          <w:b/>
          <w:bCs/>
          <w:color w:val="auto"/>
          <w:spacing w:val="0"/>
          <w:sz w:val="30"/>
          <w:szCs w:val="30"/>
          <w:highlight w:val="none"/>
        </w:rPr>
        <w:t>投</w:t>
      </w:r>
      <w:r>
        <w:rPr>
          <w:rFonts w:hint="eastAsia" w:ascii="宋体" w:hAnsi="宋体" w:eastAsia="宋体" w:cs="宋体"/>
          <w:color w:val="auto"/>
          <w:spacing w:val="0"/>
          <w:sz w:val="30"/>
          <w:szCs w:val="30"/>
          <w:highlight w:val="none"/>
        </w:rPr>
        <w:t xml:space="preserve">  </w:t>
      </w:r>
      <w:r>
        <w:rPr>
          <w:rFonts w:hint="eastAsia" w:ascii="宋体" w:hAnsi="宋体" w:eastAsia="宋体" w:cs="宋体"/>
          <w:b/>
          <w:bCs/>
          <w:color w:val="auto"/>
          <w:spacing w:val="0"/>
          <w:sz w:val="30"/>
          <w:szCs w:val="30"/>
          <w:highlight w:val="none"/>
        </w:rPr>
        <w:t>标</w:t>
      </w:r>
      <w:r>
        <w:rPr>
          <w:rFonts w:hint="eastAsia" w:ascii="宋体" w:hAnsi="宋体" w:eastAsia="宋体" w:cs="宋体"/>
          <w:color w:val="auto"/>
          <w:spacing w:val="0"/>
          <w:sz w:val="30"/>
          <w:szCs w:val="30"/>
          <w:highlight w:val="none"/>
        </w:rPr>
        <w:t xml:space="preserve">  </w:t>
      </w:r>
      <w:r>
        <w:rPr>
          <w:rFonts w:hint="eastAsia" w:ascii="宋体" w:hAnsi="宋体" w:eastAsia="宋体" w:cs="宋体"/>
          <w:b/>
          <w:bCs/>
          <w:color w:val="auto"/>
          <w:spacing w:val="0"/>
          <w:sz w:val="30"/>
          <w:szCs w:val="30"/>
          <w:highlight w:val="none"/>
        </w:rPr>
        <w:t>函</w:t>
      </w:r>
      <w:bookmarkEnd w:id="216"/>
      <w:bookmarkEnd w:id="217"/>
      <w:bookmarkEnd w:id="218"/>
    </w:p>
    <w:p w14:paraId="0BECEE49">
      <w:pPr>
        <w:pStyle w:val="6"/>
        <w:keepNext w:val="0"/>
        <w:keepLines w:val="0"/>
        <w:pageBreakBefore w:val="0"/>
        <w:wordWrap w:val="0"/>
        <w:overflowPunct/>
        <w:topLinePunct w:val="0"/>
        <w:bidi w:val="0"/>
        <w:spacing w:line="249" w:lineRule="auto"/>
        <w:rPr>
          <w:rFonts w:hint="eastAsia" w:ascii="宋体" w:hAnsi="宋体" w:eastAsia="宋体" w:cs="宋体"/>
          <w:color w:val="auto"/>
          <w:spacing w:val="0"/>
          <w:highlight w:val="none"/>
        </w:rPr>
      </w:pPr>
    </w:p>
    <w:p w14:paraId="6DB72834">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6B496E9A">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12B47534">
      <w:pPr>
        <w:keepNext w:val="0"/>
        <w:keepLines w:val="0"/>
        <w:pageBreakBefore w:val="0"/>
        <w:wordWrap w:val="0"/>
        <w:overflowPunct/>
        <w:topLinePunct w:val="0"/>
        <w:bidi w:val="0"/>
        <w:spacing w:before="78" w:line="221" w:lineRule="auto"/>
        <w:ind w:left="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致：</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（招标人名称）</w:t>
      </w:r>
    </w:p>
    <w:p w14:paraId="424F50E0">
      <w:pPr>
        <w:pStyle w:val="6"/>
        <w:keepNext w:val="0"/>
        <w:keepLines w:val="0"/>
        <w:pageBreakBefore w:val="0"/>
        <w:wordWrap w:val="0"/>
        <w:overflowPunct/>
        <w:topLinePunct w:val="0"/>
        <w:bidi w:val="0"/>
        <w:spacing w:before="156" w:line="328" w:lineRule="auto"/>
        <w:ind w:left="9" w:right="142" w:firstLine="589"/>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  我方考察现场并充分研究</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（项目名称）（以下简称“本项目 ”）施工招标文件所有内容后，结合自身资质、能力和特点，愿意接受招标文件的全部内容和条件，兹以人民币（大写）：</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 xml:space="preserve"> (¥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 xml:space="preserve"> ) 的投标总价竞投本项目施工。</w:t>
      </w:r>
    </w:p>
    <w:p w14:paraId="65404536">
      <w:pPr>
        <w:keepNext w:val="0"/>
        <w:keepLines w:val="0"/>
        <w:pageBreakBefore w:val="0"/>
        <w:wordWrap w:val="0"/>
        <w:overflowPunct/>
        <w:topLinePunct w:val="0"/>
        <w:bidi w:val="0"/>
        <w:spacing w:before="39" w:line="323" w:lineRule="auto"/>
        <w:ind w:right="142" w:firstLine="57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在我方的上述投标总价中，包括：</w:t>
      </w:r>
      <w:r>
        <w:rPr>
          <w:rFonts w:hint="eastAsia" w:ascii="宋体" w:hAnsi="宋体" w:eastAsia="宋体" w:cs="宋体"/>
          <w:b w:val="0"/>
          <w:bCs/>
          <w:i w:val="0"/>
          <w:iCs w:val="0"/>
          <w:caps w:val="0"/>
          <w:spacing w:val="0"/>
          <w:sz w:val="24"/>
          <w:szCs w:val="24"/>
          <w:highlight w:val="none"/>
          <w:shd w:val="clear" w:color="auto" w:fill="FFFFFF"/>
        </w:rPr>
        <w:t>安全生产措施费</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none"/>
          <w:lang w:eastAsia="zh-CN"/>
        </w:rPr>
        <w:t>；暂列金额</w:t>
      </w:r>
      <w:r>
        <w:rPr>
          <w:rFonts w:hint="eastAsia" w:ascii="宋体" w:hAnsi="宋体" w:eastAsia="宋体" w:cs="宋体"/>
          <w:color w:val="auto"/>
          <w:spacing w:val="0"/>
          <w:sz w:val="24"/>
          <w:szCs w:val="24"/>
          <w:highlight w:val="none"/>
          <w:u w:val="none"/>
        </w:rPr>
        <w:t>¥</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none"/>
          <w:lang w:eastAsia="zh-CN"/>
        </w:rPr>
        <w:t>；</w:t>
      </w:r>
      <w:r>
        <w:rPr>
          <w:rFonts w:hint="eastAsia" w:ascii="宋体" w:hAnsi="宋体" w:eastAsia="宋体" w:cs="宋体"/>
          <w:b w:val="0"/>
          <w:bCs/>
          <w:i w:val="0"/>
          <w:iCs w:val="0"/>
          <w:caps w:val="0"/>
          <w:spacing w:val="0"/>
          <w:sz w:val="24"/>
          <w:szCs w:val="24"/>
          <w:highlight w:val="none"/>
          <w:shd w:val="clear" w:color="auto" w:fill="FFFFFF"/>
        </w:rPr>
        <w:t>专业工程暂估价</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w:t>
      </w:r>
    </w:p>
    <w:p w14:paraId="05DB8658">
      <w:pPr>
        <w:keepNext w:val="0"/>
        <w:keepLines w:val="0"/>
        <w:pageBreakBefore w:val="0"/>
        <w:wordWrap w:val="0"/>
        <w:overflowPunct/>
        <w:topLinePunct w:val="0"/>
        <w:bidi w:val="0"/>
        <w:spacing w:before="38" w:line="280" w:lineRule="auto"/>
        <w:ind w:left="13" w:right="142" w:firstLine="56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如果我方中标，我方保证按照合同约定的开工日期开始本项目的施工，</w:t>
      </w:r>
      <w:bookmarkStart w:id="219" w:name="OLE_LINK34"/>
      <w:r>
        <w:rPr>
          <w:rFonts w:hint="eastAsia" w:ascii="宋体" w:hAnsi="宋体" w:eastAsia="宋体" w:cs="宋体"/>
          <w:color w:val="auto"/>
          <w:spacing w:val="0"/>
          <w:sz w:val="24"/>
          <w:szCs w:val="24"/>
          <w:highlight w:val="none"/>
          <w:u w:val="single"/>
          <w:lang w:val="en-US" w:eastAsia="zh-CN"/>
        </w:rPr>
        <w:t xml:space="preserve">     </w:t>
      </w:r>
      <w:bookmarkEnd w:id="219"/>
      <w:r>
        <w:rPr>
          <w:rFonts w:hint="eastAsia" w:ascii="宋体" w:hAnsi="宋体" w:eastAsia="宋体" w:cs="宋体"/>
          <w:color w:val="auto"/>
          <w:spacing w:val="0"/>
          <w:sz w:val="24"/>
          <w:szCs w:val="24"/>
          <w:highlight w:val="none"/>
        </w:rPr>
        <w:t>个日历天内竣工，并确保工程质量达到</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标准和维修其中的任何缺陷。</w:t>
      </w:r>
    </w:p>
    <w:p w14:paraId="7F9AEF98">
      <w:pPr>
        <w:keepNext w:val="0"/>
        <w:keepLines w:val="0"/>
        <w:pageBreakBefore w:val="0"/>
        <w:wordWrap w:val="0"/>
        <w:overflowPunct/>
        <w:topLinePunct w:val="0"/>
        <w:bidi w:val="0"/>
        <w:spacing w:before="152" w:line="279" w:lineRule="auto"/>
        <w:ind w:left="11" w:right="142" w:firstLine="56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  本投标函在你方接收我方递交的投标文件之日起、到招标文件规定的投标有效期期满前对我方具有约束力。我方随时准备接受你方发出的中标通知书。</w:t>
      </w:r>
    </w:p>
    <w:p w14:paraId="27C14D7C">
      <w:pPr>
        <w:keepNext w:val="0"/>
        <w:keepLines w:val="0"/>
        <w:pageBreakBefore w:val="0"/>
        <w:wordWrap w:val="0"/>
        <w:overflowPunct/>
        <w:topLinePunct w:val="0"/>
        <w:bidi w:val="0"/>
        <w:spacing w:before="156" w:line="279" w:lineRule="auto"/>
        <w:ind w:left="11" w:right="61" w:firstLine="56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4 ．我方在此声明，我方不存在本项目招标文件第一章第三节第 </w:t>
      </w:r>
      <w:r>
        <w:rPr>
          <w:rFonts w:hint="eastAsia" w:ascii="宋体" w:hAnsi="宋体" w:eastAsia="宋体" w:cs="宋体"/>
          <w:b/>
          <w:bCs/>
          <w:color w:val="auto"/>
          <w:spacing w:val="0"/>
          <w:sz w:val="24"/>
          <w:szCs w:val="24"/>
          <w:highlight w:val="none"/>
        </w:rPr>
        <w:t>2.4</w:t>
      </w:r>
      <w:r>
        <w:rPr>
          <w:rFonts w:hint="eastAsia" w:ascii="宋体" w:hAnsi="宋体" w:eastAsia="宋体" w:cs="宋体"/>
          <w:b/>
          <w:bCs/>
          <w:color w:val="auto"/>
          <w:spacing w:val="0"/>
          <w:w w:val="101"/>
          <w:sz w:val="24"/>
          <w:szCs w:val="24"/>
          <w:highlight w:val="none"/>
        </w:rPr>
        <w:t xml:space="preserve"> </w:t>
      </w:r>
      <w:r>
        <w:rPr>
          <w:rFonts w:hint="eastAsia" w:ascii="宋体" w:hAnsi="宋体" w:eastAsia="宋体" w:cs="宋体"/>
          <w:color w:val="auto"/>
          <w:spacing w:val="0"/>
          <w:sz w:val="24"/>
          <w:szCs w:val="24"/>
          <w:highlight w:val="none"/>
        </w:rPr>
        <w:t>条“禁止投标条款 ”所列出的任何一种情形，并愿意承担因我方就此弄虚作假所引起的一切法律后果。</w:t>
      </w:r>
    </w:p>
    <w:p w14:paraId="6BB8F2B3">
      <w:pPr>
        <w:keepNext w:val="0"/>
        <w:keepLines w:val="0"/>
        <w:pageBreakBefore w:val="0"/>
        <w:wordWrap w:val="0"/>
        <w:overflowPunct/>
        <w:topLinePunct w:val="0"/>
        <w:bidi w:val="0"/>
        <w:spacing w:before="153" w:line="280" w:lineRule="auto"/>
        <w:ind w:left="9" w:right="142" w:firstLine="57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 ．我方在此承诺，所递交投标文件的全部内容均为真实、有效、准确的，并愿意承担因我方就此弄虚作假所引起的一切法律后果，同时理解和同意有可能被要求提供更多的资料。</w:t>
      </w:r>
    </w:p>
    <w:p w14:paraId="1174E6A2">
      <w:pPr>
        <w:keepNext w:val="0"/>
        <w:keepLines w:val="0"/>
        <w:pageBreakBefore w:val="0"/>
        <w:wordWrap w:val="0"/>
        <w:overflowPunct/>
        <w:topLinePunct w:val="0"/>
        <w:bidi w:val="0"/>
        <w:spacing w:before="153" w:line="326" w:lineRule="auto"/>
        <w:ind w:left="13" w:firstLine="5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  我方理解你方不一定要接纳收到的最低投标总价或任何投标总价的投标人中标， 也不要求你方解释我方是否中标的原因。</w:t>
      </w:r>
    </w:p>
    <w:p w14:paraId="58BE135B">
      <w:pPr>
        <w:pStyle w:val="6"/>
        <w:keepNext w:val="0"/>
        <w:keepLines w:val="0"/>
        <w:pageBreakBefore w:val="0"/>
        <w:wordWrap w:val="0"/>
        <w:overflowPunct/>
        <w:topLinePunct w:val="0"/>
        <w:bidi w:val="0"/>
        <w:spacing w:line="276" w:lineRule="auto"/>
        <w:rPr>
          <w:rFonts w:hint="eastAsia" w:ascii="宋体" w:hAnsi="宋体" w:eastAsia="宋体" w:cs="宋体"/>
          <w:color w:val="auto"/>
          <w:spacing w:val="0"/>
          <w:highlight w:val="none"/>
        </w:rPr>
      </w:pPr>
    </w:p>
    <w:p w14:paraId="5982C2D6">
      <w:pPr>
        <w:pStyle w:val="6"/>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36BBA89B">
      <w:pPr>
        <w:pStyle w:val="6"/>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1FA3A66F">
      <w:pPr>
        <w:keepNext w:val="0"/>
        <w:keepLines w:val="0"/>
        <w:pageBreakBefore w:val="0"/>
        <w:wordWrap w:val="0"/>
        <w:overflowPunct/>
        <w:topLinePunct w:val="0"/>
        <w:bidi w:val="0"/>
        <w:spacing w:before="79" w:line="219" w:lineRule="auto"/>
        <w:ind w:firstLine="5760" w:firstLineChars="240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u w:val="single"/>
          <w:lang w:val="en-US" w:eastAsia="zh-CN"/>
        </w:rPr>
        <w:t xml:space="preserve">       </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（（盖单位章）</w:t>
      </w:r>
    </w:p>
    <w:p w14:paraId="7244B7E4">
      <w:pPr>
        <w:pStyle w:val="6"/>
        <w:keepNext w:val="0"/>
        <w:keepLines w:val="0"/>
        <w:pageBreakBefore w:val="0"/>
        <w:wordWrap w:val="0"/>
        <w:overflowPunct/>
        <w:topLinePunct w:val="0"/>
        <w:bidi w:val="0"/>
        <w:spacing w:line="256" w:lineRule="auto"/>
        <w:jc w:val="right"/>
        <w:rPr>
          <w:rFonts w:hint="eastAsia" w:ascii="宋体" w:hAnsi="宋体" w:eastAsia="宋体" w:cs="宋体"/>
          <w:color w:val="auto"/>
          <w:spacing w:val="0"/>
          <w:highlight w:val="none"/>
        </w:rPr>
      </w:pPr>
    </w:p>
    <w:p w14:paraId="57CD189E">
      <w:pPr>
        <w:pStyle w:val="6"/>
        <w:keepNext w:val="0"/>
        <w:keepLines w:val="0"/>
        <w:pageBreakBefore w:val="0"/>
        <w:wordWrap w:val="0"/>
        <w:overflowPunct/>
        <w:topLinePunct w:val="0"/>
        <w:bidi w:val="0"/>
        <w:spacing w:line="256" w:lineRule="auto"/>
        <w:jc w:val="right"/>
        <w:rPr>
          <w:rFonts w:hint="eastAsia" w:ascii="宋体" w:hAnsi="宋体" w:eastAsia="宋体" w:cs="宋体"/>
          <w:color w:val="auto"/>
          <w:spacing w:val="0"/>
          <w:highlight w:val="none"/>
        </w:rPr>
      </w:pPr>
    </w:p>
    <w:p w14:paraId="48EF47E5">
      <w:pPr>
        <w:keepNext w:val="0"/>
        <w:keepLines w:val="0"/>
        <w:pageBreakBefore w:val="0"/>
        <w:wordWrap w:val="0"/>
        <w:overflowPunct/>
        <w:topLinePunct w:val="0"/>
        <w:bidi w:val="0"/>
        <w:spacing w:before="78" w:line="219" w:lineRule="auto"/>
        <w:ind w:left="3922"/>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（（签字或盖章）</w:t>
      </w:r>
    </w:p>
    <w:p w14:paraId="16678323">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6CB18776">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7D8CFA68">
      <w:pPr>
        <w:keepNext w:val="0"/>
        <w:keepLines w:val="0"/>
        <w:pageBreakBefore w:val="0"/>
        <w:wordWrap w:val="0"/>
        <w:overflowPunct/>
        <w:topLinePunct w:val="0"/>
        <w:bidi w:val="0"/>
        <w:spacing w:before="79" w:line="220" w:lineRule="auto"/>
        <w:ind w:left="6970"/>
        <w:jc w:val="right"/>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日</w:t>
      </w:r>
    </w:p>
    <w:p w14:paraId="620D98CA">
      <w:pPr>
        <w:keepNext w:val="0"/>
        <w:keepLines w:val="0"/>
        <w:pageBreakBefore w:val="0"/>
        <w:wordWrap w:val="0"/>
        <w:overflowPunct/>
        <w:topLinePunct w:val="0"/>
        <w:bidi w:val="0"/>
        <w:spacing w:line="220" w:lineRule="auto"/>
        <w:rPr>
          <w:rFonts w:hint="eastAsia" w:ascii="宋体" w:hAnsi="宋体" w:eastAsia="宋体" w:cs="宋体"/>
          <w:color w:val="auto"/>
          <w:spacing w:val="0"/>
          <w:sz w:val="24"/>
          <w:szCs w:val="24"/>
          <w:highlight w:val="none"/>
        </w:rPr>
        <w:sectPr>
          <w:footerReference r:id="rId14"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678C58A">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20" w:name="_Toc31828"/>
      <w:r>
        <w:rPr>
          <w:rFonts w:hint="eastAsia" w:ascii="宋体" w:hAnsi="宋体" w:eastAsia="宋体" w:cs="宋体"/>
          <w:b/>
          <w:bCs/>
          <w:color w:val="auto"/>
          <w:spacing w:val="0"/>
          <w:sz w:val="24"/>
          <w:szCs w:val="24"/>
          <w:highlight w:val="none"/>
        </w:rPr>
        <w:t>格式三 各项承诺一览表</w:t>
      </w:r>
      <w:bookmarkEnd w:id="220"/>
    </w:p>
    <w:p w14:paraId="41734E79">
      <w:pPr>
        <w:pStyle w:val="6"/>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5D24808B">
      <w:pPr>
        <w:keepNext w:val="0"/>
        <w:keepLines w:val="0"/>
        <w:pageBreakBefore w:val="0"/>
        <w:wordWrap w:val="0"/>
        <w:overflowPunct/>
        <w:topLinePunct w:val="0"/>
        <w:bidi w:val="0"/>
        <w:spacing w:before="98" w:line="220" w:lineRule="auto"/>
        <w:ind w:left="3581"/>
        <w:outlineLvl w:val="9"/>
        <w:rPr>
          <w:rFonts w:hint="eastAsia" w:ascii="宋体" w:hAnsi="宋体" w:eastAsia="宋体" w:cs="宋体"/>
          <w:color w:val="auto"/>
          <w:spacing w:val="0"/>
          <w:sz w:val="30"/>
          <w:szCs w:val="30"/>
          <w:highlight w:val="none"/>
        </w:rPr>
      </w:pPr>
      <w:bookmarkStart w:id="221" w:name="bookmark149"/>
      <w:bookmarkEnd w:id="221"/>
      <w:bookmarkStart w:id="222" w:name="_Toc2936"/>
      <w:bookmarkStart w:id="223" w:name="_Toc10326"/>
      <w:bookmarkStart w:id="224" w:name="_Toc4767"/>
      <w:r>
        <w:rPr>
          <w:rFonts w:hint="eastAsia" w:ascii="宋体" w:hAnsi="宋体" w:eastAsia="宋体" w:cs="宋体"/>
          <w:b/>
          <w:bCs/>
          <w:color w:val="auto"/>
          <w:spacing w:val="0"/>
          <w:sz w:val="30"/>
          <w:szCs w:val="30"/>
          <w:highlight w:val="none"/>
        </w:rPr>
        <w:t>各项承诺一览表</w:t>
      </w:r>
      <w:bookmarkEnd w:id="222"/>
      <w:bookmarkEnd w:id="223"/>
      <w:bookmarkEnd w:id="224"/>
    </w:p>
    <w:p w14:paraId="74FA8C54">
      <w:pPr>
        <w:keepNext w:val="0"/>
        <w:keepLines w:val="0"/>
        <w:pageBreakBefore w:val="0"/>
        <w:wordWrap w:val="0"/>
        <w:overflowPunct/>
        <w:topLinePunct w:val="0"/>
        <w:bidi w:val="0"/>
        <w:spacing w:before="6"/>
        <w:rPr>
          <w:rFonts w:hint="eastAsia" w:ascii="宋体" w:hAnsi="宋体" w:eastAsia="宋体" w:cs="宋体"/>
          <w:color w:val="auto"/>
          <w:spacing w:val="0"/>
          <w:highlight w:val="none"/>
        </w:rPr>
      </w:pPr>
    </w:p>
    <w:tbl>
      <w:tblPr>
        <w:tblStyle w:val="15"/>
        <w:tblW w:w="98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675"/>
        <w:gridCol w:w="3107"/>
        <w:gridCol w:w="4272"/>
      </w:tblGrid>
      <w:tr w14:paraId="165B7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72557443">
            <w:pPr>
              <w:keepNext w:val="0"/>
              <w:keepLines w:val="0"/>
              <w:pageBreakBefore w:val="0"/>
              <w:widowControl/>
              <w:kinsoku w:val="0"/>
              <w:wordWrap w:val="0"/>
              <w:overflowPunct/>
              <w:topLinePunct w:val="0"/>
              <w:autoSpaceDE w:val="0"/>
              <w:autoSpaceDN w:val="0"/>
              <w:bidi w:val="0"/>
              <w:adjustRightInd w:val="0"/>
              <w:snapToGrid w:val="0"/>
              <w:spacing w:before="209" w:line="288" w:lineRule="auto"/>
              <w:ind w:left="126"/>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序号</w:t>
            </w:r>
          </w:p>
        </w:tc>
        <w:tc>
          <w:tcPr>
            <w:tcW w:w="1675" w:type="dxa"/>
            <w:vAlign w:val="top"/>
          </w:tcPr>
          <w:p w14:paraId="0CBAE793">
            <w:pPr>
              <w:keepNext w:val="0"/>
              <w:keepLines w:val="0"/>
              <w:pageBreakBefore w:val="0"/>
              <w:widowControl/>
              <w:kinsoku w:val="0"/>
              <w:wordWrap w:val="0"/>
              <w:overflowPunct/>
              <w:topLinePunct w:val="0"/>
              <w:autoSpaceDE w:val="0"/>
              <w:autoSpaceDN w:val="0"/>
              <w:bidi w:val="0"/>
              <w:adjustRightInd w:val="0"/>
              <w:snapToGrid w:val="0"/>
              <w:spacing w:before="208" w:line="288" w:lineRule="auto"/>
              <w:ind w:left="31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承诺事项</w:t>
            </w:r>
          </w:p>
        </w:tc>
        <w:tc>
          <w:tcPr>
            <w:tcW w:w="3107" w:type="dxa"/>
            <w:vAlign w:val="top"/>
          </w:tcPr>
          <w:p w14:paraId="2F967406">
            <w:pPr>
              <w:keepNext w:val="0"/>
              <w:keepLines w:val="0"/>
              <w:pageBreakBefore w:val="0"/>
              <w:widowControl/>
              <w:kinsoku w:val="0"/>
              <w:wordWrap w:val="0"/>
              <w:overflowPunct/>
              <w:topLinePunct w:val="0"/>
              <w:autoSpaceDE w:val="0"/>
              <w:autoSpaceDN w:val="0"/>
              <w:bidi w:val="0"/>
              <w:adjustRightInd w:val="0"/>
              <w:snapToGrid w:val="0"/>
              <w:spacing w:before="209" w:line="288" w:lineRule="auto"/>
              <w:ind w:left="987"/>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承诺内容</w:t>
            </w:r>
          </w:p>
        </w:tc>
        <w:tc>
          <w:tcPr>
            <w:tcW w:w="4272" w:type="dxa"/>
            <w:vAlign w:val="top"/>
          </w:tcPr>
          <w:p w14:paraId="0AE4BD22">
            <w:pPr>
              <w:keepNext w:val="0"/>
              <w:keepLines w:val="0"/>
              <w:pageBreakBefore w:val="0"/>
              <w:widowControl/>
              <w:kinsoku w:val="0"/>
              <w:wordWrap w:val="0"/>
              <w:overflowPunct/>
              <w:topLinePunct w:val="0"/>
              <w:autoSpaceDE w:val="0"/>
              <w:autoSpaceDN w:val="0"/>
              <w:bidi w:val="0"/>
              <w:adjustRightInd w:val="0"/>
              <w:snapToGrid w:val="0"/>
              <w:spacing w:before="209" w:line="288" w:lineRule="auto"/>
              <w:ind w:left="1537"/>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违约承诺</w:t>
            </w:r>
          </w:p>
        </w:tc>
      </w:tr>
      <w:tr w14:paraId="2A890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32014C68">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w:t>
            </w:r>
          </w:p>
        </w:tc>
        <w:tc>
          <w:tcPr>
            <w:tcW w:w="1675" w:type="dxa"/>
            <w:vAlign w:val="center"/>
          </w:tcPr>
          <w:p w14:paraId="789F5544">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自愿接受招标文件条款的承诺</w:t>
            </w:r>
          </w:p>
        </w:tc>
        <w:tc>
          <w:tcPr>
            <w:tcW w:w="3107" w:type="dxa"/>
            <w:vAlign w:val="top"/>
          </w:tcPr>
          <w:p w14:paraId="72C35A06">
            <w:pPr>
              <w:pStyle w:val="29"/>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0E326998">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1"/>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我方自愿接受招标文件的所有条款，所递交的投标文件已 经充分响应招标文件的实质性要求。</w:t>
            </w:r>
          </w:p>
        </w:tc>
        <w:tc>
          <w:tcPr>
            <w:tcW w:w="4272" w:type="dxa"/>
            <w:vAlign w:val="top"/>
          </w:tcPr>
          <w:p w14:paraId="3AA62306">
            <w:pPr>
              <w:keepNext w:val="0"/>
              <w:keepLines w:val="0"/>
              <w:pageBreakBefore w:val="0"/>
              <w:widowControl/>
              <w:kinsoku w:val="0"/>
              <w:wordWrap w:val="0"/>
              <w:overflowPunct/>
              <w:topLinePunct w:val="0"/>
              <w:autoSpaceDE w:val="0"/>
              <w:autoSpaceDN w:val="0"/>
              <w:bidi w:val="0"/>
              <w:adjustRightInd w:val="0"/>
              <w:snapToGrid w:val="0"/>
              <w:spacing w:before="122" w:line="288" w:lineRule="auto"/>
              <w:ind w:left="14" w:right="4" w:firstLine="42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如果我方的投标文件未响应、违反、偏 离招标文件的实质性要求，我方接受招标人或其授权的招标代理机构或其组建的评标委员会依据招标文件作出的相应处理，包括否决投标。</w:t>
            </w:r>
          </w:p>
        </w:tc>
      </w:tr>
      <w:tr w14:paraId="21309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4724BEB5">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w:t>
            </w:r>
          </w:p>
        </w:tc>
        <w:tc>
          <w:tcPr>
            <w:tcW w:w="1675" w:type="dxa"/>
            <w:vAlign w:val="center"/>
          </w:tcPr>
          <w:p w14:paraId="1C692CEC">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无禁止投标情形的承诺</w:t>
            </w:r>
          </w:p>
        </w:tc>
        <w:tc>
          <w:tcPr>
            <w:tcW w:w="3107" w:type="dxa"/>
            <w:vAlign w:val="top"/>
          </w:tcPr>
          <w:p w14:paraId="43462223">
            <w:pPr>
              <w:pStyle w:val="29"/>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6AB15359">
            <w:pPr>
              <w:pStyle w:val="29"/>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27259133">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我方不存在招标文件第一 章第三节第 </w:t>
            </w:r>
            <w:r>
              <w:rPr>
                <w:rFonts w:hint="eastAsia" w:ascii="宋体" w:hAnsi="宋体" w:eastAsia="宋体" w:cs="宋体"/>
                <w:b/>
                <w:bCs/>
                <w:color w:val="auto"/>
                <w:spacing w:val="0"/>
                <w:sz w:val="21"/>
                <w:szCs w:val="21"/>
                <w:highlight w:val="none"/>
              </w:rPr>
              <w:t xml:space="preserve">2.4 </w:t>
            </w:r>
            <w:r>
              <w:rPr>
                <w:rFonts w:hint="eastAsia" w:ascii="宋体" w:hAnsi="宋体" w:eastAsia="宋体" w:cs="宋体"/>
                <w:color w:val="auto"/>
                <w:spacing w:val="0"/>
                <w:sz w:val="21"/>
                <w:szCs w:val="21"/>
                <w:highlight w:val="none"/>
              </w:rPr>
              <w:t>条“禁止投标条 款 ”规定的任何一种情形。</w:t>
            </w:r>
          </w:p>
        </w:tc>
        <w:tc>
          <w:tcPr>
            <w:tcW w:w="4272" w:type="dxa"/>
            <w:vAlign w:val="top"/>
          </w:tcPr>
          <w:p w14:paraId="61908D31">
            <w:pPr>
              <w:keepNext w:val="0"/>
              <w:keepLines w:val="0"/>
              <w:pageBreakBefore w:val="0"/>
              <w:widowControl/>
              <w:kinsoku w:val="0"/>
              <w:wordWrap w:val="0"/>
              <w:overflowPunct/>
              <w:topLinePunct w:val="0"/>
              <w:autoSpaceDE w:val="0"/>
              <w:autoSpaceDN w:val="0"/>
              <w:bidi w:val="0"/>
              <w:adjustRightInd w:val="0"/>
              <w:snapToGrid w:val="0"/>
              <w:spacing w:before="122" w:line="288" w:lineRule="auto"/>
              <w:ind w:left="9" w:firstLine="421"/>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如果我方有招标文件第一章第三节第 </w:t>
            </w:r>
            <w:r>
              <w:rPr>
                <w:rFonts w:hint="eastAsia" w:ascii="宋体" w:hAnsi="宋体" w:eastAsia="宋体" w:cs="宋体"/>
                <w:b/>
                <w:bCs/>
                <w:color w:val="auto"/>
                <w:spacing w:val="0"/>
                <w:sz w:val="21"/>
                <w:szCs w:val="21"/>
                <w:highlight w:val="none"/>
              </w:rPr>
              <w:t xml:space="preserve">2.  4 </w:t>
            </w:r>
            <w:r>
              <w:rPr>
                <w:rFonts w:hint="eastAsia" w:ascii="宋体" w:hAnsi="宋体" w:eastAsia="宋体" w:cs="宋体"/>
                <w:color w:val="auto"/>
                <w:spacing w:val="0"/>
                <w:sz w:val="21"/>
                <w:szCs w:val="21"/>
                <w:highlight w:val="none"/>
              </w:rPr>
              <w:t>条“禁止投标条款 ”规定的任何一种情形，我方接受招标人或其授权的招标代理机构或 其组建的评标委员会依据招标文件作出的相应处理以及有关监督部门作出的行政处罚，并承担由此引起的一切法律后果。</w:t>
            </w:r>
          </w:p>
        </w:tc>
      </w:tr>
      <w:tr w14:paraId="2C9DD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249F024F">
            <w:pPr>
              <w:keepNext w:val="0"/>
              <w:keepLines w:val="0"/>
              <w:pageBreakBefore w:val="0"/>
              <w:widowControl/>
              <w:kinsoku w:val="0"/>
              <w:wordWrap w:val="0"/>
              <w:overflowPunct/>
              <w:topLinePunct w:val="0"/>
              <w:autoSpaceDE w:val="0"/>
              <w:autoSpaceDN w:val="0"/>
              <w:bidi w:val="0"/>
              <w:adjustRightInd w:val="0"/>
              <w:snapToGrid w:val="0"/>
              <w:spacing w:before="57"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w:t>
            </w:r>
          </w:p>
        </w:tc>
        <w:tc>
          <w:tcPr>
            <w:tcW w:w="1675" w:type="dxa"/>
            <w:vAlign w:val="center"/>
          </w:tcPr>
          <w:p w14:paraId="6D0B4C4A">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自觉抵制围标</w:t>
            </w:r>
          </w:p>
          <w:p w14:paraId="1A91D299">
            <w:pPr>
              <w:keepNext w:val="0"/>
              <w:keepLines w:val="0"/>
              <w:pageBreakBefore w:val="0"/>
              <w:widowControl/>
              <w:kinsoku w:val="0"/>
              <w:wordWrap w:val="0"/>
              <w:overflowPunct/>
              <w:topLinePunct w:val="0"/>
              <w:autoSpaceDE w:val="0"/>
              <w:autoSpaceDN w:val="0"/>
              <w:bidi w:val="0"/>
              <w:adjustRightInd w:val="0"/>
              <w:snapToGrid w:val="0"/>
              <w:spacing w:before="131"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串标和弄虚</w:t>
            </w:r>
          </w:p>
          <w:p w14:paraId="33205045">
            <w:pPr>
              <w:keepNext w:val="0"/>
              <w:keepLines w:val="0"/>
              <w:pageBreakBefore w:val="0"/>
              <w:widowControl/>
              <w:kinsoku w:val="0"/>
              <w:wordWrap w:val="0"/>
              <w:overflowPunct/>
              <w:topLinePunct w:val="0"/>
              <w:autoSpaceDE w:val="0"/>
              <w:autoSpaceDN w:val="0"/>
              <w:bidi w:val="0"/>
              <w:adjustRightInd w:val="0"/>
              <w:snapToGrid w:val="0"/>
              <w:spacing w:before="133"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作假行为的承诺</w:t>
            </w:r>
          </w:p>
        </w:tc>
        <w:tc>
          <w:tcPr>
            <w:tcW w:w="3107" w:type="dxa"/>
            <w:vAlign w:val="top"/>
          </w:tcPr>
          <w:p w14:paraId="467CF56B">
            <w:pPr>
              <w:pStyle w:val="29"/>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19BB889D">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1" w:right="2" w:firstLine="42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我方合法正当、诚实守信地参与投标，不组织、不参加围标串标违法行为，不通过弄虚作假 行为骗取中标。</w:t>
            </w:r>
          </w:p>
        </w:tc>
        <w:tc>
          <w:tcPr>
            <w:tcW w:w="4272" w:type="dxa"/>
            <w:vAlign w:val="top"/>
          </w:tcPr>
          <w:p w14:paraId="26572BB1">
            <w:pPr>
              <w:keepNext w:val="0"/>
              <w:keepLines w:val="0"/>
              <w:pageBreakBefore w:val="0"/>
              <w:widowControl/>
              <w:kinsoku w:val="0"/>
              <w:wordWrap w:val="0"/>
              <w:overflowPunct/>
              <w:topLinePunct w:val="0"/>
              <w:autoSpaceDE w:val="0"/>
              <w:autoSpaceDN w:val="0"/>
              <w:bidi w:val="0"/>
              <w:adjustRightInd w:val="0"/>
              <w:snapToGrid w:val="0"/>
              <w:spacing w:before="129" w:line="288" w:lineRule="auto"/>
              <w:ind w:left="13" w:right="4" w:firstLine="422"/>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714E2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086B1516">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w:t>
            </w:r>
          </w:p>
        </w:tc>
        <w:tc>
          <w:tcPr>
            <w:tcW w:w="1675" w:type="dxa"/>
            <w:vAlign w:val="center"/>
          </w:tcPr>
          <w:p w14:paraId="722BA646">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项目经理任职承诺</w:t>
            </w:r>
          </w:p>
        </w:tc>
        <w:tc>
          <w:tcPr>
            <w:tcW w:w="3107" w:type="dxa"/>
            <w:vAlign w:val="top"/>
          </w:tcPr>
          <w:p w14:paraId="7085E917">
            <w:pPr>
              <w:pStyle w:val="29"/>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65699295">
            <w:pPr>
              <w:pStyle w:val="29"/>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666ABAC3">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9" w:right="2" w:firstLine="422"/>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我方拟派项目经理现阶段没有担任任何在施（包括已中标 未开工、已开工未竣工）建设工程项目的项目经理。</w:t>
            </w:r>
          </w:p>
        </w:tc>
        <w:tc>
          <w:tcPr>
            <w:tcW w:w="4272" w:type="dxa"/>
            <w:vAlign w:val="top"/>
          </w:tcPr>
          <w:p w14:paraId="1898A32C">
            <w:pPr>
              <w:keepNext w:val="0"/>
              <w:keepLines w:val="0"/>
              <w:pageBreakBefore w:val="0"/>
              <w:widowControl/>
              <w:kinsoku w:val="0"/>
              <w:wordWrap w:val="0"/>
              <w:overflowPunct/>
              <w:topLinePunct w:val="0"/>
              <w:autoSpaceDE w:val="0"/>
              <w:autoSpaceDN w:val="0"/>
              <w:bidi w:val="0"/>
              <w:adjustRightInd w:val="0"/>
              <w:snapToGrid w:val="0"/>
              <w:spacing w:before="128" w:line="288" w:lineRule="auto"/>
              <w:ind w:left="11" w:firstLine="417"/>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如果我方拟派项目经理在本项目招标投 标活动期间有担任其他任何在施（包括已中标未开工、已开工未竣工）建设工程项目的项目经理，我方接受招标人或其授权的招标代理机构或其组建的评标委员会依据招标文件作出的相应处理以及有关监督部门作出的行政处罚，并承担由此引起的一切法律后果。</w:t>
            </w:r>
          </w:p>
        </w:tc>
      </w:tr>
      <w:tr w14:paraId="7D3F5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72548129">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w:t>
            </w:r>
          </w:p>
        </w:tc>
        <w:tc>
          <w:tcPr>
            <w:tcW w:w="1675" w:type="dxa"/>
            <w:vAlign w:val="center"/>
          </w:tcPr>
          <w:p w14:paraId="7290DF80">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投标文件</w:t>
            </w:r>
          </w:p>
          <w:p w14:paraId="115877CE">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真实性承诺</w:t>
            </w:r>
          </w:p>
        </w:tc>
        <w:tc>
          <w:tcPr>
            <w:tcW w:w="3107" w:type="dxa"/>
            <w:vAlign w:val="top"/>
          </w:tcPr>
          <w:p w14:paraId="43727651">
            <w:pPr>
              <w:pStyle w:val="29"/>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781401AA">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2" w:firstLine="409"/>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我方所递交投标文件的全部内容均为真实、有效、准确的。</w:t>
            </w:r>
          </w:p>
        </w:tc>
        <w:tc>
          <w:tcPr>
            <w:tcW w:w="4272" w:type="dxa"/>
            <w:vAlign w:val="top"/>
          </w:tcPr>
          <w:p w14:paraId="187ED321">
            <w:pPr>
              <w:keepNext w:val="0"/>
              <w:keepLines w:val="0"/>
              <w:pageBreakBefore w:val="0"/>
              <w:widowControl/>
              <w:kinsoku w:val="0"/>
              <w:wordWrap w:val="0"/>
              <w:overflowPunct/>
              <w:topLinePunct w:val="0"/>
              <w:autoSpaceDE w:val="0"/>
              <w:autoSpaceDN w:val="0"/>
              <w:bidi w:val="0"/>
              <w:adjustRightInd w:val="0"/>
              <w:snapToGrid w:val="0"/>
              <w:spacing w:before="127" w:line="288" w:lineRule="auto"/>
              <w:ind w:left="11" w:firstLine="417"/>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如果我方递交的投标文件任何内容不真实或无效或不准确，我方接受招标人或其授权的招标代理机构或其组建的评标委员会依据招标文件作出的相应处理，包括否决投标。</w:t>
            </w:r>
          </w:p>
        </w:tc>
      </w:tr>
      <w:tr w14:paraId="75BFE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4" w:hRule="atLeast"/>
        </w:trPr>
        <w:tc>
          <w:tcPr>
            <w:tcW w:w="764" w:type="dxa"/>
            <w:vAlign w:val="center"/>
          </w:tcPr>
          <w:p w14:paraId="456DD1FA">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w:t>
            </w:r>
            <w:r>
              <w:rPr>
                <w:rFonts w:hint="eastAsia" w:ascii="宋体" w:hAnsi="宋体" w:eastAsia="宋体" w:cs="宋体"/>
                <w:color w:val="auto"/>
                <w:spacing w:val="0"/>
                <w:sz w:val="21"/>
                <w:szCs w:val="21"/>
                <w:highlight w:val="none"/>
              </w:rPr>
              <w:drawing>
                <wp:anchor distT="0" distB="0" distL="114300" distR="114300" simplePos="0" relativeHeight="251663360" behindDoc="1" locked="0" layoutInCell="0" allowOverlap="1">
                  <wp:simplePos x="0" y="0"/>
                  <wp:positionH relativeFrom="page">
                    <wp:posOffset>3902075</wp:posOffset>
                  </wp:positionH>
                  <wp:positionV relativeFrom="page">
                    <wp:posOffset>2252345</wp:posOffset>
                  </wp:positionV>
                  <wp:extent cx="6350" cy="241300"/>
                  <wp:effectExtent l="0" t="0" r="0" b="0"/>
                  <wp:wrapNone/>
                  <wp:docPr id="16" name="IM 120"/>
                  <wp:cNvGraphicFramePr/>
                  <a:graphic xmlns:a="http://schemas.openxmlformats.org/drawingml/2006/main">
                    <a:graphicData uri="http://schemas.openxmlformats.org/drawingml/2006/picture">
                      <pic:pic xmlns:pic="http://schemas.openxmlformats.org/drawingml/2006/picture">
                        <pic:nvPicPr>
                          <pic:cNvPr id="16" name="IM 120"/>
                          <pic:cNvPicPr/>
                        </pic:nvPicPr>
                        <pic:blipFill>
                          <a:blip r:embed="rId53"/>
                          <a:stretch>
                            <a:fillRect/>
                          </a:stretch>
                        </pic:blipFill>
                        <pic:spPr>
                          <a:xfrm>
                            <a:off x="0" y="0"/>
                            <a:ext cx="6350" cy="241300"/>
                          </a:xfrm>
                          <a:prstGeom prst="rect">
                            <a:avLst/>
                          </a:prstGeom>
                          <a:noFill/>
                          <a:ln>
                            <a:noFill/>
                          </a:ln>
                        </pic:spPr>
                      </pic:pic>
                    </a:graphicData>
                  </a:graphic>
                </wp:anchor>
              </w:drawing>
            </w:r>
          </w:p>
        </w:tc>
        <w:tc>
          <w:tcPr>
            <w:tcW w:w="1675" w:type="dxa"/>
            <w:vAlign w:val="center"/>
          </w:tcPr>
          <w:p w14:paraId="4C7AE5DD">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投标文件</w:t>
            </w:r>
          </w:p>
          <w:p w14:paraId="2C400923">
            <w:pPr>
              <w:keepNext w:val="0"/>
              <w:keepLines w:val="0"/>
              <w:pageBreakBefore w:val="0"/>
              <w:widowControl/>
              <w:kinsoku w:val="0"/>
              <w:wordWrap w:val="0"/>
              <w:overflowPunct/>
              <w:topLinePunct w:val="0"/>
              <w:autoSpaceDE w:val="0"/>
              <w:autoSpaceDN w:val="0"/>
              <w:bidi w:val="0"/>
              <w:adjustRightInd w:val="0"/>
              <w:snapToGrid w:val="0"/>
              <w:spacing w:before="132"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信息公开承诺</w:t>
            </w:r>
          </w:p>
        </w:tc>
        <w:tc>
          <w:tcPr>
            <w:tcW w:w="3107" w:type="dxa"/>
            <w:vAlign w:val="top"/>
          </w:tcPr>
          <w:p w14:paraId="58C341DF">
            <w:pPr>
              <w:keepNext w:val="0"/>
              <w:keepLines w:val="0"/>
              <w:pageBreakBefore w:val="0"/>
              <w:widowControl/>
              <w:kinsoku w:val="0"/>
              <w:wordWrap w:val="0"/>
              <w:overflowPunct/>
              <w:topLinePunct w:val="0"/>
              <w:autoSpaceDE w:val="0"/>
              <w:autoSpaceDN w:val="0"/>
              <w:bidi w:val="0"/>
              <w:adjustRightInd w:val="0"/>
              <w:snapToGrid w:val="0"/>
              <w:spacing w:before="130" w:line="288" w:lineRule="auto"/>
              <w:ind w:left="10" w:right="2" w:firstLine="42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我方提供完整的文件。如果我方成为本项目中标候选人，我方同意并授权招标人在评标结果公示期内公开我方商务标书的全部内容。</w:t>
            </w:r>
          </w:p>
        </w:tc>
        <w:tc>
          <w:tcPr>
            <w:tcW w:w="4272" w:type="dxa"/>
            <w:vAlign w:val="top"/>
            <mc:AlternateContent>
              <mc:Choice Requires="wpsCustomData">
                <wpsCustomData:diagonals>
                  <wpsCustomData:diagonal from="20000" to="0">
                    <wpsCustomData:border w:val="single" w:color="000000" w:sz="2" w:space="0"/>
                  </wpsCustomData:diagonal>
                </wpsCustomData:diagonals>
              </mc:Choice>
            </mc:AlternateContent>
          </w:tcPr>
          <w:p w14:paraId="211429B8">
            <w:pPr>
              <w:pStyle w:val="29"/>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08E9C96B">
            <w:pPr>
              <w:pStyle w:val="29"/>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01A7F7EF">
            <w:pPr>
              <w:keepNext w:val="0"/>
              <w:keepLines w:val="0"/>
              <w:pageBreakBefore w:val="0"/>
              <w:widowControl/>
              <w:kinsoku w:val="0"/>
              <w:wordWrap w:val="0"/>
              <w:overflowPunct/>
              <w:topLinePunct w:val="0"/>
              <w:autoSpaceDE w:val="0"/>
              <w:autoSpaceDN w:val="0"/>
              <w:bidi w:val="0"/>
              <w:adjustRightInd w:val="0"/>
              <w:snapToGrid w:val="0"/>
              <w:spacing w:before="58" w:line="240" w:lineRule="auto"/>
              <w:ind w:left="1979"/>
              <w:textAlignment w:val="baseline"/>
              <mc:AlternateContent>
                <mc:Choice Requires="wpsCustomData">
                  <wpsCustomData:diagonalParaType/>
                </mc:Choice>
              </mc:AlternateContent>
              <w:rPr>
                <w:rFonts w:hint="eastAsia" w:ascii="宋体" w:hAnsi="宋体" w:eastAsia="宋体" w:cs="宋体"/>
                <w:color w:val="auto"/>
                <w:spacing w:val="0"/>
                <w:sz w:val="21"/>
                <w:szCs w:val="21"/>
                <w:highlight w:val="none"/>
              </w:rPr>
            </w:pPr>
          </w:p>
          <w:p w14:paraId="0EC6B0A4">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1979"/>
              <w:textAlignment w:val="baseline"/>
              <w:rPr>
                <w:rFonts w:hint="eastAsia" w:ascii="宋体" w:hAnsi="宋体" w:eastAsia="宋体" w:cs="宋体"/>
                <w:color w:val="auto"/>
                <w:spacing w:val="0"/>
                <w:sz w:val="21"/>
                <w:szCs w:val="21"/>
                <w:highlight w:val="none"/>
              </w:rPr>
            </w:pPr>
          </w:p>
        </w:tc>
      </w:tr>
      <w:tr w14:paraId="13470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6" w:hRule="atLeast"/>
        </w:trPr>
        <w:tc>
          <w:tcPr>
            <w:tcW w:w="764" w:type="dxa"/>
            <w:vAlign w:val="center"/>
          </w:tcPr>
          <w:p w14:paraId="29242B05">
            <w:pPr>
              <w:keepNext w:val="0"/>
              <w:keepLines w:val="0"/>
              <w:pageBreakBefore w:val="0"/>
              <w:widowControl/>
              <w:kinsoku w:val="0"/>
              <w:wordWrap w:val="0"/>
              <w:overflowPunct/>
              <w:topLinePunct w:val="0"/>
              <w:autoSpaceDE w:val="0"/>
              <w:autoSpaceDN w:val="0"/>
              <w:bidi w:val="0"/>
              <w:adjustRightInd w:val="0"/>
              <w:snapToGrid w:val="0"/>
              <w:spacing w:before="57"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7</w:t>
            </w:r>
          </w:p>
        </w:tc>
        <w:tc>
          <w:tcPr>
            <w:tcW w:w="1675" w:type="dxa"/>
            <w:vAlign w:val="center"/>
          </w:tcPr>
          <w:p w14:paraId="7298459F">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对不正常报价的确认承诺</w:t>
            </w:r>
          </w:p>
        </w:tc>
        <w:tc>
          <w:tcPr>
            <w:tcW w:w="3107" w:type="dxa"/>
            <w:vAlign w:val="top"/>
          </w:tcPr>
          <w:p w14:paraId="5F3D606E">
            <w:pPr>
              <w:keepNext w:val="0"/>
              <w:keepLines w:val="0"/>
              <w:pageBreakBefore w:val="0"/>
              <w:widowControl/>
              <w:kinsoku w:val="0"/>
              <w:wordWrap w:val="0"/>
              <w:overflowPunct/>
              <w:topLinePunct w:val="0"/>
              <w:autoSpaceDE w:val="0"/>
              <w:autoSpaceDN w:val="0"/>
              <w:bidi w:val="0"/>
              <w:adjustRightInd w:val="0"/>
              <w:snapToGrid w:val="0"/>
              <w:spacing w:before="121" w:line="288" w:lineRule="auto"/>
              <w:ind w:left="10" w:right="2" w:firstLine="423"/>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如果我方中标，我方接受招标人在合同订立期间依据招标文件有关条款约定对我方已标价工程量清单中不正常报价的修正或认定，并按要求签署《不正常报价清单》加以确认。</w:t>
            </w:r>
          </w:p>
        </w:tc>
        <w:tc>
          <w:tcPr>
            <w:tcW w:w="4272" w:type="dxa"/>
            <w:vAlign w:val="top"/>
            <mc:AlternateContent>
              <mc:Choice Requires="wpsCustomData">
                <wpsCustomData:diagonals>
                  <wpsCustomData:diagonal from="20000" to="0">
                    <wpsCustomData:border w:val="single" w:color="000000" w:sz="2" w:space="0"/>
                  </wpsCustomData:diagonal>
                </wpsCustomData:diagonals>
              </mc:Choice>
            </mc:AlternateContent>
          </w:tcPr>
          <w:p w14:paraId="1D1DE373">
            <w:pPr>
              <w:pStyle w:val="29"/>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70888FEE">
            <w:pPr>
              <w:pStyle w:val="29"/>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677E9644">
            <w:pPr>
              <w:pStyle w:val="29"/>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0A1199D4">
            <w:pPr>
              <w:keepNext w:val="0"/>
              <w:keepLines w:val="0"/>
              <w:pageBreakBefore w:val="0"/>
              <w:widowControl/>
              <w:kinsoku w:val="0"/>
              <w:wordWrap w:val="0"/>
              <w:overflowPunct/>
              <w:topLinePunct w:val="0"/>
              <w:autoSpaceDE w:val="0"/>
              <w:autoSpaceDN w:val="0"/>
              <w:bidi w:val="0"/>
              <w:adjustRightInd w:val="0"/>
              <w:snapToGrid w:val="0"/>
              <w:spacing w:before="57" w:line="240" w:lineRule="auto"/>
              <w:ind w:left="1979"/>
              <w:textAlignment w:val="baseline"/>
              <mc:AlternateContent>
                <mc:Choice Requires="wpsCustomData">
                  <wpsCustomData:diagonalParaType/>
                </mc:Choice>
              </mc:AlternateContent>
              <w:rPr>
                <w:rFonts w:hint="eastAsia" w:ascii="宋体" w:hAnsi="宋体" w:eastAsia="宋体" w:cs="宋体"/>
                <w:color w:val="auto"/>
                <w:spacing w:val="0"/>
                <w:sz w:val="21"/>
                <w:szCs w:val="21"/>
                <w:highlight w:val="none"/>
              </w:rPr>
            </w:pPr>
          </w:p>
          <w:p w14:paraId="4C143886">
            <w:pPr>
              <w:keepNext w:val="0"/>
              <w:keepLines w:val="0"/>
              <w:pageBreakBefore w:val="0"/>
              <w:widowControl/>
              <w:kinsoku w:val="0"/>
              <w:wordWrap w:val="0"/>
              <w:overflowPunct/>
              <w:topLinePunct w:val="0"/>
              <w:autoSpaceDE w:val="0"/>
              <w:autoSpaceDN w:val="0"/>
              <w:bidi w:val="0"/>
              <w:adjustRightInd w:val="0"/>
              <w:snapToGrid w:val="0"/>
              <w:spacing w:before="57" w:line="288" w:lineRule="auto"/>
              <w:ind w:left="1979"/>
              <w:textAlignment w:val="baseline"/>
              <w:rPr>
                <w:rFonts w:hint="eastAsia" w:ascii="宋体" w:hAnsi="宋体" w:eastAsia="宋体" w:cs="宋体"/>
                <w:color w:val="auto"/>
                <w:spacing w:val="0"/>
                <w:sz w:val="21"/>
                <w:szCs w:val="21"/>
                <w:highlight w:val="none"/>
              </w:rPr>
            </w:pPr>
          </w:p>
        </w:tc>
      </w:tr>
      <w:tr w14:paraId="11302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1EECA146">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8</w:t>
            </w:r>
          </w:p>
        </w:tc>
        <w:tc>
          <w:tcPr>
            <w:tcW w:w="1675" w:type="dxa"/>
            <w:vAlign w:val="center"/>
          </w:tcPr>
          <w:p w14:paraId="4044B441">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按时提交履约保证的承诺</w:t>
            </w:r>
          </w:p>
        </w:tc>
        <w:tc>
          <w:tcPr>
            <w:tcW w:w="3107" w:type="dxa"/>
            <w:vAlign w:val="top"/>
          </w:tcPr>
          <w:p w14:paraId="0356E9C6">
            <w:pPr>
              <w:pStyle w:val="29"/>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09220BBD">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如果我方中标，我方保证在招标文件规定的时限内全额提交履约保证。</w:t>
            </w:r>
          </w:p>
        </w:tc>
        <w:tc>
          <w:tcPr>
            <w:tcW w:w="4272" w:type="dxa"/>
            <w:vAlign w:val="top"/>
          </w:tcPr>
          <w:p w14:paraId="061ED1BE">
            <w:pPr>
              <w:keepNext w:val="0"/>
              <w:keepLines w:val="0"/>
              <w:pageBreakBefore w:val="0"/>
              <w:widowControl/>
              <w:kinsoku w:val="0"/>
              <w:wordWrap w:val="0"/>
              <w:overflowPunct/>
              <w:topLinePunct w:val="0"/>
              <w:autoSpaceDE w:val="0"/>
              <w:autoSpaceDN w:val="0"/>
              <w:bidi w:val="0"/>
              <w:adjustRightInd w:val="0"/>
              <w:snapToGrid w:val="0"/>
              <w:spacing w:before="128" w:line="288" w:lineRule="auto"/>
              <w:ind w:left="12" w:right="23" w:firstLine="423"/>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如果我方未在招标文件规定的时限内全 额提交履约保证，我方接受招标人依据招标文件作出的相应处理以及有关监督部门作出的行政处罚，并承担由此引起的一切法律后果。</w:t>
            </w:r>
          </w:p>
        </w:tc>
      </w:tr>
      <w:tr w14:paraId="38537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797E0028">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9</w:t>
            </w:r>
          </w:p>
        </w:tc>
        <w:tc>
          <w:tcPr>
            <w:tcW w:w="1675" w:type="dxa"/>
            <w:vAlign w:val="center"/>
          </w:tcPr>
          <w:p w14:paraId="272686C5">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按时签订合同的承诺</w:t>
            </w:r>
          </w:p>
        </w:tc>
        <w:tc>
          <w:tcPr>
            <w:tcW w:w="3107" w:type="dxa"/>
            <w:vAlign w:val="top"/>
          </w:tcPr>
          <w:p w14:paraId="0D0C1B16">
            <w:pPr>
              <w:pStyle w:val="29"/>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7B58C7CC">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如果我方中标，我方保证在 招标文件规定的时限内与招标人签订合同，不提出违背或超出招标文件、中标文件的要求。</w:t>
            </w:r>
          </w:p>
        </w:tc>
        <w:tc>
          <w:tcPr>
            <w:tcW w:w="4272" w:type="dxa"/>
            <w:vAlign w:val="top"/>
          </w:tcPr>
          <w:p w14:paraId="515E9F60">
            <w:pPr>
              <w:keepNext w:val="0"/>
              <w:keepLines w:val="0"/>
              <w:pageBreakBefore w:val="0"/>
              <w:widowControl/>
              <w:kinsoku w:val="0"/>
              <w:wordWrap w:val="0"/>
              <w:overflowPunct/>
              <w:topLinePunct w:val="0"/>
              <w:autoSpaceDE w:val="0"/>
              <w:autoSpaceDN w:val="0"/>
              <w:bidi w:val="0"/>
              <w:adjustRightInd w:val="0"/>
              <w:snapToGrid w:val="0"/>
              <w:spacing w:before="126" w:line="288" w:lineRule="auto"/>
              <w:ind w:left="13" w:firstLine="415"/>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如果我方未在招标文件规定的时限内与招标人签订合同，或我方在签订合同过程中提出违背或超出招标文件、中标文件的要求。我方接受招标人依据招标文件作出的相应处 理以及有关监督部门作出的行政处罚，并承担由此引起的一切法律后果。</w:t>
            </w:r>
          </w:p>
        </w:tc>
      </w:tr>
    </w:tbl>
    <w:p w14:paraId="549FC2A1">
      <w:pPr>
        <w:keepNext w:val="0"/>
        <w:keepLines w:val="0"/>
        <w:pageBreakBefore w:val="0"/>
        <w:wordWrap w:val="0"/>
        <w:overflowPunct/>
        <w:topLinePunct w:val="0"/>
        <w:bidi w:val="0"/>
        <w:spacing w:before="78" w:line="219" w:lineRule="auto"/>
        <w:ind w:firstLine="6720" w:firstLineChars="2800"/>
        <w:jc w:val="both"/>
        <w:rPr>
          <w:rFonts w:hint="eastAsia" w:ascii="宋体" w:hAnsi="宋体" w:eastAsia="宋体" w:cs="宋体"/>
          <w:color w:val="auto"/>
          <w:spacing w:val="0"/>
          <w:sz w:val="24"/>
          <w:szCs w:val="24"/>
          <w:highlight w:val="none"/>
        </w:rPr>
      </w:pPr>
    </w:p>
    <w:p w14:paraId="420D5EA7">
      <w:pPr>
        <w:keepNext w:val="0"/>
        <w:keepLines w:val="0"/>
        <w:pageBreakBefore w:val="0"/>
        <w:wordWrap w:val="0"/>
        <w:overflowPunct/>
        <w:topLinePunct w:val="0"/>
        <w:bidi w:val="0"/>
        <w:spacing w:before="78" w:line="219" w:lineRule="auto"/>
        <w:ind w:firstLine="6720" w:firstLineChars="2800"/>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（盖单位章）</w:t>
      </w:r>
    </w:p>
    <w:p w14:paraId="4A7B0690">
      <w:pPr>
        <w:pStyle w:val="6"/>
        <w:keepNext w:val="0"/>
        <w:keepLines w:val="0"/>
        <w:pageBreakBefore w:val="0"/>
        <w:wordWrap w:val="0"/>
        <w:overflowPunct/>
        <w:topLinePunct w:val="0"/>
        <w:bidi w:val="0"/>
        <w:spacing w:line="297" w:lineRule="auto"/>
        <w:jc w:val="right"/>
        <w:rPr>
          <w:rFonts w:hint="eastAsia" w:ascii="宋体" w:hAnsi="宋体" w:eastAsia="宋体" w:cs="宋体"/>
          <w:color w:val="auto"/>
          <w:spacing w:val="0"/>
          <w:highlight w:val="none"/>
        </w:rPr>
      </w:pPr>
    </w:p>
    <w:p w14:paraId="693BC169">
      <w:pPr>
        <w:keepNext w:val="0"/>
        <w:keepLines w:val="0"/>
        <w:pageBreakBefore w:val="0"/>
        <w:wordWrap w:val="0"/>
        <w:overflowPunct/>
        <w:topLinePunct w:val="0"/>
        <w:bidi w:val="0"/>
        <w:spacing w:before="78" w:line="219" w:lineRule="auto"/>
        <w:ind w:left="4366"/>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（签字或盖章）</w:t>
      </w:r>
    </w:p>
    <w:p w14:paraId="1BA52AD8">
      <w:pPr>
        <w:keepNext w:val="0"/>
        <w:keepLines w:val="0"/>
        <w:pageBreakBefore w:val="0"/>
        <w:wordWrap w:val="0"/>
        <w:overflowPunct/>
        <w:topLinePunct w:val="0"/>
        <w:bidi w:val="0"/>
        <w:outlineLvl w:val="9"/>
        <w:rPr>
          <w:rFonts w:hint="eastAsia"/>
          <w:color w:val="auto"/>
          <w:spacing w:val="0"/>
          <w:highlight w:val="none"/>
        </w:rPr>
      </w:pPr>
    </w:p>
    <w:p w14:paraId="4983A772">
      <w:pPr>
        <w:keepNext w:val="0"/>
        <w:keepLines w:val="0"/>
        <w:pageBreakBefore w:val="0"/>
        <w:wordWrap w:val="0"/>
        <w:overflowPunct/>
        <w:topLinePunct w:val="0"/>
        <w:bidi w:val="0"/>
        <w:spacing w:before="78" w:line="220" w:lineRule="auto"/>
        <w:ind w:left="6730"/>
        <w:jc w:val="right"/>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6CC4144A">
      <w:pPr>
        <w:keepNext w:val="0"/>
        <w:keepLines w:val="0"/>
        <w:pageBreakBefore w:val="0"/>
        <w:wordWrap w:val="0"/>
        <w:overflowPunct/>
        <w:topLinePunct w:val="0"/>
        <w:bidi w:val="0"/>
        <w:spacing w:line="220" w:lineRule="auto"/>
        <w:jc w:val="right"/>
        <w:rPr>
          <w:rFonts w:hint="eastAsia" w:ascii="宋体" w:hAnsi="宋体" w:eastAsia="宋体" w:cs="宋体"/>
          <w:color w:val="auto"/>
          <w:spacing w:val="0"/>
          <w:sz w:val="24"/>
          <w:szCs w:val="24"/>
          <w:highlight w:val="none"/>
        </w:rPr>
        <w:sectPr>
          <w:footerReference r:id="rId15"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0D79D957">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25" w:name="_Toc9225"/>
      <w:r>
        <w:rPr>
          <w:rFonts w:hint="eastAsia" w:ascii="宋体" w:hAnsi="宋体" w:eastAsia="宋体" w:cs="宋体"/>
          <w:b/>
          <w:bCs/>
          <w:color w:val="auto"/>
          <w:spacing w:val="0"/>
          <w:sz w:val="24"/>
          <w:szCs w:val="24"/>
          <w:highlight w:val="none"/>
        </w:rPr>
        <w:t>格式四 授权委托书</w:t>
      </w:r>
      <w:bookmarkEnd w:id="225"/>
    </w:p>
    <w:p w14:paraId="033A3703">
      <w:pPr>
        <w:pStyle w:val="6"/>
        <w:keepNext w:val="0"/>
        <w:keepLines w:val="0"/>
        <w:pageBreakBefore w:val="0"/>
        <w:wordWrap w:val="0"/>
        <w:overflowPunct/>
        <w:topLinePunct w:val="0"/>
        <w:bidi w:val="0"/>
        <w:spacing w:line="351" w:lineRule="auto"/>
        <w:rPr>
          <w:rFonts w:hint="eastAsia" w:ascii="宋体" w:hAnsi="宋体" w:eastAsia="宋体" w:cs="宋体"/>
          <w:color w:val="auto"/>
          <w:spacing w:val="0"/>
          <w:highlight w:val="none"/>
        </w:rPr>
      </w:pPr>
    </w:p>
    <w:p w14:paraId="13EBC733">
      <w:pPr>
        <w:pStyle w:val="6"/>
        <w:keepNext w:val="0"/>
        <w:keepLines w:val="0"/>
        <w:pageBreakBefore w:val="0"/>
        <w:wordWrap w:val="0"/>
        <w:overflowPunct/>
        <w:topLinePunct w:val="0"/>
        <w:bidi w:val="0"/>
        <w:spacing w:line="351" w:lineRule="auto"/>
        <w:rPr>
          <w:rFonts w:hint="eastAsia" w:ascii="宋体" w:hAnsi="宋体" w:eastAsia="宋体" w:cs="宋体"/>
          <w:color w:val="auto"/>
          <w:spacing w:val="0"/>
          <w:highlight w:val="none"/>
        </w:rPr>
      </w:pPr>
    </w:p>
    <w:p w14:paraId="6E355852">
      <w:pPr>
        <w:keepNext w:val="0"/>
        <w:keepLines w:val="0"/>
        <w:pageBreakBefore w:val="0"/>
        <w:wordWrap w:val="0"/>
        <w:overflowPunct/>
        <w:topLinePunct w:val="0"/>
        <w:bidi w:val="0"/>
        <w:spacing w:before="97" w:line="219" w:lineRule="auto"/>
        <w:ind w:left="3786"/>
        <w:rPr>
          <w:rFonts w:hint="eastAsia" w:ascii="宋体" w:hAnsi="宋体" w:eastAsia="宋体" w:cs="宋体"/>
          <w:color w:val="auto"/>
          <w:spacing w:val="0"/>
          <w:sz w:val="30"/>
          <w:szCs w:val="30"/>
          <w:highlight w:val="none"/>
        </w:rPr>
      </w:pPr>
      <w:bookmarkStart w:id="226" w:name="bookmark151"/>
      <w:bookmarkEnd w:id="226"/>
      <w:r>
        <w:rPr>
          <w:rFonts w:hint="eastAsia" w:ascii="宋体" w:hAnsi="宋体" w:eastAsia="宋体" w:cs="宋体"/>
          <w:b/>
          <w:bCs/>
          <w:color w:val="auto"/>
          <w:spacing w:val="0"/>
          <w:sz w:val="30"/>
          <w:szCs w:val="30"/>
          <w:highlight w:val="none"/>
        </w:rPr>
        <w:t>授权委托书</w:t>
      </w:r>
    </w:p>
    <w:p w14:paraId="5CCB07D4">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0CCFB3A6">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0A0E7DA8">
      <w:pPr>
        <w:pStyle w:val="6"/>
        <w:keepNext w:val="0"/>
        <w:keepLines w:val="0"/>
        <w:pageBreakBefore w:val="0"/>
        <w:wordWrap w:val="0"/>
        <w:overflowPunct/>
        <w:topLinePunct w:val="0"/>
        <w:bidi w:val="0"/>
        <w:spacing w:line="251" w:lineRule="auto"/>
        <w:rPr>
          <w:rFonts w:hint="eastAsia" w:ascii="宋体" w:hAnsi="宋体" w:eastAsia="宋体" w:cs="宋体"/>
          <w:color w:val="auto"/>
          <w:spacing w:val="0"/>
          <w:highlight w:val="none"/>
        </w:rPr>
      </w:pPr>
    </w:p>
    <w:p w14:paraId="3E9F9F19">
      <w:pPr>
        <w:keepNext w:val="0"/>
        <w:keepLines w:val="0"/>
        <w:pageBreakBefore w:val="0"/>
        <w:widowControl/>
        <w:kinsoku w:val="0"/>
        <w:wordWrap w:val="0"/>
        <w:overflowPunct/>
        <w:topLinePunct w:val="0"/>
        <w:autoSpaceDE w:val="0"/>
        <w:autoSpaceDN w:val="0"/>
        <w:bidi w:val="0"/>
        <w:adjustRightInd w:val="0"/>
        <w:snapToGrid w:val="0"/>
        <w:spacing w:before="78" w:line="330" w:lineRule="auto"/>
        <w:ind w:firstLine="481"/>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 w:val="24"/>
          <w:szCs w:val="28"/>
          <w:highlight w:val="none"/>
          <w:lang w:eastAsia="zh-CN"/>
        </w:rPr>
        <w:t>本人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 w:val="24"/>
          <w:szCs w:val="28"/>
          <w:highlight w:val="none"/>
          <w:lang w:eastAsia="zh-CN"/>
        </w:rPr>
        <w:t>（姓名）系</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 w:val="24"/>
          <w:szCs w:val="28"/>
          <w:highlight w:val="none"/>
          <w:lang w:eastAsia="zh-CN"/>
        </w:rPr>
        <w:t>（投标人名称）的法定代表人，现委托</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 w:val="24"/>
          <w:szCs w:val="28"/>
          <w:highlight w:val="none"/>
          <w:lang w:eastAsia="zh-CN"/>
        </w:rPr>
        <w:t>（姓名）为我方代理人。代理人根据授权，以我方名义签署、澄清、说明、补正、递交、撤回、修改</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u w:val="single"/>
          <w:lang w:val="en-US" w:eastAsia="zh-CN"/>
        </w:rPr>
        <w:t xml:space="preserve">    </w:t>
      </w:r>
      <w:r>
        <w:rPr>
          <w:rFonts w:hint="eastAsia" w:ascii="宋体" w:hAnsi="宋体" w:eastAsia="宋体" w:cs="宋体"/>
          <w:snapToGrid w:val="0"/>
          <w:color w:val="auto"/>
          <w:spacing w:val="0"/>
          <w:kern w:val="0"/>
          <w:sz w:val="24"/>
          <w:szCs w:val="28"/>
          <w:highlight w:val="none"/>
          <w:u w:val="single"/>
          <w:lang w:eastAsia="zh-CN"/>
        </w:rPr>
        <w:t>（项目名称）</w:t>
      </w:r>
      <w:r>
        <w:rPr>
          <w:rFonts w:hint="eastAsia" w:ascii="宋体" w:hAnsi="宋体" w:eastAsia="宋体" w:cs="宋体"/>
          <w:snapToGrid w:val="0"/>
          <w:color w:val="auto"/>
          <w:spacing w:val="0"/>
          <w:kern w:val="0"/>
          <w:sz w:val="24"/>
          <w:szCs w:val="28"/>
          <w:highlight w:val="none"/>
          <w:lang w:eastAsia="zh-CN"/>
        </w:rPr>
        <w:t xml:space="preserve"> 施工投标文件、签订合同和处理有关事宜，其法律后果由我方承担。</w:t>
      </w:r>
    </w:p>
    <w:p w14:paraId="16D778F7">
      <w:pPr>
        <w:keepNext w:val="0"/>
        <w:keepLines w:val="0"/>
        <w:pageBreakBefore w:val="0"/>
        <w:widowControl/>
        <w:kinsoku w:val="0"/>
        <w:wordWrap w:val="0"/>
        <w:overflowPunct/>
        <w:topLinePunct w:val="0"/>
        <w:autoSpaceDE w:val="0"/>
        <w:autoSpaceDN w:val="0"/>
        <w:bidi w:val="0"/>
        <w:adjustRightInd w:val="0"/>
        <w:snapToGrid w:val="0"/>
        <w:spacing w:before="32" w:line="320" w:lineRule="auto"/>
        <w:ind w:left="480" w:right="497"/>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委托期限：至</w:t>
      </w:r>
      <w:r>
        <w:rPr>
          <w:rFonts w:hint="eastAsia" w:ascii="宋体" w:hAnsi="宋体" w:eastAsia="宋体" w:cs="宋体"/>
          <w:color w:val="auto"/>
          <w:spacing w:val="0"/>
          <w:sz w:val="24"/>
          <w:szCs w:val="24"/>
          <w:highlight w:val="none"/>
          <w:u w:val="single"/>
        </w:rPr>
        <w:t xml:space="preserve">     年   月    日</w:t>
      </w:r>
      <w:r>
        <w:rPr>
          <w:rFonts w:hint="eastAsia" w:ascii="宋体" w:hAnsi="宋体" w:eastAsia="宋体" w:cs="宋体"/>
          <w:i/>
          <w:iCs/>
          <w:color w:val="auto"/>
          <w:spacing w:val="0"/>
          <w:sz w:val="25"/>
          <w:szCs w:val="25"/>
          <w:highlight w:val="none"/>
          <w:u w:val="single"/>
        </w:rPr>
        <w:t>（不得短于招标文件规定的投标有效期）</w:t>
      </w:r>
      <w:r>
        <w:rPr>
          <w:rFonts w:hint="eastAsia" w:ascii="宋体" w:hAnsi="宋体" w:eastAsia="宋体" w:cs="宋体"/>
          <w:color w:val="auto"/>
          <w:spacing w:val="0"/>
          <w:sz w:val="25"/>
          <w:szCs w:val="25"/>
          <w:highlight w:val="none"/>
        </w:rPr>
        <w:t xml:space="preserve"> </w:t>
      </w:r>
      <w:r>
        <w:rPr>
          <w:rFonts w:hint="eastAsia" w:ascii="宋体" w:hAnsi="宋体" w:eastAsia="宋体" w:cs="宋体"/>
          <w:color w:val="auto"/>
          <w:spacing w:val="0"/>
          <w:sz w:val="24"/>
          <w:szCs w:val="24"/>
          <w:highlight w:val="none"/>
        </w:rPr>
        <w:t xml:space="preserve">。 </w:t>
      </w:r>
    </w:p>
    <w:p w14:paraId="3236344C">
      <w:pPr>
        <w:keepNext w:val="0"/>
        <w:keepLines w:val="0"/>
        <w:pageBreakBefore w:val="0"/>
        <w:widowControl/>
        <w:kinsoku w:val="0"/>
        <w:wordWrap w:val="0"/>
        <w:overflowPunct/>
        <w:topLinePunct w:val="0"/>
        <w:autoSpaceDE w:val="0"/>
        <w:autoSpaceDN w:val="0"/>
        <w:bidi w:val="0"/>
        <w:adjustRightInd w:val="0"/>
        <w:snapToGrid w:val="0"/>
        <w:spacing w:before="32" w:line="320" w:lineRule="auto"/>
        <w:ind w:left="480" w:right="497"/>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代理人无转委托权。</w:t>
      </w:r>
    </w:p>
    <w:p w14:paraId="195F0838">
      <w:pPr>
        <w:pStyle w:val="6"/>
        <w:keepNext w:val="0"/>
        <w:keepLines w:val="0"/>
        <w:pageBreakBefore w:val="0"/>
        <w:wordWrap w:val="0"/>
        <w:overflowPunct/>
        <w:topLinePunct w:val="0"/>
        <w:bidi w:val="0"/>
        <w:spacing w:line="276" w:lineRule="auto"/>
        <w:rPr>
          <w:rFonts w:hint="eastAsia" w:ascii="宋体" w:hAnsi="宋体" w:eastAsia="宋体" w:cs="宋体"/>
          <w:color w:val="auto"/>
          <w:spacing w:val="0"/>
          <w:highlight w:val="none"/>
        </w:rPr>
      </w:pPr>
    </w:p>
    <w:p w14:paraId="29886232">
      <w:pPr>
        <w:pStyle w:val="6"/>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42AC1726">
      <w:pPr>
        <w:pStyle w:val="6"/>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71613945">
      <w:pPr>
        <w:keepNext w:val="0"/>
        <w:keepLines w:val="0"/>
        <w:pageBreakBefore w:val="0"/>
        <w:wordWrap w:val="0"/>
        <w:overflowPunct/>
        <w:topLinePunct w:val="0"/>
        <w:bidi w:val="0"/>
        <w:spacing w:before="78" w:line="219" w:lineRule="auto"/>
        <w:ind w:left="3123"/>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  标  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（盖单位章）</w:t>
      </w:r>
    </w:p>
    <w:p w14:paraId="1F3FE37C">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080417B9">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43FE38F9">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63C0E146">
      <w:pPr>
        <w:keepNext w:val="0"/>
        <w:keepLines w:val="0"/>
        <w:pageBreakBefore w:val="0"/>
        <w:wordWrap w:val="0"/>
        <w:overflowPunct/>
        <w:topLinePunct w:val="0"/>
        <w:bidi w:val="0"/>
        <w:spacing w:before="79" w:line="219" w:lineRule="auto"/>
        <w:ind w:left="3121"/>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（签字或盖章）</w:t>
      </w:r>
    </w:p>
    <w:p w14:paraId="7619A633">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2C3DBDE2">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162989C9">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2C04CF09">
      <w:pPr>
        <w:keepNext w:val="0"/>
        <w:keepLines w:val="0"/>
        <w:pageBreakBefore w:val="0"/>
        <w:wordWrap w:val="0"/>
        <w:overflowPunct/>
        <w:topLinePunct w:val="0"/>
        <w:bidi w:val="0"/>
        <w:spacing w:before="78" w:line="219" w:lineRule="auto"/>
        <w:ind w:left="2880"/>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委托代理人：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（签字或盖章）</w:t>
      </w:r>
    </w:p>
    <w:p w14:paraId="09D735DA">
      <w:pPr>
        <w:pStyle w:val="6"/>
        <w:keepNext w:val="0"/>
        <w:keepLines w:val="0"/>
        <w:pageBreakBefore w:val="0"/>
        <w:wordWrap w:val="0"/>
        <w:overflowPunct/>
        <w:topLinePunct w:val="0"/>
        <w:bidi w:val="0"/>
        <w:spacing w:line="256" w:lineRule="auto"/>
        <w:jc w:val="right"/>
        <w:rPr>
          <w:rFonts w:hint="eastAsia" w:ascii="宋体" w:hAnsi="宋体" w:eastAsia="宋体" w:cs="宋体"/>
          <w:color w:val="auto"/>
          <w:spacing w:val="0"/>
          <w:highlight w:val="none"/>
        </w:rPr>
      </w:pPr>
    </w:p>
    <w:p w14:paraId="17D3A11A">
      <w:pPr>
        <w:pStyle w:val="6"/>
        <w:keepNext w:val="0"/>
        <w:keepLines w:val="0"/>
        <w:pageBreakBefore w:val="0"/>
        <w:wordWrap w:val="0"/>
        <w:overflowPunct/>
        <w:topLinePunct w:val="0"/>
        <w:bidi w:val="0"/>
        <w:spacing w:line="256" w:lineRule="auto"/>
        <w:jc w:val="right"/>
        <w:rPr>
          <w:rFonts w:hint="eastAsia" w:ascii="宋体" w:hAnsi="宋体" w:eastAsia="宋体" w:cs="宋体"/>
          <w:color w:val="auto"/>
          <w:spacing w:val="0"/>
          <w:highlight w:val="none"/>
        </w:rPr>
      </w:pPr>
    </w:p>
    <w:p w14:paraId="239E053E">
      <w:pPr>
        <w:keepNext w:val="0"/>
        <w:keepLines w:val="0"/>
        <w:pageBreakBefore w:val="0"/>
        <w:wordWrap w:val="0"/>
        <w:overflowPunct/>
        <w:topLinePunct w:val="0"/>
        <w:bidi w:val="0"/>
        <w:spacing w:before="78" w:line="220" w:lineRule="auto"/>
        <w:ind w:left="6730"/>
        <w:jc w:val="right"/>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2064FF01">
      <w:pPr>
        <w:keepNext w:val="0"/>
        <w:keepLines w:val="0"/>
        <w:pageBreakBefore w:val="0"/>
        <w:wordWrap w:val="0"/>
        <w:overflowPunct/>
        <w:topLinePunct w:val="0"/>
        <w:bidi w:val="0"/>
        <w:spacing w:before="78" w:line="220" w:lineRule="auto"/>
        <w:ind w:left="4201"/>
        <w:jc w:val="right"/>
        <w:rPr>
          <w:rFonts w:hint="eastAsia" w:ascii="宋体" w:hAnsi="宋体" w:eastAsia="宋体" w:cs="宋体"/>
          <w:color w:val="auto"/>
          <w:spacing w:val="0"/>
          <w:sz w:val="24"/>
          <w:szCs w:val="24"/>
          <w:highlight w:val="none"/>
        </w:rPr>
      </w:pPr>
    </w:p>
    <w:p w14:paraId="09D41A99">
      <w:pPr>
        <w:keepNext w:val="0"/>
        <w:keepLines w:val="0"/>
        <w:pageBreakBefore w:val="0"/>
        <w:wordWrap w:val="0"/>
        <w:overflowPunct/>
        <w:topLinePunct w:val="0"/>
        <w:bidi w:val="0"/>
        <w:spacing w:before="69"/>
        <w:rPr>
          <w:rFonts w:hint="eastAsia" w:ascii="宋体" w:hAnsi="宋体" w:eastAsia="宋体" w:cs="宋体"/>
          <w:color w:val="auto"/>
          <w:spacing w:val="0"/>
          <w:highlight w:val="none"/>
        </w:rPr>
      </w:pPr>
    </w:p>
    <w:p w14:paraId="339F1D63">
      <w:pPr>
        <w:keepNext w:val="0"/>
        <w:keepLines w:val="0"/>
        <w:pageBreakBefore w:val="0"/>
        <w:wordWrap w:val="0"/>
        <w:overflowPunct/>
        <w:topLinePunct w:val="0"/>
        <w:bidi w:val="0"/>
        <w:spacing w:before="69"/>
        <w:rPr>
          <w:rFonts w:hint="eastAsia" w:ascii="宋体" w:hAnsi="宋体" w:eastAsia="宋体" w:cs="宋体"/>
          <w:color w:val="auto"/>
          <w:spacing w:val="0"/>
          <w:highlight w:val="none"/>
        </w:rPr>
      </w:pPr>
    </w:p>
    <w:tbl>
      <w:tblPr>
        <w:tblStyle w:val="15"/>
        <w:tblW w:w="5600" w:type="dxa"/>
        <w:tblInd w:w="23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600"/>
      </w:tblGrid>
      <w:tr w14:paraId="61F8201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2570" w:hRule="atLeast"/>
        </w:trPr>
        <w:tc>
          <w:tcPr>
            <w:tcW w:w="5600" w:type="dxa"/>
            <w:vAlign w:val="top"/>
          </w:tcPr>
          <w:p w14:paraId="3BD92DDA">
            <w:pPr>
              <w:pStyle w:val="29"/>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1D12E42D">
            <w:pPr>
              <w:pStyle w:val="29"/>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65523525">
            <w:pPr>
              <w:pStyle w:val="29"/>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7295DF5D">
            <w:pPr>
              <w:pStyle w:val="29"/>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7B3005C8">
            <w:pPr>
              <w:pStyle w:val="29"/>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4BC556D9">
            <w:pPr>
              <w:pStyle w:val="29"/>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0F0D06AC">
            <w:pPr>
              <w:pStyle w:val="29"/>
              <w:keepNext w:val="0"/>
              <w:keepLines w:val="0"/>
              <w:pageBreakBefore w:val="0"/>
              <w:wordWrap w:val="0"/>
              <w:overflowPunct/>
              <w:topLinePunct w:val="0"/>
              <w:bidi w:val="0"/>
              <w:spacing w:line="246" w:lineRule="auto"/>
              <w:rPr>
                <w:rFonts w:hint="eastAsia" w:ascii="宋体" w:hAnsi="宋体" w:eastAsia="宋体" w:cs="宋体"/>
                <w:color w:val="auto"/>
                <w:spacing w:val="0"/>
                <w:highlight w:val="none"/>
              </w:rPr>
            </w:pPr>
          </w:p>
          <w:p w14:paraId="6F8182F0">
            <w:pPr>
              <w:keepNext w:val="0"/>
              <w:keepLines w:val="0"/>
              <w:pageBreakBefore w:val="0"/>
              <w:wordWrap w:val="0"/>
              <w:overflowPunct/>
              <w:topLinePunct w:val="0"/>
              <w:bidi w:val="0"/>
              <w:spacing w:before="78" w:line="220" w:lineRule="auto"/>
              <w:ind w:left="71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委托代理人身份证</w:t>
            </w:r>
            <w:r>
              <w:rPr>
                <w:rFonts w:hint="eastAsia" w:ascii="宋体" w:hAnsi="宋体" w:eastAsia="宋体" w:cs="宋体"/>
                <w:color w:val="auto"/>
                <w:spacing w:val="0"/>
                <w:sz w:val="24"/>
                <w:szCs w:val="24"/>
                <w:highlight w:val="none"/>
                <w:lang w:val="en-US" w:eastAsia="zh-CN"/>
              </w:rPr>
              <w:t>彩色扫描件</w:t>
            </w:r>
            <w:r>
              <w:rPr>
                <w:rFonts w:hint="eastAsia" w:ascii="宋体" w:hAnsi="宋体" w:eastAsia="宋体" w:cs="宋体"/>
                <w:color w:val="auto"/>
                <w:spacing w:val="0"/>
                <w:sz w:val="24"/>
                <w:szCs w:val="24"/>
                <w:highlight w:val="none"/>
              </w:rPr>
              <w:t>正、反面</w:t>
            </w:r>
          </w:p>
        </w:tc>
      </w:tr>
    </w:tbl>
    <w:p w14:paraId="455830FB">
      <w:pPr>
        <w:pStyle w:val="6"/>
        <w:keepNext w:val="0"/>
        <w:keepLines w:val="0"/>
        <w:pageBreakBefore w:val="0"/>
        <w:wordWrap w:val="0"/>
        <w:overflowPunct/>
        <w:topLinePunct w:val="0"/>
        <w:bidi w:val="0"/>
        <w:rPr>
          <w:rFonts w:hint="eastAsia" w:ascii="宋体" w:hAnsi="宋体" w:eastAsia="宋体" w:cs="宋体"/>
          <w:color w:val="auto"/>
          <w:spacing w:val="0"/>
          <w:highlight w:val="none"/>
        </w:rPr>
      </w:pPr>
    </w:p>
    <w:p w14:paraId="4FDF7422">
      <w:pPr>
        <w:keepNext w:val="0"/>
        <w:keepLines w:val="0"/>
        <w:pageBreakBefore w:val="0"/>
        <w:wordWrap w:val="0"/>
        <w:overflowPunct/>
        <w:topLinePunct w:val="0"/>
        <w:bidi w:val="0"/>
        <w:rPr>
          <w:rFonts w:hint="eastAsia" w:ascii="宋体" w:hAnsi="宋体" w:eastAsia="宋体" w:cs="宋体"/>
          <w:color w:val="auto"/>
          <w:spacing w:val="0"/>
          <w:highlight w:val="none"/>
        </w:rPr>
        <w:sectPr>
          <w:footerReference r:id="rId16"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71550756">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27" w:name="_Toc23932"/>
      <w:r>
        <w:rPr>
          <w:rFonts w:hint="eastAsia" w:ascii="宋体" w:hAnsi="宋体" w:eastAsia="宋体" w:cs="宋体"/>
          <w:b/>
          <w:bCs/>
          <w:color w:val="auto"/>
          <w:spacing w:val="0"/>
          <w:sz w:val="24"/>
          <w:szCs w:val="24"/>
          <w:highlight w:val="none"/>
        </w:rPr>
        <w:t>格式五 法定代表人身份证明</w:t>
      </w:r>
      <w:bookmarkEnd w:id="227"/>
    </w:p>
    <w:p w14:paraId="0726C661">
      <w:pPr>
        <w:pStyle w:val="6"/>
        <w:keepNext w:val="0"/>
        <w:keepLines w:val="0"/>
        <w:pageBreakBefore w:val="0"/>
        <w:wordWrap w:val="0"/>
        <w:overflowPunct/>
        <w:topLinePunct w:val="0"/>
        <w:bidi w:val="0"/>
        <w:spacing w:line="350" w:lineRule="auto"/>
        <w:rPr>
          <w:rFonts w:hint="eastAsia" w:ascii="宋体" w:hAnsi="宋体" w:eastAsia="宋体" w:cs="宋体"/>
          <w:color w:val="auto"/>
          <w:spacing w:val="0"/>
          <w:highlight w:val="none"/>
        </w:rPr>
      </w:pPr>
    </w:p>
    <w:p w14:paraId="3C8BDF93">
      <w:pPr>
        <w:pStyle w:val="6"/>
        <w:keepNext w:val="0"/>
        <w:keepLines w:val="0"/>
        <w:pageBreakBefore w:val="0"/>
        <w:wordWrap w:val="0"/>
        <w:overflowPunct/>
        <w:topLinePunct w:val="0"/>
        <w:bidi w:val="0"/>
        <w:spacing w:line="350" w:lineRule="auto"/>
        <w:rPr>
          <w:rFonts w:hint="eastAsia" w:ascii="宋体" w:hAnsi="宋体" w:eastAsia="宋体" w:cs="宋体"/>
          <w:color w:val="auto"/>
          <w:spacing w:val="0"/>
          <w:highlight w:val="none"/>
        </w:rPr>
      </w:pPr>
    </w:p>
    <w:p w14:paraId="3216759B">
      <w:pPr>
        <w:keepNext w:val="0"/>
        <w:keepLines w:val="0"/>
        <w:pageBreakBefore w:val="0"/>
        <w:wordWrap w:val="0"/>
        <w:overflowPunct/>
        <w:topLinePunct w:val="0"/>
        <w:bidi w:val="0"/>
        <w:spacing w:before="98" w:line="220" w:lineRule="auto"/>
        <w:ind w:left="3183"/>
        <w:rPr>
          <w:rFonts w:hint="eastAsia" w:ascii="宋体" w:hAnsi="宋体" w:eastAsia="宋体" w:cs="宋体"/>
          <w:color w:val="auto"/>
          <w:spacing w:val="0"/>
          <w:sz w:val="30"/>
          <w:szCs w:val="30"/>
          <w:highlight w:val="none"/>
        </w:rPr>
      </w:pPr>
      <w:bookmarkStart w:id="228" w:name="bookmark152"/>
      <w:bookmarkEnd w:id="228"/>
      <w:r>
        <w:rPr>
          <w:rFonts w:hint="eastAsia" w:ascii="宋体" w:hAnsi="宋体" w:eastAsia="宋体" w:cs="宋体"/>
          <w:b/>
          <w:bCs/>
          <w:color w:val="auto"/>
          <w:spacing w:val="0"/>
          <w:sz w:val="30"/>
          <w:szCs w:val="30"/>
          <w:highlight w:val="none"/>
        </w:rPr>
        <w:t>法定代表人身份证明</w:t>
      </w:r>
    </w:p>
    <w:p w14:paraId="511D2E66">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04202308">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6A866794">
      <w:pPr>
        <w:pStyle w:val="6"/>
        <w:keepNext w:val="0"/>
        <w:keepLines w:val="0"/>
        <w:pageBreakBefore w:val="0"/>
        <w:wordWrap w:val="0"/>
        <w:overflowPunct/>
        <w:topLinePunct w:val="0"/>
        <w:bidi w:val="0"/>
        <w:spacing w:line="251" w:lineRule="auto"/>
        <w:rPr>
          <w:rFonts w:hint="eastAsia" w:ascii="宋体" w:hAnsi="宋体" w:eastAsia="宋体" w:cs="宋体"/>
          <w:color w:val="auto"/>
          <w:spacing w:val="0"/>
          <w:highlight w:val="none"/>
        </w:rPr>
      </w:pPr>
    </w:p>
    <w:p w14:paraId="1223B37A">
      <w:pPr>
        <w:keepNext w:val="0"/>
        <w:keepLines w:val="0"/>
        <w:pageBreakBefore w:val="0"/>
        <w:wordWrap w:val="0"/>
        <w:overflowPunct/>
        <w:topLinePunct w:val="0"/>
        <w:bidi w:val="0"/>
        <w:adjustRightInd w:val="0"/>
        <w:snapToGrid w:val="0"/>
        <w:spacing w:line="440" w:lineRule="exact"/>
        <w:rPr>
          <w:rFonts w:hint="eastAsia" w:ascii="宋体" w:hAnsi="宋体" w:eastAsia="宋体" w:cs="宋体"/>
          <w:snapToGrid w:val="0"/>
          <w:color w:val="auto"/>
          <w:spacing w:val="0"/>
          <w:kern w:val="0"/>
          <w:sz w:val="24"/>
          <w:szCs w:val="24"/>
          <w:highlight w:val="none"/>
          <w:u w:val="single"/>
        </w:rPr>
      </w:pPr>
      <w:r>
        <w:rPr>
          <w:rFonts w:hint="eastAsia" w:ascii="宋体" w:hAnsi="宋体" w:eastAsia="宋体" w:cs="宋体"/>
          <w:snapToGrid w:val="0"/>
          <w:color w:val="auto"/>
          <w:spacing w:val="0"/>
          <w:kern w:val="0"/>
          <w:sz w:val="24"/>
          <w:szCs w:val="24"/>
          <w:highlight w:val="none"/>
        </w:rPr>
        <w:t>投标人名称：</w:t>
      </w:r>
      <w:r>
        <w:rPr>
          <w:rFonts w:hint="eastAsia" w:ascii="宋体" w:hAnsi="宋体" w:eastAsia="宋体" w:cs="宋体"/>
          <w:snapToGrid w:val="0"/>
          <w:color w:val="auto"/>
          <w:spacing w:val="0"/>
          <w:kern w:val="0"/>
          <w:sz w:val="24"/>
          <w:szCs w:val="24"/>
          <w:highlight w:val="none"/>
          <w:u w:val="single"/>
        </w:rPr>
        <w:t xml:space="preserve">                  </w:t>
      </w:r>
    </w:p>
    <w:p w14:paraId="2642C3CF">
      <w:pPr>
        <w:keepNext w:val="0"/>
        <w:keepLines w:val="0"/>
        <w:pageBreakBefore w:val="0"/>
        <w:wordWrap w:val="0"/>
        <w:overflowPunct/>
        <w:topLinePunct w:val="0"/>
        <w:bidi w:val="0"/>
        <w:adjustRightInd w:val="0"/>
        <w:snapToGrid w:val="0"/>
        <w:spacing w:line="440" w:lineRule="exact"/>
        <w:rPr>
          <w:rFonts w:hint="eastAsia" w:ascii="宋体" w:hAnsi="宋体" w:eastAsia="宋体" w:cs="宋体"/>
          <w:snapToGrid w:val="0"/>
          <w:color w:val="auto"/>
          <w:spacing w:val="0"/>
          <w:kern w:val="0"/>
          <w:sz w:val="24"/>
          <w:szCs w:val="24"/>
          <w:highlight w:val="none"/>
          <w:u w:val="single"/>
        </w:rPr>
      </w:pPr>
      <w:r>
        <w:rPr>
          <w:rFonts w:hint="eastAsia" w:ascii="宋体" w:hAnsi="宋体" w:eastAsia="宋体" w:cs="宋体"/>
          <w:snapToGrid w:val="0"/>
          <w:color w:val="auto"/>
          <w:spacing w:val="0"/>
          <w:kern w:val="0"/>
          <w:sz w:val="24"/>
          <w:szCs w:val="24"/>
          <w:highlight w:val="none"/>
        </w:rPr>
        <w:t>姓名：</w:t>
      </w:r>
      <w:r>
        <w:rPr>
          <w:rFonts w:hint="eastAsia" w:ascii="宋体" w:hAnsi="宋体" w:eastAsia="宋体" w:cs="宋体"/>
          <w:snapToGrid w:val="0"/>
          <w:color w:val="auto"/>
          <w:spacing w:val="0"/>
          <w:kern w:val="0"/>
          <w:sz w:val="24"/>
          <w:szCs w:val="24"/>
          <w:highlight w:val="none"/>
          <w:u w:val="single"/>
        </w:rPr>
        <w:t xml:space="preserve">         </w:t>
      </w:r>
      <w:r>
        <w:rPr>
          <w:rFonts w:hint="eastAsia" w:ascii="宋体" w:hAnsi="宋体" w:eastAsia="宋体" w:cs="宋体"/>
          <w:snapToGrid w:val="0"/>
          <w:color w:val="auto"/>
          <w:spacing w:val="0"/>
          <w:kern w:val="0"/>
          <w:sz w:val="24"/>
          <w:szCs w:val="24"/>
          <w:highlight w:val="none"/>
        </w:rPr>
        <w:t>性别：</w:t>
      </w:r>
      <w:r>
        <w:rPr>
          <w:rFonts w:hint="eastAsia" w:ascii="宋体" w:hAnsi="宋体" w:eastAsia="宋体" w:cs="宋体"/>
          <w:snapToGrid w:val="0"/>
          <w:color w:val="auto"/>
          <w:spacing w:val="0"/>
          <w:kern w:val="0"/>
          <w:sz w:val="24"/>
          <w:szCs w:val="24"/>
          <w:highlight w:val="none"/>
          <w:u w:val="single"/>
        </w:rPr>
        <w:t xml:space="preserve">      </w:t>
      </w:r>
      <w:r>
        <w:rPr>
          <w:rFonts w:hint="eastAsia" w:ascii="宋体" w:hAnsi="宋体" w:eastAsia="宋体" w:cs="宋体"/>
          <w:snapToGrid w:val="0"/>
          <w:color w:val="auto"/>
          <w:spacing w:val="0"/>
          <w:kern w:val="0"/>
          <w:sz w:val="24"/>
          <w:szCs w:val="24"/>
          <w:highlight w:val="none"/>
        </w:rPr>
        <w:t>年龄：</w:t>
      </w:r>
      <w:r>
        <w:rPr>
          <w:rFonts w:hint="eastAsia" w:ascii="宋体" w:hAnsi="宋体" w:eastAsia="宋体" w:cs="宋体"/>
          <w:snapToGrid w:val="0"/>
          <w:color w:val="auto"/>
          <w:spacing w:val="0"/>
          <w:kern w:val="0"/>
          <w:sz w:val="24"/>
          <w:szCs w:val="24"/>
          <w:highlight w:val="none"/>
          <w:u w:val="single"/>
        </w:rPr>
        <w:t xml:space="preserve">       </w:t>
      </w:r>
      <w:r>
        <w:rPr>
          <w:rFonts w:hint="eastAsia" w:ascii="宋体" w:hAnsi="宋体" w:eastAsia="宋体" w:cs="宋体"/>
          <w:snapToGrid w:val="0"/>
          <w:color w:val="auto"/>
          <w:spacing w:val="0"/>
          <w:kern w:val="0"/>
          <w:sz w:val="24"/>
          <w:szCs w:val="24"/>
          <w:highlight w:val="none"/>
        </w:rPr>
        <w:t>职务：</w:t>
      </w:r>
      <w:r>
        <w:rPr>
          <w:rFonts w:hint="eastAsia" w:ascii="宋体" w:hAnsi="宋体" w:eastAsia="宋体" w:cs="宋体"/>
          <w:snapToGrid w:val="0"/>
          <w:color w:val="auto"/>
          <w:spacing w:val="0"/>
          <w:kern w:val="0"/>
          <w:sz w:val="24"/>
          <w:szCs w:val="24"/>
          <w:highlight w:val="none"/>
          <w:u w:val="single"/>
        </w:rPr>
        <w:t xml:space="preserve">           </w:t>
      </w:r>
    </w:p>
    <w:p w14:paraId="37E18900">
      <w:pPr>
        <w:keepNext w:val="0"/>
        <w:keepLines w:val="0"/>
        <w:pageBreakBefore w:val="0"/>
        <w:wordWrap w:val="0"/>
        <w:overflowPunct/>
        <w:topLinePunct w:val="0"/>
        <w:bidi w:val="0"/>
        <w:adjustRightInd w:val="0"/>
        <w:snapToGrid w:val="0"/>
        <w:spacing w:line="440" w:lineRule="exact"/>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系</w:t>
      </w:r>
      <w:r>
        <w:rPr>
          <w:rFonts w:hint="eastAsia" w:ascii="宋体" w:hAnsi="宋体" w:eastAsia="宋体" w:cs="宋体"/>
          <w:snapToGrid w:val="0"/>
          <w:color w:val="auto"/>
          <w:spacing w:val="0"/>
          <w:kern w:val="0"/>
          <w:sz w:val="24"/>
          <w:szCs w:val="24"/>
          <w:highlight w:val="none"/>
          <w:u w:val="single"/>
        </w:rPr>
        <w:t xml:space="preserve">                        </w:t>
      </w:r>
      <w:r>
        <w:rPr>
          <w:rFonts w:hint="eastAsia" w:ascii="宋体" w:hAnsi="宋体" w:eastAsia="宋体" w:cs="宋体"/>
          <w:snapToGrid w:val="0"/>
          <w:color w:val="auto"/>
          <w:spacing w:val="0"/>
          <w:kern w:val="0"/>
          <w:sz w:val="24"/>
          <w:szCs w:val="24"/>
          <w:highlight w:val="none"/>
        </w:rPr>
        <w:t>（投标人名称）的法定代表人。</w:t>
      </w:r>
    </w:p>
    <w:p w14:paraId="54F5A894">
      <w:pPr>
        <w:keepNext w:val="0"/>
        <w:keepLines w:val="0"/>
        <w:pageBreakBefore w:val="0"/>
        <w:wordWrap w:val="0"/>
        <w:overflowPunct/>
        <w:topLinePunct w:val="0"/>
        <w:bidi w:val="0"/>
        <w:adjustRightInd w:val="0"/>
        <w:snapToGrid w:val="0"/>
        <w:rPr>
          <w:rFonts w:hint="eastAsia" w:ascii="宋体" w:hAnsi="宋体" w:eastAsia="宋体" w:cs="宋体"/>
          <w:snapToGrid w:val="0"/>
          <w:color w:val="auto"/>
          <w:spacing w:val="0"/>
          <w:kern w:val="0"/>
          <w:szCs w:val="21"/>
          <w:highlight w:val="none"/>
        </w:rPr>
      </w:pPr>
      <w:r>
        <w:rPr>
          <w:rFonts w:hint="eastAsia" w:ascii="宋体" w:hAnsi="宋体" w:eastAsia="宋体" w:cs="宋体"/>
          <w:snapToGrid w:val="0"/>
          <w:color w:val="auto"/>
          <w:spacing w:val="0"/>
          <w:kern w:val="0"/>
          <w:sz w:val="24"/>
          <w:szCs w:val="24"/>
          <w:highlight w:val="none"/>
        </w:rPr>
        <w:t xml:space="preserve">    特此证明。</w:t>
      </w:r>
    </w:p>
    <w:p w14:paraId="7340CB95">
      <w:pPr>
        <w:pStyle w:val="6"/>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47F1A437">
      <w:pPr>
        <w:pStyle w:val="6"/>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5EA2960E">
      <w:pPr>
        <w:pStyle w:val="6"/>
        <w:keepNext w:val="0"/>
        <w:keepLines w:val="0"/>
        <w:pageBreakBefore w:val="0"/>
        <w:wordWrap w:val="0"/>
        <w:overflowPunct/>
        <w:topLinePunct w:val="0"/>
        <w:bidi w:val="0"/>
        <w:spacing w:line="278" w:lineRule="auto"/>
        <w:rPr>
          <w:rFonts w:hint="eastAsia" w:ascii="宋体" w:hAnsi="宋体" w:eastAsia="宋体" w:cs="宋体"/>
          <w:color w:val="auto"/>
          <w:spacing w:val="0"/>
          <w:highlight w:val="none"/>
        </w:rPr>
      </w:pPr>
    </w:p>
    <w:p w14:paraId="190A6473">
      <w:pPr>
        <w:keepNext w:val="0"/>
        <w:keepLines w:val="0"/>
        <w:pageBreakBefore w:val="0"/>
        <w:wordWrap w:val="0"/>
        <w:overflowPunct/>
        <w:topLinePunct w:val="0"/>
        <w:bidi w:val="0"/>
        <w:spacing w:before="78" w:line="219"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（盖单位章）</w:t>
      </w:r>
    </w:p>
    <w:p w14:paraId="43031FCF">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558F6A5C">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1C4D91F0">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2B0A984A">
      <w:pPr>
        <w:keepNext w:val="0"/>
        <w:keepLines w:val="0"/>
        <w:pageBreakBefore w:val="0"/>
        <w:wordWrap w:val="0"/>
        <w:overflowPunct/>
        <w:topLinePunct w:val="0"/>
        <w:bidi w:val="0"/>
        <w:spacing w:before="79" w:line="219"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（签字或盖章）</w:t>
      </w:r>
    </w:p>
    <w:p w14:paraId="13F2B97F">
      <w:pPr>
        <w:pStyle w:val="6"/>
        <w:keepNext w:val="0"/>
        <w:keepLines w:val="0"/>
        <w:pageBreakBefore w:val="0"/>
        <w:wordWrap w:val="0"/>
        <w:overflowPunct/>
        <w:topLinePunct w:val="0"/>
        <w:bidi w:val="0"/>
        <w:spacing w:line="257" w:lineRule="auto"/>
        <w:jc w:val="right"/>
        <w:rPr>
          <w:rFonts w:hint="eastAsia" w:ascii="宋体" w:hAnsi="宋体" w:eastAsia="宋体" w:cs="宋体"/>
          <w:color w:val="auto"/>
          <w:spacing w:val="0"/>
          <w:highlight w:val="none"/>
        </w:rPr>
      </w:pPr>
    </w:p>
    <w:p w14:paraId="0DA6F96F">
      <w:pPr>
        <w:pStyle w:val="6"/>
        <w:keepNext w:val="0"/>
        <w:keepLines w:val="0"/>
        <w:pageBreakBefore w:val="0"/>
        <w:wordWrap w:val="0"/>
        <w:overflowPunct/>
        <w:topLinePunct w:val="0"/>
        <w:bidi w:val="0"/>
        <w:spacing w:line="257" w:lineRule="auto"/>
        <w:jc w:val="right"/>
        <w:rPr>
          <w:rFonts w:hint="eastAsia" w:ascii="宋体" w:hAnsi="宋体" w:eastAsia="宋体" w:cs="宋体"/>
          <w:color w:val="auto"/>
          <w:spacing w:val="0"/>
          <w:highlight w:val="none"/>
        </w:rPr>
      </w:pPr>
    </w:p>
    <w:p w14:paraId="3FF8FE06">
      <w:pPr>
        <w:pStyle w:val="6"/>
        <w:keepNext w:val="0"/>
        <w:keepLines w:val="0"/>
        <w:pageBreakBefore w:val="0"/>
        <w:wordWrap w:val="0"/>
        <w:overflowPunct/>
        <w:topLinePunct w:val="0"/>
        <w:bidi w:val="0"/>
        <w:spacing w:line="254" w:lineRule="auto"/>
        <w:jc w:val="right"/>
        <w:rPr>
          <w:rFonts w:hint="eastAsia" w:ascii="宋体" w:hAnsi="宋体" w:eastAsia="宋体" w:cs="宋体"/>
          <w:color w:val="auto"/>
          <w:spacing w:val="0"/>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2ABDD826">
      <w:pPr>
        <w:pStyle w:val="6"/>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5C7AC6FE">
      <w:pPr>
        <w:pStyle w:val="6"/>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3B24ACA4">
      <w:pPr>
        <w:pStyle w:val="6"/>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6F076A86">
      <w:pPr>
        <w:pStyle w:val="6"/>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215D821F">
      <w:pPr>
        <w:pStyle w:val="6"/>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36216C9D">
      <w:pPr>
        <w:pStyle w:val="6"/>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653BBDA0">
      <w:pPr>
        <w:pStyle w:val="6"/>
        <w:keepNext w:val="0"/>
        <w:keepLines w:val="0"/>
        <w:pageBreakBefore w:val="0"/>
        <w:wordWrap w:val="0"/>
        <w:overflowPunct/>
        <w:topLinePunct w:val="0"/>
        <w:bidi w:val="0"/>
        <w:spacing w:before="1" w:line="2510" w:lineRule="exact"/>
        <w:ind w:firstLine="2534"/>
        <w:rPr>
          <w:rFonts w:hint="eastAsia" w:ascii="宋体" w:hAnsi="宋体" w:eastAsia="宋体" w:cs="宋体"/>
          <w:color w:val="auto"/>
          <w:spacing w:val="0"/>
          <w:highlight w:val="none"/>
        </w:rPr>
      </w:pPr>
      <w:r>
        <w:rPr>
          <w:rFonts w:hint="eastAsia" w:ascii="宋体" w:hAnsi="宋体" w:eastAsia="宋体" w:cs="宋体"/>
          <w:color w:val="auto"/>
          <w:spacing w:val="0"/>
          <w:position w:val="-50"/>
          <w:highlight w:val="none"/>
        </w:rPr>
        <mc:AlternateContent>
          <mc:Choice Requires="wpg">
            <w:drawing>
              <wp:inline distT="0" distB="0" distL="114300" distR="114300">
                <wp:extent cx="2835275" cy="1593850"/>
                <wp:effectExtent l="12700" t="0" r="28575" b="12700"/>
                <wp:docPr id="13" name="组合 13"/>
                <wp:cNvGraphicFramePr/>
                <a:graphic xmlns:a="http://schemas.openxmlformats.org/drawingml/2006/main">
                  <a:graphicData uri="http://schemas.microsoft.com/office/word/2010/wordprocessingGroup">
                    <wpg:wgp>
                      <wpg:cNvGrpSpPr>
                        <a:grpSpLocks noRot="1"/>
                      </wpg:cNvGrpSpPr>
                      <wpg:grpSpPr>
                        <a:xfrm>
                          <a:off x="0" y="0"/>
                          <a:ext cx="2835275" cy="1593850"/>
                          <a:chOff x="0" y="0"/>
                          <a:chExt cx="4465" cy="2510"/>
                        </a:xfrm>
                      </wpg:grpSpPr>
                      <pic:pic xmlns:pic="http://schemas.openxmlformats.org/drawingml/2006/picture">
                        <pic:nvPicPr>
                          <pic:cNvPr id="11" name="图片 5"/>
                          <pic:cNvPicPr>
                            <a:picLocks noChangeAspect="1"/>
                          </pic:cNvPicPr>
                        </pic:nvPicPr>
                        <pic:blipFill>
                          <a:blip r:embed="rId54"/>
                          <a:stretch>
                            <a:fillRect/>
                          </a:stretch>
                        </pic:blipFill>
                        <pic:spPr>
                          <a:xfrm>
                            <a:off x="0" y="0"/>
                            <a:ext cx="4465" cy="2510"/>
                          </a:xfrm>
                          <a:prstGeom prst="rect">
                            <a:avLst/>
                          </a:prstGeom>
                          <a:noFill/>
                          <a:ln>
                            <a:noFill/>
                          </a:ln>
                        </pic:spPr>
                      </pic:pic>
                      <wps:wsp>
                        <wps:cNvPr id="12" name="文本框 12"/>
                        <wps:cNvSpPr txBox="1"/>
                        <wps:spPr>
                          <a:xfrm>
                            <a:off x="-20" y="-20"/>
                            <a:ext cx="4505" cy="2550"/>
                          </a:xfrm>
                          <a:prstGeom prst="rect">
                            <a:avLst/>
                          </a:prstGeom>
                          <a:noFill/>
                          <a:ln>
                            <a:noFill/>
                          </a:ln>
                        </wps:spPr>
                        <wps:txbx>
                          <w:txbxContent>
                            <w:p w14:paraId="1D464E9C">
                              <w:pPr>
                                <w:spacing w:line="249" w:lineRule="auto"/>
                                <w:rPr>
                                  <w:highlight w:val="none"/>
                                </w:rPr>
                              </w:pPr>
                            </w:p>
                            <w:p w14:paraId="20A58D82">
                              <w:pPr>
                                <w:spacing w:line="249" w:lineRule="auto"/>
                                <w:rPr>
                                  <w:highlight w:val="none"/>
                                </w:rPr>
                              </w:pPr>
                            </w:p>
                            <w:p w14:paraId="08D62A2A">
                              <w:pPr>
                                <w:spacing w:line="249" w:lineRule="auto"/>
                                <w:rPr>
                                  <w:highlight w:val="none"/>
                                </w:rPr>
                              </w:pPr>
                            </w:p>
                            <w:p w14:paraId="1F56D115">
                              <w:pPr>
                                <w:spacing w:line="249" w:lineRule="auto"/>
                                <w:rPr>
                                  <w:highlight w:val="none"/>
                                </w:rPr>
                              </w:pPr>
                            </w:p>
                            <w:p w14:paraId="6F3E53C2">
                              <w:pPr>
                                <w:spacing w:before="78" w:line="220" w:lineRule="auto"/>
                                <w:jc w:val="center"/>
                                <w:rPr>
                                  <w:rFonts w:ascii="宋体" w:hAnsi="宋体" w:eastAsia="宋体" w:cs="宋体"/>
                                  <w:sz w:val="24"/>
                                  <w:szCs w:val="24"/>
                                  <w:highlight w:val="none"/>
                                </w:rPr>
                              </w:pPr>
                              <w:r>
                                <w:rPr>
                                  <w:rFonts w:ascii="宋体" w:hAnsi="宋体" w:eastAsia="宋体" w:cs="宋体"/>
                                  <w:spacing w:val="-1"/>
                                  <w:sz w:val="24"/>
                                  <w:szCs w:val="24"/>
                                  <w:highlight w:val="none"/>
                                </w:rPr>
                                <w:t>法定代表人身份证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正、反面</w:t>
                              </w:r>
                            </w:p>
                          </w:txbxContent>
                        </wps:txbx>
                        <wps:bodyPr lIns="0" tIns="0" rIns="0" bIns="0" upright="1"/>
                      </wps:wsp>
                    </wpg:wgp>
                  </a:graphicData>
                </a:graphic>
              </wp:inline>
            </w:drawing>
          </mc:Choice>
          <mc:Fallback>
            <w:pict>
              <v:group id="_x0000_s1026" o:spid="_x0000_s1026" o:spt="203" style="height:125.5pt;width:223.25pt;" coordsize="4465,2510" o:gfxdata="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">
                <o:lock v:ext="edit" rotation="t" aspectratio="f"/>
                <v:shape id="图片 5" o:spid="_x0000_s1026" o:spt="75" type="#_x0000_t75" style="position:absolute;left:0;top:0;height:2510;width:4465;" filled="f" o:preferrelative="t" stroked="f" coordsize="21600,21600" o:gfxdata="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RLC28AAAA&#10;2wAAAA8AAAAAAAAAAQAgAAAAIgAAAGRycy9kb3ducmV2LnhtbFBLAQIUABQAAAAIAIdO4kAzLwWe&#10;OwAAADkAAAAQAAAAAAAAAAEAIAAAAAsBAABkcnMvc2hhcGV4bWwueG1sUEsFBgAAAAAGAAYAWwEA&#10;ALUDAAAAAA==&#10;">
                  <v:fill on="f" focussize="0,0"/>
                  <v:stroke on="f"/>
                  <v:imagedata r:id="rId54" o:title=""/>
                  <o:lock v:ext="edit" aspectratio="t"/>
                </v:shape>
                <v:shape id="_x0000_s1026" o:spid="_x0000_s1026" o:spt="202" type="#_x0000_t202" style="position:absolute;left:-20;top:-20;height:2550;width:450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D464E9C">
                        <w:pPr>
                          <w:spacing w:line="249" w:lineRule="auto"/>
                          <w:rPr>
                            <w:highlight w:val="none"/>
                          </w:rPr>
                        </w:pPr>
                      </w:p>
                      <w:p w14:paraId="20A58D82">
                        <w:pPr>
                          <w:spacing w:line="249" w:lineRule="auto"/>
                          <w:rPr>
                            <w:highlight w:val="none"/>
                          </w:rPr>
                        </w:pPr>
                      </w:p>
                      <w:p w14:paraId="08D62A2A">
                        <w:pPr>
                          <w:spacing w:line="249" w:lineRule="auto"/>
                          <w:rPr>
                            <w:highlight w:val="none"/>
                          </w:rPr>
                        </w:pPr>
                      </w:p>
                      <w:p w14:paraId="1F56D115">
                        <w:pPr>
                          <w:spacing w:line="249" w:lineRule="auto"/>
                          <w:rPr>
                            <w:highlight w:val="none"/>
                          </w:rPr>
                        </w:pPr>
                      </w:p>
                      <w:p w14:paraId="6F3E53C2">
                        <w:pPr>
                          <w:spacing w:before="78" w:line="220" w:lineRule="auto"/>
                          <w:jc w:val="center"/>
                          <w:rPr>
                            <w:rFonts w:ascii="宋体" w:hAnsi="宋体" w:eastAsia="宋体" w:cs="宋体"/>
                            <w:sz w:val="24"/>
                            <w:szCs w:val="24"/>
                            <w:highlight w:val="none"/>
                          </w:rPr>
                        </w:pPr>
                        <w:r>
                          <w:rPr>
                            <w:rFonts w:ascii="宋体" w:hAnsi="宋体" w:eastAsia="宋体" w:cs="宋体"/>
                            <w:spacing w:val="-1"/>
                            <w:sz w:val="24"/>
                            <w:szCs w:val="24"/>
                            <w:highlight w:val="none"/>
                          </w:rPr>
                          <w:t>法定代表人身份证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正、反面</w:t>
                        </w:r>
                      </w:p>
                    </w:txbxContent>
                  </v:textbox>
                </v:shape>
                <w10:wrap type="none"/>
                <w10:anchorlock/>
              </v:group>
            </w:pict>
          </mc:Fallback>
        </mc:AlternateContent>
      </w:r>
    </w:p>
    <w:p w14:paraId="1C0DCE14">
      <w:pPr>
        <w:keepNext w:val="0"/>
        <w:keepLines w:val="0"/>
        <w:pageBreakBefore w:val="0"/>
        <w:wordWrap w:val="0"/>
        <w:overflowPunct/>
        <w:topLinePunct w:val="0"/>
        <w:bidi w:val="0"/>
        <w:spacing w:line="2510" w:lineRule="exact"/>
        <w:rPr>
          <w:rFonts w:hint="eastAsia" w:ascii="宋体" w:hAnsi="宋体" w:eastAsia="宋体" w:cs="宋体"/>
          <w:color w:val="auto"/>
          <w:spacing w:val="0"/>
          <w:highlight w:val="none"/>
        </w:rPr>
        <w:sectPr>
          <w:footerReference r:id="rId17"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7368B660">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lang w:eastAsia="zh-CN"/>
        </w:rPr>
      </w:pPr>
      <w:bookmarkStart w:id="229" w:name="_Toc13087"/>
      <w:r>
        <w:rPr>
          <w:rFonts w:hint="eastAsia" w:ascii="宋体" w:hAnsi="宋体" w:eastAsia="宋体" w:cs="宋体"/>
          <w:b/>
          <w:bCs/>
          <w:color w:val="auto"/>
          <w:spacing w:val="0"/>
          <w:sz w:val="24"/>
          <w:szCs w:val="24"/>
          <w:highlight w:val="none"/>
        </w:rPr>
        <w:t>格式六 联合体协议书</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如有</w:t>
      </w:r>
      <w:r>
        <w:rPr>
          <w:rFonts w:hint="eastAsia" w:ascii="宋体" w:hAnsi="宋体" w:eastAsia="宋体" w:cs="宋体"/>
          <w:b/>
          <w:bCs/>
          <w:color w:val="auto"/>
          <w:spacing w:val="0"/>
          <w:sz w:val="24"/>
          <w:szCs w:val="24"/>
          <w:highlight w:val="none"/>
          <w:lang w:eastAsia="zh-CN"/>
        </w:rPr>
        <w:t>）</w:t>
      </w:r>
      <w:bookmarkEnd w:id="229"/>
    </w:p>
    <w:p w14:paraId="5C270AAB">
      <w:pPr>
        <w:keepNext w:val="0"/>
        <w:keepLines w:val="0"/>
        <w:pageBreakBefore w:val="0"/>
        <w:wordWrap w:val="0"/>
        <w:overflowPunct/>
        <w:topLinePunct w:val="0"/>
        <w:bidi w:val="0"/>
        <w:spacing w:before="98" w:line="219" w:lineRule="auto"/>
        <w:ind w:left="3638"/>
        <w:rPr>
          <w:rFonts w:hint="eastAsia" w:ascii="宋体" w:hAnsi="宋体" w:eastAsia="宋体" w:cs="宋体"/>
          <w:color w:val="auto"/>
          <w:spacing w:val="0"/>
          <w:sz w:val="30"/>
          <w:szCs w:val="30"/>
          <w:highlight w:val="none"/>
          <w:lang w:eastAsia="zh-CN"/>
        </w:rPr>
      </w:pPr>
      <w:bookmarkStart w:id="230" w:name="bookmark153"/>
      <w:bookmarkEnd w:id="230"/>
      <w:r>
        <w:rPr>
          <w:rFonts w:hint="eastAsia" w:ascii="宋体" w:hAnsi="宋体" w:eastAsia="宋体" w:cs="宋体"/>
          <w:b/>
          <w:bCs/>
          <w:color w:val="auto"/>
          <w:spacing w:val="0"/>
          <w:sz w:val="30"/>
          <w:szCs w:val="30"/>
          <w:highlight w:val="none"/>
        </w:rPr>
        <w:t>联合体协议书</w:t>
      </w:r>
    </w:p>
    <w:p w14:paraId="32DDB961">
      <w:pPr>
        <w:pStyle w:val="6"/>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highlight w:val="none"/>
        </w:rPr>
      </w:pPr>
    </w:p>
    <w:p w14:paraId="174534CA">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牵头人名称： </w:t>
      </w:r>
    </w:p>
    <w:p w14:paraId="67F9BED9">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法定代表人： </w:t>
      </w:r>
    </w:p>
    <w:p w14:paraId="78F90D53">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法定住所：</w:t>
      </w:r>
    </w:p>
    <w:p w14:paraId="175F2522">
      <w:pPr>
        <w:keepNext w:val="0"/>
        <w:keepLines w:val="0"/>
        <w:pageBreakBefore w:val="0"/>
        <w:wordWrap w:val="0"/>
        <w:overflowPunct/>
        <w:topLinePunct w:val="0"/>
        <w:bidi w:val="0"/>
        <w:outlineLvl w:val="9"/>
        <w:rPr>
          <w:rFonts w:hint="eastAsia"/>
          <w:color w:val="auto"/>
          <w:spacing w:val="0"/>
          <w:highlight w:val="none"/>
        </w:rPr>
      </w:pPr>
    </w:p>
    <w:p w14:paraId="43511A5D">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成员二名称： </w:t>
      </w:r>
    </w:p>
    <w:p w14:paraId="6CC84D90">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法定代表人： </w:t>
      </w:r>
    </w:p>
    <w:p w14:paraId="19802A11">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法定住所：</w:t>
      </w:r>
    </w:p>
    <w:p w14:paraId="1179BE61">
      <w:pPr>
        <w:keepNext w:val="0"/>
        <w:keepLines w:val="0"/>
        <w:pageBreakBefore w:val="0"/>
        <w:widowControl/>
        <w:kinsoku w:val="0"/>
        <w:wordWrap w:val="0"/>
        <w:overflowPunct/>
        <w:topLinePunct w:val="0"/>
        <w:autoSpaceDE w:val="0"/>
        <w:autoSpaceDN w:val="0"/>
        <w:bidi w:val="0"/>
        <w:adjustRightInd w:val="0"/>
        <w:snapToGrid w:val="0"/>
        <w:spacing w:before="32" w:line="264" w:lineRule="auto"/>
        <w:ind w:left="436"/>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w:t>
      </w:r>
    </w:p>
    <w:p w14:paraId="1B637D7B">
      <w:pPr>
        <w:keepNext w:val="0"/>
        <w:keepLines w:val="0"/>
        <w:pageBreakBefore w:val="0"/>
        <w:widowControl/>
        <w:kinsoku w:val="0"/>
        <w:wordWrap w:val="0"/>
        <w:overflowPunct/>
        <w:topLinePunct w:val="0"/>
        <w:autoSpaceDE w:val="0"/>
        <w:autoSpaceDN w:val="0"/>
        <w:bidi w:val="0"/>
        <w:adjustRightInd w:val="0"/>
        <w:snapToGrid w:val="0"/>
        <w:spacing w:before="61" w:line="264" w:lineRule="auto"/>
        <w:ind w:firstLine="422"/>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上述各成员单位经过友好协商，自愿组成联合体，共同参加（项目名称）（以下简 称“本项目 ”）的施工投标并争取赢得本项目施工承包合同（以下简称合同）。现就联 合体投标事宜订立如下协议：</w:t>
      </w:r>
    </w:p>
    <w:p w14:paraId="5A82E4DB">
      <w:pPr>
        <w:keepNext w:val="0"/>
        <w:keepLines w:val="0"/>
        <w:pageBreakBefore w:val="0"/>
        <w:widowControl/>
        <w:kinsoku w:val="0"/>
        <w:wordWrap w:val="0"/>
        <w:overflowPunct/>
        <w:topLinePunct w:val="0"/>
        <w:autoSpaceDE w:val="0"/>
        <w:autoSpaceDN w:val="0"/>
        <w:bidi w:val="0"/>
        <w:adjustRightInd w:val="0"/>
        <w:snapToGrid w:val="0"/>
        <w:spacing w:before="33" w:line="264" w:lineRule="auto"/>
        <w:ind w:left="499"/>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 ．（某成员单位名称）为联合体牵头人。</w:t>
      </w:r>
    </w:p>
    <w:p w14:paraId="0B81E28F">
      <w:pPr>
        <w:keepNext w:val="0"/>
        <w:keepLines w:val="0"/>
        <w:pageBreakBefore w:val="0"/>
        <w:widowControl/>
        <w:kinsoku w:val="0"/>
        <w:wordWrap w:val="0"/>
        <w:overflowPunct/>
        <w:topLinePunct w:val="0"/>
        <w:autoSpaceDE w:val="0"/>
        <w:autoSpaceDN w:val="0"/>
        <w:bidi w:val="0"/>
        <w:adjustRightInd w:val="0"/>
        <w:snapToGrid w:val="0"/>
        <w:spacing w:before="156" w:line="264" w:lineRule="auto"/>
        <w:ind w:left="1" w:firstLine="474"/>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725ABFF2">
      <w:pPr>
        <w:keepNext w:val="0"/>
        <w:keepLines w:val="0"/>
        <w:pageBreakBefore w:val="0"/>
        <w:widowControl/>
        <w:kinsoku w:val="0"/>
        <w:wordWrap w:val="0"/>
        <w:overflowPunct/>
        <w:topLinePunct w:val="0"/>
        <w:autoSpaceDE w:val="0"/>
        <w:autoSpaceDN w:val="0"/>
        <w:bidi w:val="0"/>
        <w:adjustRightInd w:val="0"/>
        <w:snapToGrid w:val="0"/>
        <w:spacing w:before="153" w:line="264" w:lineRule="auto"/>
        <w:ind w:left="2" w:firstLine="478"/>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 ．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1B6441EC">
      <w:pPr>
        <w:keepNext w:val="0"/>
        <w:keepLines w:val="0"/>
        <w:pageBreakBefore w:val="0"/>
        <w:widowControl/>
        <w:kinsoku w:val="0"/>
        <w:wordWrap w:val="0"/>
        <w:overflowPunct/>
        <w:topLinePunct w:val="0"/>
        <w:autoSpaceDE w:val="0"/>
        <w:autoSpaceDN w:val="0"/>
        <w:bidi w:val="0"/>
        <w:adjustRightInd w:val="0"/>
        <w:snapToGrid w:val="0"/>
        <w:spacing w:before="154" w:line="264" w:lineRule="auto"/>
        <w:ind w:left="475"/>
        <w:textAlignment w:val="baseline"/>
        <w:outlineLvl w:val="9"/>
        <w:rPr>
          <w:rFonts w:hint="eastAsia" w:ascii="宋体" w:hAnsi="宋体" w:eastAsia="宋体" w:cs="宋体"/>
          <w:color w:val="auto"/>
          <w:spacing w:val="0"/>
          <w:sz w:val="24"/>
          <w:szCs w:val="24"/>
          <w:highlight w:val="none"/>
        </w:rPr>
      </w:pPr>
      <w:bookmarkStart w:id="231" w:name="_Toc32149"/>
      <w:bookmarkStart w:id="232" w:name="_Toc5365"/>
      <w:r>
        <w:rPr>
          <w:rFonts w:hint="eastAsia" w:ascii="宋体" w:hAnsi="宋体" w:eastAsia="宋体" w:cs="宋体"/>
          <w:color w:val="auto"/>
          <w:spacing w:val="0"/>
          <w:sz w:val="24"/>
          <w:szCs w:val="24"/>
          <w:highlight w:val="none"/>
        </w:rPr>
        <w:t>4 ．联合体各成员单位内部的职责分工如下：。</w:t>
      </w:r>
      <w:bookmarkEnd w:id="231"/>
      <w:bookmarkEnd w:id="232"/>
    </w:p>
    <w:p w14:paraId="35BB1AFF">
      <w:pPr>
        <w:keepNext w:val="0"/>
        <w:keepLines w:val="0"/>
        <w:pageBreakBefore w:val="0"/>
        <w:widowControl/>
        <w:kinsoku w:val="0"/>
        <w:wordWrap w:val="0"/>
        <w:overflowPunct/>
        <w:topLinePunct w:val="0"/>
        <w:autoSpaceDE w:val="0"/>
        <w:autoSpaceDN w:val="0"/>
        <w:bidi w:val="0"/>
        <w:adjustRightInd w:val="0"/>
        <w:snapToGrid w:val="0"/>
        <w:spacing w:before="152" w:line="264" w:lineRule="auto"/>
        <w:ind w:right="71" w:firstLine="483"/>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 ．投标工作和联合体在中标后工程实施过程中的有关费用按各自承担的工作量分摊。</w:t>
      </w:r>
    </w:p>
    <w:p w14:paraId="24E1EA6B">
      <w:pPr>
        <w:keepNext w:val="0"/>
        <w:keepLines w:val="0"/>
        <w:pageBreakBefore w:val="0"/>
        <w:widowControl/>
        <w:kinsoku w:val="0"/>
        <w:wordWrap w:val="0"/>
        <w:overflowPunct/>
        <w:topLinePunct w:val="0"/>
        <w:autoSpaceDE w:val="0"/>
        <w:autoSpaceDN w:val="0"/>
        <w:bidi w:val="0"/>
        <w:adjustRightInd w:val="0"/>
        <w:snapToGrid w:val="0"/>
        <w:spacing w:before="153" w:line="264" w:lineRule="auto"/>
        <w:ind w:left="4" w:right="71" w:firstLine="477"/>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 ．联合体中标后，本联合体协议是合同的附件，对联合体各成员单位有合同约束力。</w:t>
      </w:r>
    </w:p>
    <w:p w14:paraId="4788C7A5">
      <w:pPr>
        <w:keepNext w:val="0"/>
        <w:keepLines w:val="0"/>
        <w:pageBreakBefore w:val="0"/>
        <w:widowControl/>
        <w:kinsoku w:val="0"/>
        <w:wordWrap w:val="0"/>
        <w:overflowPunct/>
        <w:topLinePunct w:val="0"/>
        <w:autoSpaceDE w:val="0"/>
        <w:autoSpaceDN w:val="0"/>
        <w:bidi w:val="0"/>
        <w:adjustRightInd w:val="0"/>
        <w:snapToGrid w:val="0"/>
        <w:spacing w:before="157" w:line="264" w:lineRule="auto"/>
        <w:ind w:left="6" w:right="71" w:firstLine="473"/>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 ．本协议书自签署之日起生效，联合体未中标或者中标时合同履行完毕后自动失效。</w:t>
      </w:r>
    </w:p>
    <w:p w14:paraId="28D66F40">
      <w:pPr>
        <w:keepNext w:val="0"/>
        <w:keepLines w:val="0"/>
        <w:pageBreakBefore w:val="0"/>
        <w:widowControl/>
        <w:kinsoku w:val="0"/>
        <w:wordWrap w:val="0"/>
        <w:overflowPunct/>
        <w:topLinePunct w:val="0"/>
        <w:autoSpaceDE w:val="0"/>
        <w:autoSpaceDN w:val="0"/>
        <w:bidi w:val="0"/>
        <w:adjustRightInd w:val="0"/>
        <w:snapToGrid w:val="0"/>
        <w:spacing w:before="152" w:line="264" w:lineRule="auto"/>
        <w:ind w:left="486"/>
        <w:textAlignment w:val="baseline"/>
        <w:outlineLvl w:val="9"/>
        <w:rPr>
          <w:rFonts w:hint="eastAsia" w:ascii="宋体" w:hAnsi="宋体" w:eastAsia="宋体" w:cs="宋体"/>
          <w:color w:val="auto"/>
          <w:spacing w:val="0"/>
          <w:sz w:val="24"/>
          <w:szCs w:val="24"/>
          <w:highlight w:val="none"/>
        </w:rPr>
      </w:pPr>
      <w:bookmarkStart w:id="233" w:name="_Toc26708"/>
      <w:bookmarkStart w:id="234" w:name="_Toc22612"/>
      <w:r>
        <w:rPr>
          <w:rFonts w:hint="eastAsia" w:ascii="宋体" w:hAnsi="宋体" w:eastAsia="宋体" w:cs="宋体"/>
          <w:color w:val="auto"/>
          <w:spacing w:val="0"/>
          <w:sz w:val="24"/>
          <w:szCs w:val="24"/>
          <w:highlight w:val="none"/>
        </w:rPr>
        <w:t>8 ．本协议书一式份，联合体成员和招标人各执一份。</w:t>
      </w:r>
      <w:bookmarkEnd w:id="233"/>
      <w:bookmarkEnd w:id="234"/>
    </w:p>
    <w:p w14:paraId="0967CE09">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pacing w:val="0"/>
          <w:sz w:val="24"/>
          <w:szCs w:val="24"/>
          <w:highlight w:val="none"/>
        </w:rPr>
      </w:pPr>
      <w:bookmarkStart w:id="235" w:name="bookmark154"/>
      <w:bookmarkEnd w:id="235"/>
      <w:r>
        <w:rPr>
          <w:rFonts w:hint="eastAsia" w:ascii="宋体" w:hAnsi="宋体" w:eastAsia="宋体" w:cs="宋体"/>
          <w:color w:val="auto"/>
          <w:spacing w:val="0"/>
          <w:sz w:val="24"/>
          <w:szCs w:val="24"/>
          <w:highlight w:val="none"/>
        </w:rPr>
        <w:t>牵头人名称：</w:t>
      </w:r>
      <w:r>
        <w:rPr>
          <w:rFonts w:hint="eastAsia" w:ascii="宋体" w:hAnsi="宋体" w:eastAsia="宋体" w:cs="宋体"/>
          <w:snapToGrid w:val="0"/>
          <w:color w:val="auto"/>
          <w:spacing w:val="0"/>
          <w:kern w:val="0"/>
          <w:sz w:val="24"/>
          <w:szCs w:val="24"/>
          <w:highlight w:val="none"/>
          <w:u w:val="single"/>
          <w:lang w:val="en-US" w:eastAsia="zh-CN" w:bidi="ar-SA"/>
        </w:rPr>
        <w:t xml:space="preserve">               </w:t>
      </w:r>
      <w:r>
        <w:rPr>
          <w:rFonts w:hint="eastAsia" w:ascii="宋体" w:hAnsi="宋体" w:eastAsia="宋体" w:cs="宋体"/>
          <w:color w:val="auto"/>
          <w:spacing w:val="0"/>
          <w:sz w:val="24"/>
          <w:szCs w:val="24"/>
          <w:highlight w:val="none"/>
        </w:rPr>
        <w:t>（盖单位章）</w:t>
      </w:r>
    </w:p>
    <w:p w14:paraId="09CDB0A3">
      <w:pPr>
        <w:pStyle w:val="6"/>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highlight w:val="none"/>
        </w:rPr>
      </w:pPr>
    </w:p>
    <w:p w14:paraId="58135828">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snapToGrid w:val="0"/>
          <w:color w:val="auto"/>
          <w:spacing w:val="0"/>
          <w:kern w:val="0"/>
          <w:sz w:val="24"/>
          <w:szCs w:val="24"/>
          <w:highlight w:val="none"/>
          <w:u w:val="single"/>
          <w:lang w:val="en-US" w:eastAsia="zh-CN" w:bidi="ar-SA"/>
        </w:rPr>
        <w:t xml:space="preserve">            </w:t>
      </w:r>
      <w:r>
        <w:rPr>
          <w:rFonts w:hint="eastAsia" w:ascii="宋体" w:hAnsi="宋体" w:eastAsia="宋体" w:cs="宋体"/>
          <w:color w:val="auto"/>
          <w:spacing w:val="0"/>
          <w:sz w:val="24"/>
          <w:szCs w:val="24"/>
          <w:highlight w:val="none"/>
        </w:rPr>
        <w:t>（签字或盖章）</w:t>
      </w:r>
    </w:p>
    <w:p w14:paraId="33373384">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成员二名称：</w:t>
      </w:r>
      <w:r>
        <w:rPr>
          <w:rFonts w:hint="eastAsia" w:ascii="宋体" w:hAnsi="宋体" w:eastAsia="宋体" w:cs="宋体"/>
          <w:snapToGrid w:val="0"/>
          <w:color w:val="auto"/>
          <w:spacing w:val="0"/>
          <w:kern w:val="0"/>
          <w:sz w:val="24"/>
          <w:szCs w:val="24"/>
          <w:highlight w:val="none"/>
          <w:u w:val="single"/>
          <w:lang w:val="en-US" w:eastAsia="zh-CN" w:bidi="ar-SA"/>
        </w:rPr>
        <w:t xml:space="preserve">               </w:t>
      </w:r>
      <w:r>
        <w:rPr>
          <w:rFonts w:hint="eastAsia" w:ascii="宋体" w:hAnsi="宋体" w:eastAsia="宋体" w:cs="宋体"/>
          <w:color w:val="auto"/>
          <w:spacing w:val="0"/>
          <w:sz w:val="24"/>
          <w:szCs w:val="24"/>
          <w:highlight w:val="none"/>
        </w:rPr>
        <w:t>（盖单位章）</w:t>
      </w:r>
    </w:p>
    <w:p w14:paraId="373116C5">
      <w:pPr>
        <w:pStyle w:val="6"/>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highlight w:val="none"/>
        </w:rPr>
      </w:pPr>
    </w:p>
    <w:p w14:paraId="3ED84B44">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snapToGrid w:val="0"/>
          <w:color w:val="auto"/>
          <w:spacing w:val="0"/>
          <w:kern w:val="0"/>
          <w:sz w:val="24"/>
          <w:szCs w:val="24"/>
          <w:highlight w:val="none"/>
          <w:u w:val="single"/>
          <w:lang w:val="en-US" w:eastAsia="zh-CN" w:bidi="ar-SA"/>
        </w:rPr>
        <w:t xml:space="preserve">          </w:t>
      </w:r>
      <w:r>
        <w:rPr>
          <w:rFonts w:hint="eastAsia" w:ascii="宋体" w:hAnsi="宋体" w:eastAsia="宋体" w:cs="宋体"/>
          <w:color w:val="auto"/>
          <w:spacing w:val="0"/>
          <w:sz w:val="24"/>
          <w:szCs w:val="24"/>
          <w:highlight w:val="none"/>
        </w:rPr>
        <w:t>（签字或盖章）</w:t>
      </w:r>
    </w:p>
    <w:p w14:paraId="4594AAFE">
      <w:pPr>
        <w:keepNext w:val="0"/>
        <w:keepLines w:val="0"/>
        <w:pageBreakBefore w:val="0"/>
        <w:wordWrap w:val="0"/>
        <w:overflowPunct/>
        <w:topLinePunct w:val="0"/>
        <w:bidi w:val="0"/>
        <w:spacing w:before="78" w:line="220" w:lineRule="auto"/>
        <w:ind w:left="6730"/>
        <w:jc w:val="right"/>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357A8718">
      <w:pPr>
        <w:pStyle w:val="6"/>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highlight w:val="none"/>
        </w:rPr>
      </w:pPr>
    </w:p>
    <w:p w14:paraId="1F7440A2">
      <w:pPr>
        <w:keepNext w:val="0"/>
        <w:keepLines w:val="0"/>
        <w:pageBreakBefore w:val="0"/>
        <w:widowControl/>
        <w:kinsoku w:val="0"/>
        <w:wordWrap w:val="0"/>
        <w:overflowPunct/>
        <w:topLinePunct w:val="0"/>
        <w:autoSpaceDE w:val="0"/>
        <w:autoSpaceDN w:val="0"/>
        <w:bidi w:val="0"/>
        <w:adjustRightInd w:val="0"/>
        <w:snapToGrid w:val="0"/>
        <w:spacing w:before="65" w:line="264" w:lineRule="auto"/>
        <w:ind w:right="22"/>
        <w:jc w:val="both"/>
        <w:textAlignment w:val="baseline"/>
        <w:rPr>
          <w:rFonts w:hint="eastAsia" w:ascii="宋体" w:hAnsi="宋体" w:eastAsia="宋体" w:cs="宋体"/>
          <w:color w:val="auto"/>
          <w:spacing w:val="0"/>
          <w:sz w:val="20"/>
          <w:szCs w:val="20"/>
          <w:highlight w:val="none"/>
        </w:rPr>
      </w:pPr>
      <w:r>
        <w:rPr>
          <w:rFonts w:hint="eastAsia" w:ascii="宋体" w:hAnsi="宋体" w:eastAsia="宋体" w:cs="宋体"/>
          <w:color w:val="auto"/>
          <w:spacing w:val="0"/>
          <w:sz w:val="20"/>
          <w:szCs w:val="20"/>
          <w:highlight w:val="none"/>
        </w:rPr>
        <w:t>说明：《联合体协议书》 由委托代理人签字或盖章的，应附法定代表人签字或盖章的授权委托书。</w:t>
      </w:r>
    </w:p>
    <w:p w14:paraId="6B8B4908">
      <w:pPr>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sz w:val="20"/>
          <w:szCs w:val="20"/>
          <w:highlight w:val="none"/>
        </w:rPr>
        <w:sectPr>
          <w:footerReference r:id="rId18"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7F3C651">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36" w:name="_Toc12591"/>
      <w:r>
        <w:rPr>
          <w:rFonts w:hint="eastAsia" w:ascii="宋体" w:hAnsi="宋体" w:eastAsia="宋体" w:cs="宋体"/>
          <w:b/>
          <w:bCs/>
          <w:color w:val="auto"/>
          <w:spacing w:val="0"/>
          <w:sz w:val="24"/>
          <w:szCs w:val="24"/>
          <w:highlight w:val="none"/>
        </w:rPr>
        <w:t>格式七 投标人基本情况表</w:t>
      </w:r>
      <w:bookmarkEnd w:id="236"/>
    </w:p>
    <w:p w14:paraId="3883713D">
      <w:pPr>
        <w:keepNext w:val="0"/>
        <w:keepLines w:val="0"/>
        <w:pageBreakBefore w:val="0"/>
        <w:wordWrap w:val="0"/>
        <w:overflowPunct/>
        <w:topLinePunct w:val="0"/>
        <w:bidi w:val="0"/>
        <w:spacing w:before="333" w:line="219" w:lineRule="auto"/>
        <w:ind w:left="3350"/>
        <w:rPr>
          <w:rFonts w:hint="eastAsia" w:ascii="宋体" w:hAnsi="宋体" w:eastAsia="宋体" w:cs="宋体"/>
          <w:color w:val="auto"/>
          <w:spacing w:val="0"/>
          <w:sz w:val="30"/>
          <w:szCs w:val="30"/>
          <w:highlight w:val="none"/>
        </w:rPr>
      </w:pPr>
      <w:r>
        <w:rPr>
          <w:rFonts w:hint="eastAsia" w:ascii="宋体" w:hAnsi="宋体" w:eastAsia="宋体" w:cs="宋体"/>
          <w:b/>
          <w:bCs/>
          <w:color w:val="auto"/>
          <w:spacing w:val="0"/>
          <w:sz w:val="30"/>
          <w:szCs w:val="30"/>
          <w:highlight w:val="none"/>
        </w:rPr>
        <w:t>投标人基本情况表</w:t>
      </w:r>
    </w:p>
    <w:p w14:paraId="76BA02F4">
      <w:pPr>
        <w:keepNext w:val="0"/>
        <w:keepLines w:val="0"/>
        <w:pageBreakBefore w:val="0"/>
        <w:wordWrap w:val="0"/>
        <w:overflowPunct/>
        <w:topLinePunct w:val="0"/>
        <w:bidi w:val="0"/>
        <w:spacing w:line="239" w:lineRule="exact"/>
        <w:rPr>
          <w:rFonts w:hint="eastAsia" w:ascii="宋体" w:hAnsi="宋体" w:eastAsia="宋体" w:cs="宋体"/>
          <w:color w:val="auto"/>
          <w:spacing w:val="0"/>
          <w:highlight w:val="none"/>
        </w:rPr>
      </w:pPr>
    </w:p>
    <w:tbl>
      <w:tblPr>
        <w:tblStyle w:val="15"/>
        <w:tblW w:w="9259"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0"/>
        <w:gridCol w:w="975"/>
        <w:gridCol w:w="1837"/>
        <w:gridCol w:w="872"/>
        <w:gridCol w:w="311"/>
        <w:gridCol w:w="1043"/>
        <w:gridCol w:w="283"/>
        <w:gridCol w:w="770"/>
        <w:gridCol w:w="1548"/>
      </w:tblGrid>
      <w:tr w14:paraId="1607D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6EF8B15F">
            <w:pPr>
              <w:keepNext w:val="0"/>
              <w:keepLines w:val="0"/>
              <w:pageBreakBefore w:val="0"/>
              <w:widowControl/>
              <w:kinsoku w:val="0"/>
              <w:wordWrap w:val="0"/>
              <w:overflowPunct/>
              <w:topLinePunct w:val="0"/>
              <w:autoSpaceDE w:val="0"/>
              <w:autoSpaceDN w:val="0"/>
              <w:bidi w:val="0"/>
              <w:adjustRightInd w:val="0"/>
              <w:snapToGrid w:val="0"/>
              <w:spacing w:before="149"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投标人名称</w:t>
            </w:r>
          </w:p>
        </w:tc>
        <w:tc>
          <w:tcPr>
            <w:tcW w:w="7639" w:type="dxa"/>
            <w:gridSpan w:val="8"/>
            <w:vAlign w:val="center"/>
          </w:tcPr>
          <w:p w14:paraId="14589BCD">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3D441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3B4D7EDE">
            <w:pPr>
              <w:keepNext w:val="0"/>
              <w:keepLines w:val="0"/>
              <w:pageBreakBefore w:val="0"/>
              <w:widowControl/>
              <w:kinsoku w:val="0"/>
              <w:wordWrap w:val="0"/>
              <w:overflowPunct/>
              <w:topLinePunct w:val="0"/>
              <w:autoSpaceDE w:val="0"/>
              <w:autoSpaceDN w:val="0"/>
              <w:bidi w:val="0"/>
              <w:adjustRightInd w:val="0"/>
              <w:snapToGrid w:val="0"/>
              <w:spacing w:before="144"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注册地址</w:t>
            </w:r>
          </w:p>
        </w:tc>
        <w:tc>
          <w:tcPr>
            <w:tcW w:w="3684" w:type="dxa"/>
            <w:gridSpan w:val="3"/>
            <w:vAlign w:val="center"/>
          </w:tcPr>
          <w:p w14:paraId="0030132C">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354" w:type="dxa"/>
            <w:gridSpan w:val="2"/>
            <w:vAlign w:val="center"/>
          </w:tcPr>
          <w:p w14:paraId="543D1C4F">
            <w:pPr>
              <w:keepNext w:val="0"/>
              <w:keepLines w:val="0"/>
              <w:pageBreakBefore w:val="0"/>
              <w:widowControl/>
              <w:kinsoku w:val="0"/>
              <w:wordWrap w:val="0"/>
              <w:overflowPunct/>
              <w:topLinePunct w:val="0"/>
              <w:autoSpaceDE w:val="0"/>
              <w:autoSpaceDN w:val="0"/>
              <w:bidi w:val="0"/>
              <w:adjustRightInd w:val="0"/>
              <w:snapToGrid w:val="0"/>
              <w:spacing w:before="144"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邮政编码</w:t>
            </w:r>
          </w:p>
        </w:tc>
        <w:tc>
          <w:tcPr>
            <w:tcW w:w="2601" w:type="dxa"/>
            <w:gridSpan w:val="3"/>
            <w:vAlign w:val="center"/>
          </w:tcPr>
          <w:p w14:paraId="0F970975">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02172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Merge w:val="restart"/>
            <w:tcBorders>
              <w:bottom w:val="nil"/>
            </w:tcBorders>
            <w:vAlign w:val="center"/>
          </w:tcPr>
          <w:p w14:paraId="3CEF8468">
            <w:pPr>
              <w:keepNext w:val="0"/>
              <w:keepLines w:val="0"/>
              <w:pageBreakBefore w:val="0"/>
              <w:widowControl/>
              <w:kinsoku w:val="0"/>
              <w:wordWrap w:val="0"/>
              <w:overflowPunct/>
              <w:topLinePunct w:val="0"/>
              <w:autoSpaceDE w:val="0"/>
              <w:autoSpaceDN w:val="0"/>
              <w:bidi w:val="0"/>
              <w:adjustRightInd w:val="0"/>
              <w:snapToGrid w:val="0"/>
              <w:spacing w:before="6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联系方式</w:t>
            </w:r>
          </w:p>
        </w:tc>
        <w:tc>
          <w:tcPr>
            <w:tcW w:w="975" w:type="dxa"/>
            <w:vAlign w:val="center"/>
          </w:tcPr>
          <w:p w14:paraId="5D57149C">
            <w:pPr>
              <w:keepNext w:val="0"/>
              <w:keepLines w:val="0"/>
              <w:pageBreakBefore w:val="0"/>
              <w:widowControl/>
              <w:kinsoku w:val="0"/>
              <w:wordWrap w:val="0"/>
              <w:overflowPunct/>
              <w:topLinePunct w:val="0"/>
              <w:autoSpaceDE w:val="0"/>
              <w:autoSpaceDN w:val="0"/>
              <w:bidi w:val="0"/>
              <w:adjustRightInd w:val="0"/>
              <w:snapToGrid w:val="0"/>
              <w:spacing w:before="145" w:line="231"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联系人</w:t>
            </w:r>
          </w:p>
        </w:tc>
        <w:tc>
          <w:tcPr>
            <w:tcW w:w="2709" w:type="dxa"/>
            <w:gridSpan w:val="2"/>
            <w:vAlign w:val="center"/>
          </w:tcPr>
          <w:p w14:paraId="4CC0665A">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354" w:type="dxa"/>
            <w:gridSpan w:val="2"/>
            <w:vAlign w:val="center"/>
          </w:tcPr>
          <w:p w14:paraId="7D215618">
            <w:pPr>
              <w:keepNext w:val="0"/>
              <w:keepLines w:val="0"/>
              <w:pageBreakBefore w:val="0"/>
              <w:widowControl/>
              <w:kinsoku w:val="0"/>
              <w:wordWrap w:val="0"/>
              <w:overflowPunct/>
              <w:topLinePunct w:val="0"/>
              <w:autoSpaceDE w:val="0"/>
              <w:autoSpaceDN w:val="0"/>
              <w:bidi w:val="0"/>
              <w:adjustRightInd w:val="0"/>
              <w:snapToGrid w:val="0"/>
              <w:spacing w:before="145" w:line="231"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电  话</w:t>
            </w:r>
          </w:p>
        </w:tc>
        <w:tc>
          <w:tcPr>
            <w:tcW w:w="2601" w:type="dxa"/>
            <w:gridSpan w:val="3"/>
            <w:vAlign w:val="center"/>
          </w:tcPr>
          <w:p w14:paraId="29B76228">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44095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Merge w:val="continue"/>
            <w:tcBorders>
              <w:top w:val="nil"/>
            </w:tcBorders>
            <w:vAlign w:val="center"/>
          </w:tcPr>
          <w:p w14:paraId="026B78F0">
            <w:pPr>
              <w:pStyle w:val="29"/>
              <w:keepNext w:val="0"/>
              <w:keepLines w:val="0"/>
              <w:pageBreakBefore w:val="0"/>
              <w:widowControl/>
              <w:kinsoku w:val="0"/>
              <w:wordWrap w:val="0"/>
              <w:overflowPunct/>
              <w:topLinePunct w:val="0"/>
              <w:autoSpaceDE w:val="0"/>
              <w:autoSpaceDN w:val="0"/>
              <w:bidi w:val="0"/>
              <w:adjustRightInd w:val="0"/>
              <w:snapToGrid w:val="0"/>
              <w:spacing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975" w:type="dxa"/>
            <w:vAlign w:val="center"/>
          </w:tcPr>
          <w:p w14:paraId="1580F4F0">
            <w:pPr>
              <w:keepNext w:val="0"/>
              <w:keepLines w:val="0"/>
              <w:pageBreakBefore w:val="0"/>
              <w:widowControl/>
              <w:kinsoku w:val="0"/>
              <w:wordWrap w:val="0"/>
              <w:overflowPunct/>
              <w:topLinePunct w:val="0"/>
              <w:autoSpaceDE w:val="0"/>
              <w:autoSpaceDN w:val="0"/>
              <w:bidi w:val="0"/>
              <w:adjustRightInd w:val="0"/>
              <w:snapToGrid w:val="0"/>
              <w:spacing w:before="143"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传  真</w:t>
            </w:r>
          </w:p>
        </w:tc>
        <w:tc>
          <w:tcPr>
            <w:tcW w:w="2709" w:type="dxa"/>
            <w:gridSpan w:val="2"/>
            <w:vAlign w:val="center"/>
          </w:tcPr>
          <w:p w14:paraId="1BEEA8B8">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354" w:type="dxa"/>
            <w:gridSpan w:val="2"/>
            <w:vAlign w:val="center"/>
          </w:tcPr>
          <w:p w14:paraId="14B24F33">
            <w:pPr>
              <w:keepNext w:val="0"/>
              <w:keepLines w:val="0"/>
              <w:pageBreakBefore w:val="0"/>
              <w:widowControl/>
              <w:kinsoku w:val="0"/>
              <w:wordWrap w:val="0"/>
              <w:overflowPunct/>
              <w:topLinePunct w:val="0"/>
              <w:autoSpaceDE w:val="0"/>
              <w:autoSpaceDN w:val="0"/>
              <w:bidi w:val="0"/>
              <w:adjustRightInd w:val="0"/>
              <w:snapToGrid w:val="0"/>
              <w:spacing w:before="144" w:line="229"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电子邮箱</w:t>
            </w:r>
          </w:p>
        </w:tc>
        <w:tc>
          <w:tcPr>
            <w:tcW w:w="2601" w:type="dxa"/>
            <w:gridSpan w:val="3"/>
            <w:vAlign w:val="center"/>
          </w:tcPr>
          <w:p w14:paraId="6A57856E">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43642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03AC78AB">
            <w:pPr>
              <w:keepNext w:val="0"/>
              <w:keepLines w:val="0"/>
              <w:pageBreakBefore w:val="0"/>
              <w:widowControl/>
              <w:kinsoku w:val="0"/>
              <w:wordWrap w:val="0"/>
              <w:overflowPunct/>
              <w:topLinePunct w:val="0"/>
              <w:autoSpaceDE w:val="0"/>
              <w:autoSpaceDN w:val="0"/>
              <w:bidi w:val="0"/>
              <w:adjustRightInd w:val="0"/>
              <w:snapToGrid w:val="0"/>
              <w:spacing w:before="14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单位性质</w:t>
            </w:r>
          </w:p>
        </w:tc>
        <w:tc>
          <w:tcPr>
            <w:tcW w:w="7639" w:type="dxa"/>
            <w:gridSpan w:val="8"/>
            <w:vAlign w:val="center"/>
          </w:tcPr>
          <w:p w14:paraId="29EB3DEE">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67D38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5D1495F6">
            <w:pPr>
              <w:keepNext w:val="0"/>
              <w:keepLines w:val="0"/>
              <w:pageBreakBefore w:val="0"/>
              <w:widowControl/>
              <w:kinsoku w:val="0"/>
              <w:wordWrap w:val="0"/>
              <w:overflowPunct/>
              <w:topLinePunct w:val="0"/>
              <w:autoSpaceDE w:val="0"/>
              <w:autoSpaceDN w:val="0"/>
              <w:bidi w:val="0"/>
              <w:adjustRightInd w:val="0"/>
              <w:snapToGrid w:val="0"/>
              <w:spacing w:before="144"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法定代表人</w:t>
            </w:r>
          </w:p>
        </w:tc>
        <w:tc>
          <w:tcPr>
            <w:tcW w:w="975" w:type="dxa"/>
            <w:vAlign w:val="center"/>
          </w:tcPr>
          <w:p w14:paraId="53555EEA">
            <w:pPr>
              <w:keepNext w:val="0"/>
              <w:keepLines w:val="0"/>
              <w:pageBreakBefore w:val="0"/>
              <w:widowControl/>
              <w:kinsoku w:val="0"/>
              <w:wordWrap w:val="0"/>
              <w:overflowPunct/>
              <w:topLinePunct w:val="0"/>
              <w:autoSpaceDE w:val="0"/>
              <w:autoSpaceDN w:val="0"/>
              <w:bidi w:val="0"/>
              <w:adjustRightInd w:val="0"/>
              <w:snapToGrid w:val="0"/>
              <w:spacing w:before="144"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姓名</w:t>
            </w:r>
          </w:p>
        </w:tc>
        <w:tc>
          <w:tcPr>
            <w:tcW w:w="1837" w:type="dxa"/>
            <w:vAlign w:val="center"/>
          </w:tcPr>
          <w:p w14:paraId="18E72021">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Align w:val="center"/>
          </w:tcPr>
          <w:p w14:paraId="09550DDF">
            <w:pPr>
              <w:keepNext w:val="0"/>
              <w:keepLines w:val="0"/>
              <w:pageBreakBefore w:val="0"/>
              <w:widowControl/>
              <w:kinsoku w:val="0"/>
              <w:wordWrap w:val="0"/>
              <w:overflowPunct/>
              <w:topLinePunct w:val="0"/>
              <w:autoSpaceDE w:val="0"/>
              <w:autoSpaceDN w:val="0"/>
              <w:bidi w:val="0"/>
              <w:adjustRightInd w:val="0"/>
              <w:snapToGrid w:val="0"/>
              <w:spacing w:before="144"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技术职称</w:t>
            </w:r>
          </w:p>
        </w:tc>
        <w:tc>
          <w:tcPr>
            <w:tcW w:w="1326" w:type="dxa"/>
            <w:gridSpan w:val="2"/>
            <w:vAlign w:val="center"/>
          </w:tcPr>
          <w:p w14:paraId="0A1D7073">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770" w:type="dxa"/>
            <w:vAlign w:val="center"/>
          </w:tcPr>
          <w:p w14:paraId="40E8BE67">
            <w:pPr>
              <w:keepNext w:val="0"/>
              <w:keepLines w:val="0"/>
              <w:pageBreakBefore w:val="0"/>
              <w:widowControl/>
              <w:kinsoku w:val="0"/>
              <w:wordWrap w:val="0"/>
              <w:overflowPunct/>
              <w:topLinePunct w:val="0"/>
              <w:autoSpaceDE w:val="0"/>
              <w:autoSpaceDN w:val="0"/>
              <w:bidi w:val="0"/>
              <w:adjustRightInd w:val="0"/>
              <w:snapToGrid w:val="0"/>
              <w:spacing w:before="143" w:line="231"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电话</w:t>
            </w:r>
          </w:p>
        </w:tc>
        <w:tc>
          <w:tcPr>
            <w:tcW w:w="1548" w:type="dxa"/>
            <w:vAlign w:val="center"/>
          </w:tcPr>
          <w:p w14:paraId="681BBCDB">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445C9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3385668B">
            <w:pPr>
              <w:keepNext w:val="0"/>
              <w:keepLines w:val="0"/>
              <w:pageBreakBefore w:val="0"/>
              <w:widowControl/>
              <w:kinsoku w:val="0"/>
              <w:wordWrap w:val="0"/>
              <w:overflowPunct/>
              <w:topLinePunct w:val="0"/>
              <w:autoSpaceDE w:val="0"/>
              <w:autoSpaceDN w:val="0"/>
              <w:bidi w:val="0"/>
              <w:adjustRightInd w:val="0"/>
              <w:snapToGrid w:val="0"/>
              <w:spacing w:before="14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成立时间</w:t>
            </w:r>
          </w:p>
        </w:tc>
        <w:tc>
          <w:tcPr>
            <w:tcW w:w="2812" w:type="dxa"/>
            <w:gridSpan w:val="2"/>
            <w:vAlign w:val="center"/>
          </w:tcPr>
          <w:p w14:paraId="5A38A702">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4827" w:type="dxa"/>
            <w:gridSpan w:val="6"/>
            <w:vAlign w:val="center"/>
          </w:tcPr>
          <w:p w14:paraId="6C99262E">
            <w:pPr>
              <w:keepNext w:val="0"/>
              <w:keepLines w:val="0"/>
              <w:pageBreakBefore w:val="0"/>
              <w:widowControl/>
              <w:kinsoku w:val="0"/>
              <w:wordWrap w:val="0"/>
              <w:overflowPunct/>
              <w:topLinePunct w:val="0"/>
              <w:autoSpaceDE w:val="0"/>
              <w:autoSpaceDN w:val="0"/>
              <w:bidi w:val="0"/>
              <w:adjustRightInd w:val="0"/>
              <w:snapToGrid w:val="0"/>
              <w:spacing w:before="145"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员工总人数（个）：</w:t>
            </w:r>
          </w:p>
        </w:tc>
      </w:tr>
      <w:tr w14:paraId="4B1B3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2BB33139">
            <w:pPr>
              <w:keepNext w:val="0"/>
              <w:keepLines w:val="0"/>
              <w:pageBreakBefore w:val="0"/>
              <w:widowControl/>
              <w:kinsoku w:val="0"/>
              <w:wordWrap w:val="0"/>
              <w:overflowPunct/>
              <w:topLinePunct w:val="0"/>
              <w:autoSpaceDE w:val="0"/>
              <w:autoSpaceDN w:val="0"/>
              <w:bidi w:val="0"/>
              <w:adjustRightInd w:val="0"/>
              <w:snapToGrid w:val="0"/>
              <w:spacing w:before="61"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 xml:space="preserve">企业资质  </w:t>
            </w:r>
          </w:p>
          <w:p w14:paraId="3928B24B">
            <w:pPr>
              <w:keepNext w:val="0"/>
              <w:keepLines w:val="0"/>
              <w:pageBreakBefore w:val="0"/>
              <w:widowControl/>
              <w:kinsoku w:val="0"/>
              <w:wordWrap w:val="0"/>
              <w:overflowPunct/>
              <w:topLinePunct w:val="0"/>
              <w:autoSpaceDE w:val="0"/>
              <w:autoSpaceDN w:val="0"/>
              <w:bidi w:val="0"/>
              <w:adjustRightInd w:val="0"/>
              <w:snapToGrid w:val="0"/>
              <w:spacing w:before="61"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类型和等级</w:t>
            </w:r>
          </w:p>
        </w:tc>
        <w:tc>
          <w:tcPr>
            <w:tcW w:w="2812" w:type="dxa"/>
            <w:gridSpan w:val="2"/>
            <w:vAlign w:val="center"/>
          </w:tcPr>
          <w:p w14:paraId="467DA98E">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restart"/>
            <w:tcBorders>
              <w:bottom w:val="nil"/>
            </w:tcBorders>
            <w:vAlign w:val="center"/>
          </w:tcPr>
          <w:p w14:paraId="130DF667">
            <w:pPr>
              <w:keepNext w:val="0"/>
              <w:keepLines w:val="0"/>
              <w:pageBreakBefore w:val="0"/>
              <w:widowControl/>
              <w:kinsoku w:val="0"/>
              <w:wordWrap w:val="0"/>
              <w:overflowPunct/>
              <w:topLinePunct w:val="0"/>
              <w:autoSpaceDE w:val="0"/>
              <w:autoSpaceDN w:val="0"/>
              <w:bidi w:val="0"/>
              <w:adjustRightInd w:val="0"/>
              <w:snapToGrid w:val="0"/>
              <w:spacing w:before="65" w:line="229"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其中</w:t>
            </w:r>
          </w:p>
        </w:tc>
        <w:tc>
          <w:tcPr>
            <w:tcW w:w="2096" w:type="dxa"/>
            <w:gridSpan w:val="3"/>
            <w:vAlign w:val="center"/>
          </w:tcPr>
          <w:p w14:paraId="1767D4FB">
            <w:pPr>
              <w:keepNext w:val="0"/>
              <w:keepLines w:val="0"/>
              <w:pageBreakBefore w:val="0"/>
              <w:widowControl/>
              <w:kinsoku w:val="0"/>
              <w:wordWrap w:val="0"/>
              <w:overflowPunct/>
              <w:topLinePunct w:val="0"/>
              <w:autoSpaceDE w:val="0"/>
              <w:autoSpaceDN w:val="0"/>
              <w:bidi w:val="0"/>
              <w:adjustRightInd w:val="0"/>
              <w:snapToGrid w:val="0"/>
              <w:spacing w:before="214" w:line="229"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项目经理</w:t>
            </w:r>
          </w:p>
        </w:tc>
        <w:tc>
          <w:tcPr>
            <w:tcW w:w="1548" w:type="dxa"/>
            <w:vAlign w:val="center"/>
          </w:tcPr>
          <w:p w14:paraId="78172C73">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344BA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178541C3">
            <w:pPr>
              <w:keepNext w:val="0"/>
              <w:keepLines w:val="0"/>
              <w:pageBreakBefore w:val="0"/>
              <w:widowControl/>
              <w:kinsoku w:val="0"/>
              <w:wordWrap w:val="0"/>
              <w:overflowPunct/>
              <w:topLinePunct w:val="0"/>
              <w:autoSpaceDE w:val="0"/>
              <w:autoSpaceDN w:val="0"/>
              <w:bidi w:val="0"/>
              <w:adjustRightInd w:val="0"/>
              <w:snapToGrid w:val="0"/>
              <w:spacing w:before="146"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营业执照号</w:t>
            </w:r>
          </w:p>
        </w:tc>
        <w:tc>
          <w:tcPr>
            <w:tcW w:w="2812" w:type="dxa"/>
            <w:gridSpan w:val="2"/>
            <w:vAlign w:val="center"/>
          </w:tcPr>
          <w:p w14:paraId="1BE594FE">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continue"/>
            <w:tcBorders>
              <w:top w:val="nil"/>
              <w:bottom w:val="nil"/>
            </w:tcBorders>
            <w:vAlign w:val="center"/>
          </w:tcPr>
          <w:p w14:paraId="25BD5062">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2096" w:type="dxa"/>
            <w:gridSpan w:val="3"/>
            <w:vAlign w:val="center"/>
          </w:tcPr>
          <w:p w14:paraId="4F495599">
            <w:pPr>
              <w:keepNext w:val="0"/>
              <w:keepLines w:val="0"/>
              <w:pageBreakBefore w:val="0"/>
              <w:widowControl/>
              <w:kinsoku w:val="0"/>
              <w:wordWrap w:val="0"/>
              <w:overflowPunct/>
              <w:topLinePunct w:val="0"/>
              <w:autoSpaceDE w:val="0"/>
              <w:autoSpaceDN w:val="0"/>
              <w:bidi w:val="0"/>
              <w:adjustRightInd w:val="0"/>
              <w:snapToGrid w:val="0"/>
              <w:spacing w:before="146"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高级职称人员</w:t>
            </w:r>
          </w:p>
        </w:tc>
        <w:tc>
          <w:tcPr>
            <w:tcW w:w="1548" w:type="dxa"/>
            <w:vAlign w:val="center"/>
          </w:tcPr>
          <w:p w14:paraId="6333D9F5">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323B9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31209485">
            <w:pPr>
              <w:keepNext w:val="0"/>
              <w:keepLines w:val="0"/>
              <w:pageBreakBefore w:val="0"/>
              <w:widowControl/>
              <w:kinsoku w:val="0"/>
              <w:wordWrap w:val="0"/>
              <w:overflowPunct/>
              <w:topLinePunct w:val="0"/>
              <w:autoSpaceDE w:val="0"/>
              <w:autoSpaceDN w:val="0"/>
              <w:bidi w:val="0"/>
              <w:adjustRightInd w:val="0"/>
              <w:snapToGrid w:val="0"/>
              <w:spacing w:before="146"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注册资金</w:t>
            </w:r>
          </w:p>
        </w:tc>
        <w:tc>
          <w:tcPr>
            <w:tcW w:w="2812" w:type="dxa"/>
            <w:gridSpan w:val="2"/>
            <w:vAlign w:val="center"/>
          </w:tcPr>
          <w:p w14:paraId="295E3673">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continue"/>
            <w:tcBorders>
              <w:top w:val="nil"/>
              <w:bottom w:val="nil"/>
            </w:tcBorders>
            <w:vAlign w:val="center"/>
          </w:tcPr>
          <w:p w14:paraId="57CA7C7D">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2096" w:type="dxa"/>
            <w:gridSpan w:val="3"/>
            <w:vAlign w:val="center"/>
          </w:tcPr>
          <w:p w14:paraId="136FCE83">
            <w:pPr>
              <w:keepNext w:val="0"/>
              <w:keepLines w:val="0"/>
              <w:pageBreakBefore w:val="0"/>
              <w:widowControl/>
              <w:kinsoku w:val="0"/>
              <w:wordWrap w:val="0"/>
              <w:overflowPunct/>
              <w:topLinePunct w:val="0"/>
              <w:autoSpaceDE w:val="0"/>
              <w:autoSpaceDN w:val="0"/>
              <w:bidi w:val="0"/>
              <w:adjustRightInd w:val="0"/>
              <w:snapToGrid w:val="0"/>
              <w:spacing w:before="147" w:line="229"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中级职称人员</w:t>
            </w:r>
          </w:p>
        </w:tc>
        <w:tc>
          <w:tcPr>
            <w:tcW w:w="1548" w:type="dxa"/>
            <w:vAlign w:val="center"/>
          </w:tcPr>
          <w:p w14:paraId="510FE84F">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1B181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50DE22A6">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 xml:space="preserve">基本账户 </w:t>
            </w:r>
          </w:p>
          <w:p w14:paraId="2EB25329">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开户银行</w:t>
            </w:r>
          </w:p>
        </w:tc>
        <w:tc>
          <w:tcPr>
            <w:tcW w:w="2812" w:type="dxa"/>
            <w:gridSpan w:val="2"/>
            <w:vAlign w:val="center"/>
          </w:tcPr>
          <w:p w14:paraId="2C062370">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continue"/>
            <w:tcBorders>
              <w:top w:val="nil"/>
              <w:bottom w:val="nil"/>
            </w:tcBorders>
            <w:vAlign w:val="center"/>
          </w:tcPr>
          <w:p w14:paraId="4CD1B56B">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2096" w:type="dxa"/>
            <w:gridSpan w:val="3"/>
            <w:vAlign w:val="center"/>
          </w:tcPr>
          <w:p w14:paraId="0DB4DB46">
            <w:pPr>
              <w:keepNext w:val="0"/>
              <w:keepLines w:val="0"/>
              <w:pageBreakBefore w:val="0"/>
              <w:widowControl/>
              <w:kinsoku w:val="0"/>
              <w:wordWrap w:val="0"/>
              <w:overflowPunct/>
              <w:topLinePunct w:val="0"/>
              <w:autoSpaceDE w:val="0"/>
              <w:autoSpaceDN w:val="0"/>
              <w:bidi w:val="0"/>
              <w:adjustRightInd w:val="0"/>
              <w:snapToGrid w:val="0"/>
              <w:spacing w:before="191" w:line="230"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初级职称人员</w:t>
            </w:r>
          </w:p>
        </w:tc>
        <w:tc>
          <w:tcPr>
            <w:tcW w:w="1548" w:type="dxa"/>
            <w:vAlign w:val="center"/>
          </w:tcPr>
          <w:p w14:paraId="7CDA78E5">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6CB8C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4CA499D6">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 xml:space="preserve">基本账户 </w:t>
            </w:r>
          </w:p>
          <w:p w14:paraId="29CFAC8B">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银行账号</w:t>
            </w:r>
          </w:p>
        </w:tc>
        <w:tc>
          <w:tcPr>
            <w:tcW w:w="2812" w:type="dxa"/>
            <w:gridSpan w:val="2"/>
            <w:vAlign w:val="center"/>
          </w:tcPr>
          <w:p w14:paraId="331AE37A">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continue"/>
            <w:tcBorders>
              <w:top w:val="nil"/>
            </w:tcBorders>
            <w:vAlign w:val="center"/>
          </w:tcPr>
          <w:p w14:paraId="1E04A7E8">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2096" w:type="dxa"/>
            <w:gridSpan w:val="3"/>
            <w:vAlign w:val="center"/>
          </w:tcPr>
          <w:p w14:paraId="0CA13977">
            <w:pPr>
              <w:keepNext w:val="0"/>
              <w:keepLines w:val="0"/>
              <w:pageBreakBefore w:val="0"/>
              <w:widowControl/>
              <w:kinsoku w:val="0"/>
              <w:wordWrap w:val="0"/>
              <w:overflowPunct/>
              <w:topLinePunct w:val="0"/>
              <w:autoSpaceDE w:val="0"/>
              <w:autoSpaceDN w:val="0"/>
              <w:bidi w:val="0"/>
              <w:adjustRightInd w:val="0"/>
              <w:snapToGrid w:val="0"/>
              <w:spacing w:before="211"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技术员</w:t>
            </w:r>
          </w:p>
        </w:tc>
        <w:tc>
          <w:tcPr>
            <w:tcW w:w="1548" w:type="dxa"/>
            <w:vAlign w:val="center"/>
          </w:tcPr>
          <w:p w14:paraId="0E115D31">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3F53D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17CFDBBB">
            <w:pPr>
              <w:keepNext w:val="0"/>
              <w:keepLines w:val="0"/>
              <w:pageBreakBefore w:val="0"/>
              <w:widowControl/>
              <w:kinsoku w:val="0"/>
              <w:wordWrap w:val="0"/>
              <w:overflowPunct/>
              <w:topLinePunct w:val="0"/>
              <w:autoSpaceDE w:val="0"/>
              <w:autoSpaceDN w:val="0"/>
              <w:bidi w:val="0"/>
              <w:adjustRightInd w:val="0"/>
              <w:snapToGrid w:val="0"/>
              <w:spacing w:before="6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经营范围</w:t>
            </w:r>
          </w:p>
        </w:tc>
        <w:tc>
          <w:tcPr>
            <w:tcW w:w="7639" w:type="dxa"/>
            <w:gridSpan w:val="8"/>
            <w:vAlign w:val="center"/>
          </w:tcPr>
          <w:p w14:paraId="19D6286B">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3066B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01A7914E">
            <w:pPr>
              <w:keepNext w:val="0"/>
              <w:keepLines w:val="0"/>
              <w:pageBreakBefore w:val="0"/>
              <w:widowControl/>
              <w:kinsoku w:val="0"/>
              <w:wordWrap w:val="0"/>
              <w:overflowPunct/>
              <w:topLinePunct w:val="0"/>
              <w:autoSpaceDE w:val="0"/>
              <w:autoSpaceDN w:val="0"/>
              <w:bidi w:val="0"/>
              <w:adjustRightInd w:val="0"/>
              <w:snapToGrid w:val="0"/>
              <w:spacing w:before="6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关联企业情况</w:t>
            </w:r>
          </w:p>
        </w:tc>
        <w:tc>
          <w:tcPr>
            <w:tcW w:w="7639" w:type="dxa"/>
            <w:gridSpan w:val="8"/>
            <w:vAlign w:val="center"/>
          </w:tcPr>
          <w:p w14:paraId="2B67045A">
            <w:pPr>
              <w:keepNext w:val="0"/>
              <w:keepLines w:val="0"/>
              <w:pageBreakBefore w:val="0"/>
              <w:widowControl/>
              <w:kinsoku w:val="0"/>
              <w:wordWrap w:val="0"/>
              <w:overflowPunct/>
              <w:topLinePunct w:val="0"/>
              <w:autoSpaceDE w:val="0"/>
              <w:autoSpaceDN w:val="0"/>
              <w:bidi w:val="0"/>
              <w:adjustRightInd w:val="0"/>
              <w:snapToGrid w:val="0"/>
              <w:spacing w:before="168" w:line="228" w:lineRule="auto"/>
              <w:ind w:left="0" w:right="0"/>
              <w:jc w:val="both"/>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包括但不限于与投标人存在以下关系的不同单位：</w:t>
            </w:r>
          </w:p>
          <w:p w14:paraId="65D884EF">
            <w:pPr>
              <w:keepNext w:val="0"/>
              <w:keepLines w:val="0"/>
              <w:pageBreakBefore w:val="0"/>
              <w:widowControl/>
              <w:kinsoku w:val="0"/>
              <w:wordWrap w:val="0"/>
              <w:overflowPunct/>
              <w:topLinePunct w:val="0"/>
              <w:autoSpaceDE w:val="0"/>
              <w:autoSpaceDN w:val="0"/>
              <w:bidi w:val="0"/>
              <w:adjustRightInd w:val="0"/>
              <w:snapToGrid w:val="0"/>
              <w:spacing w:before="81" w:line="228" w:lineRule="auto"/>
              <w:ind w:left="0" w:right="0"/>
              <w:jc w:val="both"/>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1 ．法定代表人为同一人的。</w:t>
            </w:r>
          </w:p>
          <w:p w14:paraId="36492BCE">
            <w:pPr>
              <w:keepNext w:val="0"/>
              <w:keepLines w:val="0"/>
              <w:pageBreakBefore w:val="0"/>
              <w:widowControl/>
              <w:kinsoku w:val="0"/>
              <w:wordWrap w:val="0"/>
              <w:overflowPunct/>
              <w:topLinePunct w:val="0"/>
              <w:autoSpaceDE w:val="0"/>
              <w:autoSpaceDN w:val="0"/>
              <w:bidi w:val="0"/>
              <w:adjustRightInd w:val="0"/>
              <w:snapToGrid w:val="0"/>
              <w:spacing w:before="81" w:line="228" w:lineRule="auto"/>
              <w:ind w:left="0" w:right="0"/>
              <w:jc w:val="both"/>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2 ．存在控股、管理关系的。</w:t>
            </w:r>
          </w:p>
          <w:p w14:paraId="0EBD7174">
            <w:pPr>
              <w:keepNext w:val="0"/>
              <w:keepLines w:val="0"/>
              <w:pageBreakBefore w:val="0"/>
              <w:widowControl/>
              <w:kinsoku w:val="0"/>
              <w:wordWrap w:val="0"/>
              <w:overflowPunct/>
              <w:topLinePunct w:val="0"/>
              <w:autoSpaceDE w:val="0"/>
              <w:autoSpaceDN w:val="0"/>
              <w:bidi w:val="0"/>
              <w:adjustRightInd w:val="0"/>
              <w:snapToGrid w:val="0"/>
              <w:spacing w:before="81" w:line="228" w:lineRule="auto"/>
              <w:ind w:left="0" w:right="0"/>
              <w:jc w:val="both"/>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3 ．主要人员相互任职的。</w:t>
            </w:r>
          </w:p>
        </w:tc>
      </w:tr>
      <w:tr w14:paraId="16792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1EACEE75">
            <w:pPr>
              <w:keepNext w:val="0"/>
              <w:keepLines w:val="0"/>
              <w:pageBreakBefore w:val="0"/>
              <w:widowControl/>
              <w:kinsoku w:val="0"/>
              <w:wordWrap w:val="0"/>
              <w:overflowPunct/>
              <w:topLinePunct w:val="0"/>
              <w:autoSpaceDE w:val="0"/>
              <w:autoSpaceDN w:val="0"/>
              <w:bidi w:val="0"/>
              <w:adjustRightInd w:val="0"/>
              <w:snapToGrid w:val="0"/>
              <w:spacing w:before="235" w:line="230"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备注</w:t>
            </w:r>
          </w:p>
        </w:tc>
        <w:tc>
          <w:tcPr>
            <w:tcW w:w="7639" w:type="dxa"/>
            <w:gridSpan w:val="8"/>
            <w:vAlign w:val="center"/>
          </w:tcPr>
          <w:p w14:paraId="311B57E4">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bl>
    <w:p w14:paraId="749E9D6E">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p>
    <w:p w14:paraId="7194EFCD">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说明：</w:t>
      </w:r>
    </w:p>
    <w:p w14:paraId="2AFD925D">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outlineLvl w:val="9"/>
        <w:rPr>
          <w:rFonts w:hint="eastAsia" w:ascii="宋体" w:hAnsi="宋体" w:eastAsia="宋体" w:cs="宋体"/>
          <w:color w:val="auto"/>
          <w:spacing w:val="0"/>
          <w:sz w:val="21"/>
          <w:szCs w:val="21"/>
          <w:highlight w:val="none"/>
        </w:rPr>
      </w:pPr>
      <w:bookmarkStart w:id="237" w:name="_Toc5131"/>
      <w:bookmarkStart w:id="238" w:name="_Toc14048"/>
      <w:r>
        <w:rPr>
          <w:rFonts w:hint="eastAsia" w:ascii="宋体" w:hAnsi="宋体" w:eastAsia="宋体" w:cs="宋体"/>
          <w:color w:val="auto"/>
          <w:spacing w:val="0"/>
          <w:sz w:val="21"/>
          <w:szCs w:val="21"/>
          <w:highlight w:val="none"/>
        </w:rPr>
        <w:t>1 ．《投标人基本情况表》后应附以下资料：</w:t>
      </w:r>
      <w:bookmarkEnd w:id="237"/>
      <w:bookmarkEnd w:id="238"/>
    </w:p>
    <w:p w14:paraId="300861A9">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（1）企业营业执照、资质证书、安全生产许可证的（因推行电子证照，企业的营业执照、资质证书等可以提供电子证照。为实时掌握项目投标单位的是否具备企业安全生产条件，企业的安全</w:t>
      </w:r>
      <w:r>
        <w:rPr>
          <w:rFonts w:hint="eastAsia" w:ascii="宋体" w:hAnsi="宋体" w:eastAsia="宋体" w:cs="宋体"/>
          <w:color w:val="auto"/>
          <w:spacing w:val="0"/>
          <w:sz w:val="21"/>
          <w:szCs w:val="21"/>
          <w:highlight w:val="none"/>
          <w:lang w:val="en-US" w:eastAsia="zh-CN"/>
        </w:rPr>
        <w:t>生产</w:t>
      </w:r>
      <w:r>
        <w:rPr>
          <w:rFonts w:hint="eastAsia" w:ascii="宋体" w:hAnsi="宋体" w:eastAsia="宋体" w:cs="宋体"/>
          <w:color w:val="auto"/>
          <w:spacing w:val="0"/>
          <w:sz w:val="21"/>
          <w:szCs w:val="21"/>
          <w:highlight w:val="none"/>
          <w:lang w:eastAsia="zh-CN"/>
        </w:rPr>
        <w:t>许可证需提供企业实时网页查询页，实时查询页的打印时间应在项目招标公告发布之日起至开标前。企业的安全生产许可证实时网页查询路径：登录“ 中华人民共和国住房和城乡建设部 ”进入“全国工程质量安全监管信息平台公共服务门户 ”版块，具体网址为：https://zlaq.mohurd.gov.cn，进入后点击“安全生产许可证信息 ”，输入企业名称和统一社会信用代码即可查询。如中标后，投标单位安全生产许可证发生被暂扣情形，需双方另行协商）；</w:t>
      </w:r>
    </w:p>
    <w:p w14:paraId="36736E5C">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（2）</w:t>
      </w:r>
      <w:r>
        <w:rPr>
          <w:rFonts w:hint="eastAsia" w:ascii="宋体" w:hAnsi="宋体" w:eastAsia="宋体" w:cs="宋体"/>
          <w:color w:val="auto"/>
          <w:spacing w:val="0"/>
          <w:sz w:val="21"/>
          <w:szCs w:val="21"/>
          <w:highlight w:val="none"/>
        </w:rPr>
        <w:t>“进粤企业和人员诚信信息登记平台 ”企业信息情况打印页。（适用于省外建筑企业）</w:t>
      </w:r>
    </w:p>
    <w:p w14:paraId="7694C513">
      <w:pPr>
        <w:keepNext w:val="0"/>
        <w:keepLines w:val="0"/>
        <w:pageBreakBefore w:val="0"/>
        <w:widowControl/>
        <w:kinsoku w:val="0"/>
        <w:wordWrap w:val="0"/>
        <w:overflowPunct/>
        <w:topLinePunct w:val="0"/>
        <w:autoSpaceDE w:val="0"/>
        <w:autoSpaceDN w:val="0"/>
        <w:bidi w:val="0"/>
        <w:adjustRightInd w:val="0"/>
        <w:snapToGrid w:val="0"/>
        <w:spacing w:line="30" w:lineRule="atLeast"/>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（3）</w:t>
      </w:r>
      <w:r>
        <w:rPr>
          <w:rFonts w:hint="eastAsia" w:ascii="宋体" w:hAnsi="宋体" w:eastAsia="宋体" w:cs="宋体"/>
          <w:color w:val="auto"/>
          <w:spacing w:val="0"/>
          <w:sz w:val="21"/>
          <w:szCs w:val="21"/>
          <w:highlight w:val="none"/>
        </w:rPr>
        <w:t>《法人和非法人组织公共信用信息报告》（在“信用中国 ”网站企业查询界面中下载）。</w:t>
      </w:r>
    </w:p>
    <w:p w14:paraId="24E5FBA2">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 ．联合体投标的，联合体成员单位均应填写《投标人基本情况表》并提供以上所需资料。</w:t>
      </w:r>
    </w:p>
    <w:p w14:paraId="0FEFF3B5">
      <w:pP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62A4B1E3">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39" w:name="_Toc27456"/>
      <w:r>
        <w:rPr>
          <w:rFonts w:hint="eastAsia" w:ascii="宋体" w:hAnsi="宋体" w:eastAsia="宋体" w:cs="宋体"/>
          <w:b/>
          <w:bCs/>
          <w:color w:val="auto"/>
          <w:spacing w:val="0"/>
          <w:sz w:val="24"/>
          <w:szCs w:val="24"/>
          <w:highlight w:val="none"/>
        </w:rPr>
        <w:t>格式八 项目经理简历表</w:t>
      </w:r>
      <w:bookmarkEnd w:id="239"/>
    </w:p>
    <w:p w14:paraId="30EE3FD0">
      <w:pPr>
        <w:pStyle w:val="6"/>
        <w:keepNext w:val="0"/>
        <w:keepLines w:val="0"/>
        <w:pageBreakBefore w:val="0"/>
        <w:wordWrap w:val="0"/>
        <w:overflowPunct/>
        <w:topLinePunct w:val="0"/>
        <w:bidi w:val="0"/>
        <w:spacing w:line="444" w:lineRule="auto"/>
        <w:rPr>
          <w:rFonts w:hint="eastAsia" w:ascii="宋体" w:hAnsi="宋体" w:eastAsia="宋体" w:cs="宋体"/>
          <w:color w:val="auto"/>
          <w:spacing w:val="0"/>
          <w:highlight w:val="none"/>
        </w:rPr>
      </w:pPr>
    </w:p>
    <w:p w14:paraId="51274DAD">
      <w:pPr>
        <w:keepNext w:val="0"/>
        <w:keepLines w:val="0"/>
        <w:pageBreakBefore w:val="0"/>
        <w:wordWrap w:val="0"/>
        <w:overflowPunct/>
        <w:topLinePunct w:val="0"/>
        <w:bidi w:val="0"/>
        <w:spacing w:before="97" w:line="219" w:lineRule="auto"/>
        <w:ind w:left="3538"/>
        <w:outlineLvl w:val="9"/>
        <w:rPr>
          <w:rFonts w:hint="eastAsia" w:ascii="宋体" w:hAnsi="宋体" w:eastAsia="宋体" w:cs="宋体"/>
          <w:color w:val="auto"/>
          <w:spacing w:val="0"/>
          <w:sz w:val="30"/>
          <w:szCs w:val="30"/>
          <w:highlight w:val="none"/>
        </w:rPr>
      </w:pPr>
      <w:bookmarkStart w:id="240" w:name="bookmark89"/>
      <w:bookmarkEnd w:id="240"/>
      <w:bookmarkStart w:id="241" w:name="bookmark156"/>
      <w:bookmarkEnd w:id="241"/>
      <w:bookmarkStart w:id="242" w:name="_Toc24489"/>
      <w:bookmarkStart w:id="243" w:name="_Toc31533"/>
      <w:r>
        <w:rPr>
          <w:rFonts w:hint="eastAsia" w:ascii="宋体" w:hAnsi="宋体" w:eastAsia="宋体" w:cs="宋体"/>
          <w:b/>
          <w:bCs/>
          <w:color w:val="auto"/>
          <w:spacing w:val="0"/>
          <w:sz w:val="30"/>
          <w:szCs w:val="30"/>
          <w:highlight w:val="none"/>
        </w:rPr>
        <w:t>项目经理简历表</w:t>
      </w:r>
      <w:bookmarkEnd w:id="242"/>
      <w:bookmarkEnd w:id="243"/>
    </w:p>
    <w:p w14:paraId="2FEBF5B0">
      <w:pPr>
        <w:keepNext w:val="0"/>
        <w:keepLines w:val="0"/>
        <w:pageBreakBefore w:val="0"/>
        <w:wordWrap w:val="0"/>
        <w:overflowPunct/>
        <w:topLinePunct w:val="0"/>
        <w:bidi w:val="0"/>
        <w:spacing w:line="240" w:lineRule="exact"/>
        <w:rPr>
          <w:rFonts w:hint="eastAsia" w:ascii="宋体" w:hAnsi="宋体" w:eastAsia="宋体" w:cs="宋体"/>
          <w:color w:val="auto"/>
          <w:spacing w:val="0"/>
          <w:highlight w:val="none"/>
        </w:rPr>
      </w:pPr>
    </w:p>
    <w:tbl>
      <w:tblPr>
        <w:tblStyle w:val="15"/>
        <w:tblW w:w="97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010"/>
        <w:gridCol w:w="614"/>
        <w:gridCol w:w="680"/>
        <w:gridCol w:w="1357"/>
        <w:gridCol w:w="2062"/>
        <w:gridCol w:w="1798"/>
        <w:gridCol w:w="1398"/>
      </w:tblGrid>
      <w:tr w14:paraId="79188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828" w:type="dxa"/>
            <w:gridSpan w:val="2"/>
            <w:vAlign w:val="center"/>
          </w:tcPr>
          <w:p w14:paraId="3C11A92F">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姓   名</w:t>
            </w:r>
          </w:p>
        </w:tc>
        <w:tc>
          <w:tcPr>
            <w:tcW w:w="1294" w:type="dxa"/>
            <w:gridSpan w:val="2"/>
            <w:vAlign w:val="center"/>
          </w:tcPr>
          <w:p w14:paraId="291CA6EA">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57" w:type="dxa"/>
            <w:vAlign w:val="center"/>
          </w:tcPr>
          <w:p w14:paraId="73335C63">
            <w:pPr>
              <w:keepNext w:val="0"/>
              <w:keepLines w:val="0"/>
              <w:pageBreakBefore w:val="0"/>
              <w:widowControl/>
              <w:kinsoku w:val="0"/>
              <w:wordWrap w:val="0"/>
              <w:overflowPunct/>
              <w:topLinePunct w:val="0"/>
              <w:autoSpaceDE w:val="0"/>
              <w:autoSpaceDN w:val="0"/>
              <w:bidi w:val="0"/>
              <w:adjustRightInd w:val="0"/>
              <w:snapToGrid w:val="0"/>
              <w:spacing w:before="177"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性  别</w:t>
            </w:r>
          </w:p>
        </w:tc>
        <w:tc>
          <w:tcPr>
            <w:tcW w:w="2062" w:type="dxa"/>
            <w:vAlign w:val="center"/>
          </w:tcPr>
          <w:p w14:paraId="29D7999B">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4068853B">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   龄</w:t>
            </w:r>
          </w:p>
        </w:tc>
        <w:tc>
          <w:tcPr>
            <w:tcW w:w="1398" w:type="dxa"/>
            <w:vAlign w:val="center"/>
          </w:tcPr>
          <w:p w14:paraId="53181EAE">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6B3DB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828" w:type="dxa"/>
            <w:gridSpan w:val="2"/>
            <w:vAlign w:val="center"/>
          </w:tcPr>
          <w:p w14:paraId="69F44326">
            <w:pPr>
              <w:keepNext w:val="0"/>
              <w:keepLines w:val="0"/>
              <w:pageBreakBefore w:val="0"/>
              <w:widowControl/>
              <w:kinsoku w:val="0"/>
              <w:wordWrap w:val="0"/>
              <w:overflowPunct/>
              <w:topLinePunct w:val="0"/>
              <w:autoSpaceDE w:val="0"/>
              <w:autoSpaceDN w:val="0"/>
              <w:bidi w:val="0"/>
              <w:adjustRightInd w:val="0"/>
              <w:snapToGrid w:val="0"/>
              <w:spacing w:before="175"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职   务</w:t>
            </w:r>
          </w:p>
        </w:tc>
        <w:tc>
          <w:tcPr>
            <w:tcW w:w="1294" w:type="dxa"/>
            <w:gridSpan w:val="2"/>
            <w:vAlign w:val="center"/>
          </w:tcPr>
          <w:p w14:paraId="5565BEC5">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57" w:type="dxa"/>
            <w:vAlign w:val="center"/>
          </w:tcPr>
          <w:p w14:paraId="066DAC6E">
            <w:pPr>
              <w:keepNext w:val="0"/>
              <w:keepLines w:val="0"/>
              <w:pageBreakBefore w:val="0"/>
              <w:widowControl/>
              <w:kinsoku w:val="0"/>
              <w:wordWrap w:val="0"/>
              <w:overflowPunct/>
              <w:topLinePunct w:val="0"/>
              <w:autoSpaceDE w:val="0"/>
              <w:autoSpaceDN w:val="0"/>
              <w:bidi w:val="0"/>
              <w:adjustRightInd w:val="0"/>
              <w:snapToGrid w:val="0"/>
              <w:spacing w:before="174" w:line="231"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职  称</w:t>
            </w:r>
          </w:p>
        </w:tc>
        <w:tc>
          <w:tcPr>
            <w:tcW w:w="2062" w:type="dxa"/>
            <w:vAlign w:val="center"/>
          </w:tcPr>
          <w:p w14:paraId="43EC3BE8">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07ACB9B3">
            <w:pPr>
              <w:keepNext w:val="0"/>
              <w:keepLines w:val="0"/>
              <w:pageBreakBefore w:val="0"/>
              <w:widowControl/>
              <w:kinsoku w:val="0"/>
              <w:wordWrap w:val="0"/>
              <w:overflowPunct/>
              <w:topLinePunct w:val="0"/>
              <w:autoSpaceDE w:val="0"/>
              <w:autoSpaceDN w:val="0"/>
              <w:bidi w:val="0"/>
              <w:adjustRightInd w:val="0"/>
              <w:snapToGrid w:val="0"/>
              <w:spacing w:before="175"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学   历</w:t>
            </w:r>
          </w:p>
        </w:tc>
        <w:tc>
          <w:tcPr>
            <w:tcW w:w="1398" w:type="dxa"/>
            <w:vAlign w:val="center"/>
          </w:tcPr>
          <w:p w14:paraId="612498DF">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1036E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828" w:type="dxa"/>
            <w:gridSpan w:val="2"/>
            <w:vAlign w:val="center"/>
          </w:tcPr>
          <w:p w14:paraId="229D3FBF">
            <w:pPr>
              <w:keepNext w:val="0"/>
              <w:keepLines w:val="0"/>
              <w:pageBreakBefore w:val="0"/>
              <w:widowControl/>
              <w:kinsoku w:val="0"/>
              <w:wordWrap w:val="0"/>
              <w:overflowPunct/>
              <w:topLinePunct w:val="0"/>
              <w:autoSpaceDE w:val="0"/>
              <w:autoSpaceDN w:val="0"/>
              <w:bidi w:val="0"/>
              <w:adjustRightInd w:val="0"/>
              <w:snapToGrid w:val="0"/>
              <w:spacing w:before="175"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参加工作时间</w:t>
            </w:r>
          </w:p>
        </w:tc>
        <w:tc>
          <w:tcPr>
            <w:tcW w:w="2651" w:type="dxa"/>
            <w:gridSpan w:val="3"/>
            <w:vAlign w:val="center"/>
          </w:tcPr>
          <w:p w14:paraId="190DBE31">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3860" w:type="dxa"/>
            <w:gridSpan w:val="2"/>
            <w:vAlign w:val="center"/>
          </w:tcPr>
          <w:p w14:paraId="6B44BC34">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从事工程建设项目管理工作年限</w:t>
            </w:r>
          </w:p>
        </w:tc>
        <w:tc>
          <w:tcPr>
            <w:tcW w:w="1398" w:type="dxa"/>
            <w:vAlign w:val="center"/>
          </w:tcPr>
          <w:p w14:paraId="56D944BA">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596D3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737" w:type="dxa"/>
            <w:gridSpan w:val="8"/>
            <w:vAlign w:val="center"/>
          </w:tcPr>
          <w:p w14:paraId="0DFDEE66">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以项目经理身份参与过的主要业绩（已完工项目）</w:t>
            </w:r>
          </w:p>
        </w:tc>
      </w:tr>
      <w:tr w14:paraId="51211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818" w:type="dxa"/>
            <w:vAlign w:val="center"/>
          </w:tcPr>
          <w:p w14:paraId="62F64945">
            <w:pPr>
              <w:keepNext w:val="0"/>
              <w:keepLines w:val="0"/>
              <w:pageBreakBefore w:val="0"/>
              <w:widowControl/>
              <w:kinsoku w:val="0"/>
              <w:wordWrap w:val="0"/>
              <w:overflowPunct/>
              <w:topLinePunct w:val="0"/>
              <w:autoSpaceDE w:val="0"/>
              <w:autoSpaceDN w:val="0"/>
              <w:bidi w:val="0"/>
              <w:adjustRightInd w:val="0"/>
              <w:snapToGrid w:val="0"/>
              <w:spacing w:before="176"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序号</w:t>
            </w:r>
          </w:p>
        </w:tc>
        <w:tc>
          <w:tcPr>
            <w:tcW w:w="1624" w:type="dxa"/>
            <w:gridSpan w:val="2"/>
            <w:vAlign w:val="center"/>
          </w:tcPr>
          <w:p w14:paraId="4E2F72F9">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项目名称</w:t>
            </w:r>
          </w:p>
        </w:tc>
        <w:tc>
          <w:tcPr>
            <w:tcW w:w="2037" w:type="dxa"/>
            <w:gridSpan w:val="2"/>
            <w:vAlign w:val="center"/>
          </w:tcPr>
          <w:p w14:paraId="5158C01A">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建设单位</w:t>
            </w:r>
          </w:p>
        </w:tc>
        <w:tc>
          <w:tcPr>
            <w:tcW w:w="2062" w:type="dxa"/>
            <w:vAlign w:val="center"/>
          </w:tcPr>
          <w:p w14:paraId="74B27B98">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建设内容和规模</w:t>
            </w:r>
          </w:p>
        </w:tc>
        <w:tc>
          <w:tcPr>
            <w:tcW w:w="1798" w:type="dxa"/>
            <w:vAlign w:val="center"/>
          </w:tcPr>
          <w:p w14:paraId="541D63FA">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开、竣工日期</w:t>
            </w:r>
          </w:p>
        </w:tc>
        <w:tc>
          <w:tcPr>
            <w:tcW w:w="1398" w:type="dxa"/>
            <w:vAlign w:val="center"/>
          </w:tcPr>
          <w:p w14:paraId="5A74069C">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质量等级</w:t>
            </w:r>
          </w:p>
        </w:tc>
      </w:tr>
      <w:tr w14:paraId="5ED42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center"/>
          </w:tcPr>
          <w:p w14:paraId="758DB878">
            <w:pPr>
              <w:keepNext w:val="0"/>
              <w:keepLines w:val="0"/>
              <w:pageBreakBefore w:val="0"/>
              <w:widowControl/>
              <w:kinsoku w:val="0"/>
              <w:wordWrap w:val="0"/>
              <w:overflowPunct/>
              <w:topLinePunct w:val="0"/>
              <w:autoSpaceDE w:val="0"/>
              <w:autoSpaceDN w:val="0"/>
              <w:bidi w:val="0"/>
              <w:adjustRightInd w:val="0"/>
              <w:snapToGrid w:val="0"/>
              <w:spacing w:before="214"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1624" w:type="dxa"/>
            <w:gridSpan w:val="2"/>
            <w:vAlign w:val="center"/>
          </w:tcPr>
          <w:p w14:paraId="059B8746">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37" w:type="dxa"/>
            <w:gridSpan w:val="2"/>
            <w:vAlign w:val="center"/>
          </w:tcPr>
          <w:p w14:paraId="1AB992AB">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62" w:type="dxa"/>
            <w:vAlign w:val="center"/>
          </w:tcPr>
          <w:p w14:paraId="14B05DFA">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36F13CB6">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98" w:type="dxa"/>
            <w:vAlign w:val="center"/>
          </w:tcPr>
          <w:p w14:paraId="7A5EC9D8">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605AC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18" w:type="dxa"/>
            <w:vAlign w:val="center"/>
          </w:tcPr>
          <w:p w14:paraId="0E7B1B1A">
            <w:pPr>
              <w:keepNext w:val="0"/>
              <w:keepLines w:val="0"/>
              <w:pageBreakBefore w:val="0"/>
              <w:widowControl/>
              <w:kinsoku w:val="0"/>
              <w:wordWrap w:val="0"/>
              <w:overflowPunct/>
              <w:topLinePunct w:val="0"/>
              <w:autoSpaceDE w:val="0"/>
              <w:autoSpaceDN w:val="0"/>
              <w:bidi w:val="0"/>
              <w:adjustRightInd w:val="0"/>
              <w:snapToGrid w:val="0"/>
              <w:spacing w:before="213"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1624" w:type="dxa"/>
            <w:gridSpan w:val="2"/>
            <w:vAlign w:val="center"/>
          </w:tcPr>
          <w:p w14:paraId="72860AFB">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37" w:type="dxa"/>
            <w:gridSpan w:val="2"/>
            <w:vAlign w:val="center"/>
          </w:tcPr>
          <w:p w14:paraId="13CD2FF7">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62" w:type="dxa"/>
            <w:vAlign w:val="center"/>
          </w:tcPr>
          <w:p w14:paraId="56D93648">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7BD3F661">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98" w:type="dxa"/>
            <w:vAlign w:val="center"/>
          </w:tcPr>
          <w:p w14:paraId="61A20E11">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1EF6F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center"/>
          </w:tcPr>
          <w:p w14:paraId="797FA151">
            <w:pPr>
              <w:keepNext w:val="0"/>
              <w:keepLines w:val="0"/>
              <w:pageBreakBefore w:val="0"/>
              <w:widowControl/>
              <w:kinsoku w:val="0"/>
              <w:wordWrap w:val="0"/>
              <w:overflowPunct/>
              <w:topLinePunct w:val="0"/>
              <w:autoSpaceDE w:val="0"/>
              <w:autoSpaceDN w:val="0"/>
              <w:bidi w:val="0"/>
              <w:adjustRightInd w:val="0"/>
              <w:snapToGrid w:val="0"/>
              <w:spacing w:before="213"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w:t>
            </w:r>
          </w:p>
        </w:tc>
        <w:tc>
          <w:tcPr>
            <w:tcW w:w="1624" w:type="dxa"/>
            <w:gridSpan w:val="2"/>
            <w:vAlign w:val="center"/>
          </w:tcPr>
          <w:p w14:paraId="110D2A5E">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37" w:type="dxa"/>
            <w:gridSpan w:val="2"/>
            <w:vAlign w:val="center"/>
          </w:tcPr>
          <w:p w14:paraId="16A6A826">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62" w:type="dxa"/>
            <w:vAlign w:val="center"/>
          </w:tcPr>
          <w:p w14:paraId="2B6C0EDD">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4AD92C82">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98" w:type="dxa"/>
            <w:vAlign w:val="center"/>
          </w:tcPr>
          <w:p w14:paraId="2DEDAFD9">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5DA1B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18" w:type="dxa"/>
            <w:vAlign w:val="center"/>
          </w:tcPr>
          <w:p w14:paraId="2883E405">
            <w:pPr>
              <w:keepNext w:val="0"/>
              <w:keepLines w:val="0"/>
              <w:pageBreakBefore w:val="0"/>
              <w:widowControl/>
              <w:kinsoku w:val="0"/>
              <w:wordWrap w:val="0"/>
              <w:overflowPunct/>
              <w:topLinePunct w:val="0"/>
              <w:autoSpaceDE w:val="0"/>
              <w:autoSpaceDN w:val="0"/>
              <w:bidi w:val="0"/>
              <w:adjustRightInd w:val="0"/>
              <w:snapToGrid w:val="0"/>
              <w:spacing w:before="177" w:line="325" w:lineRule="exact"/>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w:t>
            </w:r>
          </w:p>
        </w:tc>
        <w:tc>
          <w:tcPr>
            <w:tcW w:w="1624" w:type="dxa"/>
            <w:gridSpan w:val="2"/>
            <w:vAlign w:val="center"/>
          </w:tcPr>
          <w:p w14:paraId="29EB5325">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37" w:type="dxa"/>
            <w:gridSpan w:val="2"/>
            <w:vAlign w:val="center"/>
          </w:tcPr>
          <w:p w14:paraId="0E54CFC8">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62" w:type="dxa"/>
            <w:vAlign w:val="center"/>
          </w:tcPr>
          <w:p w14:paraId="2213AD62">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36353FD5">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98" w:type="dxa"/>
            <w:vAlign w:val="center"/>
          </w:tcPr>
          <w:p w14:paraId="4583785E">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bl>
    <w:p w14:paraId="0EDEF6B3">
      <w:pPr>
        <w:pStyle w:val="6"/>
        <w:keepNext w:val="0"/>
        <w:keepLines w:val="0"/>
        <w:pageBreakBefore w:val="0"/>
        <w:wordWrap w:val="0"/>
        <w:overflowPunct/>
        <w:topLinePunct w:val="0"/>
        <w:bidi w:val="0"/>
        <w:spacing w:line="315" w:lineRule="auto"/>
        <w:rPr>
          <w:rFonts w:hint="eastAsia" w:ascii="宋体" w:hAnsi="宋体" w:eastAsia="宋体" w:cs="宋体"/>
          <w:color w:val="auto"/>
          <w:spacing w:val="0"/>
          <w:highlight w:val="none"/>
        </w:rPr>
      </w:pPr>
    </w:p>
    <w:p w14:paraId="7C679F64">
      <w:pPr>
        <w:keepNext w:val="0"/>
        <w:keepLines w:val="0"/>
        <w:pageBreakBefore w:val="0"/>
        <w:wordWrap w:val="0"/>
        <w:overflowPunct/>
        <w:topLinePunct w:val="0"/>
        <w:bidi w:val="0"/>
        <w:spacing w:before="78" w:line="220" w:lineRule="auto"/>
        <w:ind w:left="69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项目经理：</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u w:val="single"/>
          <w:lang w:val="en-US" w:eastAsia="zh-CN"/>
        </w:rPr>
        <w:t xml:space="preserve">   </w:t>
      </w:r>
      <w:r>
        <w:rPr>
          <w:rFonts w:hint="eastAsia" w:ascii="宋体" w:hAnsi="宋体" w:eastAsia="宋体" w:cs="宋体"/>
          <w:color w:val="auto"/>
          <w:spacing w:val="0"/>
          <w:sz w:val="24"/>
          <w:szCs w:val="24"/>
          <w:highlight w:val="none"/>
        </w:rPr>
        <w:t>（签字）</w:t>
      </w:r>
    </w:p>
    <w:p w14:paraId="5B1B7AF1">
      <w:pPr>
        <w:pStyle w:val="6"/>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226CD926">
      <w:pPr>
        <w:pStyle w:val="6"/>
        <w:keepNext w:val="0"/>
        <w:keepLines w:val="0"/>
        <w:pageBreakBefore w:val="0"/>
        <w:wordWrap w:val="0"/>
        <w:overflowPunct/>
        <w:topLinePunct w:val="0"/>
        <w:bidi w:val="0"/>
        <w:spacing w:line="254" w:lineRule="auto"/>
        <w:jc w:val="right"/>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36F2C445">
      <w:pPr>
        <w:keepNext w:val="0"/>
        <w:keepLines w:val="0"/>
        <w:pageBreakBefore w:val="0"/>
        <w:wordWrap w:val="0"/>
        <w:overflowPunct/>
        <w:topLinePunct w:val="0"/>
        <w:bidi w:val="0"/>
        <w:spacing w:before="78" w:line="220" w:lineRule="auto"/>
        <w:ind w:left="4226"/>
        <w:jc w:val="center"/>
        <w:rPr>
          <w:rFonts w:hint="eastAsia" w:ascii="宋体" w:hAnsi="宋体" w:eastAsia="宋体" w:cs="宋体"/>
          <w:color w:val="auto"/>
          <w:spacing w:val="0"/>
          <w:highlight w:val="none"/>
        </w:rPr>
      </w:pPr>
    </w:p>
    <w:p w14:paraId="23FA56AC">
      <w:pPr>
        <w:pStyle w:val="6"/>
        <w:keepNext w:val="0"/>
        <w:keepLines w:val="0"/>
        <w:pageBreakBefore w:val="0"/>
        <w:wordWrap w:val="0"/>
        <w:overflowPunct/>
        <w:topLinePunct w:val="0"/>
        <w:bidi w:val="0"/>
        <w:spacing w:line="241" w:lineRule="auto"/>
        <w:rPr>
          <w:rFonts w:hint="eastAsia" w:ascii="宋体" w:hAnsi="宋体" w:eastAsia="宋体" w:cs="宋体"/>
          <w:color w:val="auto"/>
          <w:spacing w:val="0"/>
          <w:highlight w:val="none"/>
        </w:rPr>
      </w:pPr>
    </w:p>
    <w:p w14:paraId="3CED7E74">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说明：《项目经理简历表》后应附拟派项目经理以下资料：</w:t>
      </w:r>
    </w:p>
    <w:p w14:paraId="2091A54A">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outlineLvl w:val="9"/>
        <w:rPr>
          <w:rFonts w:hint="eastAsia" w:ascii="宋体" w:hAnsi="宋体" w:eastAsia="宋体" w:cs="宋体"/>
          <w:color w:val="auto"/>
          <w:spacing w:val="0"/>
          <w:sz w:val="24"/>
          <w:szCs w:val="24"/>
          <w:highlight w:val="none"/>
        </w:rPr>
      </w:pPr>
      <w:bookmarkStart w:id="244" w:name="_Toc25271"/>
      <w:bookmarkStart w:id="245" w:name="_Toc1942"/>
      <w:r>
        <w:rPr>
          <w:rFonts w:hint="eastAsia" w:ascii="宋体" w:hAnsi="宋体" w:eastAsia="宋体" w:cs="宋体"/>
          <w:color w:val="auto"/>
          <w:spacing w:val="0"/>
          <w:sz w:val="24"/>
          <w:szCs w:val="24"/>
          <w:highlight w:val="none"/>
        </w:rPr>
        <w:t>1 ．身份证彩色扫描件；</w:t>
      </w:r>
      <w:bookmarkEnd w:id="244"/>
      <w:bookmarkEnd w:id="245"/>
    </w:p>
    <w:p w14:paraId="58312C14">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．建造师电子注册证书（在使用有效期内的有效电子证书）彩色扫描件；</w:t>
      </w:r>
    </w:p>
    <w:p w14:paraId="6E1DD00D">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3．B 类安全生产考核合格证书彩色扫描件或广东省建筑施工企业管理人员安全生产考核系统考核合格信息彩色扫描件；</w:t>
      </w:r>
    </w:p>
    <w:p w14:paraId="0F4F4113">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 ．在本单位缴纳社保</w:t>
      </w:r>
      <w:r>
        <w:rPr>
          <w:rFonts w:hint="eastAsia" w:ascii="宋体" w:hAnsi="宋体" w:eastAsia="宋体" w:cs="宋体"/>
          <w:color w:val="auto"/>
          <w:spacing w:val="0"/>
          <w:sz w:val="24"/>
          <w:szCs w:val="24"/>
          <w:highlight w:val="none"/>
          <w:lang w:eastAsia="zh-CN"/>
        </w:rPr>
        <w:t>的证明（至少</w:t>
      </w: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lang w:eastAsia="zh-CN"/>
        </w:rPr>
        <w:t>个月，其中必须有2026年</w:t>
      </w:r>
      <w:r>
        <w:rPr>
          <w:rFonts w:hint="eastAsia" w:ascii="宋体" w:hAnsi="宋体" w:eastAsia="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lang w:eastAsia="zh-CN"/>
        </w:rPr>
        <w:t>月）</w:t>
      </w:r>
      <w:r>
        <w:rPr>
          <w:rFonts w:hint="eastAsia" w:ascii="宋体" w:hAnsi="宋体" w:eastAsia="宋体" w:cs="宋体"/>
          <w:color w:val="auto"/>
          <w:spacing w:val="0"/>
          <w:sz w:val="24"/>
          <w:szCs w:val="24"/>
          <w:highlight w:val="none"/>
          <w:lang w:val="en-US" w:eastAsia="zh-CN"/>
        </w:rPr>
        <w:t>扫描</w:t>
      </w:r>
      <w:r>
        <w:rPr>
          <w:rFonts w:hint="eastAsia" w:ascii="宋体" w:hAnsi="宋体" w:eastAsia="宋体" w:cs="宋体"/>
          <w:color w:val="auto"/>
          <w:spacing w:val="0"/>
          <w:sz w:val="24"/>
          <w:szCs w:val="24"/>
          <w:highlight w:val="none"/>
        </w:rPr>
        <w:t>件或打印件。拟派项目经理为退休返聘人员无法提供社保证明的，提供退休证和劳动合同彩色扫描件。</w:t>
      </w:r>
    </w:p>
    <w:p w14:paraId="6F11A9DD">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 ．“进粤企业和人员诚信信息登记平台 ”个人信息情况截图。（适用于省外建筑企业）</w:t>
      </w:r>
    </w:p>
    <w:p w14:paraId="456AC7BF">
      <w:pPr>
        <w:pStyle w:val="25"/>
        <w:rPr>
          <w:rFonts w:hint="eastAsia"/>
          <w:highlight w:val="none"/>
        </w:rPr>
      </w:pPr>
    </w:p>
    <w:p w14:paraId="61CE6093">
      <w:pPr>
        <w:keepNext w:val="0"/>
        <w:keepLines w:val="0"/>
        <w:pageBreakBefore w:val="0"/>
        <w:wordWrap w:val="0"/>
        <w:overflowPunct/>
        <w:topLinePunct w:val="0"/>
        <w:bidi w:val="0"/>
        <w:spacing w:line="300" w:lineRule="auto"/>
        <w:rPr>
          <w:rFonts w:hint="eastAsia" w:ascii="宋体" w:hAnsi="宋体" w:eastAsia="宋体" w:cs="宋体"/>
          <w:color w:val="auto"/>
          <w:spacing w:val="0"/>
          <w:sz w:val="20"/>
          <w:szCs w:val="20"/>
          <w:highlight w:val="none"/>
        </w:rPr>
        <w:sectPr>
          <w:footerReference r:id="rId19"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0D536DBA">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46" w:name="_Toc19646"/>
      <w:r>
        <w:rPr>
          <w:rFonts w:hint="eastAsia" w:ascii="宋体" w:hAnsi="宋体" w:eastAsia="宋体" w:cs="宋体"/>
          <w:b/>
          <w:bCs/>
          <w:color w:val="auto"/>
          <w:spacing w:val="0"/>
          <w:sz w:val="24"/>
          <w:szCs w:val="24"/>
          <w:highlight w:val="none"/>
        </w:rPr>
        <w:t>格式九 项目经理任职声明</w:t>
      </w:r>
      <w:bookmarkEnd w:id="246"/>
    </w:p>
    <w:p w14:paraId="25F8E3D4">
      <w:pPr>
        <w:pStyle w:val="6"/>
        <w:keepNext w:val="0"/>
        <w:keepLines w:val="0"/>
        <w:pageBreakBefore w:val="0"/>
        <w:wordWrap w:val="0"/>
        <w:overflowPunct/>
        <w:topLinePunct w:val="0"/>
        <w:bidi w:val="0"/>
        <w:spacing w:line="350" w:lineRule="auto"/>
        <w:rPr>
          <w:rFonts w:hint="eastAsia" w:ascii="宋体" w:hAnsi="宋体" w:eastAsia="宋体" w:cs="宋体"/>
          <w:color w:val="auto"/>
          <w:spacing w:val="0"/>
          <w:highlight w:val="none"/>
        </w:rPr>
      </w:pPr>
    </w:p>
    <w:p w14:paraId="653618C2">
      <w:pPr>
        <w:pStyle w:val="6"/>
        <w:keepNext w:val="0"/>
        <w:keepLines w:val="0"/>
        <w:pageBreakBefore w:val="0"/>
        <w:wordWrap w:val="0"/>
        <w:overflowPunct/>
        <w:topLinePunct w:val="0"/>
        <w:bidi w:val="0"/>
        <w:spacing w:line="350" w:lineRule="auto"/>
        <w:rPr>
          <w:rFonts w:hint="eastAsia" w:ascii="宋体" w:hAnsi="宋体" w:eastAsia="宋体" w:cs="宋体"/>
          <w:color w:val="auto"/>
          <w:spacing w:val="0"/>
          <w:highlight w:val="none"/>
        </w:rPr>
      </w:pPr>
    </w:p>
    <w:p w14:paraId="7584027F">
      <w:pPr>
        <w:keepNext w:val="0"/>
        <w:keepLines w:val="0"/>
        <w:pageBreakBefore w:val="0"/>
        <w:wordWrap w:val="0"/>
        <w:overflowPunct/>
        <w:topLinePunct w:val="0"/>
        <w:bidi w:val="0"/>
        <w:spacing w:before="98" w:line="220" w:lineRule="auto"/>
        <w:ind w:left="3338"/>
        <w:rPr>
          <w:rFonts w:hint="eastAsia" w:ascii="宋体" w:hAnsi="宋体" w:eastAsia="宋体" w:cs="宋体"/>
          <w:color w:val="auto"/>
          <w:spacing w:val="0"/>
          <w:sz w:val="30"/>
          <w:szCs w:val="30"/>
          <w:highlight w:val="none"/>
        </w:rPr>
      </w:pPr>
      <w:bookmarkStart w:id="247" w:name="bookmark157"/>
      <w:bookmarkEnd w:id="247"/>
      <w:r>
        <w:rPr>
          <w:rFonts w:hint="eastAsia" w:ascii="宋体" w:hAnsi="宋体" w:eastAsia="宋体" w:cs="宋体"/>
          <w:b/>
          <w:bCs/>
          <w:color w:val="auto"/>
          <w:spacing w:val="0"/>
          <w:sz w:val="30"/>
          <w:szCs w:val="30"/>
          <w:highlight w:val="none"/>
        </w:rPr>
        <w:t>项目经理任职声明</w:t>
      </w:r>
    </w:p>
    <w:p w14:paraId="3C336944">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01E83797">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686CE705">
      <w:pPr>
        <w:pStyle w:val="6"/>
        <w:keepNext w:val="0"/>
        <w:keepLines w:val="0"/>
        <w:pageBreakBefore w:val="0"/>
        <w:wordWrap w:val="0"/>
        <w:overflowPunct/>
        <w:topLinePunct w:val="0"/>
        <w:bidi w:val="0"/>
        <w:spacing w:line="251" w:lineRule="auto"/>
        <w:rPr>
          <w:rFonts w:hint="eastAsia" w:ascii="宋体" w:hAnsi="宋体" w:eastAsia="宋体" w:cs="宋体"/>
          <w:color w:val="auto"/>
          <w:spacing w:val="0"/>
          <w:highlight w:val="none"/>
        </w:rPr>
      </w:pPr>
    </w:p>
    <w:p w14:paraId="6CC76F83">
      <w:pPr>
        <w:keepNext w:val="0"/>
        <w:keepLines w:val="0"/>
        <w:pageBreakBefore w:val="0"/>
        <w:wordWrap w:val="0"/>
        <w:overflowPunct/>
        <w:topLinePunct w:val="0"/>
        <w:bidi w:val="0"/>
        <w:spacing w:before="78" w:line="221"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致：</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（招标人名称）</w:t>
      </w:r>
    </w:p>
    <w:p w14:paraId="18022089">
      <w:pPr>
        <w:keepNext w:val="0"/>
        <w:keepLines w:val="0"/>
        <w:pageBreakBefore w:val="0"/>
        <w:wordWrap w:val="0"/>
        <w:overflowPunct/>
        <w:topLinePunct w:val="0"/>
        <w:bidi w:val="0"/>
        <w:spacing w:before="155" w:line="324" w:lineRule="auto"/>
        <w:ind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我方在此声明，我方拟派往</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（项目名称）的项目经理</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（项目经理姓名）现阶段没有担任任何在施（包括已中标未开工、已开工未竣工）建设工程项目的项目经理。</w:t>
      </w:r>
    </w:p>
    <w:p w14:paraId="10D30513">
      <w:pPr>
        <w:keepNext w:val="0"/>
        <w:keepLines w:val="0"/>
        <w:pageBreakBefore w:val="0"/>
        <w:wordWrap w:val="0"/>
        <w:overflowPunct/>
        <w:topLinePunct w:val="0"/>
        <w:bidi w:val="0"/>
        <w:spacing w:before="35" w:line="326" w:lineRule="auto"/>
        <w:ind w:firstLine="48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我方保证上述信息的真实和准确，并愿意承担因我方就此弄虚作假所引起的一切法律后果。</w:t>
      </w:r>
    </w:p>
    <w:p w14:paraId="31B3CE7D">
      <w:pPr>
        <w:pStyle w:val="6"/>
        <w:keepNext w:val="0"/>
        <w:keepLines w:val="0"/>
        <w:pageBreakBefore w:val="0"/>
        <w:wordWrap w:val="0"/>
        <w:overflowPunct/>
        <w:topLinePunct w:val="0"/>
        <w:bidi w:val="0"/>
        <w:spacing w:line="391" w:lineRule="auto"/>
        <w:rPr>
          <w:rFonts w:hint="eastAsia" w:ascii="宋体" w:hAnsi="宋体" w:eastAsia="宋体" w:cs="宋体"/>
          <w:color w:val="auto"/>
          <w:spacing w:val="0"/>
          <w:highlight w:val="none"/>
        </w:rPr>
      </w:pPr>
    </w:p>
    <w:p w14:paraId="2E70BD98">
      <w:pPr>
        <w:keepNext w:val="0"/>
        <w:keepLines w:val="0"/>
        <w:pageBreakBefore w:val="0"/>
        <w:wordWrap w:val="0"/>
        <w:overflowPunct/>
        <w:topLinePunct w:val="0"/>
        <w:bidi w:val="0"/>
        <w:spacing w:before="78" w:line="220" w:lineRule="auto"/>
        <w:ind w:left="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特此承诺</w:t>
      </w:r>
    </w:p>
    <w:p w14:paraId="3650AFF0">
      <w:pPr>
        <w:pStyle w:val="6"/>
        <w:keepNext w:val="0"/>
        <w:keepLines w:val="0"/>
        <w:pageBreakBefore w:val="0"/>
        <w:wordWrap w:val="0"/>
        <w:overflowPunct/>
        <w:topLinePunct w:val="0"/>
        <w:bidi w:val="0"/>
        <w:spacing w:line="316" w:lineRule="auto"/>
        <w:rPr>
          <w:rFonts w:hint="eastAsia" w:ascii="宋体" w:hAnsi="宋体" w:eastAsia="宋体" w:cs="宋体"/>
          <w:color w:val="auto"/>
          <w:spacing w:val="0"/>
          <w:highlight w:val="none"/>
        </w:rPr>
      </w:pPr>
    </w:p>
    <w:p w14:paraId="5B7E6BA2">
      <w:pPr>
        <w:pStyle w:val="6"/>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1D8C5912">
      <w:pPr>
        <w:pStyle w:val="6"/>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564EA505">
      <w:pPr>
        <w:keepNext w:val="0"/>
        <w:keepLines w:val="0"/>
        <w:pageBreakBefore w:val="0"/>
        <w:wordWrap w:val="0"/>
        <w:overflowPunct/>
        <w:topLinePunct w:val="0"/>
        <w:bidi w:val="0"/>
        <w:spacing w:before="79" w:line="219"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（盖单位章）</w:t>
      </w:r>
    </w:p>
    <w:p w14:paraId="00AC28CB">
      <w:pPr>
        <w:pStyle w:val="6"/>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454364E0">
      <w:pPr>
        <w:pStyle w:val="6"/>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39138AF7">
      <w:pPr>
        <w:pStyle w:val="6"/>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5C510588">
      <w:pPr>
        <w:keepNext w:val="0"/>
        <w:keepLines w:val="0"/>
        <w:pageBreakBefore w:val="0"/>
        <w:wordWrap w:val="0"/>
        <w:overflowPunct/>
        <w:topLinePunct w:val="0"/>
        <w:bidi w:val="0"/>
        <w:spacing w:before="78" w:line="219"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（签字或盖章）</w:t>
      </w:r>
    </w:p>
    <w:p w14:paraId="2A0E9929">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59807EB0">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4247707E">
      <w:pPr>
        <w:pStyle w:val="6"/>
        <w:keepNext w:val="0"/>
        <w:keepLines w:val="0"/>
        <w:pageBreakBefore w:val="0"/>
        <w:wordWrap w:val="0"/>
        <w:overflowPunct/>
        <w:topLinePunct w:val="0"/>
        <w:bidi w:val="0"/>
        <w:spacing w:line="254" w:lineRule="auto"/>
        <w:jc w:val="right"/>
        <w:rPr>
          <w:rFonts w:hint="eastAsia" w:ascii="宋体" w:hAnsi="宋体" w:eastAsia="宋体" w:cs="宋体"/>
          <w:color w:val="auto"/>
          <w:spacing w:val="0"/>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259308E7">
      <w:pPr>
        <w:keepNext w:val="0"/>
        <w:keepLines w:val="0"/>
        <w:pageBreakBefore w:val="0"/>
        <w:wordWrap w:val="0"/>
        <w:overflowPunct/>
        <w:topLinePunct w:val="0"/>
        <w:bidi w:val="0"/>
        <w:spacing w:line="220" w:lineRule="auto"/>
        <w:rPr>
          <w:rFonts w:hint="eastAsia" w:ascii="宋体" w:hAnsi="宋体" w:eastAsia="宋体" w:cs="宋体"/>
          <w:color w:val="auto"/>
          <w:spacing w:val="0"/>
          <w:sz w:val="24"/>
          <w:szCs w:val="24"/>
          <w:highlight w:val="none"/>
        </w:rPr>
        <w:sectPr>
          <w:footerReference r:id="rId20"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7142E22C">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48" w:name="_Toc13288"/>
      <w:r>
        <w:rPr>
          <w:rFonts w:hint="eastAsia" w:ascii="宋体" w:hAnsi="宋体" w:eastAsia="宋体" w:cs="宋体"/>
          <w:b/>
          <w:bCs/>
          <w:color w:val="auto"/>
          <w:spacing w:val="0"/>
          <w:sz w:val="24"/>
          <w:szCs w:val="24"/>
          <w:highlight w:val="none"/>
        </w:rPr>
        <w:t>格式十 项目技术负责人简历表</w:t>
      </w:r>
      <w:bookmarkEnd w:id="248"/>
    </w:p>
    <w:p w14:paraId="0C343FDB">
      <w:pPr>
        <w:pStyle w:val="6"/>
        <w:keepNext w:val="0"/>
        <w:keepLines w:val="0"/>
        <w:pageBreakBefore w:val="0"/>
        <w:wordWrap w:val="0"/>
        <w:overflowPunct/>
        <w:topLinePunct w:val="0"/>
        <w:bidi w:val="0"/>
        <w:spacing w:line="444" w:lineRule="auto"/>
        <w:rPr>
          <w:rFonts w:hint="eastAsia" w:ascii="宋体" w:hAnsi="宋体" w:eastAsia="宋体" w:cs="宋体"/>
          <w:color w:val="auto"/>
          <w:spacing w:val="0"/>
          <w:highlight w:val="none"/>
        </w:rPr>
      </w:pPr>
    </w:p>
    <w:p w14:paraId="02DD6ECC">
      <w:pPr>
        <w:keepNext w:val="0"/>
        <w:keepLines w:val="0"/>
        <w:pageBreakBefore w:val="0"/>
        <w:wordWrap w:val="0"/>
        <w:overflowPunct/>
        <w:topLinePunct w:val="0"/>
        <w:bidi w:val="0"/>
        <w:spacing w:before="97" w:line="219" w:lineRule="auto"/>
        <w:ind w:left="3087"/>
        <w:outlineLvl w:val="9"/>
        <w:rPr>
          <w:rFonts w:hint="eastAsia" w:ascii="宋体" w:hAnsi="宋体" w:eastAsia="宋体" w:cs="宋体"/>
          <w:color w:val="auto"/>
          <w:spacing w:val="0"/>
          <w:sz w:val="30"/>
          <w:szCs w:val="30"/>
          <w:highlight w:val="none"/>
        </w:rPr>
      </w:pPr>
      <w:bookmarkStart w:id="249" w:name="_Toc1553"/>
      <w:bookmarkStart w:id="250" w:name="_Toc25712"/>
      <w:r>
        <w:rPr>
          <w:rFonts w:hint="eastAsia" w:ascii="宋体" w:hAnsi="宋体" w:eastAsia="宋体" w:cs="宋体"/>
          <w:b/>
          <w:bCs/>
          <w:color w:val="auto"/>
          <w:spacing w:val="0"/>
          <w:sz w:val="30"/>
          <w:szCs w:val="30"/>
          <w:highlight w:val="none"/>
        </w:rPr>
        <w:t>项目技术负责人简历表</w:t>
      </w:r>
      <w:bookmarkEnd w:id="249"/>
      <w:bookmarkEnd w:id="250"/>
    </w:p>
    <w:p w14:paraId="6FED11D1">
      <w:pPr>
        <w:keepNext w:val="0"/>
        <w:keepLines w:val="0"/>
        <w:pageBreakBefore w:val="0"/>
        <w:wordWrap w:val="0"/>
        <w:overflowPunct/>
        <w:topLinePunct w:val="0"/>
        <w:bidi w:val="0"/>
        <w:spacing w:line="240" w:lineRule="exact"/>
        <w:rPr>
          <w:rFonts w:hint="eastAsia" w:ascii="宋体" w:hAnsi="宋体" w:eastAsia="宋体" w:cs="宋体"/>
          <w:color w:val="auto"/>
          <w:spacing w:val="0"/>
          <w:highlight w:val="none"/>
        </w:rPr>
      </w:pPr>
    </w:p>
    <w:tbl>
      <w:tblPr>
        <w:tblStyle w:val="15"/>
        <w:tblW w:w="9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003"/>
        <w:gridCol w:w="607"/>
        <w:gridCol w:w="675"/>
        <w:gridCol w:w="1346"/>
        <w:gridCol w:w="2047"/>
        <w:gridCol w:w="1783"/>
        <w:gridCol w:w="1386"/>
      </w:tblGrid>
      <w:tr w14:paraId="7B3FB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813" w:type="dxa"/>
            <w:gridSpan w:val="2"/>
            <w:vAlign w:val="center"/>
          </w:tcPr>
          <w:p w14:paraId="05EFAA67">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姓   名</w:t>
            </w:r>
          </w:p>
        </w:tc>
        <w:tc>
          <w:tcPr>
            <w:tcW w:w="1282" w:type="dxa"/>
            <w:gridSpan w:val="2"/>
            <w:vAlign w:val="center"/>
          </w:tcPr>
          <w:p w14:paraId="6CED9D95">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default" w:ascii="宋体" w:hAnsi="宋体" w:eastAsia="宋体" w:cs="宋体"/>
                <w:color w:val="auto"/>
                <w:spacing w:val="0"/>
                <w:sz w:val="24"/>
                <w:szCs w:val="24"/>
                <w:highlight w:val="none"/>
                <w:lang w:val="en-US" w:eastAsia="zh-CN"/>
              </w:rPr>
            </w:pPr>
          </w:p>
        </w:tc>
        <w:tc>
          <w:tcPr>
            <w:tcW w:w="1346" w:type="dxa"/>
            <w:vAlign w:val="center"/>
          </w:tcPr>
          <w:p w14:paraId="118F7715">
            <w:pPr>
              <w:keepNext w:val="0"/>
              <w:keepLines w:val="0"/>
              <w:pageBreakBefore w:val="0"/>
              <w:widowControl/>
              <w:kinsoku w:val="0"/>
              <w:wordWrap w:val="0"/>
              <w:overflowPunct/>
              <w:topLinePunct w:val="0"/>
              <w:autoSpaceDE w:val="0"/>
              <w:autoSpaceDN w:val="0"/>
              <w:bidi w:val="0"/>
              <w:adjustRightInd w:val="0"/>
              <w:snapToGrid w:val="0"/>
              <w:spacing w:before="177"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性  别</w:t>
            </w:r>
          </w:p>
        </w:tc>
        <w:tc>
          <w:tcPr>
            <w:tcW w:w="2047" w:type="dxa"/>
            <w:vAlign w:val="center"/>
          </w:tcPr>
          <w:p w14:paraId="23546190">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0A7C677A">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   龄</w:t>
            </w:r>
          </w:p>
        </w:tc>
        <w:tc>
          <w:tcPr>
            <w:tcW w:w="1386" w:type="dxa"/>
            <w:vAlign w:val="center"/>
          </w:tcPr>
          <w:p w14:paraId="1FBE034E">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2238F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813" w:type="dxa"/>
            <w:gridSpan w:val="2"/>
            <w:vAlign w:val="center"/>
          </w:tcPr>
          <w:p w14:paraId="61278465">
            <w:pPr>
              <w:keepNext w:val="0"/>
              <w:keepLines w:val="0"/>
              <w:pageBreakBefore w:val="0"/>
              <w:widowControl/>
              <w:kinsoku w:val="0"/>
              <w:wordWrap w:val="0"/>
              <w:overflowPunct/>
              <w:topLinePunct w:val="0"/>
              <w:autoSpaceDE w:val="0"/>
              <w:autoSpaceDN w:val="0"/>
              <w:bidi w:val="0"/>
              <w:adjustRightInd w:val="0"/>
              <w:snapToGrid w:val="0"/>
              <w:spacing w:before="175"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职   务</w:t>
            </w:r>
          </w:p>
        </w:tc>
        <w:tc>
          <w:tcPr>
            <w:tcW w:w="1282" w:type="dxa"/>
            <w:gridSpan w:val="2"/>
            <w:vAlign w:val="center"/>
          </w:tcPr>
          <w:p w14:paraId="2DA0450F">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46" w:type="dxa"/>
            <w:vAlign w:val="center"/>
          </w:tcPr>
          <w:p w14:paraId="262D13E8">
            <w:pPr>
              <w:keepNext w:val="0"/>
              <w:keepLines w:val="0"/>
              <w:pageBreakBefore w:val="0"/>
              <w:widowControl/>
              <w:kinsoku w:val="0"/>
              <w:wordWrap w:val="0"/>
              <w:overflowPunct/>
              <w:topLinePunct w:val="0"/>
              <w:autoSpaceDE w:val="0"/>
              <w:autoSpaceDN w:val="0"/>
              <w:bidi w:val="0"/>
              <w:adjustRightInd w:val="0"/>
              <w:snapToGrid w:val="0"/>
              <w:spacing w:before="174" w:line="231"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职  称</w:t>
            </w:r>
          </w:p>
        </w:tc>
        <w:tc>
          <w:tcPr>
            <w:tcW w:w="2047" w:type="dxa"/>
            <w:vAlign w:val="center"/>
          </w:tcPr>
          <w:p w14:paraId="79CCFA27">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02F4AA7D">
            <w:pPr>
              <w:keepNext w:val="0"/>
              <w:keepLines w:val="0"/>
              <w:pageBreakBefore w:val="0"/>
              <w:widowControl/>
              <w:kinsoku w:val="0"/>
              <w:wordWrap w:val="0"/>
              <w:overflowPunct/>
              <w:topLinePunct w:val="0"/>
              <w:autoSpaceDE w:val="0"/>
              <w:autoSpaceDN w:val="0"/>
              <w:bidi w:val="0"/>
              <w:adjustRightInd w:val="0"/>
              <w:snapToGrid w:val="0"/>
              <w:spacing w:before="175"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学   历</w:t>
            </w:r>
          </w:p>
        </w:tc>
        <w:tc>
          <w:tcPr>
            <w:tcW w:w="1386" w:type="dxa"/>
            <w:vAlign w:val="center"/>
          </w:tcPr>
          <w:p w14:paraId="2FD2EF2A">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C0D0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1813" w:type="dxa"/>
            <w:gridSpan w:val="2"/>
            <w:vAlign w:val="center"/>
          </w:tcPr>
          <w:p w14:paraId="701AB8DD">
            <w:pPr>
              <w:keepNext w:val="0"/>
              <w:keepLines w:val="0"/>
              <w:pageBreakBefore w:val="0"/>
              <w:widowControl/>
              <w:kinsoku w:val="0"/>
              <w:wordWrap w:val="0"/>
              <w:overflowPunct/>
              <w:topLinePunct w:val="0"/>
              <w:autoSpaceDE w:val="0"/>
              <w:autoSpaceDN w:val="0"/>
              <w:bidi w:val="0"/>
              <w:adjustRightInd w:val="0"/>
              <w:snapToGrid w:val="0"/>
              <w:spacing w:before="175"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参加工作时间</w:t>
            </w:r>
          </w:p>
        </w:tc>
        <w:tc>
          <w:tcPr>
            <w:tcW w:w="2628" w:type="dxa"/>
            <w:gridSpan w:val="3"/>
            <w:vAlign w:val="center"/>
          </w:tcPr>
          <w:p w14:paraId="10A21E5B">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3830" w:type="dxa"/>
            <w:gridSpan w:val="2"/>
            <w:vAlign w:val="center"/>
          </w:tcPr>
          <w:p w14:paraId="056113A4">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从事工程建设项目管理工作年限</w:t>
            </w:r>
          </w:p>
        </w:tc>
        <w:tc>
          <w:tcPr>
            <w:tcW w:w="1386" w:type="dxa"/>
            <w:vAlign w:val="center"/>
          </w:tcPr>
          <w:p w14:paraId="54BECDD8">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28AB5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9657" w:type="dxa"/>
            <w:gridSpan w:val="8"/>
            <w:vAlign w:val="center"/>
          </w:tcPr>
          <w:p w14:paraId="7B6327A9">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以项目技术负责人身份参与过的主要业绩（已完工项目）</w:t>
            </w:r>
          </w:p>
        </w:tc>
      </w:tr>
      <w:tr w14:paraId="7A7F5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810" w:type="dxa"/>
            <w:vAlign w:val="center"/>
          </w:tcPr>
          <w:p w14:paraId="38456C0B">
            <w:pPr>
              <w:keepNext w:val="0"/>
              <w:keepLines w:val="0"/>
              <w:pageBreakBefore w:val="0"/>
              <w:widowControl/>
              <w:kinsoku w:val="0"/>
              <w:wordWrap w:val="0"/>
              <w:overflowPunct/>
              <w:topLinePunct w:val="0"/>
              <w:autoSpaceDE w:val="0"/>
              <w:autoSpaceDN w:val="0"/>
              <w:bidi w:val="0"/>
              <w:adjustRightInd w:val="0"/>
              <w:snapToGrid w:val="0"/>
              <w:spacing w:before="176"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序号</w:t>
            </w:r>
          </w:p>
        </w:tc>
        <w:tc>
          <w:tcPr>
            <w:tcW w:w="1610" w:type="dxa"/>
            <w:gridSpan w:val="2"/>
            <w:vAlign w:val="center"/>
          </w:tcPr>
          <w:p w14:paraId="2E11A1D4">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项目名称</w:t>
            </w:r>
          </w:p>
        </w:tc>
        <w:tc>
          <w:tcPr>
            <w:tcW w:w="2021" w:type="dxa"/>
            <w:gridSpan w:val="2"/>
            <w:vAlign w:val="center"/>
          </w:tcPr>
          <w:p w14:paraId="7AA9AB8C">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建设单位</w:t>
            </w:r>
          </w:p>
        </w:tc>
        <w:tc>
          <w:tcPr>
            <w:tcW w:w="2047" w:type="dxa"/>
            <w:vAlign w:val="center"/>
          </w:tcPr>
          <w:p w14:paraId="29945CA7">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建设内容和规模</w:t>
            </w:r>
          </w:p>
        </w:tc>
        <w:tc>
          <w:tcPr>
            <w:tcW w:w="1783" w:type="dxa"/>
            <w:vAlign w:val="center"/>
          </w:tcPr>
          <w:p w14:paraId="2963C67C">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开、竣工日期</w:t>
            </w:r>
          </w:p>
        </w:tc>
        <w:tc>
          <w:tcPr>
            <w:tcW w:w="1386" w:type="dxa"/>
            <w:vAlign w:val="center"/>
          </w:tcPr>
          <w:p w14:paraId="10F97638">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质量等级</w:t>
            </w:r>
          </w:p>
        </w:tc>
      </w:tr>
      <w:tr w14:paraId="7D6C5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center"/>
          </w:tcPr>
          <w:p w14:paraId="499EFAF8">
            <w:pPr>
              <w:keepNext w:val="0"/>
              <w:keepLines w:val="0"/>
              <w:pageBreakBefore w:val="0"/>
              <w:widowControl/>
              <w:kinsoku w:val="0"/>
              <w:wordWrap w:val="0"/>
              <w:overflowPunct/>
              <w:topLinePunct w:val="0"/>
              <w:autoSpaceDE w:val="0"/>
              <w:autoSpaceDN w:val="0"/>
              <w:bidi w:val="0"/>
              <w:adjustRightInd w:val="0"/>
              <w:snapToGrid w:val="0"/>
              <w:spacing w:before="214"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1610" w:type="dxa"/>
            <w:gridSpan w:val="2"/>
            <w:vAlign w:val="center"/>
          </w:tcPr>
          <w:p w14:paraId="5ADA09A6">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53E6CACD">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3213B51A">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71B1F1C7">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32394E3A">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12459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810" w:type="dxa"/>
            <w:vAlign w:val="center"/>
          </w:tcPr>
          <w:p w14:paraId="4DAC59FB">
            <w:pPr>
              <w:keepNext w:val="0"/>
              <w:keepLines w:val="0"/>
              <w:pageBreakBefore w:val="0"/>
              <w:widowControl/>
              <w:kinsoku w:val="0"/>
              <w:wordWrap w:val="0"/>
              <w:overflowPunct/>
              <w:topLinePunct w:val="0"/>
              <w:autoSpaceDE w:val="0"/>
              <w:autoSpaceDN w:val="0"/>
              <w:bidi w:val="0"/>
              <w:adjustRightInd w:val="0"/>
              <w:snapToGrid w:val="0"/>
              <w:spacing w:before="213"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1610" w:type="dxa"/>
            <w:gridSpan w:val="2"/>
            <w:vAlign w:val="center"/>
          </w:tcPr>
          <w:p w14:paraId="5602C398">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44161251">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6EB9A68B">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7C254F86">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03A09BAF">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3D025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center"/>
          </w:tcPr>
          <w:p w14:paraId="454FA703">
            <w:pPr>
              <w:keepNext w:val="0"/>
              <w:keepLines w:val="0"/>
              <w:pageBreakBefore w:val="0"/>
              <w:widowControl/>
              <w:kinsoku w:val="0"/>
              <w:wordWrap w:val="0"/>
              <w:overflowPunct/>
              <w:topLinePunct w:val="0"/>
              <w:autoSpaceDE w:val="0"/>
              <w:autoSpaceDN w:val="0"/>
              <w:bidi w:val="0"/>
              <w:adjustRightInd w:val="0"/>
              <w:snapToGrid w:val="0"/>
              <w:spacing w:before="178" w:line="324" w:lineRule="exact"/>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w:t>
            </w:r>
          </w:p>
        </w:tc>
        <w:tc>
          <w:tcPr>
            <w:tcW w:w="1610" w:type="dxa"/>
            <w:gridSpan w:val="2"/>
            <w:vAlign w:val="center"/>
          </w:tcPr>
          <w:p w14:paraId="6C5FB048">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32104855">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578C559F">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0B5BBA7A">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46214A3F">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530FF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center"/>
          </w:tcPr>
          <w:p w14:paraId="7063B7A0">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610" w:type="dxa"/>
            <w:gridSpan w:val="2"/>
            <w:vAlign w:val="center"/>
          </w:tcPr>
          <w:p w14:paraId="23F285BF">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2F8026D2">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579A464E">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32346207">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6B220A84">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18E3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10" w:type="dxa"/>
            <w:vAlign w:val="center"/>
          </w:tcPr>
          <w:p w14:paraId="2B85EE54">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610" w:type="dxa"/>
            <w:gridSpan w:val="2"/>
            <w:vAlign w:val="center"/>
          </w:tcPr>
          <w:p w14:paraId="07FBE6FB">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77A52A6A">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386A4A2B">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539B9F06">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315CA8B1">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bl>
    <w:p w14:paraId="0667A4AA">
      <w:pPr>
        <w:pStyle w:val="6"/>
        <w:keepNext w:val="0"/>
        <w:keepLines w:val="0"/>
        <w:pageBreakBefore w:val="0"/>
        <w:wordWrap w:val="0"/>
        <w:overflowPunct/>
        <w:topLinePunct w:val="0"/>
        <w:bidi w:val="0"/>
        <w:spacing w:line="314" w:lineRule="auto"/>
        <w:rPr>
          <w:rFonts w:hint="eastAsia" w:ascii="宋体" w:hAnsi="宋体" w:eastAsia="宋体" w:cs="宋体"/>
          <w:color w:val="auto"/>
          <w:spacing w:val="0"/>
          <w:sz w:val="24"/>
          <w:szCs w:val="24"/>
          <w:highlight w:val="none"/>
        </w:rPr>
      </w:pPr>
    </w:p>
    <w:p w14:paraId="051EFE34">
      <w:pPr>
        <w:pStyle w:val="6"/>
        <w:keepNext w:val="0"/>
        <w:keepLines w:val="0"/>
        <w:pageBreakBefore w:val="0"/>
        <w:wordWrap w:val="0"/>
        <w:overflowPunct/>
        <w:topLinePunct w:val="0"/>
        <w:bidi w:val="0"/>
        <w:spacing w:line="315" w:lineRule="auto"/>
        <w:rPr>
          <w:rFonts w:hint="eastAsia" w:ascii="宋体" w:hAnsi="宋体" w:eastAsia="宋体" w:cs="宋体"/>
          <w:color w:val="auto"/>
          <w:spacing w:val="0"/>
          <w:sz w:val="24"/>
          <w:szCs w:val="24"/>
          <w:highlight w:val="none"/>
        </w:rPr>
      </w:pPr>
    </w:p>
    <w:p w14:paraId="75AB57A7">
      <w:pPr>
        <w:keepNext w:val="0"/>
        <w:keepLines w:val="0"/>
        <w:pageBreakBefore w:val="0"/>
        <w:wordWrap w:val="0"/>
        <w:overflowPunct/>
        <w:topLinePunct w:val="0"/>
        <w:bidi w:val="0"/>
        <w:spacing w:before="78" w:line="220" w:lineRule="auto"/>
        <w:ind w:left="5165"/>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项目技术负责人：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w:t>
      </w:r>
    </w:p>
    <w:p w14:paraId="025168AE">
      <w:pPr>
        <w:pStyle w:val="6"/>
        <w:keepNext w:val="0"/>
        <w:keepLines w:val="0"/>
        <w:pageBreakBefore w:val="0"/>
        <w:wordWrap w:val="0"/>
        <w:overflowPunct/>
        <w:topLinePunct w:val="0"/>
        <w:bidi w:val="0"/>
        <w:spacing w:line="256" w:lineRule="auto"/>
        <w:jc w:val="right"/>
        <w:rPr>
          <w:rFonts w:hint="eastAsia" w:ascii="宋体" w:hAnsi="宋体" w:eastAsia="宋体" w:cs="宋体"/>
          <w:color w:val="auto"/>
          <w:spacing w:val="0"/>
          <w:sz w:val="24"/>
          <w:szCs w:val="24"/>
          <w:highlight w:val="none"/>
        </w:rPr>
      </w:pPr>
    </w:p>
    <w:p w14:paraId="04AE2F4B">
      <w:pPr>
        <w:pStyle w:val="6"/>
        <w:keepNext w:val="0"/>
        <w:keepLines w:val="0"/>
        <w:pageBreakBefore w:val="0"/>
        <w:wordWrap w:val="0"/>
        <w:overflowPunct/>
        <w:topLinePunct w:val="0"/>
        <w:bidi w:val="0"/>
        <w:spacing w:line="257" w:lineRule="auto"/>
        <w:jc w:val="right"/>
        <w:rPr>
          <w:rFonts w:hint="eastAsia" w:ascii="宋体" w:hAnsi="宋体" w:eastAsia="宋体" w:cs="宋体"/>
          <w:color w:val="auto"/>
          <w:spacing w:val="0"/>
          <w:sz w:val="24"/>
          <w:szCs w:val="24"/>
          <w:highlight w:val="none"/>
        </w:rPr>
      </w:pPr>
    </w:p>
    <w:p w14:paraId="4F85C3AC">
      <w:pPr>
        <w:pStyle w:val="6"/>
        <w:keepNext w:val="0"/>
        <w:keepLines w:val="0"/>
        <w:pageBreakBefore w:val="0"/>
        <w:wordWrap w:val="0"/>
        <w:overflowPunct/>
        <w:topLinePunct w:val="0"/>
        <w:bidi w:val="0"/>
        <w:spacing w:line="254" w:lineRule="auto"/>
        <w:jc w:val="right"/>
        <w:rPr>
          <w:rFonts w:hint="eastAsia" w:ascii="宋体" w:hAnsi="宋体" w:eastAsia="宋体" w:cs="宋体"/>
          <w:color w:val="auto"/>
          <w:spacing w:val="0"/>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200BDE3C">
      <w:pPr>
        <w:keepNext w:val="0"/>
        <w:keepLines w:val="0"/>
        <w:pageBreakBefore w:val="0"/>
        <w:widowControl/>
        <w:kinsoku w:val="0"/>
        <w:wordWrap w:val="0"/>
        <w:overflowPunct/>
        <w:topLinePunct w:val="0"/>
        <w:autoSpaceDE w:val="0"/>
        <w:autoSpaceDN w:val="0"/>
        <w:bidi w:val="0"/>
        <w:adjustRightInd/>
        <w:snapToGrid/>
        <w:spacing w:before="65"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说明：《项目技术负责人简历表》后应附拟派项目技术负责人以下资料：</w:t>
      </w:r>
    </w:p>
    <w:p w14:paraId="4CC3C7D8">
      <w:pPr>
        <w:keepNext w:val="0"/>
        <w:keepLines w:val="0"/>
        <w:pageBreakBefore w:val="0"/>
        <w:widowControl/>
        <w:kinsoku w:val="0"/>
        <w:wordWrap w:val="0"/>
        <w:overflowPunct/>
        <w:topLinePunct w:val="0"/>
        <w:autoSpaceDE w:val="0"/>
        <w:autoSpaceDN w:val="0"/>
        <w:bidi w:val="0"/>
        <w:adjustRightInd/>
        <w:snapToGrid/>
        <w:spacing w:before="155"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 ．身份证彩色扫描件；</w:t>
      </w:r>
    </w:p>
    <w:p w14:paraId="32AA95EF">
      <w:pPr>
        <w:keepNext w:val="0"/>
        <w:keepLines w:val="0"/>
        <w:pageBreakBefore w:val="0"/>
        <w:widowControl/>
        <w:kinsoku w:val="0"/>
        <w:wordWrap w:val="0"/>
        <w:overflowPunct/>
        <w:topLinePunct w:val="0"/>
        <w:autoSpaceDE w:val="0"/>
        <w:autoSpaceDN w:val="0"/>
        <w:bidi w:val="0"/>
        <w:adjustRightInd/>
        <w:snapToGrid/>
        <w:spacing w:before="151"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．职称证彩色扫描件；</w:t>
      </w:r>
    </w:p>
    <w:p w14:paraId="0F4111DC">
      <w:pPr>
        <w:keepNext w:val="0"/>
        <w:keepLines w:val="0"/>
        <w:pageBreakBefore w:val="0"/>
        <w:widowControl/>
        <w:kinsoku w:val="0"/>
        <w:wordWrap w:val="0"/>
        <w:overflowPunct/>
        <w:topLinePunct w:val="0"/>
        <w:autoSpaceDE w:val="0"/>
        <w:autoSpaceDN w:val="0"/>
        <w:bidi w:val="0"/>
        <w:adjustRightInd/>
        <w:snapToGrid/>
        <w:spacing w:before="153"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 ．在本单位缴纳社保的证明（</w:t>
      </w:r>
      <w:r>
        <w:rPr>
          <w:rFonts w:hint="eastAsia" w:ascii="宋体" w:hAnsi="宋体" w:eastAsia="宋体" w:cs="宋体"/>
          <w:color w:val="auto"/>
          <w:spacing w:val="0"/>
          <w:sz w:val="24"/>
          <w:szCs w:val="24"/>
          <w:highlight w:val="none"/>
          <w:lang w:eastAsia="zh-CN"/>
        </w:rPr>
        <w:t>至少</w:t>
      </w: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lang w:eastAsia="zh-CN"/>
        </w:rPr>
        <w:t>个月</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其中必须有 2026年</w:t>
      </w:r>
      <w:r>
        <w:rPr>
          <w:rFonts w:hint="eastAsia" w:ascii="宋体" w:hAnsi="宋体" w:eastAsia="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lang w:eastAsia="zh-CN"/>
        </w:rPr>
        <w:t>月</w:t>
      </w:r>
      <w:r>
        <w:rPr>
          <w:rFonts w:hint="eastAsia" w:ascii="宋体" w:hAnsi="宋体" w:eastAsia="宋体" w:cs="宋体"/>
          <w:color w:val="auto"/>
          <w:spacing w:val="0"/>
          <w:sz w:val="24"/>
          <w:szCs w:val="24"/>
          <w:highlight w:val="none"/>
        </w:rPr>
        <w:t>）扫描件</w:t>
      </w:r>
      <w:r>
        <w:rPr>
          <w:rFonts w:hint="eastAsia" w:ascii="宋体" w:hAnsi="宋体" w:eastAsia="宋体" w:cs="宋体"/>
          <w:color w:val="auto"/>
          <w:spacing w:val="0"/>
          <w:sz w:val="24"/>
          <w:szCs w:val="24"/>
          <w:highlight w:val="none"/>
          <w:lang w:val="en-US" w:eastAsia="zh-CN"/>
        </w:rPr>
        <w:t>或打印件</w:t>
      </w:r>
      <w:r>
        <w:rPr>
          <w:rFonts w:hint="eastAsia" w:ascii="宋体" w:hAnsi="宋体" w:eastAsia="宋体" w:cs="宋体"/>
          <w:color w:val="auto"/>
          <w:spacing w:val="0"/>
          <w:sz w:val="24"/>
          <w:szCs w:val="24"/>
          <w:highlight w:val="none"/>
        </w:rPr>
        <w:t>。 拟派项目技术负责人为退休返聘人员无法提供社保证明的，提供退休证和劳动合同彩色扫描件。</w:t>
      </w:r>
    </w:p>
    <w:p w14:paraId="4B6AA54F">
      <w:pPr>
        <w:keepNext w:val="0"/>
        <w:keepLines w:val="0"/>
        <w:pageBreakBefore w:val="0"/>
        <w:widowControl/>
        <w:kinsoku w:val="0"/>
        <w:wordWrap w:val="0"/>
        <w:overflowPunct/>
        <w:topLinePunct w:val="0"/>
        <w:autoSpaceDE w:val="0"/>
        <w:autoSpaceDN w:val="0"/>
        <w:bidi w:val="0"/>
        <w:adjustRightInd/>
        <w:snapToGrid/>
        <w:spacing w:before="153"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 ．“进粤企业和人员诚信信息登记平台 ”个人信息情况截图。（适用于省外建筑企业）</w:t>
      </w:r>
    </w:p>
    <w:p w14:paraId="171B3FE7">
      <w:pPr>
        <w:keepNext w:val="0"/>
        <w:keepLines w:val="0"/>
        <w:pageBreakBefore w:val="0"/>
        <w:wordWrap w:val="0"/>
        <w:overflowPunct/>
        <w:topLinePunct w:val="0"/>
        <w:bidi w:val="0"/>
        <w:spacing w:line="228" w:lineRule="auto"/>
        <w:rPr>
          <w:rFonts w:hint="eastAsia" w:ascii="宋体" w:hAnsi="宋体" w:eastAsia="宋体" w:cs="宋体"/>
          <w:color w:val="auto"/>
          <w:spacing w:val="0"/>
          <w:sz w:val="20"/>
          <w:szCs w:val="20"/>
          <w:highlight w:val="none"/>
        </w:rPr>
        <w:sectPr>
          <w:footerReference r:id="rId21"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7119289E">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51" w:name="_Toc27504"/>
      <w:r>
        <w:rPr>
          <w:rFonts w:hint="eastAsia" w:ascii="宋体" w:hAnsi="宋体" w:eastAsia="宋体" w:cs="宋体"/>
          <w:b/>
          <w:bCs/>
          <w:color w:val="auto"/>
          <w:spacing w:val="0"/>
          <w:sz w:val="24"/>
          <w:szCs w:val="24"/>
          <w:highlight w:val="none"/>
        </w:rPr>
        <w:t>格式十一 项目管理机构组成表</w:t>
      </w:r>
      <w:bookmarkEnd w:id="251"/>
    </w:p>
    <w:p w14:paraId="72EA281F">
      <w:pPr>
        <w:pStyle w:val="6"/>
        <w:keepNext w:val="0"/>
        <w:keepLines w:val="0"/>
        <w:pageBreakBefore w:val="0"/>
        <w:wordWrap w:val="0"/>
        <w:overflowPunct/>
        <w:topLinePunct w:val="0"/>
        <w:bidi w:val="0"/>
        <w:spacing w:line="351" w:lineRule="auto"/>
        <w:rPr>
          <w:rFonts w:hint="eastAsia" w:ascii="宋体" w:hAnsi="宋体" w:eastAsia="宋体" w:cs="宋体"/>
          <w:color w:val="auto"/>
          <w:spacing w:val="0"/>
          <w:highlight w:val="none"/>
        </w:rPr>
      </w:pPr>
    </w:p>
    <w:p w14:paraId="3BAB61AF">
      <w:pPr>
        <w:pStyle w:val="6"/>
        <w:keepNext w:val="0"/>
        <w:keepLines w:val="0"/>
        <w:pageBreakBefore w:val="0"/>
        <w:wordWrap w:val="0"/>
        <w:overflowPunct/>
        <w:topLinePunct w:val="0"/>
        <w:bidi w:val="0"/>
        <w:spacing w:line="351" w:lineRule="auto"/>
        <w:rPr>
          <w:rFonts w:hint="eastAsia" w:ascii="宋体" w:hAnsi="宋体" w:eastAsia="宋体" w:cs="宋体"/>
          <w:color w:val="auto"/>
          <w:spacing w:val="0"/>
          <w:highlight w:val="none"/>
        </w:rPr>
      </w:pPr>
    </w:p>
    <w:p w14:paraId="3A5B9122">
      <w:pPr>
        <w:keepNext w:val="0"/>
        <w:keepLines w:val="0"/>
        <w:pageBreakBefore w:val="0"/>
        <w:wordWrap w:val="0"/>
        <w:overflowPunct/>
        <w:topLinePunct w:val="0"/>
        <w:bidi w:val="0"/>
        <w:spacing w:before="97" w:line="219" w:lineRule="auto"/>
        <w:ind w:left="3200"/>
        <w:outlineLvl w:val="9"/>
        <w:rPr>
          <w:rFonts w:hint="eastAsia" w:ascii="宋体" w:hAnsi="宋体" w:eastAsia="宋体" w:cs="宋体"/>
          <w:color w:val="auto"/>
          <w:spacing w:val="0"/>
          <w:sz w:val="30"/>
          <w:szCs w:val="30"/>
          <w:highlight w:val="none"/>
        </w:rPr>
      </w:pPr>
      <w:bookmarkStart w:id="252" w:name="bookmark158"/>
      <w:bookmarkEnd w:id="252"/>
      <w:bookmarkStart w:id="253" w:name="_Toc28765"/>
      <w:bookmarkStart w:id="254" w:name="_Toc19973"/>
      <w:r>
        <w:rPr>
          <w:rFonts w:hint="eastAsia" w:ascii="宋体" w:hAnsi="宋体" w:eastAsia="宋体" w:cs="宋体"/>
          <w:b/>
          <w:bCs/>
          <w:color w:val="auto"/>
          <w:spacing w:val="0"/>
          <w:sz w:val="30"/>
          <w:szCs w:val="30"/>
          <w:highlight w:val="none"/>
        </w:rPr>
        <w:t>项目管理机构组成表</w:t>
      </w:r>
      <w:bookmarkEnd w:id="253"/>
      <w:bookmarkEnd w:id="254"/>
    </w:p>
    <w:p w14:paraId="6443FF59">
      <w:pPr>
        <w:keepNext w:val="0"/>
        <w:keepLines w:val="0"/>
        <w:pageBreakBefore w:val="0"/>
        <w:wordWrap w:val="0"/>
        <w:overflowPunct/>
        <w:topLinePunct w:val="0"/>
        <w:bidi w:val="0"/>
        <w:spacing w:before="7"/>
        <w:rPr>
          <w:rFonts w:hint="eastAsia" w:ascii="宋体" w:hAnsi="宋体" w:eastAsia="宋体" w:cs="宋体"/>
          <w:color w:val="auto"/>
          <w:spacing w:val="0"/>
          <w:highlight w:val="none"/>
        </w:rPr>
      </w:pPr>
    </w:p>
    <w:tbl>
      <w:tblPr>
        <w:tblStyle w:val="15"/>
        <w:tblW w:w="96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939"/>
        <w:gridCol w:w="1567"/>
        <w:gridCol w:w="1017"/>
        <w:gridCol w:w="1002"/>
        <w:gridCol w:w="1551"/>
        <w:gridCol w:w="1926"/>
      </w:tblGrid>
      <w:tr w14:paraId="62123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634" w:type="dxa"/>
            <w:vAlign w:val="center"/>
          </w:tcPr>
          <w:p w14:paraId="6E3F51CF">
            <w:pPr>
              <w:keepNext w:val="0"/>
              <w:keepLines w:val="0"/>
              <w:pageBreakBefore w:val="0"/>
              <w:widowControl/>
              <w:kinsoku w:val="0"/>
              <w:wordWrap w:val="0"/>
              <w:overflowPunct/>
              <w:topLinePunct w:val="0"/>
              <w:autoSpaceDE w:val="0"/>
              <w:autoSpaceDN w:val="0"/>
              <w:bidi w:val="0"/>
              <w:adjustRightInd w:val="0"/>
              <w:snapToGrid w:val="0"/>
              <w:spacing w:before="229" w:line="231"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序号</w:t>
            </w:r>
          </w:p>
        </w:tc>
        <w:tc>
          <w:tcPr>
            <w:tcW w:w="1939" w:type="dxa"/>
            <w:vAlign w:val="center"/>
          </w:tcPr>
          <w:p w14:paraId="70840A8B">
            <w:pPr>
              <w:keepNext w:val="0"/>
              <w:keepLines w:val="0"/>
              <w:pageBreakBefore w:val="0"/>
              <w:widowControl/>
              <w:kinsoku w:val="0"/>
              <w:wordWrap w:val="0"/>
              <w:overflowPunct/>
              <w:topLinePunct w:val="0"/>
              <w:autoSpaceDE w:val="0"/>
              <w:autoSpaceDN w:val="0"/>
              <w:bidi w:val="0"/>
              <w:adjustRightInd w:val="0"/>
              <w:snapToGrid w:val="0"/>
              <w:spacing w:before="228" w:line="231"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岗位</w:t>
            </w:r>
          </w:p>
        </w:tc>
        <w:tc>
          <w:tcPr>
            <w:tcW w:w="1567" w:type="dxa"/>
            <w:vAlign w:val="center"/>
          </w:tcPr>
          <w:p w14:paraId="32A36FDF">
            <w:pPr>
              <w:keepNext w:val="0"/>
              <w:keepLines w:val="0"/>
              <w:pageBreakBefore w:val="0"/>
              <w:widowControl/>
              <w:kinsoku w:val="0"/>
              <w:wordWrap w:val="0"/>
              <w:overflowPunct/>
              <w:topLinePunct w:val="0"/>
              <w:autoSpaceDE w:val="0"/>
              <w:autoSpaceDN w:val="0"/>
              <w:bidi w:val="0"/>
              <w:adjustRightInd w:val="0"/>
              <w:snapToGrid w:val="0"/>
              <w:spacing w:before="228" w:line="231"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姓名</w:t>
            </w:r>
          </w:p>
        </w:tc>
        <w:tc>
          <w:tcPr>
            <w:tcW w:w="1017" w:type="dxa"/>
            <w:vAlign w:val="center"/>
          </w:tcPr>
          <w:p w14:paraId="46CA79C0">
            <w:pPr>
              <w:keepNext w:val="0"/>
              <w:keepLines w:val="0"/>
              <w:pageBreakBefore w:val="0"/>
              <w:widowControl/>
              <w:kinsoku w:val="0"/>
              <w:wordWrap w:val="0"/>
              <w:overflowPunct/>
              <w:topLinePunct w:val="0"/>
              <w:autoSpaceDE w:val="0"/>
              <w:autoSpaceDN w:val="0"/>
              <w:bidi w:val="0"/>
              <w:adjustRightInd w:val="0"/>
              <w:snapToGrid w:val="0"/>
              <w:spacing w:before="228" w:line="230"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性别</w:t>
            </w:r>
          </w:p>
        </w:tc>
        <w:tc>
          <w:tcPr>
            <w:tcW w:w="1002" w:type="dxa"/>
            <w:vAlign w:val="center"/>
          </w:tcPr>
          <w:p w14:paraId="7DFB693F">
            <w:pPr>
              <w:keepNext w:val="0"/>
              <w:keepLines w:val="0"/>
              <w:pageBreakBefore w:val="0"/>
              <w:widowControl/>
              <w:kinsoku w:val="0"/>
              <w:wordWrap w:val="0"/>
              <w:overflowPunct/>
              <w:topLinePunct w:val="0"/>
              <w:autoSpaceDE w:val="0"/>
              <w:autoSpaceDN w:val="0"/>
              <w:bidi w:val="0"/>
              <w:adjustRightInd w:val="0"/>
              <w:snapToGrid w:val="0"/>
              <w:spacing w:before="229" w:line="231"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年龄</w:t>
            </w:r>
          </w:p>
        </w:tc>
        <w:tc>
          <w:tcPr>
            <w:tcW w:w="1551" w:type="dxa"/>
            <w:vAlign w:val="center"/>
          </w:tcPr>
          <w:p w14:paraId="0DFD0FC9">
            <w:pPr>
              <w:keepNext w:val="0"/>
              <w:keepLines w:val="0"/>
              <w:pageBreakBefore w:val="0"/>
              <w:widowControl/>
              <w:kinsoku w:val="0"/>
              <w:wordWrap w:val="0"/>
              <w:overflowPunct/>
              <w:topLinePunct w:val="0"/>
              <w:autoSpaceDE w:val="0"/>
              <w:autoSpaceDN w:val="0"/>
              <w:bidi w:val="0"/>
              <w:adjustRightInd w:val="0"/>
              <w:snapToGrid w:val="0"/>
              <w:spacing w:before="228" w:line="230"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职称</w:t>
            </w:r>
          </w:p>
        </w:tc>
        <w:tc>
          <w:tcPr>
            <w:tcW w:w="1926" w:type="dxa"/>
            <w:vAlign w:val="center"/>
          </w:tcPr>
          <w:p w14:paraId="55F7EA65">
            <w:pPr>
              <w:keepNext w:val="0"/>
              <w:keepLines w:val="0"/>
              <w:pageBreakBefore w:val="0"/>
              <w:widowControl/>
              <w:kinsoku w:val="0"/>
              <w:wordWrap w:val="0"/>
              <w:overflowPunct/>
              <w:topLinePunct w:val="0"/>
              <w:autoSpaceDE w:val="0"/>
              <w:autoSpaceDN w:val="0"/>
              <w:bidi w:val="0"/>
              <w:adjustRightInd w:val="0"/>
              <w:snapToGrid w:val="0"/>
              <w:spacing w:before="228" w:line="230"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备注</w:t>
            </w:r>
          </w:p>
        </w:tc>
      </w:tr>
      <w:tr w14:paraId="3C5E1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center"/>
          </w:tcPr>
          <w:p w14:paraId="4847F33D">
            <w:pPr>
              <w:keepNext w:val="0"/>
              <w:keepLines w:val="0"/>
              <w:pageBreakBefore w:val="0"/>
              <w:widowControl/>
              <w:kinsoku w:val="0"/>
              <w:wordWrap w:val="0"/>
              <w:overflowPunct/>
              <w:topLinePunct w:val="0"/>
              <w:autoSpaceDE w:val="0"/>
              <w:autoSpaceDN w:val="0"/>
              <w:bidi w:val="0"/>
              <w:adjustRightInd w:val="0"/>
              <w:snapToGrid w:val="0"/>
              <w:spacing w:before="185"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1939" w:type="dxa"/>
            <w:vAlign w:val="center"/>
          </w:tcPr>
          <w:p w14:paraId="2FE7C559">
            <w:pPr>
              <w:keepNext w:val="0"/>
              <w:keepLines w:val="0"/>
              <w:pageBreakBefore w:val="0"/>
              <w:widowControl/>
              <w:kinsoku w:val="0"/>
              <w:wordWrap w:val="0"/>
              <w:overflowPunct/>
              <w:topLinePunct w:val="0"/>
              <w:autoSpaceDE w:val="0"/>
              <w:autoSpaceDN w:val="0"/>
              <w:bidi w:val="0"/>
              <w:adjustRightInd w:val="0"/>
              <w:snapToGrid w:val="0"/>
              <w:spacing w:before="150"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项目经理</w:t>
            </w:r>
          </w:p>
        </w:tc>
        <w:tc>
          <w:tcPr>
            <w:tcW w:w="1567" w:type="dxa"/>
            <w:vAlign w:val="center"/>
          </w:tcPr>
          <w:p w14:paraId="2D179AD7">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5824F68F">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38FAF52C">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0EE0EF07">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2C34DDD3">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093E6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634" w:type="dxa"/>
            <w:vAlign w:val="center"/>
          </w:tcPr>
          <w:p w14:paraId="6DC38B23">
            <w:pPr>
              <w:keepNext w:val="0"/>
              <w:keepLines w:val="0"/>
              <w:pageBreakBefore w:val="0"/>
              <w:widowControl/>
              <w:kinsoku w:val="0"/>
              <w:wordWrap w:val="0"/>
              <w:overflowPunct/>
              <w:topLinePunct w:val="0"/>
              <w:autoSpaceDE w:val="0"/>
              <w:autoSpaceDN w:val="0"/>
              <w:bidi w:val="0"/>
              <w:adjustRightInd w:val="0"/>
              <w:snapToGrid w:val="0"/>
              <w:spacing w:before="187"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1939" w:type="dxa"/>
            <w:vAlign w:val="center"/>
          </w:tcPr>
          <w:p w14:paraId="5504BA64">
            <w:pPr>
              <w:keepNext w:val="0"/>
              <w:keepLines w:val="0"/>
              <w:pageBreakBefore w:val="0"/>
              <w:widowControl/>
              <w:kinsoku w:val="0"/>
              <w:wordWrap w:val="0"/>
              <w:overflowPunct/>
              <w:topLinePunct w:val="0"/>
              <w:autoSpaceDE w:val="0"/>
              <w:autoSpaceDN w:val="0"/>
              <w:bidi w:val="0"/>
              <w:adjustRightInd w:val="0"/>
              <w:snapToGrid w:val="0"/>
              <w:spacing w:before="152"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项目技术负责人</w:t>
            </w:r>
          </w:p>
        </w:tc>
        <w:tc>
          <w:tcPr>
            <w:tcW w:w="1567" w:type="dxa"/>
            <w:vAlign w:val="center"/>
          </w:tcPr>
          <w:p w14:paraId="39D0A696">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0B5E02F0">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543BE366">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35D293AF">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4F9B82AC">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0D1F3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center"/>
          </w:tcPr>
          <w:p w14:paraId="0114A82A">
            <w:pPr>
              <w:keepNext w:val="0"/>
              <w:keepLines w:val="0"/>
              <w:pageBreakBefore w:val="0"/>
              <w:widowControl/>
              <w:kinsoku w:val="0"/>
              <w:wordWrap w:val="0"/>
              <w:overflowPunct/>
              <w:topLinePunct w:val="0"/>
              <w:autoSpaceDE w:val="0"/>
              <w:autoSpaceDN w:val="0"/>
              <w:bidi w:val="0"/>
              <w:adjustRightInd w:val="0"/>
              <w:snapToGrid w:val="0"/>
              <w:spacing w:before="189" w:line="195" w:lineRule="auto"/>
              <w:ind w:left="0"/>
              <w:jc w:val="center"/>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3</w:t>
            </w:r>
          </w:p>
        </w:tc>
        <w:tc>
          <w:tcPr>
            <w:tcW w:w="1939" w:type="dxa"/>
            <w:vAlign w:val="center"/>
          </w:tcPr>
          <w:p w14:paraId="342D613A">
            <w:pPr>
              <w:keepNext w:val="0"/>
              <w:keepLines w:val="0"/>
              <w:pageBreakBefore w:val="0"/>
              <w:widowControl/>
              <w:kinsoku w:val="0"/>
              <w:wordWrap w:val="0"/>
              <w:overflowPunct/>
              <w:topLinePunct w:val="0"/>
              <w:autoSpaceDE w:val="0"/>
              <w:autoSpaceDN w:val="0"/>
              <w:bidi w:val="0"/>
              <w:adjustRightInd w:val="0"/>
              <w:snapToGrid w:val="0"/>
              <w:spacing w:before="153"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专职安全员</w:t>
            </w:r>
          </w:p>
        </w:tc>
        <w:tc>
          <w:tcPr>
            <w:tcW w:w="1567" w:type="dxa"/>
            <w:vAlign w:val="center"/>
          </w:tcPr>
          <w:p w14:paraId="713505ED">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0FBE0797">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3091553A">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404815E0">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63FA1459">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15E3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center"/>
          </w:tcPr>
          <w:p w14:paraId="6D81841D">
            <w:pPr>
              <w:keepNext w:val="0"/>
              <w:keepLines w:val="0"/>
              <w:pageBreakBefore w:val="0"/>
              <w:widowControl/>
              <w:kinsoku w:val="0"/>
              <w:wordWrap w:val="0"/>
              <w:overflowPunct/>
              <w:topLinePunct w:val="0"/>
              <w:autoSpaceDE w:val="0"/>
              <w:autoSpaceDN w:val="0"/>
              <w:bidi w:val="0"/>
              <w:adjustRightInd w:val="0"/>
              <w:snapToGrid w:val="0"/>
              <w:spacing w:before="188"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w:t>
            </w:r>
          </w:p>
        </w:tc>
        <w:tc>
          <w:tcPr>
            <w:tcW w:w="1939" w:type="dxa"/>
            <w:vAlign w:val="center"/>
          </w:tcPr>
          <w:p w14:paraId="68BF5D12">
            <w:pPr>
              <w:keepNext w:val="0"/>
              <w:keepLines w:val="0"/>
              <w:pageBreakBefore w:val="0"/>
              <w:widowControl/>
              <w:kinsoku w:val="0"/>
              <w:wordWrap w:val="0"/>
              <w:overflowPunct/>
              <w:topLinePunct w:val="0"/>
              <w:autoSpaceDE w:val="0"/>
              <w:autoSpaceDN w:val="0"/>
              <w:bidi w:val="0"/>
              <w:adjustRightInd w:val="0"/>
              <w:snapToGrid w:val="0"/>
              <w:spacing w:before="152"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施工员</w:t>
            </w:r>
          </w:p>
        </w:tc>
        <w:tc>
          <w:tcPr>
            <w:tcW w:w="1567" w:type="dxa"/>
            <w:vAlign w:val="center"/>
          </w:tcPr>
          <w:p w14:paraId="5381625C">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6C90DAA4">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0CE3B76D">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04613734">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184D418F">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574C6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center"/>
          </w:tcPr>
          <w:p w14:paraId="65F3A49E">
            <w:pPr>
              <w:keepNext w:val="0"/>
              <w:keepLines w:val="0"/>
              <w:pageBreakBefore w:val="0"/>
              <w:widowControl/>
              <w:kinsoku w:val="0"/>
              <w:wordWrap w:val="0"/>
              <w:overflowPunct/>
              <w:topLinePunct w:val="0"/>
              <w:autoSpaceDE w:val="0"/>
              <w:autoSpaceDN w:val="0"/>
              <w:bidi w:val="0"/>
              <w:adjustRightInd w:val="0"/>
              <w:snapToGrid w:val="0"/>
              <w:spacing w:before="193" w:line="192"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w:t>
            </w:r>
          </w:p>
        </w:tc>
        <w:tc>
          <w:tcPr>
            <w:tcW w:w="1939" w:type="dxa"/>
            <w:vAlign w:val="center"/>
          </w:tcPr>
          <w:p w14:paraId="71A9343D">
            <w:pPr>
              <w:keepNext w:val="0"/>
              <w:keepLines w:val="0"/>
              <w:pageBreakBefore w:val="0"/>
              <w:widowControl/>
              <w:kinsoku w:val="0"/>
              <w:wordWrap w:val="0"/>
              <w:overflowPunct/>
              <w:topLinePunct w:val="0"/>
              <w:autoSpaceDE w:val="0"/>
              <w:autoSpaceDN w:val="0"/>
              <w:bidi w:val="0"/>
              <w:adjustRightInd w:val="0"/>
              <w:snapToGrid w:val="0"/>
              <w:spacing w:before="154"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质量员</w:t>
            </w:r>
          </w:p>
        </w:tc>
        <w:tc>
          <w:tcPr>
            <w:tcW w:w="1567" w:type="dxa"/>
            <w:vAlign w:val="center"/>
          </w:tcPr>
          <w:p w14:paraId="4FFD4F72">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4A9577DC">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01D2346F">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541E8838">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52D22F9D">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0FB6B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center"/>
          </w:tcPr>
          <w:p w14:paraId="0357985B">
            <w:pPr>
              <w:keepNext w:val="0"/>
              <w:keepLines w:val="0"/>
              <w:pageBreakBefore w:val="0"/>
              <w:widowControl/>
              <w:kinsoku w:val="0"/>
              <w:wordWrap w:val="0"/>
              <w:overflowPunct/>
              <w:topLinePunct w:val="0"/>
              <w:autoSpaceDE w:val="0"/>
              <w:autoSpaceDN w:val="0"/>
              <w:bidi w:val="0"/>
              <w:adjustRightInd w:val="0"/>
              <w:snapToGrid w:val="0"/>
              <w:spacing w:before="191"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w:t>
            </w:r>
          </w:p>
        </w:tc>
        <w:tc>
          <w:tcPr>
            <w:tcW w:w="1939" w:type="dxa"/>
            <w:vAlign w:val="center"/>
          </w:tcPr>
          <w:p w14:paraId="134FEF29">
            <w:pPr>
              <w:keepNext w:val="0"/>
              <w:keepLines w:val="0"/>
              <w:pageBreakBefore w:val="0"/>
              <w:widowControl/>
              <w:kinsoku w:val="0"/>
              <w:wordWrap w:val="0"/>
              <w:overflowPunct/>
              <w:topLinePunct w:val="0"/>
              <w:autoSpaceDE w:val="0"/>
              <w:autoSpaceDN w:val="0"/>
              <w:bidi w:val="0"/>
              <w:adjustRightInd w:val="0"/>
              <w:snapToGrid w:val="0"/>
              <w:spacing w:before="155"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材料员</w:t>
            </w:r>
          </w:p>
        </w:tc>
        <w:tc>
          <w:tcPr>
            <w:tcW w:w="1567" w:type="dxa"/>
            <w:vAlign w:val="center"/>
          </w:tcPr>
          <w:p w14:paraId="5EED7FC4">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33246CC6">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546455F0">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254B6B2D">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76F57631">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5680B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center"/>
          </w:tcPr>
          <w:p w14:paraId="6902E730">
            <w:pPr>
              <w:keepNext w:val="0"/>
              <w:keepLines w:val="0"/>
              <w:pageBreakBefore w:val="0"/>
              <w:widowControl/>
              <w:kinsoku w:val="0"/>
              <w:wordWrap w:val="0"/>
              <w:overflowPunct/>
              <w:topLinePunct w:val="0"/>
              <w:autoSpaceDE w:val="0"/>
              <w:autoSpaceDN w:val="0"/>
              <w:bidi w:val="0"/>
              <w:adjustRightInd w:val="0"/>
              <w:snapToGrid w:val="0"/>
              <w:spacing w:before="192" w:line="192"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w:t>
            </w:r>
          </w:p>
        </w:tc>
        <w:tc>
          <w:tcPr>
            <w:tcW w:w="1939" w:type="dxa"/>
            <w:vAlign w:val="center"/>
          </w:tcPr>
          <w:p w14:paraId="0F420679">
            <w:pPr>
              <w:keepNext w:val="0"/>
              <w:keepLines w:val="0"/>
              <w:pageBreakBefore w:val="0"/>
              <w:widowControl/>
              <w:kinsoku w:val="0"/>
              <w:wordWrap w:val="0"/>
              <w:overflowPunct/>
              <w:topLinePunct w:val="0"/>
              <w:autoSpaceDE w:val="0"/>
              <w:autoSpaceDN w:val="0"/>
              <w:bidi w:val="0"/>
              <w:adjustRightInd w:val="0"/>
              <w:snapToGrid w:val="0"/>
              <w:spacing w:before="154"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资料员</w:t>
            </w:r>
          </w:p>
        </w:tc>
        <w:tc>
          <w:tcPr>
            <w:tcW w:w="1567" w:type="dxa"/>
            <w:vAlign w:val="center"/>
          </w:tcPr>
          <w:p w14:paraId="3622BE2B">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5CE65BB8">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7EDECF24">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2C9FB1A4">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1552BC96">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6CEBA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634" w:type="dxa"/>
            <w:vAlign w:val="center"/>
          </w:tcPr>
          <w:p w14:paraId="7C25D031">
            <w:pPr>
              <w:keepNext w:val="0"/>
              <w:keepLines w:val="0"/>
              <w:pageBreakBefore w:val="0"/>
              <w:widowControl/>
              <w:kinsoku w:val="0"/>
              <w:wordWrap w:val="0"/>
              <w:overflowPunct/>
              <w:topLinePunct w:val="0"/>
              <w:autoSpaceDE w:val="0"/>
              <w:autoSpaceDN w:val="0"/>
              <w:bidi w:val="0"/>
              <w:adjustRightInd w:val="0"/>
              <w:snapToGrid w:val="0"/>
              <w:spacing w:before="154" w:line="325" w:lineRule="exact"/>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w:t>
            </w:r>
          </w:p>
        </w:tc>
        <w:tc>
          <w:tcPr>
            <w:tcW w:w="1939" w:type="dxa"/>
            <w:vAlign w:val="center"/>
          </w:tcPr>
          <w:p w14:paraId="644CBD8F">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67" w:type="dxa"/>
            <w:vAlign w:val="center"/>
          </w:tcPr>
          <w:p w14:paraId="41B050F2">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7FE3CAC4">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207D0393">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35ACA057">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5B617A51">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bl>
    <w:p w14:paraId="66ACBDC5">
      <w:pPr>
        <w:pStyle w:val="6"/>
        <w:keepNext w:val="0"/>
        <w:keepLines w:val="0"/>
        <w:pageBreakBefore w:val="0"/>
        <w:wordWrap w:val="0"/>
        <w:overflowPunct/>
        <w:topLinePunct w:val="0"/>
        <w:bidi w:val="0"/>
        <w:spacing w:line="395" w:lineRule="auto"/>
        <w:rPr>
          <w:rFonts w:hint="eastAsia" w:ascii="宋体" w:hAnsi="宋体" w:eastAsia="宋体" w:cs="宋体"/>
          <w:color w:val="auto"/>
          <w:spacing w:val="0"/>
          <w:sz w:val="24"/>
          <w:szCs w:val="24"/>
          <w:highlight w:val="none"/>
        </w:rPr>
      </w:pPr>
    </w:p>
    <w:p w14:paraId="0B9B1778">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w:t>
      </w:r>
    </w:p>
    <w:p w14:paraId="5103CD51">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 ．《项目管理机构组成表》后应附表中拟派人员（项目经理、项目技术负责人除外）以下资料：</w:t>
      </w:r>
    </w:p>
    <w:p w14:paraId="2943384B">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身份证彩色扫描件；</w:t>
      </w:r>
    </w:p>
    <w:p w14:paraId="780E60F3">
      <w:pPr>
        <w:keepNext w:val="0"/>
        <w:keepLines w:val="0"/>
        <w:pageBreakBefore w:val="0"/>
        <w:widowControl/>
        <w:kinsoku w:val="0"/>
        <w:wordWrap w:val="0"/>
        <w:overflowPunct/>
        <w:topLinePunct w:val="0"/>
        <w:autoSpaceDE w:val="0"/>
        <w:autoSpaceDN w:val="0"/>
        <w:bidi w:val="0"/>
        <w:adjustRightInd/>
        <w:snapToGrid/>
        <w:spacing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专职安全员须提供C类安全生产考核合格证书扫描件或“建筑施工企业管理人员安全生产考核信息系统”考核合格信息扫描件；施工员、质量员、材料员、资料员附岗位证书或培训证书彩色扫描件或打印件；</w:t>
      </w:r>
    </w:p>
    <w:p w14:paraId="57B11674">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在本单位缴纳社保的证明（</w:t>
      </w:r>
      <w:r>
        <w:rPr>
          <w:rFonts w:hint="eastAsia" w:ascii="宋体" w:hAnsi="宋体" w:eastAsia="宋体" w:cs="宋体"/>
          <w:color w:val="auto"/>
          <w:spacing w:val="0"/>
          <w:sz w:val="24"/>
          <w:szCs w:val="24"/>
          <w:highlight w:val="none"/>
          <w:lang w:eastAsia="zh-CN"/>
        </w:rPr>
        <w:t>至少</w:t>
      </w: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lang w:eastAsia="zh-CN"/>
        </w:rPr>
        <w:t>个月，其中必须有2026 年</w:t>
      </w:r>
      <w:r>
        <w:rPr>
          <w:rFonts w:hint="eastAsia" w:ascii="宋体" w:hAnsi="宋体" w:eastAsia="宋体" w:cs="宋体"/>
          <w:color w:val="auto"/>
          <w:spacing w:val="0"/>
          <w:sz w:val="24"/>
          <w:szCs w:val="24"/>
          <w:highlight w:val="none"/>
          <w:lang w:val="en-US" w:eastAsia="zh-CN"/>
        </w:rPr>
        <w:t>6</w:t>
      </w:r>
      <w:bookmarkStart w:id="269" w:name="_GoBack"/>
      <w:bookmarkEnd w:id="269"/>
      <w:r>
        <w:rPr>
          <w:rFonts w:hint="eastAsia" w:ascii="宋体" w:hAnsi="宋体" w:eastAsia="宋体" w:cs="宋体"/>
          <w:color w:val="auto"/>
          <w:spacing w:val="0"/>
          <w:sz w:val="24"/>
          <w:szCs w:val="24"/>
          <w:highlight w:val="none"/>
          <w:lang w:eastAsia="zh-CN"/>
        </w:rPr>
        <w:t>月</w:t>
      </w:r>
      <w:r>
        <w:rPr>
          <w:rFonts w:hint="eastAsia" w:ascii="宋体" w:hAnsi="宋体" w:eastAsia="宋体" w:cs="宋体"/>
          <w:color w:val="auto"/>
          <w:spacing w:val="0"/>
          <w:sz w:val="24"/>
          <w:szCs w:val="24"/>
          <w:highlight w:val="none"/>
        </w:rPr>
        <w:t>）扫描件</w:t>
      </w:r>
      <w:r>
        <w:rPr>
          <w:rFonts w:hint="eastAsia" w:ascii="宋体" w:hAnsi="宋体" w:eastAsia="宋体" w:cs="宋体"/>
          <w:color w:val="auto"/>
          <w:spacing w:val="0"/>
          <w:sz w:val="24"/>
          <w:szCs w:val="24"/>
          <w:highlight w:val="none"/>
          <w:lang w:val="en-US" w:eastAsia="zh-CN"/>
        </w:rPr>
        <w:t>或打印件</w:t>
      </w:r>
      <w:r>
        <w:rPr>
          <w:rFonts w:hint="eastAsia" w:ascii="宋体" w:hAnsi="宋体" w:eastAsia="宋体" w:cs="宋体"/>
          <w:color w:val="auto"/>
          <w:spacing w:val="0"/>
          <w:sz w:val="24"/>
          <w:szCs w:val="24"/>
          <w:highlight w:val="none"/>
        </w:rPr>
        <w:t>。拟派</w:t>
      </w:r>
      <w:r>
        <w:rPr>
          <w:rFonts w:hint="eastAsia" w:ascii="宋体" w:hAnsi="宋体" w:eastAsia="宋体" w:cs="宋体"/>
          <w:color w:val="auto"/>
          <w:spacing w:val="0"/>
          <w:sz w:val="24"/>
          <w:szCs w:val="24"/>
          <w:highlight w:val="none"/>
          <w:lang w:val="en-US" w:eastAsia="zh-CN"/>
        </w:rPr>
        <w:t>人员</w:t>
      </w:r>
      <w:r>
        <w:rPr>
          <w:rFonts w:hint="eastAsia" w:ascii="宋体" w:hAnsi="宋体" w:eastAsia="宋体" w:cs="宋体"/>
          <w:color w:val="auto"/>
          <w:spacing w:val="0"/>
          <w:sz w:val="24"/>
          <w:szCs w:val="24"/>
          <w:highlight w:val="none"/>
        </w:rPr>
        <w:t>为退休返聘人员无法提供社保证明的，提供退休证和劳动合同彩色扫描件。</w:t>
      </w:r>
    </w:p>
    <w:p w14:paraId="51AFC6E4">
      <w:pPr>
        <w:keepNext w:val="0"/>
        <w:keepLines w:val="0"/>
        <w:pageBreakBefore w:val="0"/>
        <w:widowControl/>
        <w:kinsoku w:val="0"/>
        <w:wordWrap w:val="0"/>
        <w:overflowPunct/>
        <w:topLinePunct w:val="0"/>
        <w:autoSpaceDE w:val="0"/>
        <w:autoSpaceDN w:val="0"/>
        <w:bidi w:val="0"/>
        <w:adjustRightInd/>
        <w:snapToGrid/>
        <w:spacing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（4）“进粤企业和人员诚信信息登记平台 ”个人信息情况截图。（适用于省外建筑企业）</w:t>
      </w:r>
    </w:p>
    <w:p w14:paraId="25A18113">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联合体投标的，《项目管理机构组成表》应包括联合体成员单位参与项目管理机构的人员，并提供以上所需资料。</w:t>
      </w:r>
    </w:p>
    <w:p w14:paraId="148E55DF">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55" w:name="_Toc3573"/>
      <w:r>
        <w:rPr>
          <w:rFonts w:hint="eastAsia" w:ascii="宋体" w:hAnsi="宋体" w:eastAsia="宋体" w:cs="宋体"/>
          <w:b/>
          <w:bCs/>
          <w:color w:val="auto"/>
          <w:spacing w:val="0"/>
          <w:sz w:val="24"/>
          <w:szCs w:val="24"/>
          <w:highlight w:val="none"/>
        </w:rPr>
        <w:t>格式十二 建造师查询页（有效期+建造师签字）</w:t>
      </w:r>
      <w:bookmarkEnd w:id="255"/>
    </w:p>
    <w:p w14:paraId="3F74BE56">
      <w:pPr>
        <w:keepNext w:val="0"/>
        <w:keepLines w:val="0"/>
        <w:pageBreakBefore w:val="0"/>
        <w:wordWrap w:val="0"/>
        <w:overflowPunct/>
        <w:topLinePunct w:val="0"/>
        <w:bidi w:val="0"/>
        <w:outlineLvl w:val="9"/>
        <w:rPr>
          <w:rFonts w:hint="eastAsia" w:ascii="宋体" w:hAnsi="宋体" w:eastAsia="宋体" w:cs="宋体"/>
          <w:color w:val="auto"/>
          <w:spacing w:val="0"/>
          <w:highlight w:val="none"/>
        </w:rPr>
      </w:pPr>
      <w:r>
        <w:rPr>
          <w:rFonts w:hint="eastAsia" w:ascii="宋体" w:hAnsi="宋体" w:eastAsia="宋体" w:cs="宋体"/>
          <w:color w:val="auto"/>
          <w:spacing w:val="0"/>
          <w:position w:val="-235"/>
          <w:highlight w:val="none"/>
        </w:rPr>
        <w:drawing>
          <wp:inline distT="0" distB="0" distL="114300" distR="114300">
            <wp:extent cx="6239510" cy="8013700"/>
            <wp:effectExtent l="0" t="0" r="8890" b="6350"/>
            <wp:docPr id="6" name="图片 8"/>
            <wp:cNvGraphicFramePr/>
            <a:graphic xmlns:a="http://schemas.openxmlformats.org/drawingml/2006/main">
              <a:graphicData uri="http://schemas.openxmlformats.org/drawingml/2006/picture">
                <pic:pic xmlns:pic="http://schemas.openxmlformats.org/drawingml/2006/picture">
                  <pic:nvPicPr>
                    <pic:cNvPr id="6" name="图片 8"/>
                    <pic:cNvPicPr/>
                  </pic:nvPicPr>
                  <pic:blipFill>
                    <a:blip r:embed="rId55"/>
                    <a:stretch>
                      <a:fillRect/>
                    </a:stretch>
                  </pic:blipFill>
                  <pic:spPr>
                    <a:xfrm>
                      <a:off x="0" y="0"/>
                      <a:ext cx="6239510" cy="8013700"/>
                    </a:xfrm>
                    <a:prstGeom prst="rect">
                      <a:avLst/>
                    </a:prstGeom>
                    <a:noFill/>
                    <a:ln>
                      <a:noFill/>
                    </a:ln>
                  </pic:spPr>
                </pic:pic>
              </a:graphicData>
            </a:graphic>
          </wp:inline>
        </w:drawing>
      </w:r>
    </w:p>
    <w:p w14:paraId="0911E9E5">
      <w:pPr>
        <w:keepNext w:val="0"/>
        <w:keepLines w:val="0"/>
        <w:pageBreakBefore w:val="0"/>
        <w:wordWrap w:val="0"/>
        <w:overflowPunct/>
        <w:topLinePunct w:val="0"/>
        <w:bidi w:val="0"/>
        <w:spacing w:line="220" w:lineRule="auto"/>
        <w:rPr>
          <w:rFonts w:hint="eastAsia" w:ascii="宋体" w:hAnsi="宋体" w:eastAsia="宋体" w:cs="宋体"/>
          <w:color w:val="auto"/>
          <w:spacing w:val="0"/>
          <w:sz w:val="24"/>
          <w:szCs w:val="24"/>
          <w:highlight w:val="none"/>
        </w:rPr>
        <w:sectPr>
          <w:footerReference r:id="rId22"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2DC03463">
      <w:pPr>
        <w:keepNext w:val="0"/>
        <w:keepLines w:val="0"/>
        <w:pageBreakBefore w:val="0"/>
        <w:wordWrap w:val="0"/>
        <w:overflowPunct/>
        <w:topLinePunct w:val="0"/>
        <w:bidi w:val="0"/>
        <w:spacing w:line="10744" w:lineRule="exact"/>
        <w:rPr>
          <w:rFonts w:hint="eastAsia" w:ascii="宋体" w:hAnsi="宋体" w:eastAsia="宋体" w:cs="宋体"/>
          <w:color w:val="auto"/>
          <w:spacing w:val="0"/>
          <w:highlight w:val="none"/>
        </w:rPr>
      </w:pPr>
      <w:r>
        <w:rPr>
          <w:rFonts w:hint="eastAsia" w:ascii="宋体" w:hAnsi="宋体" w:eastAsia="宋体" w:cs="宋体"/>
          <w:color w:val="auto"/>
          <w:spacing w:val="0"/>
          <w:position w:val="-214"/>
          <w:highlight w:val="none"/>
        </w:rPr>
        <w:drawing>
          <wp:inline distT="0" distB="0" distL="114300" distR="114300">
            <wp:extent cx="6285865" cy="6925310"/>
            <wp:effectExtent l="0" t="0" r="635" b="8890"/>
            <wp:docPr id="4" name="图片 9"/>
            <wp:cNvGraphicFramePr/>
            <a:graphic xmlns:a="http://schemas.openxmlformats.org/drawingml/2006/main">
              <a:graphicData uri="http://schemas.openxmlformats.org/drawingml/2006/picture">
                <pic:pic xmlns:pic="http://schemas.openxmlformats.org/drawingml/2006/picture">
                  <pic:nvPicPr>
                    <pic:cNvPr id="4" name="图片 9"/>
                    <pic:cNvPicPr/>
                  </pic:nvPicPr>
                  <pic:blipFill>
                    <a:blip r:embed="rId56"/>
                    <a:stretch>
                      <a:fillRect/>
                    </a:stretch>
                  </pic:blipFill>
                  <pic:spPr>
                    <a:xfrm>
                      <a:off x="0" y="0"/>
                      <a:ext cx="6285865" cy="6925310"/>
                    </a:xfrm>
                    <a:prstGeom prst="rect">
                      <a:avLst/>
                    </a:prstGeom>
                    <a:noFill/>
                    <a:ln>
                      <a:noFill/>
                    </a:ln>
                  </pic:spPr>
                </pic:pic>
              </a:graphicData>
            </a:graphic>
          </wp:inline>
        </w:drawing>
      </w:r>
    </w:p>
    <w:p w14:paraId="75F69AC8">
      <w:pPr>
        <w:keepNext w:val="0"/>
        <w:keepLines w:val="0"/>
        <w:pageBreakBefore w:val="0"/>
        <w:wordWrap w:val="0"/>
        <w:overflowPunct/>
        <w:topLinePunct w:val="0"/>
        <w:bidi w:val="0"/>
        <w:spacing w:line="10744" w:lineRule="exact"/>
        <w:rPr>
          <w:rFonts w:hint="eastAsia" w:ascii="宋体" w:hAnsi="宋体" w:eastAsia="宋体" w:cs="宋体"/>
          <w:color w:val="auto"/>
          <w:spacing w:val="0"/>
          <w:highlight w:val="none"/>
        </w:rPr>
        <w:sectPr>
          <w:footerReference r:id="rId23"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69562F6F">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56" w:name="_Toc23166"/>
      <w:r>
        <w:rPr>
          <w:rFonts w:hint="eastAsia" w:ascii="宋体" w:hAnsi="宋体" w:eastAsia="宋体" w:cs="宋体"/>
          <w:b/>
          <w:bCs/>
          <w:color w:val="auto"/>
          <w:spacing w:val="0"/>
          <w:sz w:val="24"/>
          <w:szCs w:val="24"/>
          <w:highlight w:val="none"/>
        </w:rPr>
        <w:t>格式十三</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pacing w:val="0"/>
          <w:sz w:val="22"/>
          <w:szCs w:val="22"/>
          <w:highlight w:val="none"/>
        </w:rPr>
        <w:t>危险性较大的分部分项工程清单及超过一定规模的危险性较大的分部分项工程清单</w:t>
      </w:r>
      <w:bookmarkEnd w:id="256"/>
    </w:p>
    <w:p w14:paraId="50907F9F">
      <w:pPr>
        <w:pStyle w:val="6"/>
        <w:keepNext w:val="0"/>
        <w:keepLines w:val="0"/>
        <w:pageBreakBefore w:val="0"/>
        <w:wordWrap w:val="0"/>
        <w:overflowPunct/>
        <w:topLinePunct w:val="0"/>
        <w:bidi w:val="0"/>
        <w:spacing w:line="269" w:lineRule="auto"/>
        <w:rPr>
          <w:rFonts w:hint="eastAsia" w:ascii="宋体" w:hAnsi="宋体" w:eastAsia="宋体" w:cs="宋体"/>
          <w:color w:val="auto"/>
          <w:spacing w:val="0"/>
          <w:highlight w:val="none"/>
        </w:rPr>
      </w:pPr>
    </w:p>
    <w:p w14:paraId="7607D11B">
      <w:pPr>
        <w:keepNext w:val="0"/>
        <w:keepLines w:val="0"/>
        <w:pageBreakBefore w:val="0"/>
        <w:tabs>
          <w:tab w:val="left" w:pos="2940"/>
        </w:tabs>
        <w:wordWrap w:val="0"/>
        <w:overflowPunct/>
        <w:topLinePunct w:val="0"/>
        <w:bidi w:val="0"/>
        <w:spacing w:before="101" w:line="377" w:lineRule="auto"/>
        <w:ind w:left="3179" w:leftChars="0" w:right="41" w:hanging="3133" w:firstLineChars="0"/>
        <w:rPr>
          <w:rFonts w:hint="eastAsia" w:ascii="宋体" w:hAnsi="宋体" w:eastAsia="宋体" w:cs="宋体"/>
          <w:color w:val="auto"/>
          <w:spacing w:val="0"/>
          <w:sz w:val="31"/>
          <w:szCs w:val="31"/>
          <w:highlight w:val="none"/>
        </w:rPr>
      </w:pPr>
      <w:bookmarkStart w:id="257" w:name="bookmark160"/>
      <w:bookmarkEnd w:id="257"/>
      <w:bookmarkStart w:id="258" w:name="OLE_LINK41"/>
      <w:r>
        <w:rPr>
          <w:rFonts w:hint="eastAsia" w:ascii="宋体" w:hAnsi="宋体" w:eastAsia="宋体" w:cs="宋体"/>
          <w:b/>
          <w:bCs/>
          <w:color w:val="auto"/>
          <w:spacing w:val="0"/>
          <w:sz w:val="31"/>
          <w:szCs w:val="31"/>
          <w:highlight w:val="none"/>
        </w:rPr>
        <w:t>危险性较大的分部分项工程清单及超过一定规模的危险性较大的分部分项工程清单</w:t>
      </w:r>
    </w:p>
    <w:bookmarkEnd w:id="258"/>
    <w:p w14:paraId="662AF9AF">
      <w:pPr>
        <w:keepNext w:val="0"/>
        <w:keepLines w:val="0"/>
        <w:pageBreakBefore w:val="0"/>
        <w:wordWrap w:val="0"/>
        <w:overflowPunct/>
        <w:topLinePunct w:val="0"/>
        <w:bidi w:val="0"/>
        <w:spacing w:before="6" w:line="326" w:lineRule="auto"/>
        <w:ind w:left="5" w:firstLine="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1、根据中华人民共和国住房和城乡建设部令第37号《危险性较大的分部分项工程安全管理规定》（以下简称“37号文 ”），投标人在投标时须补充完善危大工程清单并明确相应的安全管理措施。</w:t>
      </w:r>
    </w:p>
    <w:p w14:paraId="67ED7BDA">
      <w:pPr>
        <w:keepNext w:val="0"/>
        <w:keepLines w:val="0"/>
        <w:pageBreakBefore w:val="0"/>
        <w:wordWrap w:val="0"/>
        <w:overflowPunct/>
        <w:topLinePunct w:val="0"/>
        <w:bidi w:val="0"/>
        <w:spacing w:before="208" w:line="326" w:lineRule="auto"/>
        <w:ind w:left="1" w:firstLine="48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2、招标人根据设计文件的要求及37号文、粤建规范〔2019〕2号文的规定列出“危险性较大的分部分项工程清单及超过一定规模的危险性较大的分部分项工程清单 ”中与 本招标项目相关的清单项，具体详见第5点“打 √ ”标识。</w:t>
      </w:r>
    </w:p>
    <w:p w14:paraId="1009AAD2">
      <w:pPr>
        <w:keepNext w:val="0"/>
        <w:keepLines w:val="0"/>
        <w:pageBreakBefore w:val="0"/>
        <w:wordWrap w:val="0"/>
        <w:overflowPunct/>
        <w:topLinePunct w:val="0"/>
        <w:bidi w:val="0"/>
        <w:spacing w:before="209" w:line="299" w:lineRule="auto"/>
        <w:ind w:left="3" w:right="72" w:firstLine="48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（1）投标单位同意建设单位在清单中标识的该项请在对应项打“ √ ”标识，并与投标文件中提供相应的安全管理措施。</w:t>
      </w:r>
    </w:p>
    <w:p w14:paraId="4E637A4E">
      <w:pPr>
        <w:keepNext w:val="0"/>
        <w:keepLines w:val="0"/>
        <w:pageBreakBefore w:val="0"/>
        <w:wordWrap w:val="0"/>
        <w:overflowPunct/>
        <w:topLinePunct w:val="0"/>
        <w:bidi w:val="0"/>
        <w:spacing w:before="208" w:line="299" w:lineRule="auto"/>
        <w:ind w:left="2" w:right="72"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（2）投标单位对清单中认为需要补充的该项请在对应项打“ √ ”标识，并与投标文件中提供相应的安全管理措施。</w:t>
      </w:r>
    </w:p>
    <w:p w14:paraId="33208B45">
      <w:pPr>
        <w:keepNext w:val="0"/>
        <w:keepLines w:val="0"/>
        <w:pageBreakBefore w:val="0"/>
        <w:wordWrap w:val="0"/>
        <w:overflowPunct/>
        <w:topLinePunct w:val="0"/>
        <w:bidi w:val="0"/>
        <w:spacing w:before="210" w:line="300" w:lineRule="auto"/>
        <w:ind w:right="72" w:firstLine="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（3）投标单位不同意建设单位在清单中标识的该项请在对应项打“ × ”标识，并在备注栏填上相关说明。</w:t>
      </w:r>
    </w:p>
    <w:p w14:paraId="7EE27B78">
      <w:pPr>
        <w:keepNext w:val="0"/>
        <w:keepLines w:val="0"/>
        <w:pageBreakBefore w:val="0"/>
        <w:wordWrap w:val="0"/>
        <w:overflowPunct/>
        <w:topLinePunct w:val="0"/>
        <w:bidi w:val="0"/>
        <w:spacing w:before="207" w:line="371" w:lineRule="auto"/>
        <w:ind w:firstLine="484"/>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u w:val="single"/>
        </w:rPr>
        <w:t>3、投标单位应当在投标时根据招标人提供的下述第5点清单，在投标施工组织中回应建设单位提供的危大工程清单，补充相应的安全管理措施。（为减轻标书编制的工作量，投标单位回应的危大工程清单该部分的页数应控制在3页内）</w:t>
      </w:r>
    </w:p>
    <w:p w14:paraId="74717CD9">
      <w:pPr>
        <w:keepNext w:val="0"/>
        <w:keepLines w:val="0"/>
        <w:pageBreakBefore w:val="0"/>
        <w:wordWrap w:val="0"/>
        <w:overflowPunct/>
        <w:topLinePunct w:val="0"/>
        <w:bidi w:val="0"/>
        <w:spacing w:before="33" w:line="326" w:lineRule="auto"/>
        <w:ind w:left="1" w:firstLine="47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7CC55829">
      <w:pPr>
        <w:keepNext w:val="0"/>
        <w:keepLines w:val="0"/>
        <w:pageBreakBefore w:val="0"/>
        <w:wordWrap w:val="0"/>
        <w:overflowPunct/>
        <w:topLinePunct w:val="0"/>
        <w:bidi w:val="0"/>
        <w:spacing w:before="208" w:line="301" w:lineRule="auto"/>
        <w:ind w:firstLine="484"/>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5、危险性较大的分部分项工程清单及超过一定规模的危险性较大的分部分项工程清单</w:t>
      </w:r>
    </w:p>
    <w:p w14:paraId="09191A05">
      <w:pPr>
        <w:keepNext w:val="0"/>
        <w:keepLines w:val="0"/>
        <w:pageBreakBefore w:val="0"/>
        <w:wordWrap w:val="0"/>
        <w:overflowPunct/>
        <w:topLinePunct w:val="0"/>
        <w:bidi w:val="0"/>
        <w:spacing w:before="40"/>
        <w:rPr>
          <w:rFonts w:hint="eastAsia" w:ascii="宋体" w:hAnsi="宋体" w:eastAsia="宋体" w:cs="宋体"/>
          <w:color w:val="auto"/>
          <w:spacing w:val="0"/>
          <w:highlight w:val="none"/>
        </w:rPr>
      </w:pPr>
    </w:p>
    <w:tbl>
      <w:tblPr>
        <w:tblStyle w:val="15"/>
        <w:tblW w:w="9947" w:type="dxa"/>
        <w:tblInd w:w="-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
        <w:gridCol w:w="2"/>
        <w:gridCol w:w="4862"/>
        <w:gridCol w:w="1294"/>
        <w:gridCol w:w="1294"/>
        <w:gridCol w:w="2428"/>
      </w:tblGrid>
      <w:tr w14:paraId="0EB2F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2"/>
          <w:wBefore w:w="69" w:type="dxa"/>
          <w:trHeight w:val="0" w:hRule="atLeast"/>
        </w:trPr>
        <w:tc>
          <w:tcPr>
            <w:tcW w:w="4862" w:type="dxa"/>
            <w:vAlign w:val="top"/>
          </w:tcPr>
          <w:p w14:paraId="5C37D55F">
            <w:pPr>
              <w:keepNext w:val="0"/>
              <w:keepLines w:val="0"/>
              <w:pageBreakBefore w:val="0"/>
              <w:wordWrap w:val="0"/>
              <w:overflowPunct/>
              <w:topLinePunct w:val="0"/>
              <w:bidi w:val="0"/>
              <w:spacing w:before="133" w:line="220" w:lineRule="auto"/>
              <w:ind w:firstLine="241" w:firstLineChars="1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一、危险性较大的分部分项工程清单</w:t>
            </w:r>
          </w:p>
        </w:tc>
        <w:tc>
          <w:tcPr>
            <w:tcW w:w="1294" w:type="dxa"/>
            <w:vAlign w:val="top"/>
          </w:tcPr>
          <w:p w14:paraId="67D9179E">
            <w:pPr>
              <w:keepNext w:val="0"/>
              <w:keepLines w:val="0"/>
              <w:pageBreakBefore w:val="0"/>
              <w:wordWrap w:val="0"/>
              <w:overflowPunct/>
              <w:topLinePunct w:val="0"/>
              <w:bidi w:val="0"/>
              <w:spacing w:before="133" w:line="221" w:lineRule="auto"/>
              <w:ind w:left="206" w:leftChars="0"/>
              <w:rPr>
                <w:rFonts w:hint="eastAsia" w:ascii="宋体" w:hAnsi="宋体" w:eastAsia="宋体" w:cs="宋体"/>
                <w:color w:val="auto"/>
                <w:spacing w:val="0"/>
                <w:w w:val="94"/>
                <w:sz w:val="24"/>
                <w:szCs w:val="24"/>
                <w:highlight w:val="none"/>
              </w:rPr>
            </w:pPr>
            <w:r>
              <w:rPr>
                <w:rFonts w:hint="eastAsia" w:ascii="宋体" w:hAnsi="宋体" w:eastAsia="宋体" w:cs="宋体"/>
                <w:color w:val="auto"/>
                <w:spacing w:val="0"/>
                <w:sz w:val="24"/>
                <w:szCs w:val="24"/>
                <w:highlight w:val="none"/>
              </w:rPr>
              <w:t>建设单位</w:t>
            </w:r>
          </w:p>
        </w:tc>
        <w:tc>
          <w:tcPr>
            <w:tcW w:w="1294" w:type="dxa"/>
            <w:vAlign w:val="top"/>
          </w:tcPr>
          <w:p w14:paraId="03288055">
            <w:pPr>
              <w:keepNext w:val="0"/>
              <w:keepLines w:val="0"/>
              <w:pageBreakBefore w:val="0"/>
              <w:wordWrap w:val="0"/>
              <w:overflowPunct/>
              <w:topLinePunct w:val="0"/>
              <w:bidi w:val="0"/>
              <w:spacing w:before="133" w:line="221" w:lineRule="auto"/>
              <w:ind w:left="205" w:leftChars="0"/>
              <w:rPr>
                <w:rFonts w:hint="eastAsia" w:ascii="宋体" w:hAnsi="宋体" w:eastAsia="宋体" w:cs="宋体"/>
                <w:color w:val="auto"/>
                <w:spacing w:val="0"/>
                <w:w w:val="94"/>
                <w:sz w:val="24"/>
                <w:szCs w:val="24"/>
                <w:highlight w:val="none"/>
              </w:rPr>
            </w:pPr>
            <w:r>
              <w:rPr>
                <w:rFonts w:hint="eastAsia" w:ascii="宋体" w:hAnsi="宋体" w:eastAsia="宋体" w:cs="宋体"/>
                <w:b/>
                <w:bCs/>
                <w:color w:val="auto"/>
                <w:spacing w:val="0"/>
                <w:sz w:val="24"/>
                <w:szCs w:val="24"/>
                <w:highlight w:val="none"/>
              </w:rPr>
              <w:t>投标单位</w:t>
            </w:r>
          </w:p>
        </w:tc>
        <w:tc>
          <w:tcPr>
            <w:tcW w:w="2428" w:type="dxa"/>
            <w:vAlign w:val="top"/>
          </w:tcPr>
          <w:p w14:paraId="0F75FE62">
            <w:pPr>
              <w:keepNext w:val="0"/>
              <w:keepLines w:val="0"/>
              <w:pageBreakBefore w:val="0"/>
              <w:wordWrap w:val="0"/>
              <w:overflowPunct/>
              <w:topLinePunct w:val="0"/>
              <w:bidi w:val="0"/>
              <w:spacing w:before="133" w:line="222" w:lineRule="auto"/>
              <w:ind w:left="360" w:leftChars="0"/>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备注</w:t>
            </w:r>
          </w:p>
        </w:tc>
      </w:tr>
      <w:tr w14:paraId="09153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69" w:type="dxa"/>
          <w:trHeight w:val="0" w:hRule="atLeast"/>
        </w:trPr>
        <w:tc>
          <w:tcPr>
            <w:tcW w:w="4862" w:type="dxa"/>
            <w:vAlign w:val="top"/>
          </w:tcPr>
          <w:p w14:paraId="6EA5278F">
            <w:pPr>
              <w:keepNext w:val="0"/>
              <w:keepLines w:val="0"/>
              <w:pageBreakBefore w:val="0"/>
              <w:wordWrap w:val="0"/>
              <w:overflowPunct/>
              <w:topLinePunct w:val="0"/>
              <w:bidi w:val="0"/>
              <w:spacing w:before="128" w:line="221" w:lineRule="auto"/>
              <w:ind w:left="120" w:leftChars="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一、基坑支护</w:t>
            </w:r>
          </w:p>
        </w:tc>
        <w:tc>
          <w:tcPr>
            <w:tcW w:w="1294" w:type="dxa"/>
            <w:vAlign w:val="top"/>
          </w:tcPr>
          <w:p w14:paraId="015BF65A">
            <w:pPr>
              <w:keepNext w:val="0"/>
              <w:keepLines w:val="0"/>
              <w:pageBreakBefore w:val="0"/>
              <w:wordWrap w:val="0"/>
              <w:overflowPunct/>
              <w:topLinePunct w:val="0"/>
              <w:bidi w:val="0"/>
              <w:spacing w:before="128" w:line="223" w:lineRule="auto"/>
              <w:jc w:val="center"/>
              <w:rPr>
                <w:rFonts w:hint="eastAsia" w:ascii="宋体" w:hAnsi="宋体" w:eastAsia="宋体" w:cs="宋体"/>
                <w:color w:val="auto"/>
                <w:spacing w:val="0"/>
                <w:w w:val="94"/>
                <w:sz w:val="24"/>
                <w:szCs w:val="24"/>
                <w:highlight w:val="none"/>
              </w:rPr>
            </w:pPr>
            <w:r>
              <w:rPr>
                <w:rFonts w:hint="eastAsia" w:ascii="宋体" w:hAnsi="宋体" w:eastAsia="宋体" w:cs="宋体"/>
                <w:color w:val="auto"/>
                <w:spacing w:val="0"/>
                <w:w w:val="94"/>
                <w:sz w:val="24"/>
                <w:szCs w:val="24"/>
                <w:highlight w:val="none"/>
              </w:rPr>
              <w:t>(</w:t>
            </w:r>
            <w:bookmarkStart w:id="259" w:name="OLE_LINK39"/>
            <w:r>
              <w:rPr>
                <w:rFonts w:hint="eastAsia" w:ascii="宋体" w:hAnsi="宋体" w:eastAsia="宋体" w:cs="宋体"/>
                <w:color w:val="auto"/>
                <w:spacing w:val="0"/>
                <w:sz w:val="24"/>
                <w:szCs w:val="24"/>
                <w:highlight w:val="none"/>
              </w:rPr>
              <w:t xml:space="preserve">  </w:t>
            </w:r>
            <w:bookmarkEnd w:id="259"/>
            <w:r>
              <w:rPr>
                <w:rFonts w:hint="eastAsia" w:ascii="宋体" w:hAnsi="宋体" w:eastAsia="宋体" w:cs="宋体"/>
                <w:color w:val="auto"/>
                <w:spacing w:val="0"/>
                <w:w w:val="94"/>
                <w:sz w:val="24"/>
                <w:szCs w:val="24"/>
                <w:highlight w:val="none"/>
              </w:rPr>
              <w:t>)</w:t>
            </w:r>
          </w:p>
        </w:tc>
        <w:tc>
          <w:tcPr>
            <w:tcW w:w="1294" w:type="dxa"/>
            <w:vAlign w:val="top"/>
          </w:tcPr>
          <w:p w14:paraId="08C13183">
            <w:pPr>
              <w:keepNext w:val="0"/>
              <w:keepLines w:val="0"/>
              <w:pageBreakBefore w:val="0"/>
              <w:wordWrap w:val="0"/>
              <w:overflowPunct/>
              <w:topLinePunct w:val="0"/>
              <w:bidi w:val="0"/>
              <w:spacing w:before="128" w:line="223" w:lineRule="auto"/>
              <w:ind w:left="367" w:leftChars="0"/>
              <w:rPr>
                <w:rFonts w:hint="eastAsia" w:ascii="宋体" w:hAnsi="宋体" w:eastAsia="宋体" w:cs="宋体"/>
                <w:color w:val="auto"/>
                <w:spacing w:val="0"/>
                <w:w w:val="94"/>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7F78762E">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F395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69" w:type="dxa"/>
          <w:trHeight w:val="0" w:hRule="atLeast"/>
        </w:trPr>
        <w:tc>
          <w:tcPr>
            <w:tcW w:w="4862" w:type="dxa"/>
            <w:vAlign w:val="top"/>
          </w:tcPr>
          <w:p w14:paraId="19713150">
            <w:pPr>
              <w:keepNext w:val="0"/>
              <w:keepLines w:val="0"/>
              <w:pageBreakBefore w:val="0"/>
              <w:wordWrap w:val="0"/>
              <w:overflowPunct/>
              <w:topLinePunct w:val="0"/>
              <w:bidi w:val="0"/>
              <w:spacing w:before="129" w:line="328" w:lineRule="auto"/>
              <w:ind w:left="135" w:leftChars="0" w:right="68" w:rightChars="0" w:hanging="8" w:firstLineChars="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（一）开挖深度超过 3m（含 3m）的基坑（槽） 的土方开挖、支护、降水工程。</w:t>
            </w:r>
          </w:p>
        </w:tc>
        <w:tc>
          <w:tcPr>
            <w:tcW w:w="1294" w:type="dxa"/>
            <w:vAlign w:val="top"/>
          </w:tcPr>
          <w:p w14:paraId="64D282F4">
            <w:pPr>
              <w:pStyle w:val="29"/>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610C20D5">
            <w:pPr>
              <w:keepNext w:val="0"/>
              <w:keepLines w:val="0"/>
              <w:pageBreakBefore w:val="0"/>
              <w:wordWrap w:val="0"/>
              <w:overflowPunct/>
              <w:topLinePunct w:val="0"/>
              <w:bidi w:val="0"/>
              <w:spacing w:before="78" w:line="223" w:lineRule="auto"/>
              <w:ind w:left="396" w:leftChars="0"/>
              <w:rPr>
                <w:rFonts w:hint="eastAsia" w:ascii="宋体" w:hAnsi="宋体" w:eastAsia="宋体" w:cs="宋体"/>
                <w:color w:val="auto"/>
                <w:spacing w:val="0"/>
                <w:w w:val="94"/>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A791DBC">
            <w:pPr>
              <w:pStyle w:val="29"/>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2DB9AA82">
            <w:pPr>
              <w:keepNext w:val="0"/>
              <w:keepLines w:val="0"/>
              <w:pageBreakBefore w:val="0"/>
              <w:wordWrap w:val="0"/>
              <w:overflowPunct/>
              <w:topLinePunct w:val="0"/>
              <w:bidi w:val="0"/>
              <w:spacing w:before="78" w:line="223" w:lineRule="auto"/>
              <w:ind w:left="367" w:leftChars="0"/>
              <w:rPr>
                <w:rFonts w:hint="eastAsia" w:ascii="宋体" w:hAnsi="宋体" w:eastAsia="宋体" w:cs="宋体"/>
                <w:color w:val="auto"/>
                <w:spacing w:val="0"/>
                <w:w w:val="94"/>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4610296">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8215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69" w:type="dxa"/>
          <w:trHeight w:val="0" w:hRule="atLeast"/>
        </w:trPr>
        <w:tc>
          <w:tcPr>
            <w:tcW w:w="4862" w:type="dxa"/>
            <w:vAlign w:val="top"/>
          </w:tcPr>
          <w:p w14:paraId="2C3A254E">
            <w:pPr>
              <w:keepNext w:val="0"/>
              <w:keepLines w:val="0"/>
              <w:pageBreakBefore w:val="0"/>
              <w:wordWrap w:val="0"/>
              <w:overflowPunct/>
              <w:topLinePunct w:val="0"/>
              <w:bidi w:val="0"/>
              <w:spacing w:before="132" w:line="354" w:lineRule="auto"/>
              <w:ind w:left="116" w:right="108" w:firstLine="11"/>
              <w:jc w:val="both"/>
              <w:rPr>
                <w:rFonts w:hint="eastAsia" w:ascii="宋体" w:hAnsi="宋体" w:eastAsia="宋体" w:cs="宋体"/>
                <w:color w:val="auto"/>
                <w:spacing w:val="0"/>
                <w:sz w:val="24"/>
                <w:szCs w:val="24"/>
                <w:highlight w:val="none"/>
              </w:rPr>
            </w:pPr>
            <w:bookmarkStart w:id="260" w:name="bookmark161"/>
            <w:bookmarkEnd w:id="260"/>
            <w:r>
              <w:rPr>
                <w:rFonts w:hint="eastAsia" w:ascii="宋体" w:hAnsi="宋体" w:eastAsia="宋体" w:cs="宋体"/>
                <w:color w:val="auto"/>
                <w:spacing w:val="0"/>
                <w:sz w:val="24"/>
                <w:szCs w:val="24"/>
                <w:highlight w:val="none"/>
              </w:rPr>
              <w:t>（二）开挖深度虽未超过 3m，但地质条件、周 围环境和地下管线复杂，或影响毗邻建、构筑 物安全的基坑（槽）的土方开挖、支护、降水 工程。</w:t>
            </w:r>
          </w:p>
        </w:tc>
        <w:tc>
          <w:tcPr>
            <w:tcW w:w="1294" w:type="dxa"/>
            <w:vAlign w:val="top"/>
          </w:tcPr>
          <w:p w14:paraId="3B931B4C">
            <w:pPr>
              <w:pStyle w:val="29"/>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77BD6AFD">
            <w:pPr>
              <w:pStyle w:val="29"/>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1A3552EE">
            <w:pPr>
              <w:pStyle w:val="29"/>
              <w:keepNext w:val="0"/>
              <w:keepLines w:val="0"/>
              <w:pageBreakBefore w:val="0"/>
              <w:wordWrap w:val="0"/>
              <w:overflowPunct/>
              <w:topLinePunct w:val="0"/>
              <w:bidi w:val="0"/>
              <w:spacing w:line="264" w:lineRule="auto"/>
              <w:rPr>
                <w:rFonts w:hint="eastAsia" w:ascii="宋体" w:hAnsi="宋体" w:eastAsia="宋体" w:cs="宋体"/>
                <w:color w:val="auto"/>
                <w:spacing w:val="0"/>
                <w:highlight w:val="none"/>
              </w:rPr>
            </w:pPr>
          </w:p>
          <w:p w14:paraId="4582B414">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bookmarkStart w:id="261" w:name="OLE_LINK40"/>
            <w:r>
              <w:rPr>
                <w:rFonts w:hint="eastAsia" w:ascii="宋体" w:hAnsi="宋体" w:eastAsia="宋体" w:cs="宋体"/>
                <w:color w:val="auto"/>
                <w:spacing w:val="0"/>
                <w:sz w:val="24"/>
                <w:szCs w:val="24"/>
                <w:highlight w:val="none"/>
              </w:rPr>
              <w:t xml:space="preserve">     </w:t>
            </w:r>
            <w:bookmarkEnd w:id="261"/>
            <w:r>
              <w:rPr>
                <w:rFonts w:hint="eastAsia" w:ascii="宋体" w:hAnsi="宋体" w:eastAsia="宋体" w:cs="宋体"/>
                <w:color w:val="auto"/>
                <w:spacing w:val="0"/>
                <w:w w:val="94"/>
                <w:sz w:val="24"/>
                <w:szCs w:val="24"/>
                <w:highlight w:val="none"/>
              </w:rPr>
              <w:t>)</w:t>
            </w:r>
          </w:p>
        </w:tc>
        <w:tc>
          <w:tcPr>
            <w:tcW w:w="1294" w:type="dxa"/>
            <w:vAlign w:val="top"/>
          </w:tcPr>
          <w:p w14:paraId="09D26D7C">
            <w:pPr>
              <w:pStyle w:val="29"/>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6AB11391">
            <w:pPr>
              <w:pStyle w:val="29"/>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780BA676">
            <w:pPr>
              <w:pStyle w:val="29"/>
              <w:keepNext w:val="0"/>
              <w:keepLines w:val="0"/>
              <w:pageBreakBefore w:val="0"/>
              <w:wordWrap w:val="0"/>
              <w:overflowPunct/>
              <w:topLinePunct w:val="0"/>
              <w:bidi w:val="0"/>
              <w:spacing w:line="264" w:lineRule="auto"/>
              <w:rPr>
                <w:rFonts w:hint="eastAsia" w:ascii="宋体" w:hAnsi="宋体" w:eastAsia="宋体" w:cs="宋体"/>
                <w:color w:val="auto"/>
                <w:spacing w:val="0"/>
                <w:highlight w:val="none"/>
              </w:rPr>
            </w:pPr>
          </w:p>
          <w:p w14:paraId="3F7FFB39">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3782891">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DEE9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69" w:type="dxa"/>
          <w:trHeight w:val="0" w:hRule="atLeast"/>
        </w:trPr>
        <w:tc>
          <w:tcPr>
            <w:tcW w:w="4862" w:type="dxa"/>
            <w:vAlign w:val="top"/>
          </w:tcPr>
          <w:p w14:paraId="284D345A">
            <w:pPr>
              <w:keepNext w:val="0"/>
              <w:keepLines w:val="0"/>
              <w:pageBreakBefore w:val="0"/>
              <w:wordWrap w:val="0"/>
              <w:overflowPunct/>
              <w:topLinePunct w:val="0"/>
              <w:bidi w:val="0"/>
              <w:spacing w:before="128" w:line="219" w:lineRule="auto"/>
              <w:ind w:left="1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二、模板工程及支撑体系</w:t>
            </w:r>
          </w:p>
        </w:tc>
        <w:tc>
          <w:tcPr>
            <w:tcW w:w="1294" w:type="dxa"/>
            <w:vAlign w:val="top"/>
          </w:tcPr>
          <w:p w14:paraId="5DBDF86D">
            <w:pPr>
              <w:keepNext w:val="0"/>
              <w:keepLines w:val="0"/>
              <w:pageBreakBefore w:val="0"/>
              <w:wordWrap w:val="0"/>
              <w:overflowPunct/>
              <w:topLinePunct w:val="0"/>
              <w:bidi w:val="0"/>
              <w:spacing w:before="12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F8DCF3A">
            <w:pPr>
              <w:keepNext w:val="0"/>
              <w:keepLines w:val="0"/>
              <w:pageBreakBefore w:val="0"/>
              <w:wordWrap w:val="0"/>
              <w:overflowPunct/>
              <w:topLinePunct w:val="0"/>
              <w:bidi w:val="0"/>
              <w:spacing w:before="12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8428A05">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6278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69" w:type="dxa"/>
          <w:trHeight w:val="0" w:hRule="atLeast"/>
        </w:trPr>
        <w:tc>
          <w:tcPr>
            <w:tcW w:w="4862" w:type="dxa"/>
            <w:vAlign w:val="top"/>
          </w:tcPr>
          <w:p w14:paraId="4CD23F35">
            <w:pPr>
              <w:keepNext w:val="0"/>
              <w:keepLines w:val="0"/>
              <w:pageBreakBefore w:val="0"/>
              <w:wordWrap w:val="0"/>
              <w:overflowPunct/>
              <w:topLinePunct w:val="0"/>
              <w:bidi w:val="0"/>
              <w:spacing w:before="128" w:line="328" w:lineRule="auto"/>
              <w:ind w:left="123" w:right="25" w:firstLine="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（一）各类工具式模板工程：包括滑模、爬模、 飞模、隧道模等工程。</w:t>
            </w:r>
          </w:p>
        </w:tc>
        <w:tc>
          <w:tcPr>
            <w:tcW w:w="1294" w:type="dxa"/>
            <w:vAlign w:val="top"/>
          </w:tcPr>
          <w:p w14:paraId="3D6715B2">
            <w:pPr>
              <w:pStyle w:val="29"/>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52FE7F47">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6412FE3">
            <w:pPr>
              <w:pStyle w:val="29"/>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0BD9AD49">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54CB921">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CF46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13367A19">
            <w:pPr>
              <w:keepNext w:val="0"/>
              <w:keepLines w:val="0"/>
              <w:pageBreakBefore w:val="0"/>
              <w:wordWrap w:val="0"/>
              <w:overflowPunct/>
              <w:topLinePunct w:val="0"/>
              <w:bidi w:val="0"/>
              <w:spacing w:before="131" w:line="362" w:lineRule="auto"/>
              <w:ind w:left="115" w:right="105" w:firstLine="1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（二）混凝土模板支撑工程：搭设高度 5m 及以 上，或搭设跨度 10m 及以上，或施工总荷载（荷 载效应基本组合的设计值，以下简称设计值） 10kN/m2 及以上，或集中线荷载（设计值）15kN/m 及以上，或高度大于支撑水平投影宽度且相对 独立无联系构件的混凝土模板支撑工程。</w:t>
            </w:r>
          </w:p>
        </w:tc>
        <w:tc>
          <w:tcPr>
            <w:tcW w:w="1294" w:type="dxa"/>
            <w:vAlign w:val="top"/>
          </w:tcPr>
          <w:p w14:paraId="547CE5CE">
            <w:pPr>
              <w:pStyle w:val="29"/>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5F0097AB">
            <w:pPr>
              <w:pStyle w:val="29"/>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798FBC23">
            <w:pPr>
              <w:pStyle w:val="29"/>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1A433A05">
            <w:pPr>
              <w:pStyle w:val="29"/>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78EF4DB6">
            <w:pPr>
              <w:pStyle w:val="29"/>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3C19CBC0">
            <w:pPr>
              <w:keepNext w:val="0"/>
              <w:keepLines w:val="0"/>
              <w:pageBreakBefore w:val="0"/>
              <w:wordWrap w:val="0"/>
              <w:overflowPunct/>
              <w:topLinePunct w:val="0"/>
              <w:bidi w:val="0"/>
              <w:spacing w:before="78" w:line="223" w:lineRule="auto"/>
              <w:ind w:left="42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w w:val="94"/>
                <w:sz w:val="24"/>
                <w:szCs w:val="24"/>
                <w:highlight w:val="none"/>
                <w:lang w:val="en-US" w:eastAsia="zh-CN"/>
              </w:rPr>
              <w:t xml:space="preserve"> </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7C92272">
            <w:pPr>
              <w:pStyle w:val="29"/>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4BAAA3C9">
            <w:pPr>
              <w:pStyle w:val="29"/>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67D01ED8">
            <w:pPr>
              <w:pStyle w:val="29"/>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2E2A66D4">
            <w:pPr>
              <w:pStyle w:val="29"/>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15185264">
            <w:pPr>
              <w:pStyle w:val="29"/>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3F95B5DB">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31EA97B8">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1026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742B2F67">
            <w:pPr>
              <w:keepNext w:val="0"/>
              <w:keepLines w:val="0"/>
              <w:pageBreakBefore w:val="0"/>
              <w:wordWrap w:val="0"/>
              <w:overflowPunct/>
              <w:topLinePunct w:val="0"/>
              <w:bidi w:val="0"/>
              <w:spacing w:before="130" w:line="327" w:lineRule="auto"/>
              <w:ind w:left="117" w:right="168" w:firstLine="1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（三）承重支撑体系：用于钢结构安装等满堂 支撑体系。</w:t>
            </w:r>
          </w:p>
        </w:tc>
        <w:tc>
          <w:tcPr>
            <w:tcW w:w="1294" w:type="dxa"/>
            <w:vAlign w:val="top"/>
          </w:tcPr>
          <w:p w14:paraId="081A79A4">
            <w:pPr>
              <w:pStyle w:val="29"/>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31DBB299">
            <w:pPr>
              <w:keepNext w:val="0"/>
              <w:keepLines w:val="0"/>
              <w:pageBreakBefore w:val="0"/>
              <w:wordWrap w:val="0"/>
              <w:overflowPunct/>
              <w:topLinePunct w:val="0"/>
              <w:bidi w:val="0"/>
              <w:spacing w:before="78"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F1112BB">
            <w:pPr>
              <w:pStyle w:val="29"/>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2FA3B2E5">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BCC8089">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C170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2CD34E96">
            <w:pPr>
              <w:keepNext w:val="0"/>
              <w:keepLines w:val="0"/>
              <w:pageBreakBefore w:val="0"/>
              <w:wordWrap w:val="0"/>
              <w:overflowPunct/>
              <w:topLinePunct w:val="0"/>
              <w:bidi w:val="0"/>
              <w:spacing w:before="130" w:line="219" w:lineRule="auto"/>
              <w:ind w:left="3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三、起重吊装及起重机械安装拆卸工程</w:t>
            </w:r>
          </w:p>
        </w:tc>
        <w:tc>
          <w:tcPr>
            <w:tcW w:w="1294" w:type="dxa"/>
            <w:vAlign w:val="top"/>
          </w:tcPr>
          <w:p w14:paraId="38265AE9">
            <w:pPr>
              <w:keepNext w:val="0"/>
              <w:keepLines w:val="0"/>
              <w:pageBreakBefore w:val="0"/>
              <w:wordWrap w:val="0"/>
              <w:overflowPunct/>
              <w:topLinePunct w:val="0"/>
              <w:bidi w:val="0"/>
              <w:spacing w:before="129"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1147FBD">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603B3DD">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69FA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5BBE638F">
            <w:pPr>
              <w:keepNext w:val="0"/>
              <w:keepLines w:val="0"/>
              <w:pageBreakBefore w:val="0"/>
              <w:wordWrap w:val="0"/>
              <w:overflowPunct/>
              <w:topLinePunct w:val="0"/>
              <w:bidi w:val="0"/>
              <w:spacing w:before="131" w:line="327" w:lineRule="auto"/>
              <w:ind w:left="144" w:right="168" w:hanging="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（一）采用非常规起重设备、方法，且单件起 吊重量在 10kN 及以上的起重吊装工程。</w:t>
            </w:r>
          </w:p>
        </w:tc>
        <w:tc>
          <w:tcPr>
            <w:tcW w:w="1294" w:type="dxa"/>
            <w:vAlign w:val="top"/>
          </w:tcPr>
          <w:p w14:paraId="37A83AED">
            <w:pPr>
              <w:pStyle w:val="29"/>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4EE95335">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A34B457">
            <w:pPr>
              <w:pStyle w:val="29"/>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5D76C922">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7E0D56FF">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8A09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1A85FE26">
            <w:pPr>
              <w:keepNext w:val="0"/>
              <w:keepLines w:val="0"/>
              <w:pageBreakBefore w:val="0"/>
              <w:wordWrap w:val="0"/>
              <w:overflowPunct/>
              <w:topLinePunct w:val="0"/>
              <w:bidi w:val="0"/>
              <w:spacing w:before="132"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（二）采用起重机械进行安装的工程。</w:t>
            </w:r>
          </w:p>
        </w:tc>
        <w:tc>
          <w:tcPr>
            <w:tcW w:w="1294" w:type="dxa"/>
            <w:vAlign w:val="top"/>
          </w:tcPr>
          <w:p w14:paraId="767E6331">
            <w:pPr>
              <w:keepNext w:val="0"/>
              <w:keepLines w:val="0"/>
              <w:pageBreakBefore w:val="0"/>
              <w:wordWrap w:val="0"/>
              <w:overflowPunct/>
              <w:topLinePunct w:val="0"/>
              <w:bidi w:val="0"/>
              <w:spacing w:before="131"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w w:val="94"/>
                <w:sz w:val="24"/>
                <w:szCs w:val="24"/>
                <w:highlight w:val="none"/>
                <w:lang w:val="en-US" w:eastAsia="zh-CN"/>
              </w:rPr>
              <w:t xml:space="preserve"> </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D439AE7">
            <w:pPr>
              <w:keepNext w:val="0"/>
              <w:keepLines w:val="0"/>
              <w:pageBreakBefore w:val="0"/>
              <w:wordWrap w:val="0"/>
              <w:overflowPunct/>
              <w:topLinePunct w:val="0"/>
              <w:bidi w:val="0"/>
              <w:spacing w:before="131"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61EBE37">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F45D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5EAE4304">
            <w:pPr>
              <w:keepNext w:val="0"/>
              <w:keepLines w:val="0"/>
              <w:pageBreakBefore w:val="0"/>
              <w:wordWrap w:val="0"/>
              <w:overflowPunct/>
              <w:topLinePunct w:val="0"/>
              <w:bidi w:val="0"/>
              <w:spacing w:before="130"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（三）起重机械安装和拆卸工程。</w:t>
            </w:r>
          </w:p>
        </w:tc>
        <w:tc>
          <w:tcPr>
            <w:tcW w:w="1294" w:type="dxa"/>
            <w:vAlign w:val="top"/>
          </w:tcPr>
          <w:p w14:paraId="335991A7">
            <w:pPr>
              <w:keepNext w:val="0"/>
              <w:keepLines w:val="0"/>
              <w:pageBreakBefore w:val="0"/>
              <w:wordWrap w:val="0"/>
              <w:overflowPunct/>
              <w:topLinePunct w:val="0"/>
              <w:bidi w:val="0"/>
              <w:spacing w:before="129"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5F94CC4">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BB8D17E">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2609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795419C4">
            <w:pPr>
              <w:keepNext w:val="0"/>
              <w:keepLines w:val="0"/>
              <w:pageBreakBefore w:val="0"/>
              <w:wordWrap w:val="0"/>
              <w:overflowPunct/>
              <w:topLinePunct w:val="0"/>
              <w:bidi w:val="0"/>
              <w:spacing w:before="131" w:line="219" w:lineRule="auto"/>
              <w:ind w:left="13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四、脚手架工程</w:t>
            </w:r>
          </w:p>
        </w:tc>
        <w:tc>
          <w:tcPr>
            <w:tcW w:w="1294" w:type="dxa"/>
            <w:vAlign w:val="top"/>
          </w:tcPr>
          <w:p w14:paraId="1EC462CF">
            <w:pPr>
              <w:keepNext w:val="0"/>
              <w:keepLines w:val="0"/>
              <w:pageBreakBefore w:val="0"/>
              <w:wordWrap w:val="0"/>
              <w:overflowPunct/>
              <w:topLinePunct w:val="0"/>
              <w:bidi w:val="0"/>
              <w:spacing w:before="130" w:line="223" w:lineRule="auto"/>
              <w:ind w:left="48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2739BCA">
            <w:pPr>
              <w:keepNext w:val="0"/>
              <w:keepLines w:val="0"/>
              <w:pageBreakBefore w:val="0"/>
              <w:wordWrap w:val="0"/>
              <w:overflowPunct/>
              <w:topLinePunct w:val="0"/>
              <w:bidi w:val="0"/>
              <w:spacing w:before="130"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C631CE0">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1972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0CB2F8D3">
            <w:pPr>
              <w:keepNext w:val="0"/>
              <w:keepLines w:val="0"/>
              <w:pageBreakBefore w:val="0"/>
              <w:wordWrap w:val="0"/>
              <w:overflowPunct/>
              <w:topLinePunct w:val="0"/>
              <w:bidi w:val="0"/>
              <w:spacing w:before="130" w:line="327" w:lineRule="auto"/>
              <w:ind w:left="117" w:right="168" w:firstLine="1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（一）搭设高度 24m 及以上的落地式钢管脚手 架工程（包括采光井、电梯井脚手架）。</w:t>
            </w:r>
          </w:p>
        </w:tc>
        <w:tc>
          <w:tcPr>
            <w:tcW w:w="1294" w:type="dxa"/>
            <w:vAlign w:val="top"/>
          </w:tcPr>
          <w:p w14:paraId="6A2758E9">
            <w:pPr>
              <w:pStyle w:val="29"/>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39D015DE">
            <w:pPr>
              <w:keepNext w:val="0"/>
              <w:keepLines w:val="0"/>
              <w:pageBreakBefore w:val="0"/>
              <w:wordWrap w:val="0"/>
              <w:overflowPunct/>
              <w:topLinePunct w:val="0"/>
              <w:bidi w:val="0"/>
              <w:spacing w:before="78" w:line="223" w:lineRule="auto"/>
              <w:ind w:left="42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08ED15F">
            <w:pPr>
              <w:pStyle w:val="29"/>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549B95D0">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8E598FF">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44DE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53DD46A8">
            <w:pPr>
              <w:keepNext w:val="0"/>
              <w:keepLines w:val="0"/>
              <w:pageBreakBefore w:val="0"/>
              <w:wordWrap w:val="0"/>
              <w:overflowPunct/>
              <w:topLinePunct w:val="0"/>
              <w:bidi w:val="0"/>
              <w:spacing w:before="131"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（二）附着式升降脚手架工程。</w:t>
            </w:r>
          </w:p>
        </w:tc>
        <w:tc>
          <w:tcPr>
            <w:tcW w:w="1294" w:type="dxa"/>
            <w:vAlign w:val="top"/>
          </w:tcPr>
          <w:p w14:paraId="135E9D9F">
            <w:pPr>
              <w:keepNext w:val="0"/>
              <w:keepLines w:val="0"/>
              <w:pageBreakBefore w:val="0"/>
              <w:wordWrap w:val="0"/>
              <w:overflowPunct/>
              <w:topLinePunct w:val="0"/>
              <w:bidi w:val="0"/>
              <w:spacing w:before="130" w:line="223" w:lineRule="auto"/>
              <w:ind w:left="24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54243DE">
            <w:pPr>
              <w:keepNext w:val="0"/>
              <w:keepLines w:val="0"/>
              <w:pageBreakBefore w:val="0"/>
              <w:wordWrap w:val="0"/>
              <w:overflowPunct/>
              <w:topLinePunct w:val="0"/>
              <w:bidi w:val="0"/>
              <w:spacing w:before="130"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DE81B0B">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6740A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756A5CF2">
            <w:pPr>
              <w:keepNext w:val="0"/>
              <w:keepLines w:val="0"/>
              <w:pageBreakBefore w:val="0"/>
              <w:wordWrap w:val="0"/>
              <w:overflowPunct/>
              <w:topLinePunct w:val="0"/>
              <w:bidi w:val="0"/>
              <w:spacing w:before="132"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（三）悬挑式脚手架工程。</w:t>
            </w:r>
          </w:p>
        </w:tc>
        <w:tc>
          <w:tcPr>
            <w:tcW w:w="1294" w:type="dxa"/>
            <w:vAlign w:val="top"/>
          </w:tcPr>
          <w:p w14:paraId="1C9D5F37">
            <w:pPr>
              <w:keepNext w:val="0"/>
              <w:keepLines w:val="0"/>
              <w:pageBreakBefore w:val="0"/>
              <w:wordWrap w:val="0"/>
              <w:overflowPunct/>
              <w:topLinePunct w:val="0"/>
              <w:bidi w:val="0"/>
              <w:spacing w:before="131" w:line="223" w:lineRule="auto"/>
              <w:ind w:left="24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BB346B5">
            <w:pPr>
              <w:keepNext w:val="0"/>
              <w:keepLines w:val="0"/>
              <w:pageBreakBefore w:val="0"/>
              <w:wordWrap w:val="0"/>
              <w:overflowPunct/>
              <w:topLinePunct w:val="0"/>
              <w:bidi w:val="0"/>
              <w:spacing w:before="131"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7FF48AF6">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E61F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4DE411B6">
            <w:pPr>
              <w:keepNext w:val="0"/>
              <w:keepLines w:val="0"/>
              <w:pageBreakBefore w:val="0"/>
              <w:wordWrap w:val="0"/>
              <w:overflowPunct/>
              <w:topLinePunct w:val="0"/>
              <w:bidi w:val="0"/>
              <w:spacing w:before="131"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（四）高处作业吊篮。</w:t>
            </w:r>
          </w:p>
        </w:tc>
        <w:tc>
          <w:tcPr>
            <w:tcW w:w="1294" w:type="dxa"/>
            <w:vAlign w:val="top"/>
          </w:tcPr>
          <w:p w14:paraId="078B20BE">
            <w:pPr>
              <w:keepNext w:val="0"/>
              <w:keepLines w:val="0"/>
              <w:pageBreakBefore w:val="0"/>
              <w:wordWrap w:val="0"/>
              <w:overflowPunct/>
              <w:topLinePunct w:val="0"/>
              <w:bidi w:val="0"/>
              <w:spacing w:before="131"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w w:val="94"/>
                <w:sz w:val="24"/>
                <w:szCs w:val="24"/>
                <w:highlight w:val="none"/>
                <w:lang w:val="en-US" w:eastAsia="zh-CN"/>
              </w:rPr>
              <w:t xml:space="preserve">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1EE5114">
            <w:pPr>
              <w:keepNext w:val="0"/>
              <w:keepLines w:val="0"/>
              <w:pageBreakBefore w:val="0"/>
              <w:wordWrap w:val="0"/>
              <w:overflowPunct/>
              <w:topLinePunct w:val="0"/>
              <w:bidi w:val="0"/>
              <w:spacing w:before="131"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32AC04AB">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02FA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3FFF77CC">
            <w:pPr>
              <w:keepNext w:val="0"/>
              <w:keepLines w:val="0"/>
              <w:pageBreakBefore w:val="0"/>
              <w:wordWrap w:val="0"/>
              <w:overflowPunct/>
              <w:topLinePunct w:val="0"/>
              <w:bidi w:val="0"/>
              <w:spacing w:before="132"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（五）卸料平台、操作平台工程。</w:t>
            </w:r>
          </w:p>
        </w:tc>
        <w:tc>
          <w:tcPr>
            <w:tcW w:w="1294" w:type="dxa"/>
            <w:vAlign w:val="top"/>
          </w:tcPr>
          <w:p w14:paraId="66FBDFAE">
            <w:pPr>
              <w:keepNext w:val="0"/>
              <w:keepLines w:val="0"/>
              <w:pageBreakBefore w:val="0"/>
              <w:wordWrap w:val="0"/>
              <w:overflowPunct/>
              <w:topLinePunct w:val="0"/>
              <w:bidi w:val="0"/>
              <w:spacing w:before="132" w:line="223" w:lineRule="auto"/>
              <w:ind w:left="24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D5596D9">
            <w:pPr>
              <w:keepNext w:val="0"/>
              <w:keepLines w:val="0"/>
              <w:pageBreakBefore w:val="0"/>
              <w:wordWrap w:val="0"/>
              <w:overflowPunct/>
              <w:topLinePunct w:val="0"/>
              <w:bidi w:val="0"/>
              <w:spacing w:before="132"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6D29434">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8FD8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7144B7CF">
            <w:pPr>
              <w:keepNext w:val="0"/>
              <w:keepLines w:val="0"/>
              <w:pageBreakBefore w:val="0"/>
              <w:wordWrap w:val="0"/>
              <w:overflowPunct/>
              <w:topLinePunct w:val="0"/>
              <w:bidi w:val="0"/>
              <w:spacing w:before="133"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（六）异型脚手架工程。</w:t>
            </w:r>
          </w:p>
        </w:tc>
        <w:tc>
          <w:tcPr>
            <w:tcW w:w="1294" w:type="dxa"/>
            <w:vAlign w:val="top"/>
          </w:tcPr>
          <w:p w14:paraId="1872A803">
            <w:pPr>
              <w:keepNext w:val="0"/>
              <w:keepLines w:val="0"/>
              <w:pageBreakBefore w:val="0"/>
              <w:wordWrap w:val="0"/>
              <w:overflowPunct/>
              <w:topLinePunct w:val="0"/>
              <w:bidi w:val="0"/>
              <w:spacing w:before="132"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2452B405">
            <w:pPr>
              <w:keepNext w:val="0"/>
              <w:keepLines w:val="0"/>
              <w:pageBreakBefore w:val="0"/>
              <w:wordWrap w:val="0"/>
              <w:overflowPunct/>
              <w:topLinePunct w:val="0"/>
              <w:bidi w:val="0"/>
              <w:spacing w:before="132"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73EA998">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F81F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7CB8C621">
            <w:pPr>
              <w:keepNext w:val="0"/>
              <w:keepLines w:val="0"/>
              <w:pageBreakBefore w:val="0"/>
              <w:wordWrap w:val="0"/>
              <w:overflowPunct/>
              <w:topLinePunct w:val="0"/>
              <w:bidi w:val="0"/>
              <w:spacing w:before="131" w:line="220" w:lineRule="auto"/>
              <w:ind w:left="120"/>
              <w:rPr>
                <w:rFonts w:hint="eastAsia" w:ascii="宋体" w:hAnsi="宋体" w:eastAsia="宋体" w:cs="宋体"/>
                <w:color w:val="auto"/>
                <w:spacing w:val="0"/>
                <w:sz w:val="24"/>
                <w:szCs w:val="24"/>
                <w:highlight w:val="none"/>
              </w:rPr>
            </w:pPr>
            <w:bookmarkStart w:id="262" w:name="bookmark162"/>
            <w:bookmarkEnd w:id="262"/>
            <w:r>
              <w:rPr>
                <w:rFonts w:hint="eastAsia" w:ascii="宋体" w:hAnsi="宋体" w:eastAsia="宋体" w:cs="宋体"/>
                <w:color w:val="auto"/>
                <w:spacing w:val="0"/>
                <w:sz w:val="24"/>
                <w:szCs w:val="24"/>
                <w:highlight w:val="none"/>
              </w:rPr>
              <w:t>五、拆除工程</w:t>
            </w:r>
          </w:p>
        </w:tc>
        <w:tc>
          <w:tcPr>
            <w:tcW w:w="1294" w:type="dxa"/>
            <w:vAlign w:val="top"/>
          </w:tcPr>
          <w:p w14:paraId="314DA6C6">
            <w:pPr>
              <w:keepNext w:val="0"/>
              <w:keepLines w:val="0"/>
              <w:pageBreakBefore w:val="0"/>
              <w:wordWrap w:val="0"/>
              <w:overflowPunct/>
              <w:topLinePunct w:val="0"/>
              <w:bidi w:val="0"/>
              <w:spacing w:before="131" w:line="223" w:lineRule="auto"/>
              <w:ind w:left="48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05E20C3">
            <w:pPr>
              <w:keepNext w:val="0"/>
              <w:keepLines w:val="0"/>
              <w:pageBreakBefore w:val="0"/>
              <w:wordWrap w:val="0"/>
              <w:overflowPunct/>
              <w:topLinePunct w:val="0"/>
              <w:bidi w:val="0"/>
              <w:spacing w:before="131"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04364A3">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AAFE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230BC19F">
            <w:pPr>
              <w:keepNext w:val="0"/>
              <w:keepLines w:val="0"/>
              <w:pageBreakBefore w:val="0"/>
              <w:wordWrap w:val="0"/>
              <w:overflowPunct/>
              <w:topLinePunct w:val="0"/>
              <w:bidi w:val="0"/>
              <w:spacing w:before="126" w:line="329" w:lineRule="auto"/>
              <w:ind w:left="117" w:right="16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可能影响行人、交通、电力设施、通讯设施或 其它建、构筑物安全的拆除工程。</w:t>
            </w:r>
          </w:p>
        </w:tc>
        <w:tc>
          <w:tcPr>
            <w:tcW w:w="1294" w:type="dxa"/>
            <w:vAlign w:val="top"/>
          </w:tcPr>
          <w:p w14:paraId="1BCA91F0">
            <w:pPr>
              <w:pStyle w:val="29"/>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2D4B74AE">
            <w:pPr>
              <w:keepNext w:val="0"/>
              <w:keepLines w:val="0"/>
              <w:pageBreakBefore w:val="0"/>
              <w:wordWrap w:val="0"/>
              <w:overflowPunct/>
              <w:topLinePunct w:val="0"/>
              <w:bidi w:val="0"/>
              <w:spacing w:before="78"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4F414D8">
            <w:pPr>
              <w:pStyle w:val="29"/>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39EE3C4E">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D46AC81">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58E6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4EB1B3F0">
            <w:pPr>
              <w:keepNext w:val="0"/>
              <w:keepLines w:val="0"/>
              <w:pageBreakBefore w:val="0"/>
              <w:wordWrap w:val="0"/>
              <w:overflowPunct/>
              <w:topLinePunct w:val="0"/>
              <w:bidi w:val="0"/>
              <w:spacing w:before="126" w:line="221" w:lineRule="auto"/>
              <w:ind w:left="35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六、暗挖工程</w:t>
            </w:r>
          </w:p>
        </w:tc>
        <w:tc>
          <w:tcPr>
            <w:tcW w:w="1294" w:type="dxa"/>
            <w:vAlign w:val="top"/>
          </w:tcPr>
          <w:p w14:paraId="3C43A09F">
            <w:pPr>
              <w:keepNext w:val="0"/>
              <w:keepLines w:val="0"/>
              <w:pageBreakBefore w:val="0"/>
              <w:wordWrap w:val="0"/>
              <w:overflowPunct/>
              <w:topLinePunct w:val="0"/>
              <w:bidi w:val="0"/>
              <w:spacing w:before="126"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2D14A29">
            <w:pPr>
              <w:keepNext w:val="0"/>
              <w:keepLines w:val="0"/>
              <w:pageBreakBefore w:val="0"/>
              <w:wordWrap w:val="0"/>
              <w:overflowPunct/>
              <w:topLinePunct w:val="0"/>
              <w:bidi w:val="0"/>
              <w:spacing w:before="126"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807B357">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DA76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12744928">
            <w:pPr>
              <w:keepNext w:val="0"/>
              <w:keepLines w:val="0"/>
              <w:pageBreakBefore w:val="0"/>
              <w:wordWrap w:val="0"/>
              <w:overflowPunct/>
              <w:topLinePunct w:val="0"/>
              <w:bidi w:val="0"/>
              <w:spacing w:before="128" w:line="328" w:lineRule="auto"/>
              <w:ind w:left="119" w:right="168" w:hanging="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采用矿山法、盾构法、顶管法施工的隧道、洞 室工程。</w:t>
            </w:r>
          </w:p>
        </w:tc>
        <w:tc>
          <w:tcPr>
            <w:tcW w:w="1294" w:type="dxa"/>
            <w:vAlign w:val="top"/>
          </w:tcPr>
          <w:p w14:paraId="65033D15">
            <w:pPr>
              <w:pStyle w:val="29"/>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6DB89044">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B972FC4">
            <w:pPr>
              <w:pStyle w:val="29"/>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58A11C01">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67C60E5">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06B4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32FD7C2C">
            <w:pPr>
              <w:keepNext w:val="0"/>
              <w:keepLines w:val="0"/>
              <w:pageBreakBefore w:val="0"/>
              <w:wordWrap w:val="0"/>
              <w:overflowPunct/>
              <w:topLinePunct w:val="0"/>
              <w:bidi w:val="0"/>
              <w:spacing w:before="129" w:line="222" w:lineRule="auto"/>
              <w:ind w:left="11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七、其它</w:t>
            </w:r>
          </w:p>
        </w:tc>
        <w:tc>
          <w:tcPr>
            <w:tcW w:w="1294" w:type="dxa"/>
            <w:vAlign w:val="top"/>
          </w:tcPr>
          <w:p w14:paraId="6BE6643A">
            <w:pPr>
              <w:keepNext w:val="0"/>
              <w:keepLines w:val="0"/>
              <w:pageBreakBefore w:val="0"/>
              <w:wordWrap w:val="0"/>
              <w:overflowPunct/>
              <w:topLinePunct w:val="0"/>
              <w:bidi w:val="0"/>
              <w:spacing w:before="129"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6575A55">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14F8564">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DE89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7FFB6826">
            <w:pPr>
              <w:keepNext w:val="0"/>
              <w:keepLines w:val="0"/>
              <w:pageBreakBefore w:val="0"/>
              <w:wordWrap w:val="0"/>
              <w:overflowPunct/>
              <w:topLinePunct w:val="0"/>
              <w:bidi w:val="0"/>
              <w:spacing w:before="128"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（一）建筑幕墙安装工程。</w:t>
            </w:r>
          </w:p>
        </w:tc>
        <w:tc>
          <w:tcPr>
            <w:tcW w:w="1294" w:type="dxa"/>
            <w:vAlign w:val="top"/>
          </w:tcPr>
          <w:p w14:paraId="5ECCB1D8">
            <w:pPr>
              <w:keepNext w:val="0"/>
              <w:keepLines w:val="0"/>
              <w:pageBreakBefore w:val="0"/>
              <w:wordWrap w:val="0"/>
              <w:overflowPunct/>
              <w:topLinePunct w:val="0"/>
              <w:bidi w:val="0"/>
              <w:spacing w:before="127"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8880CC1">
            <w:pPr>
              <w:keepNext w:val="0"/>
              <w:keepLines w:val="0"/>
              <w:pageBreakBefore w:val="0"/>
              <w:wordWrap w:val="0"/>
              <w:overflowPunct/>
              <w:topLinePunct w:val="0"/>
              <w:bidi w:val="0"/>
              <w:spacing w:before="127"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05609F2">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271D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7B2E6F65">
            <w:pPr>
              <w:keepNext w:val="0"/>
              <w:keepLines w:val="0"/>
              <w:pageBreakBefore w:val="0"/>
              <w:wordWrap w:val="0"/>
              <w:overflowPunct/>
              <w:topLinePunct w:val="0"/>
              <w:bidi w:val="0"/>
              <w:spacing w:before="128" w:line="221"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（二）钢结构、网架和索膜结构安装工程。</w:t>
            </w:r>
          </w:p>
        </w:tc>
        <w:tc>
          <w:tcPr>
            <w:tcW w:w="1294" w:type="dxa"/>
            <w:vAlign w:val="top"/>
          </w:tcPr>
          <w:p w14:paraId="019141C0">
            <w:pPr>
              <w:keepNext w:val="0"/>
              <w:keepLines w:val="0"/>
              <w:pageBreakBefore w:val="0"/>
              <w:wordWrap w:val="0"/>
              <w:overflowPunct/>
              <w:topLinePunct w:val="0"/>
              <w:bidi w:val="0"/>
              <w:spacing w:before="12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8B37526">
            <w:pPr>
              <w:keepNext w:val="0"/>
              <w:keepLines w:val="0"/>
              <w:pageBreakBefore w:val="0"/>
              <w:wordWrap w:val="0"/>
              <w:overflowPunct/>
              <w:topLinePunct w:val="0"/>
              <w:bidi w:val="0"/>
              <w:spacing w:before="12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BD4C91E">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8AF1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36EA6A21">
            <w:pPr>
              <w:keepNext w:val="0"/>
              <w:keepLines w:val="0"/>
              <w:pageBreakBefore w:val="0"/>
              <w:wordWrap w:val="0"/>
              <w:overflowPunct/>
              <w:topLinePunct w:val="0"/>
              <w:bidi w:val="0"/>
              <w:spacing w:before="128"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（三）人工挖孔桩工程。</w:t>
            </w:r>
          </w:p>
        </w:tc>
        <w:tc>
          <w:tcPr>
            <w:tcW w:w="1294" w:type="dxa"/>
            <w:vAlign w:val="top"/>
          </w:tcPr>
          <w:p w14:paraId="30B94CD0">
            <w:pPr>
              <w:keepNext w:val="0"/>
              <w:keepLines w:val="0"/>
              <w:pageBreakBefore w:val="0"/>
              <w:wordWrap w:val="0"/>
              <w:overflowPunct/>
              <w:topLinePunct w:val="0"/>
              <w:bidi w:val="0"/>
              <w:spacing w:before="12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14CA6864">
            <w:pPr>
              <w:keepNext w:val="0"/>
              <w:keepLines w:val="0"/>
              <w:pageBreakBefore w:val="0"/>
              <w:wordWrap w:val="0"/>
              <w:overflowPunct/>
              <w:topLinePunct w:val="0"/>
              <w:bidi w:val="0"/>
              <w:spacing w:before="12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FD897F2">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9674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4C5EBA8B">
            <w:pPr>
              <w:keepNext w:val="0"/>
              <w:keepLines w:val="0"/>
              <w:pageBreakBefore w:val="0"/>
              <w:wordWrap w:val="0"/>
              <w:overflowPunct/>
              <w:topLinePunct w:val="0"/>
              <w:bidi w:val="0"/>
              <w:spacing w:before="129"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（四）水下作业工程。</w:t>
            </w:r>
          </w:p>
        </w:tc>
        <w:tc>
          <w:tcPr>
            <w:tcW w:w="1294" w:type="dxa"/>
            <w:vAlign w:val="top"/>
          </w:tcPr>
          <w:p w14:paraId="07F1B48E">
            <w:pPr>
              <w:keepNext w:val="0"/>
              <w:keepLines w:val="0"/>
              <w:pageBreakBefore w:val="0"/>
              <w:wordWrap w:val="0"/>
              <w:overflowPunct/>
              <w:topLinePunct w:val="0"/>
              <w:bidi w:val="0"/>
              <w:spacing w:before="129"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40E8354">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D84828A">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F404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00A20609">
            <w:pPr>
              <w:keepNext w:val="0"/>
              <w:keepLines w:val="0"/>
              <w:pageBreakBefore w:val="0"/>
              <w:wordWrap w:val="0"/>
              <w:overflowPunct/>
              <w:topLinePunct w:val="0"/>
              <w:bidi w:val="0"/>
              <w:spacing w:before="129"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（五）装配式建筑混凝土预制构件安装工程。</w:t>
            </w:r>
          </w:p>
        </w:tc>
        <w:tc>
          <w:tcPr>
            <w:tcW w:w="1294" w:type="dxa"/>
            <w:vAlign w:val="top"/>
          </w:tcPr>
          <w:p w14:paraId="1D69D2E9">
            <w:pPr>
              <w:keepNext w:val="0"/>
              <w:keepLines w:val="0"/>
              <w:pageBreakBefore w:val="0"/>
              <w:wordWrap w:val="0"/>
              <w:overflowPunct/>
              <w:topLinePunct w:val="0"/>
              <w:bidi w:val="0"/>
              <w:spacing w:before="129"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w w:val="94"/>
                <w:sz w:val="24"/>
                <w:szCs w:val="24"/>
                <w:highlight w:val="none"/>
                <w:lang w:val="en-US" w:eastAsia="zh-CN"/>
              </w:rPr>
              <w:t xml:space="preserve">   </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11651258">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5B3F741">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0149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45B86778">
            <w:pPr>
              <w:keepNext w:val="0"/>
              <w:keepLines w:val="0"/>
              <w:pageBreakBefore w:val="0"/>
              <w:wordWrap w:val="0"/>
              <w:overflowPunct/>
              <w:topLinePunct w:val="0"/>
              <w:bidi w:val="0"/>
              <w:spacing w:before="129" w:line="345" w:lineRule="auto"/>
              <w:ind w:left="117" w:right="168" w:firstLine="1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（六）采用新技术、新工艺、新材料、新设备 可能影响工程施工安全，尚无国家、行业及地 方技术标准的分部分项工程。</w:t>
            </w:r>
          </w:p>
        </w:tc>
        <w:tc>
          <w:tcPr>
            <w:tcW w:w="1294" w:type="dxa"/>
            <w:vAlign w:val="top"/>
          </w:tcPr>
          <w:p w14:paraId="385B5113">
            <w:pPr>
              <w:pStyle w:val="29"/>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73DD2831">
            <w:pPr>
              <w:pStyle w:val="29"/>
              <w:keepNext w:val="0"/>
              <w:keepLines w:val="0"/>
              <w:pageBreakBefore w:val="0"/>
              <w:wordWrap w:val="0"/>
              <w:overflowPunct/>
              <w:topLinePunct w:val="0"/>
              <w:bidi w:val="0"/>
              <w:spacing w:line="271" w:lineRule="auto"/>
              <w:rPr>
                <w:rFonts w:hint="eastAsia" w:ascii="宋体" w:hAnsi="宋体" w:eastAsia="宋体" w:cs="宋体"/>
                <w:color w:val="auto"/>
                <w:spacing w:val="0"/>
                <w:highlight w:val="none"/>
              </w:rPr>
            </w:pPr>
          </w:p>
          <w:p w14:paraId="4AAAB3A0">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CDDABEA">
            <w:pPr>
              <w:pStyle w:val="29"/>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67B31CAE">
            <w:pPr>
              <w:pStyle w:val="29"/>
              <w:keepNext w:val="0"/>
              <w:keepLines w:val="0"/>
              <w:pageBreakBefore w:val="0"/>
              <w:wordWrap w:val="0"/>
              <w:overflowPunct/>
              <w:topLinePunct w:val="0"/>
              <w:bidi w:val="0"/>
              <w:spacing w:line="271" w:lineRule="auto"/>
              <w:rPr>
                <w:rFonts w:hint="eastAsia" w:ascii="宋体" w:hAnsi="宋体" w:eastAsia="宋体" w:cs="宋体"/>
                <w:color w:val="auto"/>
                <w:spacing w:val="0"/>
                <w:highlight w:val="none"/>
              </w:rPr>
            </w:pPr>
          </w:p>
          <w:p w14:paraId="6C0040D9">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E969598">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A114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7B3BF150">
            <w:pPr>
              <w:keepNext w:val="0"/>
              <w:keepLines w:val="0"/>
              <w:pageBreakBefore w:val="0"/>
              <w:wordWrap w:val="0"/>
              <w:overflowPunct/>
              <w:topLinePunct w:val="0"/>
              <w:bidi w:val="0"/>
              <w:spacing w:before="129" w:line="328" w:lineRule="auto"/>
              <w:ind w:left="115" w:right="108" w:firstLine="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二、超过一定规模的危险性较大的分部分项工程清单</w:t>
            </w:r>
          </w:p>
        </w:tc>
        <w:tc>
          <w:tcPr>
            <w:tcW w:w="1294" w:type="dxa"/>
            <w:vAlign w:val="top"/>
          </w:tcPr>
          <w:p w14:paraId="19226B35">
            <w:pPr>
              <w:pStyle w:val="29"/>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3659575A">
            <w:pPr>
              <w:keepNext w:val="0"/>
              <w:keepLines w:val="0"/>
              <w:pageBreakBefore w:val="0"/>
              <w:wordWrap w:val="0"/>
              <w:overflowPunct/>
              <w:topLinePunct w:val="0"/>
              <w:bidi w:val="0"/>
              <w:spacing w:before="78" w:line="221" w:lineRule="auto"/>
              <w:ind w:left="20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建设单位</w:t>
            </w:r>
          </w:p>
        </w:tc>
        <w:tc>
          <w:tcPr>
            <w:tcW w:w="1294" w:type="dxa"/>
            <w:vAlign w:val="top"/>
          </w:tcPr>
          <w:p w14:paraId="4A4FC379">
            <w:pPr>
              <w:pStyle w:val="29"/>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42AC6981">
            <w:pPr>
              <w:keepNext w:val="0"/>
              <w:keepLines w:val="0"/>
              <w:pageBreakBefore w:val="0"/>
              <w:wordWrap w:val="0"/>
              <w:overflowPunct/>
              <w:topLinePunct w:val="0"/>
              <w:bidi w:val="0"/>
              <w:spacing w:before="78" w:line="221" w:lineRule="auto"/>
              <w:ind w:left="11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投标单位</w:t>
            </w:r>
          </w:p>
        </w:tc>
        <w:tc>
          <w:tcPr>
            <w:tcW w:w="2428" w:type="dxa"/>
            <w:vAlign w:val="top"/>
          </w:tcPr>
          <w:p w14:paraId="00138FC3">
            <w:pPr>
              <w:pStyle w:val="29"/>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02FF7559">
            <w:pPr>
              <w:keepNext w:val="0"/>
              <w:keepLines w:val="0"/>
              <w:pageBreakBefore w:val="0"/>
              <w:wordWrap w:val="0"/>
              <w:overflowPunct/>
              <w:topLinePunct w:val="0"/>
              <w:bidi w:val="0"/>
              <w:spacing w:before="78" w:line="222" w:lineRule="auto"/>
              <w:ind w:left="3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备注</w:t>
            </w:r>
          </w:p>
        </w:tc>
      </w:tr>
      <w:tr w14:paraId="7F3D0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1E0D3C6D">
            <w:pPr>
              <w:keepNext w:val="0"/>
              <w:keepLines w:val="0"/>
              <w:pageBreakBefore w:val="0"/>
              <w:wordWrap w:val="0"/>
              <w:overflowPunct/>
              <w:topLinePunct w:val="0"/>
              <w:bidi w:val="0"/>
              <w:spacing w:before="129" w:line="221" w:lineRule="auto"/>
              <w:ind w:left="1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一、深基坑工程</w:t>
            </w:r>
          </w:p>
        </w:tc>
        <w:tc>
          <w:tcPr>
            <w:tcW w:w="1294" w:type="dxa"/>
            <w:vAlign w:val="top"/>
          </w:tcPr>
          <w:p w14:paraId="1CE00CFE">
            <w:pPr>
              <w:keepNext w:val="0"/>
              <w:keepLines w:val="0"/>
              <w:pageBreakBefore w:val="0"/>
              <w:wordWrap w:val="0"/>
              <w:overflowPunct/>
              <w:topLinePunct w:val="0"/>
              <w:bidi w:val="0"/>
              <w:spacing w:before="129"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1774A846">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E51A0B1">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AF2D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25A4E17A">
            <w:pPr>
              <w:keepNext w:val="0"/>
              <w:keepLines w:val="0"/>
              <w:pageBreakBefore w:val="0"/>
              <w:wordWrap w:val="0"/>
              <w:overflowPunct/>
              <w:topLinePunct w:val="0"/>
              <w:bidi w:val="0"/>
              <w:spacing w:before="131" w:line="327" w:lineRule="auto"/>
              <w:ind w:left="117" w:right="1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开挖深度超过 5m（含 5m）的基坑（槽）的土方 开挖、支护、降水工程。</w:t>
            </w:r>
          </w:p>
        </w:tc>
        <w:tc>
          <w:tcPr>
            <w:tcW w:w="1294" w:type="dxa"/>
            <w:vAlign w:val="top"/>
          </w:tcPr>
          <w:p w14:paraId="3F89BB15">
            <w:pPr>
              <w:pStyle w:val="29"/>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6B1FFCA1">
            <w:pPr>
              <w:keepNext w:val="0"/>
              <w:keepLines w:val="0"/>
              <w:pageBreakBefore w:val="0"/>
              <w:wordWrap w:val="0"/>
              <w:overflowPunct/>
              <w:topLinePunct w:val="0"/>
              <w:bidi w:val="0"/>
              <w:spacing w:before="78"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AB60A7B">
            <w:pPr>
              <w:pStyle w:val="29"/>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5268F17F">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93BBC77">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D734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47699922">
            <w:pPr>
              <w:keepNext w:val="0"/>
              <w:keepLines w:val="0"/>
              <w:pageBreakBefore w:val="0"/>
              <w:wordWrap w:val="0"/>
              <w:overflowPunct/>
              <w:topLinePunct w:val="0"/>
              <w:bidi w:val="0"/>
              <w:spacing w:before="130" w:line="219" w:lineRule="auto"/>
              <w:ind w:left="1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二、模板工程及支撑体系</w:t>
            </w:r>
          </w:p>
        </w:tc>
        <w:tc>
          <w:tcPr>
            <w:tcW w:w="1294" w:type="dxa"/>
            <w:vAlign w:val="top"/>
          </w:tcPr>
          <w:p w14:paraId="083558CF">
            <w:pPr>
              <w:keepNext w:val="0"/>
              <w:keepLines w:val="0"/>
              <w:pageBreakBefore w:val="0"/>
              <w:wordWrap w:val="0"/>
              <w:overflowPunct/>
              <w:topLinePunct w:val="0"/>
              <w:bidi w:val="0"/>
              <w:spacing w:before="129"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default" w:ascii="宋体" w:hAnsi="宋体" w:eastAsia="宋体" w:cs="宋体"/>
                <w:color w:val="auto"/>
                <w:spacing w:val="0"/>
                <w:sz w:val="24"/>
                <w:szCs w:val="24"/>
                <w:highlight w:val="none"/>
                <w:lang w:val="en-US"/>
              </w:rPr>
              <w:t xml:space="preserve">  </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4A4C90B">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521241E">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0BB3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5A0E47CA">
            <w:pPr>
              <w:keepNext w:val="0"/>
              <w:keepLines w:val="0"/>
              <w:pageBreakBefore w:val="0"/>
              <w:wordWrap w:val="0"/>
              <w:overflowPunct/>
              <w:topLinePunct w:val="0"/>
              <w:bidi w:val="0"/>
              <w:spacing w:before="130" w:line="327" w:lineRule="auto"/>
              <w:ind w:left="123" w:right="25" w:firstLine="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（一）各类工具式模板工程：包括滑模、爬模、 飞模、隧道模等工程。</w:t>
            </w:r>
          </w:p>
        </w:tc>
        <w:tc>
          <w:tcPr>
            <w:tcW w:w="1294" w:type="dxa"/>
            <w:vAlign w:val="top"/>
          </w:tcPr>
          <w:p w14:paraId="3BE7CE5F">
            <w:pPr>
              <w:pStyle w:val="29"/>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22FCE1A7">
            <w:pPr>
              <w:keepNext w:val="0"/>
              <w:keepLines w:val="0"/>
              <w:pageBreakBefore w:val="0"/>
              <w:wordWrap w:val="0"/>
              <w:overflowPunct/>
              <w:topLinePunct w:val="0"/>
              <w:bidi w:val="0"/>
              <w:spacing w:before="78"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9A14FA9">
            <w:pPr>
              <w:pStyle w:val="29"/>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3C6FD786">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99834BD">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1C15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127B194F">
            <w:pPr>
              <w:keepNext w:val="0"/>
              <w:keepLines w:val="0"/>
              <w:pageBreakBefore w:val="0"/>
              <w:wordWrap w:val="0"/>
              <w:overflowPunct/>
              <w:topLinePunct w:val="0"/>
              <w:bidi w:val="0"/>
              <w:spacing w:before="132" w:line="353" w:lineRule="auto"/>
              <w:ind w:left="116" w:right="6" w:firstLine="11"/>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（二）混凝土模板支撑工程：搭设高度8m 及以 上，或搭设跨度 18m 及以上，或施工总荷载（设计值）15kN/m2 及以上，或集中线荷载（设计值） 20kN/m 及以上。</w:t>
            </w:r>
          </w:p>
        </w:tc>
        <w:tc>
          <w:tcPr>
            <w:tcW w:w="1294" w:type="dxa"/>
            <w:vAlign w:val="top"/>
          </w:tcPr>
          <w:p w14:paraId="1E22CC31">
            <w:pPr>
              <w:pStyle w:val="29"/>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34C26A5C">
            <w:pPr>
              <w:pStyle w:val="29"/>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1186E44E">
            <w:pPr>
              <w:pStyle w:val="29"/>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4B6460D6">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93DC849">
            <w:pPr>
              <w:pStyle w:val="29"/>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0B3B5DE6">
            <w:pPr>
              <w:pStyle w:val="29"/>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2E1BD604">
            <w:pPr>
              <w:pStyle w:val="29"/>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4BB44FF4">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08A7FE4">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63CB1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817" w:hRule="atLeast"/>
          <w:jc w:val="center"/>
        </w:trPr>
        <w:tc>
          <w:tcPr>
            <w:tcW w:w="4864" w:type="dxa"/>
            <w:gridSpan w:val="2"/>
            <w:vAlign w:val="top"/>
          </w:tcPr>
          <w:p w14:paraId="0F1BFB7C">
            <w:pPr>
              <w:keepNext w:val="0"/>
              <w:keepLines w:val="0"/>
              <w:pageBreakBefore w:val="0"/>
              <w:wordWrap w:val="0"/>
              <w:overflowPunct/>
              <w:topLinePunct w:val="0"/>
              <w:bidi w:val="0"/>
              <w:spacing w:before="131"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（三）承重支撑体系：用于钢结构安装等满堂</w:t>
            </w:r>
          </w:p>
          <w:p w14:paraId="21D4B2D4">
            <w:pPr>
              <w:keepNext w:val="0"/>
              <w:keepLines w:val="0"/>
              <w:pageBreakBefore w:val="0"/>
              <w:wordWrap w:val="0"/>
              <w:overflowPunct/>
              <w:topLinePunct w:val="0"/>
              <w:bidi w:val="0"/>
              <w:spacing w:before="131" w:line="220" w:lineRule="auto"/>
              <w:ind w:left="1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支撑体系，承受单点集中荷载 7kN 及以上。</w:t>
            </w:r>
          </w:p>
        </w:tc>
        <w:tc>
          <w:tcPr>
            <w:tcW w:w="1294" w:type="dxa"/>
            <w:vAlign w:val="top"/>
          </w:tcPr>
          <w:p w14:paraId="37CA6230">
            <w:pPr>
              <w:keepNext w:val="0"/>
              <w:keepLines w:val="0"/>
              <w:pageBreakBefore w:val="0"/>
              <w:wordWrap w:val="0"/>
              <w:overflowPunct/>
              <w:topLinePunct w:val="0"/>
              <w:bidi w:val="0"/>
              <w:spacing w:before="131"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F95A620">
            <w:pPr>
              <w:keepNext w:val="0"/>
              <w:keepLines w:val="0"/>
              <w:pageBreakBefore w:val="0"/>
              <w:wordWrap w:val="0"/>
              <w:overflowPunct/>
              <w:topLinePunct w:val="0"/>
              <w:bidi w:val="0"/>
              <w:spacing w:before="131"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126430C">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A4D9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783DF3D2">
            <w:pPr>
              <w:keepNext w:val="0"/>
              <w:keepLines w:val="0"/>
              <w:pageBreakBefore w:val="0"/>
              <w:wordWrap w:val="0"/>
              <w:overflowPunct/>
              <w:topLinePunct w:val="0"/>
              <w:bidi w:val="0"/>
              <w:spacing w:before="128" w:line="219" w:lineRule="auto"/>
              <w:ind w:left="3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三、起重吊装及起重机械安装拆卸工程</w:t>
            </w:r>
          </w:p>
        </w:tc>
        <w:tc>
          <w:tcPr>
            <w:tcW w:w="1294" w:type="dxa"/>
            <w:vAlign w:val="top"/>
          </w:tcPr>
          <w:p w14:paraId="7F32CCA7">
            <w:pPr>
              <w:keepNext w:val="0"/>
              <w:keepLines w:val="0"/>
              <w:pageBreakBefore w:val="0"/>
              <w:wordWrap w:val="0"/>
              <w:overflowPunct/>
              <w:topLinePunct w:val="0"/>
              <w:bidi w:val="0"/>
              <w:spacing w:before="127" w:line="223" w:lineRule="auto"/>
              <w:ind w:left="42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1DA0918">
            <w:pPr>
              <w:keepNext w:val="0"/>
              <w:keepLines w:val="0"/>
              <w:pageBreakBefore w:val="0"/>
              <w:wordWrap w:val="0"/>
              <w:overflowPunct/>
              <w:topLinePunct w:val="0"/>
              <w:bidi w:val="0"/>
              <w:spacing w:before="127"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76EAF11">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8E29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306E53A3">
            <w:pPr>
              <w:keepNext w:val="0"/>
              <w:keepLines w:val="0"/>
              <w:pageBreakBefore w:val="0"/>
              <w:wordWrap w:val="0"/>
              <w:overflowPunct/>
              <w:topLinePunct w:val="0"/>
              <w:bidi w:val="0"/>
              <w:spacing w:before="129" w:line="328" w:lineRule="auto"/>
              <w:ind w:left="144" w:right="168" w:hanging="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（一）采用非常规起重设备、方法，且单件起 吊重量在 100kN 及以上的起重吊装工程。</w:t>
            </w:r>
          </w:p>
        </w:tc>
        <w:tc>
          <w:tcPr>
            <w:tcW w:w="1294" w:type="dxa"/>
            <w:vAlign w:val="top"/>
          </w:tcPr>
          <w:p w14:paraId="68B100EA">
            <w:pPr>
              <w:pStyle w:val="29"/>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6E39BEFB">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5BF8415">
            <w:pPr>
              <w:pStyle w:val="29"/>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15D58652">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A9F4CBF">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523B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26CB9001">
            <w:pPr>
              <w:keepNext w:val="0"/>
              <w:keepLines w:val="0"/>
              <w:pageBreakBefore w:val="0"/>
              <w:wordWrap w:val="0"/>
              <w:overflowPunct/>
              <w:topLinePunct w:val="0"/>
              <w:bidi w:val="0"/>
              <w:spacing w:before="129" w:line="345" w:lineRule="auto"/>
              <w:ind w:left="115" w:right="105" w:firstLine="1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（二）起重量 300kN 及以上，或搭设总高度 200m 及以上，或搭设基础标高在 200m 及以上的起重 机械安装和拆卸工程。</w:t>
            </w:r>
          </w:p>
        </w:tc>
        <w:tc>
          <w:tcPr>
            <w:tcW w:w="1294" w:type="dxa"/>
            <w:vAlign w:val="top"/>
          </w:tcPr>
          <w:p w14:paraId="2A95D8F6">
            <w:pPr>
              <w:pStyle w:val="29"/>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74A01809">
            <w:pPr>
              <w:pStyle w:val="29"/>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668A2E9F">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FD327AE">
            <w:pPr>
              <w:pStyle w:val="29"/>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2FDE3886">
            <w:pPr>
              <w:pStyle w:val="29"/>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3B809E99">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392F0646">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64EB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50F4F66D">
            <w:pPr>
              <w:keepNext w:val="0"/>
              <w:keepLines w:val="0"/>
              <w:pageBreakBefore w:val="0"/>
              <w:wordWrap w:val="0"/>
              <w:overflowPunct/>
              <w:topLinePunct w:val="0"/>
              <w:bidi w:val="0"/>
              <w:spacing w:before="128" w:line="219" w:lineRule="auto"/>
              <w:ind w:left="13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四、脚手架工程</w:t>
            </w:r>
          </w:p>
        </w:tc>
        <w:tc>
          <w:tcPr>
            <w:tcW w:w="1294" w:type="dxa"/>
            <w:vAlign w:val="top"/>
          </w:tcPr>
          <w:p w14:paraId="12B84D92">
            <w:pPr>
              <w:keepNext w:val="0"/>
              <w:keepLines w:val="0"/>
              <w:pageBreakBefore w:val="0"/>
              <w:wordWrap w:val="0"/>
              <w:overflowPunct/>
              <w:topLinePunct w:val="0"/>
              <w:bidi w:val="0"/>
              <w:spacing w:before="127"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CD7173E">
            <w:pPr>
              <w:keepNext w:val="0"/>
              <w:keepLines w:val="0"/>
              <w:pageBreakBefore w:val="0"/>
              <w:wordWrap w:val="0"/>
              <w:overflowPunct/>
              <w:topLinePunct w:val="0"/>
              <w:bidi w:val="0"/>
              <w:spacing w:before="127"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CFB88CD">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7EEE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218FF82F">
            <w:pPr>
              <w:keepNext w:val="0"/>
              <w:keepLines w:val="0"/>
              <w:pageBreakBefore w:val="0"/>
              <w:wordWrap w:val="0"/>
              <w:overflowPunct/>
              <w:topLinePunct w:val="0"/>
              <w:bidi w:val="0"/>
              <w:spacing w:before="128" w:line="328" w:lineRule="auto"/>
              <w:ind w:left="117" w:right="168" w:firstLine="1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（一）搭设高度 50m 及以上的落地式钢管脚手 架工程。</w:t>
            </w:r>
          </w:p>
        </w:tc>
        <w:tc>
          <w:tcPr>
            <w:tcW w:w="1294" w:type="dxa"/>
            <w:vAlign w:val="top"/>
          </w:tcPr>
          <w:p w14:paraId="6EE046A9">
            <w:pPr>
              <w:pStyle w:val="29"/>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1BC7ED0C">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2132350E">
            <w:pPr>
              <w:pStyle w:val="29"/>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776B6C9B">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1336EEF">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6E922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59C256F4">
            <w:pPr>
              <w:keepNext w:val="0"/>
              <w:keepLines w:val="0"/>
              <w:pageBreakBefore w:val="0"/>
              <w:wordWrap w:val="0"/>
              <w:overflowPunct/>
              <w:topLinePunct w:val="0"/>
              <w:bidi w:val="0"/>
              <w:spacing w:before="131" w:line="327" w:lineRule="auto"/>
              <w:ind w:left="116" w:right="105" w:firstLine="1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（二）提升高度在 </w:t>
            </w:r>
            <w:r>
              <w:rPr>
                <w:rFonts w:hint="eastAsia" w:ascii="宋体" w:hAnsi="宋体" w:eastAsia="宋体" w:cs="宋体"/>
                <w:color w:val="auto"/>
                <w:spacing w:val="0"/>
                <w:sz w:val="24"/>
                <w:szCs w:val="24"/>
                <w:highlight w:val="none"/>
                <w:lang w:eastAsia="zh-CN"/>
              </w:rPr>
              <w:t>450</w:t>
            </w:r>
            <w:r>
              <w:rPr>
                <w:rFonts w:hint="eastAsia" w:ascii="宋体" w:hAnsi="宋体" w:eastAsia="宋体" w:cs="宋体"/>
                <w:color w:val="auto"/>
                <w:spacing w:val="0"/>
                <w:sz w:val="24"/>
                <w:szCs w:val="24"/>
                <w:highlight w:val="none"/>
              </w:rPr>
              <w:t>m 及以上的附着式升降脚 手架工程或附着式升降操作平台工程。</w:t>
            </w:r>
          </w:p>
        </w:tc>
        <w:tc>
          <w:tcPr>
            <w:tcW w:w="1294" w:type="dxa"/>
            <w:vAlign w:val="top"/>
          </w:tcPr>
          <w:p w14:paraId="2EDF3F91">
            <w:pPr>
              <w:pStyle w:val="29"/>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1AD30D27">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1C214AE1">
            <w:pPr>
              <w:pStyle w:val="29"/>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7B761F94">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CBAA38B">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665C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5D1FBB95">
            <w:pPr>
              <w:keepNext w:val="0"/>
              <w:keepLines w:val="0"/>
              <w:pageBreakBefore w:val="0"/>
              <w:wordWrap w:val="0"/>
              <w:overflowPunct/>
              <w:topLinePunct w:val="0"/>
              <w:bidi w:val="0"/>
              <w:spacing w:before="129" w:line="328" w:lineRule="auto"/>
              <w:ind w:left="115" w:right="168" w:firstLine="1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（三）分段架体搭设高度 20m 及以上的悬挑式 脚手架工程。</w:t>
            </w:r>
          </w:p>
        </w:tc>
        <w:tc>
          <w:tcPr>
            <w:tcW w:w="1294" w:type="dxa"/>
            <w:vAlign w:val="top"/>
          </w:tcPr>
          <w:p w14:paraId="2811C0F1">
            <w:pPr>
              <w:pStyle w:val="29"/>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72884A72">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1A991DC">
            <w:pPr>
              <w:pStyle w:val="29"/>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24D41DFF">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C0B0294">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6E3A1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0F39C5AD">
            <w:pPr>
              <w:keepNext w:val="0"/>
              <w:keepLines w:val="0"/>
              <w:pageBreakBefore w:val="0"/>
              <w:wordWrap w:val="0"/>
              <w:overflowPunct/>
              <w:topLinePunct w:val="0"/>
              <w:bidi w:val="0"/>
              <w:spacing w:before="131" w:line="220" w:lineRule="auto"/>
              <w:ind w:left="1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五、拆除工程</w:t>
            </w:r>
          </w:p>
        </w:tc>
        <w:tc>
          <w:tcPr>
            <w:tcW w:w="1294" w:type="dxa"/>
            <w:vAlign w:val="top"/>
          </w:tcPr>
          <w:p w14:paraId="2961FAB7">
            <w:pPr>
              <w:keepNext w:val="0"/>
              <w:keepLines w:val="0"/>
              <w:pageBreakBefore w:val="0"/>
              <w:wordWrap w:val="0"/>
              <w:overflowPunct/>
              <w:topLinePunct w:val="0"/>
              <w:bidi w:val="0"/>
              <w:spacing w:before="158" w:line="223" w:lineRule="auto"/>
              <w:ind w:left="42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EF9D608">
            <w:pPr>
              <w:keepNext w:val="0"/>
              <w:keepLines w:val="0"/>
              <w:pageBreakBefore w:val="0"/>
              <w:wordWrap w:val="0"/>
              <w:overflowPunct/>
              <w:topLinePunct w:val="0"/>
              <w:bidi w:val="0"/>
              <w:spacing w:before="15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12998AF">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CE1B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36691481">
            <w:pPr>
              <w:keepNext w:val="0"/>
              <w:keepLines w:val="0"/>
              <w:pageBreakBefore w:val="0"/>
              <w:wordWrap w:val="0"/>
              <w:overflowPunct/>
              <w:topLinePunct w:val="0"/>
              <w:bidi w:val="0"/>
              <w:spacing w:before="132" w:line="353" w:lineRule="auto"/>
              <w:ind w:left="115" w:right="168" w:firstLine="1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（一）码头、桥梁、高架、烟囱、水塔或拆除 中容易引起有毒有害气（液）体或粉尘扩散、 易燃易爆事故发生的特殊建、构筑物的拆除工 程。</w:t>
            </w:r>
          </w:p>
        </w:tc>
        <w:tc>
          <w:tcPr>
            <w:tcW w:w="1294" w:type="dxa"/>
            <w:vAlign w:val="top"/>
          </w:tcPr>
          <w:p w14:paraId="6B145A87">
            <w:pPr>
              <w:pStyle w:val="29"/>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07A51EBA">
            <w:pPr>
              <w:pStyle w:val="29"/>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0E188BF7">
            <w:pPr>
              <w:pStyle w:val="29"/>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3DF183E1">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23AA663F">
            <w:pPr>
              <w:pStyle w:val="29"/>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4956A9FB">
            <w:pPr>
              <w:pStyle w:val="29"/>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0D7EE95F">
            <w:pPr>
              <w:pStyle w:val="29"/>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11EB225F">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1148F09">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586A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0B4295D1">
            <w:pPr>
              <w:keepNext w:val="0"/>
              <w:keepLines w:val="0"/>
              <w:pageBreakBefore w:val="0"/>
              <w:wordWrap w:val="0"/>
              <w:overflowPunct/>
              <w:topLinePunct w:val="0"/>
              <w:bidi w:val="0"/>
              <w:spacing w:before="131" w:line="327" w:lineRule="auto"/>
              <w:ind w:left="117" w:right="168" w:firstLine="1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（二）文物保护建筑、优秀历史建筑或历史文 化风貌区影响范围内的拆除工程。</w:t>
            </w:r>
          </w:p>
        </w:tc>
        <w:tc>
          <w:tcPr>
            <w:tcW w:w="1294" w:type="dxa"/>
            <w:vAlign w:val="top"/>
          </w:tcPr>
          <w:p w14:paraId="04F95FA7">
            <w:pPr>
              <w:pStyle w:val="29"/>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55A065F3">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489CCE3">
            <w:pPr>
              <w:pStyle w:val="29"/>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1252E2E0">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3CBBF29E">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EACC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0E6408F1">
            <w:pPr>
              <w:keepNext w:val="0"/>
              <w:keepLines w:val="0"/>
              <w:pageBreakBefore w:val="0"/>
              <w:wordWrap w:val="0"/>
              <w:overflowPunct/>
              <w:topLinePunct w:val="0"/>
              <w:bidi w:val="0"/>
              <w:spacing w:before="131" w:line="221" w:lineRule="auto"/>
              <w:ind w:left="11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六、暗挖工程</w:t>
            </w:r>
          </w:p>
        </w:tc>
        <w:tc>
          <w:tcPr>
            <w:tcW w:w="1294" w:type="dxa"/>
            <w:vAlign w:val="top"/>
          </w:tcPr>
          <w:p w14:paraId="20D91E9F">
            <w:pPr>
              <w:keepNext w:val="0"/>
              <w:keepLines w:val="0"/>
              <w:pageBreakBefore w:val="0"/>
              <w:wordWrap w:val="0"/>
              <w:overflowPunct/>
              <w:topLinePunct w:val="0"/>
              <w:bidi w:val="0"/>
              <w:spacing w:before="140"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1D16D57">
            <w:pPr>
              <w:keepNext w:val="0"/>
              <w:keepLines w:val="0"/>
              <w:pageBreakBefore w:val="0"/>
              <w:wordWrap w:val="0"/>
              <w:overflowPunct/>
              <w:topLinePunct w:val="0"/>
              <w:bidi w:val="0"/>
              <w:spacing w:before="140"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75A9BA30">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78B6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40652EEF">
            <w:pPr>
              <w:keepNext w:val="0"/>
              <w:keepLines w:val="0"/>
              <w:pageBreakBefore w:val="0"/>
              <w:wordWrap w:val="0"/>
              <w:overflowPunct/>
              <w:topLinePunct w:val="0"/>
              <w:bidi w:val="0"/>
              <w:spacing w:before="131" w:line="327" w:lineRule="auto"/>
              <w:ind w:left="119" w:right="168" w:hanging="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采用矿山法、盾构法、顶管法施工的隧道、洞 室工程。</w:t>
            </w:r>
          </w:p>
        </w:tc>
        <w:tc>
          <w:tcPr>
            <w:tcW w:w="1294" w:type="dxa"/>
            <w:vAlign w:val="top"/>
          </w:tcPr>
          <w:p w14:paraId="75E5A7E4">
            <w:pPr>
              <w:pStyle w:val="29"/>
              <w:keepNext w:val="0"/>
              <w:keepLines w:val="0"/>
              <w:pageBreakBefore w:val="0"/>
              <w:wordWrap w:val="0"/>
              <w:overflowPunct/>
              <w:topLinePunct w:val="0"/>
              <w:bidi w:val="0"/>
              <w:spacing w:line="298" w:lineRule="auto"/>
              <w:rPr>
                <w:rFonts w:hint="eastAsia" w:ascii="宋体" w:hAnsi="宋体" w:eastAsia="宋体" w:cs="宋体"/>
                <w:color w:val="auto"/>
                <w:spacing w:val="0"/>
                <w:highlight w:val="none"/>
              </w:rPr>
            </w:pPr>
          </w:p>
          <w:p w14:paraId="5DE48260">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F86BF86">
            <w:pPr>
              <w:pStyle w:val="29"/>
              <w:keepNext w:val="0"/>
              <w:keepLines w:val="0"/>
              <w:pageBreakBefore w:val="0"/>
              <w:wordWrap w:val="0"/>
              <w:overflowPunct/>
              <w:topLinePunct w:val="0"/>
              <w:bidi w:val="0"/>
              <w:spacing w:line="298" w:lineRule="auto"/>
              <w:rPr>
                <w:rFonts w:hint="eastAsia" w:ascii="宋体" w:hAnsi="宋体" w:eastAsia="宋体" w:cs="宋体"/>
                <w:color w:val="auto"/>
                <w:spacing w:val="0"/>
                <w:highlight w:val="none"/>
              </w:rPr>
            </w:pPr>
          </w:p>
          <w:p w14:paraId="2A42FCB3">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7E902C75">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12E7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2270B566">
            <w:pPr>
              <w:keepNext w:val="0"/>
              <w:keepLines w:val="0"/>
              <w:pageBreakBefore w:val="0"/>
              <w:wordWrap w:val="0"/>
              <w:overflowPunct/>
              <w:topLinePunct w:val="0"/>
              <w:bidi w:val="0"/>
              <w:spacing w:before="130" w:line="222" w:lineRule="auto"/>
              <w:ind w:left="11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七、其它</w:t>
            </w:r>
          </w:p>
        </w:tc>
        <w:tc>
          <w:tcPr>
            <w:tcW w:w="1294" w:type="dxa"/>
            <w:vAlign w:val="top"/>
          </w:tcPr>
          <w:p w14:paraId="53FD2371">
            <w:pPr>
              <w:keepNext w:val="0"/>
              <w:keepLines w:val="0"/>
              <w:pageBreakBefore w:val="0"/>
              <w:wordWrap w:val="0"/>
              <w:overflowPunct/>
              <w:topLinePunct w:val="0"/>
              <w:bidi w:val="0"/>
              <w:spacing w:before="130"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E11FF32">
            <w:pPr>
              <w:keepNext w:val="0"/>
              <w:keepLines w:val="0"/>
              <w:pageBreakBefore w:val="0"/>
              <w:wordWrap w:val="0"/>
              <w:overflowPunct/>
              <w:topLinePunct w:val="0"/>
              <w:bidi w:val="0"/>
              <w:spacing w:before="130"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D190708">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F21A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7BAD8DF1">
            <w:pPr>
              <w:keepNext w:val="0"/>
              <w:keepLines w:val="0"/>
              <w:pageBreakBefore w:val="0"/>
              <w:wordWrap w:val="0"/>
              <w:overflowPunct/>
              <w:topLinePunct w:val="0"/>
              <w:bidi w:val="0"/>
              <w:spacing w:before="130" w:line="327" w:lineRule="auto"/>
              <w:ind w:left="115" w:right="168" w:firstLine="1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（一）施工高度 50m 及以上的建筑幕墙安装工 程。</w:t>
            </w:r>
          </w:p>
        </w:tc>
        <w:tc>
          <w:tcPr>
            <w:tcW w:w="1294" w:type="dxa"/>
            <w:vAlign w:val="top"/>
          </w:tcPr>
          <w:p w14:paraId="3E09E110">
            <w:pPr>
              <w:pStyle w:val="29"/>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64857814">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EA58C26">
            <w:pPr>
              <w:pStyle w:val="29"/>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5ADCAA67">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80D88CC">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832B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3FDC97CD">
            <w:pPr>
              <w:keepNext w:val="0"/>
              <w:keepLines w:val="0"/>
              <w:pageBreakBefore w:val="0"/>
              <w:wordWrap w:val="0"/>
              <w:overflowPunct/>
              <w:topLinePunct w:val="0"/>
              <w:bidi w:val="0"/>
              <w:spacing w:before="130" w:line="221"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（二）跨度 36m 及以上的钢结构安装工程，或</w:t>
            </w:r>
          </w:p>
        </w:tc>
        <w:tc>
          <w:tcPr>
            <w:tcW w:w="1294" w:type="dxa"/>
            <w:vAlign w:val="top"/>
          </w:tcPr>
          <w:p w14:paraId="687160DD">
            <w:pPr>
              <w:keepNext w:val="0"/>
              <w:keepLines w:val="0"/>
              <w:pageBreakBefore w:val="0"/>
              <w:wordWrap w:val="0"/>
              <w:overflowPunct/>
              <w:topLinePunct w:val="0"/>
              <w:bidi w:val="0"/>
              <w:spacing w:before="130"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96002C5">
            <w:pPr>
              <w:keepNext w:val="0"/>
              <w:keepLines w:val="0"/>
              <w:pageBreakBefore w:val="0"/>
              <w:wordWrap w:val="0"/>
              <w:overflowPunct/>
              <w:topLinePunct w:val="0"/>
              <w:bidi w:val="0"/>
              <w:spacing w:before="130"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D9D3E24">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86AF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37A539FC">
            <w:pPr>
              <w:keepNext w:val="0"/>
              <w:keepLines w:val="0"/>
              <w:pageBreakBefore w:val="0"/>
              <w:wordWrap w:val="0"/>
              <w:overflowPunct/>
              <w:topLinePunct w:val="0"/>
              <w:bidi w:val="0"/>
              <w:spacing w:before="131" w:line="221" w:lineRule="auto"/>
              <w:ind w:left="11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跨度 60m 及以上的网架和索膜结构安装工程。</w:t>
            </w:r>
          </w:p>
        </w:tc>
        <w:tc>
          <w:tcPr>
            <w:tcW w:w="1294" w:type="dxa"/>
            <w:vAlign w:val="top"/>
          </w:tcPr>
          <w:p w14:paraId="1082325C">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c>
          <w:tcPr>
            <w:tcW w:w="1294" w:type="dxa"/>
            <w:vAlign w:val="top"/>
          </w:tcPr>
          <w:p w14:paraId="620018C5">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c>
          <w:tcPr>
            <w:tcW w:w="2428" w:type="dxa"/>
            <w:vAlign w:val="top"/>
          </w:tcPr>
          <w:p w14:paraId="4A385790">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0FEF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30374C66">
            <w:pPr>
              <w:keepNext w:val="0"/>
              <w:keepLines w:val="0"/>
              <w:pageBreakBefore w:val="0"/>
              <w:wordWrap w:val="0"/>
              <w:overflowPunct/>
              <w:topLinePunct w:val="0"/>
              <w:bidi w:val="0"/>
              <w:spacing w:before="127" w:line="220"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（三）开挖深度 16m 及以上的人工挖孔桩工程。</w:t>
            </w:r>
          </w:p>
        </w:tc>
        <w:tc>
          <w:tcPr>
            <w:tcW w:w="1294" w:type="dxa"/>
            <w:vAlign w:val="top"/>
          </w:tcPr>
          <w:p w14:paraId="01270E08">
            <w:pPr>
              <w:keepNext w:val="0"/>
              <w:keepLines w:val="0"/>
              <w:pageBreakBefore w:val="0"/>
              <w:wordWrap w:val="0"/>
              <w:overflowPunct/>
              <w:topLinePunct w:val="0"/>
              <w:bidi w:val="0"/>
              <w:spacing w:before="127"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BE371DC">
            <w:pPr>
              <w:keepNext w:val="0"/>
              <w:keepLines w:val="0"/>
              <w:pageBreakBefore w:val="0"/>
              <w:wordWrap w:val="0"/>
              <w:overflowPunct/>
              <w:topLinePunct w:val="0"/>
              <w:bidi w:val="0"/>
              <w:spacing w:before="127"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3FB6DAA2">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59BF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67086321">
            <w:pPr>
              <w:keepNext w:val="0"/>
              <w:keepLines w:val="0"/>
              <w:pageBreakBefore w:val="0"/>
              <w:wordWrap w:val="0"/>
              <w:overflowPunct/>
              <w:topLinePunct w:val="0"/>
              <w:bidi w:val="0"/>
              <w:spacing w:before="129"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（四）水下作业工程。</w:t>
            </w:r>
          </w:p>
        </w:tc>
        <w:tc>
          <w:tcPr>
            <w:tcW w:w="1294" w:type="dxa"/>
            <w:vAlign w:val="top"/>
          </w:tcPr>
          <w:p w14:paraId="54BE52D1">
            <w:pPr>
              <w:keepNext w:val="0"/>
              <w:keepLines w:val="0"/>
              <w:pageBreakBefore w:val="0"/>
              <w:wordWrap w:val="0"/>
              <w:overflowPunct/>
              <w:topLinePunct w:val="0"/>
              <w:bidi w:val="0"/>
              <w:spacing w:before="163"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1BA2A96F">
            <w:pPr>
              <w:keepNext w:val="0"/>
              <w:keepLines w:val="0"/>
              <w:pageBreakBefore w:val="0"/>
              <w:wordWrap w:val="0"/>
              <w:overflowPunct/>
              <w:topLinePunct w:val="0"/>
              <w:bidi w:val="0"/>
              <w:spacing w:before="163"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84FFF13">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8BF0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4AFD5895">
            <w:pPr>
              <w:keepNext w:val="0"/>
              <w:keepLines w:val="0"/>
              <w:pageBreakBefore w:val="0"/>
              <w:wordWrap w:val="0"/>
              <w:overflowPunct/>
              <w:topLinePunct w:val="0"/>
              <w:bidi w:val="0"/>
              <w:spacing w:before="130" w:line="327" w:lineRule="auto"/>
              <w:ind w:left="115" w:right="25" w:firstLine="1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（五）重量 1000kN及以上的大型结构整体顶升、 平移、转体等施工工艺。</w:t>
            </w:r>
          </w:p>
        </w:tc>
        <w:tc>
          <w:tcPr>
            <w:tcW w:w="1294" w:type="dxa"/>
            <w:vAlign w:val="top"/>
          </w:tcPr>
          <w:p w14:paraId="5D755CF4">
            <w:pPr>
              <w:pStyle w:val="29"/>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51DF4FD7">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264A5D5">
            <w:pPr>
              <w:pStyle w:val="29"/>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75FC3D7A">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C0D1E4F">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640E7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34E874D5">
            <w:pPr>
              <w:keepNext w:val="0"/>
              <w:keepLines w:val="0"/>
              <w:pageBreakBefore w:val="0"/>
              <w:wordWrap w:val="0"/>
              <w:overflowPunct/>
              <w:topLinePunct w:val="0"/>
              <w:bidi w:val="0"/>
              <w:spacing w:before="129" w:line="346" w:lineRule="auto"/>
              <w:ind w:left="117" w:right="168" w:firstLine="1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（六）采用新技术、新工艺、新材料、新设备 可能影响工程施工安全，尚无国家、行业及地 方技术标准的分部分项工程。</w:t>
            </w:r>
          </w:p>
        </w:tc>
        <w:tc>
          <w:tcPr>
            <w:tcW w:w="1294" w:type="dxa"/>
            <w:vAlign w:val="top"/>
          </w:tcPr>
          <w:p w14:paraId="1A520949">
            <w:pPr>
              <w:pStyle w:val="29"/>
              <w:keepNext w:val="0"/>
              <w:keepLines w:val="0"/>
              <w:pageBreakBefore w:val="0"/>
              <w:wordWrap w:val="0"/>
              <w:overflowPunct/>
              <w:topLinePunct w:val="0"/>
              <w:bidi w:val="0"/>
              <w:spacing w:line="272" w:lineRule="auto"/>
              <w:rPr>
                <w:rFonts w:hint="eastAsia" w:ascii="宋体" w:hAnsi="宋体" w:eastAsia="宋体" w:cs="宋体"/>
                <w:color w:val="auto"/>
                <w:spacing w:val="0"/>
                <w:highlight w:val="none"/>
              </w:rPr>
            </w:pPr>
          </w:p>
          <w:p w14:paraId="7F1A9BA9">
            <w:pPr>
              <w:pStyle w:val="29"/>
              <w:keepNext w:val="0"/>
              <w:keepLines w:val="0"/>
              <w:pageBreakBefore w:val="0"/>
              <w:wordWrap w:val="0"/>
              <w:overflowPunct/>
              <w:topLinePunct w:val="0"/>
              <w:bidi w:val="0"/>
              <w:spacing w:line="272" w:lineRule="auto"/>
              <w:rPr>
                <w:rFonts w:hint="eastAsia" w:ascii="宋体" w:hAnsi="宋体" w:eastAsia="宋体" w:cs="宋体"/>
                <w:color w:val="auto"/>
                <w:spacing w:val="0"/>
                <w:highlight w:val="none"/>
              </w:rPr>
            </w:pPr>
          </w:p>
          <w:p w14:paraId="2347AA80">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E18931D">
            <w:pPr>
              <w:pStyle w:val="29"/>
              <w:keepNext w:val="0"/>
              <w:keepLines w:val="0"/>
              <w:pageBreakBefore w:val="0"/>
              <w:wordWrap w:val="0"/>
              <w:overflowPunct/>
              <w:topLinePunct w:val="0"/>
              <w:bidi w:val="0"/>
              <w:spacing w:line="272" w:lineRule="auto"/>
              <w:rPr>
                <w:rFonts w:hint="eastAsia" w:ascii="宋体" w:hAnsi="宋体" w:eastAsia="宋体" w:cs="宋体"/>
                <w:color w:val="auto"/>
                <w:spacing w:val="0"/>
                <w:highlight w:val="none"/>
              </w:rPr>
            </w:pPr>
          </w:p>
          <w:p w14:paraId="447D3D23">
            <w:pPr>
              <w:pStyle w:val="29"/>
              <w:keepNext w:val="0"/>
              <w:keepLines w:val="0"/>
              <w:pageBreakBefore w:val="0"/>
              <w:wordWrap w:val="0"/>
              <w:overflowPunct/>
              <w:topLinePunct w:val="0"/>
              <w:bidi w:val="0"/>
              <w:spacing w:line="272" w:lineRule="auto"/>
              <w:rPr>
                <w:rFonts w:hint="eastAsia" w:ascii="宋体" w:hAnsi="宋体" w:eastAsia="宋体" w:cs="宋体"/>
                <w:color w:val="auto"/>
                <w:spacing w:val="0"/>
                <w:highlight w:val="none"/>
              </w:rPr>
            </w:pPr>
          </w:p>
          <w:p w14:paraId="13AD6E02">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3D8AFE0">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bl>
    <w:p w14:paraId="658D3124">
      <w:pPr>
        <w:pStyle w:val="6"/>
        <w:keepNext w:val="0"/>
        <w:keepLines w:val="0"/>
        <w:pageBreakBefore w:val="0"/>
        <w:wordWrap w:val="0"/>
        <w:overflowPunct/>
        <w:topLinePunct w:val="0"/>
        <w:bidi w:val="0"/>
        <w:spacing w:line="288" w:lineRule="auto"/>
        <w:rPr>
          <w:rFonts w:hint="eastAsia" w:ascii="宋体" w:hAnsi="宋体" w:eastAsia="宋体" w:cs="宋体"/>
          <w:color w:val="auto"/>
          <w:spacing w:val="0"/>
          <w:highlight w:val="none"/>
        </w:rPr>
      </w:pPr>
    </w:p>
    <w:p w14:paraId="199F441F">
      <w:pPr>
        <w:pStyle w:val="6"/>
        <w:keepNext w:val="0"/>
        <w:keepLines w:val="0"/>
        <w:pageBreakBefore w:val="0"/>
        <w:wordWrap w:val="0"/>
        <w:overflowPunct/>
        <w:topLinePunct w:val="0"/>
        <w:bidi w:val="0"/>
        <w:spacing w:line="288" w:lineRule="auto"/>
        <w:rPr>
          <w:rFonts w:hint="eastAsia" w:ascii="宋体" w:hAnsi="宋体" w:eastAsia="宋体" w:cs="宋体"/>
          <w:color w:val="auto"/>
          <w:spacing w:val="0"/>
          <w:highlight w:val="none"/>
        </w:rPr>
      </w:pPr>
    </w:p>
    <w:p w14:paraId="2D7986C2">
      <w:pPr>
        <w:keepNext w:val="0"/>
        <w:keepLines w:val="0"/>
        <w:pageBreakBefore w:val="0"/>
        <w:wordWrap w:val="0"/>
        <w:overflowPunct/>
        <w:topLinePunct w:val="0"/>
        <w:bidi w:val="0"/>
        <w:spacing w:before="21" w:line="360" w:lineRule="auto"/>
        <w:ind w:firstLine="420" w:firstLineChars="200"/>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备注：1.根据《危险性较大的分部分项工程安全管理规定》，该《危险性较大的分部分项工程清单及超过一定规模的危险性较大的分部分项工程清单》</w:t>
      </w:r>
      <w:r>
        <w:rPr>
          <w:rFonts w:hint="eastAsia" w:ascii="宋体" w:hAnsi="宋体" w:eastAsia="宋体" w:cs="宋体"/>
          <w:color w:val="auto"/>
          <w:spacing w:val="0"/>
          <w:sz w:val="21"/>
          <w:szCs w:val="21"/>
          <w:highlight w:val="none"/>
          <w:lang w:eastAsia="zh-CN"/>
        </w:rPr>
        <w:t>应由建设单位组织勘察、设计等单位在招标文件中“勾选（对应项打“√”标识”危险性较大的分部分项工程。</w:t>
      </w:r>
    </w:p>
    <w:p w14:paraId="761BB22D">
      <w:pPr>
        <w:keepNext w:val="0"/>
        <w:keepLines w:val="0"/>
        <w:pageBreakBefore w:val="0"/>
        <w:wordWrap w:val="0"/>
        <w:overflowPunct/>
        <w:topLinePunct w:val="0"/>
        <w:bidi w:val="0"/>
        <w:spacing w:before="21"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2.该《危险性较大的分部分项工程清单及超过一定规模的危险性较大的分部分项工程清单》在办理建设项目施工许可时必须提供，且各地建设行政主管部门可按照《广东省建设工程项目招标中标后监督 检查办法》相关规定开展检查。</w:t>
      </w:r>
    </w:p>
    <w:p w14:paraId="3CA43F8B">
      <w:pPr>
        <w:keepNext w:val="0"/>
        <w:keepLines w:val="0"/>
        <w:pageBreakBefore w:val="0"/>
        <w:wordWrap w:val="0"/>
        <w:overflowPunct/>
        <w:topLinePunct w:val="0"/>
        <w:bidi w:val="0"/>
        <w:spacing w:before="28" w:line="360" w:lineRule="auto"/>
        <w:ind w:left="545" w:leftChars="244" w:hanging="33" w:hangingChars="16"/>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3.如果需要（如需要通过计算编制专项方案，或者需要专家论证），可中标后提供</w:t>
      </w:r>
      <w:r>
        <w:rPr>
          <w:rFonts w:hint="eastAsia" w:ascii="宋体" w:hAnsi="宋体" w:eastAsia="宋体" w:cs="宋体"/>
          <w:color w:val="auto"/>
          <w:spacing w:val="0"/>
          <w:sz w:val="21"/>
          <w:szCs w:val="21"/>
          <w:highlight w:val="none"/>
          <w:lang w:eastAsia="zh-CN"/>
        </w:rPr>
        <w:t>详细版。</w:t>
      </w:r>
    </w:p>
    <w:p w14:paraId="181EE1C9">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2C79ABA9">
      <w:pPr>
        <w:keepNext w:val="0"/>
        <w:keepLines w:val="0"/>
        <w:pageBreakBefore w:val="0"/>
        <w:wordWrap w:val="0"/>
        <w:overflowPunct/>
        <w:topLinePunct w:val="0"/>
        <w:bidi w:val="0"/>
        <w:spacing w:before="78" w:line="220" w:lineRule="auto"/>
        <w:jc w:val="both"/>
        <w:outlineLvl w:val="2"/>
        <w:rPr>
          <w:rFonts w:hint="default" w:ascii="宋体" w:hAnsi="宋体" w:eastAsia="宋体" w:cs="宋体"/>
          <w:b/>
          <w:bCs/>
          <w:color w:val="auto"/>
          <w:spacing w:val="0"/>
          <w:sz w:val="24"/>
          <w:szCs w:val="24"/>
          <w:highlight w:val="none"/>
          <w:lang w:val="en-US" w:eastAsia="zh-CN"/>
        </w:rPr>
      </w:pPr>
      <w:bookmarkStart w:id="263" w:name="_Toc27207"/>
      <w:r>
        <w:rPr>
          <w:rFonts w:hint="eastAsia" w:ascii="宋体" w:hAnsi="宋体" w:eastAsia="宋体" w:cs="宋体"/>
          <w:b/>
          <w:bCs/>
          <w:color w:val="auto"/>
          <w:spacing w:val="0"/>
          <w:sz w:val="24"/>
          <w:szCs w:val="24"/>
          <w:highlight w:val="none"/>
        </w:rPr>
        <w:t>格式十四</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pacing w:val="0"/>
          <w:position w:val="3"/>
          <w:sz w:val="21"/>
          <w:szCs w:val="21"/>
          <w:highlight w:val="none"/>
        </w:rPr>
        <w:t>投标保证金信用承诺函</w:t>
      </w:r>
      <w:bookmarkEnd w:id="263"/>
    </w:p>
    <w:p w14:paraId="2D2A2C48">
      <w:pPr>
        <w:keepNext w:val="0"/>
        <w:keepLines w:val="0"/>
        <w:pageBreakBefore w:val="0"/>
        <w:wordWrap w:val="0"/>
        <w:overflowPunct/>
        <w:topLinePunct w:val="0"/>
        <w:bidi w:val="0"/>
        <w:spacing w:before="140" w:line="604" w:lineRule="exact"/>
        <w:jc w:val="center"/>
        <w:rPr>
          <w:rFonts w:hint="eastAsia" w:ascii="宋体" w:hAnsi="宋体" w:eastAsia="宋体" w:cs="宋体"/>
          <w:color w:val="auto"/>
          <w:spacing w:val="0"/>
          <w:sz w:val="28"/>
          <w:szCs w:val="28"/>
          <w:highlight w:val="none"/>
        </w:rPr>
      </w:pPr>
      <w:r>
        <w:rPr>
          <w:rFonts w:hint="eastAsia" w:ascii="宋体" w:hAnsi="宋体" w:eastAsia="宋体" w:cs="宋体"/>
          <w:b/>
          <w:bCs/>
          <w:color w:val="auto"/>
          <w:spacing w:val="0"/>
          <w:position w:val="3"/>
          <w:sz w:val="28"/>
          <w:szCs w:val="28"/>
          <w:highlight w:val="none"/>
        </w:rPr>
        <w:t>投标保证金信用承诺函</w:t>
      </w:r>
    </w:p>
    <w:p w14:paraId="66DF5DE4">
      <w:pPr>
        <w:pStyle w:val="6"/>
        <w:keepNext w:val="0"/>
        <w:keepLines w:val="0"/>
        <w:pageBreakBefore w:val="0"/>
        <w:wordWrap w:val="0"/>
        <w:overflowPunct/>
        <w:topLinePunct w:val="0"/>
        <w:bidi w:val="0"/>
        <w:spacing w:line="408" w:lineRule="auto"/>
        <w:rPr>
          <w:rFonts w:hint="eastAsia" w:ascii="宋体" w:hAnsi="宋体" w:eastAsia="宋体" w:cs="宋体"/>
          <w:color w:val="auto"/>
          <w:spacing w:val="0"/>
          <w:highlight w:val="none"/>
        </w:rPr>
      </w:pPr>
    </w:p>
    <w:p w14:paraId="69D0BF15">
      <w:pPr>
        <w:keepNext w:val="0"/>
        <w:keepLines w:val="0"/>
        <w:pageBreakBefore w:val="0"/>
        <w:wordWrap w:val="0"/>
        <w:overflowPunct/>
        <w:topLinePunct w:val="0"/>
        <w:bidi w:val="0"/>
        <w:spacing w:before="101" w:line="257" w:lineRule="auto"/>
        <w:ind w:left="3" w:firstLine="965"/>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一、</w:t>
      </w:r>
      <w:r>
        <w:rPr>
          <w:rFonts w:hint="eastAsia" w:ascii="宋体" w:hAnsi="宋体" w:eastAsia="宋体" w:cs="宋体"/>
          <w:color w:val="auto"/>
          <w:spacing w:val="0"/>
          <w:sz w:val="24"/>
          <w:szCs w:val="24"/>
          <w:highlight w:val="none"/>
        </w:rPr>
        <w:t>我单位参加</w:t>
      </w:r>
      <w:r>
        <w:rPr>
          <w:rFonts w:hint="eastAsia" w:ascii="宋体" w:hAnsi="宋体" w:eastAsia="宋体" w:cs="宋体"/>
          <w:color w:val="auto"/>
          <w:spacing w:val="0"/>
          <w:sz w:val="24"/>
          <w:szCs w:val="24"/>
          <w:highlight w:val="none"/>
          <w:u w:val="single"/>
        </w:rPr>
        <w:t xml:space="preserve">  （工程项目名称）  </w:t>
      </w:r>
      <w:r>
        <w:rPr>
          <w:rFonts w:hint="eastAsia" w:ascii="宋体" w:hAnsi="宋体" w:eastAsia="宋体" w:cs="宋体"/>
          <w:color w:val="auto"/>
          <w:spacing w:val="0"/>
          <w:sz w:val="24"/>
          <w:szCs w:val="24"/>
          <w:highlight w:val="none"/>
        </w:rPr>
        <w:t xml:space="preserve"> 的投标活动，现承诺：将严格按照法律法规规定参与交易活动，按照招标文件要求 依法履行投标人义务；我方若出现违反《中华人民共和国招标投标法》、《中华人民共和国招标投标法实施条例》、《电子招标 投标办法》等有关法律法规的行为，将于投标有效期内全额付清 招标文件规定的投标保证金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 xml:space="preserve"> 元。</w:t>
      </w:r>
    </w:p>
    <w:p w14:paraId="704B9A28">
      <w:pPr>
        <w:keepNext w:val="0"/>
        <w:keepLines w:val="0"/>
        <w:pageBreakBefore w:val="0"/>
        <w:wordWrap w:val="0"/>
        <w:overflowPunct/>
        <w:topLinePunct w:val="0"/>
        <w:bidi w:val="0"/>
        <w:spacing w:before="48" w:line="252" w:lineRule="auto"/>
        <w:ind w:left="1" w:firstLine="647"/>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二、至投标文件提交当天，本公司无严重不良信用记录或存在曾作出虚假承诺的情形，且不属于韶关市建筑市场信用管理平 台公布的信用等级为 B 级、C 级、D 级的企业。</w:t>
      </w:r>
    </w:p>
    <w:p w14:paraId="1700F061">
      <w:pPr>
        <w:keepNext w:val="0"/>
        <w:keepLines w:val="0"/>
        <w:pageBreakBefore w:val="0"/>
        <w:wordWrap w:val="0"/>
        <w:overflowPunct/>
        <w:topLinePunct w:val="0"/>
        <w:bidi w:val="0"/>
        <w:spacing w:before="52" w:line="247" w:lineRule="auto"/>
        <w:ind w:left="6" w:right="2" w:firstLine="63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本企业对以上承诺和声明负责。如有虚假，愿接受行政主管部门作出的处罚，并承担以下后果：</w:t>
      </w:r>
    </w:p>
    <w:p w14:paraId="619E1090">
      <w:pPr>
        <w:keepNext w:val="0"/>
        <w:keepLines w:val="0"/>
        <w:pageBreakBefore w:val="0"/>
        <w:wordWrap w:val="0"/>
        <w:overflowPunct/>
        <w:topLinePunct w:val="0"/>
        <w:bidi w:val="0"/>
        <w:spacing w:before="48" w:line="225" w:lineRule="auto"/>
        <w:ind w:left="6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（一）取消本单位在本项目中的投标资格或中标资格；</w:t>
      </w:r>
    </w:p>
    <w:p w14:paraId="646C0B43">
      <w:pPr>
        <w:keepNext w:val="0"/>
        <w:keepLines w:val="0"/>
        <w:pageBreakBefore w:val="0"/>
        <w:wordWrap w:val="0"/>
        <w:overflowPunct/>
        <w:topLinePunct w:val="0"/>
        <w:bidi w:val="0"/>
        <w:spacing w:before="64" w:line="225" w:lineRule="auto"/>
        <w:ind w:left="6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（二）将本单位不良行为纳入信用信息管理系统；</w:t>
      </w:r>
    </w:p>
    <w:p w14:paraId="6A98DF32">
      <w:pPr>
        <w:keepNext w:val="0"/>
        <w:keepLines w:val="0"/>
        <w:pageBreakBefore w:val="0"/>
        <w:wordWrap w:val="0"/>
        <w:overflowPunct/>
        <w:topLinePunct w:val="0"/>
        <w:bidi w:val="0"/>
        <w:spacing w:before="60" w:line="244" w:lineRule="auto"/>
        <w:ind w:left="41" w:right="2" w:firstLine="61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（三）主动在产生不良行为所在的各县（市、区）行政区域内不参加房建市政工程项目的投标活动一年；</w:t>
      </w:r>
    </w:p>
    <w:p w14:paraId="4917FCE5">
      <w:pPr>
        <w:keepNext w:val="0"/>
        <w:keepLines w:val="0"/>
        <w:pageBreakBefore w:val="0"/>
        <w:wordWrap w:val="0"/>
        <w:overflowPunct/>
        <w:topLinePunct w:val="0"/>
        <w:bidi w:val="0"/>
        <w:spacing w:before="63" w:line="225" w:lineRule="auto"/>
        <w:ind w:left="6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（四）应付的赔偿责任和相应法律责任。</w:t>
      </w:r>
    </w:p>
    <w:p w14:paraId="59535642">
      <w:pPr>
        <w:pStyle w:val="6"/>
        <w:keepNext w:val="0"/>
        <w:keepLines w:val="0"/>
        <w:pageBreakBefore w:val="0"/>
        <w:wordWrap w:val="0"/>
        <w:overflowPunct/>
        <w:topLinePunct w:val="0"/>
        <w:bidi w:val="0"/>
        <w:spacing w:line="329" w:lineRule="auto"/>
        <w:rPr>
          <w:rFonts w:hint="eastAsia" w:ascii="宋体" w:hAnsi="宋体" w:eastAsia="宋体" w:cs="宋体"/>
          <w:color w:val="auto"/>
          <w:spacing w:val="0"/>
          <w:sz w:val="24"/>
          <w:szCs w:val="24"/>
          <w:highlight w:val="none"/>
        </w:rPr>
      </w:pPr>
    </w:p>
    <w:p w14:paraId="1690E963">
      <w:pPr>
        <w:keepNext w:val="0"/>
        <w:keepLines w:val="0"/>
        <w:pageBreakBefore w:val="0"/>
        <w:wordWrap w:val="0"/>
        <w:overflowPunct/>
        <w:topLinePunct w:val="0"/>
        <w:bidi w:val="0"/>
        <w:spacing w:before="102" w:line="225" w:lineRule="auto"/>
        <w:ind w:left="84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单位名称（公章）：</w:t>
      </w:r>
    </w:p>
    <w:p w14:paraId="75190ACB">
      <w:pPr>
        <w:pStyle w:val="6"/>
        <w:keepNext w:val="0"/>
        <w:keepLines w:val="0"/>
        <w:pageBreakBefore w:val="0"/>
        <w:wordWrap w:val="0"/>
        <w:overflowPunct/>
        <w:topLinePunct w:val="0"/>
        <w:bidi w:val="0"/>
        <w:spacing w:line="457" w:lineRule="auto"/>
        <w:rPr>
          <w:rFonts w:hint="eastAsia" w:ascii="宋体" w:hAnsi="宋体" w:eastAsia="宋体" w:cs="宋体"/>
          <w:color w:val="auto"/>
          <w:spacing w:val="0"/>
          <w:sz w:val="24"/>
          <w:szCs w:val="24"/>
          <w:highlight w:val="none"/>
        </w:rPr>
      </w:pPr>
    </w:p>
    <w:p w14:paraId="02A9FEC8">
      <w:pPr>
        <w:keepNext w:val="0"/>
        <w:keepLines w:val="0"/>
        <w:pageBreakBefore w:val="0"/>
        <w:wordWrap w:val="0"/>
        <w:overflowPunct/>
        <w:topLinePunct w:val="0"/>
        <w:bidi w:val="0"/>
        <w:spacing w:before="100" w:line="225" w:lineRule="auto"/>
        <w:ind w:left="85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统一社会信用代码：</w:t>
      </w:r>
    </w:p>
    <w:p w14:paraId="47162351">
      <w:pPr>
        <w:pStyle w:val="6"/>
        <w:keepNext w:val="0"/>
        <w:keepLines w:val="0"/>
        <w:pageBreakBefore w:val="0"/>
        <w:wordWrap w:val="0"/>
        <w:overflowPunct/>
        <w:topLinePunct w:val="0"/>
        <w:bidi w:val="0"/>
        <w:spacing w:line="457" w:lineRule="auto"/>
        <w:rPr>
          <w:rFonts w:hint="eastAsia" w:ascii="宋体" w:hAnsi="宋体" w:eastAsia="宋体" w:cs="宋体"/>
          <w:color w:val="auto"/>
          <w:spacing w:val="0"/>
          <w:sz w:val="24"/>
          <w:szCs w:val="24"/>
          <w:highlight w:val="none"/>
        </w:rPr>
      </w:pPr>
    </w:p>
    <w:p w14:paraId="074D0F90">
      <w:pPr>
        <w:keepNext w:val="0"/>
        <w:keepLines w:val="0"/>
        <w:pageBreakBefore w:val="0"/>
        <w:wordWrap w:val="0"/>
        <w:overflowPunct/>
        <w:topLinePunct w:val="0"/>
        <w:bidi w:val="0"/>
        <w:spacing w:before="102" w:line="543" w:lineRule="auto"/>
        <w:ind w:left="844" w:right="50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法定代表人（签字）：</w:t>
      </w:r>
    </w:p>
    <w:p w14:paraId="3B1E9974">
      <w:pPr>
        <w:keepNext w:val="0"/>
        <w:keepLines w:val="0"/>
        <w:pageBreakBefore w:val="0"/>
        <w:wordWrap w:val="0"/>
        <w:overflowPunct/>
        <w:topLinePunct w:val="0"/>
        <w:bidi w:val="0"/>
        <w:spacing w:before="102" w:line="543" w:lineRule="auto"/>
        <w:ind w:left="844" w:right="50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年   月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日</w:t>
      </w:r>
    </w:p>
    <w:p w14:paraId="08FA8EAC">
      <w:pPr>
        <w:pStyle w:val="14"/>
        <w:keepNext w:val="0"/>
        <w:keepLines w:val="0"/>
        <w:pageBreakBefore w:val="0"/>
        <w:wordWrap w:val="0"/>
        <w:overflowPunct/>
        <w:topLinePunct w:val="0"/>
        <w:bidi w:val="0"/>
        <w:rPr>
          <w:rFonts w:hint="eastAsia" w:ascii="宋体" w:hAnsi="宋体" w:eastAsia="宋体" w:cs="宋体"/>
          <w:color w:val="auto"/>
          <w:spacing w:val="0"/>
          <w:highlight w:val="none"/>
        </w:rPr>
      </w:pPr>
    </w:p>
    <w:p w14:paraId="4A8B10DA">
      <w:pPr>
        <w:pStyle w:val="14"/>
        <w:keepNext w:val="0"/>
        <w:keepLines w:val="0"/>
        <w:pageBreakBefore w:val="0"/>
        <w:wordWrap w:val="0"/>
        <w:overflowPunct/>
        <w:topLinePunct w:val="0"/>
        <w:bidi w:val="0"/>
        <w:rPr>
          <w:rFonts w:hint="eastAsia" w:ascii="宋体" w:hAnsi="宋体" w:eastAsia="宋体" w:cs="宋体"/>
          <w:color w:val="auto"/>
          <w:spacing w:val="0"/>
          <w:sz w:val="24"/>
          <w:szCs w:val="24"/>
          <w:highlight w:val="none"/>
          <w:lang w:eastAsia="zh-CN"/>
        </w:rPr>
        <w:sectPr>
          <w:footerReference r:id="rId24"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954FFED">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64" w:name="_Toc26027"/>
      <w:r>
        <w:rPr>
          <w:rFonts w:hint="eastAsia" w:ascii="宋体" w:hAnsi="宋体" w:eastAsia="宋体" w:cs="宋体"/>
          <w:b/>
          <w:bCs/>
          <w:color w:val="auto"/>
          <w:spacing w:val="0"/>
          <w:sz w:val="24"/>
          <w:szCs w:val="24"/>
          <w:highlight w:val="none"/>
        </w:rPr>
        <w:t>格式十</w:t>
      </w:r>
      <w:r>
        <w:rPr>
          <w:rFonts w:hint="eastAsia" w:ascii="宋体" w:hAnsi="宋体" w:eastAsia="宋体" w:cs="宋体"/>
          <w:b/>
          <w:bCs/>
          <w:color w:val="auto"/>
          <w:spacing w:val="0"/>
          <w:sz w:val="24"/>
          <w:szCs w:val="24"/>
          <w:highlight w:val="none"/>
          <w:lang w:eastAsia="zh-CN"/>
        </w:rPr>
        <w:t>五</w:t>
      </w:r>
      <w:r>
        <w:rPr>
          <w:rFonts w:hint="eastAsia" w:ascii="宋体" w:hAnsi="宋体" w:eastAsia="宋体" w:cs="宋体"/>
          <w:b/>
          <w:bCs/>
          <w:color w:val="auto"/>
          <w:spacing w:val="0"/>
          <w:sz w:val="24"/>
          <w:szCs w:val="24"/>
          <w:highlight w:val="none"/>
        </w:rPr>
        <w:t xml:space="preserve">  原件一览表</w:t>
      </w:r>
      <w:bookmarkEnd w:id="264"/>
    </w:p>
    <w:tbl>
      <w:tblPr>
        <w:tblStyle w:val="15"/>
        <w:tblW w:w="9440"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896"/>
        <w:gridCol w:w="1725"/>
        <w:gridCol w:w="964"/>
        <w:gridCol w:w="719"/>
        <w:gridCol w:w="780"/>
        <w:gridCol w:w="991"/>
        <w:gridCol w:w="1637"/>
      </w:tblGrid>
      <w:tr w14:paraId="6673F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440" w:type="dxa"/>
            <w:gridSpan w:val="8"/>
            <w:vAlign w:val="top"/>
          </w:tcPr>
          <w:p w14:paraId="2C9A0FE6">
            <w:pPr>
              <w:keepNext w:val="0"/>
              <w:keepLines w:val="0"/>
              <w:pageBreakBefore w:val="0"/>
              <w:wordWrap w:val="0"/>
              <w:overflowPunct/>
              <w:topLinePunct w:val="0"/>
              <w:bidi w:val="0"/>
              <w:spacing w:before="132" w:line="220" w:lineRule="auto"/>
              <w:ind w:left="396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原件一览表</w:t>
            </w:r>
          </w:p>
        </w:tc>
      </w:tr>
      <w:tr w14:paraId="6E7B6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624" w:type="dxa"/>
            <w:gridSpan w:val="2"/>
            <w:vAlign w:val="center"/>
          </w:tcPr>
          <w:p w14:paraId="5E648395">
            <w:pPr>
              <w:keepNext w:val="0"/>
              <w:keepLines w:val="0"/>
              <w:pageBreakBefore w:val="0"/>
              <w:wordWrap w:val="0"/>
              <w:overflowPunct/>
              <w:topLinePunct w:val="0"/>
              <w:bidi w:val="0"/>
              <w:spacing w:before="62" w:line="23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工程名称</w:t>
            </w:r>
          </w:p>
        </w:tc>
        <w:tc>
          <w:tcPr>
            <w:tcW w:w="6816" w:type="dxa"/>
            <w:gridSpan w:val="6"/>
            <w:vAlign w:val="top"/>
          </w:tcPr>
          <w:p w14:paraId="2BC3E548">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1BF0E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2624" w:type="dxa"/>
            <w:gridSpan w:val="2"/>
            <w:vAlign w:val="top"/>
          </w:tcPr>
          <w:p w14:paraId="7966F17F">
            <w:pPr>
              <w:keepNext w:val="0"/>
              <w:keepLines w:val="0"/>
              <w:pageBreakBefore w:val="0"/>
              <w:wordWrap w:val="0"/>
              <w:overflowPunct/>
              <w:topLinePunct w:val="0"/>
              <w:bidi w:val="0"/>
              <w:spacing w:before="150" w:line="23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投标人名称(请务必填写单位全称)</w:t>
            </w:r>
          </w:p>
        </w:tc>
        <w:tc>
          <w:tcPr>
            <w:tcW w:w="6816" w:type="dxa"/>
            <w:gridSpan w:val="6"/>
            <w:vAlign w:val="top"/>
          </w:tcPr>
          <w:p w14:paraId="4B21757D">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3FBD0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624" w:type="dxa"/>
            <w:gridSpan w:val="2"/>
            <w:vAlign w:val="top"/>
          </w:tcPr>
          <w:p w14:paraId="4DF9074B">
            <w:pPr>
              <w:keepNext w:val="0"/>
              <w:keepLines w:val="0"/>
              <w:pageBreakBefore w:val="0"/>
              <w:wordWrap w:val="0"/>
              <w:overflowPunct/>
              <w:topLinePunct w:val="0"/>
              <w:bidi w:val="0"/>
              <w:spacing w:before="151"/>
              <w:ind w:right="14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投标人法定代表人或其委托代理人签名</w:t>
            </w:r>
          </w:p>
        </w:tc>
        <w:tc>
          <w:tcPr>
            <w:tcW w:w="2689" w:type="dxa"/>
            <w:gridSpan w:val="2"/>
            <w:vAlign w:val="top"/>
          </w:tcPr>
          <w:p w14:paraId="57D7E207">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499" w:type="dxa"/>
            <w:gridSpan w:val="2"/>
            <w:vAlign w:val="top"/>
          </w:tcPr>
          <w:p w14:paraId="2FDC98C5">
            <w:pPr>
              <w:keepNext w:val="0"/>
              <w:keepLines w:val="0"/>
              <w:pageBreakBefore w:val="0"/>
              <w:wordWrap w:val="0"/>
              <w:overflowPunct/>
              <w:topLinePunct w:val="0"/>
              <w:bidi w:val="0"/>
              <w:spacing w:before="151" w:line="312" w:lineRule="auto"/>
              <w:ind w:right="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手机号码</w:t>
            </w:r>
          </w:p>
        </w:tc>
        <w:tc>
          <w:tcPr>
            <w:tcW w:w="2628" w:type="dxa"/>
            <w:gridSpan w:val="2"/>
            <w:vAlign w:val="top"/>
          </w:tcPr>
          <w:p w14:paraId="21C4D805">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656DC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440" w:type="dxa"/>
            <w:gridSpan w:val="8"/>
            <w:vAlign w:val="top"/>
          </w:tcPr>
          <w:p w14:paraId="70139CF0">
            <w:pPr>
              <w:keepNext w:val="0"/>
              <w:keepLines w:val="0"/>
              <w:pageBreakBefore w:val="0"/>
              <w:wordWrap w:val="0"/>
              <w:overflowPunct/>
              <w:topLinePunct w:val="0"/>
              <w:bidi w:val="0"/>
              <w:spacing w:before="62" w:line="228" w:lineRule="auto"/>
              <w:ind w:left="336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递交的证明材料原件如下：</w:t>
            </w:r>
          </w:p>
        </w:tc>
      </w:tr>
      <w:tr w14:paraId="485AE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28" w:type="dxa"/>
            <w:vAlign w:val="top"/>
          </w:tcPr>
          <w:p w14:paraId="29EDD5ED">
            <w:pPr>
              <w:pStyle w:val="29"/>
              <w:keepNext w:val="0"/>
              <w:keepLines w:val="0"/>
              <w:pageBreakBefore w:val="0"/>
              <w:wordWrap w:val="0"/>
              <w:overflowPunct/>
              <w:topLinePunct w:val="0"/>
              <w:bidi w:val="0"/>
              <w:spacing w:line="257" w:lineRule="auto"/>
              <w:rPr>
                <w:rFonts w:hint="eastAsia" w:ascii="宋体" w:hAnsi="宋体" w:eastAsia="宋体" w:cs="宋体"/>
                <w:color w:val="auto"/>
                <w:spacing w:val="0"/>
                <w:sz w:val="24"/>
                <w:szCs w:val="24"/>
                <w:highlight w:val="none"/>
              </w:rPr>
            </w:pPr>
          </w:p>
          <w:p w14:paraId="1CFDD221">
            <w:pPr>
              <w:keepNext w:val="0"/>
              <w:keepLines w:val="0"/>
              <w:pageBreakBefore w:val="0"/>
              <w:wordWrap w:val="0"/>
              <w:overflowPunct/>
              <w:topLinePunct w:val="0"/>
              <w:bidi w:val="0"/>
              <w:spacing w:before="62" w:line="230" w:lineRule="auto"/>
              <w:ind w:left="15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序号</w:t>
            </w:r>
          </w:p>
        </w:tc>
        <w:tc>
          <w:tcPr>
            <w:tcW w:w="5304" w:type="dxa"/>
            <w:gridSpan w:val="4"/>
            <w:vAlign w:val="top"/>
          </w:tcPr>
          <w:p w14:paraId="5D17C77A">
            <w:pPr>
              <w:pStyle w:val="29"/>
              <w:keepNext w:val="0"/>
              <w:keepLines w:val="0"/>
              <w:pageBreakBefore w:val="0"/>
              <w:wordWrap w:val="0"/>
              <w:overflowPunct/>
              <w:topLinePunct w:val="0"/>
              <w:bidi w:val="0"/>
              <w:spacing w:line="257" w:lineRule="auto"/>
              <w:rPr>
                <w:rFonts w:hint="eastAsia" w:ascii="宋体" w:hAnsi="宋体" w:eastAsia="宋体" w:cs="宋体"/>
                <w:color w:val="auto"/>
                <w:spacing w:val="0"/>
                <w:sz w:val="24"/>
                <w:szCs w:val="24"/>
                <w:highlight w:val="none"/>
              </w:rPr>
            </w:pPr>
          </w:p>
          <w:p w14:paraId="5B061FB8">
            <w:pPr>
              <w:keepNext w:val="0"/>
              <w:keepLines w:val="0"/>
              <w:pageBreakBefore w:val="0"/>
              <w:wordWrap w:val="0"/>
              <w:overflowPunct/>
              <w:topLinePunct w:val="0"/>
              <w:bidi w:val="0"/>
              <w:spacing w:before="61" w:line="228" w:lineRule="auto"/>
              <w:ind w:left="17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证明材料原件名称</w:t>
            </w:r>
          </w:p>
        </w:tc>
        <w:tc>
          <w:tcPr>
            <w:tcW w:w="1771" w:type="dxa"/>
            <w:gridSpan w:val="2"/>
            <w:vAlign w:val="top"/>
          </w:tcPr>
          <w:p w14:paraId="422BA98A">
            <w:pPr>
              <w:pStyle w:val="29"/>
              <w:keepNext w:val="0"/>
              <w:keepLines w:val="0"/>
              <w:pageBreakBefore w:val="0"/>
              <w:wordWrap w:val="0"/>
              <w:overflowPunct/>
              <w:topLinePunct w:val="0"/>
              <w:bidi w:val="0"/>
              <w:spacing w:line="256" w:lineRule="auto"/>
              <w:rPr>
                <w:rFonts w:hint="eastAsia" w:ascii="宋体" w:hAnsi="宋体" w:eastAsia="宋体" w:cs="宋体"/>
                <w:color w:val="auto"/>
                <w:spacing w:val="0"/>
                <w:sz w:val="24"/>
                <w:szCs w:val="24"/>
                <w:highlight w:val="none"/>
              </w:rPr>
            </w:pPr>
          </w:p>
          <w:p w14:paraId="41C47200">
            <w:pPr>
              <w:keepNext w:val="0"/>
              <w:keepLines w:val="0"/>
              <w:pageBreakBefore w:val="0"/>
              <w:wordWrap w:val="0"/>
              <w:overflowPunct/>
              <w:topLinePunct w:val="0"/>
              <w:bidi w:val="0"/>
              <w:spacing w:before="62" w:line="230" w:lineRule="auto"/>
              <w:ind w:left="66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单位</w:t>
            </w:r>
          </w:p>
        </w:tc>
        <w:tc>
          <w:tcPr>
            <w:tcW w:w="1637" w:type="dxa"/>
            <w:vAlign w:val="top"/>
          </w:tcPr>
          <w:p w14:paraId="5F1312ED">
            <w:pPr>
              <w:pStyle w:val="29"/>
              <w:keepNext w:val="0"/>
              <w:keepLines w:val="0"/>
              <w:pageBreakBefore w:val="0"/>
              <w:wordWrap w:val="0"/>
              <w:overflowPunct/>
              <w:topLinePunct w:val="0"/>
              <w:bidi w:val="0"/>
              <w:spacing w:line="256" w:lineRule="auto"/>
              <w:rPr>
                <w:rFonts w:hint="eastAsia" w:ascii="宋体" w:hAnsi="宋体" w:eastAsia="宋体" w:cs="宋体"/>
                <w:color w:val="auto"/>
                <w:spacing w:val="0"/>
                <w:sz w:val="24"/>
                <w:szCs w:val="24"/>
                <w:highlight w:val="none"/>
              </w:rPr>
            </w:pPr>
          </w:p>
          <w:p w14:paraId="2DE0B9E4">
            <w:pPr>
              <w:keepNext w:val="0"/>
              <w:keepLines w:val="0"/>
              <w:pageBreakBefore w:val="0"/>
              <w:wordWrap w:val="0"/>
              <w:overflowPunct/>
              <w:topLinePunct w:val="0"/>
              <w:bidi w:val="0"/>
              <w:spacing w:before="62" w:line="229" w:lineRule="auto"/>
              <w:ind w:left="5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数量</w:t>
            </w:r>
          </w:p>
        </w:tc>
      </w:tr>
      <w:tr w14:paraId="60BE5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7FE0613A">
            <w:pPr>
              <w:keepNext w:val="0"/>
              <w:keepLines w:val="0"/>
              <w:pageBreakBefore w:val="0"/>
              <w:wordWrap w:val="0"/>
              <w:overflowPunct/>
              <w:topLinePunct w:val="0"/>
              <w:bidi w:val="0"/>
              <w:spacing w:before="287" w:line="184" w:lineRule="auto"/>
              <w:ind w:left="3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5304" w:type="dxa"/>
            <w:gridSpan w:val="4"/>
            <w:vAlign w:val="top"/>
          </w:tcPr>
          <w:p w14:paraId="166DC365">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771" w:type="dxa"/>
            <w:gridSpan w:val="2"/>
            <w:vAlign w:val="top"/>
          </w:tcPr>
          <w:p w14:paraId="290AC910">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37" w:type="dxa"/>
            <w:vAlign w:val="top"/>
          </w:tcPr>
          <w:p w14:paraId="35C9C364">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57936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1D20AE0D">
            <w:pPr>
              <w:keepNext w:val="0"/>
              <w:keepLines w:val="0"/>
              <w:pageBreakBefore w:val="0"/>
              <w:wordWrap w:val="0"/>
              <w:overflowPunct/>
              <w:topLinePunct w:val="0"/>
              <w:bidi w:val="0"/>
              <w:spacing w:before="288" w:line="183" w:lineRule="auto"/>
              <w:ind w:left="30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5304" w:type="dxa"/>
            <w:gridSpan w:val="4"/>
            <w:vAlign w:val="top"/>
          </w:tcPr>
          <w:p w14:paraId="406B9462">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771" w:type="dxa"/>
            <w:gridSpan w:val="2"/>
            <w:vAlign w:val="top"/>
          </w:tcPr>
          <w:p w14:paraId="2A131F30">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37" w:type="dxa"/>
            <w:vAlign w:val="top"/>
          </w:tcPr>
          <w:p w14:paraId="5197C04B">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0A66B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36F860A0">
            <w:pPr>
              <w:keepNext w:val="0"/>
              <w:keepLines w:val="0"/>
              <w:pageBreakBefore w:val="0"/>
              <w:wordWrap w:val="0"/>
              <w:overflowPunct/>
              <w:topLinePunct w:val="0"/>
              <w:bidi w:val="0"/>
              <w:spacing w:before="287" w:line="183" w:lineRule="auto"/>
              <w:ind w:left="30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w:t>
            </w:r>
          </w:p>
        </w:tc>
        <w:tc>
          <w:tcPr>
            <w:tcW w:w="5304" w:type="dxa"/>
            <w:gridSpan w:val="4"/>
            <w:vAlign w:val="top"/>
          </w:tcPr>
          <w:p w14:paraId="1B9B38B5">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771" w:type="dxa"/>
            <w:gridSpan w:val="2"/>
            <w:vAlign w:val="top"/>
          </w:tcPr>
          <w:p w14:paraId="77CAD3D1">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37" w:type="dxa"/>
            <w:vAlign w:val="top"/>
          </w:tcPr>
          <w:p w14:paraId="1E1A04AD">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7489D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1AE45D10">
            <w:pPr>
              <w:pStyle w:val="29"/>
              <w:keepNext w:val="0"/>
              <w:keepLines w:val="0"/>
              <w:pageBreakBefore w:val="0"/>
              <w:wordWrap w:val="0"/>
              <w:overflowPunct/>
              <w:topLinePunct w:val="0"/>
              <w:bidi w:val="0"/>
              <w:spacing w:line="348" w:lineRule="auto"/>
              <w:rPr>
                <w:rFonts w:hint="eastAsia" w:ascii="宋体" w:hAnsi="宋体" w:eastAsia="宋体" w:cs="宋体"/>
                <w:color w:val="auto"/>
                <w:spacing w:val="0"/>
                <w:sz w:val="24"/>
                <w:szCs w:val="24"/>
                <w:highlight w:val="none"/>
              </w:rPr>
            </w:pPr>
          </w:p>
          <w:p w14:paraId="547ADE5A">
            <w:pPr>
              <w:keepNext w:val="0"/>
              <w:keepLines w:val="0"/>
              <w:pageBreakBefore w:val="0"/>
              <w:wordWrap w:val="0"/>
              <w:overflowPunct/>
              <w:topLinePunct w:val="0"/>
              <w:bidi w:val="0"/>
              <w:spacing w:before="78" w:line="99" w:lineRule="exact"/>
              <w:ind w:left="18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1"/>
                <w:sz w:val="24"/>
                <w:szCs w:val="24"/>
                <w:highlight w:val="none"/>
              </w:rPr>
              <w:t>...</w:t>
            </w:r>
          </w:p>
        </w:tc>
        <w:tc>
          <w:tcPr>
            <w:tcW w:w="5304" w:type="dxa"/>
            <w:gridSpan w:val="4"/>
            <w:vAlign w:val="top"/>
          </w:tcPr>
          <w:p w14:paraId="4B81671A">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771" w:type="dxa"/>
            <w:gridSpan w:val="2"/>
            <w:vAlign w:val="top"/>
          </w:tcPr>
          <w:p w14:paraId="5388A7E4">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37" w:type="dxa"/>
            <w:vAlign w:val="top"/>
          </w:tcPr>
          <w:p w14:paraId="5AC54456">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0411D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728" w:type="dxa"/>
            <w:vAlign w:val="top"/>
          </w:tcPr>
          <w:p w14:paraId="3EAB39C7">
            <w:pPr>
              <w:pStyle w:val="29"/>
              <w:keepNext w:val="0"/>
              <w:keepLines w:val="0"/>
              <w:pageBreakBefore w:val="0"/>
              <w:wordWrap w:val="0"/>
              <w:overflowPunct/>
              <w:topLinePunct w:val="0"/>
              <w:bidi w:val="0"/>
              <w:spacing w:line="274" w:lineRule="auto"/>
              <w:rPr>
                <w:rFonts w:hint="eastAsia" w:ascii="宋体" w:hAnsi="宋体" w:eastAsia="宋体" w:cs="宋体"/>
                <w:color w:val="auto"/>
                <w:spacing w:val="0"/>
                <w:sz w:val="24"/>
                <w:szCs w:val="24"/>
                <w:highlight w:val="none"/>
              </w:rPr>
            </w:pPr>
          </w:p>
          <w:p w14:paraId="55FD760D">
            <w:pPr>
              <w:pStyle w:val="29"/>
              <w:keepNext w:val="0"/>
              <w:keepLines w:val="0"/>
              <w:pageBreakBefore w:val="0"/>
              <w:wordWrap w:val="0"/>
              <w:overflowPunct/>
              <w:topLinePunct w:val="0"/>
              <w:bidi w:val="0"/>
              <w:spacing w:line="275" w:lineRule="auto"/>
              <w:rPr>
                <w:rFonts w:hint="eastAsia" w:ascii="宋体" w:hAnsi="宋体" w:eastAsia="宋体" w:cs="宋体"/>
                <w:color w:val="auto"/>
                <w:spacing w:val="0"/>
                <w:sz w:val="24"/>
                <w:szCs w:val="24"/>
                <w:highlight w:val="none"/>
              </w:rPr>
            </w:pPr>
          </w:p>
          <w:p w14:paraId="6FFCD2F6">
            <w:pPr>
              <w:pStyle w:val="29"/>
              <w:keepNext w:val="0"/>
              <w:keepLines w:val="0"/>
              <w:pageBreakBefore w:val="0"/>
              <w:wordWrap w:val="0"/>
              <w:overflowPunct/>
              <w:topLinePunct w:val="0"/>
              <w:bidi w:val="0"/>
              <w:spacing w:line="275" w:lineRule="auto"/>
              <w:rPr>
                <w:rFonts w:hint="eastAsia" w:ascii="宋体" w:hAnsi="宋体" w:eastAsia="宋体" w:cs="宋体"/>
                <w:color w:val="auto"/>
                <w:spacing w:val="0"/>
                <w:sz w:val="24"/>
                <w:szCs w:val="24"/>
                <w:highlight w:val="none"/>
              </w:rPr>
            </w:pPr>
          </w:p>
          <w:p w14:paraId="6DA8DAB2">
            <w:pPr>
              <w:keepNext w:val="0"/>
              <w:keepLines w:val="0"/>
              <w:pageBreakBefore w:val="0"/>
              <w:wordWrap w:val="0"/>
              <w:overflowPunct/>
              <w:topLinePunct w:val="0"/>
              <w:bidi w:val="0"/>
              <w:spacing w:before="62" w:line="233" w:lineRule="auto"/>
              <w:ind w:left="2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注意：</w:t>
            </w:r>
          </w:p>
        </w:tc>
        <w:tc>
          <w:tcPr>
            <w:tcW w:w="8712" w:type="dxa"/>
            <w:gridSpan w:val="7"/>
            <w:vAlign w:val="top"/>
          </w:tcPr>
          <w:p w14:paraId="1B3CF7FC">
            <w:pPr>
              <w:keepNext w:val="0"/>
              <w:keepLines w:val="0"/>
              <w:pageBreakBefore w:val="0"/>
              <w:wordWrap w:val="0"/>
              <w:overflowPunct/>
              <w:topLinePunct w:val="0"/>
              <w:bidi w:val="0"/>
              <w:spacing w:before="148"/>
              <w:ind w:left="111" w:right="107" w:firstLine="483"/>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 内容及真实性负责。</w:t>
            </w:r>
          </w:p>
        </w:tc>
      </w:tr>
      <w:tr w14:paraId="59276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2624" w:type="dxa"/>
            <w:gridSpan w:val="2"/>
            <w:vAlign w:val="top"/>
          </w:tcPr>
          <w:p w14:paraId="690ED03F">
            <w:pPr>
              <w:pStyle w:val="29"/>
              <w:keepNext w:val="0"/>
              <w:keepLines w:val="0"/>
              <w:pageBreakBefore w:val="0"/>
              <w:wordWrap w:val="0"/>
              <w:overflowPunct/>
              <w:topLinePunct w:val="0"/>
              <w:bidi w:val="0"/>
              <w:spacing w:line="240" w:lineRule="auto"/>
              <w:rPr>
                <w:rFonts w:hint="eastAsia" w:ascii="宋体" w:hAnsi="宋体" w:eastAsia="宋体" w:cs="宋体"/>
                <w:color w:val="auto"/>
                <w:spacing w:val="0"/>
                <w:sz w:val="24"/>
                <w:szCs w:val="24"/>
                <w:highlight w:val="none"/>
              </w:rPr>
            </w:pPr>
          </w:p>
          <w:p w14:paraId="1307DA3D">
            <w:pPr>
              <w:keepNext w:val="0"/>
              <w:keepLines w:val="0"/>
              <w:pageBreakBefore w:val="0"/>
              <w:wordWrap w:val="0"/>
              <w:overflowPunct/>
              <w:topLinePunct w:val="0"/>
              <w:bidi w:val="0"/>
              <w:spacing w:before="61" w:line="240" w:lineRule="auto"/>
              <w:ind w:left="760" w:right="153" w:hanging="6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接收原件经办人</w:t>
            </w:r>
          </w:p>
          <w:p w14:paraId="6B7C6436">
            <w:pPr>
              <w:keepNext w:val="0"/>
              <w:keepLines w:val="0"/>
              <w:pageBreakBefore w:val="0"/>
              <w:wordWrap w:val="0"/>
              <w:overflowPunct/>
              <w:topLinePunct w:val="0"/>
              <w:bidi w:val="0"/>
              <w:spacing w:before="61" w:line="240" w:lineRule="auto"/>
              <w:ind w:left="760" w:right="153" w:hanging="6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(招标代理)：</w:t>
            </w:r>
          </w:p>
        </w:tc>
        <w:tc>
          <w:tcPr>
            <w:tcW w:w="1725" w:type="dxa"/>
            <w:vAlign w:val="top"/>
          </w:tcPr>
          <w:p w14:paraId="44805BA6">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83" w:type="dxa"/>
            <w:gridSpan w:val="2"/>
            <w:vAlign w:val="top"/>
          </w:tcPr>
          <w:p w14:paraId="1B9C22A3">
            <w:pPr>
              <w:pStyle w:val="29"/>
              <w:keepNext w:val="0"/>
              <w:keepLines w:val="0"/>
              <w:pageBreakBefore w:val="0"/>
              <w:wordWrap w:val="0"/>
              <w:overflowPunct/>
              <w:topLinePunct w:val="0"/>
              <w:bidi w:val="0"/>
              <w:spacing w:line="288" w:lineRule="auto"/>
              <w:rPr>
                <w:rFonts w:hint="eastAsia" w:ascii="宋体" w:hAnsi="宋体" w:eastAsia="宋体" w:cs="宋体"/>
                <w:color w:val="auto"/>
                <w:spacing w:val="0"/>
                <w:sz w:val="24"/>
                <w:szCs w:val="24"/>
                <w:highlight w:val="none"/>
              </w:rPr>
            </w:pPr>
          </w:p>
          <w:p w14:paraId="47465BCA">
            <w:pPr>
              <w:pStyle w:val="29"/>
              <w:keepNext w:val="0"/>
              <w:keepLines w:val="0"/>
              <w:pageBreakBefore w:val="0"/>
              <w:wordWrap w:val="0"/>
              <w:overflowPunct/>
              <w:topLinePunct w:val="0"/>
              <w:bidi w:val="0"/>
              <w:spacing w:line="289" w:lineRule="auto"/>
              <w:rPr>
                <w:rFonts w:hint="eastAsia" w:ascii="宋体" w:hAnsi="宋体" w:eastAsia="宋体" w:cs="宋体"/>
                <w:color w:val="auto"/>
                <w:spacing w:val="0"/>
                <w:sz w:val="24"/>
                <w:szCs w:val="24"/>
                <w:highlight w:val="none"/>
              </w:rPr>
            </w:pPr>
          </w:p>
          <w:p w14:paraId="6AA094DD">
            <w:pPr>
              <w:keepNext w:val="0"/>
              <w:keepLines w:val="0"/>
              <w:pageBreakBefore w:val="0"/>
              <w:wordWrap w:val="0"/>
              <w:overflowPunct/>
              <w:topLinePunct w:val="0"/>
              <w:bidi w:val="0"/>
              <w:spacing w:before="62" w:line="229" w:lineRule="auto"/>
              <w:ind w:left="31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接收时间：</w:t>
            </w:r>
          </w:p>
        </w:tc>
        <w:tc>
          <w:tcPr>
            <w:tcW w:w="3408" w:type="dxa"/>
            <w:gridSpan w:val="3"/>
            <w:vAlign w:val="top"/>
          </w:tcPr>
          <w:p w14:paraId="3C673D5F">
            <w:pPr>
              <w:pStyle w:val="29"/>
              <w:keepNext w:val="0"/>
              <w:keepLines w:val="0"/>
              <w:pageBreakBefore w:val="0"/>
              <w:wordWrap w:val="0"/>
              <w:overflowPunct/>
              <w:topLinePunct w:val="0"/>
              <w:bidi w:val="0"/>
              <w:spacing w:line="288" w:lineRule="auto"/>
              <w:rPr>
                <w:rFonts w:hint="eastAsia" w:ascii="宋体" w:hAnsi="宋体" w:eastAsia="宋体" w:cs="宋体"/>
                <w:color w:val="auto"/>
                <w:spacing w:val="0"/>
                <w:sz w:val="24"/>
                <w:szCs w:val="24"/>
                <w:highlight w:val="none"/>
              </w:rPr>
            </w:pPr>
          </w:p>
          <w:p w14:paraId="42F4F575">
            <w:pPr>
              <w:pStyle w:val="29"/>
              <w:keepNext w:val="0"/>
              <w:keepLines w:val="0"/>
              <w:pageBreakBefore w:val="0"/>
              <w:wordWrap w:val="0"/>
              <w:overflowPunct/>
              <w:topLinePunct w:val="0"/>
              <w:bidi w:val="0"/>
              <w:spacing w:line="289" w:lineRule="auto"/>
              <w:rPr>
                <w:rFonts w:hint="eastAsia" w:ascii="宋体" w:hAnsi="宋体" w:eastAsia="宋体" w:cs="宋体"/>
                <w:color w:val="auto"/>
                <w:spacing w:val="0"/>
                <w:sz w:val="24"/>
                <w:szCs w:val="24"/>
                <w:highlight w:val="none"/>
              </w:rPr>
            </w:pPr>
          </w:p>
          <w:p w14:paraId="08459939">
            <w:pPr>
              <w:keepNext w:val="0"/>
              <w:keepLines w:val="0"/>
              <w:pageBreakBefore w:val="0"/>
              <w:wordWrap w:val="0"/>
              <w:overflowPunct/>
              <w:topLinePunct w:val="0"/>
              <w:bidi w:val="0"/>
              <w:spacing w:before="62" w:line="229"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   月   日   时  分</w:t>
            </w:r>
          </w:p>
        </w:tc>
      </w:tr>
      <w:tr w14:paraId="35BD9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2624" w:type="dxa"/>
            <w:gridSpan w:val="2"/>
            <w:vAlign w:val="top"/>
          </w:tcPr>
          <w:p w14:paraId="7D643159">
            <w:pPr>
              <w:keepNext w:val="0"/>
              <w:keepLines w:val="0"/>
              <w:pageBreakBefore w:val="0"/>
              <w:wordWrap w:val="0"/>
              <w:overflowPunct/>
              <w:topLinePunct w:val="0"/>
              <w:bidi w:val="0"/>
              <w:spacing w:before="155" w:line="240" w:lineRule="auto"/>
              <w:ind w:left="861" w:right="153" w:hanging="69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退还原件接收人</w:t>
            </w:r>
          </w:p>
          <w:p w14:paraId="025ED4CA">
            <w:pPr>
              <w:keepNext w:val="0"/>
              <w:keepLines w:val="0"/>
              <w:pageBreakBefore w:val="0"/>
              <w:wordWrap w:val="0"/>
              <w:overflowPunct/>
              <w:topLinePunct w:val="0"/>
              <w:bidi w:val="0"/>
              <w:spacing w:before="155" w:line="240" w:lineRule="auto"/>
              <w:ind w:left="861" w:right="153" w:hanging="69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p>
        </w:tc>
        <w:tc>
          <w:tcPr>
            <w:tcW w:w="1725" w:type="dxa"/>
            <w:vAlign w:val="top"/>
          </w:tcPr>
          <w:p w14:paraId="026764E9">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83" w:type="dxa"/>
            <w:gridSpan w:val="2"/>
            <w:vAlign w:val="top"/>
          </w:tcPr>
          <w:p w14:paraId="00ECCFF5">
            <w:pPr>
              <w:pStyle w:val="29"/>
              <w:keepNext w:val="0"/>
              <w:keepLines w:val="0"/>
              <w:pageBreakBefore w:val="0"/>
              <w:wordWrap w:val="0"/>
              <w:overflowPunct/>
              <w:topLinePunct w:val="0"/>
              <w:bidi w:val="0"/>
              <w:spacing w:line="336" w:lineRule="auto"/>
              <w:rPr>
                <w:rFonts w:hint="eastAsia" w:ascii="宋体" w:hAnsi="宋体" w:eastAsia="宋体" w:cs="宋体"/>
                <w:color w:val="auto"/>
                <w:spacing w:val="0"/>
                <w:sz w:val="24"/>
                <w:szCs w:val="24"/>
                <w:highlight w:val="none"/>
              </w:rPr>
            </w:pPr>
          </w:p>
          <w:p w14:paraId="7CF0543D">
            <w:pPr>
              <w:keepNext w:val="0"/>
              <w:keepLines w:val="0"/>
              <w:pageBreakBefore w:val="0"/>
              <w:wordWrap w:val="0"/>
              <w:overflowPunct/>
              <w:topLinePunct w:val="0"/>
              <w:bidi w:val="0"/>
              <w:spacing w:before="61" w:line="231" w:lineRule="auto"/>
              <w:ind w:left="3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退还时间：</w:t>
            </w:r>
          </w:p>
        </w:tc>
        <w:tc>
          <w:tcPr>
            <w:tcW w:w="3408" w:type="dxa"/>
            <w:gridSpan w:val="3"/>
            <w:vAlign w:val="top"/>
          </w:tcPr>
          <w:p w14:paraId="1881D9EA">
            <w:pPr>
              <w:pStyle w:val="29"/>
              <w:keepNext w:val="0"/>
              <w:keepLines w:val="0"/>
              <w:pageBreakBefore w:val="0"/>
              <w:wordWrap w:val="0"/>
              <w:overflowPunct/>
              <w:topLinePunct w:val="0"/>
              <w:bidi w:val="0"/>
              <w:spacing w:line="335" w:lineRule="auto"/>
              <w:rPr>
                <w:rFonts w:hint="eastAsia" w:ascii="宋体" w:hAnsi="宋体" w:eastAsia="宋体" w:cs="宋体"/>
                <w:color w:val="auto"/>
                <w:spacing w:val="0"/>
                <w:sz w:val="24"/>
                <w:szCs w:val="24"/>
                <w:highlight w:val="none"/>
              </w:rPr>
            </w:pPr>
          </w:p>
          <w:p w14:paraId="2253F5EA">
            <w:pPr>
              <w:keepNext w:val="0"/>
              <w:keepLines w:val="0"/>
              <w:pageBreakBefore w:val="0"/>
              <w:wordWrap w:val="0"/>
              <w:overflowPunct/>
              <w:topLinePunct w:val="0"/>
              <w:bidi w:val="0"/>
              <w:spacing w:before="62" w:line="229"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   月   日  时   分</w:t>
            </w:r>
          </w:p>
        </w:tc>
      </w:tr>
    </w:tbl>
    <w:p w14:paraId="1BC6BFE4">
      <w:pPr>
        <w:keepNext w:val="0"/>
        <w:keepLines w:val="0"/>
        <w:pageBreakBefore w:val="0"/>
        <w:wordWrap w:val="0"/>
        <w:overflowPunct/>
        <w:topLinePunct w:val="0"/>
        <w:bidi w:val="0"/>
        <w:spacing w:before="78" w:line="220" w:lineRule="auto"/>
        <w:outlineLvl w:val="2"/>
        <w:rPr>
          <w:rFonts w:hint="eastAsia" w:ascii="宋体" w:hAnsi="宋体" w:eastAsia="宋体" w:cs="宋体"/>
          <w:color w:val="auto"/>
          <w:spacing w:val="0"/>
          <w:sz w:val="24"/>
          <w:szCs w:val="24"/>
          <w:highlight w:val="none"/>
        </w:rPr>
      </w:pPr>
      <w:bookmarkStart w:id="265" w:name="bookmark107"/>
      <w:bookmarkEnd w:id="265"/>
      <w:r>
        <w:rPr>
          <w:rFonts w:hint="eastAsia" w:ascii="宋体" w:hAnsi="宋体" w:eastAsia="宋体" w:cs="宋体"/>
          <w:b/>
          <w:bCs/>
          <w:color w:val="auto"/>
          <w:spacing w:val="0"/>
          <w:sz w:val="24"/>
          <w:szCs w:val="24"/>
          <w:highlight w:val="none"/>
        </w:rPr>
        <w:br w:type="page"/>
      </w:r>
      <w:bookmarkStart w:id="266" w:name="_Toc4725"/>
      <w:r>
        <w:rPr>
          <w:rFonts w:hint="eastAsia" w:ascii="宋体" w:hAnsi="宋体" w:eastAsia="宋体" w:cs="宋体"/>
          <w:b/>
          <w:bCs/>
          <w:color w:val="auto"/>
          <w:spacing w:val="0"/>
          <w:sz w:val="24"/>
          <w:szCs w:val="24"/>
          <w:highlight w:val="none"/>
        </w:rPr>
        <w:t>格式</w:t>
      </w:r>
      <w:r>
        <w:rPr>
          <w:rFonts w:hint="eastAsia" w:ascii="宋体" w:hAnsi="宋体" w:eastAsia="宋体" w:cs="宋体"/>
          <w:b/>
          <w:bCs/>
          <w:color w:val="auto"/>
          <w:spacing w:val="0"/>
          <w:sz w:val="24"/>
          <w:szCs w:val="24"/>
          <w:highlight w:val="none"/>
          <w:lang w:val="en-US" w:eastAsia="zh-CN"/>
        </w:rPr>
        <w:t>十六</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定标文件</w:t>
      </w:r>
      <w:r>
        <w:rPr>
          <w:rFonts w:hint="eastAsia" w:ascii="宋体" w:hAnsi="宋体" w:eastAsia="宋体" w:cs="宋体"/>
          <w:b/>
          <w:bCs/>
          <w:color w:val="auto"/>
          <w:spacing w:val="0"/>
          <w:sz w:val="24"/>
          <w:szCs w:val="24"/>
          <w:highlight w:val="none"/>
        </w:rPr>
        <w:t>封面</w:t>
      </w:r>
      <w:bookmarkEnd w:id="266"/>
    </w:p>
    <w:p w14:paraId="5006DC9A">
      <w:pPr>
        <w:pStyle w:val="6"/>
        <w:keepNext w:val="0"/>
        <w:keepLines w:val="0"/>
        <w:pageBreakBefore w:val="0"/>
        <w:wordWrap w:val="0"/>
        <w:overflowPunct/>
        <w:topLinePunct w:val="0"/>
        <w:bidi w:val="0"/>
        <w:spacing w:line="258" w:lineRule="auto"/>
        <w:rPr>
          <w:rFonts w:hint="eastAsia" w:ascii="宋体" w:hAnsi="宋体" w:eastAsia="宋体" w:cs="宋体"/>
          <w:color w:val="auto"/>
          <w:spacing w:val="0"/>
          <w:highlight w:val="none"/>
        </w:rPr>
      </w:pPr>
    </w:p>
    <w:p w14:paraId="34B09997">
      <w:pPr>
        <w:pStyle w:val="6"/>
        <w:keepNext w:val="0"/>
        <w:keepLines w:val="0"/>
        <w:pageBreakBefore w:val="0"/>
        <w:wordWrap w:val="0"/>
        <w:overflowPunct/>
        <w:topLinePunct w:val="0"/>
        <w:bidi w:val="0"/>
        <w:spacing w:line="259" w:lineRule="auto"/>
        <w:rPr>
          <w:rFonts w:hint="eastAsia" w:ascii="宋体" w:hAnsi="宋体" w:eastAsia="宋体" w:cs="宋体"/>
          <w:color w:val="auto"/>
          <w:spacing w:val="0"/>
          <w:highlight w:val="none"/>
        </w:rPr>
      </w:pPr>
    </w:p>
    <w:p w14:paraId="4A87BBC5">
      <w:pPr>
        <w:pStyle w:val="6"/>
        <w:keepNext w:val="0"/>
        <w:keepLines w:val="0"/>
        <w:pageBreakBefore w:val="0"/>
        <w:wordWrap w:val="0"/>
        <w:overflowPunct/>
        <w:topLinePunct w:val="0"/>
        <w:bidi w:val="0"/>
        <w:spacing w:line="259" w:lineRule="auto"/>
        <w:rPr>
          <w:rFonts w:hint="eastAsia" w:ascii="宋体" w:hAnsi="宋体" w:eastAsia="宋体" w:cs="宋体"/>
          <w:color w:val="auto"/>
          <w:spacing w:val="0"/>
          <w:highlight w:val="none"/>
        </w:rPr>
      </w:pPr>
    </w:p>
    <w:p w14:paraId="28D329B3">
      <w:pPr>
        <w:keepNext w:val="0"/>
        <w:keepLines w:val="0"/>
        <w:pageBreakBefore w:val="0"/>
        <w:wordWrap w:val="0"/>
        <w:overflowPunct/>
        <w:topLinePunct w:val="0"/>
        <w:bidi w:val="0"/>
        <w:spacing w:before="153" w:line="225" w:lineRule="auto"/>
        <w:ind w:left="-1" w:leftChars="0" w:firstLine="0" w:firstLineChars="0"/>
        <w:jc w:val="center"/>
        <w:rPr>
          <w:rFonts w:hint="eastAsia" w:ascii="宋体" w:hAnsi="宋体" w:eastAsia="宋体" w:cs="宋体"/>
          <w:color w:val="auto"/>
          <w:spacing w:val="0"/>
          <w:sz w:val="47"/>
          <w:szCs w:val="47"/>
          <w:highlight w:val="none"/>
        </w:rPr>
      </w:pPr>
      <w:r>
        <w:rPr>
          <w:rFonts w:hint="eastAsia" w:ascii="宋体" w:hAnsi="宋体" w:eastAsia="宋体" w:cs="宋体"/>
          <w:b/>
          <w:bCs/>
          <w:color w:val="auto"/>
          <w:spacing w:val="0"/>
          <w:sz w:val="47"/>
          <w:szCs w:val="47"/>
          <w:highlight w:val="none"/>
          <w:u w:val="single"/>
          <w:lang w:val="en-US" w:eastAsia="zh-CN"/>
        </w:rPr>
        <w:t xml:space="preserve">    </w:t>
      </w:r>
      <w:r>
        <w:rPr>
          <w:rFonts w:hint="eastAsia" w:ascii="宋体" w:hAnsi="宋体" w:eastAsia="宋体" w:cs="宋体"/>
          <w:b/>
          <w:bCs/>
          <w:color w:val="auto"/>
          <w:spacing w:val="0"/>
          <w:sz w:val="47"/>
          <w:szCs w:val="47"/>
          <w:highlight w:val="none"/>
          <w:u w:val="single"/>
        </w:rPr>
        <w:t>（项目名称）</w:t>
      </w:r>
      <w:r>
        <w:rPr>
          <w:rFonts w:hint="eastAsia" w:ascii="宋体" w:hAnsi="宋体" w:eastAsia="宋体" w:cs="宋体"/>
          <w:b/>
          <w:bCs/>
          <w:color w:val="auto"/>
          <w:spacing w:val="0"/>
          <w:sz w:val="47"/>
          <w:szCs w:val="47"/>
          <w:highlight w:val="none"/>
          <w:u w:val="none"/>
          <w:lang w:val="en-US" w:eastAsia="zh-CN"/>
        </w:rPr>
        <w:t>施工</w:t>
      </w:r>
      <w:r>
        <w:rPr>
          <w:rFonts w:hint="eastAsia" w:ascii="宋体" w:hAnsi="宋体" w:eastAsia="宋体" w:cs="宋体"/>
          <w:b/>
          <w:bCs/>
          <w:color w:val="auto"/>
          <w:spacing w:val="0"/>
          <w:sz w:val="47"/>
          <w:szCs w:val="47"/>
          <w:highlight w:val="none"/>
        </w:rPr>
        <w:t>招标</w:t>
      </w:r>
    </w:p>
    <w:p w14:paraId="3A78CA2F">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7AD59DF3">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586F1425">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43C3E641">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7C9D8589">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6AE0B3FF">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7CC6864C">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604705F4">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03EF797F">
      <w:pPr>
        <w:pStyle w:val="6"/>
        <w:keepNext w:val="0"/>
        <w:keepLines w:val="0"/>
        <w:pageBreakBefore w:val="0"/>
        <w:wordWrap w:val="0"/>
        <w:overflowPunct/>
        <w:topLinePunct w:val="0"/>
        <w:bidi w:val="0"/>
        <w:spacing w:line="248" w:lineRule="auto"/>
        <w:rPr>
          <w:rFonts w:hint="eastAsia" w:ascii="宋体" w:hAnsi="宋体" w:eastAsia="宋体" w:cs="宋体"/>
          <w:color w:val="auto"/>
          <w:spacing w:val="0"/>
          <w:highlight w:val="none"/>
        </w:rPr>
      </w:pPr>
    </w:p>
    <w:p w14:paraId="4944BE40">
      <w:pPr>
        <w:keepNext w:val="0"/>
        <w:keepLines w:val="0"/>
        <w:pageBreakBefore w:val="0"/>
        <w:wordWrap w:val="0"/>
        <w:overflowPunct/>
        <w:topLinePunct w:val="0"/>
        <w:bidi w:val="0"/>
        <w:spacing w:before="231" w:line="223" w:lineRule="auto"/>
        <w:jc w:val="center"/>
        <w:rPr>
          <w:rFonts w:hint="eastAsia" w:ascii="宋体" w:hAnsi="宋体" w:eastAsia="宋体" w:cs="宋体"/>
          <w:color w:val="auto"/>
          <w:spacing w:val="0"/>
          <w:sz w:val="71"/>
          <w:szCs w:val="71"/>
          <w:highlight w:val="none"/>
        </w:rPr>
      </w:pPr>
      <w:r>
        <w:rPr>
          <w:rFonts w:hint="eastAsia" w:ascii="宋体" w:hAnsi="宋体" w:eastAsia="宋体" w:cs="宋体"/>
          <w:b/>
          <w:bCs/>
          <w:color w:val="auto"/>
          <w:spacing w:val="0"/>
          <w:sz w:val="71"/>
          <w:szCs w:val="71"/>
          <w:highlight w:val="none"/>
          <w:lang w:val="en-US" w:eastAsia="zh-CN"/>
        </w:rPr>
        <w:t>定</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标</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文</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件</w:t>
      </w:r>
    </w:p>
    <w:p w14:paraId="00A1771B">
      <w:pPr>
        <w:pStyle w:val="6"/>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0C409A07">
      <w:pPr>
        <w:pStyle w:val="6"/>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49E76458">
      <w:pPr>
        <w:keepNext w:val="0"/>
        <w:keepLines w:val="0"/>
        <w:pageBreakBefore w:val="0"/>
        <w:wordWrap w:val="0"/>
        <w:overflowPunct/>
        <w:topLinePunct w:val="0"/>
        <w:bidi w:val="0"/>
        <w:rPr>
          <w:rFonts w:hint="eastAsia"/>
          <w:color w:val="auto"/>
          <w:spacing w:val="0"/>
          <w:highlight w:val="none"/>
        </w:rPr>
      </w:pPr>
    </w:p>
    <w:p w14:paraId="5472E38F">
      <w:pPr>
        <w:keepNext w:val="0"/>
        <w:keepLines w:val="0"/>
        <w:pageBreakBefore w:val="0"/>
        <w:wordWrap w:val="0"/>
        <w:overflowPunct/>
        <w:topLinePunct w:val="0"/>
        <w:bidi w:val="0"/>
        <w:rPr>
          <w:rFonts w:hint="eastAsia"/>
          <w:color w:val="auto"/>
          <w:spacing w:val="0"/>
          <w:highlight w:val="none"/>
        </w:rPr>
      </w:pPr>
    </w:p>
    <w:p w14:paraId="0834D83C">
      <w:pPr>
        <w:keepNext w:val="0"/>
        <w:keepLines w:val="0"/>
        <w:pageBreakBefore w:val="0"/>
        <w:wordWrap w:val="0"/>
        <w:overflowPunct/>
        <w:topLinePunct w:val="0"/>
        <w:bidi w:val="0"/>
        <w:rPr>
          <w:rFonts w:hint="eastAsia"/>
          <w:color w:val="auto"/>
          <w:spacing w:val="0"/>
          <w:highlight w:val="none"/>
        </w:rPr>
      </w:pPr>
    </w:p>
    <w:p w14:paraId="34D736C6">
      <w:pPr>
        <w:keepNext w:val="0"/>
        <w:keepLines w:val="0"/>
        <w:pageBreakBefore w:val="0"/>
        <w:wordWrap w:val="0"/>
        <w:overflowPunct/>
        <w:topLinePunct w:val="0"/>
        <w:bidi w:val="0"/>
        <w:rPr>
          <w:rFonts w:hint="eastAsia"/>
          <w:color w:val="auto"/>
          <w:spacing w:val="0"/>
          <w:highlight w:val="none"/>
        </w:rPr>
      </w:pPr>
    </w:p>
    <w:p w14:paraId="30D7943B">
      <w:pPr>
        <w:keepNext w:val="0"/>
        <w:keepLines w:val="0"/>
        <w:pageBreakBefore w:val="0"/>
        <w:wordWrap w:val="0"/>
        <w:overflowPunct/>
        <w:topLinePunct w:val="0"/>
        <w:bidi w:val="0"/>
        <w:rPr>
          <w:rFonts w:hint="eastAsia"/>
          <w:color w:val="auto"/>
          <w:spacing w:val="0"/>
          <w:highlight w:val="none"/>
        </w:rPr>
      </w:pPr>
    </w:p>
    <w:p w14:paraId="4FEE1ED6">
      <w:pPr>
        <w:keepNext w:val="0"/>
        <w:keepLines w:val="0"/>
        <w:pageBreakBefore w:val="0"/>
        <w:wordWrap w:val="0"/>
        <w:overflowPunct/>
        <w:topLinePunct w:val="0"/>
        <w:bidi w:val="0"/>
        <w:rPr>
          <w:rFonts w:hint="eastAsia"/>
          <w:color w:val="auto"/>
          <w:spacing w:val="0"/>
          <w:highlight w:val="none"/>
        </w:rPr>
      </w:pPr>
    </w:p>
    <w:p w14:paraId="27FDCF24">
      <w:pPr>
        <w:keepNext w:val="0"/>
        <w:keepLines w:val="0"/>
        <w:pageBreakBefore w:val="0"/>
        <w:wordWrap w:val="0"/>
        <w:overflowPunct/>
        <w:topLinePunct w:val="0"/>
        <w:bidi w:val="0"/>
        <w:rPr>
          <w:rFonts w:hint="eastAsia"/>
          <w:color w:val="auto"/>
          <w:spacing w:val="0"/>
          <w:highlight w:val="none"/>
        </w:rPr>
      </w:pPr>
    </w:p>
    <w:p w14:paraId="2B6F77E3">
      <w:pPr>
        <w:keepNext w:val="0"/>
        <w:keepLines w:val="0"/>
        <w:pageBreakBefore w:val="0"/>
        <w:wordWrap w:val="0"/>
        <w:overflowPunct/>
        <w:topLinePunct w:val="0"/>
        <w:bidi w:val="0"/>
        <w:rPr>
          <w:rFonts w:hint="eastAsia"/>
          <w:color w:val="auto"/>
          <w:spacing w:val="0"/>
          <w:highlight w:val="none"/>
        </w:rPr>
      </w:pPr>
    </w:p>
    <w:p w14:paraId="33769B22">
      <w:pPr>
        <w:pStyle w:val="47"/>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r>
        <w:rPr>
          <w:rFonts w:hint="eastAsia" w:ascii="宋体" w:hAnsi="宋体" w:eastAsia="宋体" w:cs="宋体"/>
          <w:bCs/>
          <w:snapToGrid w:val="0"/>
          <w:color w:val="auto"/>
          <w:spacing w:val="0"/>
          <w:sz w:val="32"/>
          <w:highlight w:val="none"/>
        </w:rPr>
        <w:t>投标人：</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（盖单位章）</w:t>
      </w:r>
    </w:p>
    <w:p w14:paraId="4A3C1EB5">
      <w:pPr>
        <w:pStyle w:val="47"/>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345CEE2D">
      <w:pPr>
        <w:pStyle w:val="47"/>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32283156">
      <w:pPr>
        <w:pStyle w:val="47"/>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r>
        <w:rPr>
          <w:rFonts w:hint="eastAsia" w:ascii="宋体" w:hAnsi="宋体" w:eastAsia="宋体" w:cs="宋体"/>
          <w:bCs/>
          <w:snapToGrid w:val="0"/>
          <w:color w:val="auto"/>
          <w:spacing w:val="0"/>
          <w:sz w:val="32"/>
          <w:highlight w:val="none"/>
        </w:rPr>
        <w:t>法定代表人或其委托代理人：</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（签字或盖章）</w:t>
      </w:r>
    </w:p>
    <w:p w14:paraId="7D3457AD">
      <w:pPr>
        <w:pStyle w:val="47"/>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687E9E9D">
      <w:pPr>
        <w:pStyle w:val="47"/>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u w:val="single"/>
        </w:rPr>
      </w:pPr>
    </w:p>
    <w:p w14:paraId="15EA410B">
      <w:pPr>
        <w:pStyle w:val="47"/>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
          <w:snapToGrid w:val="0"/>
          <w:color w:val="auto"/>
          <w:spacing w:val="0"/>
          <w:highlight w:val="none"/>
        </w:rPr>
      </w:pP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年</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月</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日</w:t>
      </w:r>
    </w:p>
    <w:p w14:paraId="25CDFBA3">
      <w:pPr>
        <w:spacing w:line="500" w:lineRule="exact"/>
        <w:jc w:val="left"/>
        <w:outlineLvl w:val="2"/>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pacing w:val="0"/>
          <w:sz w:val="24"/>
          <w:szCs w:val="24"/>
          <w:highlight w:val="none"/>
        </w:rPr>
        <w:br w:type="page"/>
      </w:r>
      <w:bookmarkStart w:id="267" w:name="_Toc4519"/>
      <w:r>
        <w:rPr>
          <w:rFonts w:hint="eastAsia" w:ascii="宋体" w:hAnsi="宋体" w:eastAsia="宋体" w:cs="宋体"/>
          <w:b/>
          <w:bCs/>
          <w:color w:val="auto"/>
          <w:spacing w:val="0"/>
          <w:sz w:val="24"/>
          <w:szCs w:val="24"/>
          <w:highlight w:val="none"/>
        </w:rPr>
        <w:t>格式</w:t>
      </w:r>
      <w:r>
        <w:rPr>
          <w:rFonts w:hint="eastAsia" w:ascii="宋体" w:hAnsi="宋体" w:eastAsia="宋体" w:cs="宋体"/>
          <w:b/>
          <w:bCs/>
          <w:color w:val="auto"/>
          <w:spacing w:val="0"/>
          <w:sz w:val="24"/>
          <w:szCs w:val="24"/>
          <w:highlight w:val="none"/>
          <w:lang w:val="en-US" w:eastAsia="zh-CN"/>
        </w:rPr>
        <w:t>十七</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定标因素评审资料</w:t>
      </w:r>
      <w:r>
        <w:rPr>
          <w:rFonts w:hint="eastAsia" w:ascii="宋体" w:hAnsi="宋体" w:eastAsia="宋体" w:cs="宋体"/>
          <w:b/>
          <w:bCs/>
          <w:color w:val="auto"/>
          <w:spacing w:val="0"/>
          <w:sz w:val="24"/>
          <w:szCs w:val="24"/>
          <w:highlight w:val="none"/>
        </w:rPr>
        <w:br w:type="textWrapping"/>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z w:val="30"/>
          <w:szCs w:val="30"/>
          <w:highlight w:val="none"/>
          <w:lang w:eastAsia="zh-CN"/>
        </w:rPr>
        <w:t>定标因素评审资料</w:t>
      </w:r>
      <w:bookmarkEnd w:id="267"/>
    </w:p>
    <w:p w14:paraId="5876F9F4">
      <w:pPr>
        <w:jc w:val="left"/>
        <w:rPr>
          <w:rFonts w:hint="eastAsia" w:ascii="宋体" w:hAnsi="宋体" w:eastAsia="宋体" w:cs="宋体"/>
          <w:color w:val="auto"/>
          <w:sz w:val="24"/>
          <w:highlight w:val="none"/>
          <w:lang w:eastAsia="zh-CN"/>
        </w:rPr>
      </w:pPr>
    </w:p>
    <w:p w14:paraId="3931FE62">
      <w:pPr>
        <w:spacing w:line="50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投标人根据“</w:t>
      </w: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 xml:space="preserve">章 </w:t>
      </w:r>
      <w:r>
        <w:rPr>
          <w:rFonts w:hint="eastAsia" w:ascii="宋体" w:hAnsi="宋体" w:eastAsia="宋体" w:cs="宋体"/>
          <w:b/>
          <w:bCs/>
          <w:color w:val="auto"/>
          <w:sz w:val="24"/>
          <w:szCs w:val="24"/>
          <w:highlight w:val="none"/>
          <w:lang w:val="en-US" w:eastAsia="zh-CN"/>
        </w:rPr>
        <w:t>第三节 16.5”载明的</w:t>
      </w:r>
      <w:r>
        <w:rPr>
          <w:rFonts w:hint="eastAsia" w:ascii="宋体" w:hAnsi="宋体" w:eastAsia="宋体" w:cs="宋体"/>
          <w:b/>
          <w:bCs/>
          <w:color w:val="auto"/>
          <w:sz w:val="24"/>
          <w:szCs w:val="24"/>
          <w:highlight w:val="none"/>
          <w:lang w:eastAsia="zh-CN"/>
        </w:rPr>
        <w:t>定标因素，</w:t>
      </w:r>
      <w:r>
        <w:rPr>
          <w:rFonts w:hint="eastAsia" w:ascii="宋体" w:hAnsi="宋体" w:eastAsia="宋体" w:cs="宋体"/>
          <w:b/>
          <w:bCs/>
          <w:color w:val="auto"/>
          <w:sz w:val="24"/>
          <w:szCs w:val="24"/>
          <w:highlight w:val="none"/>
          <w:lang w:val="en-US" w:eastAsia="zh-CN"/>
        </w:rPr>
        <w:t>提交</w:t>
      </w:r>
      <w:r>
        <w:rPr>
          <w:rFonts w:hint="eastAsia" w:ascii="宋体" w:hAnsi="宋体" w:eastAsia="宋体" w:cs="宋体"/>
          <w:b/>
          <w:bCs/>
          <w:color w:val="auto"/>
          <w:sz w:val="24"/>
          <w:szCs w:val="24"/>
          <w:highlight w:val="none"/>
          <w:lang w:eastAsia="zh-CN"/>
        </w:rPr>
        <w:t>评审资料，</w:t>
      </w:r>
      <w:r>
        <w:rPr>
          <w:rFonts w:hint="eastAsia" w:ascii="宋体" w:hAnsi="宋体" w:eastAsia="宋体" w:cs="宋体"/>
          <w:b/>
          <w:bCs/>
          <w:color w:val="auto"/>
          <w:sz w:val="24"/>
          <w:szCs w:val="24"/>
          <w:highlight w:val="none"/>
          <w:lang w:val="en-US" w:eastAsia="zh-CN"/>
        </w:rPr>
        <w:t>提交的评审资料包括但不限于以下内容</w:t>
      </w:r>
      <w:r>
        <w:rPr>
          <w:rFonts w:hint="eastAsia" w:ascii="宋体" w:hAnsi="宋体" w:eastAsia="宋体" w:cs="宋体"/>
          <w:b/>
          <w:bCs/>
          <w:color w:val="auto"/>
          <w:sz w:val="24"/>
          <w:szCs w:val="24"/>
          <w:highlight w:val="none"/>
          <w:lang w:eastAsia="zh-CN"/>
        </w:rPr>
        <w:t>。</w:t>
      </w:r>
    </w:p>
    <w:p w14:paraId="5B088A7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（1）拟派团队管理能力与水平（履约能力）</w:t>
      </w:r>
    </w:p>
    <w:p w14:paraId="6523790B">
      <w:pPr>
        <w:keepNext w:val="0"/>
        <w:keepLines w:val="0"/>
        <w:pageBreakBefore w:val="0"/>
        <w:widowControl w:val="0"/>
        <w:kinsoku/>
        <w:wordWrap/>
        <w:overflowPunct/>
        <w:topLinePunct w:val="0"/>
        <w:autoSpaceDE/>
        <w:autoSpaceDN/>
        <w:bidi w:val="0"/>
        <w:adjustRightInd/>
        <w:snapToGrid/>
        <w:spacing w:line="400" w:lineRule="exact"/>
        <w:ind w:left="479" w:leftChars="228" w:right="0" w:rightChars="0" w:firstLine="0" w:firstLineChars="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（2）企业信誉</w:t>
      </w:r>
      <w:r>
        <w:rPr>
          <w:rFonts w:hint="eastAsia" w:ascii="宋体" w:hAnsi="宋体" w:eastAsia="宋体" w:cs="宋体"/>
          <w:b w:val="0"/>
          <w:bCs w:val="0"/>
          <w:color w:val="auto"/>
          <w:spacing w:val="0"/>
          <w:position w:val="0"/>
          <w:sz w:val="24"/>
          <w:szCs w:val="24"/>
          <w:highlight w:val="none"/>
          <w:u w:val="none" w:color="auto"/>
          <w:lang w:val="en-US" w:eastAsia="zh-CN"/>
        </w:rPr>
        <w:br w:type="textWrapping"/>
      </w:r>
      <w:r>
        <w:rPr>
          <w:rFonts w:hint="eastAsia" w:ascii="宋体" w:hAnsi="宋体" w:eastAsia="宋体" w:cs="宋体"/>
          <w:b w:val="0"/>
          <w:bCs w:val="0"/>
          <w:color w:val="auto"/>
          <w:spacing w:val="0"/>
          <w:position w:val="0"/>
          <w:sz w:val="24"/>
          <w:szCs w:val="24"/>
          <w:highlight w:val="none"/>
          <w:u w:val="none" w:color="auto"/>
          <w:lang w:val="en-US" w:eastAsia="zh-CN"/>
        </w:rPr>
        <w:t>（3）农民工工资保障情况</w:t>
      </w:r>
      <w:r>
        <w:rPr>
          <w:rFonts w:hint="eastAsia" w:ascii="宋体" w:hAnsi="宋体" w:eastAsia="宋体" w:cs="宋体"/>
          <w:b w:val="0"/>
          <w:bCs w:val="0"/>
          <w:color w:val="auto"/>
          <w:spacing w:val="0"/>
          <w:position w:val="0"/>
          <w:sz w:val="24"/>
          <w:szCs w:val="24"/>
          <w:highlight w:val="none"/>
          <w:u w:val="none" w:color="auto"/>
          <w:lang w:val="en-US" w:eastAsia="zh-CN"/>
        </w:rPr>
        <w:br w:type="textWrapping"/>
      </w:r>
      <w:r>
        <w:rPr>
          <w:rFonts w:hint="eastAsia" w:ascii="宋体" w:hAnsi="宋体" w:eastAsia="宋体" w:cs="宋体"/>
          <w:b w:val="0"/>
          <w:bCs w:val="0"/>
          <w:color w:val="auto"/>
          <w:spacing w:val="0"/>
          <w:position w:val="0"/>
          <w:sz w:val="24"/>
          <w:szCs w:val="24"/>
          <w:highlight w:val="none"/>
          <w:u w:val="none" w:color="auto"/>
          <w:lang w:val="en-US" w:eastAsia="zh-CN"/>
        </w:rPr>
        <w:t>（4）企业实力</w:t>
      </w:r>
    </w:p>
    <w:p w14:paraId="726FFF1A">
      <w:pPr>
        <w:keepNext w:val="0"/>
        <w:keepLines w:val="0"/>
        <w:pageBreakBefore w:val="0"/>
        <w:widowControl w:val="0"/>
        <w:kinsoku/>
        <w:wordWrap/>
        <w:overflowPunct/>
        <w:topLinePunct w:val="0"/>
        <w:autoSpaceDE/>
        <w:autoSpaceDN/>
        <w:bidi w:val="0"/>
        <w:adjustRightInd/>
        <w:snapToGrid/>
        <w:spacing w:line="400" w:lineRule="exact"/>
        <w:ind w:left="479" w:leftChars="228" w:right="0" w:rightChars="0" w:firstLine="0" w:firstLineChars="0"/>
        <w:jc w:val="both"/>
        <w:textAlignment w:val="auto"/>
        <w:outlineLvl w:val="9"/>
        <w:rPr>
          <w:rFonts w:hint="eastAsia"/>
          <w:highlight w:val="none"/>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（5）技术方案</w:t>
      </w:r>
      <w:r>
        <w:rPr>
          <w:rFonts w:hint="eastAsia" w:ascii="宋体" w:hAnsi="宋体" w:eastAsia="宋体" w:cs="宋体"/>
          <w:b w:val="0"/>
          <w:bCs w:val="0"/>
          <w:color w:val="auto"/>
          <w:spacing w:val="0"/>
          <w:position w:val="0"/>
          <w:sz w:val="24"/>
          <w:szCs w:val="24"/>
          <w:highlight w:val="none"/>
          <w:u w:val="none" w:color="auto"/>
          <w:lang w:val="en-US" w:eastAsia="zh-CN"/>
        </w:rPr>
        <w:br w:type="textWrapping"/>
      </w:r>
      <w:r>
        <w:rPr>
          <w:rFonts w:hint="eastAsia" w:ascii="宋体" w:hAnsi="宋体" w:eastAsia="宋体" w:cs="宋体"/>
          <w:b w:val="0"/>
          <w:bCs w:val="0"/>
          <w:color w:val="auto"/>
          <w:spacing w:val="0"/>
          <w:position w:val="0"/>
          <w:sz w:val="24"/>
          <w:szCs w:val="24"/>
          <w:highlight w:val="none"/>
          <w:u w:val="none" w:color="auto"/>
          <w:lang w:val="en-US" w:eastAsia="zh-CN"/>
        </w:rPr>
        <w:t>（6）企业对项目所在地的社会贡献</w:t>
      </w:r>
      <w:r>
        <w:rPr>
          <w:rFonts w:hint="eastAsia" w:ascii="宋体" w:hAnsi="宋体" w:eastAsia="宋体" w:cs="宋体"/>
          <w:b w:val="0"/>
          <w:bCs w:val="0"/>
          <w:color w:val="auto"/>
          <w:spacing w:val="0"/>
          <w:position w:val="0"/>
          <w:sz w:val="24"/>
          <w:szCs w:val="24"/>
          <w:highlight w:val="none"/>
          <w:u w:val="none" w:color="auto"/>
          <w:lang w:val="en-US" w:eastAsia="zh-CN"/>
        </w:rPr>
        <w:br w:type="textWrapping"/>
      </w:r>
      <w:r>
        <w:rPr>
          <w:rFonts w:hint="eastAsia" w:ascii="宋体" w:hAnsi="宋体" w:eastAsia="宋体" w:cs="宋体"/>
          <w:b w:val="0"/>
          <w:bCs w:val="0"/>
          <w:color w:val="auto"/>
          <w:spacing w:val="0"/>
          <w:position w:val="0"/>
          <w:sz w:val="24"/>
          <w:szCs w:val="24"/>
          <w:highlight w:val="none"/>
          <w:u w:val="none" w:color="auto"/>
          <w:lang w:val="en-US" w:eastAsia="zh-CN"/>
        </w:rPr>
        <w:t>（7）</w:t>
      </w:r>
      <w:r>
        <w:rPr>
          <w:rFonts w:hint="eastAsia" w:ascii="宋体" w:hAnsi="宋体" w:eastAsia="宋体" w:cs="宋体"/>
          <w:color w:val="auto"/>
          <w:spacing w:val="0"/>
          <w:sz w:val="24"/>
          <w:szCs w:val="24"/>
          <w:highlight w:val="none"/>
        </w:rPr>
        <w:t>投标人认为有必要补充的其他资料</w:t>
      </w:r>
    </w:p>
    <w:p w14:paraId="328C5C4C">
      <w:pPr>
        <w:spacing w:line="540" w:lineRule="exact"/>
        <w:ind w:firstLine="862" w:firstLineChars="308"/>
        <w:rPr>
          <w:rFonts w:hint="eastAsia" w:ascii="宋体" w:hAnsi="宋体" w:eastAsia="宋体" w:cs="宋体"/>
          <w:color w:val="auto"/>
          <w:sz w:val="28"/>
          <w:szCs w:val="28"/>
          <w:highlight w:val="none"/>
        </w:rPr>
      </w:pPr>
    </w:p>
    <w:p w14:paraId="34E430AE">
      <w:pP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72D2B1B2">
      <w:pPr>
        <w:keepNext w:val="0"/>
        <w:keepLines w:val="0"/>
        <w:pageBreakBefore w:val="0"/>
        <w:wordWrap w:val="0"/>
        <w:overflowPunct/>
        <w:topLinePunct w:val="0"/>
        <w:bidi w:val="0"/>
        <w:spacing w:before="78" w:line="219" w:lineRule="auto"/>
        <w:jc w:val="center"/>
        <w:outlineLvl w:val="1"/>
        <w:rPr>
          <w:rFonts w:hint="eastAsia" w:ascii="宋体" w:hAnsi="宋体" w:eastAsia="宋体" w:cs="宋体"/>
          <w:color w:val="auto"/>
          <w:spacing w:val="0"/>
          <w:highlight w:val="none"/>
        </w:rPr>
      </w:pPr>
      <w:bookmarkStart w:id="268" w:name="_Toc7189"/>
      <w:r>
        <w:rPr>
          <w:rFonts w:hint="eastAsia" w:ascii="宋体" w:hAnsi="宋体" w:eastAsia="宋体" w:cs="宋体"/>
          <w:b/>
          <w:bCs/>
          <w:color w:val="auto"/>
          <w:spacing w:val="0"/>
          <w:sz w:val="24"/>
          <w:szCs w:val="24"/>
          <w:highlight w:val="none"/>
        </w:rPr>
        <w:t>第七章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建设工程施工合同</w:t>
      </w:r>
      <w:bookmarkEnd w:id="268"/>
    </w:p>
    <w:p w14:paraId="5FE97F1E">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4DF00718">
      <w:pPr>
        <w:keepNext w:val="0"/>
        <w:keepLines w:val="0"/>
        <w:pageBreakBefore w:val="0"/>
        <w:wordWrap w:val="0"/>
        <w:overflowPunct/>
        <w:topLinePunct w:val="0"/>
        <w:bidi w:val="0"/>
        <w:spacing w:before="78" w:line="324" w:lineRule="auto"/>
        <w:ind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（略），按《广东省建设工程标准施工合同》（2009 年版）或《建设工程施工合同（示范文本）》（GF—2017—0201）执行。</w:t>
      </w:r>
    </w:p>
    <w:p w14:paraId="17E5A5FF">
      <w:pPr>
        <w:keepNext w:val="0"/>
        <w:keepLines w:val="0"/>
        <w:pageBreakBefore w:val="0"/>
        <w:wordWrap w:val="0"/>
        <w:overflowPunct/>
        <w:topLinePunct w:val="0"/>
        <w:bidi w:val="0"/>
        <w:rPr>
          <w:rFonts w:hint="eastAsia" w:ascii="宋体" w:hAnsi="宋体" w:eastAsia="宋体" w:cs="宋体"/>
          <w:color w:val="auto"/>
          <w:spacing w:val="0"/>
          <w:highlight w:val="none"/>
        </w:rPr>
      </w:pPr>
    </w:p>
    <w:sectPr>
      <w:footerReference r:id="rId25"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F"/>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9C96F">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C6228B">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C6228B">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E5101">
    <w:pPr>
      <w:pStyle w:val="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C1B8FB">
                          <w:pPr>
                            <w:pStyle w:val="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5C1B8FB">
                    <w:pPr>
                      <w:pStyle w:val="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D7779">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09FC0">
                          <w:pPr>
                            <w:pStyle w:val="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F909FC0">
                    <w:pPr>
                      <w:pStyle w:val="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47E2F">
    <w:pPr>
      <w:pStyle w:val="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CA1F44">
                          <w:pPr>
                            <w:pStyle w:val="9"/>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1CA1F44">
                    <w:pPr>
                      <w:pStyle w:val="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0DAE6">
    <w:pPr>
      <w:pStyle w:val="9"/>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33F0FB">
                          <w:pPr>
                            <w:pStyle w:val="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333F0FB">
                    <w:pPr>
                      <w:pStyle w:val="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ED648">
    <w:pPr>
      <w:pStyle w:val="9"/>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25B4F5">
                          <w:pPr>
                            <w:pStyle w:val="9"/>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725B4F5">
                    <w:pPr>
                      <w:pStyle w:val="9"/>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D3B5A">
    <w:pPr>
      <w:pStyle w:val="9"/>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F7C545">
                          <w:pPr>
                            <w:pStyle w:val="9"/>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4F7C545">
                    <w:pPr>
                      <w:pStyle w:val="9"/>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5CED2">
    <w:pPr>
      <w:pStyle w:val="9"/>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9A156">
                          <w:pPr>
                            <w:pStyle w:val="9"/>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599A156">
                    <w:pPr>
                      <w:pStyle w:val="9"/>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5637A">
    <w:pPr>
      <w:pStyle w:val="9"/>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EE01E5">
                          <w:pPr>
                            <w:pStyle w:val="9"/>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CEE01E5">
                    <w:pPr>
                      <w:pStyle w:val="9"/>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596B4">
    <w:pPr>
      <w:pStyle w:val="9"/>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0ADB12">
                          <w:pPr>
                            <w:pStyle w:val="9"/>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5A0ADB12">
                    <w:pPr>
                      <w:pStyle w:val="9"/>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0FBF8">
    <w:pPr>
      <w:pStyle w:val="9"/>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CE9E7">
                          <w:pPr>
                            <w:pStyle w:val="9"/>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13CE9E7">
                    <w:pPr>
                      <w:pStyle w:val="9"/>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30323">
    <w:pPr>
      <w:spacing w:line="179" w:lineRule="auto"/>
      <w:ind w:left="4353"/>
      <w:rPr>
        <w:rFonts w:ascii="宋体" w:hAnsi="宋体" w:eastAsia="宋体" w:cs="宋体"/>
        <w:sz w:val="19"/>
        <w:szCs w:val="19"/>
      </w:rPr>
    </w:pPr>
    <w:r>
      <w:rPr>
        <w:sz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C64830">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C64830">
                    <w:pPr>
                      <w:pStyle w:val="9"/>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宋体" w:hAnsi="宋体" w:eastAsia="宋体" w:cs="宋体"/>
        <w:sz w:val="19"/>
        <w:szCs w:val="19"/>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CD807">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75912">
                          <w:pPr>
                            <w:pStyle w:val="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4E75912">
                    <w:pPr>
                      <w:pStyle w:val="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B9B40">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BA9F09">
                          <w:pPr>
                            <w:pStyle w:val="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7BA9F09">
                    <w:pPr>
                      <w:pStyle w:val="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1F7DF">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D06BD">
                          <w:pPr>
                            <w:pStyle w:val="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BBD06BD">
                    <w:pPr>
                      <w:pStyle w:val="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02D07">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E35F95">
                          <w:pPr>
                            <w:pStyle w:val="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BE35F95">
                    <w:pPr>
                      <w:pStyle w:val="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77F1C">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366B2F">
                          <w:pPr>
                            <w:pStyle w:val="9"/>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5366B2F">
                    <w:pPr>
                      <w:pStyle w:val="9"/>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D432E">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A84CC">
                          <w:pPr>
                            <w:pStyle w:val="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B0A84CC">
                    <w:pPr>
                      <w:pStyle w:val="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4E865">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CD4C48">
                          <w:pPr>
                            <w:pStyle w:val="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5CD4C48">
                    <w:pPr>
                      <w:pStyle w:val="9"/>
                    </w:pPr>
                    <w:r>
                      <w:fldChar w:fldCharType="begin"/>
                    </w:r>
                    <w:r>
                      <w:instrText xml:space="preserve"> PAGE  \* MERGEFORMAT </w:instrText>
                    </w:r>
                    <w:r>
                      <w:fldChar w:fldCharType="separate"/>
                    </w:r>
                    <w:r>
                      <w:t>62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3199E">
    <w:pPr>
      <w:pStyle w:val="6"/>
      <w:spacing w:line="50"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08D8C">
    <w:pPr>
      <w:pStyle w:val="6"/>
      <w:spacing w:line="50"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7E2CB">
    <w:pPr>
      <w:pStyle w:val="6"/>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CB1C2">
    <w:pPr>
      <w:pStyle w:val="6"/>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5CBB09"/>
    <w:multiLevelType w:val="singleLevel"/>
    <w:tmpl w:val="4D5CBB09"/>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ZmUxYzUwZTk0YWQ4OWIxZDY5YjRhZmIwMjUzNzMifQ=="/>
  </w:docVars>
  <w:rsids>
    <w:rsidRoot w:val="4F582EF7"/>
    <w:rsid w:val="000D6A89"/>
    <w:rsid w:val="0012211A"/>
    <w:rsid w:val="003F512F"/>
    <w:rsid w:val="00473031"/>
    <w:rsid w:val="004F4B45"/>
    <w:rsid w:val="00BD0868"/>
    <w:rsid w:val="00D61DC8"/>
    <w:rsid w:val="00F661CB"/>
    <w:rsid w:val="011F0B90"/>
    <w:rsid w:val="01203FAE"/>
    <w:rsid w:val="012A2737"/>
    <w:rsid w:val="013F232E"/>
    <w:rsid w:val="014B09BB"/>
    <w:rsid w:val="014C6B51"/>
    <w:rsid w:val="016471F9"/>
    <w:rsid w:val="01916C5A"/>
    <w:rsid w:val="01B841E6"/>
    <w:rsid w:val="01C26E13"/>
    <w:rsid w:val="01D95F0B"/>
    <w:rsid w:val="02337D11"/>
    <w:rsid w:val="026E699E"/>
    <w:rsid w:val="0273635F"/>
    <w:rsid w:val="02AA30B8"/>
    <w:rsid w:val="02B7625C"/>
    <w:rsid w:val="02BF0C55"/>
    <w:rsid w:val="02C86EA8"/>
    <w:rsid w:val="02F76F90"/>
    <w:rsid w:val="03087FFD"/>
    <w:rsid w:val="03091250"/>
    <w:rsid w:val="03130FFF"/>
    <w:rsid w:val="03227E12"/>
    <w:rsid w:val="032C4E8C"/>
    <w:rsid w:val="0358304C"/>
    <w:rsid w:val="03696A9E"/>
    <w:rsid w:val="037C563F"/>
    <w:rsid w:val="039E06FB"/>
    <w:rsid w:val="03B524C9"/>
    <w:rsid w:val="03C5042E"/>
    <w:rsid w:val="03DE5A5A"/>
    <w:rsid w:val="04021749"/>
    <w:rsid w:val="04115E30"/>
    <w:rsid w:val="04200D92"/>
    <w:rsid w:val="04361E9A"/>
    <w:rsid w:val="043C0BB8"/>
    <w:rsid w:val="04540333"/>
    <w:rsid w:val="048719B2"/>
    <w:rsid w:val="04B21D40"/>
    <w:rsid w:val="04B51863"/>
    <w:rsid w:val="04B67F25"/>
    <w:rsid w:val="04B91C32"/>
    <w:rsid w:val="04BF763A"/>
    <w:rsid w:val="04C07235"/>
    <w:rsid w:val="04C93D12"/>
    <w:rsid w:val="04CE00F8"/>
    <w:rsid w:val="04DC16F3"/>
    <w:rsid w:val="05654685"/>
    <w:rsid w:val="05B2562E"/>
    <w:rsid w:val="05E732EC"/>
    <w:rsid w:val="05EC614B"/>
    <w:rsid w:val="05FE0636"/>
    <w:rsid w:val="06342423"/>
    <w:rsid w:val="063C112F"/>
    <w:rsid w:val="066642EF"/>
    <w:rsid w:val="066C1D20"/>
    <w:rsid w:val="066E18CA"/>
    <w:rsid w:val="069B537E"/>
    <w:rsid w:val="06B156A8"/>
    <w:rsid w:val="06C70A28"/>
    <w:rsid w:val="06C929F2"/>
    <w:rsid w:val="06E67100"/>
    <w:rsid w:val="06EE2458"/>
    <w:rsid w:val="07133987"/>
    <w:rsid w:val="073360BD"/>
    <w:rsid w:val="074B3407"/>
    <w:rsid w:val="0784404A"/>
    <w:rsid w:val="07A1396F"/>
    <w:rsid w:val="07A71DAB"/>
    <w:rsid w:val="07B90CB8"/>
    <w:rsid w:val="07C93C10"/>
    <w:rsid w:val="07E918D6"/>
    <w:rsid w:val="07EC510E"/>
    <w:rsid w:val="08000695"/>
    <w:rsid w:val="082A5712"/>
    <w:rsid w:val="083D3697"/>
    <w:rsid w:val="08C55606"/>
    <w:rsid w:val="08CD7283"/>
    <w:rsid w:val="08D544D0"/>
    <w:rsid w:val="08DB07BA"/>
    <w:rsid w:val="08EB6C4F"/>
    <w:rsid w:val="090A7A31"/>
    <w:rsid w:val="092D5890"/>
    <w:rsid w:val="09532A47"/>
    <w:rsid w:val="09C339A8"/>
    <w:rsid w:val="09EF451D"/>
    <w:rsid w:val="09F06AB0"/>
    <w:rsid w:val="09FA34EB"/>
    <w:rsid w:val="0A182626"/>
    <w:rsid w:val="0A2763AD"/>
    <w:rsid w:val="0A62467A"/>
    <w:rsid w:val="0A7D4664"/>
    <w:rsid w:val="0AD33307"/>
    <w:rsid w:val="0AEE3BCC"/>
    <w:rsid w:val="0AFA6737"/>
    <w:rsid w:val="0AFB0342"/>
    <w:rsid w:val="0B3866B7"/>
    <w:rsid w:val="0B3B5F5C"/>
    <w:rsid w:val="0B644CDF"/>
    <w:rsid w:val="0B936411"/>
    <w:rsid w:val="0BAE2588"/>
    <w:rsid w:val="0BD240F7"/>
    <w:rsid w:val="0C120997"/>
    <w:rsid w:val="0C350433"/>
    <w:rsid w:val="0C3D67FB"/>
    <w:rsid w:val="0C4153D2"/>
    <w:rsid w:val="0C4E3A2A"/>
    <w:rsid w:val="0C5A5E83"/>
    <w:rsid w:val="0C7C281F"/>
    <w:rsid w:val="0CA07D76"/>
    <w:rsid w:val="0CA247B5"/>
    <w:rsid w:val="0CC51EAD"/>
    <w:rsid w:val="0CEB3524"/>
    <w:rsid w:val="0CFE2CC9"/>
    <w:rsid w:val="0D03679A"/>
    <w:rsid w:val="0D046532"/>
    <w:rsid w:val="0D410E67"/>
    <w:rsid w:val="0D786450"/>
    <w:rsid w:val="0DB97443"/>
    <w:rsid w:val="0DCB0DFD"/>
    <w:rsid w:val="0DD203DE"/>
    <w:rsid w:val="0DDC125D"/>
    <w:rsid w:val="0DED346A"/>
    <w:rsid w:val="0DF525DE"/>
    <w:rsid w:val="0DF61CE0"/>
    <w:rsid w:val="0E122ED0"/>
    <w:rsid w:val="0E1E1875"/>
    <w:rsid w:val="0E7362C8"/>
    <w:rsid w:val="0E8958EE"/>
    <w:rsid w:val="0E8E37ED"/>
    <w:rsid w:val="0EAF2E14"/>
    <w:rsid w:val="0EDB59B8"/>
    <w:rsid w:val="0EF30E7F"/>
    <w:rsid w:val="0F1B4006"/>
    <w:rsid w:val="0F312AB7"/>
    <w:rsid w:val="0F7C354D"/>
    <w:rsid w:val="0FA826FB"/>
    <w:rsid w:val="0FB775B8"/>
    <w:rsid w:val="0FC54AB0"/>
    <w:rsid w:val="0FD56EE5"/>
    <w:rsid w:val="0FF44D8A"/>
    <w:rsid w:val="103425BC"/>
    <w:rsid w:val="10433815"/>
    <w:rsid w:val="10484987"/>
    <w:rsid w:val="105858FC"/>
    <w:rsid w:val="1069143D"/>
    <w:rsid w:val="108403E2"/>
    <w:rsid w:val="109275A9"/>
    <w:rsid w:val="10945E1E"/>
    <w:rsid w:val="10C15734"/>
    <w:rsid w:val="10E93831"/>
    <w:rsid w:val="10F47B0D"/>
    <w:rsid w:val="110D36CE"/>
    <w:rsid w:val="11183B29"/>
    <w:rsid w:val="11533574"/>
    <w:rsid w:val="11733C86"/>
    <w:rsid w:val="11785740"/>
    <w:rsid w:val="117874EE"/>
    <w:rsid w:val="11862732"/>
    <w:rsid w:val="118F278E"/>
    <w:rsid w:val="119105B0"/>
    <w:rsid w:val="11994D85"/>
    <w:rsid w:val="11A47985"/>
    <w:rsid w:val="11A830C4"/>
    <w:rsid w:val="11B300BA"/>
    <w:rsid w:val="11D80D88"/>
    <w:rsid w:val="11F1104F"/>
    <w:rsid w:val="11F50B3F"/>
    <w:rsid w:val="121D5BF1"/>
    <w:rsid w:val="123B6992"/>
    <w:rsid w:val="126B2BAF"/>
    <w:rsid w:val="12906AB9"/>
    <w:rsid w:val="12B46AE6"/>
    <w:rsid w:val="12C7072D"/>
    <w:rsid w:val="12E7492B"/>
    <w:rsid w:val="12E74FC1"/>
    <w:rsid w:val="12F27F6E"/>
    <w:rsid w:val="12F53397"/>
    <w:rsid w:val="131A26A8"/>
    <w:rsid w:val="132A4818"/>
    <w:rsid w:val="13313DF9"/>
    <w:rsid w:val="133D279D"/>
    <w:rsid w:val="13842E04"/>
    <w:rsid w:val="1385172F"/>
    <w:rsid w:val="13B36C86"/>
    <w:rsid w:val="13B67F6A"/>
    <w:rsid w:val="13C438FA"/>
    <w:rsid w:val="13E34C75"/>
    <w:rsid w:val="13E7030F"/>
    <w:rsid w:val="14141B79"/>
    <w:rsid w:val="148650F4"/>
    <w:rsid w:val="1505553D"/>
    <w:rsid w:val="150D2643"/>
    <w:rsid w:val="15192D96"/>
    <w:rsid w:val="15446098"/>
    <w:rsid w:val="155663AB"/>
    <w:rsid w:val="15674B8D"/>
    <w:rsid w:val="15793835"/>
    <w:rsid w:val="157955E3"/>
    <w:rsid w:val="15C368B9"/>
    <w:rsid w:val="15DC13FE"/>
    <w:rsid w:val="15E943C5"/>
    <w:rsid w:val="15F3699E"/>
    <w:rsid w:val="16005D04"/>
    <w:rsid w:val="161F618A"/>
    <w:rsid w:val="16223ECC"/>
    <w:rsid w:val="16351E52"/>
    <w:rsid w:val="16505471"/>
    <w:rsid w:val="16613822"/>
    <w:rsid w:val="16737FC1"/>
    <w:rsid w:val="16B80D6A"/>
    <w:rsid w:val="16C60CFC"/>
    <w:rsid w:val="16DF591A"/>
    <w:rsid w:val="1722468F"/>
    <w:rsid w:val="172C4685"/>
    <w:rsid w:val="173157BB"/>
    <w:rsid w:val="1767428D"/>
    <w:rsid w:val="1776627E"/>
    <w:rsid w:val="17C50FB3"/>
    <w:rsid w:val="18226406"/>
    <w:rsid w:val="182A472E"/>
    <w:rsid w:val="1862610F"/>
    <w:rsid w:val="18710487"/>
    <w:rsid w:val="18C06D07"/>
    <w:rsid w:val="18E44014"/>
    <w:rsid w:val="190B3062"/>
    <w:rsid w:val="192D6E10"/>
    <w:rsid w:val="192E77AB"/>
    <w:rsid w:val="19355CC5"/>
    <w:rsid w:val="19597C05"/>
    <w:rsid w:val="1963464B"/>
    <w:rsid w:val="197764F6"/>
    <w:rsid w:val="19847A44"/>
    <w:rsid w:val="1A030385"/>
    <w:rsid w:val="1A200723"/>
    <w:rsid w:val="1A2C70C8"/>
    <w:rsid w:val="1A3A6836"/>
    <w:rsid w:val="1A4A3FE0"/>
    <w:rsid w:val="1A5B5BFF"/>
    <w:rsid w:val="1A6040D2"/>
    <w:rsid w:val="1A8E7D82"/>
    <w:rsid w:val="1AE57555"/>
    <w:rsid w:val="1B297585"/>
    <w:rsid w:val="1B2B0B2B"/>
    <w:rsid w:val="1B707488"/>
    <w:rsid w:val="1B726CF2"/>
    <w:rsid w:val="1B86325E"/>
    <w:rsid w:val="1BB32838"/>
    <w:rsid w:val="1BC25F36"/>
    <w:rsid w:val="1BCD48DA"/>
    <w:rsid w:val="1BF24C7D"/>
    <w:rsid w:val="1C116575"/>
    <w:rsid w:val="1C2A3ADB"/>
    <w:rsid w:val="1C324211"/>
    <w:rsid w:val="1C623275"/>
    <w:rsid w:val="1C7F3E27"/>
    <w:rsid w:val="1C8938BE"/>
    <w:rsid w:val="1C977356"/>
    <w:rsid w:val="1CEE68B6"/>
    <w:rsid w:val="1CFE11EF"/>
    <w:rsid w:val="1D012A8E"/>
    <w:rsid w:val="1D155D67"/>
    <w:rsid w:val="1D1C4C74"/>
    <w:rsid w:val="1D4666F2"/>
    <w:rsid w:val="1DED3012"/>
    <w:rsid w:val="1DFB74DD"/>
    <w:rsid w:val="1E02178A"/>
    <w:rsid w:val="1E3B5065"/>
    <w:rsid w:val="1E3B5B2B"/>
    <w:rsid w:val="1E491296"/>
    <w:rsid w:val="1E504393"/>
    <w:rsid w:val="1E5D49E3"/>
    <w:rsid w:val="1E6432D4"/>
    <w:rsid w:val="1E7352C5"/>
    <w:rsid w:val="1E9F430C"/>
    <w:rsid w:val="1EB53B18"/>
    <w:rsid w:val="1EBD4792"/>
    <w:rsid w:val="1EE461C3"/>
    <w:rsid w:val="1F2465AE"/>
    <w:rsid w:val="1F2962CC"/>
    <w:rsid w:val="1F297E9B"/>
    <w:rsid w:val="1F3C3740"/>
    <w:rsid w:val="1F487665"/>
    <w:rsid w:val="1F4E5D32"/>
    <w:rsid w:val="1F683A66"/>
    <w:rsid w:val="1F721A21"/>
    <w:rsid w:val="1F793D64"/>
    <w:rsid w:val="1F82221D"/>
    <w:rsid w:val="1FA6791C"/>
    <w:rsid w:val="1FB65DB1"/>
    <w:rsid w:val="1FDA1374"/>
    <w:rsid w:val="20210F16"/>
    <w:rsid w:val="206770AC"/>
    <w:rsid w:val="208714FC"/>
    <w:rsid w:val="20AD4C4C"/>
    <w:rsid w:val="20B41F4E"/>
    <w:rsid w:val="20B73CE8"/>
    <w:rsid w:val="20CB1F07"/>
    <w:rsid w:val="20E76E0C"/>
    <w:rsid w:val="21244F9D"/>
    <w:rsid w:val="216E1E9C"/>
    <w:rsid w:val="21BF4CC5"/>
    <w:rsid w:val="222C2B90"/>
    <w:rsid w:val="22457E73"/>
    <w:rsid w:val="2248233E"/>
    <w:rsid w:val="22592440"/>
    <w:rsid w:val="227D2BB6"/>
    <w:rsid w:val="22881D9F"/>
    <w:rsid w:val="229E3272"/>
    <w:rsid w:val="22E70030"/>
    <w:rsid w:val="22EC3898"/>
    <w:rsid w:val="22F866E1"/>
    <w:rsid w:val="23260E04"/>
    <w:rsid w:val="233953DA"/>
    <w:rsid w:val="23444509"/>
    <w:rsid w:val="234F2844"/>
    <w:rsid w:val="23515DF1"/>
    <w:rsid w:val="2363558D"/>
    <w:rsid w:val="237613B4"/>
    <w:rsid w:val="23790749"/>
    <w:rsid w:val="237B4B25"/>
    <w:rsid w:val="2388353B"/>
    <w:rsid w:val="23931F66"/>
    <w:rsid w:val="239A2C36"/>
    <w:rsid w:val="23A208C4"/>
    <w:rsid w:val="23BC52F9"/>
    <w:rsid w:val="23C71C0A"/>
    <w:rsid w:val="23D61A4F"/>
    <w:rsid w:val="24782AD4"/>
    <w:rsid w:val="249C3951"/>
    <w:rsid w:val="249F17D3"/>
    <w:rsid w:val="24A10C0D"/>
    <w:rsid w:val="24C11F9C"/>
    <w:rsid w:val="250C7A19"/>
    <w:rsid w:val="251B6E45"/>
    <w:rsid w:val="251E59E0"/>
    <w:rsid w:val="254479BB"/>
    <w:rsid w:val="254C2D14"/>
    <w:rsid w:val="256D06AE"/>
    <w:rsid w:val="2582242A"/>
    <w:rsid w:val="259077D0"/>
    <w:rsid w:val="25AF7A72"/>
    <w:rsid w:val="25B20381"/>
    <w:rsid w:val="25DB33C1"/>
    <w:rsid w:val="25E42581"/>
    <w:rsid w:val="25F25669"/>
    <w:rsid w:val="260357AC"/>
    <w:rsid w:val="26081331"/>
    <w:rsid w:val="260B6FC2"/>
    <w:rsid w:val="264763B7"/>
    <w:rsid w:val="268B2A3A"/>
    <w:rsid w:val="268B3DAD"/>
    <w:rsid w:val="26A61FB0"/>
    <w:rsid w:val="26B11081"/>
    <w:rsid w:val="26B13700"/>
    <w:rsid w:val="26BE379D"/>
    <w:rsid w:val="26E1530D"/>
    <w:rsid w:val="275131CB"/>
    <w:rsid w:val="27644345"/>
    <w:rsid w:val="277025E4"/>
    <w:rsid w:val="27734537"/>
    <w:rsid w:val="279B1E5B"/>
    <w:rsid w:val="27F356C9"/>
    <w:rsid w:val="282B4E63"/>
    <w:rsid w:val="282B6C11"/>
    <w:rsid w:val="28541BD2"/>
    <w:rsid w:val="28884FF7"/>
    <w:rsid w:val="28B60B0F"/>
    <w:rsid w:val="28D9041B"/>
    <w:rsid w:val="28E16404"/>
    <w:rsid w:val="28F60FCD"/>
    <w:rsid w:val="290F389D"/>
    <w:rsid w:val="291572CF"/>
    <w:rsid w:val="29181BE3"/>
    <w:rsid w:val="292D3028"/>
    <w:rsid w:val="293033DF"/>
    <w:rsid w:val="293D2CA4"/>
    <w:rsid w:val="293E21D3"/>
    <w:rsid w:val="29567CBD"/>
    <w:rsid w:val="2962542C"/>
    <w:rsid w:val="296F1102"/>
    <w:rsid w:val="29A9794B"/>
    <w:rsid w:val="2A58372E"/>
    <w:rsid w:val="2A7228D5"/>
    <w:rsid w:val="2AD73080"/>
    <w:rsid w:val="2B160E6F"/>
    <w:rsid w:val="2B351DFD"/>
    <w:rsid w:val="2B367172"/>
    <w:rsid w:val="2B394379"/>
    <w:rsid w:val="2B500ACD"/>
    <w:rsid w:val="2B784A6E"/>
    <w:rsid w:val="2B790267"/>
    <w:rsid w:val="2B9A7B07"/>
    <w:rsid w:val="2BAE2033"/>
    <w:rsid w:val="2BB37649"/>
    <w:rsid w:val="2BB82A63"/>
    <w:rsid w:val="2BC730F4"/>
    <w:rsid w:val="2BDE23BD"/>
    <w:rsid w:val="2BE42462"/>
    <w:rsid w:val="2BFA2F81"/>
    <w:rsid w:val="2BFD3113"/>
    <w:rsid w:val="2BFD6B16"/>
    <w:rsid w:val="2C0003B4"/>
    <w:rsid w:val="2C15160E"/>
    <w:rsid w:val="2C3152D5"/>
    <w:rsid w:val="2C3A068B"/>
    <w:rsid w:val="2C6426F1"/>
    <w:rsid w:val="2CA156F3"/>
    <w:rsid w:val="2D196656"/>
    <w:rsid w:val="2D236108"/>
    <w:rsid w:val="2D8C0151"/>
    <w:rsid w:val="2D906B09"/>
    <w:rsid w:val="2D9C5EBB"/>
    <w:rsid w:val="2DAC0A59"/>
    <w:rsid w:val="2DCE076A"/>
    <w:rsid w:val="2E9A689E"/>
    <w:rsid w:val="2ED7388A"/>
    <w:rsid w:val="2EDD4BB1"/>
    <w:rsid w:val="2EE212D0"/>
    <w:rsid w:val="2F2729AC"/>
    <w:rsid w:val="2F3C0F4C"/>
    <w:rsid w:val="2F5A6566"/>
    <w:rsid w:val="2F6908DF"/>
    <w:rsid w:val="2FAB20EE"/>
    <w:rsid w:val="2FAD2601"/>
    <w:rsid w:val="2FB82F9F"/>
    <w:rsid w:val="2FE5383E"/>
    <w:rsid w:val="30E67B79"/>
    <w:rsid w:val="313C778B"/>
    <w:rsid w:val="319C13AD"/>
    <w:rsid w:val="31D9592F"/>
    <w:rsid w:val="31E85B72"/>
    <w:rsid w:val="32105FF7"/>
    <w:rsid w:val="321A2D0F"/>
    <w:rsid w:val="322E1126"/>
    <w:rsid w:val="324D664C"/>
    <w:rsid w:val="32504AC8"/>
    <w:rsid w:val="32BE6EB2"/>
    <w:rsid w:val="32C616FD"/>
    <w:rsid w:val="32C7154E"/>
    <w:rsid w:val="32D46E8A"/>
    <w:rsid w:val="3317207A"/>
    <w:rsid w:val="331A6B7B"/>
    <w:rsid w:val="33204F95"/>
    <w:rsid w:val="33396D39"/>
    <w:rsid w:val="335E1849"/>
    <w:rsid w:val="33643EF5"/>
    <w:rsid w:val="33D80BF4"/>
    <w:rsid w:val="33E57C5B"/>
    <w:rsid w:val="34124B0B"/>
    <w:rsid w:val="346F60D7"/>
    <w:rsid w:val="348F605A"/>
    <w:rsid w:val="34A357B5"/>
    <w:rsid w:val="34AA1521"/>
    <w:rsid w:val="34B1049E"/>
    <w:rsid w:val="34C22379"/>
    <w:rsid w:val="34EF2E71"/>
    <w:rsid w:val="34F206CA"/>
    <w:rsid w:val="34F51A33"/>
    <w:rsid w:val="35233259"/>
    <w:rsid w:val="357E4769"/>
    <w:rsid w:val="357F67EE"/>
    <w:rsid w:val="358636D8"/>
    <w:rsid w:val="35B20971"/>
    <w:rsid w:val="35F03248"/>
    <w:rsid w:val="361E1B63"/>
    <w:rsid w:val="363F7EE3"/>
    <w:rsid w:val="365D08DD"/>
    <w:rsid w:val="369E2DBA"/>
    <w:rsid w:val="369F27CF"/>
    <w:rsid w:val="36B60605"/>
    <w:rsid w:val="36C73FA8"/>
    <w:rsid w:val="36CF7301"/>
    <w:rsid w:val="36DB3EF8"/>
    <w:rsid w:val="3701395E"/>
    <w:rsid w:val="37036766"/>
    <w:rsid w:val="3727713D"/>
    <w:rsid w:val="375B08FF"/>
    <w:rsid w:val="375C07A8"/>
    <w:rsid w:val="37704A11"/>
    <w:rsid w:val="379538CC"/>
    <w:rsid w:val="379D2F5B"/>
    <w:rsid w:val="37C45ACE"/>
    <w:rsid w:val="37E335F2"/>
    <w:rsid w:val="37E76AA3"/>
    <w:rsid w:val="380F0528"/>
    <w:rsid w:val="38125B90"/>
    <w:rsid w:val="382B67B9"/>
    <w:rsid w:val="3835053A"/>
    <w:rsid w:val="387463B2"/>
    <w:rsid w:val="38BE1535"/>
    <w:rsid w:val="3955406C"/>
    <w:rsid w:val="395A2DA3"/>
    <w:rsid w:val="397A7B42"/>
    <w:rsid w:val="39B4157B"/>
    <w:rsid w:val="39DF785B"/>
    <w:rsid w:val="3A0D43C8"/>
    <w:rsid w:val="3A1A0893"/>
    <w:rsid w:val="3A4A61CE"/>
    <w:rsid w:val="3A5C534F"/>
    <w:rsid w:val="3A5E69D2"/>
    <w:rsid w:val="3A60099C"/>
    <w:rsid w:val="3A751F07"/>
    <w:rsid w:val="3A8B1791"/>
    <w:rsid w:val="3AA16B06"/>
    <w:rsid w:val="3AD969A0"/>
    <w:rsid w:val="3ADB5466"/>
    <w:rsid w:val="3B20637D"/>
    <w:rsid w:val="3B2C2F74"/>
    <w:rsid w:val="3B351E28"/>
    <w:rsid w:val="3B78218B"/>
    <w:rsid w:val="3B8B205B"/>
    <w:rsid w:val="3BA174BE"/>
    <w:rsid w:val="3BAE1FDB"/>
    <w:rsid w:val="3BAE3989"/>
    <w:rsid w:val="3BC05FBD"/>
    <w:rsid w:val="3BCC3E0F"/>
    <w:rsid w:val="3BD258C9"/>
    <w:rsid w:val="3BDB4052"/>
    <w:rsid w:val="3C123FA5"/>
    <w:rsid w:val="3C242530"/>
    <w:rsid w:val="3C607CD7"/>
    <w:rsid w:val="3C7A315A"/>
    <w:rsid w:val="3C8B7826"/>
    <w:rsid w:val="3C8D17F0"/>
    <w:rsid w:val="3CA078D1"/>
    <w:rsid w:val="3CBA391B"/>
    <w:rsid w:val="3CCA02B2"/>
    <w:rsid w:val="3CDB255C"/>
    <w:rsid w:val="3CE16B32"/>
    <w:rsid w:val="3CE62383"/>
    <w:rsid w:val="3CEC7A2A"/>
    <w:rsid w:val="3D0433A8"/>
    <w:rsid w:val="3D15699B"/>
    <w:rsid w:val="3D6A66B2"/>
    <w:rsid w:val="3D867B10"/>
    <w:rsid w:val="3DA07301"/>
    <w:rsid w:val="3DA663C4"/>
    <w:rsid w:val="3DBF44D4"/>
    <w:rsid w:val="3DC207FD"/>
    <w:rsid w:val="3DCE35B6"/>
    <w:rsid w:val="3DD136B5"/>
    <w:rsid w:val="3DDA1126"/>
    <w:rsid w:val="3DF14E3C"/>
    <w:rsid w:val="3DFC6C2D"/>
    <w:rsid w:val="3E043D34"/>
    <w:rsid w:val="3E0A3EC6"/>
    <w:rsid w:val="3E0D6740"/>
    <w:rsid w:val="3E256F9E"/>
    <w:rsid w:val="3E2609B2"/>
    <w:rsid w:val="3E371A14"/>
    <w:rsid w:val="3E79001F"/>
    <w:rsid w:val="3E7F6463"/>
    <w:rsid w:val="3EAF459C"/>
    <w:rsid w:val="3ECB4852"/>
    <w:rsid w:val="3EEB0292"/>
    <w:rsid w:val="3EF142B8"/>
    <w:rsid w:val="3EF313C9"/>
    <w:rsid w:val="3F281B00"/>
    <w:rsid w:val="3F3E0C3D"/>
    <w:rsid w:val="3F4D76DD"/>
    <w:rsid w:val="3F6902F3"/>
    <w:rsid w:val="3F930BE9"/>
    <w:rsid w:val="3F952DC8"/>
    <w:rsid w:val="3FE15005"/>
    <w:rsid w:val="3FE77469"/>
    <w:rsid w:val="400E2C48"/>
    <w:rsid w:val="401B4FB0"/>
    <w:rsid w:val="401C11D4"/>
    <w:rsid w:val="40324B88"/>
    <w:rsid w:val="403D2804"/>
    <w:rsid w:val="40515615"/>
    <w:rsid w:val="406D5519"/>
    <w:rsid w:val="40B21825"/>
    <w:rsid w:val="40BE641C"/>
    <w:rsid w:val="40C14BE6"/>
    <w:rsid w:val="40E85E9C"/>
    <w:rsid w:val="41173D7E"/>
    <w:rsid w:val="417778B2"/>
    <w:rsid w:val="419B675D"/>
    <w:rsid w:val="42056C09"/>
    <w:rsid w:val="4284143D"/>
    <w:rsid w:val="428D039F"/>
    <w:rsid w:val="42D77BC6"/>
    <w:rsid w:val="42D849DD"/>
    <w:rsid w:val="42FC0E58"/>
    <w:rsid w:val="430B098D"/>
    <w:rsid w:val="431379ED"/>
    <w:rsid w:val="4315253F"/>
    <w:rsid w:val="431B0D9A"/>
    <w:rsid w:val="43210907"/>
    <w:rsid w:val="436C6603"/>
    <w:rsid w:val="437454B8"/>
    <w:rsid w:val="43931A1E"/>
    <w:rsid w:val="43947908"/>
    <w:rsid w:val="43A52A62"/>
    <w:rsid w:val="43AA0EDA"/>
    <w:rsid w:val="43AC6A00"/>
    <w:rsid w:val="43C833F3"/>
    <w:rsid w:val="43CC2BFE"/>
    <w:rsid w:val="43D25E53"/>
    <w:rsid w:val="440138A0"/>
    <w:rsid w:val="44246EDE"/>
    <w:rsid w:val="44384737"/>
    <w:rsid w:val="44692B43"/>
    <w:rsid w:val="44740E09"/>
    <w:rsid w:val="44983428"/>
    <w:rsid w:val="44C47D79"/>
    <w:rsid w:val="450F07D9"/>
    <w:rsid w:val="451A208F"/>
    <w:rsid w:val="453170D2"/>
    <w:rsid w:val="453E5D7D"/>
    <w:rsid w:val="45464C32"/>
    <w:rsid w:val="45AD2F03"/>
    <w:rsid w:val="45BE2A1A"/>
    <w:rsid w:val="45D60635"/>
    <w:rsid w:val="460B7B64"/>
    <w:rsid w:val="4612476D"/>
    <w:rsid w:val="46276812"/>
    <w:rsid w:val="462F50FB"/>
    <w:rsid w:val="46617E0B"/>
    <w:rsid w:val="467653C5"/>
    <w:rsid w:val="4688254A"/>
    <w:rsid w:val="468F5CB4"/>
    <w:rsid w:val="46953618"/>
    <w:rsid w:val="46A4546B"/>
    <w:rsid w:val="46C027C2"/>
    <w:rsid w:val="46DB48E4"/>
    <w:rsid w:val="46E75FA1"/>
    <w:rsid w:val="474820C5"/>
    <w:rsid w:val="475B13E7"/>
    <w:rsid w:val="476B2262"/>
    <w:rsid w:val="477A7EE5"/>
    <w:rsid w:val="477C5396"/>
    <w:rsid w:val="47DD7AD0"/>
    <w:rsid w:val="47F0715F"/>
    <w:rsid w:val="47F51E94"/>
    <w:rsid w:val="481D611E"/>
    <w:rsid w:val="4851130F"/>
    <w:rsid w:val="485D476D"/>
    <w:rsid w:val="48665BDE"/>
    <w:rsid w:val="48B545A9"/>
    <w:rsid w:val="48B979EC"/>
    <w:rsid w:val="48D34790"/>
    <w:rsid w:val="48F21359"/>
    <w:rsid w:val="4942078A"/>
    <w:rsid w:val="494D6EBA"/>
    <w:rsid w:val="49557B3A"/>
    <w:rsid w:val="498C348F"/>
    <w:rsid w:val="49BA4655"/>
    <w:rsid w:val="49CD757C"/>
    <w:rsid w:val="49DA3B9B"/>
    <w:rsid w:val="49EF5898"/>
    <w:rsid w:val="49FA5FEB"/>
    <w:rsid w:val="4A1F268E"/>
    <w:rsid w:val="4A3C6BE3"/>
    <w:rsid w:val="4A62606A"/>
    <w:rsid w:val="4A6F0787"/>
    <w:rsid w:val="4A7638C4"/>
    <w:rsid w:val="4AA76173"/>
    <w:rsid w:val="4AAE1013"/>
    <w:rsid w:val="4AAE6220"/>
    <w:rsid w:val="4ADE1878"/>
    <w:rsid w:val="4ADE2E23"/>
    <w:rsid w:val="4AE64EED"/>
    <w:rsid w:val="4B380D6F"/>
    <w:rsid w:val="4B3933A3"/>
    <w:rsid w:val="4B9257BC"/>
    <w:rsid w:val="4BA47B1F"/>
    <w:rsid w:val="4BBC29D4"/>
    <w:rsid w:val="4BE87B02"/>
    <w:rsid w:val="4C5145E8"/>
    <w:rsid w:val="4C560DCF"/>
    <w:rsid w:val="4C7503BA"/>
    <w:rsid w:val="4C7A50FE"/>
    <w:rsid w:val="4CA73452"/>
    <w:rsid w:val="4CAC00BD"/>
    <w:rsid w:val="4CBE77A4"/>
    <w:rsid w:val="4CC32763"/>
    <w:rsid w:val="4CE622C3"/>
    <w:rsid w:val="4D0F1621"/>
    <w:rsid w:val="4D24354A"/>
    <w:rsid w:val="4D4E6D7A"/>
    <w:rsid w:val="4D785BA5"/>
    <w:rsid w:val="4DF97234"/>
    <w:rsid w:val="4E437F61"/>
    <w:rsid w:val="4E4C36AA"/>
    <w:rsid w:val="4E4F6531"/>
    <w:rsid w:val="4E5210F7"/>
    <w:rsid w:val="4EB7021F"/>
    <w:rsid w:val="4EC409BC"/>
    <w:rsid w:val="4F005E52"/>
    <w:rsid w:val="4F377967"/>
    <w:rsid w:val="4F411EB6"/>
    <w:rsid w:val="4F42646A"/>
    <w:rsid w:val="4F582EF7"/>
    <w:rsid w:val="4F5F63A7"/>
    <w:rsid w:val="4FBA24A4"/>
    <w:rsid w:val="4FDA6E22"/>
    <w:rsid w:val="4FFD0EF1"/>
    <w:rsid w:val="502F4C40"/>
    <w:rsid w:val="50353716"/>
    <w:rsid w:val="50AC44E3"/>
    <w:rsid w:val="510E3C07"/>
    <w:rsid w:val="5135755A"/>
    <w:rsid w:val="514F12D7"/>
    <w:rsid w:val="51754B1B"/>
    <w:rsid w:val="517B73AD"/>
    <w:rsid w:val="518A5306"/>
    <w:rsid w:val="51986815"/>
    <w:rsid w:val="51A37E3C"/>
    <w:rsid w:val="51B66656"/>
    <w:rsid w:val="51D16F4E"/>
    <w:rsid w:val="51D610EC"/>
    <w:rsid w:val="521045FE"/>
    <w:rsid w:val="52534816"/>
    <w:rsid w:val="52634928"/>
    <w:rsid w:val="52E2243E"/>
    <w:rsid w:val="53117559"/>
    <w:rsid w:val="53277999"/>
    <w:rsid w:val="532F31A9"/>
    <w:rsid w:val="53353269"/>
    <w:rsid w:val="533679E8"/>
    <w:rsid w:val="533B7DA0"/>
    <w:rsid w:val="533C18FF"/>
    <w:rsid w:val="536746F1"/>
    <w:rsid w:val="53764934"/>
    <w:rsid w:val="53A35FB7"/>
    <w:rsid w:val="53B536AF"/>
    <w:rsid w:val="53C80FD0"/>
    <w:rsid w:val="53E30294"/>
    <w:rsid w:val="544B3A05"/>
    <w:rsid w:val="546E385E"/>
    <w:rsid w:val="5472334E"/>
    <w:rsid w:val="54856F9C"/>
    <w:rsid w:val="549269FE"/>
    <w:rsid w:val="54A86D6F"/>
    <w:rsid w:val="54AF6350"/>
    <w:rsid w:val="550F1330"/>
    <w:rsid w:val="556829A3"/>
    <w:rsid w:val="55782BE6"/>
    <w:rsid w:val="55A86DD0"/>
    <w:rsid w:val="55B415BA"/>
    <w:rsid w:val="55D243CF"/>
    <w:rsid w:val="55D46448"/>
    <w:rsid w:val="560E3442"/>
    <w:rsid w:val="56111251"/>
    <w:rsid w:val="56132D36"/>
    <w:rsid w:val="56193729"/>
    <w:rsid w:val="56252ADC"/>
    <w:rsid w:val="56327239"/>
    <w:rsid w:val="56426E9F"/>
    <w:rsid w:val="564725B8"/>
    <w:rsid w:val="565959E7"/>
    <w:rsid w:val="56652099"/>
    <w:rsid w:val="56680EAC"/>
    <w:rsid w:val="566D353C"/>
    <w:rsid w:val="569B3338"/>
    <w:rsid w:val="56DE5A63"/>
    <w:rsid w:val="56F269C8"/>
    <w:rsid w:val="57095F85"/>
    <w:rsid w:val="576176AA"/>
    <w:rsid w:val="5765355C"/>
    <w:rsid w:val="57690BD0"/>
    <w:rsid w:val="57CA1153"/>
    <w:rsid w:val="57F56233"/>
    <w:rsid w:val="58460B49"/>
    <w:rsid w:val="584A495B"/>
    <w:rsid w:val="586675E4"/>
    <w:rsid w:val="58765D26"/>
    <w:rsid w:val="58947716"/>
    <w:rsid w:val="58B66C06"/>
    <w:rsid w:val="58D345D7"/>
    <w:rsid w:val="59152645"/>
    <w:rsid w:val="591F4A55"/>
    <w:rsid w:val="59407EBE"/>
    <w:rsid w:val="59495785"/>
    <w:rsid w:val="59537B91"/>
    <w:rsid w:val="5962393D"/>
    <w:rsid w:val="59723955"/>
    <w:rsid w:val="59816B33"/>
    <w:rsid w:val="599C2C1B"/>
    <w:rsid w:val="59BE5287"/>
    <w:rsid w:val="59BF67D8"/>
    <w:rsid w:val="59BF6E54"/>
    <w:rsid w:val="59C96098"/>
    <w:rsid w:val="59CD22DC"/>
    <w:rsid w:val="59FC0840"/>
    <w:rsid w:val="5A1E1195"/>
    <w:rsid w:val="5A2F2D66"/>
    <w:rsid w:val="5A4F3AC1"/>
    <w:rsid w:val="5A9467BF"/>
    <w:rsid w:val="5AAE69DB"/>
    <w:rsid w:val="5AB848EE"/>
    <w:rsid w:val="5AC261B4"/>
    <w:rsid w:val="5ACA056B"/>
    <w:rsid w:val="5AEC0684"/>
    <w:rsid w:val="5AF0582F"/>
    <w:rsid w:val="5B1B6AA6"/>
    <w:rsid w:val="5B1E3B5C"/>
    <w:rsid w:val="5B224E28"/>
    <w:rsid w:val="5B9C02BE"/>
    <w:rsid w:val="5BAF7B56"/>
    <w:rsid w:val="5BF611E3"/>
    <w:rsid w:val="5C0E6052"/>
    <w:rsid w:val="5C313AEE"/>
    <w:rsid w:val="5C7D4F86"/>
    <w:rsid w:val="5C86208C"/>
    <w:rsid w:val="5CAC7619"/>
    <w:rsid w:val="5D072AA1"/>
    <w:rsid w:val="5D211242"/>
    <w:rsid w:val="5D2B49E2"/>
    <w:rsid w:val="5D435D1D"/>
    <w:rsid w:val="5D730EDB"/>
    <w:rsid w:val="5D7C18C6"/>
    <w:rsid w:val="5D902A97"/>
    <w:rsid w:val="5D916BB6"/>
    <w:rsid w:val="5DC32E6C"/>
    <w:rsid w:val="5DE3467B"/>
    <w:rsid w:val="5E000678"/>
    <w:rsid w:val="5E2F5EF2"/>
    <w:rsid w:val="5E61439A"/>
    <w:rsid w:val="5E634018"/>
    <w:rsid w:val="5EB639EA"/>
    <w:rsid w:val="5EDD1D0C"/>
    <w:rsid w:val="5EF54CCE"/>
    <w:rsid w:val="5F0537AA"/>
    <w:rsid w:val="5F1267B5"/>
    <w:rsid w:val="5F2B3E04"/>
    <w:rsid w:val="5F4A1A8C"/>
    <w:rsid w:val="5F760F40"/>
    <w:rsid w:val="5F7D58F2"/>
    <w:rsid w:val="5FC42B81"/>
    <w:rsid w:val="5FD9212E"/>
    <w:rsid w:val="5FE84CD7"/>
    <w:rsid w:val="5FED588E"/>
    <w:rsid w:val="5FFF5CB2"/>
    <w:rsid w:val="600532C8"/>
    <w:rsid w:val="60673F83"/>
    <w:rsid w:val="606E1F64"/>
    <w:rsid w:val="60CE0B25"/>
    <w:rsid w:val="61113EEE"/>
    <w:rsid w:val="61555832"/>
    <w:rsid w:val="6194560C"/>
    <w:rsid w:val="619B6CC1"/>
    <w:rsid w:val="619C4100"/>
    <w:rsid w:val="61A30FEA"/>
    <w:rsid w:val="61BB6EFA"/>
    <w:rsid w:val="61BE5E24"/>
    <w:rsid w:val="61CC5A40"/>
    <w:rsid w:val="61D5316E"/>
    <w:rsid w:val="61DB6D9C"/>
    <w:rsid w:val="623C3CCB"/>
    <w:rsid w:val="6277131B"/>
    <w:rsid w:val="62894736"/>
    <w:rsid w:val="62A274F4"/>
    <w:rsid w:val="62A72D5C"/>
    <w:rsid w:val="62BE63E3"/>
    <w:rsid w:val="62DC02C2"/>
    <w:rsid w:val="62E679C4"/>
    <w:rsid w:val="632E6FDA"/>
    <w:rsid w:val="6345292E"/>
    <w:rsid w:val="635D5082"/>
    <w:rsid w:val="63964B41"/>
    <w:rsid w:val="63CD05A1"/>
    <w:rsid w:val="6410048D"/>
    <w:rsid w:val="64392A67"/>
    <w:rsid w:val="64421F3D"/>
    <w:rsid w:val="64487C27"/>
    <w:rsid w:val="6449399F"/>
    <w:rsid w:val="647C3D75"/>
    <w:rsid w:val="648570CD"/>
    <w:rsid w:val="648A55E8"/>
    <w:rsid w:val="64AD03D2"/>
    <w:rsid w:val="64B66E59"/>
    <w:rsid w:val="64CC5E52"/>
    <w:rsid w:val="650F4B9B"/>
    <w:rsid w:val="654E657D"/>
    <w:rsid w:val="6569254B"/>
    <w:rsid w:val="658630FD"/>
    <w:rsid w:val="65864EAB"/>
    <w:rsid w:val="65AC2438"/>
    <w:rsid w:val="65B13FDF"/>
    <w:rsid w:val="65B768E4"/>
    <w:rsid w:val="65BF216B"/>
    <w:rsid w:val="65C57872"/>
    <w:rsid w:val="65DA0D53"/>
    <w:rsid w:val="65EF0F14"/>
    <w:rsid w:val="66042274"/>
    <w:rsid w:val="66043DF1"/>
    <w:rsid w:val="660D4F6C"/>
    <w:rsid w:val="6614083B"/>
    <w:rsid w:val="661D46CA"/>
    <w:rsid w:val="664A1DF0"/>
    <w:rsid w:val="667B0788"/>
    <w:rsid w:val="66887A48"/>
    <w:rsid w:val="669F48C5"/>
    <w:rsid w:val="66B94E0C"/>
    <w:rsid w:val="66BB1AFB"/>
    <w:rsid w:val="66C8643E"/>
    <w:rsid w:val="66CA0DC7"/>
    <w:rsid w:val="66F0707E"/>
    <w:rsid w:val="66F127F8"/>
    <w:rsid w:val="66F20D2E"/>
    <w:rsid w:val="66F95B50"/>
    <w:rsid w:val="673D6A15"/>
    <w:rsid w:val="67630C3D"/>
    <w:rsid w:val="67960780"/>
    <w:rsid w:val="67BB2DBB"/>
    <w:rsid w:val="68137A51"/>
    <w:rsid w:val="681B0B00"/>
    <w:rsid w:val="682E5386"/>
    <w:rsid w:val="683F57E5"/>
    <w:rsid w:val="68415A7C"/>
    <w:rsid w:val="688D47A2"/>
    <w:rsid w:val="68AF4719"/>
    <w:rsid w:val="68CD623B"/>
    <w:rsid w:val="68DB342A"/>
    <w:rsid w:val="68FD36D6"/>
    <w:rsid w:val="6908207B"/>
    <w:rsid w:val="69311B69"/>
    <w:rsid w:val="694D7A8E"/>
    <w:rsid w:val="69562DE6"/>
    <w:rsid w:val="696012B6"/>
    <w:rsid w:val="69642093"/>
    <w:rsid w:val="6985191D"/>
    <w:rsid w:val="69BD2E65"/>
    <w:rsid w:val="69CA6B08"/>
    <w:rsid w:val="69E57F9F"/>
    <w:rsid w:val="69E95A08"/>
    <w:rsid w:val="6A042666"/>
    <w:rsid w:val="6A9736F0"/>
    <w:rsid w:val="6AB26742"/>
    <w:rsid w:val="6ACF714E"/>
    <w:rsid w:val="6ADC67EC"/>
    <w:rsid w:val="6AF97ECD"/>
    <w:rsid w:val="6B680BAF"/>
    <w:rsid w:val="6B6C68F1"/>
    <w:rsid w:val="6BA17D14"/>
    <w:rsid w:val="6BCC55E2"/>
    <w:rsid w:val="6BE41292"/>
    <w:rsid w:val="6BF43D6E"/>
    <w:rsid w:val="6C3A781B"/>
    <w:rsid w:val="6C6549E1"/>
    <w:rsid w:val="6C884442"/>
    <w:rsid w:val="6CEA7D28"/>
    <w:rsid w:val="6CF25FA0"/>
    <w:rsid w:val="6CF3094C"/>
    <w:rsid w:val="6CF3436B"/>
    <w:rsid w:val="6D1C04A5"/>
    <w:rsid w:val="6D257FA0"/>
    <w:rsid w:val="6D5B6316"/>
    <w:rsid w:val="6D77157D"/>
    <w:rsid w:val="6D9143ED"/>
    <w:rsid w:val="6DC40A12"/>
    <w:rsid w:val="6DC74A88"/>
    <w:rsid w:val="6DDD7C5D"/>
    <w:rsid w:val="6DEA2117"/>
    <w:rsid w:val="6E003EDB"/>
    <w:rsid w:val="6E026AF3"/>
    <w:rsid w:val="6E113780"/>
    <w:rsid w:val="6E2178BF"/>
    <w:rsid w:val="6E236598"/>
    <w:rsid w:val="6E2553E6"/>
    <w:rsid w:val="6E6C4C84"/>
    <w:rsid w:val="6E8C1058"/>
    <w:rsid w:val="6EBF142E"/>
    <w:rsid w:val="6EC10E48"/>
    <w:rsid w:val="6EC9405A"/>
    <w:rsid w:val="6F02798D"/>
    <w:rsid w:val="6F0F5F11"/>
    <w:rsid w:val="6F120DB6"/>
    <w:rsid w:val="6F2946DA"/>
    <w:rsid w:val="6F550DE0"/>
    <w:rsid w:val="6F694185"/>
    <w:rsid w:val="6FD1766A"/>
    <w:rsid w:val="6FEE312C"/>
    <w:rsid w:val="70294E19"/>
    <w:rsid w:val="70512559"/>
    <w:rsid w:val="707443AD"/>
    <w:rsid w:val="7091168B"/>
    <w:rsid w:val="70990122"/>
    <w:rsid w:val="70AB65C5"/>
    <w:rsid w:val="70AF5E49"/>
    <w:rsid w:val="70C60851"/>
    <w:rsid w:val="70D00980"/>
    <w:rsid w:val="70E51DA8"/>
    <w:rsid w:val="70ED4E43"/>
    <w:rsid w:val="71213150"/>
    <w:rsid w:val="712D267F"/>
    <w:rsid w:val="712F47EA"/>
    <w:rsid w:val="713C6679"/>
    <w:rsid w:val="714802B0"/>
    <w:rsid w:val="71660A25"/>
    <w:rsid w:val="71812600"/>
    <w:rsid w:val="71946BA2"/>
    <w:rsid w:val="719C15B2"/>
    <w:rsid w:val="71A843FB"/>
    <w:rsid w:val="71D82792"/>
    <w:rsid w:val="71F94EA8"/>
    <w:rsid w:val="721E450C"/>
    <w:rsid w:val="72514A93"/>
    <w:rsid w:val="7262278F"/>
    <w:rsid w:val="72BA523F"/>
    <w:rsid w:val="730C2768"/>
    <w:rsid w:val="7329331A"/>
    <w:rsid w:val="732A300A"/>
    <w:rsid w:val="739A5FC5"/>
    <w:rsid w:val="73A429A0"/>
    <w:rsid w:val="73BE1CB4"/>
    <w:rsid w:val="73CC7691"/>
    <w:rsid w:val="73D85A6B"/>
    <w:rsid w:val="740861C7"/>
    <w:rsid w:val="74AE1D28"/>
    <w:rsid w:val="74C2331D"/>
    <w:rsid w:val="74CF1255"/>
    <w:rsid w:val="74E7523A"/>
    <w:rsid w:val="74FB54A4"/>
    <w:rsid w:val="751610E2"/>
    <w:rsid w:val="751A7B05"/>
    <w:rsid w:val="751C63E4"/>
    <w:rsid w:val="75611CC1"/>
    <w:rsid w:val="759233F8"/>
    <w:rsid w:val="75D25EEA"/>
    <w:rsid w:val="75DD731F"/>
    <w:rsid w:val="75F62574"/>
    <w:rsid w:val="75FE283B"/>
    <w:rsid w:val="764B039C"/>
    <w:rsid w:val="766641C7"/>
    <w:rsid w:val="766656C3"/>
    <w:rsid w:val="76740D50"/>
    <w:rsid w:val="768014A2"/>
    <w:rsid w:val="768D4B1F"/>
    <w:rsid w:val="76B352F7"/>
    <w:rsid w:val="76B7148E"/>
    <w:rsid w:val="76C22210"/>
    <w:rsid w:val="76CA7E5A"/>
    <w:rsid w:val="77120FDD"/>
    <w:rsid w:val="77214368"/>
    <w:rsid w:val="77490EAB"/>
    <w:rsid w:val="774A4C0C"/>
    <w:rsid w:val="775C2950"/>
    <w:rsid w:val="77610F13"/>
    <w:rsid w:val="776B3787"/>
    <w:rsid w:val="778C37F8"/>
    <w:rsid w:val="77903967"/>
    <w:rsid w:val="779D7E32"/>
    <w:rsid w:val="77B12E34"/>
    <w:rsid w:val="77B32EDF"/>
    <w:rsid w:val="77BF5FFA"/>
    <w:rsid w:val="77CA451A"/>
    <w:rsid w:val="77D46CD2"/>
    <w:rsid w:val="77D83D50"/>
    <w:rsid w:val="77F50340"/>
    <w:rsid w:val="78056103"/>
    <w:rsid w:val="780F6F82"/>
    <w:rsid w:val="781D0CC1"/>
    <w:rsid w:val="7823193A"/>
    <w:rsid w:val="78264F05"/>
    <w:rsid w:val="782E61C7"/>
    <w:rsid w:val="7836235A"/>
    <w:rsid w:val="783B33E4"/>
    <w:rsid w:val="78534B66"/>
    <w:rsid w:val="787B0197"/>
    <w:rsid w:val="787E1A12"/>
    <w:rsid w:val="789467E1"/>
    <w:rsid w:val="78A00DCC"/>
    <w:rsid w:val="78BE10F6"/>
    <w:rsid w:val="78BF6934"/>
    <w:rsid w:val="78C25DA2"/>
    <w:rsid w:val="78D43D28"/>
    <w:rsid w:val="78EE56C6"/>
    <w:rsid w:val="78FD502C"/>
    <w:rsid w:val="792275BE"/>
    <w:rsid w:val="79382508"/>
    <w:rsid w:val="794672BF"/>
    <w:rsid w:val="79532E9E"/>
    <w:rsid w:val="79797086"/>
    <w:rsid w:val="797A5F8B"/>
    <w:rsid w:val="79B42ADE"/>
    <w:rsid w:val="79CA38C6"/>
    <w:rsid w:val="7A3C1D44"/>
    <w:rsid w:val="7A8B158A"/>
    <w:rsid w:val="7AB102CB"/>
    <w:rsid w:val="7ADD5362"/>
    <w:rsid w:val="7AF32002"/>
    <w:rsid w:val="7B1A0118"/>
    <w:rsid w:val="7B2723A2"/>
    <w:rsid w:val="7B62386D"/>
    <w:rsid w:val="7B6E2211"/>
    <w:rsid w:val="7BD217F3"/>
    <w:rsid w:val="7BDC1277"/>
    <w:rsid w:val="7C277454"/>
    <w:rsid w:val="7C594C70"/>
    <w:rsid w:val="7C7C270C"/>
    <w:rsid w:val="7C85264B"/>
    <w:rsid w:val="7CB63E70"/>
    <w:rsid w:val="7CC266CE"/>
    <w:rsid w:val="7CC76395"/>
    <w:rsid w:val="7D00333D"/>
    <w:rsid w:val="7D133A6A"/>
    <w:rsid w:val="7D676E06"/>
    <w:rsid w:val="7D7A30EF"/>
    <w:rsid w:val="7D906276"/>
    <w:rsid w:val="7D9D293A"/>
    <w:rsid w:val="7DB41364"/>
    <w:rsid w:val="7DC87AA7"/>
    <w:rsid w:val="7DE44A0D"/>
    <w:rsid w:val="7E1E7F1F"/>
    <w:rsid w:val="7E2F667A"/>
    <w:rsid w:val="7E321E60"/>
    <w:rsid w:val="7E347D78"/>
    <w:rsid w:val="7E493D4F"/>
    <w:rsid w:val="7E5356EF"/>
    <w:rsid w:val="7E916B3D"/>
    <w:rsid w:val="7E9B65C0"/>
    <w:rsid w:val="7EA95725"/>
    <w:rsid w:val="7EAE0083"/>
    <w:rsid w:val="7F1205F3"/>
    <w:rsid w:val="7F69341C"/>
    <w:rsid w:val="7F6B3277"/>
    <w:rsid w:val="7F7C3A97"/>
    <w:rsid w:val="7F8F2756"/>
    <w:rsid w:val="7FFA67D9"/>
    <w:rsid w:val="89FFB146"/>
    <w:rsid w:val="AF3DDE11"/>
    <w:rsid w:val="B9FE082A"/>
    <w:rsid w:val="FFBBC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autoSpaceDE w:val="0"/>
      <w:autoSpaceDN w:val="0"/>
      <w:adjustRightInd w:val="0"/>
      <w:jc w:val="left"/>
      <w:outlineLvl w:val="0"/>
    </w:pPr>
    <w:rPr>
      <w:kern w:val="0"/>
      <w:sz w:val="30"/>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4"/>
    <w:basedOn w:val="1"/>
    <w:next w:val="1"/>
    <w:qFormat/>
    <w:uiPriority w:val="0"/>
    <w:pPr>
      <w:keepNext/>
      <w:keepLines/>
      <w:spacing w:line="374" w:lineRule="auto"/>
      <w:outlineLvl w:val="3"/>
    </w:pPr>
    <w:rPr>
      <w:rFonts w:ascii="Arial" w:hAnsi="Arial"/>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annotation text"/>
    <w:basedOn w:val="1"/>
    <w:next w:val="1"/>
    <w:qFormat/>
    <w:uiPriority w:val="0"/>
    <w:pPr>
      <w:adjustRightInd w:val="0"/>
      <w:spacing w:line="360" w:lineRule="atLeast"/>
      <w:jc w:val="left"/>
      <w:textAlignment w:val="baseline"/>
    </w:pPr>
    <w:rPr>
      <w:kern w:val="0"/>
    </w:r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toc 3"/>
    <w:basedOn w:val="1"/>
    <w:next w:val="1"/>
    <w:qFormat/>
    <w:uiPriority w:val="0"/>
    <w:pPr>
      <w:ind w:left="840" w:leftChars="400"/>
    </w:p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Body Text 2"/>
    <w:basedOn w:val="1"/>
    <w:next w:val="6"/>
    <w:qFormat/>
    <w:uiPriority w:val="0"/>
    <w:pPr>
      <w:spacing w:line="500" w:lineRule="exact"/>
    </w:pPr>
    <w:rPr>
      <w:rFonts w:ascii="宋体"/>
      <w:sz w:val="24"/>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6"/>
    <w:qFormat/>
    <w:uiPriority w:val="99"/>
    <w:pPr>
      <w:spacing w:line="240" w:lineRule="auto"/>
      <w:ind w:firstLine="420" w:firstLineChars="100"/>
    </w:pPr>
    <w:rPr>
      <w:rFonts w:ascii="Times New Roman" w:cs="Times New Roman"/>
      <w:sz w:val="20"/>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FollowedHyperlink"/>
    <w:basedOn w:val="17"/>
    <w:qFormat/>
    <w:uiPriority w:val="0"/>
    <w:rPr>
      <w:color w:val="333333"/>
      <w:u w:val="none"/>
    </w:rPr>
  </w:style>
  <w:style w:type="character" w:styleId="20">
    <w:name w:val="Emphasis"/>
    <w:basedOn w:val="17"/>
    <w:qFormat/>
    <w:uiPriority w:val="0"/>
    <w:rPr>
      <w:i/>
    </w:rPr>
  </w:style>
  <w:style w:type="character" w:styleId="21">
    <w:name w:val="HTML Variable"/>
    <w:basedOn w:val="17"/>
    <w:qFormat/>
    <w:uiPriority w:val="0"/>
    <w:rPr>
      <w:i/>
    </w:rPr>
  </w:style>
  <w:style w:type="character" w:styleId="22">
    <w:name w:val="Hyperlink"/>
    <w:basedOn w:val="17"/>
    <w:qFormat/>
    <w:uiPriority w:val="0"/>
    <w:rPr>
      <w:color w:val="333333"/>
      <w:u w:val="none"/>
    </w:rPr>
  </w:style>
  <w:style w:type="character" w:styleId="23">
    <w:name w:val="HTML Code"/>
    <w:basedOn w:val="17"/>
    <w:qFormat/>
    <w:uiPriority w:val="0"/>
    <w:rPr>
      <w:rFonts w:ascii="Courier New" w:hAnsi="Courier New"/>
      <w:sz w:val="20"/>
    </w:rPr>
  </w:style>
  <w:style w:type="character" w:styleId="24">
    <w:name w:val="HTML Cite"/>
    <w:basedOn w:val="17"/>
    <w:qFormat/>
    <w:uiPriority w:val="0"/>
    <w:rPr>
      <w:i/>
    </w:rPr>
  </w:style>
  <w:style w:type="paragraph" w:customStyle="1" w:styleId="25">
    <w:name w:val="样式 宋体 行距: 1.5 倍行距"/>
    <w:basedOn w:val="26"/>
    <w:next w:val="1"/>
    <w:qFormat/>
    <w:uiPriority w:val="99"/>
    <w:pPr>
      <w:widowControl w:val="0"/>
      <w:jc w:val="center"/>
    </w:pPr>
    <w:rPr>
      <w:rFonts w:ascii="Times New Roman" w:hAnsi="Calibri" w:eastAsia="宋体" w:cs="Times New Roman"/>
      <w:b/>
      <w:bCs/>
      <w:kern w:val="2"/>
      <w:sz w:val="21"/>
      <w:szCs w:val="24"/>
      <w:lang w:val="en-US" w:eastAsia="zh-CN" w:bidi="ar-SA"/>
    </w:rPr>
  </w:style>
  <w:style w:type="paragraph" w:customStyle="1" w:styleId="2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5"/>
    <w:qFormat/>
    <w:uiPriority w:val="0"/>
    <w:pPr>
      <w:widowControl w:val="0"/>
      <w:jc w:val="both"/>
    </w:pPr>
    <w:rPr>
      <w:rFonts w:ascii="Calibri" w:hAnsi="Calibri" w:eastAsia="宋体" w:cs="黑体"/>
      <w:kern w:val="2"/>
      <w:sz w:val="21"/>
      <w:szCs w:val="24"/>
      <w:lang w:val="en-US" w:eastAsia="zh-CN" w:bidi="ar-SA"/>
    </w:rPr>
  </w:style>
  <w:style w:type="paragraph" w:customStyle="1" w:styleId="27">
    <w:name w:val="UserStyle_43"/>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character" w:customStyle="1" w:styleId="28">
    <w:name w:val="NormalCharacter"/>
    <w:qFormat/>
    <w:uiPriority w:val="99"/>
  </w:style>
  <w:style w:type="paragraph" w:customStyle="1" w:styleId="29">
    <w:name w:val="Table Text"/>
    <w:basedOn w:val="1"/>
    <w:semiHidden/>
    <w:qFormat/>
    <w:uiPriority w:val="0"/>
    <w:rPr>
      <w:rFonts w:ascii="Arial" w:hAnsi="Arial" w:eastAsia="Arial" w:cs="Arial"/>
      <w:sz w:val="21"/>
      <w:szCs w:val="21"/>
      <w:lang w:val="en-US" w:eastAsia="en-US" w:bidi="ar-SA"/>
    </w:rPr>
  </w:style>
  <w:style w:type="paragraph" w:customStyle="1" w:styleId="3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正文缩进1"/>
    <w:basedOn w:val="1"/>
    <w:qFormat/>
    <w:uiPriority w:val="0"/>
    <w:pPr>
      <w:widowControl/>
      <w:ind w:firstLine="420"/>
      <w:jc w:val="left"/>
    </w:pPr>
    <w:rPr>
      <w:kern w:val="0"/>
    </w:rPr>
  </w:style>
  <w:style w:type="paragraph" w:customStyle="1" w:styleId="32">
    <w:name w:val="UserStyle_19"/>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33">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4">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5">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6">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7">
    <w:name w:val="Heading2"/>
    <w:basedOn w:val="1"/>
    <w:next w:val="1"/>
    <w:qFormat/>
    <w:uiPriority w:val="99"/>
    <w:pPr>
      <w:jc w:val="left"/>
    </w:pPr>
    <w:rPr>
      <w:kern w:val="0"/>
    </w:rPr>
  </w:style>
  <w:style w:type="paragraph" w:customStyle="1" w:styleId="38">
    <w:name w:val="AnnotationText"/>
    <w:basedOn w:val="1"/>
    <w:qFormat/>
    <w:uiPriority w:val="99"/>
    <w:pPr>
      <w:spacing w:line="360" w:lineRule="atLeast"/>
      <w:jc w:val="left"/>
    </w:pPr>
    <w:rPr>
      <w:kern w:val="0"/>
    </w:rPr>
  </w:style>
  <w:style w:type="paragraph" w:customStyle="1" w:styleId="39">
    <w:name w:val="UserStyle_44"/>
    <w:basedOn w:val="40"/>
    <w:qFormat/>
    <w:uiPriority w:val="99"/>
    <w:rPr>
      <w:sz w:val="24"/>
      <w:szCs w:val="24"/>
    </w:rPr>
  </w:style>
  <w:style w:type="paragraph" w:customStyle="1" w:styleId="40">
    <w:name w:val="UserStyle_33"/>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41">
    <w:name w:val="UserStyle_4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42">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43">
    <w:name w:val="文一"/>
    <w:basedOn w:val="1"/>
    <w:qFormat/>
    <w:uiPriority w:val="0"/>
    <w:pPr>
      <w:topLinePunct/>
      <w:adjustRightInd w:val="0"/>
      <w:snapToGrid w:val="0"/>
      <w:ind w:firstLine="200" w:firstLineChars="200"/>
    </w:pPr>
    <w:rPr>
      <w:rFonts w:ascii="Calibri" w:hAnsi="Calibri"/>
      <w:snapToGrid w:val="0"/>
      <w:spacing w:val="4"/>
      <w:kern w:val="0"/>
      <w:szCs w:val="22"/>
    </w:rPr>
  </w:style>
  <w:style w:type="paragraph" w:customStyle="1" w:styleId="44">
    <w:name w:val="BodyText"/>
    <w:basedOn w:val="1"/>
    <w:next w:val="45"/>
    <w:qFormat/>
    <w:uiPriority w:val="99"/>
    <w:pPr>
      <w:spacing w:after="120"/>
    </w:pPr>
  </w:style>
  <w:style w:type="paragraph" w:customStyle="1" w:styleId="45">
    <w:name w:val="BodyText2"/>
    <w:basedOn w:val="1"/>
    <w:qFormat/>
    <w:uiPriority w:val="99"/>
    <w:pPr>
      <w:spacing w:line="500" w:lineRule="exact"/>
    </w:pPr>
  </w:style>
  <w:style w:type="paragraph" w:customStyle="1" w:styleId="46">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7">
    <w:name w:val="正文缩进 New"/>
    <w:basedOn w:val="48"/>
    <w:qFormat/>
    <w:uiPriority w:val="0"/>
    <w:pPr>
      <w:widowControl/>
      <w:ind w:firstLine="420"/>
      <w:jc w:val="left"/>
    </w:pPr>
    <w:rPr>
      <w:kern w:val="0"/>
      <w:sz w:val="20"/>
    </w:rPr>
  </w:style>
  <w:style w:type="paragraph" w:customStyle="1" w:styleId="48">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character" w:customStyle="1" w:styleId="49">
    <w:name w:val="正文文本 (2) + 间距 0 pt3"/>
    <w:basedOn w:val="17"/>
    <w:qFormat/>
    <w:uiPriority w:val="0"/>
    <w:rPr>
      <w:rFonts w:ascii="MingLiU" w:hAnsi="Times New Roman" w:eastAsia="MingLiU" w:cs="MingLiU"/>
      <w:spacing w:val="0"/>
      <w:sz w:val="22"/>
      <w:szCs w:val="22"/>
      <w:u w:val="none"/>
    </w:rPr>
  </w:style>
  <w:style w:type="character" w:customStyle="1" w:styleId="50">
    <w:name w:val="hover21"/>
    <w:basedOn w:val="17"/>
    <w:qFormat/>
    <w:uiPriority w:val="0"/>
    <w:rPr>
      <w:color w:val="5FB878"/>
    </w:rPr>
  </w:style>
  <w:style w:type="character" w:customStyle="1" w:styleId="51">
    <w:name w:val="hover22"/>
    <w:basedOn w:val="17"/>
    <w:qFormat/>
    <w:uiPriority w:val="0"/>
    <w:rPr>
      <w:color w:val="FFFFFF"/>
    </w:rPr>
  </w:style>
  <w:style w:type="character" w:customStyle="1" w:styleId="52">
    <w:name w:val="hover23"/>
    <w:basedOn w:val="17"/>
    <w:qFormat/>
    <w:uiPriority w:val="0"/>
    <w:rPr>
      <w:color w:val="5FB878"/>
    </w:rPr>
  </w:style>
  <w:style w:type="paragraph" w:customStyle="1" w:styleId="5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25"/>
    <w:qFormat/>
    <w:uiPriority w:val="0"/>
    <w:pPr>
      <w:widowControl w:val="0"/>
      <w:jc w:val="both"/>
    </w:pPr>
    <w:rPr>
      <w:rFonts w:ascii="Calibri" w:hAnsi="Calibri" w:eastAsia="宋体" w:cs="黑体"/>
      <w:kern w:val="2"/>
      <w:sz w:val="21"/>
      <w:szCs w:val="24"/>
      <w:lang w:val="en-US" w:eastAsia="zh-CN" w:bidi="ar-SA"/>
    </w:rPr>
  </w:style>
  <w:style w:type="paragraph" w:customStyle="1" w:styleId="54">
    <w:name w:val="Default"/>
    <w:qFormat/>
    <w:uiPriority w:val="0"/>
    <w:pPr>
      <w:widowControl w:val="0"/>
      <w:autoSpaceDE w:val="0"/>
      <w:autoSpaceDN w:val="0"/>
      <w:adjustRightInd w:val="0"/>
    </w:pPr>
    <w:rPr>
      <w:rFonts w:hint="eastAsia" w:ascii="仿宋" w:hAnsi="仿宋" w:eastAsia="仿宋" w:cs="Times New Roman"/>
      <w:color w:val="000000"/>
      <w:sz w:val="24"/>
      <w:lang w:val="en-US" w:eastAsia="zh-CN" w:bidi="ar-SA"/>
    </w:rPr>
  </w:style>
  <w:style w:type="paragraph" w:customStyle="1" w:styleId="55">
    <w:name w:val="标题 2 New New"/>
    <w:basedOn w:val="56"/>
    <w:next w:val="56"/>
    <w:qFormat/>
    <w:uiPriority w:val="0"/>
    <w:pPr>
      <w:autoSpaceDE w:val="0"/>
      <w:autoSpaceDN w:val="0"/>
      <w:adjustRightInd w:val="0"/>
      <w:jc w:val="left"/>
      <w:outlineLvl w:val="1"/>
    </w:pPr>
    <w:rPr>
      <w:kern w:val="0"/>
    </w:rPr>
  </w:style>
  <w:style w:type="paragraph" w:customStyle="1" w:styleId="56">
    <w:name w:val="正文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57">
    <w:name w:val="普通(网站) New"/>
    <w:basedOn w:val="58"/>
    <w:qFormat/>
    <w:uiPriority w:val="0"/>
    <w:rPr>
      <w:sz w:val="24"/>
    </w:rPr>
  </w:style>
  <w:style w:type="paragraph" w:customStyle="1" w:styleId="58">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9" Type="http://schemas.openxmlformats.org/officeDocument/2006/relationships/fontTable" Target="fontTable.xml"/><Relationship Id="rId58" Type="http://schemas.openxmlformats.org/officeDocument/2006/relationships/numbering" Target="numbering.xml"/><Relationship Id="rId57" Type="http://schemas.openxmlformats.org/officeDocument/2006/relationships/customXml" Target="../customXml/item1.xml"/><Relationship Id="rId56" Type="http://schemas.openxmlformats.org/officeDocument/2006/relationships/image" Target="media/image18.png"/><Relationship Id="rId55" Type="http://schemas.openxmlformats.org/officeDocument/2006/relationships/image" Target="media/image17.jpeg"/><Relationship Id="rId54" Type="http://schemas.openxmlformats.org/officeDocument/2006/relationships/image" Target="media/image16.png"/><Relationship Id="rId53" Type="http://schemas.openxmlformats.org/officeDocument/2006/relationships/image" Target="media/image15.png"/><Relationship Id="rId52" Type="http://schemas.openxmlformats.org/officeDocument/2006/relationships/image" Target="media/image14.wmf"/><Relationship Id="rId51" Type="http://schemas.openxmlformats.org/officeDocument/2006/relationships/oleObject" Target="embeddings/oleObject12.bin"/><Relationship Id="rId50" Type="http://schemas.openxmlformats.org/officeDocument/2006/relationships/image" Target="media/image13.wmf"/><Relationship Id="rId5" Type="http://schemas.openxmlformats.org/officeDocument/2006/relationships/footer" Target="footer1.xml"/><Relationship Id="rId49" Type="http://schemas.openxmlformats.org/officeDocument/2006/relationships/oleObject" Target="embeddings/oleObject11.bin"/><Relationship Id="rId48" Type="http://schemas.openxmlformats.org/officeDocument/2006/relationships/image" Target="media/image12.wmf"/><Relationship Id="rId47" Type="http://schemas.openxmlformats.org/officeDocument/2006/relationships/oleObject" Target="embeddings/oleObject10.bin"/><Relationship Id="rId46" Type="http://schemas.openxmlformats.org/officeDocument/2006/relationships/image" Target="media/image11.wmf"/><Relationship Id="rId45" Type="http://schemas.openxmlformats.org/officeDocument/2006/relationships/oleObject" Target="embeddings/oleObject9.bin"/><Relationship Id="rId44" Type="http://schemas.openxmlformats.org/officeDocument/2006/relationships/image" Target="media/image10.wmf"/><Relationship Id="rId43" Type="http://schemas.openxmlformats.org/officeDocument/2006/relationships/oleObject" Target="embeddings/oleObject8.bin"/><Relationship Id="rId42" Type="http://schemas.openxmlformats.org/officeDocument/2006/relationships/image" Target="media/image9.wmf"/><Relationship Id="rId41" Type="http://schemas.openxmlformats.org/officeDocument/2006/relationships/oleObject" Target="embeddings/oleObject7.bin"/><Relationship Id="rId40" Type="http://schemas.openxmlformats.org/officeDocument/2006/relationships/image" Target="media/image8.wmf"/><Relationship Id="rId4" Type="http://schemas.openxmlformats.org/officeDocument/2006/relationships/header" Target="header2.xml"/><Relationship Id="rId39" Type="http://schemas.openxmlformats.org/officeDocument/2006/relationships/oleObject" Target="embeddings/oleObject6.bin"/><Relationship Id="rId38" Type="http://schemas.openxmlformats.org/officeDocument/2006/relationships/image" Target="media/image7.wmf"/><Relationship Id="rId37" Type="http://schemas.openxmlformats.org/officeDocument/2006/relationships/oleObject" Target="embeddings/oleObject5.bin"/><Relationship Id="rId36" Type="http://schemas.openxmlformats.org/officeDocument/2006/relationships/image" Target="media/image6.wmf"/><Relationship Id="rId35" Type="http://schemas.openxmlformats.org/officeDocument/2006/relationships/oleObject" Target="embeddings/oleObject4.bin"/><Relationship Id="rId34" Type="http://schemas.openxmlformats.org/officeDocument/2006/relationships/image" Target="media/image5.wmf"/><Relationship Id="rId33" Type="http://schemas.openxmlformats.org/officeDocument/2006/relationships/oleObject" Target="embeddings/oleObject3.bin"/><Relationship Id="rId32" Type="http://schemas.openxmlformats.org/officeDocument/2006/relationships/image" Target="media/image4.wmf"/><Relationship Id="rId31" Type="http://schemas.openxmlformats.org/officeDocument/2006/relationships/oleObject" Target="embeddings/oleObject2.bin"/><Relationship Id="rId30" Type="http://schemas.openxmlformats.org/officeDocument/2006/relationships/image" Target="media/image3.wmf"/><Relationship Id="rId3" Type="http://schemas.openxmlformats.org/officeDocument/2006/relationships/header" Target="header1.xml"/><Relationship Id="rId29" Type="http://schemas.openxmlformats.org/officeDocument/2006/relationships/oleObject" Target="embeddings/oleObject1.bin"/><Relationship Id="rId28" Type="http://schemas.openxmlformats.org/officeDocument/2006/relationships/image" Target="media/image2.png"/><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21136</Words>
  <Characters>22917</Characters>
  <Lines>0</Lines>
  <Paragraphs>0</Paragraphs>
  <TotalTime>2</TotalTime>
  <ScaleCrop>false</ScaleCrop>
  <LinksUpToDate>false</LinksUpToDate>
  <CharactersWithSpaces>23673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2024-09-29T04:36:00Z</dcterms:created>
  <dc:creator>Administrator</dc:creator>
  <cp:lastModifiedBy>wisvhnoiwnvl</cp:lastModifiedBy>
  <cp:lastPrinted>2024-09-30T01:33:00Z</cp:lastPrinted>
  <dcterms:modified xsi:type="dcterms:W3CDTF">2026-07-03T04:14:37Z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085C4AF77AA74D2FBF439F791F68676F_13</vt:lpwstr>
  </property>
  <property fmtid="{D5CDD505-2E9C-101B-9397-08002B2CF9AE}" pid="4" name="KSOTemplateDocerSaveRecord">
    <vt:lpwstr>eyJoZGlkIjoiMjgzYmU5OThlZjM2MDdhYmRjZTMzNjQ0NzZlYTFhMWQiLCJ1c2VySWQiOiIzMzc1OTIyNzgifQ==</vt:lpwstr>
  </property>
</Properties>
</file>